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insoku w:val="0"/>
        <w:overflowPunct w:val="0"/>
        <w:spacing w:before="0" w:line="580" w:lineRule="exact"/>
        <w:ind w:left="74" w:right="-58"/>
        <w:rPr>
          <w:rFonts w:hint="eastAsia" w:ascii="宋体" w:hAnsi="宋体" w:eastAsia="宋体" w:cs="宋体"/>
          <w:b/>
          <w:bCs/>
          <w:sz w:val="32"/>
          <w:szCs w:val="32"/>
          <w:highlight w:val="none"/>
        </w:rPr>
      </w:pPr>
    </w:p>
    <w:p>
      <w:pPr>
        <w:pStyle w:val="2"/>
        <w:kinsoku w:val="0"/>
        <w:overflowPunct w:val="0"/>
        <w:spacing w:before="0" w:line="580" w:lineRule="exact"/>
        <w:ind w:left="0" w:right="-58"/>
        <w:rPr>
          <w:rFonts w:hint="eastAsia" w:ascii="宋体" w:hAnsi="宋体" w:eastAsia="宋体" w:cs="宋体"/>
          <w:b/>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sz w:val="56"/>
          <w:szCs w:val="56"/>
          <w:highlight w:val="none"/>
        </w:rPr>
      </w:pPr>
      <w:r>
        <w:rPr>
          <w:rFonts w:hint="eastAsia" w:asciiTheme="majorEastAsia" w:hAnsiTheme="majorEastAsia" w:eastAsiaTheme="majorEastAsia" w:cstheme="majorEastAsia"/>
          <w:b/>
          <w:bCs/>
          <w:sz w:val="56"/>
          <w:szCs w:val="56"/>
          <w:highlight w:val="none"/>
        </w:rPr>
        <w:t>2022年自治区旅游发展大会专题宣传片采购项目</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sz w:val="56"/>
          <w:szCs w:val="56"/>
          <w:highlight w:val="none"/>
        </w:rPr>
      </w:pPr>
    </w:p>
    <w:p>
      <w:pPr>
        <w:pStyle w:val="26"/>
        <w:rPr>
          <w:rFonts w:hint="eastAsia" w:asciiTheme="majorEastAsia" w:hAnsiTheme="majorEastAsia" w:eastAsiaTheme="majorEastAsia" w:cstheme="majorEastAsia"/>
          <w:b/>
          <w:bCs/>
          <w:sz w:val="56"/>
          <w:szCs w:val="56"/>
          <w:highlight w:val="none"/>
        </w:rPr>
      </w:pPr>
    </w:p>
    <w:p>
      <w:pPr>
        <w:pStyle w:val="26"/>
        <w:ind w:left="0" w:leftChars="0" w:firstLine="0" w:firstLineChars="0"/>
        <w:rPr>
          <w:rFonts w:hint="eastAsia" w:asciiTheme="majorEastAsia" w:hAnsiTheme="majorEastAsia" w:eastAsiaTheme="majorEastAsia" w:cstheme="majorEastAsia"/>
          <w:b/>
          <w:bCs/>
          <w:sz w:val="56"/>
          <w:szCs w:val="56"/>
          <w:highlight w:val="none"/>
          <w:lang w:eastAsia="zh-CN"/>
        </w:rPr>
      </w:pPr>
    </w:p>
    <w:p>
      <w:pPr>
        <w:jc w:val="center"/>
        <w:rPr>
          <w:rFonts w:hint="eastAsia"/>
          <w:b/>
          <w:bCs/>
          <w:sz w:val="72"/>
          <w:szCs w:val="72"/>
          <w:highlight w:val="none"/>
        </w:rPr>
      </w:pPr>
      <w:r>
        <w:rPr>
          <w:rFonts w:hint="eastAsia"/>
          <w:b/>
          <w:bCs/>
          <w:sz w:val="72"/>
          <w:szCs w:val="72"/>
          <w:highlight w:val="none"/>
          <w:lang w:eastAsia="zh-CN"/>
        </w:rPr>
        <w:t>竞争性磋商</w:t>
      </w:r>
      <w:r>
        <w:rPr>
          <w:rFonts w:hint="eastAsia"/>
          <w:b/>
          <w:bCs/>
          <w:sz w:val="72"/>
          <w:szCs w:val="72"/>
          <w:highlight w:val="none"/>
        </w:rPr>
        <w:t>文件</w:t>
      </w:r>
    </w:p>
    <w:p>
      <w:pPr>
        <w:jc w:val="center"/>
        <w:rPr>
          <w:rFonts w:hint="default" w:eastAsia="宋体"/>
          <w:sz w:val="28"/>
          <w:szCs w:val="28"/>
          <w:highlight w:val="none"/>
          <w:lang w:val="en-US" w:eastAsia="zh-CN"/>
        </w:rPr>
      </w:pPr>
      <w:r>
        <w:rPr>
          <w:rFonts w:hint="eastAsia"/>
          <w:sz w:val="28"/>
          <w:szCs w:val="28"/>
          <w:highlight w:val="none"/>
        </w:rPr>
        <w:t>项目编号：XJXECWLMQ-2022007</w:t>
      </w:r>
    </w:p>
    <w:p>
      <w:pPr>
        <w:pStyle w:val="5"/>
        <w:rPr>
          <w:rFonts w:hint="eastAsia" w:ascii="宋体" w:hAnsi="宋体" w:eastAsia="宋体" w:cs="宋体"/>
          <w:highlight w:val="none"/>
        </w:rPr>
      </w:pPr>
    </w:p>
    <w:p>
      <w:pPr>
        <w:pStyle w:val="16"/>
        <w:ind w:left="0" w:leftChars="0" w:firstLine="0" w:firstLineChars="0"/>
        <w:jc w:val="center"/>
        <w:rPr>
          <w:rFonts w:hint="eastAsia" w:ascii="宋体" w:hAnsi="宋体" w:eastAsia="宋体" w:cs="宋体"/>
          <w:highlight w:val="none"/>
          <w:lang w:eastAsia="zh-CN"/>
        </w:rPr>
      </w:pPr>
      <w:r>
        <w:rPr>
          <w:rFonts w:hint="eastAsia" w:ascii="宋体" w:hAnsi="宋体" w:eastAsia="宋体" w:cs="宋体"/>
          <w:highlight w:val="none"/>
          <w:lang w:eastAsia="zh-CN"/>
        </w:rPr>
        <w:drawing>
          <wp:inline distT="0" distB="0" distL="114300" distR="114300">
            <wp:extent cx="1787525" cy="1371600"/>
            <wp:effectExtent l="0" t="0" r="3175" b="0"/>
            <wp:docPr id="124"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 descr="1"/>
                    <pic:cNvPicPr>
                      <a:picLocks noChangeAspect="1"/>
                    </pic:cNvPicPr>
                  </pic:nvPicPr>
                  <pic:blipFill>
                    <a:blip r:embed="rId11"/>
                    <a:stretch>
                      <a:fillRect/>
                    </a:stretch>
                  </pic:blipFill>
                  <pic:spPr>
                    <a:xfrm>
                      <a:off x="0" y="0"/>
                      <a:ext cx="1787525" cy="1371600"/>
                    </a:xfrm>
                    <a:prstGeom prst="rect">
                      <a:avLst/>
                    </a:prstGeom>
                    <a:noFill/>
                    <a:ln>
                      <a:noFill/>
                    </a:ln>
                  </pic:spPr>
                </pic:pic>
              </a:graphicData>
            </a:graphic>
          </wp:inline>
        </w:drawing>
      </w:r>
    </w:p>
    <w:p>
      <w:pPr>
        <w:rPr>
          <w:rFonts w:hint="eastAsia" w:ascii="宋体" w:hAnsi="宋体" w:eastAsia="宋体" w:cs="宋体"/>
          <w:highlight w:val="none"/>
        </w:rPr>
      </w:pPr>
    </w:p>
    <w:p>
      <w:pPr>
        <w:pStyle w:val="5"/>
        <w:rPr>
          <w:rFonts w:hint="eastAsia" w:ascii="宋体" w:hAnsi="宋体" w:eastAsia="宋体" w:cs="宋体"/>
          <w:highlight w:val="none"/>
        </w:rPr>
      </w:pPr>
    </w:p>
    <w:p>
      <w:pPr>
        <w:pStyle w:val="5"/>
        <w:rPr>
          <w:rFonts w:hint="eastAsia" w:ascii="宋体" w:hAnsi="宋体" w:eastAsia="宋体" w:cs="宋体"/>
          <w:highlight w:val="none"/>
        </w:rPr>
      </w:pPr>
    </w:p>
    <w:p>
      <w:pPr>
        <w:pStyle w:val="5"/>
        <w:ind w:firstLine="360"/>
        <w:rPr>
          <w:rFonts w:hint="eastAsia" w:ascii="宋体" w:hAnsi="宋体" w:eastAsia="宋体" w:cs="宋体"/>
          <w:sz w:val="18"/>
          <w:szCs w:val="18"/>
          <w:highlight w:val="none"/>
        </w:rPr>
      </w:pPr>
    </w:p>
    <w:p>
      <w:pPr>
        <w:pStyle w:val="16"/>
        <w:rPr>
          <w:rFonts w:hint="eastAsia" w:ascii="宋体" w:hAnsi="宋体" w:eastAsia="宋体" w:cs="宋体"/>
          <w:sz w:val="18"/>
          <w:szCs w:val="18"/>
          <w:highlight w:val="none"/>
        </w:rPr>
      </w:pPr>
    </w:p>
    <w:p>
      <w:pPr>
        <w:rPr>
          <w:rFonts w:hint="eastAsia" w:ascii="宋体" w:hAnsi="宋体" w:eastAsia="宋体" w:cs="宋体"/>
          <w:sz w:val="18"/>
          <w:szCs w:val="18"/>
          <w:highlight w:val="none"/>
        </w:rPr>
      </w:pPr>
    </w:p>
    <w:p>
      <w:pPr>
        <w:pStyle w:val="2"/>
        <w:rPr>
          <w:rFonts w:hint="eastAsia" w:ascii="宋体" w:hAnsi="宋体" w:eastAsia="宋体" w:cs="宋体"/>
          <w:sz w:val="18"/>
          <w:szCs w:val="18"/>
          <w:highlight w:val="none"/>
        </w:rPr>
      </w:pPr>
    </w:p>
    <w:p>
      <w:pPr>
        <w:rPr>
          <w:rFonts w:hint="eastAsia" w:ascii="宋体" w:hAnsi="宋体" w:eastAsia="宋体" w:cs="宋体"/>
          <w:sz w:val="18"/>
          <w:szCs w:val="18"/>
          <w:highlight w:val="none"/>
        </w:rPr>
      </w:pPr>
    </w:p>
    <w:p>
      <w:pPr>
        <w:pStyle w:val="2"/>
        <w:rPr>
          <w:rFonts w:hint="eastAsia" w:ascii="宋体" w:hAnsi="宋体" w:eastAsia="宋体" w:cs="宋体"/>
          <w:sz w:val="18"/>
          <w:szCs w:val="18"/>
          <w:highlight w:val="none"/>
        </w:rPr>
      </w:pPr>
    </w:p>
    <w:p>
      <w:pPr>
        <w:rPr>
          <w:rFonts w:hint="eastAsia" w:ascii="宋体" w:hAnsi="宋体" w:eastAsia="宋体" w:cs="宋体"/>
          <w:sz w:val="18"/>
          <w:szCs w:val="18"/>
          <w:highlight w:val="none"/>
        </w:rPr>
      </w:pPr>
    </w:p>
    <w:p>
      <w:pPr>
        <w:rPr>
          <w:rFonts w:hint="eastAsia" w:ascii="宋体" w:hAnsi="宋体" w:eastAsia="宋体" w:cs="宋体"/>
          <w:sz w:val="18"/>
          <w:szCs w:val="18"/>
          <w:highlight w:val="none"/>
        </w:rPr>
      </w:pPr>
    </w:p>
    <w:p>
      <w:pPr>
        <w:pStyle w:val="2"/>
        <w:ind w:left="0" w:leftChars="0" w:firstLine="0" w:firstLineChars="0"/>
        <w:rPr>
          <w:rFonts w:hint="eastAsia"/>
          <w:highlight w:val="none"/>
        </w:rPr>
      </w:pPr>
    </w:p>
    <w:p>
      <w:pPr>
        <w:pStyle w:val="5"/>
        <w:ind w:firstLine="360"/>
        <w:rPr>
          <w:rFonts w:hint="eastAsia" w:ascii="宋体" w:hAnsi="宋体" w:eastAsia="宋体" w:cs="宋体"/>
          <w:sz w:val="18"/>
          <w:szCs w:val="18"/>
          <w:highlight w:val="none"/>
        </w:rPr>
      </w:pPr>
    </w:p>
    <w:p>
      <w:pPr>
        <w:pStyle w:val="5"/>
        <w:ind w:firstLine="360"/>
        <w:rPr>
          <w:rFonts w:hint="eastAsia" w:ascii="宋体" w:hAnsi="宋体" w:eastAsia="宋体" w:cs="宋体"/>
          <w:sz w:val="18"/>
          <w:szCs w:val="18"/>
          <w:highlight w:val="none"/>
        </w:rPr>
      </w:pPr>
    </w:p>
    <w:p>
      <w:pPr>
        <w:pStyle w:val="5"/>
        <w:spacing w:line="360" w:lineRule="auto"/>
        <w:ind w:left="420" w:leftChars="200" w:firstLine="0" w:firstLineChars="0"/>
        <w:rPr>
          <w:rFonts w:hint="eastAsia" w:ascii="宋体" w:hAnsi="宋体" w:eastAsia="宋体" w:cs="宋体"/>
          <w:b/>
          <w:bCs/>
          <w:sz w:val="32"/>
          <w:szCs w:val="32"/>
          <w:highlight w:val="none"/>
          <w:u w:val="none"/>
          <w:lang w:val="en-US" w:eastAsia="zh-CN"/>
        </w:rPr>
      </w:pPr>
      <w:r>
        <w:rPr>
          <w:rFonts w:hint="eastAsia" w:ascii="宋体" w:hAnsi="宋体" w:eastAsia="宋体" w:cs="宋体"/>
          <w:b/>
          <w:bCs/>
          <w:sz w:val="32"/>
          <w:szCs w:val="32"/>
          <w:highlight w:val="none"/>
          <w:lang w:eastAsia="zh-CN"/>
        </w:rPr>
        <w:t>采</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lang w:eastAsia="zh-CN"/>
        </w:rPr>
        <w:t>购</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lang w:eastAsia="zh-CN"/>
        </w:rPr>
        <w:t>人</w:t>
      </w:r>
      <w:r>
        <w:rPr>
          <w:rFonts w:hint="eastAsia" w:ascii="宋体" w:hAnsi="宋体" w:eastAsia="宋体" w:cs="宋体"/>
          <w:b/>
          <w:bCs/>
          <w:sz w:val="32"/>
          <w:szCs w:val="32"/>
          <w:highlight w:val="none"/>
        </w:rPr>
        <w:t>：</w:t>
      </w:r>
      <w:r>
        <w:rPr>
          <w:rFonts w:hint="eastAsia" w:ascii="宋体" w:hAnsi="宋体" w:eastAsia="宋体" w:cs="宋体"/>
          <w:b/>
          <w:bCs/>
          <w:color w:val="000000"/>
          <w:sz w:val="32"/>
          <w:szCs w:val="32"/>
          <w:highlight w:val="none"/>
          <w:u w:val="none"/>
          <w:lang w:eastAsia="zh-CN"/>
        </w:rPr>
        <w:t>新疆维吾尔自治区文化和旅游厅</w:t>
      </w:r>
    </w:p>
    <w:p>
      <w:pPr>
        <w:spacing w:line="360" w:lineRule="auto"/>
        <w:ind w:left="420" w:leftChars="200"/>
        <w:rPr>
          <w:rFonts w:hint="eastAsia" w:ascii="宋体" w:hAnsi="宋体" w:eastAsia="宋体" w:cs="宋体"/>
          <w:b/>
          <w:bCs/>
          <w:sz w:val="32"/>
          <w:szCs w:val="32"/>
          <w:highlight w:val="none"/>
          <w:u w:val="none"/>
        </w:rPr>
      </w:pPr>
      <w:r>
        <w:rPr>
          <w:rFonts w:hint="eastAsia" w:ascii="宋体" w:hAnsi="宋体" w:eastAsia="宋体" w:cs="宋体"/>
          <w:b/>
          <w:bCs/>
          <w:sz w:val="32"/>
          <w:szCs w:val="32"/>
          <w:highlight w:val="none"/>
          <w:u w:val="none"/>
          <w:lang w:eastAsia="zh-CN"/>
        </w:rPr>
        <w:t>采购</w:t>
      </w:r>
      <w:r>
        <w:rPr>
          <w:rFonts w:hint="eastAsia" w:ascii="宋体" w:hAnsi="宋体" w:eastAsia="宋体" w:cs="宋体"/>
          <w:b/>
          <w:bCs/>
          <w:sz w:val="32"/>
          <w:szCs w:val="32"/>
          <w:highlight w:val="none"/>
          <w:u w:val="none"/>
        </w:rPr>
        <w:t>代理机构：新疆信尔成工程项目管理有限公司</w:t>
      </w:r>
    </w:p>
    <w:p>
      <w:pPr>
        <w:spacing w:line="360" w:lineRule="auto"/>
        <w:ind w:left="420" w:leftChars="200"/>
        <w:jc w:val="center"/>
        <w:rPr>
          <w:rFonts w:hint="eastAsia" w:ascii="宋体" w:hAnsi="宋体" w:eastAsia="宋体" w:cs="宋体"/>
          <w:szCs w:val="21"/>
          <w:highlight w:val="none"/>
          <w:u w:val="none"/>
        </w:rPr>
      </w:pPr>
      <w:r>
        <w:rPr>
          <w:rFonts w:hint="eastAsia" w:ascii="宋体" w:hAnsi="宋体" w:eastAsia="宋体" w:cs="宋体"/>
          <w:b/>
          <w:bCs/>
          <w:sz w:val="32"/>
          <w:szCs w:val="32"/>
          <w:highlight w:val="none"/>
          <w:u w:val="none"/>
          <w:lang w:val="en-US" w:eastAsia="zh-CN"/>
        </w:rPr>
        <w:t>202</w:t>
      </w:r>
      <w:r>
        <w:rPr>
          <w:rFonts w:hint="eastAsia" w:ascii="宋体" w:hAnsi="宋体" w:cs="宋体"/>
          <w:b/>
          <w:bCs/>
          <w:sz w:val="32"/>
          <w:szCs w:val="32"/>
          <w:highlight w:val="none"/>
          <w:u w:val="none"/>
          <w:lang w:val="en-US" w:eastAsia="zh-CN"/>
        </w:rPr>
        <w:t>2</w:t>
      </w:r>
      <w:r>
        <w:rPr>
          <w:rFonts w:hint="eastAsia" w:ascii="宋体" w:hAnsi="宋体" w:eastAsia="宋体" w:cs="宋体"/>
          <w:b/>
          <w:bCs/>
          <w:sz w:val="32"/>
          <w:szCs w:val="32"/>
          <w:highlight w:val="none"/>
          <w:u w:val="none"/>
          <w:lang w:val="en-US" w:eastAsia="zh-CN"/>
        </w:rPr>
        <w:t>年</w:t>
      </w:r>
      <w:r>
        <w:rPr>
          <w:rFonts w:hint="eastAsia" w:ascii="宋体" w:hAnsi="宋体" w:cs="宋体"/>
          <w:b/>
          <w:bCs/>
          <w:sz w:val="32"/>
          <w:szCs w:val="32"/>
          <w:highlight w:val="none"/>
          <w:u w:val="none"/>
          <w:lang w:val="en-US" w:eastAsia="zh-CN"/>
        </w:rPr>
        <w:t>04</w:t>
      </w:r>
      <w:r>
        <w:rPr>
          <w:rFonts w:hint="eastAsia" w:ascii="宋体" w:hAnsi="宋体" w:eastAsia="宋体" w:cs="宋体"/>
          <w:b/>
          <w:bCs/>
          <w:sz w:val="32"/>
          <w:szCs w:val="32"/>
          <w:highlight w:val="none"/>
          <w:u w:val="none"/>
          <w:lang w:val="en-US" w:eastAsia="zh-CN"/>
        </w:rPr>
        <w:t>月</w:t>
      </w:r>
      <w:bookmarkStart w:id="0" w:name="_Toc363119275"/>
      <w:bookmarkStart w:id="1" w:name="_Toc179632527"/>
    </w:p>
    <w:bookmarkEnd w:id="0"/>
    <w:bookmarkEnd w:id="1"/>
    <w:p>
      <w:pPr>
        <w:pStyle w:val="2"/>
        <w:kinsoku w:val="0"/>
        <w:overflowPunct w:val="0"/>
        <w:spacing w:before="0"/>
        <w:ind w:left="0"/>
        <w:rPr>
          <w:rFonts w:hint="eastAsia" w:ascii="宋体" w:hAnsi="宋体" w:eastAsia="宋体" w:cs="宋体"/>
          <w:b/>
          <w:bCs/>
          <w:sz w:val="20"/>
          <w:szCs w:val="20"/>
          <w:highlight w:val="none"/>
        </w:rPr>
      </w:pPr>
    </w:p>
    <w:p>
      <w:pPr>
        <w:pStyle w:val="2"/>
        <w:kinsoku w:val="0"/>
        <w:overflowPunct w:val="0"/>
        <w:spacing w:before="0"/>
        <w:ind w:left="0"/>
        <w:rPr>
          <w:rFonts w:hint="eastAsia" w:ascii="宋体" w:hAnsi="宋体" w:eastAsia="宋体" w:cs="宋体"/>
          <w:b/>
          <w:bCs/>
          <w:sz w:val="20"/>
          <w:szCs w:val="20"/>
          <w:highlight w:val="none"/>
        </w:rPr>
      </w:pPr>
    </w:p>
    <w:p>
      <w:pPr>
        <w:pStyle w:val="2"/>
        <w:kinsoku w:val="0"/>
        <w:overflowPunct w:val="0"/>
        <w:spacing w:before="0"/>
        <w:ind w:left="0"/>
        <w:rPr>
          <w:rFonts w:hint="eastAsia" w:ascii="宋体" w:hAnsi="宋体" w:eastAsia="宋体" w:cs="宋体"/>
          <w:b/>
          <w:bCs/>
          <w:sz w:val="20"/>
          <w:szCs w:val="20"/>
          <w:highlight w:val="none"/>
        </w:rPr>
      </w:pPr>
    </w:p>
    <w:p>
      <w:pPr>
        <w:pStyle w:val="2"/>
        <w:tabs>
          <w:tab w:val="left" w:pos="1204"/>
        </w:tabs>
        <w:kinsoku w:val="0"/>
        <w:overflowPunct w:val="0"/>
        <w:spacing w:before="0" w:line="501" w:lineRule="exact"/>
        <w:ind w:left="1"/>
        <w:jc w:val="center"/>
        <w:rPr>
          <w:rFonts w:hint="eastAsia" w:ascii="宋体" w:hAnsi="宋体" w:eastAsia="宋体" w:cs="宋体"/>
          <w:b/>
          <w:bCs/>
          <w:w w:val="95"/>
          <w:sz w:val="36"/>
          <w:szCs w:val="36"/>
          <w:highlight w:val="none"/>
        </w:rPr>
        <w:sectPr>
          <w:headerReference r:id="rId4" w:type="first"/>
          <w:footerReference r:id="rId6" w:type="first"/>
          <w:headerReference r:id="rId3" w:type="default"/>
          <w:footerReference r:id="rId5" w:type="default"/>
          <w:pgSz w:w="11910" w:h="16840"/>
          <w:pgMar w:top="1040" w:right="1137" w:bottom="960" w:left="1080" w:header="763" w:footer="766" w:gutter="0"/>
          <w:pgBorders>
            <w:top w:val="none" w:sz="0" w:space="0"/>
            <w:left w:val="none" w:sz="0" w:space="0"/>
            <w:bottom w:val="none" w:sz="0" w:space="0"/>
            <w:right w:val="none" w:sz="0" w:space="0"/>
          </w:pgBorders>
          <w:pgNumType w:fmt="numberInDash" w:start="0"/>
          <w:cols w:space="720" w:num="1"/>
          <w:titlePg/>
          <w:docGrid w:linePitch="286" w:charSpace="0"/>
        </w:sectPr>
      </w:pPr>
    </w:p>
    <w:p>
      <w:pPr>
        <w:pStyle w:val="2"/>
        <w:tabs>
          <w:tab w:val="left" w:pos="1204"/>
        </w:tabs>
        <w:kinsoku w:val="0"/>
        <w:overflowPunct w:val="0"/>
        <w:spacing w:before="0" w:line="501" w:lineRule="exact"/>
        <w:ind w:left="1"/>
        <w:jc w:val="center"/>
        <w:rPr>
          <w:rFonts w:hint="eastAsia" w:ascii="宋体" w:hAnsi="宋体" w:eastAsia="宋体" w:cs="宋体"/>
          <w:sz w:val="36"/>
          <w:szCs w:val="36"/>
          <w:highlight w:val="none"/>
        </w:rPr>
      </w:pPr>
      <w:r>
        <w:rPr>
          <w:rFonts w:hint="eastAsia" w:ascii="宋体" w:hAnsi="宋体" w:eastAsia="宋体" w:cs="宋体"/>
          <w:b/>
          <w:bCs/>
          <w:w w:val="95"/>
          <w:sz w:val="36"/>
          <w:szCs w:val="36"/>
          <w:highlight w:val="none"/>
        </w:rPr>
        <w:t>目</w:t>
      </w:r>
      <w:r>
        <w:rPr>
          <w:rFonts w:hint="eastAsia" w:ascii="宋体" w:hAnsi="宋体" w:eastAsia="宋体" w:cs="宋体"/>
          <w:b/>
          <w:bCs/>
          <w:w w:val="95"/>
          <w:sz w:val="36"/>
          <w:szCs w:val="36"/>
          <w:highlight w:val="none"/>
        </w:rPr>
        <w:tab/>
      </w:r>
      <w:r>
        <w:rPr>
          <w:rFonts w:hint="eastAsia" w:ascii="宋体" w:hAnsi="宋体" w:eastAsia="宋体" w:cs="宋体"/>
          <w:b/>
          <w:bCs/>
          <w:sz w:val="36"/>
          <w:szCs w:val="36"/>
          <w:highlight w:val="none"/>
        </w:rPr>
        <w:t>录</w:t>
      </w:r>
    </w:p>
    <w:p>
      <w:pPr>
        <w:pStyle w:val="15"/>
        <w:tabs>
          <w:tab w:val="right" w:leader="dot" w:pos="8730"/>
          <w:tab w:val="clear" w:pos="940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TOC \o "1-3" \h \z </w:instrText>
      </w:r>
      <w:r>
        <w:rPr>
          <w:rFonts w:hint="eastAsia" w:ascii="宋体" w:hAnsi="宋体" w:eastAsia="宋体" w:cs="宋体"/>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_Toc17170 </w:instrText>
      </w:r>
      <w:r>
        <w:rPr>
          <w:rFonts w:hint="eastAsia" w:ascii="宋体" w:hAnsi="宋体" w:eastAsia="宋体" w:cs="宋体"/>
          <w:highlight w:val="none"/>
        </w:rPr>
        <w:fldChar w:fldCharType="separate"/>
      </w:r>
      <w:r>
        <w:rPr>
          <w:rFonts w:hint="eastAsia" w:ascii="宋体" w:hAnsi="宋体" w:eastAsia="宋体" w:cs="宋体"/>
          <w:w w:val="95"/>
          <w:highlight w:val="none"/>
        </w:rPr>
        <w:t>第一章</w:t>
      </w:r>
      <w:r>
        <w:rPr>
          <w:rFonts w:hint="eastAsia" w:ascii="宋体" w:hAnsi="宋体" w:eastAsia="宋体" w:cs="宋体"/>
          <w:w w:val="95"/>
          <w:highlight w:val="none"/>
          <w:lang w:val="en-US" w:eastAsia="zh-CN"/>
        </w:rPr>
        <w:t xml:space="preserve">  </w:t>
      </w:r>
      <w:r>
        <w:rPr>
          <w:rFonts w:hint="eastAsia" w:ascii="宋体" w:hAnsi="宋体" w:eastAsia="宋体" w:cs="宋体"/>
          <w:highlight w:val="none"/>
        </w:rPr>
        <w:t>投标邀请书</w:t>
      </w:r>
      <w:r>
        <w:tab/>
      </w:r>
      <w:r>
        <w:fldChar w:fldCharType="begin"/>
      </w:r>
      <w:r>
        <w:instrText xml:space="preserve"> PAGEREF _Toc17170 \h </w:instrText>
      </w:r>
      <w:r>
        <w:fldChar w:fldCharType="separate"/>
      </w:r>
      <w:r>
        <w:t>3</w:t>
      </w:r>
      <w:r>
        <w:fldChar w:fldCharType="end"/>
      </w:r>
      <w:r>
        <w:rPr>
          <w:rFonts w:hint="eastAsia" w:ascii="宋体" w:hAnsi="宋体" w:eastAsia="宋体" w:cs="宋体"/>
          <w:highlight w:val="none"/>
        </w:rPr>
        <w:fldChar w:fldCharType="end"/>
      </w:r>
    </w:p>
    <w:p>
      <w:pPr>
        <w:pStyle w:val="15"/>
        <w:tabs>
          <w:tab w:val="right" w:leader="dot" w:pos="8730"/>
          <w:tab w:val="clear" w:pos="940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_Toc5826 </w:instrText>
      </w:r>
      <w:r>
        <w:rPr>
          <w:rFonts w:hint="eastAsia" w:ascii="宋体" w:hAnsi="宋体" w:eastAsia="宋体" w:cs="宋体"/>
          <w:highlight w:val="none"/>
        </w:rPr>
        <w:fldChar w:fldCharType="separate"/>
      </w:r>
      <w:r>
        <w:rPr>
          <w:rFonts w:hint="eastAsia" w:ascii="宋体" w:hAnsi="宋体" w:eastAsia="宋体" w:cs="宋体"/>
          <w:w w:val="95"/>
          <w:highlight w:val="none"/>
        </w:rPr>
        <w:t>第二章</w:t>
      </w:r>
      <w:r>
        <w:rPr>
          <w:rFonts w:hint="eastAsia" w:ascii="宋体" w:hAnsi="宋体" w:eastAsia="宋体" w:cs="宋体"/>
          <w:w w:val="95"/>
          <w:highlight w:val="none"/>
          <w:lang w:val="en-US" w:eastAsia="zh-CN"/>
        </w:rPr>
        <w:t xml:space="preserve">  </w:t>
      </w:r>
      <w:r>
        <w:rPr>
          <w:rFonts w:hint="eastAsia" w:ascii="宋体" w:hAnsi="宋体" w:eastAsia="宋体" w:cs="宋体"/>
          <w:highlight w:val="none"/>
        </w:rPr>
        <w:t>供应商须知及前附表</w:t>
      </w:r>
      <w:r>
        <w:tab/>
      </w:r>
      <w:r>
        <w:fldChar w:fldCharType="begin"/>
      </w:r>
      <w:r>
        <w:instrText xml:space="preserve"> PAGEREF _Toc5826 \h </w:instrText>
      </w:r>
      <w:r>
        <w:fldChar w:fldCharType="separate"/>
      </w:r>
      <w:r>
        <w:t>7</w:t>
      </w:r>
      <w:r>
        <w:fldChar w:fldCharType="end"/>
      </w:r>
      <w:r>
        <w:rPr>
          <w:rFonts w:hint="eastAsia" w:ascii="宋体" w:hAnsi="宋体" w:eastAsia="宋体" w:cs="宋体"/>
          <w:highlight w:val="none"/>
        </w:rPr>
        <w:fldChar w:fldCharType="end"/>
      </w:r>
    </w:p>
    <w:p>
      <w:pPr>
        <w:pStyle w:val="19"/>
        <w:tabs>
          <w:tab w:val="right" w:leader="dot" w:pos="873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_Toc5449 </w:instrText>
      </w:r>
      <w:r>
        <w:rPr>
          <w:rFonts w:hint="eastAsia" w:ascii="宋体" w:hAnsi="宋体" w:eastAsia="宋体" w:cs="宋体"/>
          <w:highlight w:val="none"/>
        </w:rPr>
        <w:fldChar w:fldCharType="separate"/>
      </w:r>
      <w:r>
        <w:rPr>
          <w:rFonts w:hint="eastAsia" w:ascii="宋体" w:hAnsi="宋体" w:eastAsia="宋体" w:cs="宋体"/>
          <w:highlight w:val="none"/>
        </w:rPr>
        <w:t>（一）供应商须知前附表</w:t>
      </w:r>
      <w:r>
        <w:tab/>
      </w:r>
      <w:r>
        <w:fldChar w:fldCharType="begin"/>
      </w:r>
      <w:r>
        <w:instrText xml:space="preserve"> PAGEREF _Toc5449 \h </w:instrText>
      </w:r>
      <w:r>
        <w:fldChar w:fldCharType="separate"/>
      </w:r>
      <w:r>
        <w:t>7</w:t>
      </w:r>
      <w:r>
        <w:fldChar w:fldCharType="end"/>
      </w:r>
      <w:r>
        <w:rPr>
          <w:rFonts w:hint="eastAsia" w:ascii="宋体" w:hAnsi="宋体" w:eastAsia="宋体" w:cs="宋体"/>
          <w:highlight w:val="none"/>
        </w:rPr>
        <w:fldChar w:fldCharType="end"/>
      </w:r>
    </w:p>
    <w:p>
      <w:pPr>
        <w:pStyle w:val="19"/>
        <w:tabs>
          <w:tab w:val="right" w:leader="dot" w:pos="873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_Toc28003 </w:instrText>
      </w:r>
      <w:r>
        <w:rPr>
          <w:rFonts w:hint="eastAsia" w:ascii="宋体" w:hAnsi="宋体" w:eastAsia="宋体" w:cs="宋体"/>
          <w:highlight w:val="none"/>
        </w:rPr>
        <w:fldChar w:fldCharType="separate"/>
      </w:r>
      <w:r>
        <w:rPr>
          <w:rFonts w:hint="eastAsia" w:ascii="宋体" w:hAnsi="宋体" w:eastAsia="宋体" w:cs="宋体"/>
          <w:highlight w:val="none"/>
        </w:rPr>
        <w:t>（二）供应商须知</w:t>
      </w:r>
      <w:r>
        <w:tab/>
      </w:r>
      <w:r>
        <w:fldChar w:fldCharType="begin"/>
      </w:r>
      <w:r>
        <w:instrText xml:space="preserve"> PAGEREF _Toc28003 \h </w:instrText>
      </w:r>
      <w:r>
        <w:fldChar w:fldCharType="separate"/>
      </w:r>
      <w:r>
        <w:t>12</w:t>
      </w:r>
      <w:r>
        <w:fldChar w:fldCharType="end"/>
      </w:r>
      <w:r>
        <w:rPr>
          <w:rFonts w:hint="eastAsia" w:ascii="宋体" w:hAnsi="宋体" w:eastAsia="宋体" w:cs="宋体"/>
          <w:highlight w:val="none"/>
        </w:rPr>
        <w:fldChar w:fldCharType="end"/>
      </w:r>
    </w:p>
    <w:p>
      <w:pPr>
        <w:pStyle w:val="19"/>
        <w:tabs>
          <w:tab w:val="right" w:leader="dot" w:pos="873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_Toc26806 </w:instrText>
      </w:r>
      <w:r>
        <w:rPr>
          <w:rFonts w:hint="eastAsia" w:ascii="宋体" w:hAnsi="宋体" w:eastAsia="宋体" w:cs="宋体"/>
          <w:highlight w:val="none"/>
        </w:rPr>
        <w:fldChar w:fldCharType="separate"/>
      </w:r>
      <w:r>
        <w:rPr>
          <w:rFonts w:hint="eastAsia" w:ascii="宋体" w:hAnsi="宋体" w:eastAsia="宋体" w:cs="宋体"/>
          <w:highlight w:val="none"/>
        </w:rPr>
        <w:t>（三）《竞争性磋商文件》</w:t>
      </w:r>
      <w:r>
        <w:tab/>
      </w:r>
      <w:r>
        <w:fldChar w:fldCharType="begin"/>
      </w:r>
      <w:r>
        <w:instrText xml:space="preserve"> PAGEREF _Toc26806 \h </w:instrText>
      </w:r>
      <w:r>
        <w:fldChar w:fldCharType="separate"/>
      </w:r>
      <w:r>
        <w:t>14</w:t>
      </w:r>
      <w:r>
        <w:fldChar w:fldCharType="end"/>
      </w:r>
      <w:r>
        <w:rPr>
          <w:rFonts w:hint="eastAsia" w:ascii="宋体" w:hAnsi="宋体" w:eastAsia="宋体" w:cs="宋体"/>
          <w:highlight w:val="none"/>
        </w:rPr>
        <w:fldChar w:fldCharType="end"/>
      </w:r>
    </w:p>
    <w:p>
      <w:pPr>
        <w:pStyle w:val="19"/>
        <w:tabs>
          <w:tab w:val="right" w:leader="dot" w:pos="873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_Toc12235 </w:instrText>
      </w:r>
      <w:r>
        <w:rPr>
          <w:rFonts w:hint="eastAsia" w:ascii="宋体" w:hAnsi="宋体" w:eastAsia="宋体" w:cs="宋体"/>
          <w:highlight w:val="none"/>
        </w:rPr>
        <w:fldChar w:fldCharType="separate"/>
      </w:r>
      <w:r>
        <w:rPr>
          <w:rFonts w:hint="eastAsia" w:ascii="宋体" w:hAnsi="宋体" w:eastAsia="宋体" w:cs="宋体"/>
          <w:highlight w:val="none"/>
        </w:rPr>
        <w:t>（四）《磋商响应性文件》的编制</w:t>
      </w:r>
      <w:r>
        <w:tab/>
      </w:r>
      <w:r>
        <w:fldChar w:fldCharType="begin"/>
      </w:r>
      <w:r>
        <w:instrText xml:space="preserve"> PAGEREF _Toc12235 \h </w:instrText>
      </w:r>
      <w:r>
        <w:fldChar w:fldCharType="separate"/>
      </w:r>
      <w:r>
        <w:t>15</w:t>
      </w:r>
      <w:r>
        <w:fldChar w:fldCharType="end"/>
      </w:r>
      <w:r>
        <w:rPr>
          <w:rFonts w:hint="eastAsia" w:ascii="宋体" w:hAnsi="宋体" w:eastAsia="宋体" w:cs="宋体"/>
          <w:highlight w:val="none"/>
        </w:rPr>
        <w:fldChar w:fldCharType="end"/>
      </w:r>
    </w:p>
    <w:p>
      <w:pPr>
        <w:pStyle w:val="19"/>
        <w:tabs>
          <w:tab w:val="right" w:leader="dot" w:pos="873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_Toc9103 </w:instrText>
      </w:r>
      <w:r>
        <w:rPr>
          <w:rFonts w:hint="eastAsia" w:ascii="宋体" w:hAnsi="宋体" w:eastAsia="宋体" w:cs="宋体"/>
          <w:highlight w:val="none"/>
        </w:rPr>
        <w:fldChar w:fldCharType="separate"/>
      </w:r>
      <w:r>
        <w:rPr>
          <w:rFonts w:hint="eastAsia" w:ascii="宋体" w:hAnsi="宋体" w:eastAsia="宋体" w:cs="宋体"/>
          <w:highlight w:val="none"/>
        </w:rPr>
        <w:t>（五）磋商响应性文件的提交及相关事项</w:t>
      </w:r>
      <w:r>
        <w:tab/>
      </w:r>
      <w:r>
        <w:fldChar w:fldCharType="begin"/>
      </w:r>
      <w:r>
        <w:instrText xml:space="preserve"> PAGEREF _Toc9103 \h </w:instrText>
      </w:r>
      <w:r>
        <w:fldChar w:fldCharType="separate"/>
      </w:r>
      <w:r>
        <w:t>19</w:t>
      </w:r>
      <w:r>
        <w:fldChar w:fldCharType="end"/>
      </w:r>
      <w:r>
        <w:rPr>
          <w:rFonts w:hint="eastAsia" w:ascii="宋体" w:hAnsi="宋体" w:eastAsia="宋体" w:cs="宋体"/>
          <w:highlight w:val="none"/>
        </w:rPr>
        <w:fldChar w:fldCharType="end"/>
      </w:r>
    </w:p>
    <w:p>
      <w:pPr>
        <w:pStyle w:val="19"/>
        <w:tabs>
          <w:tab w:val="right" w:leader="dot" w:pos="873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_Toc20653 </w:instrText>
      </w:r>
      <w:r>
        <w:rPr>
          <w:rFonts w:hint="eastAsia" w:ascii="宋体" w:hAnsi="宋体" w:eastAsia="宋体" w:cs="宋体"/>
          <w:highlight w:val="none"/>
        </w:rPr>
        <w:fldChar w:fldCharType="separate"/>
      </w:r>
      <w:r>
        <w:rPr>
          <w:rFonts w:hint="eastAsia" w:ascii="宋体" w:hAnsi="宋体" w:eastAsia="宋体" w:cs="宋体"/>
          <w:highlight w:val="none"/>
        </w:rPr>
        <w:t>（</w:t>
      </w:r>
      <w:r>
        <w:rPr>
          <w:rFonts w:hint="eastAsia" w:ascii="宋体" w:hAnsi="宋体" w:eastAsia="宋体" w:cs="宋体"/>
          <w:highlight w:val="none"/>
          <w:lang w:eastAsia="zh-CN"/>
        </w:rPr>
        <w:t>六</w:t>
      </w:r>
      <w:r>
        <w:rPr>
          <w:rFonts w:hint="eastAsia" w:ascii="宋体" w:hAnsi="宋体" w:eastAsia="宋体" w:cs="宋体"/>
          <w:highlight w:val="none"/>
        </w:rPr>
        <w:t>）</w:t>
      </w:r>
      <w:r>
        <w:rPr>
          <w:rFonts w:hint="eastAsia" w:ascii="宋体" w:hAnsi="宋体" w:eastAsia="宋体" w:cs="宋体"/>
          <w:highlight w:val="none"/>
          <w:lang w:eastAsia="zh-CN"/>
        </w:rPr>
        <w:t>磋商</w:t>
      </w:r>
      <w:r>
        <w:tab/>
      </w:r>
      <w:r>
        <w:fldChar w:fldCharType="begin"/>
      </w:r>
      <w:r>
        <w:instrText xml:space="preserve"> PAGEREF _Toc20653 \h </w:instrText>
      </w:r>
      <w:r>
        <w:fldChar w:fldCharType="separate"/>
      </w:r>
      <w:r>
        <w:t>21</w:t>
      </w:r>
      <w:r>
        <w:fldChar w:fldCharType="end"/>
      </w:r>
      <w:r>
        <w:rPr>
          <w:rFonts w:hint="eastAsia" w:ascii="宋体" w:hAnsi="宋体" w:eastAsia="宋体" w:cs="宋体"/>
          <w:highlight w:val="none"/>
        </w:rPr>
        <w:fldChar w:fldCharType="end"/>
      </w:r>
    </w:p>
    <w:p>
      <w:pPr>
        <w:pStyle w:val="19"/>
        <w:tabs>
          <w:tab w:val="right" w:leader="dot" w:pos="873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_Toc17861 </w:instrText>
      </w:r>
      <w:r>
        <w:rPr>
          <w:rFonts w:hint="eastAsia" w:ascii="宋体" w:hAnsi="宋体" w:eastAsia="宋体" w:cs="宋体"/>
          <w:highlight w:val="none"/>
        </w:rPr>
        <w:fldChar w:fldCharType="separate"/>
      </w:r>
      <w:r>
        <w:rPr>
          <w:rFonts w:hint="eastAsia" w:ascii="宋体" w:hAnsi="宋体" w:eastAsia="宋体" w:cs="宋体"/>
          <w:highlight w:val="none"/>
        </w:rPr>
        <w:t>（</w:t>
      </w:r>
      <w:r>
        <w:rPr>
          <w:rFonts w:hint="eastAsia" w:ascii="宋体" w:hAnsi="宋体" w:eastAsia="宋体" w:cs="宋体"/>
          <w:highlight w:val="none"/>
          <w:lang w:eastAsia="zh-CN"/>
        </w:rPr>
        <w:t>七</w:t>
      </w:r>
      <w:r>
        <w:rPr>
          <w:rFonts w:hint="eastAsia" w:ascii="宋体" w:hAnsi="宋体" w:eastAsia="宋体" w:cs="宋体"/>
          <w:highlight w:val="none"/>
        </w:rPr>
        <w:t>）定标</w:t>
      </w:r>
      <w:r>
        <w:tab/>
      </w:r>
      <w:r>
        <w:fldChar w:fldCharType="begin"/>
      </w:r>
      <w:r>
        <w:instrText xml:space="preserve"> PAGEREF _Toc17861 \h </w:instrText>
      </w:r>
      <w:r>
        <w:fldChar w:fldCharType="separate"/>
      </w:r>
      <w:r>
        <w:t>22</w:t>
      </w:r>
      <w:r>
        <w:fldChar w:fldCharType="end"/>
      </w:r>
      <w:r>
        <w:rPr>
          <w:rFonts w:hint="eastAsia" w:ascii="宋体" w:hAnsi="宋体" w:eastAsia="宋体" w:cs="宋体"/>
          <w:highlight w:val="none"/>
        </w:rPr>
        <w:fldChar w:fldCharType="end"/>
      </w:r>
    </w:p>
    <w:p>
      <w:pPr>
        <w:pStyle w:val="19"/>
        <w:tabs>
          <w:tab w:val="right" w:leader="dot" w:pos="873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_Toc28691 </w:instrText>
      </w:r>
      <w:r>
        <w:rPr>
          <w:rFonts w:hint="eastAsia" w:ascii="宋体" w:hAnsi="宋体" w:eastAsia="宋体" w:cs="宋体"/>
          <w:highlight w:val="none"/>
        </w:rPr>
        <w:fldChar w:fldCharType="separate"/>
      </w:r>
      <w:r>
        <w:rPr>
          <w:rFonts w:hint="eastAsia" w:ascii="宋体" w:hAnsi="宋体" w:eastAsia="宋体" w:cs="宋体"/>
          <w:highlight w:val="none"/>
        </w:rPr>
        <w:t>（</w:t>
      </w:r>
      <w:r>
        <w:rPr>
          <w:rFonts w:hint="eastAsia" w:ascii="宋体" w:hAnsi="宋体" w:eastAsia="宋体" w:cs="宋体"/>
          <w:highlight w:val="none"/>
          <w:lang w:eastAsia="zh-CN"/>
        </w:rPr>
        <w:t>八</w:t>
      </w:r>
      <w:r>
        <w:rPr>
          <w:rFonts w:hint="eastAsia" w:ascii="宋体" w:hAnsi="宋体" w:eastAsia="宋体" w:cs="宋体"/>
          <w:highlight w:val="none"/>
        </w:rPr>
        <w:t>）合同签订及履行</w:t>
      </w:r>
      <w:r>
        <w:tab/>
      </w:r>
      <w:r>
        <w:fldChar w:fldCharType="begin"/>
      </w:r>
      <w:r>
        <w:instrText xml:space="preserve"> PAGEREF _Toc28691 \h </w:instrText>
      </w:r>
      <w:r>
        <w:fldChar w:fldCharType="separate"/>
      </w:r>
      <w:r>
        <w:t>23</w:t>
      </w:r>
      <w:r>
        <w:fldChar w:fldCharType="end"/>
      </w:r>
      <w:r>
        <w:rPr>
          <w:rFonts w:hint="eastAsia" w:ascii="宋体" w:hAnsi="宋体" w:eastAsia="宋体" w:cs="宋体"/>
          <w:highlight w:val="none"/>
        </w:rPr>
        <w:fldChar w:fldCharType="end"/>
      </w:r>
    </w:p>
    <w:p>
      <w:pPr>
        <w:pStyle w:val="19"/>
        <w:tabs>
          <w:tab w:val="right" w:leader="dot" w:pos="873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_Toc6037 </w:instrText>
      </w:r>
      <w:r>
        <w:rPr>
          <w:rFonts w:hint="eastAsia" w:ascii="宋体" w:hAnsi="宋体" w:eastAsia="宋体" w:cs="宋体"/>
          <w:highlight w:val="none"/>
        </w:rPr>
        <w:fldChar w:fldCharType="separate"/>
      </w:r>
      <w:r>
        <w:rPr>
          <w:rFonts w:hint="eastAsia" w:ascii="宋体" w:hAnsi="宋体" w:eastAsia="宋体" w:cs="宋体"/>
          <w:highlight w:val="none"/>
        </w:rPr>
        <w:t>（</w:t>
      </w:r>
      <w:r>
        <w:rPr>
          <w:rFonts w:hint="eastAsia" w:ascii="宋体" w:hAnsi="宋体" w:eastAsia="宋体" w:cs="宋体"/>
          <w:highlight w:val="none"/>
          <w:lang w:eastAsia="zh-CN"/>
        </w:rPr>
        <w:t>九</w:t>
      </w:r>
      <w:r>
        <w:rPr>
          <w:rFonts w:hint="eastAsia" w:ascii="宋体" w:hAnsi="宋体" w:eastAsia="宋体" w:cs="宋体"/>
          <w:highlight w:val="none"/>
        </w:rPr>
        <w:t>）重新招标和不再招标</w:t>
      </w:r>
      <w:r>
        <w:tab/>
      </w:r>
      <w:r>
        <w:fldChar w:fldCharType="begin"/>
      </w:r>
      <w:r>
        <w:instrText xml:space="preserve"> PAGEREF _Toc6037 \h </w:instrText>
      </w:r>
      <w:r>
        <w:fldChar w:fldCharType="separate"/>
      </w:r>
      <w:r>
        <w:t>24</w:t>
      </w:r>
      <w:r>
        <w:fldChar w:fldCharType="end"/>
      </w:r>
      <w:r>
        <w:rPr>
          <w:rFonts w:hint="eastAsia" w:ascii="宋体" w:hAnsi="宋体" w:eastAsia="宋体" w:cs="宋体"/>
          <w:highlight w:val="none"/>
        </w:rPr>
        <w:fldChar w:fldCharType="end"/>
      </w:r>
    </w:p>
    <w:p>
      <w:pPr>
        <w:pStyle w:val="19"/>
        <w:tabs>
          <w:tab w:val="right" w:leader="dot" w:pos="873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_Toc9278 </w:instrText>
      </w:r>
      <w:r>
        <w:rPr>
          <w:rFonts w:hint="eastAsia" w:ascii="宋体" w:hAnsi="宋体" w:eastAsia="宋体" w:cs="宋体"/>
          <w:highlight w:val="none"/>
        </w:rPr>
        <w:fldChar w:fldCharType="separate"/>
      </w:r>
      <w:r>
        <w:rPr>
          <w:rFonts w:hint="eastAsia" w:ascii="宋体" w:hAnsi="宋体" w:eastAsia="宋体" w:cs="宋体"/>
          <w:highlight w:val="none"/>
        </w:rPr>
        <w:t>（十）纪律和监督</w:t>
      </w:r>
      <w:r>
        <w:tab/>
      </w:r>
      <w:r>
        <w:fldChar w:fldCharType="begin"/>
      </w:r>
      <w:r>
        <w:instrText xml:space="preserve"> PAGEREF _Toc9278 \h </w:instrText>
      </w:r>
      <w:r>
        <w:fldChar w:fldCharType="separate"/>
      </w:r>
      <w:r>
        <w:t>24</w:t>
      </w:r>
      <w:r>
        <w:fldChar w:fldCharType="end"/>
      </w:r>
      <w:r>
        <w:rPr>
          <w:rFonts w:hint="eastAsia" w:ascii="宋体" w:hAnsi="宋体" w:eastAsia="宋体" w:cs="宋体"/>
          <w:highlight w:val="none"/>
        </w:rPr>
        <w:fldChar w:fldCharType="end"/>
      </w:r>
    </w:p>
    <w:p>
      <w:pPr>
        <w:pStyle w:val="19"/>
        <w:tabs>
          <w:tab w:val="right" w:leader="dot" w:pos="873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_Toc20838 </w:instrText>
      </w:r>
      <w:r>
        <w:rPr>
          <w:rFonts w:hint="eastAsia" w:ascii="宋体" w:hAnsi="宋体" w:eastAsia="宋体" w:cs="宋体"/>
          <w:highlight w:val="none"/>
        </w:rPr>
        <w:fldChar w:fldCharType="separate"/>
      </w:r>
      <w:r>
        <w:rPr>
          <w:rFonts w:hint="eastAsia" w:ascii="宋体" w:hAnsi="宋体" w:eastAsia="宋体" w:cs="宋体"/>
          <w:highlight w:val="none"/>
        </w:rPr>
        <w:t>（十</w:t>
      </w:r>
      <w:r>
        <w:rPr>
          <w:rFonts w:hint="eastAsia" w:ascii="宋体" w:hAnsi="宋体" w:eastAsia="宋体" w:cs="宋体"/>
          <w:highlight w:val="none"/>
          <w:lang w:eastAsia="zh-CN"/>
        </w:rPr>
        <w:t>一</w:t>
      </w:r>
      <w:r>
        <w:rPr>
          <w:rFonts w:hint="eastAsia" w:ascii="宋体" w:hAnsi="宋体" w:eastAsia="宋体" w:cs="宋体"/>
          <w:highlight w:val="none"/>
        </w:rPr>
        <w:t>）无效投标</w:t>
      </w:r>
      <w:r>
        <w:tab/>
      </w:r>
      <w:r>
        <w:fldChar w:fldCharType="begin"/>
      </w:r>
      <w:r>
        <w:instrText xml:space="preserve"> PAGEREF _Toc20838 \h </w:instrText>
      </w:r>
      <w:r>
        <w:fldChar w:fldCharType="separate"/>
      </w:r>
      <w:r>
        <w:t>26</w:t>
      </w:r>
      <w:r>
        <w:fldChar w:fldCharType="end"/>
      </w:r>
      <w:r>
        <w:rPr>
          <w:rFonts w:hint="eastAsia" w:ascii="宋体" w:hAnsi="宋体" w:eastAsia="宋体" w:cs="宋体"/>
          <w:highlight w:val="none"/>
        </w:rPr>
        <w:fldChar w:fldCharType="end"/>
      </w:r>
    </w:p>
    <w:p>
      <w:pPr>
        <w:pStyle w:val="19"/>
        <w:tabs>
          <w:tab w:val="right" w:leader="dot" w:pos="873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_Toc31352 </w:instrText>
      </w:r>
      <w:r>
        <w:rPr>
          <w:rFonts w:hint="eastAsia" w:ascii="宋体" w:hAnsi="宋体" w:eastAsia="宋体" w:cs="宋体"/>
          <w:highlight w:val="none"/>
        </w:rPr>
        <w:fldChar w:fldCharType="separate"/>
      </w:r>
      <w:r>
        <w:rPr>
          <w:rFonts w:hint="eastAsia" w:ascii="宋体" w:hAnsi="宋体" w:eastAsia="宋体" w:cs="宋体"/>
          <w:highlight w:val="none"/>
        </w:rPr>
        <w:t>（十</w:t>
      </w:r>
      <w:r>
        <w:rPr>
          <w:rFonts w:hint="eastAsia" w:ascii="宋体" w:hAnsi="宋体" w:eastAsia="宋体" w:cs="宋体"/>
          <w:highlight w:val="none"/>
          <w:lang w:eastAsia="zh-CN"/>
        </w:rPr>
        <w:t>二</w:t>
      </w:r>
      <w:r>
        <w:rPr>
          <w:rFonts w:hint="eastAsia" w:ascii="宋体" w:hAnsi="宋体" w:eastAsia="宋体" w:cs="宋体"/>
          <w:highlight w:val="none"/>
        </w:rPr>
        <w:t>）废标</w:t>
      </w:r>
      <w:r>
        <w:tab/>
      </w:r>
      <w:r>
        <w:fldChar w:fldCharType="begin"/>
      </w:r>
      <w:r>
        <w:instrText xml:space="preserve"> PAGEREF _Toc31352 \h </w:instrText>
      </w:r>
      <w:r>
        <w:fldChar w:fldCharType="separate"/>
      </w:r>
      <w:r>
        <w:t>27</w:t>
      </w:r>
      <w:r>
        <w:fldChar w:fldCharType="end"/>
      </w:r>
      <w:r>
        <w:rPr>
          <w:rFonts w:hint="eastAsia" w:ascii="宋体" w:hAnsi="宋体" w:eastAsia="宋体" w:cs="宋体"/>
          <w:highlight w:val="none"/>
        </w:rPr>
        <w:fldChar w:fldCharType="end"/>
      </w:r>
    </w:p>
    <w:p>
      <w:pPr>
        <w:pStyle w:val="19"/>
        <w:tabs>
          <w:tab w:val="right" w:leader="dot" w:pos="873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_Toc12241 </w:instrText>
      </w:r>
      <w:r>
        <w:rPr>
          <w:rFonts w:hint="eastAsia" w:ascii="宋体" w:hAnsi="宋体" w:eastAsia="宋体" w:cs="宋体"/>
          <w:highlight w:val="none"/>
        </w:rPr>
        <w:fldChar w:fldCharType="separate"/>
      </w:r>
      <w:r>
        <w:rPr>
          <w:rFonts w:hint="eastAsia" w:ascii="宋体" w:hAnsi="宋体" w:eastAsia="宋体" w:cs="宋体"/>
          <w:highlight w:val="none"/>
        </w:rPr>
        <w:t>（十</w:t>
      </w:r>
      <w:r>
        <w:rPr>
          <w:rFonts w:hint="eastAsia" w:ascii="宋体" w:hAnsi="宋体" w:eastAsia="宋体" w:cs="宋体"/>
          <w:highlight w:val="none"/>
          <w:lang w:eastAsia="zh-CN"/>
        </w:rPr>
        <w:t>三</w:t>
      </w:r>
      <w:r>
        <w:rPr>
          <w:rFonts w:hint="eastAsia" w:ascii="宋体" w:hAnsi="宋体" w:eastAsia="宋体" w:cs="宋体"/>
          <w:highlight w:val="none"/>
        </w:rPr>
        <w:t>）质疑和投诉</w:t>
      </w:r>
      <w:r>
        <w:tab/>
      </w:r>
      <w:r>
        <w:fldChar w:fldCharType="begin"/>
      </w:r>
      <w:r>
        <w:instrText xml:space="preserve"> PAGEREF _Toc12241 \h </w:instrText>
      </w:r>
      <w:r>
        <w:fldChar w:fldCharType="separate"/>
      </w:r>
      <w:r>
        <w:t>27</w:t>
      </w:r>
      <w:r>
        <w:fldChar w:fldCharType="end"/>
      </w:r>
      <w:r>
        <w:rPr>
          <w:rFonts w:hint="eastAsia" w:ascii="宋体" w:hAnsi="宋体" w:eastAsia="宋体" w:cs="宋体"/>
          <w:highlight w:val="none"/>
        </w:rPr>
        <w:fldChar w:fldCharType="end"/>
      </w:r>
    </w:p>
    <w:p>
      <w:pPr>
        <w:pStyle w:val="15"/>
        <w:tabs>
          <w:tab w:val="right" w:leader="dot" w:pos="8730"/>
          <w:tab w:val="clear" w:pos="940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_Toc30600 </w:instrText>
      </w:r>
      <w:r>
        <w:rPr>
          <w:rFonts w:hint="eastAsia" w:ascii="宋体" w:hAnsi="宋体" w:eastAsia="宋体" w:cs="宋体"/>
          <w:highlight w:val="none"/>
        </w:rPr>
        <w:fldChar w:fldCharType="separate"/>
      </w:r>
      <w:r>
        <w:rPr>
          <w:rFonts w:hint="eastAsia" w:ascii="宋体" w:hAnsi="宋体" w:eastAsia="宋体" w:cs="宋体"/>
          <w:spacing w:val="1"/>
          <w:highlight w:val="none"/>
        </w:rPr>
        <w:t>第三章</w:t>
      </w:r>
      <w:r>
        <w:rPr>
          <w:rFonts w:hint="eastAsia" w:ascii="宋体" w:hAnsi="宋体" w:eastAsia="宋体" w:cs="宋体"/>
          <w:spacing w:val="1"/>
          <w:highlight w:val="none"/>
          <w:lang w:val="en-US" w:eastAsia="zh-CN"/>
        </w:rPr>
        <w:t xml:space="preserve">  </w:t>
      </w:r>
      <w:r>
        <w:rPr>
          <w:rFonts w:hint="eastAsia" w:ascii="宋体" w:hAnsi="宋体" w:eastAsia="宋体" w:cs="宋体"/>
          <w:spacing w:val="1"/>
          <w:highlight w:val="none"/>
        </w:rPr>
        <w:t>评标办法</w:t>
      </w:r>
      <w:r>
        <w:tab/>
      </w:r>
      <w:r>
        <w:fldChar w:fldCharType="begin"/>
      </w:r>
      <w:r>
        <w:instrText xml:space="preserve"> PAGEREF _Toc30600 \h </w:instrText>
      </w:r>
      <w:r>
        <w:fldChar w:fldCharType="separate"/>
      </w:r>
      <w:r>
        <w:t>30</w:t>
      </w:r>
      <w:r>
        <w:fldChar w:fldCharType="end"/>
      </w:r>
      <w:r>
        <w:rPr>
          <w:rFonts w:hint="eastAsia" w:ascii="宋体" w:hAnsi="宋体" w:eastAsia="宋体" w:cs="宋体"/>
          <w:highlight w:val="none"/>
        </w:rPr>
        <w:fldChar w:fldCharType="end"/>
      </w:r>
    </w:p>
    <w:p>
      <w:pPr>
        <w:pStyle w:val="15"/>
        <w:tabs>
          <w:tab w:val="right" w:leader="dot" w:pos="8730"/>
          <w:tab w:val="clear" w:pos="940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_Toc15568 </w:instrText>
      </w:r>
      <w:r>
        <w:rPr>
          <w:rFonts w:hint="eastAsia" w:ascii="宋体" w:hAnsi="宋体" w:eastAsia="宋体" w:cs="宋体"/>
          <w:highlight w:val="none"/>
        </w:rPr>
        <w:fldChar w:fldCharType="separate"/>
      </w:r>
      <w:r>
        <w:rPr>
          <w:rFonts w:hint="eastAsia" w:ascii="宋体" w:hAnsi="宋体" w:eastAsia="宋体" w:cs="宋体"/>
          <w:highlight w:val="none"/>
          <w:lang w:eastAsia="zh-CN"/>
        </w:rPr>
        <w:t>第四章</w:t>
      </w:r>
      <w:r>
        <w:rPr>
          <w:rFonts w:hint="eastAsia" w:ascii="宋体" w:hAnsi="宋体" w:eastAsia="宋体" w:cs="宋体"/>
          <w:highlight w:val="none"/>
          <w:lang w:val="en-US" w:eastAsia="zh-CN"/>
        </w:rPr>
        <w:t xml:space="preserve">  </w:t>
      </w:r>
      <w:r>
        <w:rPr>
          <w:rFonts w:hint="eastAsia" w:ascii="宋体" w:hAnsi="宋体" w:eastAsia="宋体" w:cs="宋体"/>
          <w:spacing w:val="1"/>
          <w:highlight w:val="none"/>
        </w:rPr>
        <w:t>磋商内容</w:t>
      </w:r>
      <w:r>
        <w:tab/>
      </w:r>
      <w:r>
        <w:fldChar w:fldCharType="begin"/>
      </w:r>
      <w:r>
        <w:instrText xml:space="preserve"> PAGEREF _Toc15568 \h </w:instrText>
      </w:r>
      <w:r>
        <w:fldChar w:fldCharType="separate"/>
      </w:r>
      <w:r>
        <w:t>39</w:t>
      </w:r>
      <w:r>
        <w:fldChar w:fldCharType="end"/>
      </w:r>
      <w:r>
        <w:rPr>
          <w:rFonts w:hint="eastAsia" w:ascii="宋体" w:hAnsi="宋体" w:eastAsia="宋体" w:cs="宋体"/>
          <w:highlight w:val="none"/>
        </w:rPr>
        <w:fldChar w:fldCharType="end"/>
      </w:r>
    </w:p>
    <w:p>
      <w:pPr>
        <w:pStyle w:val="15"/>
        <w:tabs>
          <w:tab w:val="right" w:leader="dot" w:pos="8730"/>
          <w:tab w:val="clear" w:pos="940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_Toc23714 </w:instrText>
      </w:r>
      <w:r>
        <w:rPr>
          <w:rFonts w:hint="eastAsia" w:ascii="宋体" w:hAnsi="宋体" w:eastAsia="宋体" w:cs="宋体"/>
          <w:highlight w:val="none"/>
        </w:rPr>
        <w:fldChar w:fldCharType="separate"/>
      </w:r>
      <w:r>
        <w:rPr>
          <w:rFonts w:hint="eastAsia" w:ascii="宋体" w:hAnsi="宋体" w:eastAsia="宋体" w:cs="宋体"/>
          <w:highlight w:val="none"/>
        </w:rPr>
        <w:t>第五章</w:t>
      </w:r>
      <w:r>
        <w:rPr>
          <w:rFonts w:hint="eastAsia" w:ascii="宋体" w:hAnsi="宋体" w:eastAsia="宋体" w:cs="宋体"/>
          <w:highlight w:val="none"/>
          <w:lang w:val="en-US" w:eastAsia="zh-CN"/>
        </w:rPr>
        <w:t xml:space="preserve">  </w:t>
      </w:r>
      <w:r>
        <w:rPr>
          <w:rFonts w:hint="eastAsia" w:ascii="宋体" w:hAnsi="宋体" w:eastAsia="宋体" w:cs="宋体"/>
          <w:highlight w:val="none"/>
        </w:rPr>
        <w:t>合同条款及合同格式</w:t>
      </w:r>
      <w:r>
        <w:tab/>
      </w:r>
      <w:r>
        <w:fldChar w:fldCharType="begin"/>
      </w:r>
      <w:r>
        <w:instrText xml:space="preserve"> PAGEREF _Toc23714 \h </w:instrText>
      </w:r>
      <w:r>
        <w:fldChar w:fldCharType="separate"/>
      </w:r>
      <w:r>
        <w:t>41</w:t>
      </w:r>
      <w:r>
        <w:fldChar w:fldCharType="end"/>
      </w:r>
      <w:r>
        <w:rPr>
          <w:rFonts w:hint="eastAsia" w:ascii="宋体" w:hAnsi="宋体" w:eastAsia="宋体" w:cs="宋体"/>
          <w:highlight w:val="none"/>
        </w:rPr>
        <w:fldChar w:fldCharType="end"/>
      </w:r>
    </w:p>
    <w:p>
      <w:pPr>
        <w:pStyle w:val="3"/>
        <w:rPr>
          <w:rFonts w:hint="eastAsia" w:ascii="宋体" w:hAnsi="宋体" w:eastAsia="宋体" w:cs="宋体"/>
          <w:highlight w:val="none"/>
        </w:rPr>
      </w:pPr>
      <w:r>
        <w:rPr>
          <w:rFonts w:hint="eastAsia" w:ascii="宋体" w:hAnsi="宋体" w:eastAsia="宋体" w:cs="宋体"/>
          <w:highlight w:val="none"/>
        </w:rPr>
        <w:fldChar w:fldCharType="end"/>
      </w:r>
      <w:bookmarkStart w:id="2" w:name="_Toc17170"/>
      <w:r>
        <w:rPr>
          <w:rFonts w:hint="eastAsia" w:ascii="宋体" w:hAnsi="宋体" w:eastAsia="宋体" w:cs="宋体"/>
          <w:highlight w:val="none"/>
        </w:rPr>
        <w:br w:type="page"/>
      </w:r>
      <w:r>
        <w:rPr>
          <w:rFonts w:hint="eastAsia" w:ascii="宋体" w:hAnsi="宋体" w:eastAsia="宋体" w:cs="宋体"/>
          <w:w w:val="95"/>
          <w:highlight w:val="none"/>
        </w:rPr>
        <w:t>第一章</w:t>
      </w:r>
      <w:r>
        <w:rPr>
          <w:rFonts w:hint="eastAsia" w:ascii="宋体" w:hAnsi="宋体" w:eastAsia="宋体" w:cs="宋体"/>
          <w:w w:val="95"/>
          <w:highlight w:val="none"/>
          <w:lang w:val="en-US" w:eastAsia="zh-CN"/>
        </w:rPr>
        <w:t xml:space="preserve">  </w:t>
      </w:r>
      <w:r>
        <w:rPr>
          <w:rFonts w:hint="eastAsia" w:ascii="宋体" w:hAnsi="宋体" w:eastAsia="宋体" w:cs="宋体"/>
          <w:highlight w:val="none"/>
        </w:rPr>
        <w:t>投标邀请书</w:t>
      </w:r>
      <w:bookmarkEnd w:id="2"/>
    </w:p>
    <w:p>
      <w:pPr>
        <w:tabs>
          <w:tab w:val="left" w:pos="0"/>
        </w:tabs>
        <w:autoSpaceDE w:val="0"/>
        <w:autoSpaceDN w:val="0"/>
        <w:adjustRightInd w:val="0"/>
        <w:spacing w:before="0" w:after="0" w:line="360" w:lineRule="auto"/>
        <w:jc w:val="center"/>
        <w:outlineLvl w:val="9"/>
        <w:rPr>
          <w:rFonts w:ascii="华文中宋" w:hAnsi="华文中宋" w:eastAsia="华文中宋"/>
          <w:b/>
          <w:bCs/>
          <w:sz w:val="28"/>
          <w:szCs w:val="28"/>
          <w:highlight w:val="none"/>
        </w:rPr>
      </w:pPr>
      <w:bookmarkStart w:id="3" w:name="_Toc35393797"/>
      <w:bookmarkStart w:id="4" w:name="_Toc28359011"/>
      <w:r>
        <w:rPr>
          <w:rFonts w:hint="eastAsia" w:ascii="华文中宋" w:hAnsi="华文中宋" w:eastAsia="华文中宋"/>
          <w:b/>
          <w:bCs/>
          <w:sz w:val="28"/>
          <w:szCs w:val="28"/>
          <w:highlight w:val="none"/>
        </w:rPr>
        <w:t>竞争性磋商公告</w:t>
      </w:r>
      <w:bookmarkEnd w:id="3"/>
      <w:bookmarkEnd w:id="4"/>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yellow"/>
          <w:u w:val="single"/>
          <w:lang w:eastAsia="zh-CN"/>
        </w:rPr>
        <w:t>2022年自治区旅游发展大会专题宣传片采购项目</w:t>
      </w:r>
      <w:r>
        <w:rPr>
          <w:rFonts w:hint="eastAsia" w:ascii="宋体" w:hAnsi="宋体" w:eastAsia="宋体" w:cs="宋体"/>
          <w:sz w:val="24"/>
          <w:szCs w:val="24"/>
          <w:highlight w:val="none"/>
        </w:rPr>
        <w:t>采购项目的潜在供应商应在</w:t>
      </w:r>
      <w:r>
        <w:rPr>
          <w:rFonts w:hint="eastAsia" w:ascii="宋体" w:hAnsi="宋体" w:eastAsia="宋体" w:cs="宋体"/>
          <w:sz w:val="24"/>
          <w:szCs w:val="24"/>
          <w:highlight w:val="none"/>
          <w:u w:val="single"/>
        </w:rPr>
        <w:t>新疆维吾尔自治区乌鲁木齐市水磨沟区会展大道1119号大成尔雅生活广场第一栋第十八层A座1806号房</w:t>
      </w:r>
      <w:r>
        <w:rPr>
          <w:rFonts w:hint="eastAsia" w:ascii="宋体" w:hAnsi="宋体" w:eastAsia="宋体" w:cs="宋体"/>
          <w:sz w:val="24"/>
          <w:szCs w:val="24"/>
          <w:highlight w:val="none"/>
        </w:rPr>
        <w:t>获取采购文件，并于</w:t>
      </w:r>
      <w:r>
        <w:rPr>
          <w:rFonts w:hint="eastAsia" w:ascii="宋体" w:hAnsi="宋体" w:eastAsia="宋体" w:cs="宋体"/>
          <w:sz w:val="24"/>
          <w:szCs w:val="24"/>
          <w:highlight w:val="none"/>
          <w:u w:val="single"/>
          <w:lang w:val="en-US" w:eastAsia="zh-CN"/>
        </w:rPr>
        <w:t>202</w:t>
      </w:r>
      <w:r>
        <w:rPr>
          <w:rFonts w:hint="eastAsia" w:ascii="宋体" w:hAnsi="宋体" w:cs="宋体"/>
          <w:sz w:val="24"/>
          <w:szCs w:val="24"/>
          <w:highlight w:val="none"/>
          <w:u w:val="single"/>
          <w:lang w:val="en-US" w:eastAsia="zh-CN"/>
        </w:rPr>
        <w:t>2</w:t>
      </w:r>
      <w:r>
        <w:rPr>
          <w:rFonts w:hint="eastAsia" w:ascii="宋体" w:hAnsi="宋体" w:eastAsia="宋体" w:cs="宋体"/>
          <w:sz w:val="24"/>
          <w:szCs w:val="24"/>
          <w:highlight w:val="none"/>
          <w:u w:val="single"/>
        </w:rPr>
        <w:t>年</w:t>
      </w:r>
      <w:r>
        <w:rPr>
          <w:rFonts w:hint="eastAsia" w:ascii="宋体" w:hAnsi="宋体" w:cs="宋体"/>
          <w:sz w:val="24"/>
          <w:szCs w:val="24"/>
          <w:highlight w:val="none"/>
          <w:u w:val="single"/>
          <w:lang w:val="en-US" w:eastAsia="zh-CN"/>
        </w:rPr>
        <w:t>04</w:t>
      </w:r>
      <w:r>
        <w:rPr>
          <w:rFonts w:hint="eastAsia" w:ascii="宋体" w:hAnsi="宋体" w:eastAsia="宋体" w:cs="宋体"/>
          <w:sz w:val="24"/>
          <w:szCs w:val="24"/>
          <w:highlight w:val="none"/>
          <w:u w:val="single"/>
        </w:rPr>
        <w:t>月</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yellow"/>
          <w:u w:val="single"/>
          <w:lang w:val="en-US" w:eastAsia="zh-CN"/>
        </w:rPr>
        <w:t xml:space="preserve"> </w:t>
      </w:r>
      <w:r>
        <w:rPr>
          <w:rFonts w:hint="eastAsia" w:ascii="宋体" w:hAnsi="宋体" w:eastAsia="宋体" w:cs="宋体"/>
          <w:sz w:val="24"/>
          <w:szCs w:val="24"/>
          <w:highlight w:val="none"/>
          <w:u w:val="single"/>
        </w:rPr>
        <w:t>日</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single"/>
        </w:rPr>
        <w:t>点</w:t>
      </w:r>
      <w:r>
        <w:rPr>
          <w:rFonts w:hint="eastAsia" w:ascii="宋体" w:hAnsi="宋体" w:eastAsia="宋体" w:cs="宋体"/>
          <w:sz w:val="24"/>
          <w:szCs w:val="24"/>
          <w:highlight w:val="none"/>
          <w:u w:val="single"/>
          <w:lang w:val="en-US" w:eastAsia="zh-CN"/>
        </w:rPr>
        <w:t>00</w:t>
      </w:r>
      <w:r>
        <w:rPr>
          <w:rFonts w:hint="eastAsia" w:ascii="宋体" w:hAnsi="宋体" w:eastAsia="宋体" w:cs="宋体"/>
          <w:sz w:val="24"/>
          <w:szCs w:val="24"/>
          <w:highlight w:val="none"/>
          <w:u w:val="single"/>
        </w:rPr>
        <w:t>分</w:t>
      </w:r>
      <w:r>
        <w:rPr>
          <w:rFonts w:hint="eastAsia" w:ascii="宋体" w:hAnsi="宋体" w:eastAsia="宋体" w:cs="宋体"/>
          <w:bCs/>
          <w:sz w:val="24"/>
          <w:szCs w:val="24"/>
          <w:highlight w:val="none"/>
        </w:rPr>
        <w:t>（北京时间）前提交响应文件</w:t>
      </w:r>
      <w:r>
        <w:rPr>
          <w:rFonts w:hint="eastAsia" w:ascii="宋体" w:hAnsi="宋体" w:eastAsia="宋体" w:cs="宋体"/>
          <w:sz w:val="24"/>
          <w:szCs w:val="24"/>
          <w:highlight w:val="none"/>
        </w:rPr>
        <w:t>。</w:t>
      </w:r>
    </w:p>
    <w:p>
      <w:pPr>
        <w:rPr>
          <w:highlight w:val="none"/>
        </w:rPr>
      </w:pPr>
    </w:p>
    <w:p>
      <w:pPr>
        <w:spacing w:line="360" w:lineRule="auto"/>
        <w:jc w:val="left"/>
        <w:outlineLvl w:val="9"/>
        <w:rPr>
          <w:rFonts w:ascii="黑体" w:hAnsi="黑体" w:cs="宋体"/>
          <w:b/>
          <w:bCs w:val="0"/>
          <w:sz w:val="28"/>
          <w:szCs w:val="28"/>
          <w:highlight w:val="none"/>
        </w:rPr>
      </w:pPr>
      <w:bookmarkStart w:id="5" w:name="_Toc28359089"/>
      <w:bookmarkStart w:id="6" w:name="_Toc35393629"/>
      <w:bookmarkStart w:id="7" w:name="_Toc28359012"/>
      <w:bookmarkStart w:id="8" w:name="_Toc35393798"/>
      <w:r>
        <w:rPr>
          <w:rFonts w:hint="eastAsia" w:ascii="黑体" w:hAnsi="黑体" w:cs="宋体"/>
          <w:b/>
          <w:bCs w:val="0"/>
          <w:sz w:val="28"/>
          <w:szCs w:val="28"/>
          <w:highlight w:val="none"/>
        </w:rPr>
        <w:t>一、项目基本情况</w:t>
      </w:r>
      <w:bookmarkEnd w:id="5"/>
      <w:bookmarkEnd w:id="6"/>
      <w:bookmarkEnd w:id="7"/>
      <w:bookmarkEnd w:id="8"/>
    </w:p>
    <w:p>
      <w:pPr>
        <w:pageBreakBefore w:val="0"/>
        <w:widowControl w:val="0"/>
        <w:kinsoku/>
        <w:wordWrap/>
        <w:overflowPunct/>
        <w:topLinePunct w:val="0"/>
        <w:bidi w:val="0"/>
        <w:snapToGrid/>
        <w:spacing w:line="360" w:lineRule="auto"/>
        <w:ind w:left="0" w:leftChars="0" w:firstLine="482" w:firstLineChars="200"/>
        <w:textAlignment w:val="auto"/>
        <w:rPr>
          <w:rFonts w:hint="default" w:ascii="宋体" w:hAnsi="宋体" w:eastAsia="宋体" w:cs="宋体"/>
          <w:b w:val="0"/>
          <w:bCs w:val="0"/>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项目编号：</w:t>
      </w:r>
      <w:r>
        <w:rPr>
          <w:rFonts w:hint="eastAsia" w:ascii="宋体" w:hAnsi="宋体" w:eastAsia="宋体" w:cs="宋体"/>
          <w:b w:val="0"/>
          <w:bCs w:val="0"/>
          <w:i w:val="0"/>
          <w:iCs w:val="0"/>
          <w:sz w:val="24"/>
          <w:szCs w:val="24"/>
          <w:highlight w:val="yellow"/>
          <w:lang w:val="en-US" w:eastAsia="zh-CN"/>
        </w:rPr>
        <w:t>XJXECWLMQ-2022007</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项目名称：</w:t>
      </w:r>
      <w:r>
        <w:rPr>
          <w:rFonts w:hint="eastAsia" w:ascii="宋体" w:hAnsi="宋体" w:cs="宋体"/>
          <w:b w:val="0"/>
          <w:bCs w:val="0"/>
          <w:i w:val="0"/>
          <w:iCs w:val="0"/>
          <w:sz w:val="24"/>
          <w:szCs w:val="24"/>
          <w:highlight w:val="yellow"/>
          <w:lang w:val="en-US" w:eastAsia="zh-CN"/>
        </w:rPr>
        <w:t>2022年自治区旅游发展大会专题宣传片采购项目</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采购方式：</w:t>
      </w:r>
      <w:r>
        <w:rPr>
          <w:rFonts w:hint="eastAsia" w:ascii="宋体" w:hAnsi="宋体" w:eastAsia="宋体" w:cs="宋体"/>
          <w:b w:val="0"/>
          <w:bCs w:val="0"/>
          <w:i w:val="0"/>
          <w:iCs w:val="0"/>
          <w:sz w:val="24"/>
          <w:szCs w:val="24"/>
          <w:highlight w:val="none"/>
          <w:lang w:val="en-US" w:eastAsia="zh-CN"/>
        </w:rPr>
        <w:t xml:space="preserve">□竞争性谈判 </w:t>
      </w:r>
      <w:r>
        <w:rPr>
          <w:rFonts w:hint="eastAsia" w:ascii="宋体" w:hAnsi="宋体" w:eastAsia="宋体" w:cs="宋体"/>
          <w:b w:val="0"/>
          <w:bCs w:val="0"/>
          <w:i w:val="0"/>
          <w:iCs w:val="0"/>
          <w:sz w:val="24"/>
          <w:szCs w:val="24"/>
          <w:highlight w:val="none"/>
          <w:lang w:val="en-US" w:eastAsia="zh-CN"/>
        </w:rPr>
        <w:sym w:font="Wingdings 2" w:char="0052"/>
      </w:r>
      <w:r>
        <w:rPr>
          <w:rFonts w:hint="eastAsia" w:ascii="宋体" w:hAnsi="宋体" w:eastAsia="宋体" w:cs="宋体"/>
          <w:b w:val="0"/>
          <w:bCs w:val="0"/>
          <w:i w:val="0"/>
          <w:iCs w:val="0"/>
          <w:sz w:val="24"/>
          <w:szCs w:val="24"/>
          <w:highlight w:val="none"/>
          <w:lang w:val="en-US" w:eastAsia="zh-CN"/>
        </w:rPr>
        <w:t>竞争性磋商 □询价</w:t>
      </w:r>
    </w:p>
    <w:p>
      <w:pPr>
        <w:pageBreakBefore w:val="0"/>
        <w:widowControl w:val="0"/>
        <w:kinsoku/>
        <w:wordWrap/>
        <w:overflowPunct/>
        <w:topLinePunct w:val="0"/>
        <w:bidi w:val="0"/>
        <w:snapToGrid/>
        <w:spacing w:line="360" w:lineRule="auto"/>
        <w:ind w:left="0" w:leftChars="0" w:firstLine="482" w:firstLineChars="200"/>
        <w:textAlignment w:val="auto"/>
        <w:rPr>
          <w:rFonts w:hint="default" w:ascii="宋体" w:hAnsi="宋体" w:cs="宋体"/>
          <w:b/>
          <w:bCs/>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预算金额：</w:t>
      </w:r>
      <w:r>
        <w:rPr>
          <w:rFonts w:hint="eastAsia" w:ascii="宋体" w:hAnsi="宋体" w:cs="宋体"/>
          <w:b w:val="0"/>
          <w:bCs w:val="0"/>
          <w:i w:val="0"/>
          <w:iCs w:val="0"/>
          <w:sz w:val="24"/>
          <w:szCs w:val="24"/>
          <w:highlight w:val="none"/>
          <w:lang w:val="en-US" w:eastAsia="zh-CN"/>
        </w:rPr>
        <w:t>300000.00元</w:t>
      </w:r>
    </w:p>
    <w:p>
      <w:pPr>
        <w:pageBreakBefore w:val="0"/>
        <w:widowControl w:val="0"/>
        <w:kinsoku/>
        <w:wordWrap/>
        <w:overflowPunct/>
        <w:topLinePunct w:val="0"/>
        <w:bidi w:val="0"/>
        <w:snapToGrid/>
        <w:spacing w:line="360" w:lineRule="auto"/>
        <w:ind w:left="0" w:leftChars="0" w:firstLine="482" w:firstLineChars="200"/>
        <w:textAlignment w:val="auto"/>
        <w:rPr>
          <w:rFonts w:hint="default" w:ascii="宋体" w:hAnsi="宋体" w:eastAsia="宋体" w:cs="宋体"/>
          <w:b/>
          <w:bCs/>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最高限价：</w:t>
      </w:r>
      <w:r>
        <w:rPr>
          <w:rFonts w:hint="eastAsia" w:ascii="宋体" w:hAnsi="宋体" w:cs="宋体"/>
          <w:b w:val="0"/>
          <w:bCs w:val="0"/>
          <w:i w:val="0"/>
          <w:iCs w:val="0"/>
          <w:sz w:val="24"/>
          <w:szCs w:val="24"/>
          <w:highlight w:val="none"/>
          <w:lang w:val="en-US" w:eastAsia="zh-CN"/>
        </w:rPr>
        <w:t>300000.00元</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采购需求：</w:t>
      </w:r>
      <w:r>
        <w:rPr>
          <w:rFonts w:hint="eastAsia" w:ascii="宋体" w:hAnsi="宋体" w:eastAsia="宋体" w:cs="宋体"/>
          <w:color w:val="auto"/>
          <w:sz w:val="24"/>
          <w:szCs w:val="24"/>
          <w:highlight w:val="yellow"/>
          <w:lang w:val="en-US" w:eastAsia="zh-CN"/>
        </w:rPr>
        <w:t>拍摄</w:t>
      </w:r>
      <w:r>
        <w:rPr>
          <w:rFonts w:hint="eastAsia" w:ascii="宋体" w:hAnsi="宋体" w:eastAsia="宋体" w:cs="宋体"/>
          <w:color w:val="auto"/>
          <w:sz w:val="24"/>
          <w:szCs w:val="24"/>
          <w:highlight w:val="yellow"/>
        </w:rPr>
        <w:t>制作2022年自治区旅游发展大会专题宣传片《新疆是个好地方》</w:t>
      </w:r>
      <w:r>
        <w:rPr>
          <w:rFonts w:hint="eastAsia" w:ascii="宋体" w:hAnsi="宋体" w:cs="宋体"/>
          <w:color w:val="auto"/>
          <w:sz w:val="24"/>
          <w:szCs w:val="24"/>
          <w:highlight w:val="yellow"/>
          <w:lang w:eastAsia="zh-CN"/>
        </w:rPr>
        <w:t>及其配套服务</w:t>
      </w:r>
      <w:r>
        <w:rPr>
          <w:rFonts w:hint="eastAsia" w:ascii="宋体" w:hAnsi="宋体" w:eastAsia="宋体" w:cs="宋体"/>
          <w:b w:val="0"/>
          <w:bCs w:val="0"/>
          <w:i w:val="0"/>
          <w:iCs w:val="0"/>
          <w:sz w:val="24"/>
          <w:szCs w:val="24"/>
          <w:highlight w:val="yellow"/>
          <w:lang w:val="en-US" w:eastAsia="zh-CN"/>
        </w:rPr>
        <w:t>（详细说明见磋商文件）。</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合同履行期限：</w:t>
      </w:r>
      <w:r>
        <w:rPr>
          <w:rFonts w:hint="eastAsia" w:ascii="宋体" w:hAnsi="宋体" w:cs="宋体"/>
          <w:color w:val="auto"/>
          <w:sz w:val="24"/>
          <w:szCs w:val="24"/>
          <w:highlight w:val="yellow"/>
          <w:lang w:val="en-US" w:eastAsia="zh-CN"/>
        </w:rPr>
        <w:t>2022年5月28日前完成制作、审核、交付等工作</w:t>
      </w:r>
      <w:r>
        <w:rPr>
          <w:rFonts w:hint="eastAsia" w:cs="宋体"/>
          <w:sz w:val="24"/>
          <w:szCs w:val="24"/>
          <w:highlight w:val="none"/>
          <w:lang w:val="en-US"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val="0"/>
          <w:bCs w:val="0"/>
          <w:i w:val="0"/>
          <w:iCs w:val="0"/>
          <w:sz w:val="24"/>
          <w:szCs w:val="24"/>
          <w:highlight w:val="none"/>
          <w:lang w:val="en-US" w:eastAsia="zh-CN"/>
        </w:rPr>
        <w:t>本项目不接受联合体。</w:t>
      </w:r>
    </w:p>
    <w:p>
      <w:pPr>
        <w:spacing w:line="360" w:lineRule="auto"/>
        <w:jc w:val="both"/>
        <w:outlineLvl w:val="9"/>
        <w:rPr>
          <w:rFonts w:ascii="黑体" w:hAnsi="黑体" w:cs="宋体"/>
          <w:b/>
          <w:bCs w:val="0"/>
          <w:sz w:val="28"/>
          <w:szCs w:val="28"/>
          <w:highlight w:val="none"/>
        </w:rPr>
      </w:pPr>
      <w:bookmarkStart w:id="9" w:name="_Toc35393799"/>
      <w:bookmarkStart w:id="10" w:name="_Toc35393630"/>
      <w:bookmarkStart w:id="11" w:name="_Toc28359013"/>
      <w:bookmarkStart w:id="12" w:name="_Toc28359090"/>
      <w:r>
        <w:rPr>
          <w:rFonts w:hint="eastAsia" w:ascii="黑体" w:hAnsi="黑体" w:cs="宋体"/>
          <w:b/>
          <w:bCs w:val="0"/>
          <w:sz w:val="28"/>
          <w:szCs w:val="28"/>
          <w:highlight w:val="none"/>
        </w:rPr>
        <w:t>二、申请人的资格要求：</w:t>
      </w:r>
      <w:bookmarkEnd w:id="9"/>
      <w:bookmarkEnd w:id="10"/>
      <w:bookmarkEnd w:id="11"/>
      <w:bookmarkEnd w:id="12"/>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cs="宋体"/>
          <w:b/>
          <w:bCs/>
          <w:i w:val="0"/>
          <w:iCs w:val="0"/>
          <w:sz w:val="24"/>
          <w:szCs w:val="24"/>
          <w:highlight w:val="none"/>
          <w:lang w:eastAsia="zh-CN"/>
        </w:rPr>
      </w:pPr>
      <w:bookmarkStart w:id="13" w:name="_Toc28359014"/>
      <w:bookmarkStart w:id="14" w:name="_Toc35393631"/>
      <w:bookmarkStart w:id="15" w:name="_Toc28359091"/>
      <w:bookmarkStart w:id="16" w:name="_Toc35393800"/>
      <w:r>
        <w:rPr>
          <w:rFonts w:hint="eastAsia" w:ascii="宋体" w:hAnsi="宋体" w:eastAsia="宋体" w:cs="宋体"/>
          <w:b/>
          <w:bCs/>
          <w:i w:val="0"/>
          <w:iCs w:val="0"/>
          <w:sz w:val="24"/>
          <w:szCs w:val="24"/>
          <w:highlight w:val="none"/>
        </w:rPr>
        <w:t>1.满足《中华人民共和国政府采购法》第二十二条规定</w:t>
      </w:r>
      <w:r>
        <w:rPr>
          <w:rFonts w:hint="eastAsia" w:ascii="宋体" w:hAnsi="宋体" w:cs="宋体"/>
          <w:b/>
          <w:bCs/>
          <w:i w:val="0"/>
          <w:iCs w:val="0"/>
          <w:sz w:val="24"/>
          <w:szCs w:val="24"/>
          <w:highlight w:val="none"/>
          <w:lang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（1）</w:t>
      </w:r>
      <w:r>
        <w:rPr>
          <w:rFonts w:hint="eastAsia" w:ascii="宋体" w:hAnsi="宋体" w:eastAsia="宋体" w:cs="宋体"/>
          <w:b w:val="0"/>
          <w:bCs w:val="0"/>
          <w:i w:val="0"/>
          <w:iCs w:val="0"/>
          <w:color w:val="auto"/>
          <w:sz w:val="24"/>
          <w:szCs w:val="24"/>
          <w:highlight w:val="none"/>
          <w:lang w:val="en-US" w:eastAsia="zh-CN"/>
        </w:rPr>
        <w:t>依法注册、具有合法的法人资格及独立承担民事责任的能力；</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2</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具有良好的商业信誉和健全的财务会计制度；</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3</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有依法缴纳税收和社会保障资金的良好纪录；</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4</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具有履行合同所必需的专业技术能力</w:t>
      </w:r>
      <w:r>
        <w:rPr>
          <w:rFonts w:hint="eastAsia" w:ascii="宋体" w:hAnsi="宋体" w:cs="宋体"/>
          <w:b w:val="0"/>
          <w:bCs w:val="0"/>
          <w:i w:val="0"/>
          <w:iCs w:val="0"/>
          <w:color w:val="auto"/>
          <w:sz w:val="24"/>
          <w:szCs w:val="24"/>
          <w:highlight w:val="none"/>
          <w:lang w:val="en-US"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5</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参加采购活动前三年内，在经营活动中没有重大违法记录；</w:t>
      </w:r>
    </w:p>
    <w:p>
      <w:pPr>
        <w:pageBreakBefore w:val="0"/>
        <w:widowControl w:val="0"/>
        <w:kinsoku/>
        <w:wordWrap/>
        <w:overflowPunct/>
        <w:topLinePunct w:val="0"/>
        <w:bidi w:val="0"/>
        <w:snapToGrid/>
        <w:spacing w:line="360" w:lineRule="auto"/>
        <w:ind w:left="0" w:leftChars="0" w:firstLine="480" w:firstLineChars="200"/>
        <w:textAlignment w:val="auto"/>
        <w:rPr>
          <w:rFonts w:hint="eastAsia"/>
          <w:highlight w:val="none"/>
          <w:lang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6</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符合国家有关法律法规的规定；</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bCs/>
          <w:i w:val="0"/>
          <w:iCs w:val="0"/>
          <w:sz w:val="24"/>
          <w:szCs w:val="24"/>
          <w:highlight w:val="none"/>
        </w:rPr>
      </w:pPr>
      <w:r>
        <w:rPr>
          <w:rFonts w:hint="eastAsia" w:ascii="宋体" w:hAnsi="宋体" w:eastAsia="宋体" w:cs="宋体"/>
          <w:b/>
          <w:bCs/>
          <w:i w:val="0"/>
          <w:iCs w:val="0"/>
          <w:sz w:val="24"/>
          <w:szCs w:val="24"/>
          <w:highlight w:val="none"/>
        </w:rPr>
        <w:t>2.落实政府采购政策需满足的资格要求：</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（1）采购政策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政府采购应当优先采购本国货物、工程和服务，并执行节能产品、环境标志产品、中小企业、残疾人福利性单位、监狱企业等适宜本项目的政府采购政策。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（2）政策依据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1）财政部、国家发展改革委、生态环境部、市场监管总局《关于调整优化节能产品、环境标志产品政府采购执行机制的通知》（财库[2019]9号文）；</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2）财政部、生态环境部《关于印发环境标志产品政府采购品目清单的通知》（财库[2019]18号文）；</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3）财政部、发展改革委《关于印发节能产品政府采购品目清单的通知》（财库[2019]19号文）；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4）市场监管总局《市场监管总局关于发布参与实施政府采购节能产品、环境标志产品认证机构名录的公告》（2019年第16号）；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sz w:val="24"/>
          <w:szCs w:val="24"/>
          <w:highlight w:val="none"/>
          <w:u w:val="none"/>
        </w:rPr>
        <w:t>5）财政部、工业和信息化部关于印</w:t>
      </w:r>
      <w:r>
        <w:rPr>
          <w:rFonts w:hint="eastAsia" w:ascii="宋体" w:hAnsi="宋体" w:eastAsia="宋体" w:cs="宋体"/>
          <w:b w:val="0"/>
          <w:bCs w:val="0"/>
          <w:i w:val="0"/>
          <w:iCs w:val="0"/>
          <w:color w:val="auto"/>
          <w:sz w:val="24"/>
          <w:szCs w:val="24"/>
          <w:highlight w:val="none"/>
          <w:u w:val="none"/>
        </w:rPr>
        <w:t>发《政府采购促进中小企业发展管理办法》的通知（财库﹝2020﹞46 号）；</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6）财政部、民政部、中国残疾人联合会《关于促进残疾人就业政府采购政策的通知》（财库[2017]141号）；</w:t>
      </w:r>
    </w:p>
    <w:p>
      <w:pPr>
        <w:pageBreakBefore w:val="0"/>
        <w:widowControl w:val="0"/>
        <w:kinsoku/>
        <w:wordWrap/>
        <w:overflowPunct/>
        <w:topLinePunct w:val="0"/>
        <w:bidi w:val="0"/>
        <w:snapToGrid/>
        <w:spacing w:line="360" w:lineRule="auto"/>
        <w:ind w:left="0" w:leftChars="0" w:firstLine="480" w:firstLineChars="200"/>
        <w:textAlignment w:val="auto"/>
        <w:outlineLvl w:val="9"/>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7）财政部、司法部《关于政府采购支持监狱企业发展有关问题的通知》（财库[2014]68号文）。</w:t>
      </w:r>
    </w:p>
    <w:p>
      <w:pPr>
        <w:pageBreakBefore w:val="0"/>
        <w:widowControl w:val="0"/>
        <w:kinsoku/>
        <w:wordWrap/>
        <w:overflowPunct/>
        <w:topLinePunct w:val="0"/>
        <w:bidi w:val="0"/>
        <w:snapToGrid/>
        <w:spacing w:line="360" w:lineRule="auto"/>
        <w:ind w:left="0" w:leftChars="0" w:firstLine="480" w:firstLineChars="200"/>
        <w:textAlignment w:val="auto"/>
        <w:outlineLvl w:val="9"/>
        <w:rPr>
          <w:rFonts w:hint="eastAsia" w:ascii="宋体" w:hAnsi="宋体" w:eastAsia="宋体" w:cs="宋体"/>
          <w:b w:val="0"/>
          <w:bCs w:val="0"/>
          <w:i w:val="0"/>
          <w:iCs w:val="0"/>
          <w:sz w:val="24"/>
          <w:szCs w:val="24"/>
          <w:highlight w:val="none"/>
          <w:u w:val="none"/>
        </w:rPr>
      </w:pPr>
      <w:r>
        <w:rPr>
          <w:rFonts w:hint="eastAsia" w:ascii="宋体" w:hAnsi="宋体" w:cs="宋体"/>
          <w:b w:val="0"/>
          <w:bCs w:val="0"/>
          <w:i w:val="0"/>
          <w:iCs w:val="0"/>
          <w:sz w:val="24"/>
          <w:szCs w:val="24"/>
          <w:highlight w:val="none"/>
          <w:u w:val="none"/>
          <w:lang w:val="en-US" w:eastAsia="zh-CN"/>
        </w:rPr>
        <w:t>8）</w:t>
      </w:r>
      <w:r>
        <w:rPr>
          <w:rFonts w:hint="eastAsia" w:ascii="宋体" w:hAnsi="宋体" w:eastAsia="宋体" w:cs="宋体"/>
          <w:b w:val="0"/>
          <w:bCs w:val="0"/>
          <w:i w:val="0"/>
          <w:iCs w:val="0"/>
          <w:sz w:val="24"/>
          <w:szCs w:val="24"/>
          <w:highlight w:val="none"/>
          <w:u w:val="none"/>
        </w:rPr>
        <w:t>《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财政部办公厅关于组织地方预算单位做好2021年政府采购脱贫地区农副产品工作的通知》(财办库〔2021〕76号)、关于印发《关于深入开展政府采购脱贫地区农副产品工作推进乡村产业振兴的实施意见》的通知。</w:t>
      </w:r>
    </w:p>
    <w:p>
      <w:pPr>
        <w:pageBreakBefore w:val="0"/>
        <w:widowControl w:val="0"/>
        <w:kinsoku/>
        <w:wordWrap/>
        <w:overflowPunct/>
        <w:topLinePunct w:val="0"/>
        <w:bidi w:val="0"/>
        <w:snapToGrid/>
        <w:spacing w:line="360" w:lineRule="auto"/>
        <w:ind w:left="0" w:leftChars="0" w:firstLine="482" w:firstLineChars="200"/>
        <w:textAlignment w:val="auto"/>
        <w:outlineLvl w:val="9"/>
        <w:rPr>
          <w:rFonts w:hint="eastAsia" w:ascii="宋体" w:hAnsi="宋体" w:eastAsia="宋体" w:cs="宋体"/>
          <w:i w:val="0"/>
          <w:iCs w:val="0"/>
          <w:sz w:val="24"/>
          <w:szCs w:val="24"/>
          <w:highlight w:val="none"/>
        </w:rPr>
      </w:pPr>
      <w:r>
        <w:rPr>
          <w:rFonts w:hint="eastAsia" w:ascii="宋体" w:hAnsi="宋体" w:eastAsia="宋体" w:cs="宋体"/>
          <w:b/>
          <w:bCs/>
          <w:i w:val="0"/>
          <w:iCs w:val="0"/>
          <w:sz w:val="24"/>
          <w:szCs w:val="24"/>
          <w:highlight w:val="none"/>
        </w:rPr>
        <w:t>3.本项目的特</w:t>
      </w:r>
      <w:r>
        <w:rPr>
          <w:rFonts w:hint="eastAsia" w:ascii="宋体" w:hAnsi="宋体" w:eastAsia="宋体" w:cs="宋体"/>
          <w:b/>
          <w:bCs/>
          <w:i w:val="0"/>
          <w:iCs w:val="0"/>
          <w:sz w:val="24"/>
          <w:szCs w:val="24"/>
          <w:highlight w:val="none"/>
          <w:lang w:val="en-US" w:eastAsia="zh-CN"/>
        </w:rPr>
        <w:t>定资</w:t>
      </w:r>
      <w:r>
        <w:rPr>
          <w:rFonts w:hint="eastAsia" w:ascii="宋体" w:hAnsi="宋体" w:eastAsia="宋体" w:cs="宋体"/>
          <w:b/>
          <w:bCs/>
          <w:i w:val="0"/>
          <w:iCs w:val="0"/>
          <w:sz w:val="24"/>
          <w:szCs w:val="24"/>
          <w:highlight w:val="none"/>
        </w:rPr>
        <w:t>格要求</w:t>
      </w:r>
      <w:r>
        <w:rPr>
          <w:rFonts w:hint="eastAsia" w:ascii="宋体" w:hAnsi="宋体" w:eastAsia="宋体" w:cs="宋体"/>
          <w:i w:val="0"/>
          <w:iCs w:val="0"/>
          <w:sz w:val="24"/>
          <w:szCs w:val="24"/>
          <w:highlight w:val="none"/>
        </w:rPr>
        <w:t>：</w:t>
      </w:r>
    </w:p>
    <w:p>
      <w:pPr>
        <w:pageBreakBefore w:val="0"/>
        <w:widowControl w:val="0"/>
        <w:kinsoku/>
        <w:wordWrap/>
        <w:overflowPunct/>
        <w:topLinePunct w:val="0"/>
        <w:bidi w:val="0"/>
        <w:snapToGrid/>
        <w:spacing w:line="360" w:lineRule="auto"/>
        <w:ind w:left="0" w:leftChars="0" w:firstLine="480" w:firstLineChars="200"/>
        <w:textAlignment w:val="auto"/>
        <w:outlineLvl w:val="9"/>
        <w:rPr>
          <w:rFonts w:hint="default" w:ascii="宋体" w:hAnsi="宋体" w:eastAsia="宋体" w:cs="宋体"/>
          <w:i w:val="0"/>
          <w:iCs w:val="0"/>
          <w:sz w:val="24"/>
          <w:szCs w:val="24"/>
          <w:highlight w:val="none"/>
          <w:u w:val="none"/>
          <w:lang w:val="en-US" w:eastAsia="zh-CN"/>
        </w:rPr>
      </w:pPr>
      <w:r>
        <w:rPr>
          <w:rFonts w:hint="eastAsia" w:ascii="宋体" w:hAnsi="宋体" w:eastAsia="宋体" w:cs="宋体"/>
          <w:i w:val="0"/>
          <w:iCs w:val="0"/>
          <w:sz w:val="24"/>
          <w:szCs w:val="24"/>
          <w:highlight w:val="none"/>
          <w:u w:val="none"/>
        </w:rPr>
        <w:t>（</w:t>
      </w:r>
      <w:r>
        <w:rPr>
          <w:rFonts w:hint="eastAsia" w:ascii="宋体" w:hAnsi="宋体" w:eastAsia="宋体" w:cs="宋体"/>
          <w:i w:val="0"/>
          <w:iCs w:val="0"/>
          <w:sz w:val="24"/>
          <w:szCs w:val="24"/>
          <w:highlight w:val="none"/>
          <w:u w:val="none"/>
          <w:lang w:val="en-US" w:eastAsia="zh-CN"/>
        </w:rPr>
        <w:t>1</w:t>
      </w:r>
      <w:r>
        <w:rPr>
          <w:rFonts w:hint="eastAsia" w:ascii="宋体" w:hAnsi="宋体" w:eastAsia="宋体" w:cs="宋体"/>
          <w:i w:val="0"/>
          <w:iCs w:val="0"/>
          <w:sz w:val="24"/>
          <w:szCs w:val="24"/>
          <w:highlight w:val="none"/>
          <w:u w:val="none"/>
        </w:rPr>
        <w:t>）</w:t>
      </w:r>
      <w:r>
        <w:rPr>
          <w:rFonts w:hint="eastAsia" w:ascii="宋体" w:hAnsi="宋体"/>
          <w:bCs/>
          <w:sz w:val="24"/>
          <w:szCs w:val="24"/>
          <w:highlight w:val="none"/>
          <w:lang w:eastAsia="zh-CN"/>
        </w:rPr>
        <w:t>供应商</w:t>
      </w:r>
      <w:r>
        <w:rPr>
          <w:rFonts w:hint="eastAsia" w:ascii="宋体" w:hAnsi="宋体"/>
          <w:bCs/>
          <w:sz w:val="24"/>
          <w:szCs w:val="24"/>
          <w:highlight w:val="none"/>
        </w:rPr>
        <w:t>需在中华人民共和国境内注册，</w:t>
      </w:r>
      <w:r>
        <w:rPr>
          <w:rFonts w:hint="eastAsia" w:ascii="宋体" w:hAnsi="宋体" w:eastAsia="宋体" w:cs="宋体"/>
          <w:bCs/>
          <w:sz w:val="24"/>
          <w:szCs w:val="24"/>
          <w:highlight w:val="none"/>
          <w:lang w:eastAsia="zh-CN"/>
        </w:rPr>
        <w:t>供应商为企业法人应提供合法有效的标识有统一社会信用代码的营业执照，事业法人应提供事业单位法人证书，其他组织应提供合法登记证明文件</w:t>
      </w:r>
      <w:r>
        <w:rPr>
          <w:rFonts w:hint="eastAsia" w:ascii="宋体" w:hAnsi="宋体" w:eastAsia="宋体" w:cs="宋体"/>
          <w:i w:val="0"/>
          <w:iCs w:val="0"/>
          <w:sz w:val="24"/>
          <w:szCs w:val="24"/>
          <w:highlight w:val="none"/>
          <w:u w:val="none"/>
          <w:lang w:eastAsia="zh-CN"/>
        </w:rPr>
        <w:t>；</w:t>
      </w:r>
    </w:p>
    <w:p>
      <w:pPr>
        <w:pageBreakBefore w:val="0"/>
        <w:widowControl w:val="0"/>
        <w:kinsoku/>
        <w:wordWrap/>
        <w:overflowPunct/>
        <w:topLinePunct w:val="0"/>
        <w:bidi w:val="0"/>
        <w:snapToGrid/>
        <w:spacing w:line="360" w:lineRule="auto"/>
        <w:ind w:left="0" w:leftChars="0" w:firstLine="480" w:firstLineChars="200"/>
        <w:textAlignment w:val="auto"/>
        <w:outlineLvl w:val="9"/>
        <w:rPr>
          <w:rFonts w:hint="eastAsia" w:ascii="Arial" w:hAnsi="Arial" w:cs="Arial"/>
          <w:sz w:val="24"/>
          <w:szCs w:val="24"/>
          <w:highlight w:val="none"/>
          <w:lang w:eastAsia="zh-CN"/>
        </w:rPr>
      </w:pPr>
      <w:r>
        <w:rPr>
          <w:rFonts w:hint="eastAsia" w:ascii="宋体" w:hAnsi="宋体" w:eastAsia="宋体" w:cs="宋体"/>
          <w:i w:val="0"/>
          <w:iCs w:val="0"/>
          <w:sz w:val="24"/>
          <w:szCs w:val="24"/>
          <w:highlight w:val="none"/>
          <w:u w:val="none"/>
        </w:rPr>
        <w:t>（</w:t>
      </w:r>
      <w:r>
        <w:rPr>
          <w:rFonts w:hint="eastAsia" w:ascii="宋体" w:hAnsi="宋体" w:cs="宋体"/>
          <w:i w:val="0"/>
          <w:iCs w:val="0"/>
          <w:sz w:val="24"/>
          <w:szCs w:val="24"/>
          <w:highlight w:val="none"/>
          <w:u w:val="none"/>
          <w:lang w:val="en-US" w:eastAsia="zh-CN"/>
        </w:rPr>
        <w:t>2</w:t>
      </w:r>
      <w:r>
        <w:rPr>
          <w:rFonts w:hint="eastAsia" w:ascii="宋体" w:hAnsi="宋体" w:eastAsia="宋体" w:cs="宋体"/>
          <w:i w:val="0"/>
          <w:iCs w:val="0"/>
          <w:sz w:val="24"/>
          <w:szCs w:val="24"/>
          <w:highlight w:val="none"/>
          <w:u w:val="none"/>
        </w:rPr>
        <w:t>）</w:t>
      </w:r>
      <w:r>
        <w:rPr>
          <w:rFonts w:hint="eastAsia" w:ascii="宋体" w:hAnsi="宋体"/>
          <w:bCs/>
          <w:sz w:val="24"/>
          <w:szCs w:val="24"/>
          <w:highlight w:val="none"/>
          <w:lang w:eastAsia="zh-CN"/>
        </w:rPr>
        <w:t>供应商</w:t>
      </w:r>
      <w:r>
        <w:rPr>
          <w:rFonts w:hint="eastAsia" w:ascii="宋体" w:hAnsi="宋体" w:cs="宋体"/>
          <w:i w:val="0"/>
          <w:iCs w:val="0"/>
          <w:sz w:val="24"/>
          <w:szCs w:val="24"/>
          <w:highlight w:val="none"/>
          <w:u w:val="none"/>
          <w:lang w:eastAsia="zh-CN"/>
        </w:rPr>
        <w:t>具有有效的</w:t>
      </w:r>
      <w:r>
        <w:rPr>
          <w:rFonts w:hint="eastAsia" w:ascii="Arial" w:hAnsi="Arial" w:cs="Arial"/>
          <w:sz w:val="24"/>
          <w:szCs w:val="24"/>
          <w:highlight w:val="yellow"/>
        </w:rPr>
        <w:t>《广播电视节目制作经营许可证》</w:t>
      </w:r>
      <w:r>
        <w:rPr>
          <w:rFonts w:hint="eastAsia" w:ascii="Arial" w:hAnsi="Arial" w:cs="Arial"/>
          <w:sz w:val="24"/>
          <w:szCs w:val="24"/>
          <w:highlight w:val="none"/>
          <w:lang w:eastAsia="zh-CN"/>
        </w:rPr>
        <w:t>；</w:t>
      </w:r>
    </w:p>
    <w:p>
      <w:pPr>
        <w:pageBreakBefore w:val="0"/>
        <w:widowControl w:val="0"/>
        <w:kinsoku/>
        <w:wordWrap/>
        <w:overflowPunct/>
        <w:topLinePunct w:val="0"/>
        <w:bidi w:val="0"/>
        <w:snapToGrid/>
        <w:spacing w:line="360" w:lineRule="auto"/>
        <w:ind w:left="0" w:leftChars="0" w:firstLine="480" w:firstLineChars="200"/>
        <w:textAlignment w:val="auto"/>
        <w:outlineLvl w:val="9"/>
        <w:rPr>
          <w:rFonts w:hint="eastAsia" w:ascii="宋体" w:hAnsi="宋体" w:eastAsia="宋体" w:cs="宋体"/>
          <w:i w:val="0"/>
          <w:iCs w:val="0"/>
          <w:sz w:val="24"/>
          <w:szCs w:val="24"/>
          <w:highlight w:val="none"/>
          <w:u w:val="none"/>
          <w:lang w:eastAsia="zh-CN"/>
        </w:rPr>
      </w:pPr>
      <w:r>
        <w:rPr>
          <w:rFonts w:hint="eastAsia" w:ascii="宋体" w:hAnsi="宋体" w:cs="宋体"/>
          <w:i w:val="0"/>
          <w:iCs w:val="0"/>
          <w:sz w:val="24"/>
          <w:szCs w:val="24"/>
          <w:highlight w:val="none"/>
          <w:u w:val="none"/>
          <w:lang w:val="en-US" w:eastAsia="zh-CN"/>
        </w:rPr>
        <w:t>（3）</w:t>
      </w:r>
      <w:r>
        <w:rPr>
          <w:rFonts w:hint="eastAsia" w:ascii="宋体" w:hAnsi="宋体" w:eastAsia="宋体" w:cs="宋体"/>
          <w:i w:val="0"/>
          <w:iCs w:val="0"/>
          <w:sz w:val="24"/>
          <w:szCs w:val="24"/>
          <w:highlight w:val="none"/>
          <w:u w:val="none"/>
        </w:rPr>
        <w:t>供应商应在“信用中国”网站（</w:t>
      </w:r>
      <w:r>
        <w:rPr>
          <w:rFonts w:hint="eastAsia"/>
          <w:highlight w:val="none"/>
        </w:rPr>
        <w:t>www.creditchina.gov.cn）</w:t>
      </w:r>
      <w:r>
        <w:rPr>
          <w:rFonts w:hint="eastAsia" w:ascii="宋体" w:hAnsi="宋体" w:eastAsia="宋体" w:cs="宋体"/>
          <w:i w:val="0"/>
          <w:iCs w:val="0"/>
          <w:sz w:val="24"/>
          <w:szCs w:val="24"/>
          <w:highlight w:val="none"/>
          <w:u w:val="none"/>
        </w:rPr>
        <w:t>未被列入失信被执行人记录、重大税收违法案件当事人名单且在中国政府采购网</w:t>
      </w:r>
      <w:r>
        <w:rPr>
          <w:rFonts w:hint="eastAsia"/>
          <w:highlight w:val="none"/>
        </w:rPr>
        <w:t>（www.ccgp.gov.cn）</w:t>
      </w:r>
      <w:r>
        <w:rPr>
          <w:rFonts w:hint="eastAsia" w:ascii="宋体" w:hAnsi="宋体" w:eastAsia="宋体" w:cs="宋体"/>
          <w:i w:val="0"/>
          <w:iCs w:val="0"/>
          <w:sz w:val="24"/>
          <w:szCs w:val="24"/>
          <w:highlight w:val="none"/>
          <w:u w:val="none"/>
        </w:rPr>
        <w:t>没有相关主体政府采购严重违法失信行为记录（被禁止在一定期限内参加政府采购活动但期限届满的除外）（查询日期为从采购文件发售之日起至投标截止日前）</w:t>
      </w:r>
      <w:r>
        <w:rPr>
          <w:rFonts w:hint="eastAsia" w:ascii="宋体" w:hAnsi="宋体" w:eastAsia="宋体" w:cs="宋体"/>
          <w:i w:val="0"/>
          <w:iCs w:val="0"/>
          <w:sz w:val="24"/>
          <w:szCs w:val="24"/>
          <w:highlight w:val="none"/>
          <w:u w:val="none"/>
          <w:lang w:eastAsia="zh-CN"/>
        </w:rPr>
        <w:t>，</w:t>
      </w:r>
      <w:r>
        <w:rPr>
          <w:rFonts w:hint="eastAsia" w:ascii="宋体" w:hAnsi="宋体" w:eastAsia="宋体" w:cs="宋体"/>
          <w:i w:val="0"/>
          <w:iCs w:val="0"/>
          <w:sz w:val="24"/>
          <w:szCs w:val="24"/>
          <w:highlight w:val="none"/>
          <w:u w:val="none"/>
        </w:rPr>
        <w:t>以网页截图</w:t>
      </w:r>
      <w:r>
        <w:rPr>
          <w:rFonts w:hint="eastAsia" w:ascii="宋体" w:hAnsi="宋体" w:eastAsia="宋体" w:cs="宋体"/>
          <w:i w:val="0"/>
          <w:iCs w:val="0"/>
          <w:sz w:val="24"/>
          <w:szCs w:val="24"/>
          <w:highlight w:val="none"/>
          <w:u w:val="none"/>
          <w:lang w:eastAsia="zh-CN"/>
        </w:rPr>
        <w:t>（</w:t>
      </w:r>
      <w:r>
        <w:rPr>
          <w:rFonts w:hint="eastAsia" w:ascii="宋体" w:hAnsi="宋体" w:eastAsia="宋体" w:cs="宋体"/>
          <w:i w:val="0"/>
          <w:iCs w:val="0"/>
          <w:sz w:val="24"/>
          <w:szCs w:val="24"/>
          <w:highlight w:val="none"/>
          <w:u w:val="none"/>
          <w:lang w:val="en-US" w:eastAsia="zh-CN"/>
        </w:rPr>
        <w:t>需显示查询时间）</w:t>
      </w:r>
      <w:r>
        <w:rPr>
          <w:rFonts w:hint="eastAsia" w:ascii="宋体" w:hAnsi="宋体" w:eastAsia="宋体" w:cs="宋体"/>
          <w:i w:val="0"/>
          <w:iCs w:val="0"/>
          <w:sz w:val="24"/>
          <w:szCs w:val="24"/>
          <w:highlight w:val="none"/>
          <w:u w:val="none"/>
        </w:rPr>
        <w:t>加盖投标人公章为准</w:t>
      </w:r>
      <w:r>
        <w:rPr>
          <w:rFonts w:hint="eastAsia" w:ascii="宋体" w:hAnsi="宋体" w:eastAsia="宋体" w:cs="宋体"/>
          <w:i w:val="0"/>
          <w:iCs w:val="0"/>
          <w:sz w:val="24"/>
          <w:szCs w:val="24"/>
          <w:highlight w:val="none"/>
          <w:u w:val="none"/>
          <w:lang w:eastAsia="zh-CN"/>
        </w:rPr>
        <w:t>；</w:t>
      </w:r>
    </w:p>
    <w:p>
      <w:pPr>
        <w:pageBreakBefore w:val="0"/>
        <w:widowControl w:val="0"/>
        <w:kinsoku/>
        <w:wordWrap/>
        <w:overflowPunct/>
        <w:topLinePunct w:val="0"/>
        <w:bidi w:val="0"/>
        <w:snapToGrid/>
        <w:spacing w:line="360" w:lineRule="auto"/>
        <w:ind w:left="0" w:leftChars="0" w:firstLine="480" w:firstLineChars="200"/>
        <w:textAlignment w:val="auto"/>
        <w:outlineLvl w:val="9"/>
        <w:rPr>
          <w:rFonts w:hint="eastAsia" w:ascii="宋体" w:hAnsi="宋体" w:eastAsia="宋体" w:cs="宋体"/>
          <w:i w:val="0"/>
          <w:iCs w:val="0"/>
          <w:sz w:val="24"/>
          <w:szCs w:val="24"/>
          <w:highlight w:val="none"/>
          <w:u w:val="none"/>
          <w:lang w:eastAsia="zh-CN"/>
        </w:rPr>
      </w:pPr>
      <w:r>
        <w:rPr>
          <w:rFonts w:hint="eastAsia" w:ascii="宋体" w:hAnsi="宋体" w:eastAsia="宋体" w:cs="宋体"/>
          <w:i w:val="0"/>
          <w:iCs w:val="0"/>
          <w:sz w:val="24"/>
          <w:szCs w:val="24"/>
          <w:highlight w:val="none"/>
          <w:u w:val="none"/>
        </w:rPr>
        <w:t>（</w:t>
      </w:r>
      <w:r>
        <w:rPr>
          <w:rFonts w:hint="eastAsia" w:ascii="宋体" w:hAnsi="宋体" w:cs="宋体"/>
          <w:i w:val="0"/>
          <w:iCs w:val="0"/>
          <w:sz w:val="24"/>
          <w:szCs w:val="24"/>
          <w:highlight w:val="none"/>
          <w:u w:val="none"/>
          <w:lang w:val="en-US" w:eastAsia="zh-CN"/>
        </w:rPr>
        <w:t>4</w:t>
      </w:r>
      <w:r>
        <w:rPr>
          <w:rFonts w:hint="eastAsia" w:ascii="宋体" w:hAnsi="宋体" w:eastAsia="宋体" w:cs="宋体"/>
          <w:i w:val="0"/>
          <w:iCs w:val="0"/>
          <w:sz w:val="24"/>
          <w:szCs w:val="24"/>
          <w:highlight w:val="none"/>
          <w:u w:val="none"/>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r>
        <w:rPr>
          <w:rFonts w:hint="eastAsia" w:ascii="宋体" w:hAnsi="宋体" w:eastAsia="宋体" w:cs="宋体"/>
          <w:i w:val="0"/>
          <w:iCs w:val="0"/>
          <w:sz w:val="24"/>
          <w:szCs w:val="24"/>
          <w:highlight w:val="none"/>
          <w:u w:val="none"/>
          <w:lang w:eastAsia="zh-CN"/>
        </w:rPr>
        <w:t>。</w:t>
      </w:r>
    </w:p>
    <w:p>
      <w:pPr>
        <w:spacing w:line="360" w:lineRule="auto"/>
        <w:jc w:val="both"/>
        <w:outlineLvl w:val="9"/>
        <w:rPr>
          <w:rFonts w:ascii="黑体" w:hAnsi="黑体" w:cs="宋体"/>
          <w:b/>
          <w:bCs w:val="0"/>
          <w:sz w:val="28"/>
          <w:szCs w:val="28"/>
          <w:highlight w:val="none"/>
        </w:rPr>
      </w:pPr>
      <w:r>
        <w:rPr>
          <w:rFonts w:hint="eastAsia" w:ascii="黑体" w:hAnsi="黑体" w:cs="宋体"/>
          <w:b/>
          <w:bCs w:val="0"/>
          <w:sz w:val="28"/>
          <w:szCs w:val="28"/>
          <w:highlight w:val="none"/>
        </w:rPr>
        <w:t>三、获取采购文件</w:t>
      </w:r>
      <w:bookmarkEnd w:id="13"/>
      <w:bookmarkEnd w:id="14"/>
      <w:bookmarkEnd w:id="15"/>
      <w:bookmarkEnd w:id="16"/>
    </w:p>
    <w:p>
      <w:pPr>
        <w:spacing w:line="360" w:lineRule="auto"/>
        <w:ind w:firstLine="540"/>
        <w:outlineLvl w:val="9"/>
        <w:rPr>
          <w:rFonts w:ascii="仿宋" w:hAnsi="仿宋" w:eastAsia="仿宋" w:cs="宋体"/>
          <w:sz w:val="28"/>
          <w:szCs w:val="28"/>
          <w:highlight w:val="none"/>
        </w:rPr>
      </w:pPr>
      <w:r>
        <w:rPr>
          <w:rFonts w:hint="eastAsia" w:ascii="宋体" w:hAnsi="宋体" w:eastAsia="宋体" w:cs="宋体"/>
          <w:b/>
          <w:bCs/>
          <w:sz w:val="24"/>
          <w:szCs w:val="24"/>
          <w:highlight w:val="none"/>
        </w:rPr>
        <w:t>时间：</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2</w:t>
      </w:r>
      <w:r>
        <w:rPr>
          <w:rFonts w:hint="eastAsia" w:ascii="宋体" w:hAnsi="宋体" w:eastAsia="宋体" w:cs="宋体"/>
          <w:i w:val="0"/>
          <w:iCs w:val="0"/>
          <w:sz w:val="24"/>
          <w:szCs w:val="24"/>
          <w:highlight w:val="none"/>
          <w:u w:val="single"/>
        </w:rPr>
        <w:t>年</w:t>
      </w:r>
      <w:r>
        <w:rPr>
          <w:rFonts w:hint="eastAsia" w:ascii="宋体" w:hAnsi="宋体" w:cs="宋体"/>
          <w:i w:val="0"/>
          <w:iCs w:val="0"/>
          <w:sz w:val="24"/>
          <w:szCs w:val="24"/>
          <w:highlight w:val="none"/>
          <w:u w:val="single"/>
          <w:lang w:val="en-US" w:eastAsia="zh-CN"/>
        </w:rPr>
        <w:t>04</w:t>
      </w:r>
      <w:r>
        <w:rPr>
          <w:rFonts w:hint="eastAsia" w:ascii="宋体" w:hAnsi="宋体" w:eastAsia="宋体" w:cs="宋体"/>
          <w:i w:val="0"/>
          <w:iCs w:val="0"/>
          <w:sz w:val="24"/>
          <w:szCs w:val="24"/>
          <w:highlight w:val="none"/>
          <w:u w:val="single"/>
        </w:rPr>
        <w:t>月</w:t>
      </w:r>
      <w:r>
        <w:rPr>
          <w:rFonts w:hint="eastAsia" w:ascii="宋体" w:hAnsi="宋体" w:cs="宋体"/>
          <w:i w:val="0"/>
          <w:iCs w:val="0"/>
          <w:sz w:val="24"/>
          <w:szCs w:val="24"/>
          <w:highlight w:val="yellow"/>
          <w:u w:val="single"/>
          <w:lang w:val="en-US" w:eastAsia="zh-CN"/>
        </w:rPr>
        <w:t xml:space="preserve"> </w:t>
      </w:r>
      <w:r>
        <w:rPr>
          <w:rFonts w:hint="eastAsia" w:ascii="宋体" w:hAnsi="宋体" w:eastAsia="宋体" w:cs="宋体"/>
          <w:i w:val="0"/>
          <w:iCs w:val="0"/>
          <w:sz w:val="24"/>
          <w:szCs w:val="24"/>
          <w:highlight w:val="none"/>
          <w:u w:val="single"/>
        </w:rPr>
        <w:t>日</w:t>
      </w:r>
      <w:r>
        <w:rPr>
          <w:rFonts w:hint="eastAsia" w:ascii="宋体" w:hAnsi="宋体" w:eastAsia="宋体" w:cs="宋体"/>
          <w:i w:val="0"/>
          <w:iCs w:val="0"/>
          <w:sz w:val="24"/>
          <w:szCs w:val="24"/>
          <w:highlight w:val="none"/>
        </w:rPr>
        <w:t>至</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2</w:t>
      </w:r>
      <w:r>
        <w:rPr>
          <w:rFonts w:hint="eastAsia" w:ascii="宋体" w:hAnsi="宋体" w:eastAsia="宋体" w:cs="宋体"/>
          <w:i w:val="0"/>
          <w:iCs w:val="0"/>
          <w:sz w:val="24"/>
          <w:szCs w:val="24"/>
          <w:highlight w:val="none"/>
          <w:u w:val="single"/>
        </w:rPr>
        <w:t>年</w:t>
      </w:r>
      <w:r>
        <w:rPr>
          <w:rFonts w:hint="eastAsia" w:ascii="宋体" w:hAnsi="宋体" w:cs="宋体"/>
          <w:i w:val="0"/>
          <w:iCs w:val="0"/>
          <w:sz w:val="24"/>
          <w:szCs w:val="24"/>
          <w:highlight w:val="none"/>
          <w:u w:val="single"/>
          <w:lang w:val="en-US" w:eastAsia="zh-CN"/>
        </w:rPr>
        <w:t>04</w:t>
      </w:r>
      <w:r>
        <w:rPr>
          <w:rFonts w:hint="eastAsia" w:ascii="宋体" w:hAnsi="宋体" w:eastAsia="宋体" w:cs="宋体"/>
          <w:i w:val="0"/>
          <w:iCs w:val="0"/>
          <w:sz w:val="24"/>
          <w:szCs w:val="24"/>
          <w:highlight w:val="none"/>
          <w:u w:val="single"/>
        </w:rPr>
        <w:t>月</w:t>
      </w:r>
      <w:r>
        <w:rPr>
          <w:rFonts w:hint="eastAsia" w:ascii="宋体" w:hAnsi="宋体" w:cs="宋体"/>
          <w:i w:val="0"/>
          <w:iCs w:val="0"/>
          <w:sz w:val="24"/>
          <w:szCs w:val="24"/>
          <w:highlight w:val="yellow"/>
          <w:u w:val="single"/>
          <w:lang w:val="en-US" w:eastAsia="zh-CN"/>
        </w:rPr>
        <w:t xml:space="preserve"> </w:t>
      </w:r>
      <w:r>
        <w:rPr>
          <w:rFonts w:hint="eastAsia" w:ascii="宋体" w:hAnsi="宋体" w:eastAsia="宋体" w:cs="宋体"/>
          <w:i w:val="0"/>
          <w:iCs w:val="0"/>
          <w:sz w:val="24"/>
          <w:szCs w:val="24"/>
          <w:highlight w:val="none"/>
          <w:u w:val="single"/>
        </w:rPr>
        <w:t>日</w:t>
      </w:r>
      <w:r>
        <w:rPr>
          <w:rFonts w:hint="eastAsia" w:ascii="宋体" w:hAnsi="宋体" w:eastAsia="宋体" w:cs="宋体"/>
          <w:i w:val="0"/>
          <w:iCs w:val="0"/>
          <w:sz w:val="24"/>
          <w:szCs w:val="24"/>
          <w:highlight w:val="none"/>
        </w:rPr>
        <w:t>，每天上午</w:t>
      </w:r>
      <w:r>
        <w:rPr>
          <w:rFonts w:hint="eastAsia" w:ascii="宋体" w:hAnsi="宋体" w:eastAsia="宋体" w:cs="宋体"/>
          <w:i w:val="0"/>
          <w:iCs w:val="0"/>
          <w:sz w:val="24"/>
          <w:szCs w:val="24"/>
          <w:highlight w:val="none"/>
          <w:u w:val="single"/>
          <w:lang w:val="en-US" w:eastAsia="zh-CN"/>
        </w:rPr>
        <w:t xml:space="preserve"> 10:00</w:t>
      </w:r>
      <w:r>
        <w:rPr>
          <w:rFonts w:hint="eastAsia" w:ascii="宋体" w:hAnsi="宋体" w:eastAsia="宋体" w:cs="宋体"/>
          <w:i w:val="0"/>
          <w:iCs w:val="0"/>
          <w:sz w:val="24"/>
          <w:szCs w:val="24"/>
          <w:highlight w:val="none"/>
        </w:rPr>
        <w:t>至</w:t>
      </w:r>
      <w:r>
        <w:rPr>
          <w:rFonts w:hint="eastAsia" w:ascii="宋体" w:hAnsi="宋体" w:eastAsia="宋体" w:cs="宋体"/>
          <w:i w:val="0"/>
          <w:iCs w:val="0"/>
          <w:sz w:val="24"/>
          <w:szCs w:val="24"/>
          <w:highlight w:val="none"/>
          <w:u w:val="single"/>
          <w:lang w:val="en-US" w:eastAsia="zh-CN"/>
        </w:rPr>
        <w:t>13:30</w:t>
      </w:r>
      <w:r>
        <w:rPr>
          <w:rFonts w:hint="eastAsia" w:ascii="宋体" w:hAnsi="宋体" w:eastAsia="宋体" w:cs="宋体"/>
          <w:i w:val="0"/>
          <w:iCs w:val="0"/>
          <w:sz w:val="24"/>
          <w:szCs w:val="24"/>
          <w:highlight w:val="none"/>
        </w:rPr>
        <w:t>，下午</w:t>
      </w:r>
      <w:r>
        <w:rPr>
          <w:rFonts w:hint="eastAsia" w:ascii="宋体" w:hAnsi="宋体" w:eastAsia="宋体" w:cs="宋体"/>
          <w:i w:val="0"/>
          <w:iCs w:val="0"/>
          <w:sz w:val="24"/>
          <w:szCs w:val="24"/>
          <w:highlight w:val="none"/>
          <w:u w:val="single"/>
          <w:lang w:val="en-US" w:eastAsia="zh-CN"/>
        </w:rPr>
        <w:t>15:30</w:t>
      </w:r>
      <w:r>
        <w:rPr>
          <w:rFonts w:hint="eastAsia" w:ascii="宋体" w:hAnsi="宋体" w:eastAsia="宋体" w:cs="宋体"/>
          <w:i w:val="0"/>
          <w:iCs w:val="0"/>
          <w:sz w:val="24"/>
          <w:szCs w:val="24"/>
          <w:highlight w:val="none"/>
        </w:rPr>
        <w:t>至</w:t>
      </w:r>
      <w:r>
        <w:rPr>
          <w:rFonts w:hint="eastAsia" w:ascii="宋体" w:hAnsi="宋体" w:eastAsia="宋体" w:cs="宋体"/>
          <w:i w:val="0"/>
          <w:iCs w:val="0"/>
          <w:sz w:val="24"/>
          <w:szCs w:val="24"/>
          <w:highlight w:val="none"/>
          <w:lang w:val="en-US" w:eastAsia="zh-CN"/>
        </w:rPr>
        <w:t>19</w:t>
      </w:r>
      <w:r>
        <w:rPr>
          <w:rFonts w:hint="eastAsia" w:ascii="宋体" w:hAnsi="宋体" w:eastAsia="宋体" w:cs="宋体"/>
          <w:i w:val="0"/>
          <w:iCs w:val="0"/>
          <w:sz w:val="24"/>
          <w:szCs w:val="24"/>
          <w:highlight w:val="none"/>
          <w:u w:val="single"/>
          <w:lang w:val="en-US" w:eastAsia="zh-CN"/>
        </w:rPr>
        <w:t>:30</w:t>
      </w:r>
      <w:r>
        <w:rPr>
          <w:rFonts w:hint="eastAsia" w:ascii="宋体" w:hAnsi="宋体" w:eastAsia="宋体" w:cs="宋体"/>
          <w:i w:val="0"/>
          <w:iCs w:val="0"/>
          <w:sz w:val="24"/>
          <w:szCs w:val="24"/>
          <w:highlight w:val="none"/>
        </w:rPr>
        <w:t>（北京时间，法定节假日除外 ）</w:t>
      </w:r>
    </w:p>
    <w:p>
      <w:pPr>
        <w:spacing w:line="360" w:lineRule="auto"/>
        <w:ind w:firstLine="540"/>
        <w:outlineLvl w:val="9"/>
        <w:rPr>
          <w:rFonts w:hint="eastAsia" w:ascii="宋体" w:hAnsi="宋体" w:eastAsia="宋体" w:cs="宋体"/>
          <w:i w:val="0"/>
          <w:iCs w:val="0"/>
          <w:sz w:val="24"/>
          <w:szCs w:val="24"/>
          <w:highlight w:val="none"/>
          <w:lang w:eastAsia="zh-CN"/>
        </w:rPr>
      </w:pPr>
      <w:r>
        <w:rPr>
          <w:rFonts w:hint="eastAsia" w:ascii="宋体" w:hAnsi="宋体" w:eastAsia="宋体" w:cs="宋体"/>
          <w:b/>
          <w:bCs/>
          <w:sz w:val="24"/>
          <w:szCs w:val="24"/>
          <w:highlight w:val="none"/>
        </w:rPr>
        <w:t>地点：</w:t>
      </w:r>
      <w:r>
        <w:rPr>
          <w:rFonts w:hint="eastAsia" w:ascii="宋体" w:hAnsi="宋体" w:eastAsia="宋体" w:cs="宋体"/>
          <w:i w:val="0"/>
          <w:iCs w:val="0"/>
          <w:sz w:val="24"/>
          <w:szCs w:val="24"/>
          <w:highlight w:val="none"/>
        </w:rPr>
        <w:t>新疆乌鲁木齐市水磨沟区会展大道1119号大成尔雅第一栋第十八层A座1806号房</w:t>
      </w:r>
    </w:p>
    <w:p>
      <w:pPr>
        <w:spacing w:line="360" w:lineRule="auto"/>
        <w:ind w:firstLine="540"/>
        <w:outlineLvl w:val="9"/>
        <w:rPr>
          <w:rFonts w:hint="eastAsia" w:ascii="宋体" w:hAnsi="宋体" w:eastAsia="宋体" w:cs="宋体"/>
          <w:i w:val="0"/>
          <w:iCs w:val="0"/>
          <w:sz w:val="24"/>
          <w:szCs w:val="24"/>
          <w:highlight w:val="none"/>
        </w:rPr>
      </w:pPr>
      <w:r>
        <w:rPr>
          <w:rFonts w:hint="eastAsia" w:ascii="宋体" w:hAnsi="宋体" w:eastAsia="宋体" w:cs="宋体"/>
          <w:b/>
          <w:bCs/>
          <w:i w:val="0"/>
          <w:iCs w:val="0"/>
          <w:sz w:val="24"/>
          <w:szCs w:val="24"/>
          <w:highlight w:val="none"/>
        </w:rPr>
        <w:t>方式：</w:t>
      </w:r>
      <w:r>
        <w:rPr>
          <w:rFonts w:hint="eastAsia" w:ascii="宋体" w:hAnsi="宋体" w:eastAsia="宋体" w:cs="宋体"/>
          <w:i w:val="0"/>
          <w:iCs w:val="0"/>
          <w:color w:val="auto"/>
          <w:sz w:val="24"/>
          <w:szCs w:val="24"/>
          <w:highlight w:val="none"/>
          <w:lang w:val="en-US" w:eastAsia="zh-CN"/>
        </w:rPr>
        <w:t>领取磋商文件时</w:t>
      </w:r>
      <w:r>
        <w:rPr>
          <w:rFonts w:hint="eastAsia" w:ascii="宋体" w:hAnsi="宋体" w:eastAsia="宋体" w:cs="宋体"/>
          <w:i w:val="0"/>
          <w:iCs w:val="0"/>
          <w:color w:val="auto"/>
          <w:sz w:val="24"/>
          <w:szCs w:val="24"/>
          <w:highlight w:val="none"/>
        </w:rPr>
        <w:t>需携带</w:t>
      </w:r>
      <w:r>
        <w:rPr>
          <w:rFonts w:hint="eastAsia" w:ascii="宋体" w:hAnsi="宋体" w:eastAsia="宋体" w:cs="宋体"/>
          <w:i w:val="0"/>
          <w:iCs w:val="0"/>
          <w:color w:val="auto"/>
          <w:sz w:val="24"/>
          <w:szCs w:val="24"/>
          <w:highlight w:val="none"/>
          <w:lang w:val="en-US" w:eastAsia="zh-CN"/>
        </w:rPr>
        <w:t>以下</w:t>
      </w:r>
      <w:r>
        <w:rPr>
          <w:rFonts w:hint="eastAsia" w:ascii="宋体" w:hAnsi="宋体" w:cs="宋体"/>
          <w:i w:val="0"/>
          <w:iCs w:val="0"/>
          <w:color w:val="auto"/>
          <w:sz w:val="24"/>
          <w:szCs w:val="24"/>
          <w:highlight w:val="none"/>
          <w:lang w:val="en-US" w:eastAsia="zh-CN"/>
        </w:rPr>
        <w:t>资料</w:t>
      </w:r>
      <w:r>
        <w:rPr>
          <w:rFonts w:hint="eastAsia" w:ascii="宋体" w:hAnsi="宋体" w:eastAsia="宋体" w:cs="宋体"/>
          <w:i w:val="0"/>
          <w:iCs w:val="0"/>
          <w:color w:val="auto"/>
          <w:sz w:val="24"/>
          <w:szCs w:val="24"/>
          <w:highlight w:val="none"/>
        </w:rPr>
        <w:t>查验、加盖公章的 A4 纸复印件</w:t>
      </w:r>
      <w:r>
        <w:rPr>
          <w:rFonts w:hint="eastAsia" w:ascii="宋体" w:hAnsi="宋体" w:cs="宋体"/>
          <w:i w:val="0"/>
          <w:iCs w:val="0"/>
          <w:color w:val="auto"/>
          <w:sz w:val="24"/>
          <w:szCs w:val="24"/>
          <w:highlight w:val="none"/>
          <w:lang w:eastAsia="zh-CN"/>
        </w:rPr>
        <w:t>一</w:t>
      </w:r>
      <w:r>
        <w:rPr>
          <w:rFonts w:hint="eastAsia" w:ascii="宋体" w:hAnsi="宋体" w:eastAsia="宋体" w:cs="宋体"/>
          <w:i w:val="0"/>
          <w:iCs w:val="0"/>
          <w:color w:val="auto"/>
          <w:sz w:val="24"/>
          <w:szCs w:val="24"/>
          <w:highlight w:val="none"/>
        </w:rPr>
        <w:t>套，复印件为单面复印，按先后顺序装订，不接受公证件。</w:t>
      </w:r>
    </w:p>
    <w:p>
      <w:pPr>
        <w:pageBreakBefore w:val="0"/>
        <w:widowControl w:val="0"/>
        <w:kinsoku/>
        <w:wordWrap/>
        <w:overflowPunct/>
        <w:topLinePunct w:val="0"/>
        <w:bidi w:val="0"/>
        <w:snapToGrid/>
        <w:spacing w:line="360" w:lineRule="auto"/>
        <w:ind w:left="0" w:leftChars="0" w:firstLine="480" w:firstLineChars="200"/>
        <w:textAlignment w:val="auto"/>
        <w:outlineLvl w:val="9"/>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w:t>
      </w:r>
      <w:r>
        <w:rPr>
          <w:rFonts w:hint="eastAsia" w:ascii="宋体" w:hAnsi="宋体" w:eastAsia="宋体" w:cs="宋体"/>
          <w:i w:val="0"/>
          <w:iCs w:val="0"/>
          <w:color w:val="auto"/>
          <w:sz w:val="24"/>
          <w:szCs w:val="24"/>
          <w:highlight w:val="none"/>
        </w:rPr>
        <w:t>法人授权委托书和被授权人有效身份证（法人直接参加的需出示法人</w:t>
      </w:r>
      <w:r>
        <w:rPr>
          <w:rFonts w:hint="eastAsia" w:ascii="宋体" w:hAnsi="宋体" w:eastAsia="宋体" w:cs="宋体"/>
          <w:i w:val="0"/>
          <w:iCs w:val="0"/>
          <w:color w:val="auto"/>
          <w:sz w:val="24"/>
          <w:szCs w:val="24"/>
          <w:highlight w:val="none"/>
          <w:lang w:eastAsia="zh-CN"/>
        </w:rPr>
        <w:t>身份证明及</w:t>
      </w:r>
      <w:r>
        <w:rPr>
          <w:rFonts w:hint="eastAsia" w:ascii="宋体" w:hAnsi="宋体" w:eastAsia="宋体" w:cs="宋体"/>
          <w:i w:val="0"/>
          <w:iCs w:val="0"/>
          <w:color w:val="auto"/>
          <w:sz w:val="24"/>
          <w:szCs w:val="24"/>
          <w:highlight w:val="none"/>
        </w:rPr>
        <w:t>身份证原件）</w:t>
      </w:r>
      <w:r>
        <w:rPr>
          <w:rFonts w:hint="eastAsia" w:ascii="宋体" w:hAnsi="宋体" w:eastAsia="宋体" w:cs="宋体"/>
          <w:i w:val="0"/>
          <w:iCs w:val="0"/>
          <w:sz w:val="24"/>
          <w:szCs w:val="24"/>
          <w:highlight w:val="none"/>
        </w:rPr>
        <w:t>；</w:t>
      </w:r>
    </w:p>
    <w:p>
      <w:pPr>
        <w:pageBreakBefore w:val="0"/>
        <w:widowControl w:val="0"/>
        <w:kinsoku/>
        <w:wordWrap/>
        <w:overflowPunct/>
        <w:topLinePunct w:val="0"/>
        <w:bidi w:val="0"/>
        <w:snapToGrid/>
        <w:spacing w:line="360" w:lineRule="auto"/>
        <w:ind w:left="0" w:leftChars="0" w:firstLine="480" w:firstLineChars="200"/>
        <w:textAlignment w:val="auto"/>
        <w:outlineLvl w:val="9"/>
        <w:rPr>
          <w:rFonts w:hint="eastAsia" w:ascii="宋体" w:hAnsi="宋体" w:eastAsia="宋体" w:cs="宋体"/>
          <w:i w:val="0"/>
          <w:iCs w:val="0"/>
          <w:sz w:val="24"/>
          <w:szCs w:val="24"/>
          <w:highlight w:val="none"/>
          <w:lang w:eastAsia="zh-CN"/>
        </w:rPr>
      </w:pPr>
      <w:r>
        <w:rPr>
          <w:rFonts w:hint="eastAsia" w:ascii="宋体" w:hAnsi="宋体" w:eastAsia="宋体" w:cs="宋体"/>
          <w:i w:val="0"/>
          <w:iCs w:val="0"/>
          <w:sz w:val="24"/>
          <w:szCs w:val="24"/>
          <w:highlight w:val="none"/>
        </w:rPr>
        <w:t>（2）</w:t>
      </w:r>
      <w:r>
        <w:rPr>
          <w:rFonts w:hint="eastAsia" w:ascii="宋体" w:hAnsi="宋体" w:eastAsia="宋体" w:cs="宋体"/>
          <w:color w:val="auto"/>
          <w:sz w:val="24"/>
          <w:szCs w:val="24"/>
          <w:highlight w:val="none"/>
          <w:lang w:eastAsia="zh-CN"/>
        </w:rPr>
        <w:t>供应商为企业法人应提供合法有效的标识有统一社会信用代码的营业执照</w:t>
      </w:r>
      <w:r>
        <w:rPr>
          <w:rFonts w:hint="eastAsia" w:ascii="宋体" w:hAnsi="宋体" w:eastAsia="宋体" w:cs="宋体"/>
          <w:i w:val="0"/>
          <w:iCs w:val="0"/>
          <w:sz w:val="24"/>
          <w:szCs w:val="24"/>
          <w:highlight w:val="none"/>
          <w:lang w:eastAsia="zh-CN"/>
        </w:rPr>
        <w:t>；事业法人应提供事业单位法人证书；其他组织应提供合法登记证明文件；</w:t>
      </w:r>
    </w:p>
    <w:p>
      <w:pPr>
        <w:pageBreakBefore w:val="0"/>
        <w:widowControl w:val="0"/>
        <w:kinsoku/>
        <w:wordWrap/>
        <w:overflowPunct/>
        <w:topLinePunct w:val="0"/>
        <w:bidi w:val="0"/>
        <w:snapToGrid/>
        <w:spacing w:line="360" w:lineRule="auto"/>
        <w:ind w:left="0" w:leftChars="0" w:firstLine="480" w:firstLineChars="200"/>
        <w:textAlignment w:val="auto"/>
        <w:outlineLvl w:val="9"/>
        <w:rPr>
          <w:rFonts w:hint="eastAsia" w:ascii="宋体" w:hAnsi="宋体" w:eastAsia="宋体" w:cs="宋体"/>
          <w:i w:val="0"/>
          <w:iCs w:val="0"/>
          <w:sz w:val="24"/>
          <w:szCs w:val="24"/>
          <w:highlight w:val="none"/>
          <w:u w:val="none"/>
          <w:lang w:eastAsia="zh-CN"/>
        </w:rPr>
      </w:pP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3</w:t>
      </w: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特定资格：</w:t>
      </w:r>
      <w:r>
        <w:rPr>
          <w:rFonts w:hint="eastAsia" w:ascii="宋体" w:hAnsi="宋体"/>
          <w:bCs/>
          <w:sz w:val="24"/>
          <w:szCs w:val="24"/>
          <w:highlight w:val="none"/>
          <w:lang w:eastAsia="zh-CN"/>
        </w:rPr>
        <w:t>供应商</w:t>
      </w:r>
      <w:r>
        <w:rPr>
          <w:rFonts w:hint="eastAsia" w:ascii="宋体" w:hAnsi="宋体" w:cs="宋体"/>
          <w:i w:val="0"/>
          <w:iCs w:val="0"/>
          <w:sz w:val="24"/>
          <w:szCs w:val="24"/>
          <w:highlight w:val="none"/>
          <w:u w:val="none"/>
          <w:lang w:eastAsia="zh-CN"/>
        </w:rPr>
        <w:t>具有有效的</w:t>
      </w:r>
      <w:r>
        <w:rPr>
          <w:rFonts w:hint="eastAsia" w:ascii="Arial" w:hAnsi="Arial" w:cs="Arial"/>
          <w:sz w:val="24"/>
          <w:szCs w:val="24"/>
          <w:highlight w:val="yellow"/>
        </w:rPr>
        <w:t>《广播电视节目制作经营许可证》</w:t>
      </w:r>
      <w:r>
        <w:rPr>
          <w:rFonts w:hint="eastAsia" w:ascii="Arial" w:hAnsi="Arial" w:cs="Arial"/>
          <w:sz w:val="24"/>
          <w:szCs w:val="24"/>
          <w:highlight w:val="none"/>
          <w:lang w:eastAsia="zh-CN"/>
        </w:rPr>
        <w:t>。</w:t>
      </w:r>
    </w:p>
    <w:p>
      <w:pPr>
        <w:spacing w:line="360" w:lineRule="auto"/>
        <w:ind w:firstLine="540"/>
        <w:outlineLvl w:val="9"/>
        <w:rPr>
          <w:rFonts w:ascii="仿宋" w:hAnsi="仿宋" w:eastAsia="仿宋" w:cs="宋体"/>
          <w:sz w:val="28"/>
          <w:szCs w:val="28"/>
          <w:highlight w:val="none"/>
        </w:rPr>
      </w:pPr>
      <w:r>
        <w:rPr>
          <w:rFonts w:hint="eastAsia" w:ascii="宋体" w:hAnsi="宋体" w:eastAsia="宋体" w:cs="宋体"/>
          <w:b/>
          <w:bCs/>
          <w:sz w:val="28"/>
          <w:szCs w:val="28"/>
          <w:highlight w:val="none"/>
        </w:rPr>
        <w:t>售价：</w:t>
      </w:r>
      <w:r>
        <w:rPr>
          <w:rFonts w:hint="eastAsia" w:ascii="宋体" w:hAnsi="宋体" w:cs="宋体"/>
          <w:i w:val="0"/>
          <w:iCs w:val="0"/>
          <w:sz w:val="24"/>
          <w:szCs w:val="24"/>
          <w:highlight w:val="none"/>
          <w:lang w:val="en-US" w:eastAsia="zh-CN"/>
        </w:rPr>
        <w:t>3</w:t>
      </w:r>
      <w:r>
        <w:rPr>
          <w:rFonts w:hint="eastAsia" w:ascii="宋体" w:hAnsi="宋体" w:eastAsia="宋体" w:cs="宋体"/>
          <w:i w:val="0"/>
          <w:iCs w:val="0"/>
          <w:sz w:val="24"/>
          <w:szCs w:val="24"/>
          <w:highlight w:val="none"/>
        </w:rPr>
        <w:t>00元/本，逾期不售、售后不退。</w:t>
      </w:r>
    </w:p>
    <w:p>
      <w:pPr>
        <w:spacing w:line="360" w:lineRule="auto"/>
        <w:jc w:val="left"/>
        <w:outlineLvl w:val="9"/>
        <w:rPr>
          <w:rFonts w:ascii="黑体" w:hAnsi="黑体" w:cs="宋体"/>
          <w:b/>
          <w:bCs w:val="0"/>
          <w:sz w:val="28"/>
          <w:szCs w:val="28"/>
          <w:highlight w:val="none"/>
        </w:rPr>
      </w:pPr>
      <w:bookmarkStart w:id="17" w:name="_Toc28359092"/>
      <w:bookmarkStart w:id="18" w:name="_Toc28359015"/>
      <w:bookmarkStart w:id="19" w:name="_Toc35393801"/>
      <w:bookmarkStart w:id="20" w:name="_Toc35393632"/>
      <w:r>
        <w:rPr>
          <w:rFonts w:hint="eastAsia" w:ascii="黑体" w:hAnsi="黑体" w:cs="宋体"/>
          <w:b/>
          <w:bCs w:val="0"/>
          <w:sz w:val="28"/>
          <w:szCs w:val="28"/>
          <w:highlight w:val="none"/>
        </w:rPr>
        <w:t>四、响应文件提交</w:t>
      </w:r>
      <w:bookmarkEnd w:id="17"/>
      <w:bookmarkEnd w:id="18"/>
      <w:bookmarkEnd w:id="19"/>
      <w:bookmarkEnd w:id="20"/>
    </w:p>
    <w:p>
      <w:pPr>
        <w:pageBreakBefore w:val="0"/>
        <w:widowControl w:val="0"/>
        <w:kinsoku/>
        <w:wordWrap/>
        <w:overflowPunct/>
        <w:topLinePunct w:val="0"/>
        <w:bidi w:val="0"/>
        <w:snapToGrid/>
        <w:spacing w:line="360" w:lineRule="auto"/>
        <w:ind w:left="0" w:leftChars="0" w:firstLine="482" w:firstLineChars="200"/>
        <w:textAlignment w:val="auto"/>
        <w:outlineLvl w:val="9"/>
        <w:rPr>
          <w:rFonts w:hint="eastAsia" w:ascii="宋体" w:hAnsi="宋体" w:eastAsia="宋体" w:cs="宋体"/>
          <w:bCs/>
          <w:i w:val="0"/>
          <w:iCs w:val="0"/>
          <w:sz w:val="24"/>
          <w:szCs w:val="24"/>
          <w:highlight w:val="none"/>
        </w:rPr>
      </w:pPr>
      <w:r>
        <w:rPr>
          <w:rFonts w:hint="eastAsia" w:ascii="宋体" w:hAnsi="宋体" w:eastAsia="宋体" w:cs="宋体"/>
          <w:b/>
          <w:bCs/>
          <w:i w:val="0"/>
          <w:iCs w:val="0"/>
          <w:sz w:val="24"/>
          <w:szCs w:val="24"/>
          <w:highlight w:val="none"/>
        </w:rPr>
        <w:t>截止时间：</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2</w:t>
      </w:r>
      <w:r>
        <w:rPr>
          <w:rFonts w:hint="eastAsia" w:ascii="宋体" w:hAnsi="宋体" w:eastAsia="宋体" w:cs="宋体"/>
          <w:bCs/>
          <w:i w:val="0"/>
          <w:iCs w:val="0"/>
          <w:sz w:val="24"/>
          <w:szCs w:val="24"/>
          <w:highlight w:val="none"/>
          <w:u w:val="single"/>
        </w:rPr>
        <w:t>年</w:t>
      </w:r>
      <w:r>
        <w:rPr>
          <w:rFonts w:hint="eastAsia" w:ascii="宋体" w:hAnsi="宋体" w:cs="宋体"/>
          <w:bCs/>
          <w:i w:val="0"/>
          <w:iCs w:val="0"/>
          <w:sz w:val="24"/>
          <w:szCs w:val="24"/>
          <w:highlight w:val="none"/>
          <w:u w:val="single"/>
          <w:lang w:val="en-US" w:eastAsia="zh-CN"/>
        </w:rPr>
        <w:t>05</w:t>
      </w:r>
      <w:r>
        <w:rPr>
          <w:rFonts w:hint="eastAsia" w:ascii="宋体" w:hAnsi="宋体" w:eastAsia="宋体" w:cs="宋体"/>
          <w:bCs/>
          <w:i w:val="0"/>
          <w:iCs w:val="0"/>
          <w:sz w:val="24"/>
          <w:szCs w:val="24"/>
          <w:highlight w:val="none"/>
          <w:u w:val="single"/>
        </w:rPr>
        <w:t>月</w:t>
      </w:r>
      <w:r>
        <w:rPr>
          <w:rFonts w:hint="eastAsia" w:ascii="宋体" w:hAnsi="宋体" w:cs="宋体"/>
          <w:i w:val="0"/>
          <w:iCs w:val="0"/>
          <w:sz w:val="24"/>
          <w:szCs w:val="24"/>
          <w:highlight w:val="yellow"/>
          <w:u w:val="single"/>
          <w:lang w:val="en-US" w:eastAsia="zh-CN"/>
        </w:rPr>
        <w:t xml:space="preserve"> </w:t>
      </w:r>
      <w:r>
        <w:rPr>
          <w:rFonts w:hint="eastAsia" w:ascii="宋体" w:hAnsi="宋体" w:eastAsia="宋体" w:cs="宋体"/>
          <w:bCs/>
          <w:i w:val="0"/>
          <w:iCs w:val="0"/>
          <w:sz w:val="24"/>
          <w:szCs w:val="24"/>
          <w:highlight w:val="none"/>
          <w:u w:val="single"/>
        </w:rPr>
        <w:t>日</w:t>
      </w:r>
      <w:r>
        <w:rPr>
          <w:rFonts w:hint="eastAsia" w:ascii="宋体" w:hAnsi="宋体" w:cs="宋体"/>
          <w:bCs/>
          <w:i w:val="0"/>
          <w:iCs w:val="0"/>
          <w:sz w:val="24"/>
          <w:szCs w:val="24"/>
          <w:highlight w:val="none"/>
          <w:u w:val="single"/>
          <w:lang w:val="en-US" w:eastAsia="zh-CN"/>
        </w:rPr>
        <w:t>11</w:t>
      </w:r>
      <w:r>
        <w:rPr>
          <w:rFonts w:hint="eastAsia" w:ascii="宋体" w:hAnsi="宋体" w:eastAsia="宋体" w:cs="宋体"/>
          <w:bCs/>
          <w:i w:val="0"/>
          <w:iCs w:val="0"/>
          <w:sz w:val="24"/>
          <w:szCs w:val="24"/>
          <w:highlight w:val="none"/>
          <w:u w:val="single"/>
        </w:rPr>
        <w:t>点</w:t>
      </w:r>
      <w:r>
        <w:rPr>
          <w:rFonts w:hint="eastAsia" w:ascii="宋体" w:hAnsi="宋体" w:cs="宋体"/>
          <w:bCs/>
          <w:i w:val="0"/>
          <w:iCs w:val="0"/>
          <w:sz w:val="24"/>
          <w:szCs w:val="24"/>
          <w:highlight w:val="none"/>
          <w:u w:val="single"/>
          <w:lang w:val="en-US" w:eastAsia="zh-CN"/>
        </w:rPr>
        <w:t>0</w:t>
      </w:r>
      <w:r>
        <w:rPr>
          <w:rFonts w:hint="eastAsia" w:ascii="宋体" w:hAnsi="宋体" w:eastAsia="宋体" w:cs="宋体"/>
          <w:bCs/>
          <w:i w:val="0"/>
          <w:iCs w:val="0"/>
          <w:sz w:val="24"/>
          <w:szCs w:val="24"/>
          <w:highlight w:val="none"/>
          <w:u w:val="single"/>
          <w:lang w:val="en-US" w:eastAsia="zh-CN"/>
        </w:rPr>
        <w:t>0</w:t>
      </w:r>
      <w:r>
        <w:rPr>
          <w:rFonts w:hint="eastAsia" w:ascii="宋体" w:hAnsi="宋体" w:eastAsia="宋体" w:cs="宋体"/>
          <w:bCs/>
          <w:i w:val="0"/>
          <w:iCs w:val="0"/>
          <w:sz w:val="24"/>
          <w:szCs w:val="24"/>
          <w:highlight w:val="none"/>
          <w:u w:val="single"/>
        </w:rPr>
        <w:t>分</w:t>
      </w:r>
      <w:r>
        <w:rPr>
          <w:rFonts w:hint="eastAsia" w:ascii="宋体" w:hAnsi="宋体" w:eastAsia="宋体" w:cs="宋体"/>
          <w:bCs/>
          <w:i w:val="0"/>
          <w:iCs w:val="0"/>
          <w:sz w:val="24"/>
          <w:szCs w:val="24"/>
          <w:highlight w:val="none"/>
        </w:rPr>
        <w:t>（北京时间）</w:t>
      </w:r>
    </w:p>
    <w:p>
      <w:pPr>
        <w:pageBreakBefore w:val="0"/>
        <w:widowControl w:val="0"/>
        <w:kinsoku/>
        <w:wordWrap/>
        <w:overflowPunct/>
        <w:topLinePunct w:val="0"/>
        <w:bidi w:val="0"/>
        <w:snapToGrid/>
        <w:spacing w:line="360" w:lineRule="auto"/>
        <w:ind w:left="0" w:leftChars="0" w:firstLine="482" w:firstLineChars="200"/>
        <w:textAlignment w:val="auto"/>
        <w:outlineLvl w:val="9"/>
        <w:rPr>
          <w:rFonts w:ascii="仿宋" w:hAnsi="仿宋" w:eastAsia="仿宋"/>
          <w:bCs/>
          <w:sz w:val="28"/>
          <w:szCs w:val="28"/>
          <w:highlight w:val="none"/>
          <w:u w:val="single"/>
        </w:rPr>
      </w:pPr>
      <w:r>
        <w:rPr>
          <w:rFonts w:hint="eastAsia" w:ascii="宋体" w:hAnsi="宋体" w:eastAsia="宋体" w:cs="宋体"/>
          <w:b/>
          <w:bCs/>
          <w:i w:val="0"/>
          <w:iCs w:val="0"/>
          <w:sz w:val="24"/>
          <w:szCs w:val="24"/>
          <w:highlight w:val="none"/>
        </w:rPr>
        <w:t>地点：</w:t>
      </w:r>
      <w:r>
        <w:rPr>
          <w:rFonts w:hint="eastAsia" w:ascii="宋体" w:hAnsi="宋体" w:eastAsia="宋体" w:cs="宋体"/>
          <w:i w:val="0"/>
          <w:iCs w:val="0"/>
          <w:sz w:val="24"/>
          <w:szCs w:val="24"/>
          <w:highlight w:val="none"/>
          <w:u w:val="none"/>
          <w:lang w:val="en-US" w:eastAsia="zh-CN"/>
        </w:rPr>
        <w:t>新疆乌鲁木齐市水磨沟区会展大道1119号大成尔雅B座（乌鲁木齐晚报大厦）七楼70</w:t>
      </w:r>
      <w:r>
        <w:rPr>
          <w:rFonts w:hint="eastAsia" w:ascii="宋体" w:hAnsi="宋体" w:cs="宋体"/>
          <w:i w:val="0"/>
          <w:iCs w:val="0"/>
          <w:sz w:val="24"/>
          <w:szCs w:val="24"/>
          <w:highlight w:val="none"/>
          <w:u w:val="none"/>
          <w:lang w:val="en-US" w:eastAsia="zh-CN"/>
        </w:rPr>
        <w:t>1</w:t>
      </w:r>
      <w:r>
        <w:rPr>
          <w:rFonts w:hint="eastAsia" w:ascii="宋体" w:hAnsi="宋体" w:eastAsia="宋体" w:cs="宋体"/>
          <w:i w:val="0"/>
          <w:iCs w:val="0"/>
          <w:sz w:val="24"/>
          <w:szCs w:val="24"/>
          <w:highlight w:val="none"/>
          <w:u w:val="none"/>
          <w:lang w:val="en-US" w:eastAsia="zh-CN"/>
        </w:rPr>
        <w:t>号房</w:t>
      </w:r>
    </w:p>
    <w:p>
      <w:pPr>
        <w:spacing w:line="360" w:lineRule="auto"/>
        <w:jc w:val="both"/>
        <w:outlineLvl w:val="9"/>
        <w:rPr>
          <w:rFonts w:ascii="黑体" w:hAnsi="黑体" w:cs="宋体"/>
          <w:b/>
          <w:bCs w:val="0"/>
          <w:sz w:val="28"/>
          <w:szCs w:val="28"/>
          <w:highlight w:val="none"/>
        </w:rPr>
      </w:pPr>
      <w:bookmarkStart w:id="21" w:name="_Toc35393802"/>
      <w:bookmarkStart w:id="22" w:name="_Toc28359016"/>
      <w:bookmarkStart w:id="23" w:name="_Toc28359093"/>
      <w:bookmarkStart w:id="24" w:name="_Toc35393633"/>
      <w:r>
        <w:rPr>
          <w:rFonts w:hint="eastAsia" w:ascii="黑体" w:hAnsi="黑体" w:cs="宋体"/>
          <w:b/>
          <w:bCs w:val="0"/>
          <w:sz w:val="28"/>
          <w:szCs w:val="28"/>
          <w:highlight w:val="none"/>
        </w:rPr>
        <w:t>五、开启</w:t>
      </w:r>
      <w:bookmarkEnd w:id="21"/>
      <w:bookmarkEnd w:id="22"/>
      <w:bookmarkEnd w:id="23"/>
      <w:bookmarkEnd w:id="24"/>
    </w:p>
    <w:p>
      <w:pPr>
        <w:pageBreakBefore w:val="0"/>
        <w:widowControl w:val="0"/>
        <w:kinsoku/>
        <w:wordWrap/>
        <w:overflowPunct/>
        <w:topLinePunct w:val="0"/>
        <w:bidi w:val="0"/>
        <w:snapToGrid/>
        <w:spacing w:line="360" w:lineRule="auto"/>
        <w:ind w:left="0" w:leftChars="0" w:firstLine="482" w:firstLineChars="200"/>
        <w:textAlignment w:val="auto"/>
        <w:outlineLvl w:val="9"/>
        <w:rPr>
          <w:rFonts w:hint="eastAsia" w:ascii="宋体" w:hAnsi="宋体" w:eastAsia="宋体" w:cs="宋体"/>
          <w:bCs/>
          <w:i w:val="0"/>
          <w:iCs w:val="0"/>
          <w:sz w:val="24"/>
          <w:szCs w:val="24"/>
          <w:highlight w:val="none"/>
          <w:u w:val="single"/>
        </w:rPr>
      </w:pPr>
      <w:bookmarkStart w:id="25" w:name="_Toc35393803"/>
      <w:bookmarkStart w:id="26" w:name="_Toc28359017"/>
      <w:bookmarkStart w:id="27" w:name="_Toc35393634"/>
      <w:bookmarkStart w:id="28" w:name="_Toc28359094"/>
      <w:r>
        <w:rPr>
          <w:rFonts w:hint="eastAsia" w:ascii="宋体" w:hAnsi="宋体" w:eastAsia="宋体" w:cs="宋体"/>
          <w:b/>
          <w:bCs/>
          <w:i w:val="0"/>
          <w:iCs w:val="0"/>
          <w:sz w:val="24"/>
          <w:szCs w:val="24"/>
          <w:highlight w:val="none"/>
        </w:rPr>
        <w:t>时间：</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2</w:t>
      </w:r>
      <w:r>
        <w:rPr>
          <w:rFonts w:hint="eastAsia" w:ascii="宋体" w:hAnsi="宋体" w:eastAsia="宋体" w:cs="宋体"/>
          <w:bCs/>
          <w:i w:val="0"/>
          <w:iCs w:val="0"/>
          <w:sz w:val="24"/>
          <w:szCs w:val="24"/>
          <w:highlight w:val="none"/>
          <w:u w:val="single"/>
        </w:rPr>
        <w:t>年</w:t>
      </w:r>
      <w:r>
        <w:rPr>
          <w:rFonts w:hint="eastAsia" w:ascii="宋体" w:hAnsi="宋体" w:cs="宋体"/>
          <w:bCs/>
          <w:i w:val="0"/>
          <w:iCs w:val="0"/>
          <w:sz w:val="24"/>
          <w:szCs w:val="24"/>
          <w:highlight w:val="none"/>
          <w:u w:val="single"/>
          <w:lang w:val="en-US" w:eastAsia="zh-CN"/>
        </w:rPr>
        <w:t>05</w:t>
      </w:r>
      <w:r>
        <w:rPr>
          <w:rFonts w:hint="eastAsia" w:ascii="宋体" w:hAnsi="宋体" w:eastAsia="宋体" w:cs="宋体"/>
          <w:bCs/>
          <w:i w:val="0"/>
          <w:iCs w:val="0"/>
          <w:sz w:val="24"/>
          <w:szCs w:val="24"/>
          <w:highlight w:val="none"/>
          <w:u w:val="single"/>
        </w:rPr>
        <w:t>月</w:t>
      </w:r>
      <w:r>
        <w:rPr>
          <w:rFonts w:hint="eastAsia" w:ascii="宋体" w:hAnsi="宋体" w:cs="宋体"/>
          <w:i w:val="0"/>
          <w:iCs w:val="0"/>
          <w:sz w:val="24"/>
          <w:szCs w:val="24"/>
          <w:highlight w:val="yellow"/>
          <w:u w:val="single"/>
          <w:lang w:val="en-US" w:eastAsia="zh-CN"/>
        </w:rPr>
        <w:t xml:space="preserve"> </w:t>
      </w:r>
      <w:r>
        <w:rPr>
          <w:rFonts w:hint="eastAsia" w:ascii="宋体" w:hAnsi="宋体" w:eastAsia="宋体" w:cs="宋体"/>
          <w:bCs/>
          <w:i w:val="0"/>
          <w:iCs w:val="0"/>
          <w:sz w:val="24"/>
          <w:szCs w:val="24"/>
          <w:highlight w:val="none"/>
          <w:u w:val="single"/>
        </w:rPr>
        <w:t>日</w:t>
      </w:r>
      <w:r>
        <w:rPr>
          <w:rFonts w:hint="eastAsia" w:ascii="宋体" w:hAnsi="宋体" w:cs="宋体"/>
          <w:bCs/>
          <w:i w:val="0"/>
          <w:iCs w:val="0"/>
          <w:sz w:val="24"/>
          <w:szCs w:val="24"/>
          <w:highlight w:val="none"/>
          <w:u w:val="single"/>
          <w:lang w:val="en-US" w:eastAsia="zh-CN"/>
        </w:rPr>
        <w:t>11</w:t>
      </w:r>
      <w:r>
        <w:rPr>
          <w:rFonts w:hint="eastAsia" w:ascii="宋体" w:hAnsi="宋体" w:eastAsia="宋体" w:cs="宋体"/>
          <w:bCs/>
          <w:i w:val="0"/>
          <w:iCs w:val="0"/>
          <w:sz w:val="24"/>
          <w:szCs w:val="24"/>
          <w:highlight w:val="none"/>
          <w:u w:val="single"/>
        </w:rPr>
        <w:t>点</w:t>
      </w:r>
      <w:r>
        <w:rPr>
          <w:rFonts w:hint="eastAsia" w:ascii="宋体" w:hAnsi="宋体" w:cs="宋体"/>
          <w:bCs/>
          <w:i w:val="0"/>
          <w:iCs w:val="0"/>
          <w:sz w:val="24"/>
          <w:szCs w:val="24"/>
          <w:highlight w:val="none"/>
          <w:u w:val="single"/>
          <w:lang w:val="en-US" w:eastAsia="zh-CN"/>
        </w:rPr>
        <w:t>0</w:t>
      </w:r>
      <w:r>
        <w:rPr>
          <w:rFonts w:hint="eastAsia" w:ascii="宋体" w:hAnsi="宋体" w:eastAsia="宋体" w:cs="宋体"/>
          <w:bCs/>
          <w:i w:val="0"/>
          <w:iCs w:val="0"/>
          <w:sz w:val="24"/>
          <w:szCs w:val="24"/>
          <w:highlight w:val="none"/>
          <w:u w:val="single"/>
          <w:lang w:val="en-US" w:eastAsia="zh-CN"/>
        </w:rPr>
        <w:t>0</w:t>
      </w:r>
      <w:r>
        <w:rPr>
          <w:rFonts w:hint="eastAsia" w:ascii="宋体" w:hAnsi="宋体" w:eastAsia="宋体" w:cs="宋体"/>
          <w:bCs/>
          <w:i w:val="0"/>
          <w:iCs w:val="0"/>
          <w:sz w:val="24"/>
          <w:szCs w:val="24"/>
          <w:highlight w:val="none"/>
          <w:u w:val="single"/>
        </w:rPr>
        <w:t>分</w:t>
      </w:r>
      <w:r>
        <w:rPr>
          <w:rFonts w:hint="eastAsia" w:ascii="宋体" w:hAnsi="宋体" w:eastAsia="宋体" w:cs="宋体"/>
          <w:bCs/>
          <w:i w:val="0"/>
          <w:iCs w:val="0"/>
          <w:sz w:val="24"/>
          <w:szCs w:val="24"/>
          <w:highlight w:val="none"/>
        </w:rPr>
        <w:t>（北京时间）</w:t>
      </w:r>
    </w:p>
    <w:p>
      <w:pPr>
        <w:pageBreakBefore w:val="0"/>
        <w:widowControl w:val="0"/>
        <w:kinsoku/>
        <w:wordWrap/>
        <w:overflowPunct/>
        <w:topLinePunct w:val="0"/>
        <w:bidi w:val="0"/>
        <w:snapToGrid/>
        <w:spacing w:line="360" w:lineRule="auto"/>
        <w:ind w:left="0" w:leftChars="0" w:firstLine="482" w:firstLineChars="200"/>
        <w:textAlignment w:val="auto"/>
        <w:outlineLvl w:val="9"/>
        <w:rPr>
          <w:rFonts w:hint="eastAsia" w:ascii="宋体" w:hAnsi="宋体" w:eastAsia="宋体" w:cs="宋体"/>
          <w:b/>
          <w:bCs/>
          <w:i w:val="0"/>
          <w:iCs w:val="0"/>
          <w:sz w:val="24"/>
          <w:szCs w:val="24"/>
          <w:highlight w:val="none"/>
          <w:u w:val="none"/>
          <w:lang w:val="en-US" w:eastAsia="zh-CN"/>
        </w:rPr>
      </w:pPr>
      <w:r>
        <w:rPr>
          <w:rFonts w:hint="eastAsia" w:ascii="宋体" w:hAnsi="宋体" w:eastAsia="宋体" w:cs="宋体"/>
          <w:b/>
          <w:bCs/>
          <w:i w:val="0"/>
          <w:iCs w:val="0"/>
          <w:sz w:val="24"/>
          <w:szCs w:val="24"/>
          <w:highlight w:val="none"/>
        </w:rPr>
        <w:t>地点：</w:t>
      </w:r>
      <w:r>
        <w:rPr>
          <w:rFonts w:hint="eastAsia" w:ascii="宋体" w:hAnsi="宋体" w:eastAsia="宋体" w:cs="宋体"/>
          <w:i w:val="0"/>
          <w:iCs w:val="0"/>
          <w:sz w:val="24"/>
          <w:szCs w:val="24"/>
          <w:highlight w:val="none"/>
          <w:u w:val="none"/>
          <w:lang w:val="en-US" w:eastAsia="zh-CN"/>
        </w:rPr>
        <w:t>新疆乌鲁木齐市水磨沟区会展大道1119号大成尔雅B座（乌鲁木齐晚报大厦）七楼70</w:t>
      </w:r>
      <w:r>
        <w:rPr>
          <w:rFonts w:hint="eastAsia" w:ascii="宋体" w:hAnsi="宋体" w:cs="宋体"/>
          <w:i w:val="0"/>
          <w:iCs w:val="0"/>
          <w:sz w:val="24"/>
          <w:szCs w:val="24"/>
          <w:highlight w:val="none"/>
          <w:u w:val="none"/>
          <w:lang w:val="en-US" w:eastAsia="zh-CN"/>
        </w:rPr>
        <w:t>2</w:t>
      </w:r>
      <w:r>
        <w:rPr>
          <w:rFonts w:hint="eastAsia" w:ascii="宋体" w:hAnsi="宋体" w:eastAsia="宋体" w:cs="宋体"/>
          <w:i w:val="0"/>
          <w:iCs w:val="0"/>
          <w:sz w:val="24"/>
          <w:szCs w:val="24"/>
          <w:highlight w:val="none"/>
          <w:u w:val="none"/>
          <w:lang w:val="en-US" w:eastAsia="zh-CN"/>
        </w:rPr>
        <w:t>号房</w:t>
      </w:r>
    </w:p>
    <w:p>
      <w:pPr>
        <w:spacing w:line="360" w:lineRule="auto"/>
        <w:jc w:val="both"/>
        <w:outlineLvl w:val="9"/>
        <w:rPr>
          <w:rFonts w:hint="eastAsia" w:ascii="黑体" w:hAnsi="黑体" w:cs="宋体"/>
          <w:b/>
          <w:bCs w:val="0"/>
          <w:sz w:val="28"/>
          <w:szCs w:val="28"/>
          <w:highlight w:val="none"/>
          <w:lang w:val="en-US" w:eastAsia="zh-CN"/>
        </w:rPr>
      </w:pPr>
      <w:r>
        <w:rPr>
          <w:rFonts w:hint="eastAsia" w:ascii="黑体" w:hAnsi="黑体" w:cs="宋体"/>
          <w:b/>
          <w:bCs w:val="0"/>
          <w:sz w:val="28"/>
          <w:szCs w:val="28"/>
          <w:highlight w:val="none"/>
          <w:lang w:val="en-US" w:eastAsia="zh-CN"/>
        </w:rPr>
        <w:t>六、公告期限</w:t>
      </w:r>
      <w:bookmarkEnd w:id="25"/>
      <w:bookmarkEnd w:id="26"/>
      <w:bookmarkEnd w:id="27"/>
      <w:bookmarkEnd w:id="28"/>
    </w:p>
    <w:p>
      <w:pPr>
        <w:spacing w:line="240" w:lineRule="auto"/>
        <w:ind w:firstLine="480" w:firstLineChars="200"/>
        <w:outlineLvl w:val="9"/>
        <w:rPr>
          <w:rFonts w:hint="eastAsia" w:ascii="宋体" w:hAnsi="宋体" w:eastAsia="宋体" w:cs="宋体"/>
          <w:b w:val="0"/>
          <w:bCs w:val="0"/>
          <w:i w:val="0"/>
          <w:iCs w:val="0"/>
          <w:kern w:val="2"/>
          <w:sz w:val="24"/>
          <w:szCs w:val="24"/>
          <w:highlight w:val="none"/>
          <w:u w:val="none"/>
          <w:lang w:val="en-US" w:eastAsia="zh-CN" w:bidi="ar-SA"/>
        </w:rPr>
      </w:pPr>
      <w:r>
        <w:rPr>
          <w:rFonts w:hint="eastAsia" w:ascii="宋体" w:hAnsi="宋体" w:eastAsia="宋体" w:cs="宋体"/>
          <w:b w:val="0"/>
          <w:bCs w:val="0"/>
          <w:i w:val="0"/>
          <w:iCs w:val="0"/>
          <w:kern w:val="2"/>
          <w:sz w:val="24"/>
          <w:szCs w:val="24"/>
          <w:highlight w:val="none"/>
          <w:u w:val="none"/>
          <w:lang w:val="en-US" w:eastAsia="zh-CN" w:bidi="ar-SA"/>
        </w:rPr>
        <w:t>自本公告发布之日起3个工作日。</w:t>
      </w:r>
    </w:p>
    <w:p>
      <w:pPr>
        <w:spacing w:line="360" w:lineRule="auto"/>
        <w:jc w:val="both"/>
        <w:outlineLvl w:val="9"/>
        <w:rPr>
          <w:rFonts w:hint="eastAsia" w:ascii="宋体" w:hAnsi="宋体" w:eastAsia="宋体" w:cs="宋体"/>
          <w:b w:val="0"/>
          <w:bCs w:val="0"/>
          <w:i w:val="0"/>
          <w:iCs w:val="0"/>
          <w:kern w:val="2"/>
          <w:sz w:val="24"/>
          <w:szCs w:val="24"/>
          <w:highlight w:val="none"/>
          <w:u w:val="none"/>
          <w:lang w:val="en-US" w:eastAsia="zh-CN" w:bidi="ar-SA"/>
        </w:rPr>
      </w:pPr>
      <w:bookmarkStart w:id="29" w:name="_Toc35393804"/>
      <w:bookmarkStart w:id="30" w:name="_Toc35393635"/>
      <w:r>
        <w:rPr>
          <w:rFonts w:hint="eastAsia" w:ascii="黑体" w:hAnsi="黑体" w:cs="宋体"/>
          <w:b/>
          <w:bCs w:val="0"/>
          <w:sz w:val="28"/>
          <w:szCs w:val="28"/>
          <w:highlight w:val="none"/>
          <w:lang w:val="en-US" w:eastAsia="zh-CN"/>
        </w:rPr>
        <w:t>七、其他补充事宜</w:t>
      </w:r>
      <w:bookmarkEnd w:id="29"/>
      <w:bookmarkEnd w:id="30"/>
      <w:r>
        <w:rPr>
          <w:rFonts w:hint="eastAsia" w:ascii="黑体" w:hAnsi="黑体" w:cs="宋体"/>
          <w:b/>
          <w:bCs w:val="0"/>
          <w:sz w:val="28"/>
          <w:szCs w:val="28"/>
          <w:highlight w:val="none"/>
          <w:lang w:val="en-US" w:eastAsia="zh-CN"/>
        </w:rPr>
        <w:t xml:space="preserve">  </w:t>
      </w:r>
      <w:r>
        <w:rPr>
          <w:rFonts w:hint="eastAsia" w:ascii="宋体" w:hAnsi="宋体" w:eastAsia="宋体" w:cs="宋体"/>
          <w:b w:val="0"/>
          <w:bCs w:val="0"/>
          <w:i w:val="0"/>
          <w:iCs w:val="0"/>
          <w:kern w:val="2"/>
          <w:sz w:val="24"/>
          <w:szCs w:val="24"/>
          <w:highlight w:val="none"/>
          <w:u w:val="none"/>
          <w:lang w:val="en-US" w:eastAsia="zh-CN" w:bidi="ar-SA"/>
        </w:rPr>
        <w:t>无</w:t>
      </w:r>
    </w:p>
    <w:p>
      <w:pPr>
        <w:spacing w:line="240" w:lineRule="auto"/>
        <w:jc w:val="both"/>
        <w:outlineLvl w:val="9"/>
        <w:rPr>
          <w:rFonts w:ascii="黑体" w:hAnsi="黑体" w:cs="宋体"/>
          <w:b/>
          <w:bCs w:val="0"/>
          <w:sz w:val="28"/>
          <w:szCs w:val="28"/>
          <w:highlight w:val="none"/>
        </w:rPr>
      </w:pPr>
      <w:bookmarkStart w:id="31" w:name="_Toc28359018"/>
      <w:bookmarkStart w:id="32" w:name="_Toc28359095"/>
      <w:bookmarkStart w:id="33" w:name="_Toc35393636"/>
      <w:bookmarkStart w:id="34" w:name="_Toc35393805"/>
      <w:r>
        <w:rPr>
          <w:rFonts w:hint="eastAsia" w:ascii="黑体" w:hAnsi="黑体" w:cs="宋体"/>
          <w:b/>
          <w:bCs w:val="0"/>
          <w:sz w:val="28"/>
          <w:szCs w:val="28"/>
          <w:highlight w:val="none"/>
        </w:rPr>
        <w:t>八、凡对本次采购提出询问，请按</w:t>
      </w:r>
      <w:r>
        <w:rPr>
          <w:rFonts w:ascii="黑体" w:hAnsi="黑体" w:cs="宋体"/>
          <w:b/>
          <w:bCs w:val="0"/>
          <w:sz w:val="28"/>
          <w:szCs w:val="28"/>
          <w:highlight w:val="none"/>
        </w:rPr>
        <w:t>以下方式</w:t>
      </w:r>
      <w:r>
        <w:rPr>
          <w:rFonts w:hint="eastAsia" w:ascii="黑体" w:hAnsi="黑体" w:cs="宋体"/>
          <w:b/>
          <w:bCs w:val="0"/>
          <w:sz w:val="28"/>
          <w:szCs w:val="28"/>
          <w:highlight w:val="none"/>
        </w:rPr>
        <w:t>联系。</w:t>
      </w:r>
      <w:bookmarkEnd w:id="31"/>
      <w:bookmarkEnd w:id="32"/>
      <w:bookmarkEnd w:id="33"/>
      <w:bookmarkEnd w:id="34"/>
    </w:p>
    <w:p>
      <w:pPr>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Theme="minorEastAsia" w:hAnsiTheme="minorEastAsia" w:eastAsiaTheme="minorEastAsia" w:cstheme="minorEastAsia"/>
          <w:b w:val="0"/>
          <w:i w:val="0"/>
          <w:iCs w:val="0"/>
          <w:color w:val="auto"/>
          <w:sz w:val="24"/>
          <w:szCs w:val="24"/>
          <w:highlight w:val="none"/>
        </w:rPr>
      </w:pPr>
      <w:bookmarkStart w:id="35" w:name="_Toc28359096"/>
      <w:bookmarkStart w:id="36" w:name="_Toc35393637"/>
      <w:bookmarkStart w:id="37" w:name="_Toc28359019"/>
      <w:bookmarkStart w:id="38" w:name="_Toc35393806"/>
      <w:r>
        <w:rPr>
          <w:rFonts w:hint="eastAsia" w:asciiTheme="minorEastAsia" w:hAnsiTheme="minorEastAsia" w:eastAsiaTheme="minorEastAsia" w:cstheme="minorEastAsia"/>
          <w:b w:val="0"/>
          <w:i w:val="0"/>
          <w:iCs w:val="0"/>
          <w:color w:val="auto"/>
          <w:sz w:val="24"/>
          <w:szCs w:val="24"/>
          <w:highlight w:val="none"/>
        </w:rPr>
        <w:t>1.采购人信息</w:t>
      </w:r>
      <w:bookmarkEnd w:id="35"/>
      <w:bookmarkEnd w:id="36"/>
      <w:bookmarkEnd w:id="37"/>
      <w:bookmarkEnd w:id="38"/>
    </w:p>
    <w:p>
      <w:pPr>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Theme="minorEastAsia" w:hAnsiTheme="minorEastAsia" w:eastAsiaTheme="minorEastAsia" w:cstheme="minorEastAsia"/>
          <w:i w:val="0"/>
          <w:iCs w:val="0"/>
          <w:color w:val="auto"/>
          <w:sz w:val="24"/>
          <w:szCs w:val="24"/>
          <w:highlight w:val="none"/>
          <w:u w:val="single"/>
        </w:rPr>
      </w:pPr>
      <w:r>
        <w:rPr>
          <w:rFonts w:hint="eastAsia" w:asciiTheme="minorEastAsia" w:hAnsiTheme="minorEastAsia" w:eastAsiaTheme="minorEastAsia" w:cstheme="minorEastAsia"/>
          <w:i w:val="0"/>
          <w:iCs w:val="0"/>
          <w:color w:val="auto"/>
          <w:sz w:val="24"/>
          <w:szCs w:val="24"/>
          <w:highlight w:val="none"/>
        </w:rPr>
        <w:t>名    称：</w:t>
      </w:r>
      <w:r>
        <w:rPr>
          <w:rFonts w:hint="eastAsia" w:asciiTheme="minorEastAsia" w:hAnsiTheme="minorEastAsia" w:eastAsiaTheme="minorEastAsia" w:cstheme="minorEastAsia"/>
          <w:i w:val="0"/>
          <w:iCs w:val="0"/>
          <w:color w:val="auto"/>
          <w:sz w:val="24"/>
          <w:szCs w:val="24"/>
          <w:highlight w:val="none"/>
          <w:u w:val="single"/>
        </w:rPr>
        <w:t>新疆维吾尔自治区文化和旅游厅</w:t>
      </w:r>
    </w:p>
    <w:p>
      <w:pPr>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Theme="minorEastAsia" w:hAnsiTheme="minorEastAsia" w:eastAsiaTheme="minorEastAsia" w:cstheme="minorEastAsia"/>
          <w:i w:val="0"/>
          <w:iCs w:val="0"/>
          <w:color w:val="auto"/>
          <w:sz w:val="24"/>
          <w:szCs w:val="24"/>
          <w:highlight w:val="none"/>
          <w:u w:val="single"/>
          <w:lang w:val="en-US" w:eastAsia="zh-CN"/>
        </w:rPr>
      </w:pPr>
      <w:r>
        <w:rPr>
          <w:rFonts w:hint="eastAsia" w:asciiTheme="minorEastAsia" w:hAnsiTheme="minorEastAsia" w:eastAsiaTheme="minorEastAsia" w:cstheme="minorEastAsia"/>
          <w:i w:val="0"/>
          <w:iCs w:val="0"/>
          <w:color w:val="auto"/>
          <w:sz w:val="24"/>
          <w:szCs w:val="24"/>
          <w:highlight w:val="none"/>
        </w:rPr>
        <w:t>地    址：</w:t>
      </w:r>
      <w:r>
        <w:rPr>
          <w:rFonts w:hint="eastAsia" w:asciiTheme="minorEastAsia" w:hAnsiTheme="minorEastAsia" w:eastAsiaTheme="minorEastAsia" w:cstheme="minorEastAsia"/>
          <w:i w:val="0"/>
          <w:iCs w:val="0"/>
          <w:color w:val="auto"/>
          <w:sz w:val="24"/>
          <w:szCs w:val="24"/>
          <w:highlight w:val="none"/>
          <w:u w:val="single"/>
          <w:lang w:val="en-US" w:eastAsia="zh-CN"/>
        </w:rPr>
        <w:t>乌鲁木齐市金银路143号</w:t>
      </w:r>
    </w:p>
    <w:p>
      <w:pPr>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i w:val="0"/>
          <w:iCs w:val="0"/>
          <w:color w:val="auto"/>
          <w:sz w:val="24"/>
          <w:szCs w:val="24"/>
          <w:highlight w:val="none"/>
        </w:rPr>
        <w:t>联</w:t>
      </w:r>
      <w:r>
        <w:rPr>
          <w:rFonts w:hint="eastAsia" w:asciiTheme="minorEastAsia" w:hAnsiTheme="minorEastAsia" w:eastAsiaTheme="minorEastAsia" w:cstheme="minorEastAsia"/>
          <w:i w:val="0"/>
          <w:iCs w:val="0"/>
          <w:color w:val="auto"/>
          <w:sz w:val="24"/>
          <w:szCs w:val="24"/>
          <w:highlight w:val="none"/>
          <w:lang w:val="en-US" w:eastAsia="zh-CN"/>
        </w:rPr>
        <w:t xml:space="preserve"> </w:t>
      </w:r>
      <w:r>
        <w:rPr>
          <w:rFonts w:hint="eastAsia" w:asciiTheme="minorEastAsia" w:hAnsiTheme="minorEastAsia" w:eastAsiaTheme="minorEastAsia" w:cstheme="minorEastAsia"/>
          <w:i w:val="0"/>
          <w:iCs w:val="0"/>
          <w:color w:val="auto"/>
          <w:sz w:val="24"/>
          <w:szCs w:val="24"/>
          <w:highlight w:val="none"/>
        </w:rPr>
        <w:t>系</w:t>
      </w:r>
      <w:r>
        <w:rPr>
          <w:rFonts w:hint="eastAsia" w:asciiTheme="minorEastAsia" w:hAnsiTheme="minorEastAsia" w:eastAsiaTheme="minorEastAsia" w:cstheme="minorEastAsia"/>
          <w:i w:val="0"/>
          <w:iCs w:val="0"/>
          <w:color w:val="auto"/>
          <w:sz w:val="24"/>
          <w:szCs w:val="24"/>
          <w:highlight w:val="none"/>
          <w:lang w:val="en-US" w:eastAsia="zh-CN"/>
        </w:rPr>
        <w:t xml:space="preserve"> 人：</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王翔       </w:t>
      </w:r>
    </w:p>
    <w:p>
      <w:pPr>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default"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联系方式：</w:t>
      </w:r>
      <w:r>
        <w:rPr>
          <w:rFonts w:hint="eastAsia" w:asciiTheme="minorEastAsia" w:hAnsiTheme="minorEastAsia" w:eastAsiaTheme="minorEastAsia" w:cstheme="minorEastAsia"/>
          <w:i w:val="0"/>
          <w:iCs w:val="0"/>
          <w:color w:val="auto"/>
          <w:sz w:val="24"/>
          <w:szCs w:val="24"/>
          <w:highlight w:val="yellow"/>
          <w:u w:val="single"/>
          <w:lang w:val="en-US" w:eastAsia="zh-CN"/>
        </w:rPr>
        <w:t>13079977987</w:t>
      </w:r>
    </w:p>
    <w:p>
      <w:pPr>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Theme="minorEastAsia" w:hAnsiTheme="minorEastAsia" w:eastAsiaTheme="minorEastAsia" w:cstheme="minorEastAsia"/>
          <w:b w:val="0"/>
          <w:i w:val="0"/>
          <w:iCs w:val="0"/>
          <w:color w:val="auto"/>
          <w:sz w:val="24"/>
          <w:szCs w:val="24"/>
          <w:highlight w:val="none"/>
        </w:rPr>
      </w:pPr>
      <w:bookmarkStart w:id="39" w:name="_Toc28359020"/>
      <w:bookmarkStart w:id="40" w:name="_Toc28359097"/>
      <w:bookmarkStart w:id="41" w:name="_Toc35393807"/>
      <w:bookmarkStart w:id="42" w:name="_Toc35393638"/>
      <w:r>
        <w:rPr>
          <w:rFonts w:hint="eastAsia" w:asciiTheme="minorEastAsia" w:hAnsiTheme="minorEastAsia" w:eastAsiaTheme="minorEastAsia" w:cstheme="minorEastAsia"/>
          <w:b w:val="0"/>
          <w:i w:val="0"/>
          <w:iCs w:val="0"/>
          <w:color w:val="auto"/>
          <w:sz w:val="24"/>
          <w:szCs w:val="24"/>
          <w:highlight w:val="none"/>
        </w:rPr>
        <w:t>2.采购代理机构信息</w:t>
      </w:r>
      <w:bookmarkEnd w:id="39"/>
      <w:bookmarkEnd w:id="40"/>
      <w:bookmarkEnd w:id="41"/>
      <w:bookmarkEnd w:id="42"/>
    </w:p>
    <w:p>
      <w:pPr>
        <w:pageBreakBefore w:val="0"/>
        <w:widowControl w:val="0"/>
        <w:kinsoku/>
        <w:wordWrap/>
        <w:overflowPunct/>
        <w:topLinePunct w:val="0"/>
        <w:autoSpaceDE/>
        <w:autoSpaceDN/>
        <w:bidi w:val="0"/>
        <w:adjustRightInd/>
        <w:snapToGrid/>
        <w:spacing w:line="240" w:lineRule="auto"/>
        <w:ind w:left="0" w:leftChars="0" w:firstLine="480" w:firstLineChars="200"/>
        <w:textAlignment w:val="auto"/>
        <w:outlineLvl w:val="9"/>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名    称：</w:t>
      </w:r>
      <w:r>
        <w:rPr>
          <w:rFonts w:hint="eastAsia" w:asciiTheme="minorEastAsia" w:hAnsiTheme="minorEastAsia" w:eastAsiaTheme="minorEastAsia" w:cstheme="minorEastAsia"/>
          <w:i w:val="0"/>
          <w:iCs w:val="0"/>
          <w:color w:val="auto"/>
          <w:sz w:val="24"/>
          <w:szCs w:val="24"/>
          <w:highlight w:val="none"/>
          <w:u w:val="single"/>
        </w:rPr>
        <w:t>新疆信尔成工程项目管理有限公司</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1919" w:leftChars="228" w:hanging="1440" w:hangingChars="600"/>
        <w:textAlignment w:val="auto"/>
        <w:outlineLvl w:val="9"/>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地　　址：</w:t>
      </w:r>
      <w:r>
        <w:rPr>
          <w:rFonts w:hint="eastAsia" w:asciiTheme="minorEastAsia" w:hAnsiTheme="minorEastAsia" w:eastAsiaTheme="minorEastAsia" w:cstheme="minorEastAsia"/>
          <w:i w:val="0"/>
          <w:iCs w:val="0"/>
          <w:color w:val="auto"/>
          <w:sz w:val="24"/>
          <w:szCs w:val="24"/>
          <w:highlight w:val="none"/>
          <w:u w:val="single"/>
        </w:rPr>
        <w:t>新疆乌鲁木齐市水磨沟区会展大道1119号大成尔雅第一栋第十八层A座1806号房</w:t>
      </w:r>
    </w:p>
    <w:p>
      <w:pPr>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i w:val="0"/>
          <w:iCs w:val="0"/>
          <w:color w:val="auto"/>
          <w:sz w:val="24"/>
          <w:szCs w:val="24"/>
          <w:highlight w:val="none"/>
        </w:rPr>
        <w:t>联</w:t>
      </w:r>
      <w:r>
        <w:rPr>
          <w:rFonts w:hint="eastAsia" w:asciiTheme="minorEastAsia" w:hAnsiTheme="minorEastAsia" w:eastAsiaTheme="minorEastAsia" w:cstheme="minorEastAsia"/>
          <w:i w:val="0"/>
          <w:iCs w:val="0"/>
          <w:color w:val="auto"/>
          <w:sz w:val="24"/>
          <w:szCs w:val="24"/>
          <w:highlight w:val="none"/>
          <w:lang w:val="en-US" w:eastAsia="zh-CN"/>
        </w:rPr>
        <w:t xml:space="preserve"> </w:t>
      </w:r>
      <w:r>
        <w:rPr>
          <w:rFonts w:hint="eastAsia" w:asciiTheme="minorEastAsia" w:hAnsiTheme="minorEastAsia" w:eastAsiaTheme="minorEastAsia" w:cstheme="minorEastAsia"/>
          <w:i w:val="0"/>
          <w:iCs w:val="0"/>
          <w:color w:val="auto"/>
          <w:sz w:val="24"/>
          <w:szCs w:val="24"/>
          <w:highlight w:val="none"/>
        </w:rPr>
        <w:t>系</w:t>
      </w:r>
      <w:r>
        <w:rPr>
          <w:rFonts w:hint="eastAsia" w:asciiTheme="minorEastAsia" w:hAnsiTheme="minorEastAsia" w:eastAsiaTheme="minorEastAsia" w:cstheme="minorEastAsia"/>
          <w:i w:val="0"/>
          <w:iCs w:val="0"/>
          <w:color w:val="auto"/>
          <w:sz w:val="24"/>
          <w:szCs w:val="24"/>
          <w:highlight w:val="none"/>
          <w:lang w:val="en-US" w:eastAsia="zh-CN"/>
        </w:rPr>
        <w:t xml:space="preserve"> 人：</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张玉伟      </w:t>
      </w:r>
    </w:p>
    <w:p>
      <w:pPr>
        <w:pageBreakBefore w:val="0"/>
        <w:widowControl w:val="0"/>
        <w:kinsoku/>
        <w:wordWrap/>
        <w:overflowPunct/>
        <w:topLinePunct w:val="0"/>
        <w:autoSpaceDE/>
        <w:autoSpaceDN/>
        <w:bidi w:val="0"/>
        <w:adjustRightInd/>
        <w:snapToGrid/>
        <w:spacing w:line="240" w:lineRule="auto"/>
        <w:ind w:left="0" w:leftChars="0" w:firstLine="480" w:firstLineChars="200"/>
        <w:textAlignment w:val="auto"/>
        <w:outlineLvl w:val="9"/>
        <w:rPr>
          <w:rFonts w:hint="eastAsia" w:asciiTheme="minorEastAsia" w:hAnsiTheme="minorEastAsia" w:eastAsiaTheme="minorEastAsia" w:cstheme="minorEastAsia"/>
          <w:i w:val="0"/>
          <w:iCs w:val="0"/>
          <w:color w:val="auto"/>
          <w:sz w:val="24"/>
          <w:szCs w:val="24"/>
          <w:highlight w:val="none"/>
          <w:u w:val="single"/>
          <w:lang w:val="en-US" w:eastAsia="zh-CN"/>
        </w:rPr>
      </w:pPr>
      <w:r>
        <w:rPr>
          <w:rFonts w:hint="eastAsia" w:asciiTheme="minorEastAsia" w:hAnsiTheme="minorEastAsia" w:eastAsiaTheme="minorEastAsia" w:cstheme="minorEastAsia"/>
          <w:i w:val="0"/>
          <w:iCs w:val="0"/>
          <w:color w:val="auto"/>
          <w:sz w:val="24"/>
          <w:szCs w:val="24"/>
          <w:highlight w:val="none"/>
        </w:rPr>
        <w:t>联系方式：</w:t>
      </w:r>
      <w:r>
        <w:rPr>
          <w:rFonts w:hint="eastAsia" w:asciiTheme="minorEastAsia" w:hAnsiTheme="minorEastAsia" w:eastAsiaTheme="minorEastAsia" w:cstheme="minorEastAsia"/>
          <w:i w:val="0"/>
          <w:iCs w:val="0"/>
          <w:color w:val="auto"/>
          <w:sz w:val="24"/>
          <w:szCs w:val="24"/>
          <w:highlight w:val="none"/>
          <w:u w:val="single"/>
        </w:rPr>
        <w:t xml:space="preserve">18140907575 </w:t>
      </w:r>
    </w:p>
    <w:p>
      <w:pPr>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Theme="minorEastAsia" w:hAnsiTheme="minorEastAsia" w:eastAsiaTheme="minorEastAsia" w:cstheme="minorEastAsia"/>
          <w:b w:val="0"/>
          <w:i w:val="0"/>
          <w:iCs w:val="0"/>
          <w:color w:val="auto"/>
          <w:sz w:val="24"/>
          <w:szCs w:val="24"/>
          <w:highlight w:val="none"/>
        </w:rPr>
      </w:pPr>
      <w:r>
        <w:rPr>
          <w:rFonts w:hint="eastAsia" w:asciiTheme="minorEastAsia" w:hAnsiTheme="minorEastAsia" w:eastAsiaTheme="minorEastAsia" w:cstheme="minorEastAsia"/>
          <w:b w:val="0"/>
          <w:i w:val="0"/>
          <w:iCs w:val="0"/>
          <w:color w:val="auto"/>
          <w:sz w:val="24"/>
          <w:szCs w:val="24"/>
          <w:highlight w:val="none"/>
        </w:rPr>
        <w:t>3.项目联系方式</w:t>
      </w:r>
    </w:p>
    <w:p>
      <w:pPr>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Theme="minorEastAsia" w:hAnsiTheme="minorEastAsia" w:eastAsiaTheme="minorEastAsia" w:cstheme="minorEastAsia"/>
          <w:i w:val="0"/>
          <w:iCs w:val="0"/>
          <w:color w:val="auto"/>
          <w:sz w:val="24"/>
          <w:szCs w:val="24"/>
          <w:highlight w:val="none"/>
          <w:u w:val="singl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项目联系人：</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张玉伟    </w:t>
      </w:r>
    </w:p>
    <w:p>
      <w:pPr>
        <w:ind w:firstLine="480" w:firstLineChars="200"/>
        <w:outlineLvl w:val="9"/>
        <w:rPr>
          <w:rFonts w:hint="eastAsia" w:asciiTheme="minorEastAsia" w:hAnsiTheme="minorEastAsia" w:eastAsiaTheme="minorEastAsia" w:cstheme="minorEastAsia"/>
          <w:i w:val="0"/>
          <w:iCs w:val="0"/>
          <w:color w:val="auto"/>
          <w:sz w:val="24"/>
          <w:szCs w:val="24"/>
          <w:highlight w:val="none"/>
          <w:u w:val="single"/>
          <w:lang w:val="en-US" w:eastAsia="zh-CN"/>
        </w:rPr>
      </w:pPr>
      <w:r>
        <w:rPr>
          <w:rFonts w:hint="eastAsia" w:asciiTheme="minorEastAsia" w:hAnsiTheme="minorEastAsia" w:eastAsiaTheme="minorEastAsia" w:cstheme="minorEastAsia"/>
          <w:i w:val="0"/>
          <w:iCs w:val="0"/>
          <w:color w:val="auto"/>
          <w:sz w:val="24"/>
          <w:szCs w:val="24"/>
          <w:highlight w:val="none"/>
        </w:rPr>
        <w:t>联系方式</w:t>
      </w:r>
      <w:r>
        <w:rPr>
          <w:rFonts w:hint="eastAsia" w:asciiTheme="minorEastAsia" w:hAnsiTheme="minorEastAsia" w:eastAsiaTheme="minorEastAsia" w:cstheme="minorEastAsia"/>
          <w:i w:val="0"/>
          <w:iCs w:val="0"/>
          <w:color w:val="auto"/>
          <w:sz w:val="24"/>
          <w:szCs w:val="24"/>
          <w:highlight w:val="none"/>
          <w:lang w:val="en-US" w:eastAsia="zh-CN"/>
        </w:rPr>
        <w:t>：</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 </w:t>
      </w:r>
      <w:r>
        <w:rPr>
          <w:rFonts w:hint="eastAsia" w:asciiTheme="minorEastAsia" w:hAnsiTheme="minorEastAsia" w:eastAsiaTheme="minorEastAsia" w:cstheme="minorEastAsia"/>
          <w:i w:val="0"/>
          <w:iCs w:val="0"/>
          <w:color w:val="auto"/>
          <w:sz w:val="24"/>
          <w:szCs w:val="24"/>
          <w:highlight w:val="none"/>
          <w:u w:val="single"/>
        </w:rPr>
        <w:t>18140907575</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  </w:t>
      </w:r>
    </w:p>
    <w:p>
      <w:pPr>
        <w:ind w:firstLine="398" w:firstLineChars="200"/>
        <w:outlineLvl w:val="9"/>
        <w:rPr>
          <w:rFonts w:hint="eastAsia" w:ascii="宋体" w:hAnsi="宋体" w:eastAsia="宋体" w:cs="宋体"/>
          <w:w w:val="95"/>
          <w:highlight w:val="none"/>
        </w:rPr>
      </w:pPr>
      <w:r>
        <w:rPr>
          <w:rFonts w:hint="eastAsia" w:ascii="宋体" w:hAnsi="宋体" w:eastAsia="宋体" w:cs="宋体"/>
          <w:w w:val="95"/>
          <w:highlight w:val="none"/>
        </w:rPr>
        <w:br w:type="page"/>
      </w:r>
    </w:p>
    <w:p>
      <w:pPr>
        <w:pStyle w:val="3"/>
        <w:rPr>
          <w:rFonts w:hint="eastAsia" w:ascii="宋体" w:hAnsi="宋体" w:eastAsia="宋体" w:cs="宋体"/>
          <w:highlight w:val="none"/>
        </w:rPr>
      </w:pPr>
      <w:bookmarkStart w:id="43" w:name="_Toc5826"/>
      <w:r>
        <w:rPr>
          <w:rFonts w:hint="eastAsia" w:ascii="宋体" w:hAnsi="宋体" w:eastAsia="宋体" w:cs="宋体"/>
          <w:w w:val="95"/>
          <w:highlight w:val="none"/>
        </w:rPr>
        <w:t>第</w:t>
      </w:r>
      <w:bookmarkStart w:id="44" w:name="（一）供应商须知前附表"/>
      <w:bookmarkEnd w:id="44"/>
      <w:bookmarkStart w:id="45" w:name="bookmark2"/>
      <w:bookmarkEnd w:id="45"/>
      <w:r>
        <w:rPr>
          <w:rFonts w:hint="eastAsia" w:ascii="宋体" w:hAnsi="宋体" w:eastAsia="宋体" w:cs="宋体"/>
          <w:w w:val="95"/>
          <w:highlight w:val="none"/>
        </w:rPr>
        <w:t>二章</w:t>
      </w:r>
      <w:r>
        <w:rPr>
          <w:rFonts w:hint="eastAsia" w:ascii="宋体" w:hAnsi="宋体" w:eastAsia="宋体" w:cs="宋体"/>
          <w:w w:val="95"/>
          <w:highlight w:val="none"/>
          <w:lang w:val="en-US" w:eastAsia="zh-CN"/>
        </w:rPr>
        <w:t xml:space="preserve">  </w:t>
      </w:r>
      <w:r>
        <w:rPr>
          <w:rFonts w:hint="eastAsia" w:ascii="宋体" w:hAnsi="宋体" w:eastAsia="宋体" w:cs="宋体"/>
          <w:highlight w:val="none"/>
        </w:rPr>
        <w:t>供应商须知及前附表</w:t>
      </w:r>
      <w:bookmarkEnd w:id="43"/>
    </w:p>
    <w:p>
      <w:pPr>
        <w:pStyle w:val="4"/>
        <w:rPr>
          <w:rFonts w:hint="eastAsia" w:ascii="宋体" w:hAnsi="宋体" w:eastAsia="宋体" w:cs="宋体"/>
          <w:highlight w:val="none"/>
        </w:rPr>
      </w:pPr>
      <w:bookmarkStart w:id="46" w:name="_Toc5449"/>
      <w:r>
        <w:rPr>
          <w:rFonts w:hint="eastAsia" w:ascii="宋体" w:hAnsi="宋体" w:eastAsia="宋体" w:cs="宋体"/>
          <w:highlight w:val="none"/>
        </w:rPr>
        <w:t>（一）供应商须知前附表</w:t>
      </w:r>
      <w:bookmarkEnd w:id="46"/>
    </w:p>
    <w:tbl>
      <w:tblPr>
        <w:tblStyle w:val="21"/>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2"/>
        <w:gridCol w:w="8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exact"/>
          <w:jc w:val="center"/>
        </w:trPr>
        <w:tc>
          <w:tcPr>
            <w:tcW w:w="672" w:type="dxa"/>
            <w:noWrap w:val="0"/>
            <w:vAlign w:val="top"/>
          </w:tcPr>
          <w:p>
            <w:pPr>
              <w:pStyle w:val="28"/>
              <w:kinsoku w:val="0"/>
              <w:overflowPunct w:val="0"/>
              <w:spacing w:before="74"/>
              <w:ind w:left="130"/>
              <w:rPr>
                <w:rFonts w:hint="eastAsia" w:ascii="宋体" w:hAnsi="宋体" w:eastAsia="宋体" w:cs="宋体"/>
                <w:highlight w:val="none"/>
              </w:rPr>
            </w:pPr>
            <w:r>
              <w:rPr>
                <w:rFonts w:hint="eastAsia" w:ascii="宋体" w:hAnsi="宋体" w:eastAsia="宋体" w:cs="宋体"/>
                <w:b/>
                <w:bCs/>
                <w:highlight w:val="none"/>
              </w:rPr>
              <w:t>序号</w:t>
            </w:r>
          </w:p>
        </w:tc>
        <w:tc>
          <w:tcPr>
            <w:tcW w:w="8475" w:type="dxa"/>
            <w:tcBorders>
              <w:bottom w:val="single" w:color="auto" w:sz="4" w:space="0"/>
            </w:tcBorders>
            <w:noWrap w:val="0"/>
            <w:vAlign w:val="top"/>
          </w:tcPr>
          <w:p>
            <w:pPr>
              <w:pStyle w:val="28"/>
              <w:tabs>
                <w:tab w:val="left" w:pos="627"/>
                <w:tab w:val="left" w:pos="1227"/>
                <w:tab w:val="left" w:pos="1832"/>
              </w:tabs>
              <w:kinsoku w:val="0"/>
              <w:overflowPunct w:val="0"/>
              <w:spacing w:before="74"/>
              <w:ind w:left="25"/>
              <w:jc w:val="center"/>
              <w:rPr>
                <w:rFonts w:hint="eastAsia" w:ascii="宋体" w:hAnsi="宋体" w:eastAsia="宋体" w:cs="宋体"/>
                <w:highlight w:val="none"/>
              </w:rPr>
            </w:pPr>
            <w:r>
              <w:rPr>
                <w:rFonts w:hint="eastAsia" w:ascii="宋体" w:hAnsi="宋体" w:eastAsia="宋体" w:cs="宋体"/>
                <w:b/>
                <w:bCs/>
                <w:w w:val="95"/>
                <w:highlight w:val="none"/>
              </w:rPr>
              <w:t>内</w:t>
            </w:r>
            <w:r>
              <w:rPr>
                <w:rFonts w:hint="eastAsia" w:ascii="宋体" w:hAnsi="宋体" w:eastAsia="宋体" w:cs="宋体"/>
                <w:b/>
                <w:bCs/>
                <w:w w:val="95"/>
                <w:highlight w:val="none"/>
              </w:rPr>
              <w:tab/>
            </w:r>
            <w:r>
              <w:rPr>
                <w:rFonts w:hint="eastAsia" w:ascii="宋体" w:hAnsi="宋体" w:eastAsia="宋体" w:cs="宋体"/>
                <w:b/>
                <w:bCs/>
                <w:w w:val="95"/>
                <w:highlight w:val="none"/>
              </w:rPr>
              <w:t>容</w:t>
            </w:r>
            <w:r>
              <w:rPr>
                <w:rFonts w:hint="eastAsia" w:ascii="宋体" w:hAnsi="宋体" w:eastAsia="宋体" w:cs="宋体"/>
                <w:b/>
                <w:bCs/>
                <w:w w:val="95"/>
                <w:highlight w:val="none"/>
              </w:rPr>
              <w:tab/>
            </w:r>
            <w:r>
              <w:rPr>
                <w:rFonts w:hint="eastAsia" w:ascii="宋体" w:hAnsi="宋体" w:eastAsia="宋体" w:cs="宋体"/>
                <w:b/>
                <w:bCs/>
                <w:w w:val="95"/>
                <w:highlight w:val="none"/>
              </w:rPr>
              <w:t>规</w:t>
            </w:r>
            <w:r>
              <w:rPr>
                <w:rFonts w:hint="eastAsia" w:ascii="宋体" w:hAnsi="宋体" w:eastAsia="宋体" w:cs="宋体"/>
                <w:b/>
                <w:bCs/>
                <w:w w:val="95"/>
                <w:highlight w:val="none"/>
              </w:rPr>
              <w:tab/>
            </w:r>
            <w:r>
              <w:rPr>
                <w:rFonts w:hint="eastAsia" w:ascii="宋体" w:hAnsi="宋体" w:eastAsia="宋体" w:cs="宋体"/>
                <w:b/>
                <w:bCs/>
                <w:highlight w:val="none"/>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exact"/>
          <w:jc w:val="center"/>
        </w:trPr>
        <w:tc>
          <w:tcPr>
            <w:tcW w:w="672" w:type="dxa"/>
            <w:vMerge w:val="restart"/>
            <w:noWrap w:val="0"/>
            <w:vAlign w:val="center"/>
          </w:tcPr>
          <w:p>
            <w:pPr>
              <w:pStyle w:val="28"/>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1</w:t>
            </w:r>
          </w:p>
        </w:tc>
        <w:tc>
          <w:tcPr>
            <w:tcW w:w="8475" w:type="dxa"/>
            <w:tcBorders>
              <w:bottom w:val="nil"/>
            </w:tcBorders>
            <w:noWrap w:val="0"/>
            <w:vAlign w:val="top"/>
          </w:tcPr>
          <w:p>
            <w:pPr>
              <w:pStyle w:val="28"/>
              <w:kinsoku w:val="0"/>
              <w:overflowPunct w:val="0"/>
              <w:spacing w:before="57"/>
              <w:ind w:left="102"/>
              <w:rPr>
                <w:rFonts w:hint="eastAsia" w:ascii="宋体" w:hAnsi="宋体" w:eastAsia="宋体" w:cs="宋体"/>
                <w:b/>
                <w:bCs/>
                <w:highlight w:val="none"/>
              </w:rPr>
            </w:pPr>
            <w:r>
              <w:rPr>
                <w:rFonts w:hint="eastAsia" w:ascii="宋体" w:hAnsi="宋体" w:eastAsia="宋体" w:cs="宋体"/>
                <w:b/>
                <w:bCs/>
                <w:highlight w:val="none"/>
              </w:rPr>
              <w:t>采 购 人：</w:t>
            </w:r>
            <w:r>
              <w:rPr>
                <w:rFonts w:hint="eastAsia" w:asciiTheme="minorEastAsia" w:hAnsiTheme="minorEastAsia" w:eastAsiaTheme="minorEastAsia" w:cstheme="minorEastAsia"/>
                <w:i w:val="0"/>
                <w:iCs w:val="0"/>
                <w:color w:val="auto"/>
                <w:sz w:val="24"/>
                <w:szCs w:val="24"/>
                <w:highlight w:val="none"/>
                <w:u w:val="none"/>
              </w:rPr>
              <w:t>新疆维吾尔自治区文化和旅游厅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exact"/>
          <w:jc w:val="center"/>
        </w:trPr>
        <w:tc>
          <w:tcPr>
            <w:tcW w:w="672" w:type="dxa"/>
            <w:vMerge w:val="continue"/>
            <w:noWrap w:val="0"/>
            <w:vAlign w:val="center"/>
          </w:tcPr>
          <w:p>
            <w:pPr>
              <w:pStyle w:val="28"/>
              <w:kinsoku w:val="0"/>
              <w:overflowPunct w:val="0"/>
              <w:spacing w:before="57"/>
              <w:ind w:left="102"/>
              <w:jc w:val="center"/>
              <w:rPr>
                <w:rFonts w:hint="eastAsia" w:ascii="宋体" w:hAnsi="宋体" w:eastAsia="宋体" w:cs="宋体"/>
                <w:highlight w:val="none"/>
              </w:rPr>
            </w:pPr>
          </w:p>
        </w:tc>
        <w:tc>
          <w:tcPr>
            <w:tcW w:w="8475" w:type="dxa"/>
            <w:tcBorders>
              <w:top w:val="nil"/>
              <w:bottom w:val="nil"/>
            </w:tcBorders>
            <w:noWrap w:val="0"/>
            <w:vAlign w:val="top"/>
          </w:tcPr>
          <w:p>
            <w:pPr>
              <w:pStyle w:val="28"/>
              <w:kinsoku w:val="0"/>
              <w:overflowPunct w:val="0"/>
              <w:spacing w:before="57"/>
              <w:ind w:left="102"/>
              <w:rPr>
                <w:rFonts w:hint="eastAsia" w:ascii="宋体" w:hAnsi="宋体" w:eastAsia="宋体" w:cs="宋体"/>
                <w:b/>
                <w:bCs/>
                <w:highlight w:val="none"/>
                <w:u w:val="none"/>
              </w:rPr>
            </w:pPr>
            <w:r>
              <w:rPr>
                <w:rFonts w:hint="eastAsia" w:ascii="宋体" w:hAnsi="宋体" w:eastAsia="宋体" w:cs="宋体"/>
                <w:b/>
                <w:bCs/>
                <w:highlight w:val="none"/>
                <w:u w:val="none"/>
              </w:rPr>
              <w:t>地</w:t>
            </w:r>
            <w:r>
              <w:rPr>
                <w:rFonts w:hint="eastAsia" w:ascii="宋体" w:hAnsi="宋体" w:eastAsia="宋体" w:cs="宋体"/>
                <w:b/>
                <w:bCs/>
                <w:highlight w:val="none"/>
                <w:u w:val="none"/>
              </w:rPr>
              <w:tab/>
            </w:r>
            <w:r>
              <w:rPr>
                <w:rFonts w:hint="eastAsia" w:ascii="宋体" w:hAnsi="宋体" w:eastAsia="宋体" w:cs="宋体"/>
                <w:b/>
                <w:bCs/>
                <w:highlight w:val="none"/>
                <w:u w:val="none"/>
              </w:rPr>
              <w:t xml:space="preserve">   址：</w:t>
            </w:r>
            <w:r>
              <w:rPr>
                <w:rFonts w:hint="eastAsia" w:ascii="宋体" w:hAnsi="宋体" w:eastAsia="宋体" w:cs="宋体"/>
                <w:bCs/>
                <w:szCs w:val="21"/>
                <w:highlight w:val="none"/>
                <w:u w:val="none"/>
              </w:rPr>
              <w:t xml:space="preserve">乌鲁木齐市金银路143号  </w:t>
            </w:r>
          </w:p>
          <w:p>
            <w:pPr>
              <w:pStyle w:val="28"/>
              <w:kinsoku w:val="0"/>
              <w:overflowPunct w:val="0"/>
              <w:spacing w:before="57"/>
              <w:ind w:left="102"/>
              <w:rPr>
                <w:rFonts w:hint="default" w:ascii="宋体" w:hAnsi="宋体" w:eastAsia="宋体" w:cs="宋体"/>
                <w:color w:val="FF0000"/>
                <w:highlight w:val="none"/>
                <w:u w:val="none"/>
                <w:lang w:val="en-US"/>
              </w:rPr>
            </w:pPr>
            <w:r>
              <w:rPr>
                <w:rFonts w:hint="eastAsia" w:ascii="宋体" w:hAnsi="宋体" w:eastAsia="宋体" w:cs="宋体"/>
                <w:b/>
                <w:bCs/>
                <w:highlight w:val="none"/>
                <w:u w:val="none"/>
              </w:rPr>
              <w:t>联 系 人：</w:t>
            </w:r>
            <w:r>
              <w:rPr>
                <w:rFonts w:hint="eastAsia" w:asciiTheme="minorEastAsia" w:hAnsiTheme="minorEastAsia" w:eastAsiaTheme="minorEastAsia" w:cstheme="minorEastAsia"/>
                <w:i w:val="0"/>
                <w:iCs w:val="0"/>
                <w:color w:val="auto"/>
                <w:sz w:val="24"/>
                <w:szCs w:val="24"/>
                <w:highlight w:val="yellow"/>
                <w:u w:val="none"/>
                <w:lang w:val="en-US" w:eastAsia="zh-CN"/>
              </w:rPr>
              <w:t>王翔</w:t>
            </w:r>
            <w:r>
              <w:rPr>
                <w:rFonts w:hint="eastAsia" w:asciiTheme="minorEastAsia" w:hAnsiTheme="minorEastAsia" w:eastAsiaTheme="minorEastAsia" w:cstheme="minorEastAsia"/>
                <w:i w:val="0"/>
                <w:iCs w:val="0"/>
                <w:color w:val="auto"/>
                <w:sz w:val="24"/>
                <w:szCs w:val="24"/>
                <w:highlight w:val="none"/>
                <w:u w:val="none"/>
                <w:lang w:val="en-US" w:eastAsia="zh-CN"/>
              </w:rPr>
              <w:t xml:space="preserve"> </w:t>
            </w:r>
          </w:p>
          <w:p>
            <w:pPr>
              <w:pStyle w:val="28"/>
              <w:kinsoku w:val="0"/>
              <w:overflowPunct w:val="0"/>
              <w:spacing w:before="57"/>
              <w:ind w:left="102"/>
              <w:rPr>
                <w:rFonts w:hint="eastAsia" w:ascii="宋体" w:hAnsi="宋体" w:eastAsia="宋体" w:cs="宋体"/>
                <w:b/>
                <w:bCs/>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exact"/>
          <w:jc w:val="center"/>
        </w:trPr>
        <w:tc>
          <w:tcPr>
            <w:tcW w:w="672" w:type="dxa"/>
            <w:vMerge w:val="continue"/>
            <w:noWrap w:val="0"/>
            <w:vAlign w:val="center"/>
          </w:tcPr>
          <w:p>
            <w:pPr>
              <w:pStyle w:val="28"/>
              <w:tabs>
                <w:tab w:val="left" w:pos="824"/>
              </w:tabs>
              <w:kinsoku w:val="0"/>
              <w:overflowPunct w:val="0"/>
              <w:spacing w:before="16" w:line="320" w:lineRule="auto"/>
              <w:ind w:left="102" w:right="4066"/>
              <w:jc w:val="center"/>
              <w:rPr>
                <w:rFonts w:hint="eastAsia" w:ascii="宋体" w:hAnsi="宋体" w:eastAsia="宋体" w:cs="宋体"/>
                <w:highlight w:val="none"/>
              </w:rPr>
            </w:pPr>
          </w:p>
        </w:tc>
        <w:tc>
          <w:tcPr>
            <w:tcW w:w="8475" w:type="dxa"/>
            <w:tcBorders>
              <w:top w:val="nil"/>
              <w:bottom w:val="single" w:color="auto" w:sz="4" w:space="0"/>
            </w:tcBorders>
            <w:noWrap w:val="0"/>
            <w:vAlign w:val="top"/>
          </w:tcPr>
          <w:p>
            <w:pPr>
              <w:pStyle w:val="28"/>
              <w:kinsoku w:val="0"/>
              <w:overflowPunct w:val="0"/>
              <w:spacing w:before="57"/>
              <w:ind w:left="102"/>
              <w:rPr>
                <w:rFonts w:hint="default" w:ascii="宋体" w:hAnsi="宋体" w:eastAsia="宋体" w:cs="宋体"/>
                <w:b/>
                <w:bCs/>
                <w:highlight w:val="none"/>
                <w:u w:val="none"/>
                <w:lang w:val="en-US" w:eastAsia="zh-CN"/>
              </w:rPr>
            </w:pPr>
            <w:r>
              <w:rPr>
                <w:rFonts w:hint="eastAsia" w:ascii="宋体" w:hAnsi="宋体" w:eastAsia="宋体" w:cs="宋体"/>
                <w:b/>
                <w:bCs/>
                <w:highlight w:val="none"/>
                <w:u w:val="none"/>
              </w:rPr>
              <w:t>联系电话：</w:t>
            </w:r>
            <w:r>
              <w:rPr>
                <w:rFonts w:hint="eastAsia" w:asciiTheme="minorEastAsia" w:hAnsiTheme="minorEastAsia" w:eastAsiaTheme="minorEastAsia" w:cstheme="minorEastAsia"/>
                <w:i w:val="0"/>
                <w:iCs w:val="0"/>
                <w:color w:val="auto"/>
                <w:sz w:val="24"/>
                <w:szCs w:val="24"/>
                <w:highlight w:val="yellow"/>
                <w:u w:val="none"/>
                <w:lang w:val="en-US" w:eastAsia="zh-CN"/>
              </w:rPr>
              <w:t>13079977987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672" w:type="dxa"/>
            <w:vMerge w:val="restart"/>
            <w:noWrap w:val="0"/>
            <w:vAlign w:val="center"/>
          </w:tcPr>
          <w:p>
            <w:pPr>
              <w:pStyle w:val="28"/>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2</w:t>
            </w:r>
          </w:p>
        </w:tc>
        <w:tc>
          <w:tcPr>
            <w:tcW w:w="8475" w:type="dxa"/>
            <w:tcBorders>
              <w:bottom w:val="nil"/>
            </w:tcBorders>
            <w:noWrap w:val="0"/>
            <w:vAlign w:val="top"/>
          </w:tcPr>
          <w:p>
            <w:pPr>
              <w:pStyle w:val="28"/>
              <w:kinsoku w:val="0"/>
              <w:overflowPunct w:val="0"/>
              <w:spacing w:before="56"/>
              <w:ind w:left="102"/>
              <w:rPr>
                <w:rFonts w:hint="eastAsia" w:ascii="宋体" w:hAnsi="宋体" w:eastAsia="宋体" w:cs="宋体"/>
                <w:b/>
                <w:bCs/>
                <w:highlight w:val="none"/>
              </w:rPr>
            </w:pPr>
            <w:r>
              <w:rPr>
                <w:rFonts w:hint="eastAsia" w:ascii="宋体" w:hAnsi="宋体" w:eastAsia="宋体" w:cs="宋体"/>
                <w:b/>
                <w:bCs/>
                <w:highlight w:val="none"/>
              </w:rPr>
              <w:t>代理机构：</w:t>
            </w:r>
            <w:r>
              <w:rPr>
                <w:rFonts w:hint="eastAsia" w:ascii="宋体" w:hAnsi="宋体" w:eastAsia="宋体" w:cs="宋体"/>
                <w:highlight w:val="none"/>
              </w:rPr>
              <w:t>新疆信尔成工程项目管理有限公司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7" w:hRule="exact"/>
          <w:jc w:val="center"/>
        </w:trPr>
        <w:tc>
          <w:tcPr>
            <w:tcW w:w="672" w:type="dxa"/>
            <w:vMerge w:val="continue"/>
            <w:noWrap w:val="0"/>
            <w:vAlign w:val="center"/>
          </w:tcPr>
          <w:p>
            <w:pPr>
              <w:pStyle w:val="28"/>
              <w:kinsoku w:val="0"/>
              <w:overflowPunct w:val="0"/>
              <w:spacing w:before="56"/>
              <w:ind w:left="102"/>
              <w:jc w:val="center"/>
              <w:rPr>
                <w:rFonts w:hint="eastAsia" w:ascii="宋体" w:hAnsi="宋体" w:eastAsia="宋体" w:cs="宋体"/>
                <w:highlight w:val="none"/>
              </w:rPr>
            </w:pPr>
          </w:p>
        </w:tc>
        <w:tc>
          <w:tcPr>
            <w:tcW w:w="8475" w:type="dxa"/>
            <w:tcBorders>
              <w:top w:val="nil"/>
              <w:bottom w:val="nil"/>
            </w:tcBorders>
            <w:noWrap w:val="0"/>
            <w:vAlign w:val="top"/>
          </w:tcPr>
          <w:p>
            <w:pPr>
              <w:pStyle w:val="28"/>
              <w:kinsoku w:val="0"/>
              <w:overflowPunct w:val="0"/>
              <w:spacing w:before="56"/>
              <w:ind w:left="102"/>
              <w:rPr>
                <w:rFonts w:hint="eastAsia" w:ascii="宋体" w:hAnsi="宋体" w:eastAsia="宋体" w:cs="宋体"/>
                <w:b/>
                <w:bCs/>
                <w:highlight w:val="none"/>
              </w:rPr>
            </w:pPr>
            <w:r>
              <w:rPr>
                <w:rFonts w:hint="eastAsia" w:ascii="宋体" w:hAnsi="宋体" w:eastAsia="宋体" w:cs="宋体"/>
                <w:b/>
                <w:bCs/>
                <w:highlight w:val="none"/>
              </w:rPr>
              <w:t xml:space="preserve">地  </w:t>
            </w:r>
            <w:r>
              <w:rPr>
                <w:rFonts w:hint="eastAsia" w:ascii="宋体" w:hAnsi="宋体" w:eastAsia="宋体" w:cs="宋体"/>
                <w:b/>
                <w:bCs/>
                <w:highlight w:val="none"/>
              </w:rPr>
              <w:tab/>
            </w:r>
            <w:r>
              <w:rPr>
                <w:rFonts w:hint="eastAsia" w:ascii="宋体" w:hAnsi="宋体" w:eastAsia="宋体" w:cs="宋体"/>
                <w:b/>
                <w:bCs/>
                <w:highlight w:val="none"/>
              </w:rPr>
              <w:t>址：</w:t>
            </w:r>
            <w:r>
              <w:rPr>
                <w:rFonts w:hint="eastAsia" w:ascii="宋体" w:hAnsi="宋体" w:eastAsia="宋体" w:cs="宋体"/>
                <w:highlight w:val="none"/>
              </w:rPr>
              <w:t>新疆维吾尔自治区乌鲁木齐市水磨沟区会展大道1119号大成尔雅生活广场第一栋第十八层A座1806号房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72" w:type="dxa"/>
            <w:vMerge w:val="continue"/>
            <w:noWrap w:val="0"/>
            <w:vAlign w:val="center"/>
          </w:tcPr>
          <w:p>
            <w:pPr>
              <w:pStyle w:val="28"/>
              <w:tabs>
                <w:tab w:val="left" w:pos="824"/>
              </w:tabs>
              <w:kinsoku w:val="0"/>
              <w:overflowPunct w:val="0"/>
              <w:spacing w:before="16"/>
              <w:ind w:left="102"/>
              <w:jc w:val="center"/>
              <w:rPr>
                <w:rFonts w:hint="eastAsia" w:ascii="宋体" w:hAnsi="宋体" w:eastAsia="宋体" w:cs="宋体"/>
                <w:highlight w:val="none"/>
              </w:rPr>
            </w:pPr>
          </w:p>
        </w:tc>
        <w:tc>
          <w:tcPr>
            <w:tcW w:w="8475" w:type="dxa"/>
            <w:tcBorders>
              <w:top w:val="nil"/>
              <w:bottom w:val="nil"/>
            </w:tcBorders>
            <w:noWrap w:val="0"/>
            <w:vAlign w:val="top"/>
          </w:tcPr>
          <w:p>
            <w:pPr>
              <w:pStyle w:val="28"/>
              <w:kinsoku w:val="0"/>
              <w:overflowPunct w:val="0"/>
              <w:spacing w:before="56"/>
              <w:ind w:left="102"/>
              <w:rPr>
                <w:rFonts w:hint="eastAsia" w:ascii="宋体" w:hAnsi="宋体" w:eastAsia="宋体" w:cs="宋体"/>
                <w:b/>
                <w:bCs/>
                <w:highlight w:val="none"/>
                <w:lang w:eastAsia="zh-CN"/>
              </w:rPr>
            </w:pPr>
            <w:r>
              <w:rPr>
                <w:rFonts w:hint="eastAsia" w:ascii="宋体" w:hAnsi="宋体" w:eastAsia="宋体" w:cs="宋体"/>
                <w:b/>
                <w:bCs/>
                <w:highlight w:val="none"/>
              </w:rPr>
              <w:t>联 系 人：</w:t>
            </w:r>
            <w:r>
              <w:rPr>
                <w:rFonts w:hint="eastAsia" w:ascii="宋体" w:hAnsi="宋体" w:cs="宋体"/>
                <w:highlight w:val="none"/>
                <w:lang w:eastAsia="zh-CN"/>
              </w:rPr>
              <w:t>张玉伟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72" w:type="dxa"/>
            <w:vMerge w:val="continue"/>
            <w:noWrap w:val="0"/>
            <w:vAlign w:val="center"/>
          </w:tcPr>
          <w:p>
            <w:pPr>
              <w:pStyle w:val="28"/>
              <w:kinsoku w:val="0"/>
              <w:overflowPunct w:val="0"/>
              <w:spacing w:before="16"/>
              <w:ind w:left="102"/>
              <w:jc w:val="center"/>
              <w:rPr>
                <w:rFonts w:hint="eastAsia" w:ascii="宋体" w:hAnsi="宋体" w:eastAsia="宋体" w:cs="宋体"/>
                <w:highlight w:val="none"/>
              </w:rPr>
            </w:pPr>
          </w:p>
        </w:tc>
        <w:tc>
          <w:tcPr>
            <w:tcW w:w="8475" w:type="dxa"/>
            <w:tcBorders>
              <w:top w:val="nil"/>
              <w:bottom w:val="single" w:color="auto" w:sz="4" w:space="0"/>
            </w:tcBorders>
            <w:noWrap w:val="0"/>
            <w:vAlign w:val="top"/>
          </w:tcPr>
          <w:p>
            <w:pPr>
              <w:pStyle w:val="28"/>
              <w:kinsoku w:val="0"/>
              <w:overflowPunct w:val="0"/>
              <w:spacing w:before="56"/>
              <w:ind w:left="102"/>
              <w:rPr>
                <w:rFonts w:hint="default" w:ascii="宋体" w:hAnsi="宋体" w:eastAsia="宋体" w:cs="宋体"/>
                <w:b/>
                <w:bCs/>
                <w:highlight w:val="none"/>
                <w:lang w:val="en-US" w:eastAsia="zh-CN"/>
              </w:rPr>
            </w:pPr>
            <w:r>
              <w:rPr>
                <w:rFonts w:hint="eastAsia" w:ascii="宋体" w:hAnsi="宋体" w:eastAsia="宋体" w:cs="宋体"/>
                <w:b/>
                <w:bCs/>
                <w:highlight w:val="none"/>
              </w:rPr>
              <w:t>联系电话：</w:t>
            </w:r>
            <w:r>
              <w:rPr>
                <w:rFonts w:hint="eastAsia" w:ascii="宋体" w:hAnsi="宋体" w:eastAsia="宋体" w:cs="宋体"/>
                <w:highlight w:val="none"/>
              </w:rPr>
              <w:t>1</w:t>
            </w:r>
            <w:r>
              <w:rPr>
                <w:rFonts w:hint="eastAsia" w:ascii="宋体" w:hAnsi="宋体" w:cs="宋体"/>
                <w:highlight w:val="none"/>
                <w:lang w:val="en-US" w:eastAsia="zh-CN"/>
              </w:rPr>
              <w:t>8140907575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672" w:type="dxa"/>
            <w:vMerge w:val="restart"/>
            <w:noWrap w:val="0"/>
            <w:vAlign w:val="center"/>
          </w:tcPr>
          <w:p>
            <w:pPr>
              <w:pStyle w:val="28"/>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3</w:t>
            </w:r>
          </w:p>
        </w:tc>
        <w:tc>
          <w:tcPr>
            <w:tcW w:w="8475" w:type="dxa"/>
            <w:tcBorders>
              <w:bottom w:val="nil"/>
            </w:tcBorders>
            <w:noWrap w:val="0"/>
            <w:vAlign w:val="top"/>
          </w:tcPr>
          <w:p>
            <w:pPr>
              <w:pStyle w:val="28"/>
              <w:kinsoku w:val="0"/>
              <w:overflowPunct w:val="0"/>
              <w:spacing w:before="56"/>
              <w:ind w:left="102"/>
              <w:rPr>
                <w:rFonts w:hint="eastAsia" w:ascii="宋体" w:hAnsi="宋体" w:eastAsia="宋体" w:cs="宋体"/>
                <w:highlight w:val="none"/>
              </w:rPr>
            </w:pPr>
            <w:r>
              <w:rPr>
                <w:rFonts w:hint="eastAsia" w:ascii="宋体" w:hAnsi="宋体" w:eastAsia="宋体" w:cs="宋体"/>
                <w:b/>
                <w:bCs/>
                <w:highlight w:val="none"/>
              </w:rPr>
              <w:t>项目说明：/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exact"/>
          <w:jc w:val="center"/>
        </w:trPr>
        <w:tc>
          <w:tcPr>
            <w:tcW w:w="672" w:type="dxa"/>
            <w:vMerge w:val="continue"/>
            <w:noWrap w:val="0"/>
            <w:vAlign w:val="center"/>
          </w:tcPr>
          <w:p>
            <w:pPr>
              <w:pStyle w:val="28"/>
              <w:kinsoku w:val="0"/>
              <w:overflowPunct w:val="0"/>
              <w:spacing w:before="56"/>
              <w:ind w:left="102"/>
              <w:jc w:val="center"/>
              <w:rPr>
                <w:rFonts w:hint="eastAsia" w:ascii="宋体" w:hAnsi="宋体" w:eastAsia="宋体" w:cs="宋体"/>
                <w:highlight w:val="none"/>
              </w:rPr>
            </w:pPr>
          </w:p>
        </w:tc>
        <w:tc>
          <w:tcPr>
            <w:tcW w:w="8475" w:type="dxa"/>
            <w:tcBorders>
              <w:top w:val="nil"/>
              <w:bottom w:val="nil"/>
            </w:tcBorders>
            <w:noWrap w:val="0"/>
            <w:vAlign w:val="top"/>
          </w:tcPr>
          <w:p>
            <w:pPr>
              <w:pStyle w:val="28"/>
              <w:kinsoku w:val="0"/>
              <w:overflowPunct w:val="0"/>
              <w:spacing w:before="16" w:line="320" w:lineRule="auto"/>
              <w:ind w:left="1788" w:leftChars="48" w:right="77" w:hanging="1687" w:hangingChars="700"/>
              <w:rPr>
                <w:rFonts w:hint="eastAsia" w:ascii="宋体" w:hAnsi="宋体" w:eastAsia="宋体" w:cs="宋体"/>
                <w:b/>
                <w:bCs/>
                <w:w w:val="95"/>
                <w:highlight w:val="none"/>
              </w:rPr>
            </w:pPr>
            <w:r>
              <w:rPr>
                <w:rFonts w:hint="eastAsia" w:ascii="宋体" w:hAnsi="宋体" w:eastAsia="宋体" w:cs="宋体"/>
                <w:b/>
                <w:bCs/>
                <w:highlight w:val="none"/>
              </w:rPr>
              <w:t>1、项目名称：</w:t>
            </w:r>
            <w:r>
              <w:rPr>
                <w:rFonts w:hint="eastAsia" w:ascii="宋体" w:hAnsi="宋体" w:cs="宋体"/>
                <w:b w:val="0"/>
                <w:bCs w:val="0"/>
                <w:i w:val="0"/>
                <w:iCs w:val="0"/>
                <w:sz w:val="24"/>
                <w:szCs w:val="24"/>
                <w:highlight w:val="yellow"/>
                <w:lang w:val="en-US" w:eastAsia="zh-CN"/>
              </w:rPr>
              <w:t>2022年自治区旅游发展大会专题宣传片采购项目</w:t>
            </w:r>
            <w:r>
              <w:rPr>
                <w:rFonts w:hint="eastAsia" w:ascii="宋体" w:hAnsi="宋体" w:eastAsia="宋体" w:cs="宋体"/>
                <w:b/>
                <w:bCs/>
                <w:w w:val="95"/>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exact"/>
          <w:jc w:val="center"/>
        </w:trPr>
        <w:tc>
          <w:tcPr>
            <w:tcW w:w="672" w:type="dxa"/>
            <w:vMerge w:val="continue"/>
            <w:noWrap w:val="0"/>
            <w:vAlign w:val="center"/>
          </w:tcPr>
          <w:p>
            <w:pPr>
              <w:pStyle w:val="28"/>
              <w:kinsoku w:val="0"/>
              <w:overflowPunct w:val="0"/>
              <w:spacing w:before="16" w:line="320" w:lineRule="auto"/>
              <w:ind w:left="102" w:right="77"/>
              <w:jc w:val="center"/>
              <w:rPr>
                <w:rFonts w:hint="eastAsia" w:ascii="宋体" w:hAnsi="宋体" w:eastAsia="宋体" w:cs="宋体"/>
                <w:highlight w:val="none"/>
              </w:rPr>
            </w:pPr>
          </w:p>
        </w:tc>
        <w:tc>
          <w:tcPr>
            <w:tcW w:w="8475" w:type="dxa"/>
            <w:tcBorders>
              <w:top w:val="nil"/>
            </w:tcBorders>
            <w:noWrap w:val="0"/>
            <w:vAlign w:val="top"/>
          </w:tcPr>
          <w:p>
            <w:pPr>
              <w:pStyle w:val="28"/>
              <w:kinsoku w:val="0"/>
              <w:overflowPunct w:val="0"/>
              <w:spacing w:before="16"/>
              <w:ind w:left="102"/>
              <w:rPr>
                <w:rFonts w:hint="default" w:ascii="宋体" w:hAnsi="宋体" w:eastAsia="宋体" w:cs="宋体"/>
                <w:highlight w:val="none"/>
                <w:lang w:val="en-US"/>
              </w:rPr>
            </w:pPr>
            <w:r>
              <w:rPr>
                <w:rFonts w:hint="eastAsia" w:ascii="宋体" w:hAnsi="宋体" w:eastAsia="宋体" w:cs="宋体"/>
                <w:b/>
                <w:bCs/>
                <w:highlight w:val="none"/>
              </w:rPr>
              <w:t>2、磋商文件编号：</w:t>
            </w:r>
            <w:r>
              <w:rPr>
                <w:rFonts w:hint="eastAsia" w:ascii="宋体" w:hAnsi="宋体" w:eastAsia="宋体" w:cs="宋体"/>
                <w:b w:val="0"/>
                <w:bCs w:val="0"/>
                <w:i w:val="0"/>
                <w:iCs w:val="0"/>
                <w:sz w:val="24"/>
                <w:szCs w:val="24"/>
                <w:highlight w:val="none"/>
                <w:lang w:val="en-US" w:eastAsia="zh-CN"/>
              </w:rPr>
              <w:t>XJXECWLMQ-2022007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2" w:type="dxa"/>
            <w:noWrap w:val="0"/>
            <w:vAlign w:val="center"/>
          </w:tcPr>
          <w:p>
            <w:pPr>
              <w:pStyle w:val="28"/>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4</w:t>
            </w:r>
          </w:p>
        </w:tc>
        <w:tc>
          <w:tcPr>
            <w:tcW w:w="8475" w:type="dxa"/>
            <w:noWrap w:val="0"/>
            <w:vAlign w:val="top"/>
          </w:tcPr>
          <w:p>
            <w:pPr>
              <w:pStyle w:val="28"/>
              <w:kinsoku w:val="0"/>
              <w:overflowPunct w:val="0"/>
              <w:spacing w:line="276" w:lineRule="exact"/>
              <w:ind w:left="102"/>
              <w:rPr>
                <w:rFonts w:hint="eastAsia" w:ascii="宋体" w:hAnsi="宋体" w:eastAsia="宋体" w:cs="宋体"/>
                <w:highlight w:val="none"/>
              </w:rPr>
            </w:pPr>
            <w:r>
              <w:rPr>
                <w:rFonts w:hint="eastAsia" w:ascii="宋体" w:hAnsi="宋体" w:eastAsia="宋体" w:cs="宋体"/>
                <w:b/>
                <w:bCs/>
                <w:highlight w:val="none"/>
              </w:rPr>
              <w:t>磋商内容：</w:t>
            </w:r>
          </w:p>
          <w:p>
            <w:pPr>
              <w:pStyle w:val="28"/>
              <w:kinsoku w:val="0"/>
              <w:overflowPunct w:val="0"/>
              <w:spacing w:before="8"/>
              <w:ind w:left="102"/>
              <w:rPr>
                <w:rFonts w:hint="eastAsia" w:ascii="宋体" w:hAnsi="宋体" w:eastAsia="宋体" w:cs="宋体"/>
                <w:highlight w:val="none"/>
              </w:rPr>
            </w:pPr>
            <w:r>
              <w:rPr>
                <w:rFonts w:hint="eastAsia" w:ascii="宋体" w:hAnsi="宋体" w:eastAsia="宋体" w:cs="宋体"/>
                <w:b/>
                <w:bCs/>
                <w:highlight w:val="none"/>
              </w:rPr>
              <w:t>1、主要磋商内容：</w:t>
            </w:r>
          </w:p>
          <w:p>
            <w:pPr>
              <w:pStyle w:val="28"/>
              <w:kinsoku w:val="0"/>
              <w:overflowPunct w:val="0"/>
              <w:spacing w:before="16"/>
              <w:ind w:left="102" w:firstLine="480" w:firstLineChars="200"/>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color w:val="auto"/>
                <w:sz w:val="24"/>
                <w:szCs w:val="24"/>
                <w:highlight w:val="yellow"/>
                <w:lang w:val="en-US" w:eastAsia="zh-CN"/>
              </w:rPr>
              <w:t>拍摄</w:t>
            </w:r>
            <w:r>
              <w:rPr>
                <w:rFonts w:hint="eastAsia" w:ascii="宋体" w:hAnsi="宋体" w:eastAsia="宋体" w:cs="宋体"/>
                <w:color w:val="auto"/>
                <w:sz w:val="24"/>
                <w:szCs w:val="24"/>
                <w:highlight w:val="yellow"/>
              </w:rPr>
              <w:t>制作2022年自治区旅游发展大会专题宣传片《新疆是个好地方》</w:t>
            </w:r>
            <w:r>
              <w:rPr>
                <w:rFonts w:hint="eastAsia" w:ascii="宋体" w:hAnsi="宋体" w:cs="宋体"/>
                <w:color w:val="auto"/>
                <w:sz w:val="24"/>
                <w:szCs w:val="24"/>
                <w:highlight w:val="yellow"/>
                <w:lang w:eastAsia="zh-CN"/>
              </w:rPr>
              <w:t>及其配套服务</w:t>
            </w:r>
            <w:r>
              <w:rPr>
                <w:rFonts w:hint="eastAsia" w:ascii="宋体" w:hAnsi="宋体" w:eastAsia="宋体" w:cs="宋体"/>
                <w:b w:val="0"/>
                <w:bCs w:val="0"/>
                <w:i w:val="0"/>
                <w:iCs w:val="0"/>
                <w:sz w:val="24"/>
                <w:szCs w:val="24"/>
                <w:highlight w:val="yellow"/>
                <w:lang w:val="en-US" w:eastAsia="zh-CN"/>
              </w:rPr>
              <w:t>（详细说明见磋商文件）。</w:t>
            </w:r>
          </w:p>
          <w:p>
            <w:pPr>
              <w:pStyle w:val="28"/>
              <w:kinsoku w:val="0"/>
              <w:overflowPunct w:val="0"/>
              <w:spacing w:before="16"/>
              <w:ind w:left="102"/>
              <w:rPr>
                <w:rFonts w:hint="default" w:ascii="宋体" w:hAnsi="宋体" w:eastAsia="宋体" w:cs="宋体"/>
                <w:highlight w:val="none"/>
                <w:lang w:val="en-US" w:eastAsia="zh-CN"/>
              </w:rPr>
            </w:pPr>
            <w:r>
              <w:rPr>
                <w:rFonts w:hint="eastAsia" w:ascii="宋体" w:hAnsi="宋体" w:eastAsia="宋体" w:cs="宋体"/>
                <w:b/>
                <w:bCs/>
                <w:highlight w:val="none"/>
              </w:rPr>
              <w:t>2、服务期限：</w:t>
            </w:r>
            <w:r>
              <w:rPr>
                <w:rFonts w:hint="eastAsia" w:ascii="宋体" w:hAnsi="宋体" w:eastAsia="宋体" w:cs="宋体"/>
                <w:color w:val="auto"/>
                <w:sz w:val="24"/>
                <w:szCs w:val="24"/>
                <w:highlight w:val="yellow"/>
                <w:lang w:val="en-US" w:eastAsia="zh-CN"/>
              </w:rPr>
              <w:t>2022年5月</w:t>
            </w:r>
            <w:r>
              <w:rPr>
                <w:rFonts w:hint="eastAsia" w:ascii="宋体" w:hAnsi="宋体" w:cs="宋体"/>
                <w:color w:val="auto"/>
                <w:sz w:val="24"/>
                <w:szCs w:val="24"/>
                <w:highlight w:val="yellow"/>
                <w:lang w:val="en-US" w:eastAsia="zh-CN"/>
              </w:rPr>
              <w:t>2</w:t>
            </w:r>
            <w:r>
              <w:rPr>
                <w:rFonts w:hint="eastAsia" w:ascii="宋体" w:hAnsi="宋体" w:eastAsia="宋体" w:cs="宋体"/>
                <w:color w:val="auto"/>
                <w:sz w:val="24"/>
                <w:szCs w:val="24"/>
                <w:highlight w:val="yellow"/>
                <w:lang w:val="en-US" w:eastAsia="zh-CN"/>
              </w:rPr>
              <w:t>8日前完成制作、审核、交付等工作</w:t>
            </w:r>
            <w:r>
              <w:rPr>
                <w:rFonts w:hint="eastAsia" w:cs="Times New Roman"/>
                <w:sz w:val="32"/>
                <w:szCs w:val="21"/>
                <w:highlight w:val="yellow"/>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672" w:type="dxa"/>
            <w:noWrap w:val="0"/>
            <w:vAlign w:val="center"/>
          </w:tcPr>
          <w:p>
            <w:pPr>
              <w:pStyle w:val="28"/>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5</w:t>
            </w:r>
          </w:p>
        </w:tc>
        <w:tc>
          <w:tcPr>
            <w:tcW w:w="8475" w:type="dxa"/>
            <w:noWrap w:val="0"/>
            <w:vAlign w:val="top"/>
          </w:tcPr>
          <w:p>
            <w:pPr>
              <w:pStyle w:val="28"/>
              <w:kinsoku w:val="0"/>
              <w:overflowPunct w:val="0"/>
              <w:spacing w:before="122"/>
              <w:ind w:left="102"/>
              <w:rPr>
                <w:rFonts w:hint="eastAsia" w:ascii="宋体" w:hAnsi="宋体" w:eastAsia="宋体" w:cs="宋体"/>
                <w:highlight w:val="none"/>
              </w:rPr>
            </w:pPr>
            <w:r>
              <w:rPr>
                <w:rFonts w:hint="eastAsia" w:ascii="宋体" w:hAnsi="宋体" w:eastAsia="宋体" w:cs="宋体"/>
                <w:b/>
                <w:bCs/>
                <w:highlight w:val="none"/>
              </w:rPr>
              <w:t>项目采购预算：</w:t>
            </w:r>
            <w:r>
              <w:rPr>
                <w:rFonts w:hint="eastAsia" w:ascii="宋体" w:hAnsi="宋体" w:cs="宋体"/>
                <w:b w:val="0"/>
                <w:bCs w:val="0"/>
                <w:i w:val="0"/>
                <w:iCs w:val="0"/>
                <w:sz w:val="24"/>
                <w:szCs w:val="24"/>
                <w:highlight w:val="none"/>
                <w:lang w:val="en-US" w:eastAsia="zh-CN"/>
              </w:rPr>
              <w:t>300000</w:t>
            </w:r>
            <w:r>
              <w:rPr>
                <w:rFonts w:hint="eastAsia" w:ascii="宋体" w:hAnsi="宋体" w:eastAsia="宋体" w:cs="宋体"/>
                <w:highlight w:val="none"/>
              </w:rPr>
              <w:t>.00</w:t>
            </w:r>
            <w:r>
              <w:rPr>
                <w:rFonts w:hint="eastAsia" w:ascii="宋体" w:hAnsi="宋体" w:eastAsia="宋体" w:cs="宋体"/>
                <w:spacing w:val="-65"/>
                <w:highlight w:val="none"/>
              </w:rPr>
              <w:t xml:space="preserve"> </w:t>
            </w:r>
            <w:r>
              <w:rPr>
                <w:rFonts w:hint="eastAsia" w:ascii="宋体" w:hAnsi="宋体" w:eastAsia="宋体" w:cs="宋体"/>
                <w:highlight w:val="none"/>
              </w:rPr>
              <w:t>元（大写</w:t>
            </w:r>
            <w:r>
              <w:rPr>
                <w:rFonts w:hint="eastAsia" w:ascii="宋体" w:hAnsi="宋体" w:cs="宋体"/>
                <w:highlight w:val="none"/>
                <w:lang w:val="en-US" w:eastAsia="zh-CN"/>
              </w:rPr>
              <w:t>:叁拾万</w:t>
            </w:r>
            <w:r>
              <w:rPr>
                <w:rFonts w:hint="eastAsia" w:ascii="宋体" w:hAnsi="宋体" w:eastAsia="宋体" w:cs="宋体"/>
                <w:highlight w:val="none"/>
              </w:rPr>
              <w:t>元整）</w:t>
            </w:r>
          </w:p>
          <w:p>
            <w:pPr>
              <w:pStyle w:val="28"/>
              <w:kinsoku w:val="0"/>
              <w:overflowPunct w:val="0"/>
              <w:spacing w:line="276" w:lineRule="exact"/>
              <w:ind w:left="102"/>
              <w:rPr>
                <w:rFonts w:hint="eastAsia" w:ascii="宋体" w:hAnsi="宋体" w:eastAsia="宋体" w:cs="宋体"/>
                <w:b/>
                <w:bCs/>
                <w:highlight w:val="none"/>
              </w:rPr>
            </w:pPr>
            <w:r>
              <w:rPr>
                <w:rFonts w:hint="eastAsia" w:ascii="宋体" w:hAnsi="宋体" w:eastAsia="宋体" w:cs="宋体"/>
                <w:sz w:val="22"/>
                <w:szCs w:val="22"/>
                <w:highlight w:val="none"/>
              </w:rPr>
              <w:t>★</w:t>
            </w:r>
            <w:r>
              <w:rPr>
                <w:rFonts w:hint="eastAsia" w:ascii="宋体" w:hAnsi="宋体" w:eastAsia="宋体" w:cs="宋体"/>
                <w:b/>
                <w:bCs/>
                <w:highlight w:val="none"/>
              </w:rPr>
              <w:t>供应商磋商报价超出预算金额的，作为不实质性响应磋商文件，按无效响应文件处理。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672" w:type="dxa"/>
            <w:noWrap w:val="0"/>
            <w:vAlign w:val="center"/>
          </w:tcPr>
          <w:p>
            <w:pPr>
              <w:pStyle w:val="28"/>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6</w:t>
            </w:r>
          </w:p>
        </w:tc>
        <w:tc>
          <w:tcPr>
            <w:tcW w:w="8475" w:type="dxa"/>
            <w:noWrap w:val="0"/>
            <w:vAlign w:val="top"/>
          </w:tcPr>
          <w:p>
            <w:pPr>
              <w:pStyle w:val="28"/>
              <w:kinsoku w:val="0"/>
              <w:overflowPunct w:val="0"/>
              <w:spacing w:before="122"/>
              <w:ind w:left="102"/>
              <w:rPr>
                <w:rFonts w:hint="eastAsia" w:ascii="宋体" w:hAnsi="宋体" w:eastAsia="宋体" w:cs="宋体"/>
                <w:b/>
                <w:bCs/>
                <w:highlight w:val="none"/>
              </w:rPr>
            </w:pPr>
            <w:r>
              <w:rPr>
                <w:rFonts w:hint="eastAsia" w:ascii="宋体" w:hAnsi="宋体" w:eastAsia="宋体" w:cs="宋体"/>
                <w:b/>
                <w:bCs/>
                <w:highlight w:val="none"/>
              </w:rPr>
              <w:t>★1、</w:t>
            </w:r>
            <w:r>
              <w:rPr>
                <w:rFonts w:hint="eastAsia" w:ascii="宋体" w:hAnsi="宋体" w:cs="宋体"/>
                <w:b/>
                <w:bCs/>
                <w:highlight w:val="none"/>
                <w:lang w:val="en-US" w:eastAsia="zh-CN"/>
              </w:rPr>
              <w:t>供应商</w:t>
            </w:r>
            <w:r>
              <w:rPr>
                <w:rFonts w:hint="eastAsia" w:ascii="宋体" w:hAnsi="宋体" w:eastAsia="宋体" w:cs="宋体"/>
                <w:b/>
                <w:bCs/>
                <w:highlight w:val="none"/>
              </w:rPr>
              <w:t>资格要求：</w:t>
            </w:r>
          </w:p>
          <w:p>
            <w:pPr>
              <w:pStyle w:val="28"/>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（1）符合《中华人民共和国政府采购法》第二十二条的相关规定；</w:t>
            </w:r>
          </w:p>
          <w:p>
            <w:pPr>
              <w:pStyle w:val="28"/>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（2）在中华人民共和国境内注册的法人、其他组织或者自然人，且有承担本项目能力的供应商；</w:t>
            </w:r>
          </w:p>
          <w:p>
            <w:pPr>
              <w:pStyle w:val="28"/>
              <w:kinsoku w:val="0"/>
              <w:overflowPunct w:val="0"/>
              <w:spacing w:before="122"/>
              <w:ind w:left="102"/>
              <w:rPr>
                <w:rFonts w:hint="eastAsia" w:ascii="宋体" w:hAnsi="宋体" w:eastAsia="宋体" w:cs="宋体"/>
                <w:i w:val="0"/>
                <w:iCs w:val="0"/>
                <w:sz w:val="24"/>
                <w:szCs w:val="24"/>
                <w:highlight w:val="none"/>
                <w:u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w:t>
            </w:r>
            <w:r>
              <w:rPr>
                <w:rFonts w:hint="eastAsia" w:ascii="宋体" w:hAnsi="宋体" w:eastAsia="宋体" w:cs="宋体"/>
                <w:color w:val="auto"/>
                <w:sz w:val="24"/>
                <w:szCs w:val="24"/>
                <w:highlight w:val="none"/>
                <w:lang w:eastAsia="zh-CN"/>
              </w:rPr>
              <w:t>供应商为企业法人应提供合法有效的标识有统一社会信用代码的营业执照</w:t>
            </w:r>
            <w:r>
              <w:rPr>
                <w:rFonts w:hint="eastAsia" w:ascii="宋体" w:hAnsi="宋体" w:eastAsia="宋体" w:cs="宋体"/>
                <w:i w:val="0"/>
                <w:iCs w:val="0"/>
                <w:sz w:val="24"/>
                <w:szCs w:val="24"/>
                <w:highlight w:val="none"/>
                <w:lang w:eastAsia="zh-CN"/>
              </w:rPr>
              <w:t>；事业法人应提供事业单位法人证书；其他组织应提供合法登记证明文件</w:t>
            </w:r>
            <w:r>
              <w:rPr>
                <w:rFonts w:hint="eastAsia" w:ascii="宋体" w:hAnsi="宋体" w:eastAsia="宋体" w:cs="宋体"/>
                <w:highlight w:val="none"/>
              </w:rPr>
              <w:t>；</w:t>
            </w:r>
          </w:p>
          <w:p>
            <w:pPr>
              <w:pStyle w:val="28"/>
              <w:kinsoku w:val="0"/>
              <w:overflowPunct w:val="0"/>
              <w:spacing w:before="122"/>
              <w:ind w:left="102"/>
              <w:rPr>
                <w:rFonts w:hint="eastAsia" w:ascii="Arial" w:hAnsi="Arial" w:cs="Arial"/>
                <w:sz w:val="24"/>
                <w:szCs w:val="24"/>
                <w:highlight w:val="none"/>
                <w:lang w:eastAsia="zh-CN"/>
              </w:rPr>
            </w:pPr>
            <w:r>
              <w:rPr>
                <w:rFonts w:hint="eastAsia" w:ascii="宋体" w:hAnsi="宋体" w:eastAsia="宋体" w:cs="宋体"/>
                <w:highlight w:val="none"/>
              </w:rPr>
              <w:t>（</w:t>
            </w:r>
            <w:r>
              <w:rPr>
                <w:rFonts w:hint="eastAsia" w:ascii="宋体" w:hAnsi="宋体" w:cs="宋体"/>
                <w:highlight w:val="none"/>
                <w:lang w:val="en-US" w:eastAsia="zh-CN"/>
              </w:rPr>
              <w:t>4</w:t>
            </w:r>
            <w:r>
              <w:rPr>
                <w:rFonts w:hint="eastAsia" w:ascii="宋体" w:hAnsi="宋体" w:eastAsia="宋体" w:cs="宋体"/>
                <w:highlight w:val="none"/>
              </w:rPr>
              <w:t>）</w:t>
            </w:r>
            <w:r>
              <w:rPr>
                <w:rFonts w:hint="eastAsia" w:ascii="宋体" w:hAnsi="宋体" w:eastAsia="宋体" w:cs="宋体"/>
                <w:kern w:val="0"/>
                <w:sz w:val="24"/>
                <w:szCs w:val="24"/>
                <w:highlight w:val="none"/>
                <w:lang w:val="en-US" w:eastAsia="zh-CN" w:bidi="ar"/>
              </w:rPr>
              <w:t>供应商具有有效的</w:t>
            </w:r>
            <w:r>
              <w:rPr>
                <w:rFonts w:hint="eastAsia" w:ascii="Arial" w:hAnsi="Arial" w:cs="Arial"/>
                <w:sz w:val="24"/>
                <w:szCs w:val="24"/>
                <w:highlight w:val="yellow"/>
              </w:rPr>
              <w:t>《广播电视节目制作经营许可证》</w:t>
            </w:r>
            <w:r>
              <w:rPr>
                <w:rFonts w:hint="eastAsia" w:ascii="Arial" w:hAnsi="Arial" w:cs="Arial"/>
                <w:sz w:val="24"/>
                <w:szCs w:val="24"/>
                <w:highlight w:val="none"/>
                <w:lang w:eastAsia="zh-CN"/>
              </w:rPr>
              <w:t>；</w:t>
            </w:r>
          </w:p>
          <w:p>
            <w:pPr>
              <w:pStyle w:val="28"/>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5</w:t>
            </w:r>
            <w:r>
              <w:rPr>
                <w:rFonts w:hint="eastAsia" w:ascii="宋体" w:hAnsi="宋体" w:eastAsia="宋体" w:cs="宋体"/>
                <w:highlight w:val="none"/>
              </w:rPr>
              <w:t>）具有良好的商业信誉和健全的财务会计制度以及内部管理机制，且有较强的风险控制能力；</w:t>
            </w:r>
          </w:p>
          <w:p>
            <w:pPr>
              <w:pStyle w:val="28"/>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6</w:t>
            </w:r>
            <w:r>
              <w:rPr>
                <w:rFonts w:hint="eastAsia" w:ascii="宋体" w:hAnsi="宋体" w:eastAsia="宋体" w:cs="宋体"/>
                <w:highlight w:val="none"/>
              </w:rPr>
              <w:t>）财务稳健，资本充足率、不良贷款率、拨备覆盖率、流动性比例等指标达到监管标准；</w:t>
            </w:r>
          </w:p>
          <w:p>
            <w:pPr>
              <w:pStyle w:val="28"/>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7</w:t>
            </w:r>
            <w:r>
              <w:rPr>
                <w:rFonts w:hint="eastAsia" w:ascii="宋体" w:hAnsi="宋体" w:eastAsia="宋体" w:cs="宋体"/>
                <w:highlight w:val="none"/>
              </w:rPr>
              <w:t>）经信用中国（</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"http://www.creditchina.gov.xn--cn)(www-0o3fu69vuosgftrgs7o1fgtwb3oo.ccgp.gov.xn--cn)-x33e002goji19wjl4almi/" \t "_blank" </w:instrText>
            </w:r>
            <w:r>
              <w:rPr>
                <w:rFonts w:hint="eastAsia" w:ascii="宋体" w:hAnsi="宋体" w:eastAsia="宋体" w:cs="宋体"/>
                <w:highlight w:val="none"/>
              </w:rPr>
              <w:fldChar w:fldCharType="separate"/>
            </w:r>
            <w:r>
              <w:rPr>
                <w:rFonts w:hint="eastAsia" w:ascii="宋体" w:hAnsi="宋体" w:eastAsia="宋体" w:cs="宋体"/>
                <w:highlight w:val="none"/>
              </w:rPr>
              <w:t>www.creditchina.gov.cn）、中国政府采购网（www.ccgp.gov.cn）等渠道查询后</w:t>
            </w:r>
            <w:r>
              <w:rPr>
                <w:rFonts w:hint="eastAsia" w:ascii="宋体" w:hAnsi="宋体" w:eastAsia="宋体" w:cs="宋体"/>
                <w:highlight w:val="none"/>
              </w:rPr>
              <w:fldChar w:fldCharType="end"/>
            </w:r>
            <w:r>
              <w:rPr>
                <w:rFonts w:hint="eastAsia" w:ascii="宋体" w:hAnsi="宋体" w:eastAsia="宋体" w:cs="宋体"/>
                <w:highlight w:val="none"/>
              </w:rPr>
              <w:t>，列入失信被执行人、重大税收违法案件当事人名单、政府采购严重违法失信行为记录名单的，取消投标资格。（提供“信用中国”网站无任何不良记录的查询截图并加盖公章）；</w:t>
            </w:r>
          </w:p>
          <w:p>
            <w:pPr>
              <w:pStyle w:val="28"/>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8</w:t>
            </w:r>
            <w:r>
              <w:rPr>
                <w:rFonts w:hint="eastAsia" w:ascii="宋体" w:hAnsi="宋体" w:eastAsia="宋体" w:cs="宋体"/>
                <w:highlight w:val="none"/>
              </w:rPr>
              <w:t>）为充分保证完善的售后服务，本项目不接受联合体投标。</w:t>
            </w:r>
          </w:p>
          <w:p>
            <w:pPr>
              <w:pStyle w:val="28"/>
              <w:kinsoku w:val="0"/>
              <w:overflowPunct w:val="0"/>
              <w:spacing w:before="122"/>
              <w:ind w:left="102"/>
              <w:rPr>
                <w:rFonts w:hint="eastAsia" w:ascii="宋体" w:hAnsi="宋体" w:eastAsia="宋体" w:cs="宋体"/>
                <w:b/>
                <w:bCs/>
                <w:w w:val="95"/>
                <w:highlight w:val="none"/>
              </w:rPr>
            </w:pPr>
            <w:r>
              <w:rPr>
                <w:rFonts w:hint="eastAsia" w:ascii="宋体" w:hAnsi="宋体" w:eastAsia="宋体" w:cs="宋体"/>
                <w:b/>
                <w:bCs/>
                <w:w w:val="95"/>
                <w:highlight w:val="none"/>
              </w:rPr>
              <w:t>★</w:t>
            </w:r>
            <w:r>
              <w:rPr>
                <w:rFonts w:hint="eastAsia" w:ascii="宋体" w:hAnsi="宋体" w:eastAsia="宋体" w:cs="宋体"/>
                <w:b/>
                <w:bCs/>
                <w:spacing w:val="1"/>
                <w:w w:val="95"/>
                <w:highlight w:val="none"/>
              </w:rPr>
              <w:t>2</w:t>
            </w:r>
            <w:r>
              <w:rPr>
                <w:rFonts w:hint="eastAsia" w:ascii="宋体" w:hAnsi="宋体" w:eastAsia="宋体" w:cs="宋体"/>
                <w:b/>
                <w:bCs/>
                <w:w w:val="95"/>
                <w:highlight w:val="none"/>
              </w:rPr>
              <w:t>.响应人</w:t>
            </w:r>
            <w:r>
              <w:rPr>
                <w:rFonts w:hint="eastAsia" w:ascii="宋体" w:hAnsi="宋体" w:eastAsia="宋体" w:cs="宋体"/>
                <w:b/>
                <w:bCs/>
                <w:spacing w:val="1"/>
                <w:w w:val="95"/>
                <w:highlight w:val="none"/>
              </w:rPr>
              <w:t>须</w:t>
            </w:r>
            <w:r>
              <w:rPr>
                <w:rFonts w:hint="eastAsia" w:ascii="宋体" w:hAnsi="宋体" w:eastAsia="宋体" w:cs="宋体"/>
                <w:b/>
                <w:bCs/>
                <w:w w:val="95"/>
                <w:highlight w:val="none"/>
              </w:rPr>
              <w:t>递交</w:t>
            </w:r>
            <w:r>
              <w:rPr>
                <w:rFonts w:hint="eastAsia" w:ascii="宋体" w:hAnsi="宋体" w:eastAsia="宋体" w:cs="宋体"/>
                <w:b/>
                <w:bCs/>
                <w:spacing w:val="1"/>
                <w:w w:val="95"/>
                <w:highlight w:val="none"/>
              </w:rPr>
              <w:t>备</w:t>
            </w:r>
            <w:r>
              <w:rPr>
                <w:rFonts w:hint="eastAsia" w:ascii="宋体" w:hAnsi="宋体" w:eastAsia="宋体" w:cs="宋体"/>
                <w:b/>
                <w:bCs/>
                <w:w w:val="95"/>
                <w:highlight w:val="none"/>
              </w:rPr>
              <w:t>查</w:t>
            </w:r>
            <w:r>
              <w:rPr>
                <w:rFonts w:hint="eastAsia" w:ascii="宋体" w:hAnsi="宋体" w:eastAsia="宋体" w:cs="宋体"/>
                <w:b/>
                <w:bCs/>
                <w:spacing w:val="1"/>
                <w:w w:val="95"/>
                <w:highlight w:val="none"/>
              </w:rPr>
              <w:t>的</w:t>
            </w:r>
            <w:r>
              <w:rPr>
                <w:rFonts w:hint="eastAsia" w:ascii="宋体" w:hAnsi="宋体" w:eastAsia="宋体" w:cs="宋体"/>
                <w:b/>
                <w:bCs/>
                <w:w w:val="95"/>
                <w:highlight w:val="none"/>
              </w:rPr>
              <w:t>资质</w:t>
            </w:r>
            <w:r>
              <w:rPr>
                <w:rFonts w:hint="eastAsia" w:ascii="宋体" w:hAnsi="宋体" w:eastAsia="宋体" w:cs="宋体"/>
                <w:b/>
                <w:bCs/>
                <w:spacing w:val="1"/>
                <w:w w:val="95"/>
                <w:highlight w:val="none"/>
              </w:rPr>
              <w:t>证</w:t>
            </w:r>
            <w:r>
              <w:rPr>
                <w:rFonts w:hint="eastAsia" w:ascii="宋体" w:hAnsi="宋体" w:eastAsia="宋体" w:cs="宋体"/>
                <w:b/>
                <w:bCs/>
                <w:w w:val="95"/>
                <w:highlight w:val="none"/>
              </w:rPr>
              <w:t>书</w:t>
            </w:r>
            <w:r>
              <w:rPr>
                <w:rFonts w:hint="eastAsia" w:ascii="宋体" w:hAnsi="宋体" w:cs="宋体"/>
                <w:b/>
                <w:bCs/>
                <w:w w:val="95"/>
                <w:highlight w:val="none"/>
                <w:lang w:eastAsia="zh-CN"/>
              </w:rPr>
              <w:t>（</w:t>
            </w:r>
            <w:r>
              <w:rPr>
                <w:rFonts w:hint="eastAsia" w:ascii="宋体" w:hAnsi="宋体" w:eastAsia="宋体" w:cs="宋体"/>
                <w:b/>
                <w:bCs/>
                <w:w w:val="95"/>
                <w:highlight w:val="none"/>
              </w:rPr>
              <w:t>不提供视为无效磋商响应性文件）：</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1</w:t>
            </w:r>
            <w:r>
              <w:rPr>
                <w:rFonts w:hint="eastAsia" w:asciiTheme="minorEastAsia" w:hAnsiTheme="minorEastAsia" w:eastAsiaTheme="minorEastAsia" w:cstheme="minorEastAsia"/>
                <w:b/>
                <w:bCs/>
                <w:color w:val="auto"/>
                <w:kern w:val="0"/>
                <w:sz w:val="24"/>
                <w:szCs w:val="24"/>
                <w:highlight w:val="none"/>
                <w:lang w:val="en-US" w:eastAsia="zh-CN"/>
              </w:rPr>
              <w:t>、</w:t>
            </w:r>
            <w:r>
              <w:rPr>
                <w:rFonts w:hint="eastAsia" w:ascii="宋体" w:hAnsi="宋体"/>
                <w:b/>
                <w:bCs/>
                <w:sz w:val="24"/>
                <w:szCs w:val="24"/>
                <w:highlight w:val="none"/>
              </w:rPr>
              <w:t>法人授权委托书和被授权人有效身份证（法人直接参加的需出示法人身份</w:t>
            </w:r>
            <w:r>
              <w:rPr>
                <w:rFonts w:hint="eastAsia" w:ascii="宋体" w:hAnsi="宋体"/>
                <w:b/>
                <w:bCs/>
                <w:sz w:val="24"/>
                <w:szCs w:val="24"/>
                <w:highlight w:val="none"/>
                <w:lang w:eastAsia="zh-CN"/>
              </w:rPr>
              <w:t>证明及身份</w:t>
            </w:r>
            <w:r>
              <w:rPr>
                <w:rFonts w:hint="eastAsia" w:ascii="宋体" w:hAnsi="宋体"/>
                <w:b/>
                <w:bCs/>
                <w:sz w:val="24"/>
                <w:szCs w:val="24"/>
                <w:highlight w:val="none"/>
              </w:rPr>
              <w:t>证原件）</w:t>
            </w:r>
            <w:r>
              <w:rPr>
                <w:rFonts w:hint="eastAsia" w:asciiTheme="minorEastAsia" w:hAnsiTheme="minorEastAsia" w:eastAsiaTheme="minorEastAsia" w:cstheme="minorEastAsia"/>
                <w:b/>
                <w:bCs/>
                <w:color w:val="auto"/>
                <w:kern w:val="0"/>
                <w:sz w:val="24"/>
                <w:szCs w:val="24"/>
                <w:highlight w:val="none"/>
                <w:lang w:val="zh-CN" w:eastAsia="zh-CN"/>
              </w:rPr>
              <w:t>；</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Arial" w:hAnsi="Arial" w:cs="Arial"/>
                <w:b/>
                <w:bCs/>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lang w:val="en-US" w:eastAsia="zh-CN"/>
              </w:rPr>
              <w:t>2、</w:t>
            </w:r>
            <w:r>
              <w:rPr>
                <w:rFonts w:hint="eastAsia" w:ascii="宋体" w:hAnsi="宋体" w:eastAsia="宋体" w:cs="宋体"/>
                <w:b/>
                <w:bCs/>
                <w:color w:val="auto"/>
                <w:sz w:val="24"/>
                <w:szCs w:val="24"/>
                <w:highlight w:val="none"/>
                <w:lang w:val="en-US" w:eastAsia="zh-CN"/>
              </w:rPr>
              <w:t>供应商具有有效的</w:t>
            </w:r>
            <w:r>
              <w:rPr>
                <w:rFonts w:hint="eastAsia" w:ascii="Arial" w:hAnsi="Arial" w:cs="Arial"/>
                <w:sz w:val="24"/>
                <w:szCs w:val="24"/>
                <w:highlight w:val="yellow"/>
              </w:rPr>
              <w:t>《广播电视节目制作经营许可证》</w:t>
            </w:r>
            <w:r>
              <w:rPr>
                <w:rFonts w:hint="eastAsia" w:ascii="Arial" w:hAnsi="Arial" w:cs="Arial"/>
                <w:b/>
                <w:bCs/>
                <w:sz w:val="24"/>
                <w:szCs w:val="24"/>
                <w:highlight w:val="none"/>
                <w:lang w:eastAsia="zh-CN"/>
              </w:rPr>
              <w:t>；</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宋体" w:hAnsi="宋体" w:eastAsia="宋体" w:cs="宋体"/>
                <w:b/>
                <w:bCs/>
                <w:i w:val="0"/>
                <w:iCs w:val="0"/>
                <w:sz w:val="24"/>
                <w:szCs w:val="24"/>
                <w:highlight w:val="none"/>
                <w:u w:val="none"/>
                <w:lang w:eastAsia="zh-CN"/>
              </w:rPr>
            </w:pPr>
            <w:r>
              <w:rPr>
                <w:rFonts w:hint="eastAsia" w:ascii="Arial" w:hAnsi="Arial" w:cs="Arial"/>
                <w:b/>
                <w:bCs/>
                <w:sz w:val="24"/>
                <w:szCs w:val="24"/>
                <w:highlight w:val="none"/>
                <w:lang w:val="en-US" w:eastAsia="zh-CN"/>
              </w:rPr>
              <w:t>3、</w:t>
            </w:r>
            <w:r>
              <w:rPr>
                <w:rFonts w:hint="eastAsia" w:ascii="宋体" w:hAnsi="宋体" w:eastAsia="宋体" w:cs="宋体"/>
                <w:b/>
                <w:bCs/>
                <w:color w:val="auto"/>
                <w:sz w:val="24"/>
                <w:szCs w:val="24"/>
                <w:highlight w:val="none"/>
                <w:lang w:eastAsia="zh-CN"/>
              </w:rPr>
              <w:t>供应商为企业法人应提供合法有效的标识有统一社会信用代码的营业执照</w:t>
            </w:r>
            <w:r>
              <w:rPr>
                <w:rFonts w:hint="eastAsia" w:ascii="宋体" w:hAnsi="宋体" w:eastAsia="宋体" w:cs="宋体"/>
                <w:b/>
                <w:bCs/>
                <w:i w:val="0"/>
                <w:iCs w:val="0"/>
                <w:sz w:val="24"/>
                <w:szCs w:val="24"/>
                <w:highlight w:val="none"/>
                <w:lang w:eastAsia="zh-CN"/>
              </w:rPr>
              <w:t>；事业法人应提供事业单位法人证书；其他组织应提供合法登记证明文件</w:t>
            </w:r>
            <w:r>
              <w:rPr>
                <w:rFonts w:hint="eastAsia" w:asciiTheme="minorEastAsia" w:hAnsiTheme="minorEastAsia" w:eastAsiaTheme="minorEastAsia" w:cstheme="minorEastAsia"/>
                <w:b/>
                <w:bCs/>
                <w:color w:val="auto"/>
                <w:kern w:val="0"/>
                <w:sz w:val="24"/>
                <w:szCs w:val="24"/>
                <w:highlight w:val="none"/>
                <w:lang w:val="zh-CN" w:eastAsia="zh-CN"/>
              </w:rPr>
              <w:t>；</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Theme="minorEastAsia" w:hAnsiTheme="minorEastAsia" w:eastAsiaTheme="minorEastAsia" w:cstheme="minorEastAsia"/>
                <w:b/>
                <w:bCs/>
                <w:color w:val="auto"/>
                <w:kern w:val="0"/>
                <w:sz w:val="24"/>
                <w:szCs w:val="24"/>
                <w:highlight w:val="none"/>
                <w:lang w:val="zh-CN" w:eastAsia="zh-CN"/>
              </w:rPr>
            </w:pPr>
            <w:r>
              <w:rPr>
                <w:rFonts w:hint="eastAsia" w:ascii="宋体" w:hAnsi="宋体" w:cs="宋体"/>
                <w:b/>
                <w:bCs/>
                <w:i w:val="0"/>
                <w:iCs w:val="0"/>
                <w:sz w:val="24"/>
                <w:szCs w:val="24"/>
                <w:highlight w:val="none"/>
                <w:u w:val="none"/>
                <w:lang w:val="en-US" w:eastAsia="zh-CN"/>
              </w:rPr>
              <w:t>4、</w:t>
            </w:r>
            <w:r>
              <w:rPr>
                <w:rFonts w:hint="eastAsia" w:asciiTheme="minorEastAsia" w:hAnsiTheme="minorEastAsia" w:eastAsiaTheme="minorEastAsia" w:cstheme="minorEastAsia"/>
                <w:b/>
                <w:bCs/>
                <w:color w:val="auto"/>
                <w:kern w:val="0"/>
                <w:sz w:val="24"/>
                <w:szCs w:val="24"/>
                <w:highlight w:val="none"/>
                <w:lang w:val="zh-CN" w:eastAsia="zh-CN"/>
              </w:rPr>
              <w:t>供应商</w:t>
            </w:r>
            <w:r>
              <w:rPr>
                <w:rFonts w:hint="eastAsia" w:ascii="宋体" w:hAnsi="宋体"/>
                <w:b/>
                <w:bCs/>
                <w:sz w:val="24"/>
                <w:szCs w:val="24"/>
                <w:highlight w:val="none"/>
              </w:rPr>
              <w:t>提供近半年内已缴存的至少一个月的社会保障资金缴存单据或社保机构开具的社会保险参保缴费情况证明，依法不需要缴纳社会保障资金的投标人应提供相关文件证明</w:t>
            </w:r>
            <w:r>
              <w:rPr>
                <w:rFonts w:hint="eastAsia" w:asciiTheme="minorEastAsia" w:hAnsiTheme="minorEastAsia" w:eastAsiaTheme="minorEastAsia" w:cstheme="minorEastAsia"/>
                <w:b/>
                <w:bCs/>
                <w:color w:val="auto"/>
                <w:kern w:val="0"/>
                <w:sz w:val="24"/>
                <w:szCs w:val="24"/>
                <w:highlight w:val="none"/>
                <w:lang w:val="zh-CN" w:eastAsia="zh-CN"/>
              </w:rPr>
              <w:t>；</w:t>
            </w:r>
          </w:p>
          <w:p>
            <w:pPr>
              <w:keepNext w:val="0"/>
              <w:keepLines w:val="0"/>
              <w:pageBreakBefore w:val="0"/>
              <w:widowControl w:val="0"/>
              <w:kinsoku/>
              <w:wordWrap/>
              <w:overflowPunct/>
              <w:topLinePunct w:val="0"/>
              <w:bidi w:val="0"/>
              <w:snapToGrid/>
              <w:spacing w:line="400" w:lineRule="exact"/>
              <w:ind w:right="0" w:rightChars="0"/>
              <w:textAlignment w:val="auto"/>
              <w:rPr>
                <w:rFonts w:hint="eastAsia" w:asciiTheme="minorEastAsia" w:hAnsiTheme="minorEastAsia" w:eastAsiaTheme="minorEastAsia" w:cstheme="minorEastAsia"/>
                <w:b/>
                <w:bCs/>
                <w:color w:val="auto"/>
                <w:kern w:val="0"/>
                <w:sz w:val="24"/>
                <w:szCs w:val="24"/>
                <w:highlight w:val="none"/>
                <w:lang w:val="zh-CN" w:eastAsia="zh-CN"/>
              </w:rPr>
            </w:pPr>
            <w:r>
              <w:rPr>
                <w:rFonts w:hint="eastAsia" w:asciiTheme="minorEastAsia" w:hAnsiTheme="minorEastAsia" w:eastAsiaTheme="minorEastAsia" w:cstheme="minorEastAsia"/>
                <w:b/>
                <w:bCs/>
                <w:color w:val="auto"/>
                <w:kern w:val="0"/>
                <w:sz w:val="24"/>
                <w:szCs w:val="24"/>
                <w:highlight w:val="none"/>
                <w:lang w:val="en-US" w:eastAsia="zh-CN"/>
              </w:rPr>
              <w:t>5、</w:t>
            </w:r>
            <w:r>
              <w:rPr>
                <w:rFonts w:hint="eastAsia" w:asciiTheme="minorEastAsia" w:hAnsiTheme="minorEastAsia" w:eastAsiaTheme="minorEastAsia" w:cstheme="minorEastAsia"/>
                <w:b/>
                <w:bCs/>
                <w:color w:val="auto"/>
                <w:kern w:val="0"/>
                <w:sz w:val="24"/>
                <w:szCs w:val="24"/>
                <w:highlight w:val="none"/>
                <w:lang w:val="zh-CN" w:eastAsia="zh-CN"/>
              </w:rPr>
              <w:t>提供</w:t>
            </w:r>
            <w:r>
              <w:rPr>
                <w:rFonts w:hint="eastAsia" w:asciiTheme="minorEastAsia" w:hAnsiTheme="minorEastAsia" w:eastAsiaTheme="minorEastAsia" w:cstheme="minorEastAsia"/>
                <w:b/>
                <w:bCs/>
                <w:color w:val="auto"/>
                <w:kern w:val="0"/>
                <w:sz w:val="24"/>
                <w:szCs w:val="24"/>
                <w:highlight w:val="yellow"/>
                <w:lang w:val="zh-CN" w:eastAsia="zh-CN"/>
              </w:rPr>
              <w:t>202</w:t>
            </w:r>
            <w:r>
              <w:rPr>
                <w:rFonts w:hint="eastAsia" w:asciiTheme="minorEastAsia" w:hAnsiTheme="minorEastAsia" w:eastAsiaTheme="minorEastAsia" w:cstheme="minorEastAsia"/>
                <w:b/>
                <w:bCs/>
                <w:color w:val="auto"/>
                <w:kern w:val="0"/>
                <w:sz w:val="24"/>
                <w:szCs w:val="24"/>
                <w:highlight w:val="yellow"/>
                <w:lang w:val="en-US" w:eastAsia="zh-CN"/>
              </w:rPr>
              <w:t>1</w:t>
            </w:r>
            <w:r>
              <w:rPr>
                <w:rFonts w:hint="eastAsia" w:asciiTheme="minorEastAsia" w:hAnsiTheme="minorEastAsia" w:eastAsiaTheme="minorEastAsia" w:cstheme="minorEastAsia"/>
                <w:b/>
                <w:bCs/>
                <w:color w:val="auto"/>
                <w:kern w:val="0"/>
                <w:sz w:val="24"/>
                <w:szCs w:val="24"/>
                <w:highlight w:val="yellow"/>
                <w:lang w:val="zh-CN" w:eastAsia="zh-CN"/>
              </w:rPr>
              <w:t>年</w:t>
            </w:r>
            <w:r>
              <w:rPr>
                <w:rFonts w:hint="eastAsia" w:asciiTheme="minorEastAsia" w:hAnsiTheme="minorEastAsia" w:eastAsiaTheme="minorEastAsia" w:cstheme="minorEastAsia"/>
                <w:b/>
                <w:bCs/>
                <w:color w:val="auto"/>
                <w:kern w:val="0"/>
                <w:sz w:val="24"/>
                <w:szCs w:val="24"/>
                <w:highlight w:val="none"/>
                <w:lang w:val="zh-CN" w:eastAsia="zh-CN"/>
              </w:rPr>
              <w:t>的财务审计报告（至少包括“四表一注”即《资产负债表》《利润表》《现金流量表》《所有者权益变动表》及其附注复印件，成立时间至提交投标文件截止时间不足一年的可提供财务报表，不需审计），或其开标前三个月内基本存款账户开户银行出具的资信证明；</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6、</w:t>
            </w:r>
            <w:r>
              <w:rPr>
                <w:rFonts w:hint="eastAsia" w:asciiTheme="minorEastAsia" w:hAnsiTheme="minorEastAsia" w:eastAsiaTheme="minorEastAsia" w:cstheme="minorEastAsia"/>
                <w:b/>
                <w:bCs/>
                <w:color w:val="auto"/>
                <w:kern w:val="0"/>
                <w:sz w:val="24"/>
                <w:szCs w:val="24"/>
                <w:highlight w:val="none"/>
                <w:lang w:val="zh-CN" w:eastAsia="zh-CN"/>
              </w:rPr>
              <w:t>供应商</w:t>
            </w:r>
            <w:r>
              <w:rPr>
                <w:rFonts w:hint="eastAsia" w:ascii="宋体" w:hAnsi="宋体"/>
                <w:b/>
                <w:bCs/>
                <w:sz w:val="24"/>
                <w:szCs w:val="24"/>
                <w:highlight w:val="none"/>
              </w:rPr>
              <w:t>提供近半年内已缴纳的至少一个月的纳税证明或完税证明，纳税证明或完税证明上应有代收机构或税务机关的公章，依法免税的投标人应提供相关文件证明；</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Theme="minorEastAsia" w:hAnsiTheme="minorEastAsia" w:eastAsiaTheme="minorEastAsia" w:cstheme="minorEastAsia"/>
                <w:b/>
                <w:bCs/>
                <w:color w:val="auto"/>
                <w:kern w:val="0"/>
                <w:sz w:val="24"/>
                <w:szCs w:val="24"/>
                <w:highlight w:val="none"/>
                <w:lang w:val="zh-CN" w:eastAsia="zh-CN"/>
              </w:rPr>
            </w:pPr>
            <w:r>
              <w:rPr>
                <w:rFonts w:hint="eastAsia" w:asciiTheme="minorEastAsia" w:hAnsiTheme="minorEastAsia" w:eastAsiaTheme="minorEastAsia" w:cstheme="minorEastAsia"/>
                <w:b/>
                <w:bCs/>
                <w:color w:val="auto"/>
                <w:kern w:val="0"/>
                <w:sz w:val="24"/>
                <w:szCs w:val="24"/>
                <w:highlight w:val="none"/>
                <w:lang w:val="en-US" w:eastAsia="zh-CN"/>
              </w:rPr>
              <w:t>7、</w:t>
            </w:r>
            <w:r>
              <w:rPr>
                <w:rFonts w:hint="eastAsia" w:asciiTheme="minorEastAsia" w:hAnsiTheme="minorEastAsia" w:eastAsiaTheme="minorEastAsia" w:cstheme="minorEastAsia"/>
                <w:b/>
                <w:bCs/>
                <w:color w:val="auto"/>
                <w:kern w:val="0"/>
                <w:sz w:val="24"/>
                <w:szCs w:val="24"/>
                <w:highlight w:val="none"/>
                <w:lang w:val="zh-CN" w:eastAsia="zh-CN"/>
              </w:rPr>
              <w:t>提供保证金缴纳</w:t>
            </w:r>
            <w:r>
              <w:rPr>
                <w:rFonts w:hint="eastAsia" w:asciiTheme="minorEastAsia" w:hAnsiTheme="minorEastAsia" w:eastAsiaTheme="minorEastAsia" w:cstheme="minorEastAsia"/>
                <w:b/>
                <w:bCs/>
                <w:color w:val="auto"/>
                <w:kern w:val="0"/>
                <w:sz w:val="24"/>
                <w:szCs w:val="24"/>
                <w:highlight w:val="none"/>
                <w:lang w:val="en-US" w:eastAsia="zh-CN"/>
              </w:rPr>
              <w:t>凭证</w:t>
            </w:r>
            <w:r>
              <w:rPr>
                <w:rFonts w:hint="eastAsia" w:asciiTheme="minorEastAsia" w:hAnsiTheme="minorEastAsia" w:eastAsiaTheme="minorEastAsia" w:cstheme="minorEastAsia"/>
                <w:b/>
                <w:bCs/>
                <w:color w:val="auto"/>
                <w:kern w:val="0"/>
                <w:sz w:val="24"/>
                <w:szCs w:val="24"/>
                <w:highlight w:val="none"/>
                <w:lang w:val="zh-CN" w:eastAsia="zh-CN"/>
              </w:rPr>
              <w:t>；</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Theme="minorEastAsia" w:hAnsiTheme="minorEastAsia" w:eastAsiaTheme="minorEastAsia" w:cstheme="minorEastAsia"/>
                <w:b/>
                <w:bCs/>
                <w:color w:val="auto"/>
                <w:kern w:val="0"/>
                <w:sz w:val="24"/>
                <w:szCs w:val="24"/>
                <w:highlight w:val="none"/>
                <w:lang w:val="zh-CN"/>
              </w:rPr>
            </w:pPr>
            <w:r>
              <w:rPr>
                <w:rFonts w:hint="eastAsia" w:asciiTheme="minorEastAsia" w:hAnsiTheme="minorEastAsia" w:eastAsiaTheme="minorEastAsia" w:cstheme="minorEastAsia"/>
                <w:b/>
                <w:bCs/>
                <w:color w:val="auto"/>
                <w:kern w:val="0"/>
                <w:sz w:val="24"/>
                <w:szCs w:val="24"/>
                <w:highlight w:val="none"/>
                <w:lang w:val="en-US" w:eastAsia="zh-CN"/>
              </w:rPr>
              <w:t>8、</w:t>
            </w:r>
            <w:r>
              <w:rPr>
                <w:rFonts w:hint="eastAsia" w:ascii="宋体" w:hAnsi="宋体" w:eastAsia="宋体" w:cs="宋体"/>
                <w:b/>
                <w:bCs/>
                <w:kern w:val="0"/>
                <w:sz w:val="24"/>
                <w:szCs w:val="24"/>
                <w:highlight w:val="none"/>
                <w:lang w:val="zh-CN" w:eastAsia="zh-CN" w:bidi="ar-SA"/>
              </w:rPr>
              <w:t>参加政府采购活动前三年内，在经营活动中没有重大违法记录声明函原件；</w:t>
            </w:r>
          </w:p>
          <w:p>
            <w:pPr>
              <w:pageBreakBefore w:val="0"/>
              <w:widowControl w:val="0"/>
              <w:kinsoku/>
              <w:wordWrap/>
              <w:overflowPunct/>
              <w:topLinePunct w:val="0"/>
              <w:bidi w:val="0"/>
              <w:snapToGrid/>
              <w:spacing w:line="360" w:lineRule="auto"/>
              <w:textAlignment w:val="auto"/>
              <w:rPr>
                <w:rFonts w:hint="eastAsia" w:ascii="宋体" w:hAnsi="宋体" w:eastAsia="宋体" w:cs="宋体"/>
                <w:b/>
                <w:bCs/>
                <w:kern w:val="0"/>
                <w:sz w:val="24"/>
                <w:szCs w:val="24"/>
                <w:highlight w:val="none"/>
                <w:lang w:val="en-US" w:eastAsia="zh-CN" w:bidi="ar-SA"/>
              </w:rPr>
            </w:pPr>
            <w:r>
              <w:rPr>
                <w:rFonts w:hint="eastAsia" w:ascii="宋体" w:hAnsi="宋体" w:cs="宋体"/>
                <w:b/>
                <w:bCs/>
                <w:kern w:val="0"/>
                <w:sz w:val="24"/>
                <w:szCs w:val="24"/>
                <w:highlight w:val="none"/>
                <w:lang w:val="en-US" w:eastAsia="zh-CN" w:bidi="ar-SA"/>
              </w:rPr>
              <w:t>9</w:t>
            </w:r>
            <w:r>
              <w:rPr>
                <w:rFonts w:hint="eastAsia" w:ascii="宋体" w:hAnsi="宋体" w:eastAsia="宋体" w:cs="宋体"/>
                <w:b/>
                <w:bCs/>
                <w:kern w:val="0"/>
                <w:sz w:val="24"/>
                <w:szCs w:val="24"/>
                <w:highlight w:val="none"/>
                <w:lang w:val="en-US" w:eastAsia="zh-CN" w:bidi="ar-SA"/>
              </w:rPr>
              <w:t>、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供应商公章为准；</w:t>
            </w:r>
          </w:p>
          <w:p>
            <w:pPr>
              <w:pStyle w:val="28"/>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备注：竞争性磋商文件涉及要求供应商在开标时所带的原件，请供应商在开标现场一次性提供。供应商提交的所有证明文件及材料必须清晰、准确、真实、有效；对于不提供或提供不真实或虚假资料者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8"/>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7</w:t>
            </w:r>
          </w:p>
        </w:tc>
        <w:tc>
          <w:tcPr>
            <w:tcW w:w="8475" w:type="dxa"/>
            <w:noWrap w:val="0"/>
            <w:vAlign w:val="top"/>
          </w:tcPr>
          <w:p>
            <w:pPr>
              <w:pStyle w:val="28"/>
              <w:kinsoku w:val="0"/>
              <w:overflowPunct w:val="0"/>
              <w:spacing w:before="122"/>
              <w:ind w:left="102"/>
              <w:rPr>
                <w:rFonts w:hint="eastAsia" w:ascii="宋体" w:hAnsi="宋体" w:eastAsia="宋体" w:cs="宋体"/>
                <w:b/>
                <w:bCs/>
                <w:highlight w:val="none"/>
                <w:lang w:eastAsia="zh-CN"/>
              </w:rPr>
            </w:pPr>
            <w:r>
              <w:rPr>
                <w:rFonts w:hint="eastAsia" w:ascii="宋体" w:hAnsi="宋体" w:eastAsia="宋体" w:cs="宋体"/>
                <w:b/>
                <w:bCs/>
                <w:highlight w:val="none"/>
              </w:rPr>
              <w:t>资格审查方式：</w:t>
            </w:r>
            <w:r>
              <w:rPr>
                <w:rFonts w:hint="eastAsia" w:ascii="宋体" w:hAnsi="宋体" w:cs="宋体"/>
                <w:highlight w:val="none"/>
                <w:lang w:val="en-US" w:eastAsia="zh-CN"/>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2" w:type="dxa"/>
            <w:noWrap w:val="0"/>
            <w:vAlign w:val="center"/>
          </w:tcPr>
          <w:p>
            <w:pPr>
              <w:pStyle w:val="28"/>
              <w:kinsoku w:val="0"/>
              <w:overflowPunct w:val="0"/>
              <w:spacing w:before="73"/>
              <w:ind w:right="14"/>
              <w:jc w:val="center"/>
              <w:rPr>
                <w:rFonts w:hint="eastAsia" w:ascii="宋体" w:hAnsi="宋体" w:eastAsia="宋体" w:cs="宋体"/>
                <w:highlight w:val="none"/>
              </w:rPr>
            </w:pPr>
            <w:r>
              <w:rPr>
                <w:rFonts w:hint="eastAsia" w:ascii="宋体" w:hAnsi="宋体" w:eastAsia="宋体" w:cs="宋体"/>
                <w:highlight w:val="none"/>
              </w:rPr>
              <w:t>8</w:t>
            </w:r>
          </w:p>
        </w:tc>
        <w:tc>
          <w:tcPr>
            <w:tcW w:w="8475" w:type="dxa"/>
            <w:noWrap w:val="0"/>
            <w:vAlign w:val="top"/>
          </w:tcPr>
          <w:p>
            <w:pPr>
              <w:pStyle w:val="28"/>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投标语言：</w:t>
            </w:r>
            <w:r>
              <w:rPr>
                <w:rFonts w:hint="eastAsia" w:ascii="宋体" w:hAnsi="宋体" w:eastAsia="宋体" w:cs="宋体"/>
                <w:highlight w:val="none"/>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8"/>
              <w:kinsoku w:val="0"/>
              <w:overflowPunct w:val="0"/>
              <w:spacing w:before="72"/>
              <w:jc w:val="center"/>
              <w:rPr>
                <w:rFonts w:hint="eastAsia" w:ascii="宋体" w:hAnsi="宋体" w:eastAsia="宋体" w:cs="宋体"/>
                <w:highlight w:val="none"/>
              </w:rPr>
            </w:pPr>
            <w:r>
              <w:rPr>
                <w:rFonts w:hint="eastAsia" w:ascii="宋体" w:hAnsi="宋体" w:eastAsia="宋体" w:cs="宋体"/>
                <w:highlight w:val="none"/>
              </w:rPr>
              <w:t>9</w:t>
            </w:r>
          </w:p>
        </w:tc>
        <w:tc>
          <w:tcPr>
            <w:tcW w:w="8475" w:type="dxa"/>
            <w:noWrap w:val="0"/>
            <w:vAlign w:val="top"/>
          </w:tcPr>
          <w:p>
            <w:pPr>
              <w:pStyle w:val="28"/>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投标有效期：</w:t>
            </w:r>
            <w:r>
              <w:rPr>
                <w:rFonts w:hint="eastAsia" w:ascii="宋体" w:hAnsi="宋体" w:cs="宋体"/>
                <w:highlight w:val="none"/>
                <w:lang w:val="en-US" w:eastAsia="zh-CN"/>
              </w:rPr>
              <w:t>9</w:t>
            </w:r>
            <w:r>
              <w:rPr>
                <w:rFonts w:hint="eastAsia" w:ascii="宋体" w:hAnsi="宋体" w:eastAsia="宋体" w:cs="宋体"/>
                <w:highlight w:val="none"/>
              </w:rPr>
              <w:t>0</w:t>
            </w:r>
            <w:r>
              <w:rPr>
                <w:rFonts w:hint="eastAsia" w:ascii="宋体" w:hAnsi="宋体" w:eastAsia="宋体" w:cs="宋体"/>
                <w:spacing w:val="-75"/>
                <w:highlight w:val="none"/>
              </w:rPr>
              <w:t xml:space="preserve"> </w:t>
            </w:r>
            <w:r>
              <w:rPr>
                <w:rFonts w:hint="eastAsia" w:ascii="宋体" w:hAnsi="宋体" w:eastAsia="宋体" w:cs="宋体"/>
                <w:highlight w:val="none"/>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8"/>
              <w:kinsoku w:val="0"/>
              <w:overflowPunct w:val="0"/>
              <w:spacing w:before="74"/>
              <w:jc w:val="center"/>
              <w:rPr>
                <w:rFonts w:hint="eastAsia" w:ascii="宋体" w:hAnsi="宋体" w:eastAsia="宋体" w:cs="宋体"/>
                <w:highlight w:val="none"/>
              </w:rPr>
            </w:pPr>
            <w:r>
              <w:rPr>
                <w:rFonts w:hint="eastAsia" w:ascii="宋体" w:hAnsi="宋体" w:eastAsia="宋体" w:cs="宋体"/>
                <w:highlight w:val="none"/>
              </w:rPr>
              <w:t>10</w:t>
            </w:r>
          </w:p>
        </w:tc>
        <w:tc>
          <w:tcPr>
            <w:tcW w:w="8475" w:type="dxa"/>
            <w:noWrap w:val="0"/>
            <w:vAlign w:val="top"/>
          </w:tcPr>
          <w:p>
            <w:pPr>
              <w:pStyle w:val="28"/>
              <w:kinsoku w:val="0"/>
              <w:overflowPunct w:val="0"/>
              <w:spacing w:before="74"/>
              <w:ind w:left="102"/>
              <w:rPr>
                <w:rFonts w:hint="eastAsia" w:ascii="宋体" w:hAnsi="宋体" w:eastAsia="宋体" w:cs="宋体"/>
                <w:highlight w:val="none"/>
              </w:rPr>
            </w:pPr>
            <w:r>
              <w:rPr>
                <w:rFonts w:hint="eastAsia" w:ascii="宋体" w:hAnsi="宋体" w:eastAsia="宋体" w:cs="宋体"/>
                <w:b/>
                <w:bCs/>
                <w:highlight w:val="none"/>
              </w:rPr>
              <w:t>投标截止时间：</w:t>
            </w:r>
            <w:r>
              <w:rPr>
                <w:rFonts w:hint="eastAsia" w:ascii="宋体" w:hAnsi="宋体" w:eastAsia="宋体" w:cs="宋体"/>
                <w:b/>
                <w:bCs/>
                <w:spacing w:val="-3"/>
                <w:highlight w:val="none"/>
              </w:rPr>
              <w:t xml:space="preserve"> </w:t>
            </w:r>
            <w:r>
              <w:rPr>
                <w:rFonts w:hint="eastAsia" w:ascii="宋体" w:hAnsi="宋体" w:eastAsia="宋体" w:cs="宋体"/>
                <w:highlight w:val="none"/>
              </w:rPr>
              <w:t>20</w:t>
            </w:r>
            <w:r>
              <w:rPr>
                <w:rFonts w:hint="eastAsia" w:ascii="宋体" w:hAnsi="宋体" w:cs="宋体"/>
                <w:highlight w:val="none"/>
                <w:lang w:val="en-US" w:eastAsia="zh-CN"/>
              </w:rPr>
              <w:t>22</w:t>
            </w:r>
            <w:r>
              <w:rPr>
                <w:rFonts w:hint="eastAsia" w:ascii="宋体" w:hAnsi="宋体" w:eastAsia="宋体" w:cs="宋体"/>
                <w:highlight w:val="none"/>
              </w:rPr>
              <w:t>年</w:t>
            </w:r>
            <w:r>
              <w:rPr>
                <w:rFonts w:hint="eastAsia" w:ascii="宋体" w:hAnsi="宋体" w:cs="宋体"/>
                <w:highlight w:val="none"/>
                <w:lang w:val="en-US" w:eastAsia="zh-CN"/>
              </w:rPr>
              <w:t>05</w:t>
            </w:r>
            <w:r>
              <w:rPr>
                <w:rFonts w:hint="eastAsia" w:ascii="宋体" w:hAnsi="宋体" w:eastAsia="宋体" w:cs="宋体"/>
                <w:highlight w:val="none"/>
              </w:rPr>
              <w:t>月</w:t>
            </w:r>
            <w:r>
              <w:rPr>
                <w:rFonts w:hint="eastAsia" w:ascii="宋体" w:hAnsi="宋体" w:cs="宋体"/>
                <w:highlight w:val="yellow"/>
                <w:lang w:val="en-US" w:eastAsia="zh-CN"/>
              </w:rPr>
              <w:t xml:space="preserve"> </w:t>
            </w:r>
            <w:r>
              <w:rPr>
                <w:rFonts w:hint="eastAsia" w:ascii="宋体" w:hAnsi="宋体" w:eastAsia="宋体" w:cs="宋体"/>
                <w:highlight w:val="none"/>
              </w:rPr>
              <w:t>日1</w:t>
            </w:r>
            <w:r>
              <w:rPr>
                <w:rFonts w:hint="eastAsia" w:ascii="宋体" w:hAnsi="宋体" w:cs="宋体"/>
                <w:highlight w:val="none"/>
                <w:lang w:val="en-US" w:eastAsia="zh-CN"/>
              </w:rPr>
              <w:t>1</w:t>
            </w:r>
            <w:r>
              <w:rPr>
                <w:rFonts w:hint="eastAsia" w:ascii="宋体" w:hAnsi="宋体" w:eastAsia="宋体" w:cs="宋体"/>
                <w:highlight w:val="none"/>
              </w:rPr>
              <w:t>:</w:t>
            </w:r>
            <w:r>
              <w:rPr>
                <w:rFonts w:hint="eastAsia" w:ascii="宋体" w:hAnsi="宋体" w:cs="宋体"/>
                <w:highlight w:val="none"/>
                <w:lang w:val="en-US" w:eastAsia="zh-CN"/>
              </w:rPr>
              <w:t>0</w:t>
            </w:r>
            <w:r>
              <w:rPr>
                <w:rFonts w:hint="eastAsia" w:ascii="宋体" w:hAnsi="宋体" w:eastAsia="宋体" w:cs="宋体"/>
                <w:highlight w:val="none"/>
              </w:rPr>
              <w:t>0</w:t>
            </w:r>
            <w:r>
              <w:rPr>
                <w:rFonts w:hint="eastAsia" w:ascii="宋体" w:hAnsi="宋体" w:eastAsia="宋体" w:cs="宋体"/>
                <w:spacing w:val="-62"/>
                <w:highlight w:val="none"/>
              </w:rPr>
              <w:t xml:space="preserve"> </w:t>
            </w:r>
            <w:r>
              <w:rPr>
                <w:rFonts w:hint="eastAsia" w:ascii="宋体" w:hAnsi="宋体" w:eastAsia="宋体" w:cs="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8"/>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11</w:t>
            </w:r>
          </w:p>
        </w:tc>
        <w:tc>
          <w:tcPr>
            <w:tcW w:w="8475" w:type="dxa"/>
            <w:noWrap w:val="0"/>
            <w:vAlign w:val="top"/>
          </w:tcPr>
          <w:p>
            <w:pPr>
              <w:pStyle w:val="28"/>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 xml:space="preserve">是否退还磋商响应性文件：否（磋商文件售价 </w:t>
            </w:r>
            <w:r>
              <w:rPr>
                <w:rFonts w:hint="eastAsia" w:ascii="宋体" w:hAnsi="宋体" w:cs="宋体"/>
                <w:b/>
                <w:bCs/>
                <w:highlight w:val="none"/>
                <w:lang w:val="en-US" w:eastAsia="zh-CN"/>
              </w:rPr>
              <w:t>3</w:t>
            </w:r>
            <w:r>
              <w:rPr>
                <w:rFonts w:hint="eastAsia" w:ascii="宋体" w:hAnsi="宋体" w:eastAsia="宋体" w:cs="宋体"/>
                <w:b/>
                <w:bCs/>
                <w:highlight w:val="none"/>
              </w:rPr>
              <w:t>00元 ，</w:t>
            </w:r>
            <w:r>
              <w:rPr>
                <w:rFonts w:hint="eastAsia" w:ascii="宋体" w:hAnsi="宋体" w:cs="宋体"/>
                <w:b/>
                <w:bCs/>
                <w:highlight w:val="none"/>
                <w:lang w:eastAsia="zh-CN"/>
              </w:rPr>
              <w:t>过期不售，售后不退</w:t>
            </w:r>
            <w:r>
              <w:rPr>
                <w:rFonts w:hint="eastAsia" w:ascii="宋体" w:hAnsi="宋体" w:eastAsia="宋体" w:cs="宋体"/>
                <w:b/>
                <w:bCs/>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8"/>
              <w:kinsoku w:val="0"/>
              <w:overflowPunct w:val="0"/>
              <w:spacing w:before="72"/>
              <w:jc w:val="center"/>
              <w:rPr>
                <w:rFonts w:hint="eastAsia" w:ascii="宋体" w:hAnsi="宋体" w:eastAsia="宋体" w:cs="宋体"/>
                <w:highlight w:val="none"/>
              </w:rPr>
            </w:pPr>
            <w:r>
              <w:rPr>
                <w:rFonts w:hint="eastAsia" w:ascii="宋体" w:hAnsi="宋体" w:eastAsia="宋体" w:cs="宋体"/>
                <w:highlight w:val="none"/>
              </w:rPr>
              <w:t>12</w:t>
            </w:r>
          </w:p>
        </w:tc>
        <w:tc>
          <w:tcPr>
            <w:tcW w:w="8475" w:type="dxa"/>
            <w:noWrap w:val="0"/>
            <w:vAlign w:val="top"/>
          </w:tcPr>
          <w:p>
            <w:pPr>
              <w:pStyle w:val="28"/>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联合投标：</w:t>
            </w:r>
            <w:r>
              <w:rPr>
                <w:rFonts w:hint="eastAsia" w:ascii="宋体" w:hAnsi="宋体" w:eastAsia="宋体" w:cs="宋体"/>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8"/>
              <w:kinsoku w:val="0"/>
              <w:overflowPunct w:val="0"/>
              <w:spacing w:before="74"/>
              <w:jc w:val="center"/>
              <w:rPr>
                <w:rFonts w:hint="eastAsia" w:ascii="宋体" w:hAnsi="宋体" w:eastAsia="宋体" w:cs="宋体"/>
                <w:highlight w:val="none"/>
              </w:rPr>
            </w:pPr>
            <w:r>
              <w:rPr>
                <w:rFonts w:hint="eastAsia" w:ascii="宋体" w:hAnsi="宋体" w:eastAsia="宋体" w:cs="宋体"/>
                <w:highlight w:val="none"/>
              </w:rPr>
              <w:t>13</w:t>
            </w:r>
          </w:p>
        </w:tc>
        <w:tc>
          <w:tcPr>
            <w:tcW w:w="8475" w:type="dxa"/>
            <w:noWrap w:val="0"/>
            <w:vAlign w:val="top"/>
          </w:tcPr>
          <w:p>
            <w:pPr>
              <w:pStyle w:val="28"/>
              <w:kinsoku w:val="0"/>
              <w:overflowPunct w:val="0"/>
              <w:spacing w:before="74"/>
              <w:ind w:left="102"/>
              <w:rPr>
                <w:rFonts w:hint="eastAsia" w:ascii="宋体" w:hAnsi="宋体" w:eastAsia="宋体" w:cs="宋体"/>
                <w:highlight w:val="none"/>
              </w:rPr>
            </w:pPr>
            <w:r>
              <w:rPr>
                <w:rFonts w:hint="eastAsia" w:ascii="宋体" w:hAnsi="宋体" w:eastAsia="宋体" w:cs="宋体"/>
                <w:b/>
                <w:bCs/>
                <w:highlight w:val="none"/>
              </w:rPr>
              <w:t>投标报价货币</w:t>
            </w:r>
            <w:r>
              <w:rPr>
                <w:rFonts w:hint="eastAsia" w:ascii="宋体" w:hAnsi="宋体" w:eastAsia="宋体" w:cs="宋体"/>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8"/>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14</w:t>
            </w:r>
          </w:p>
        </w:tc>
        <w:tc>
          <w:tcPr>
            <w:tcW w:w="8475" w:type="dxa"/>
            <w:noWrap w:val="0"/>
            <w:vAlign w:val="top"/>
          </w:tcPr>
          <w:p>
            <w:pPr>
              <w:pStyle w:val="28"/>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采购方式：</w:t>
            </w:r>
            <w:r>
              <w:rPr>
                <w:rFonts w:hint="eastAsia" w:ascii="宋体" w:hAnsi="宋体" w:eastAsia="宋体" w:cs="宋体"/>
                <w:highlight w:val="none"/>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8"/>
              <w:kinsoku w:val="0"/>
              <w:overflowPunct w:val="0"/>
              <w:spacing w:before="72"/>
              <w:jc w:val="center"/>
              <w:rPr>
                <w:rFonts w:hint="eastAsia" w:ascii="宋体" w:hAnsi="宋体" w:eastAsia="宋体" w:cs="宋体"/>
                <w:highlight w:val="none"/>
              </w:rPr>
            </w:pPr>
            <w:r>
              <w:rPr>
                <w:rFonts w:hint="eastAsia" w:ascii="宋体" w:hAnsi="宋体" w:eastAsia="宋体" w:cs="宋体"/>
                <w:highlight w:val="none"/>
              </w:rPr>
              <w:t>15</w:t>
            </w:r>
          </w:p>
        </w:tc>
        <w:tc>
          <w:tcPr>
            <w:tcW w:w="8475" w:type="dxa"/>
            <w:noWrap w:val="0"/>
            <w:vAlign w:val="top"/>
          </w:tcPr>
          <w:p>
            <w:pPr>
              <w:pStyle w:val="28"/>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评标办法：</w:t>
            </w:r>
            <w:r>
              <w:rPr>
                <w:rFonts w:hint="eastAsia" w:ascii="宋体" w:hAnsi="宋体" w:eastAsia="宋体" w:cs="宋体"/>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1" w:hRule="atLeast"/>
          <w:jc w:val="center"/>
        </w:trPr>
        <w:tc>
          <w:tcPr>
            <w:tcW w:w="672" w:type="dxa"/>
            <w:noWrap w:val="0"/>
            <w:vAlign w:val="center"/>
          </w:tcPr>
          <w:p>
            <w:pPr>
              <w:pStyle w:val="28"/>
              <w:kinsoku w:val="0"/>
              <w:overflowPunct w:val="0"/>
              <w:spacing w:before="201"/>
              <w:jc w:val="center"/>
              <w:rPr>
                <w:rFonts w:hint="eastAsia" w:ascii="宋体" w:hAnsi="宋体" w:eastAsia="宋体" w:cs="宋体"/>
                <w:highlight w:val="none"/>
              </w:rPr>
            </w:pPr>
            <w:r>
              <w:rPr>
                <w:rFonts w:hint="eastAsia" w:ascii="宋体" w:hAnsi="宋体" w:eastAsia="宋体" w:cs="宋体"/>
                <w:highlight w:val="none"/>
              </w:rPr>
              <w:t>16</w:t>
            </w:r>
          </w:p>
        </w:tc>
        <w:tc>
          <w:tcPr>
            <w:tcW w:w="8475" w:type="dxa"/>
            <w:noWrap w:val="0"/>
            <w:vAlign w:val="top"/>
          </w:tcPr>
          <w:p>
            <w:pPr>
              <w:pStyle w:val="28"/>
              <w:kinsoku w:val="0"/>
              <w:overflowPunct w:val="0"/>
              <w:spacing w:before="57"/>
              <w:ind w:left="102"/>
              <w:rPr>
                <w:rFonts w:hint="eastAsia" w:ascii="宋体" w:hAnsi="宋体" w:eastAsia="宋体" w:cs="宋体"/>
                <w:highlight w:val="none"/>
              </w:rPr>
            </w:pPr>
            <w:r>
              <w:rPr>
                <w:rFonts w:hint="eastAsia" w:ascii="宋体" w:hAnsi="宋体" w:eastAsia="宋体" w:cs="宋体"/>
                <w:b/>
                <w:bCs/>
                <w:highlight w:val="none"/>
              </w:rPr>
              <w:t>磋商小组的组建：/</w:t>
            </w:r>
          </w:p>
          <w:p>
            <w:pPr>
              <w:pStyle w:val="28"/>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磋商小组构成：</w:t>
            </w:r>
            <w:r>
              <w:rPr>
                <w:rFonts w:hint="eastAsia" w:ascii="宋体" w:hAnsi="宋体" w:eastAsia="宋体" w:cs="宋体"/>
                <w:highlight w:val="none"/>
              </w:rPr>
              <w:t>共3人，由</w:t>
            </w:r>
            <w:r>
              <w:rPr>
                <w:rFonts w:hint="eastAsia" w:ascii="宋体" w:hAnsi="宋体" w:cs="宋体"/>
                <w:highlight w:val="none"/>
                <w:lang w:val="en-US" w:eastAsia="zh-CN"/>
              </w:rPr>
              <w:t>采购人</w:t>
            </w:r>
            <w:r>
              <w:rPr>
                <w:rFonts w:hint="eastAsia" w:ascii="宋体" w:hAnsi="宋体" w:cs="宋体"/>
                <w:highlight w:val="none"/>
                <w:lang w:eastAsia="zh-CN"/>
              </w:rPr>
              <w:t>专家</w:t>
            </w:r>
            <w:r>
              <w:rPr>
                <w:rFonts w:hint="eastAsia" w:ascii="宋体" w:hAnsi="宋体" w:eastAsia="宋体" w:cs="宋体"/>
                <w:highlight w:val="none"/>
              </w:rPr>
              <w:t>代表与技术、经济等方面的专家组成。</w:t>
            </w:r>
          </w:p>
          <w:p>
            <w:pPr>
              <w:pStyle w:val="28"/>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磋商小组确定方式：</w:t>
            </w:r>
            <w:r>
              <w:rPr>
                <w:rFonts w:hint="eastAsia" w:ascii="宋体" w:hAnsi="宋体" w:eastAsia="宋体" w:cs="宋体"/>
                <w:highlight w:val="none"/>
              </w:rPr>
              <w:t>从专家库中随机抽取。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8"/>
              <w:kinsoku w:val="0"/>
              <w:overflowPunct w:val="0"/>
              <w:spacing w:before="72"/>
              <w:jc w:val="center"/>
              <w:rPr>
                <w:rFonts w:hint="eastAsia" w:ascii="宋体" w:hAnsi="宋体" w:eastAsia="宋体" w:cs="宋体"/>
                <w:highlight w:val="none"/>
              </w:rPr>
            </w:pPr>
            <w:r>
              <w:rPr>
                <w:rFonts w:hint="eastAsia" w:ascii="宋体" w:hAnsi="宋体" w:eastAsia="宋体" w:cs="宋体"/>
                <w:highlight w:val="none"/>
              </w:rPr>
              <w:t>17</w:t>
            </w:r>
          </w:p>
        </w:tc>
        <w:tc>
          <w:tcPr>
            <w:tcW w:w="8475" w:type="dxa"/>
            <w:noWrap w:val="0"/>
            <w:vAlign w:val="top"/>
          </w:tcPr>
          <w:p>
            <w:pPr>
              <w:pStyle w:val="28"/>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分包（转让）：</w:t>
            </w:r>
            <w:r>
              <w:rPr>
                <w:rFonts w:hint="eastAsia" w:ascii="宋体" w:hAnsi="宋体" w:eastAsia="宋体" w:cs="宋体"/>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8"/>
              <w:kinsoku w:val="0"/>
              <w:overflowPunct w:val="0"/>
              <w:jc w:val="center"/>
              <w:rPr>
                <w:rFonts w:hint="eastAsia" w:ascii="宋体" w:hAnsi="宋体" w:eastAsia="宋体" w:cs="宋体"/>
                <w:highlight w:val="none"/>
              </w:rPr>
            </w:pPr>
            <w:r>
              <w:rPr>
                <w:rFonts w:hint="eastAsia" w:ascii="宋体" w:hAnsi="宋体" w:eastAsia="宋体" w:cs="宋体"/>
                <w:highlight w:val="none"/>
              </w:rPr>
              <w:t>18</w:t>
            </w:r>
          </w:p>
        </w:tc>
        <w:tc>
          <w:tcPr>
            <w:tcW w:w="8475" w:type="dxa"/>
            <w:noWrap w:val="0"/>
            <w:vAlign w:val="top"/>
          </w:tcPr>
          <w:p>
            <w:pPr>
              <w:pStyle w:val="28"/>
              <w:kinsoku w:val="0"/>
              <w:overflowPunct w:val="0"/>
              <w:spacing w:before="55"/>
              <w:ind w:left="102"/>
              <w:rPr>
                <w:rFonts w:hint="eastAsia" w:ascii="宋体" w:hAnsi="宋体" w:eastAsia="宋体" w:cs="宋体"/>
                <w:highlight w:val="none"/>
              </w:rPr>
            </w:pPr>
            <w:r>
              <w:rPr>
                <w:rFonts w:hint="eastAsia" w:ascii="宋体" w:hAnsi="宋体" w:eastAsia="宋体" w:cs="宋体"/>
                <w:b/>
                <w:bCs/>
                <w:highlight w:val="none"/>
              </w:rPr>
              <w:t>考察现场、磋商前答疑会：</w:t>
            </w:r>
            <w:r>
              <w:rPr>
                <w:rFonts w:hint="eastAsia" w:ascii="宋体" w:hAnsi="宋体" w:eastAsia="宋体" w:cs="宋体"/>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8"/>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19</w:t>
            </w:r>
          </w:p>
        </w:tc>
        <w:tc>
          <w:tcPr>
            <w:tcW w:w="8475" w:type="dxa"/>
            <w:noWrap w:val="0"/>
            <w:vAlign w:val="top"/>
          </w:tcPr>
          <w:p>
            <w:pPr>
              <w:pStyle w:val="28"/>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构成竞争性磋商文件的其他文件：</w:t>
            </w:r>
            <w:r>
              <w:rPr>
                <w:rFonts w:hint="eastAsia" w:ascii="宋体" w:hAnsi="宋体" w:eastAsia="宋体" w:cs="宋体"/>
                <w:highlight w:val="none"/>
              </w:rPr>
              <w:t>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8"/>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20</w:t>
            </w:r>
          </w:p>
        </w:tc>
        <w:tc>
          <w:tcPr>
            <w:tcW w:w="8475" w:type="dxa"/>
            <w:noWrap w:val="0"/>
            <w:vAlign w:val="top"/>
          </w:tcPr>
          <w:p>
            <w:pPr>
              <w:pStyle w:val="28"/>
              <w:kinsoku w:val="0"/>
              <w:overflowPunct w:val="0"/>
              <w:spacing w:before="57"/>
              <w:ind w:left="102"/>
              <w:rPr>
                <w:rFonts w:hint="eastAsia" w:ascii="宋体" w:hAnsi="宋体" w:eastAsia="宋体" w:cs="宋体"/>
                <w:highlight w:val="none"/>
              </w:rPr>
            </w:pPr>
            <w:r>
              <w:rPr>
                <w:rFonts w:hint="eastAsia" w:ascii="宋体" w:hAnsi="宋体" w:eastAsia="宋体" w:cs="宋体"/>
                <w:b/>
                <w:bCs/>
                <w:highlight w:val="none"/>
              </w:rPr>
              <w:t>投标保证金</w:t>
            </w:r>
          </w:p>
          <w:p>
            <w:pPr>
              <w:rPr>
                <w:rFonts w:hint="eastAsia" w:ascii="宋体" w:hAnsi="宋体" w:cs="宋体" w:eastAsiaTheme="minorEastAsia"/>
                <w:kern w:val="0"/>
                <w:sz w:val="24"/>
                <w:szCs w:val="24"/>
                <w:highlight w:val="none"/>
                <w:lang w:eastAsia="zh-CN"/>
              </w:rPr>
            </w:pPr>
            <w:r>
              <w:rPr>
                <w:rFonts w:hint="eastAsia" w:ascii="宋体" w:hAnsi="宋体" w:eastAsia="宋体" w:cs="宋体"/>
                <w:kern w:val="0"/>
                <w:sz w:val="24"/>
                <w:szCs w:val="24"/>
                <w:highlight w:val="none"/>
              </w:rPr>
              <w:t>投标保证金的形式：电汇、转账等形式</w:t>
            </w:r>
            <w:r>
              <w:rPr>
                <w:rFonts w:hint="eastAsia" w:ascii="宋体" w:hAnsi="宋体" w:cs="宋体"/>
                <w:kern w:val="0"/>
                <w:sz w:val="24"/>
                <w:szCs w:val="24"/>
                <w:highlight w:val="none"/>
                <w:lang w:eastAsia="zh-CN"/>
              </w:rPr>
              <w:t>，</w:t>
            </w:r>
            <w:r>
              <w:rPr>
                <w:rFonts w:hint="eastAsia" w:asciiTheme="minorEastAsia" w:hAnsiTheme="minorEastAsia" w:eastAsiaTheme="minorEastAsia" w:cstheme="minorEastAsia"/>
                <w:color w:val="auto"/>
                <w:sz w:val="24"/>
                <w:highlight w:val="none"/>
              </w:rPr>
              <w:t>均应从基本账户转出</w:t>
            </w:r>
            <w:r>
              <w:rPr>
                <w:rFonts w:hint="eastAsia" w:asciiTheme="minorEastAsia" w:hAnsiTheme="minorEastAsia" w:eastAsiaTheme="minorEastAsia" w:cstheme="minorEastAsia"/>
                <w:color w:val="auto"/>
                <w:sz w:val="24"/>
                <w:highlight w:val="none"/>
                <w:lang w:eastAsia="zh-CN"/>
              </w:rPr>
              <w:t>。</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投标保证金的金额：</w:t>
            </w:r>
            <w:r>
              <w:rPr>
                <w:rFonts w:hint="eastAsia" w:ascii="宋体" w:hAnsi="宋体" w:cs="宋体"/>
                <w:kern w:val="0"/>
                <w:sz w:val="24"/>
                <w:szCs w:val="24"/>
                <w:highlight w:val="yellow"/>
                <w:lang w:val="en-US" w:eastAsia="zh-CN"/>
              </w:rPr>
              <w:t>6000</w:t>
            </w:r>
            <w:r>
              <w:rPr>
                <w:rFonts w:hint="eastAsia" w:ascii="宋体" w:hAnsi="宋体" w:eastAsia="宋体" w:cs="宋体"/>
                <w:kern w:val="0"/>
                <w:sz w:val="24"/>
                <w:szCs w:val="24"/>
                <w:highlight w:val="yellow"/>
              </w:rPr>
              <w:t>元</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eastAsia="zh-CN"/>
              </w:rPr>
              <w:t>陆仟元</w:t>
            </w:r>
            <w:r>
              <w:rPr>
                <w:rFonts w:hint="eastAsia" w:ascii="宋体" w:hAnsi="宋体" w:eastAsia="宋体" w:cs="宋体"/>
                <w:kern w:val="0"/>
                <w:sz w:val="24"/>
                <w:szCs w:val="24"/>
                <w:highlight w:val="none"/>
              </w:rPr>
              <w:t>整）</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投标保证金必须在开标前一天缴纳至以下账号：</w:t>
            </w:r>
          </w:p>
          <w:p>
            <w:pPr>
              <w:pStyle w:val="28"/>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单位名称：新疆信尔成工程项目管理有限公司</w:t>
            </w:r>
          </w:p>
          <w:p>
            <w:pPr>
              <w:pStyle w:val="28"/>
              <w:spacing w:before="132" w:line="345" w:lineRule="auto"/>
              <w:ind w:right="15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开户银行：中国工商银行股份有限公司乌鲁木齐长春路支行</w:t>
            </w:r>
          </w:p>
          <w:p>
            <w:pPr>
              <w:pStyle w:val="28"/>
              <w:spacing w:line="343" w:lineRule="auto"/>
              <w:ind w:right="195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银行账号：3002 0301 0910 0074 747 行号：102881003011</w:t>
            </w:r>
          </w:p>
          <w:p>
            <w:pPr>
              <w:rPr>
                <w:rFonts w:hint="eastAsia" w:ascii="宋体" w:hAnsi="宋体" w:eastAsia="宋体" w:cs="宋体"/>
                <w:b/>
                <w:bCs/>
                <w:highlight w:val="none"/>
              </w:rPr>
            </w:pPr>
            <w:r>
              <w:rPr>
                <w:rFonts w:hint="eastAsia" w:ascii="宋体" w:hAnsi="宋体" w:eastAsia="宋体" w:cs="宋体"/>
                <w:kern w:val="0"/>
                <w:sz w:val="24"/>
                <w:szCs w:val="24"/>
                <w:highlight w:val="none"/>
              </w:rPr>
              <w:t>投标人办理保证金时，须注明“项目名称+投标保证金”（如字数超出规定字数可简写项目名称）。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8"/>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21</w:t>
            </w:r>
          </w:p>
        </w:tc>
        <w:tc>
          <w:tcPr>
            <w:tcW w:w="8475" w:type="dxa"/>
            <w:noWrap w:val="0"/>
            <w:vAlign w:val="top"/>
          </w:tcPr>
          <w:p>
            <w:pPr>
              <w:pStyle w:val="28"/>
              <w:kinsoku w:val="0"/>
              <w:overflowPunct w:val="0"/>
              <w:spacing w:before="57"/>
              <w:ind w:left="102"/>
              <w:rPr>
                <w:rFonts w:hint="eastAsia" w:ascii="宋体" w:hAnsi="宋体" w:eastAsia="宋体" w:cs="宋体"/>
                <w:highlight w:val="none"/>
              </w:rPr>
            </w:pPr>
            <w:r>
              <w:rPr>
                <w:rFonts w:hint="eastAsia" w:ascii="宋体" w:hAnsi="宋体" w:eastAsia="宋体" w:cs="宋体"/>
                <w:b/>
                <w:bCs/>
                <w:highlight w:val="none"/>
              </w:rPr>
              <w:t>投标保证金退还：</w:t>
            </w:r>
          </w:p>
          <w:p>
            <w:pPr>
              <w:pStyle w:val="28"/>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未中标供应商的投标保证金，在中标结果公示期满后</w:t>
            </w:r>
            <w:r>
              <w:rPr>
                <w:rFonts w:hint="eastAsia" w:ascii="宋体" w:hAnsi="宋体" w:eastAsia="宋体" w:cs="宋体"/>
                <w:spacing w:val="-60"/>
                <w:highlight w:val="none"/>
              </w:rPr>
              <w:t xml:space="preserve"> </w:t>
            </w:r>
            <w:r>
              <w:rPr>
                <w:rFonts w:hint="eastAsia" w:ascii="宋体" w:hAnsi="宋体" w:eastAsia="宋体" w:cs="宋体"/>
                <w:highlight w:val="none"/>
              </w:rPr>
              <w:t>5</w:t>
            </w:r>
            <w:r>
              <w:rPr>
                <w:rFonts w:hint="eastAsia" w:ascii="宋体" w:hAnsi="宋体" w:eastAsia="宋体" w:cs="宋体"/>
                <w:spacing w:val="-60"/>
                <w:highlight w:val="none"/>
              </w:rPr>
              <w:t xml:space="preserve"> </w:t>
            </w:r>
            <w:r>
              <w:rPr>
                <w:rFonts w:hint="eastAsia" w:ascii="宋体" w:hAnsi="宋体" w:eastAsia="宋体" w:cs="宋体"/>
                <w:highlight w:val="none"/>
              </w:rPr>
              <w:t>个工作日内由招</w:t>
            </w:r>
          </w:p>
          <w:p>
            <w:pPr>
              <w:pStyle w:val="28"/>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标代理机构退还。</w:t>
            </w:r>
          </w:p>
          <w:p>
            <w:pPr>
              <w:pStyle w:val="28"/>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中标供应商的投标保证金，在签订合同后</w:t>
            </w:r>
            <w:r>
              <w:rPr>
                <w:rFonts w:hint="eastAsia" w:ascii="宋体" w:hAnsi="宋体" w:eastAsia="宋体" w:cs="宋体"/>
                <w:spacing w:val="-60"/>
                <w:highlight w:val="none"/>
              </w:rPr>
              <w:t xml:space="preserve"> </w:t>
            </w:r>
            <w:r>
              <w:rPr>
                <w:rFonts w:hint="eastAsia" w:ascii="宋体" w:hAnsi="宋体" w:eastAsia="宋体" w:cs="宋体"/>
                <w:highlight w:val="none"/>
              </w:rPr>
              <w:t>5</w:t>
            </w:r>
            <w:r>
              <w:rPr>
                <w:rFonts w:hint="eastAsia" w:ascii="宋体" w:hAnsi="宋体" w:eastAsia="宋体" w:cs="宋体"/>
                <w:spacing w:val="-60"/>
                <w:highlight w:val="none"/>
              </w:rPr>
              <w:t xml:space="preserve"> </w:t>
            </w:r>
            <w:r>
              <w:rPr>
                <w:rFonts w:hint="eastAsia" w:ascii="宋体" w:hAnsi="宋体" w:eastAsia="宋体" w:cs="宋体"/>
                <w:highlight w:val="none"/>
              </w:rPr>
              <w:t>个工作日内由招标代理机构</w:t>
            </w:r>
          </w:p>
          <w:p>
            <w:pPr>
              <w:pStyle w:val="28"/>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退还。</w:t>
            </w:r>
          </w:p>
          <w:p>
            <w:pPr>
              <w:pStyle w:val="28"/>
              <w:kinsoku w:val="0"/>
              <w:overflowPunct w:val="0"/>
              <w:spacing w:before="16"/>
              <w:ind w:firstLine="241" w:firstLineChars="100"/>
              <w:rPr>
                <w:rFonts w:hint="eastAsia" w:ascii="宋体" w:hAnsi="宋体" w:eastAsia="宋体" w:cs="宋体"/>
                <w:highlight w:val="none"/>
              </w:rPr>
            </w:pPr>
            <w:r>
              <w:rPr>
                <w:rFonts w:hint="eastAsia" w:ascii="宋体" w:hAnsi="宋体" w:eastAsia="宋体" w:cs="宋体"/>
                <w:b/>
                <w:bCs/>
                <w:highlight w:val="none"/>
              </w:rPr>
              <w:t>如供应商有下列情形之一的，投标保证金不予退还</w:t>
            </w:r>
            <w:r>
              <w:rPr>
                <w:rFonts w:hint="eastAsia" w:ascii="宋体" w:hAnsi="宋体" w:eastAsia="宋体" w:cs="宋体"/>
                <w:highlight w:val="none"/>
              </w:rPr>
              <w:t>：</w:t>
            </w:r>
          </w:p>
          <w:p>
            <w:pPr>
              <w:pStyle w:val="28"/>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(1)供应商未按规定的时间、地点参加投标或者开标后投标方撤标的；</w:t>
            </w:r>
          </w:p>
          <w:p>
            <w:pPr>
              <w:pStyle w:val="28"/>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(2)中标人在规定期限内未能按规定签订合同的；</w:t>
            </w:r>
          </w:p>
          <w:p>
            <w:pPr>
              <w:pStyle w:val="28"/>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(3)供应商在磋商响应性文件中提供虚假资质或证明材料</w:t>
            </w:r>
            <w:r>
              <w:rPr>
                <w:rFonts w:hint="eastAsia" w:ascii="宋体" w:hAnsi="宋体" w:eastAsia="宋体" w:cs="宋体"/>
                <w:spacing w:val="-94"/>
                <w:highlight w:val="none"/>
              </w:rPr>
              <w:t>，</w:t>
            </w:r>
            <w:r>
              <w:rPr>
                <w:rFonts w:hint="eastAsia" w:ascii="宋体" w:hAnsi="宋体" w:eastAsia="宋体" w:cs="宋体"/>
                <w:highlight w:val="none"/>
              </w:rPr>
              <w:t>进行无效投标</w:t>
            </w:r>
          </w:p>
          <w:p>
            <w:pPr>
              <w:pStyle w:val="28"/>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的；</w:t>
            </w:r>
          </w:p>
          <w:p>
            <w:pPr>
              <w:pStyle w:val="28"/>
              <w:kinsoku w:val="0"/>
              <w:overflowPunct w:val="0"/>
              <w:spacing w:before="57"/>
              <w:ind w:left="102" w:firstLine="480" w:firstLineChars="200"/>
              <w:rPr>
                <w:rFonts w:hint="eastAsia" w:ascii="宋体" w:hAnsi="宋体" w:eastAsia="宋体" w:cs="宋体"/>
                <w:highlight w:val="none"/>
              </w:rPr>
            </w:pPr>
            <w:r>
              <w:rPr>
                <w:rFonts w:hint="eastAsia" w:ascii="宋体" w:hAnsi="宋体" w:eastAsia="宋体" w:cs="宋体"/>
                <w:highlight w:val="none"/>
              </w:rPr>
              <w:t>(4)有证据证明供应商参与了串标、商业贿赂等违法、违规行为的；</w:t>
            </w:r>
          </w:p>
          <w:p>
            <w:pPr>
              <w:pStyle w:val="28"/>
              <w:kinsoku w:val="0"/>
              <w:overflowPunct w:val="0"/>
              <w:spacing w:before="23"/>
              <w:ind w:left="582"/>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spacing w:val="4"/>
                <w:kern w:val="2"/>
                <w:sz w:val="21"/>
                <w:szCs w:val="22"/>
                <w:highlight w:val="none"/>
              </w:rPr>
              <w:t xml:space="preserve"> </w:t>
            </w:r>
            <w:r>
              <w:rPr>
                <w:rFonts w:hint="eastAsia" w:ascii="宋体" w:hAnsi="宋体" w:eastAsia="宋体" w:cs="宋体"/>
                <w:highlight w:val="none"/>
              </w:rPr>
              <w:t>缴纳投标保证金的供应商无正当理由不参加投标，且开标前</w:t>
            </w:r>
            <w:r>
              <w:rPr>
                <w:rFonts w:hint="eastAsia" w:ascii="宋体" w:hAnsi="宋体" w:eastAsia="宋体" w:cs="宋体"/>
                <w:spacing w:val="-60"/>
                <w:highlight w:val="none"/>
              </w:rPr>
              <w:t xml:space="preserve"> </w:t>
            </w:r>
            <w:r>
              <w:rPr>
                <w:rFonts w:hint="eastAsia" w:ascii="宋体" w:hAnsi="宋体" w:eastAsia="宋体" w:cs="宋体"/>
                <w:highlight w:val="none"/>
              </w:rPr>
              <w:t>24</w:t>
            </w:r>
            <w:r>
              <w:rPr>
                <w:rFonts w:hint="eastAsia" w:ascii="宋体" w:hAnsi="宋体" w:eastAsia="宋体" w:cs="宋体"/>
                <w:spacing w:val="-60"/>
                <w:highlight w:val="none"/>
              </w:rPr>
              <w:t xml:space="preserve"> </w:t>
            </w:r>
            <w:r>
              <w:rPr>
                <w:rFonts w:hint="eastAsia" w:ascii="宋体" w:hAnsi="宋体" w:eastAsia="宋体" w:cs="宋体"/>
                <w:highlight w:val="none"/>
              </w:rPr>
              <w:t>小时</w:t>
            </w:r>
          </w:p>
          <w:p>
            <w:pPr>
              <w:pStyle w:val="28"/>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之前未书面通知招标机构的；</w:t>
            </w:r>
          </w:p>
          <w:p>
            <w:pPr>
              <w:pStyle w:val="28"/>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(6)供应商被通知中标后</w:t>
            </w:r>
            <w:r>
              <w:rPr>
                <w:rFonts w:hint="eastAsia" w:ascii="宋体" w:hAnsi="宋体" w:eastAsia="宋体" w:cs="宋体"/>
                <w:spacing w:val="-94"/>
                <w:highlight w:val="none"/>
              </w:rPr>
              <w:t>，</w:t>
            </w:r>
            <w:r>
              <w:rPr>
                <w:rFonts w:hint="eastAsia" w:ascii="宋体" w:hAnsi="宋体" w:eastAsia="宋体" w:cs="宋体"/>
                <w:highlight w:val="none"/>
              </w:rPr>
              <w:t>不按规定的时间或拒绝按中标状态签订合同的</w:t>
            </w:r>
          </w:p>
          <w:p>
            <w:pPr>
              <w:pStyle w:val="28"/>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（即不按中标时规定的技术要求，投标报价，保修服务等签订合同）；</w:t>
            </w:r>
          </w:p>
          <w:p>
            <w:pPr>
              <w:pStyle w:val="28"/>
              <w:kinsoku w:val="0"/>
              <w:overflowPunct w:val="0"/>
              <w:spacing w:before="57"/>
              <w:ind w:left="102" w:firstLine="480" w:firstLineChars="200"/>
              <w:rPr>
                <w:rFonts w:hint="eastAsia" w:ascii="宋体" w:hAnsi="宋体" w:eastAsia="宋体" w:cs="宋体"/>
                <w:b/>
                <w:bCs/>
                <w:highlight w:val="none"/>
              </w:rPr>
            </w:pPr>
            <w:r>
              <w:rPr>
                <w:rFonts w:hint="eastAsia" w:ascii="宋体" w:hAnsi="宋体" w:eastAsia="宋体" w:cs="宋体"/>
                <w:highlight w:val="none"/>
              </w:rPr>
              <w:t>(7)《竞争性磋商文件》规定的其它情形。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8"/>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22</w:t>
            </w:r>
          </w:p>
        </w:tc>
        <w:tc>
          <w:tcPr>
            <w:tcW w:w="8475" w:type="dxa"/>
            <w:noWrap w:val="0"/>
            <w:vAlign w:val="top"/>
          </w:tcPr>
          <w:p>
            <w:pPr>
              <w:pStyle w:val="28"/>
              <w:kinsoku w:val="0"/>
              <w:overflowPunct w:val="0"/>
              <w:spacing w:before="56"/>
              <w:ind w:left="102"/>
              <w:rPr>
                <w:rFonts w:hint="eastAsia" w:ascii="宋体" w:hAnsi="宋体" w:eastAsia="宋体" w:cs="宋体"/>
                <w:highlight w:val="none"/>
              </w:rPr>
            </w:pPr>
            <w:r>
              <w:rPr>
                <w:rFonts w:hint="eastAsia" w:ascii="宋体" w:hAnsi="宋体" w:eastAsia="宋体" w:cs="宋体"/>
                <w:b/>
                <w:bCs/>
                <w:highlight w:val="none"/>
              </w:rPr>
              <w:t>《磋商响应性文件》递交份数、时间及地点：</w:t>
            </w:r>
          </w:p>
          <w:p>
            <w:pPr>
              <w:pStyle w:val="28"/>
              <w:kinsoku w:val="0"/>
              <w:overflowPunct w:val="0"/>
              <w:spacing w:before="16"/>
              <w:ind w:left="582" w:right="-34"/>
              <w:rPr>
                <w:rFonts w:hint="eastAsia" w:ascii="宋体" w:hAnsi="宋体" w:eastAsia="宋体" w:cs="宋体"/>
                <w:highlight w:val="none"/>
              </w:rPr>
            </w:pPr>
            <w:r>
              <w:rPr>
                <w:rFonts w:hint="eastAsia" w:ascii="宋体" w:hAnsi="宋体" w:eastAsia="宋体" w:cs="宋体"/>
                <w:b/>
                <w:bCs/>
                <w:spacing w:val="-5"/>
                <w:highlight w:val="none"/>
              </w:rPr>
              <w:t>1、份数：</w:t>
            </w:r>
            <w:r>
              <w:rPr>
                <w:rFonts w:hint="eastAsia" w:ascii="宋体" w:hAnsi="宋体" w:eastAsia="宋体" w:cs="宋体"/>
                <w:spacing w:val="-4"/>
                <w:highlight w:val="none"/>
              </w:rPr>
              <w:t>正本</w:t>
            </w:r>
            <w:r>
              <w:rPr>
                <w:rFonts w:hint="eastAsia" w:ascii="宋体" w:hAnsi="宋体" w:eastAsia="宋体" w:cs="宋体"/>
                <w:highlight w:val="none"/>
              </w:rPr>
              <w:t xml:space="preserve"> 1 份,副本</w:t>
            </w:r>
            <w:r>
              <w:rPr>
                <w:rFonts w:hint="eastAsia" w:ascii="宋体" w:hAnsi="宋体" w:cs="宋体"/>
                <w:highlight w:val="none"/>
                <w:lang w:val="en-US" w:eastAsia="zh-CN"/>
              </w:rPr>
              <w:t>4</w:t>
            </w:r>
            <w:r>
              <w:rPr>
                <w:rFonts w:hint="eastAsia" w:ascii="宋体" w:hAnsi="宋体" w:eastAsia="宋体" w:cs="宋体"/>
                <w:highlight w:val="none"/>
              </w:rPr>
              <w:t xml:space="preserve"> 份，电子版 </w:t>
            </w:r>
            <w:r>
              <w:rPr>
                <w:rFonts w:hint="eastAsia" w:ascii="宋体" w:hAnsi="宋体" w:cs="宋体"/>
                <w:highlight w:val="none"/>
                <w:lang w:val="en-US" w:eastAsia="zh-CN"/>
              </w:rPr>
              <w:t>2</w:t>
            </w:r>
            <w:r>
              <w:rPr>
                <w:rFonts w:hint="eastAsia" w:ascii="宋体" w:hAnsi="宋体" w:eastAsia="宋体" w:cs="宋体"/>
                <w:highlight w:val="none"/>
              </w:rPr>
              <w:t xml:space="preserve"> 份</w:t>
            </w:r>
            <w:r>
              <w:rPr>
                <w:rFonts w:hint="eastAsia" w:ascii="宋体" w:hAnsi="宋体" w:eastAsia="宋体" w:cs="宋体"/>
                <w:spacing w:val="-6"/>
                <w:highlight w:val="none"/>
              </w:rPr>
              <w:t>（U</w:t>
            </w:r>
            <w:r>
              <w:rPr>
                <w:rFonts w:hint="eastAsia" w:ascii="宋体" w:hAnsi="宋体" w:eastAsia="宋体" w:cs="宋体"/>
                <w:spacing w:val="-61"/>
                <w:highlight w:val="none"/>
              </w:rPr>
              <w:t xml:space="preserve"> </w:t>
            </w:r>
            <w:r>
              <w:rPr>
                <w:rFonts w:hint="eastAsia" w:ascii="宋体" w:hAnsi="宋体" w:eastAsia="宋体" w:cs="宋体"/>
                <w:spacing w:val="-3"/>
                <w:highlight w:val="none"/>
              </w:rPr>
              <w:t>盘，含所有签章的正本扫描件、格式：PDF、一份），</w:t>
            </w:r>
            <w:r>
              <w:rPr>
                <w:rFonts w:hint="eastAsia" w:ascii="宋体" w:hAnsi="宋体" w:cs="宋体"/>
                <w:spacing w:val="-3"/>
                <w:highlight w:val="none"/>
                <w:lang w:val="en-US" w:eastAsia="zh-CN"/>
              </w:rPr>
              <w:t>报价一览表1份，</w:t>
            </w:r>
            <w:r>
              <w:rPr>
                <w:rFonts w:hint="eastAsia" w:ascii="宋体" w:hAnsi="宋体" w:eastAsia="宋体" w:cs="宋体"/>
                <w:highlight w:val="none"/>
              </w:rPr>
              <w:t>所有文件递交不退。</w:t>
            </w:r>
          </w:p>
          <w:p>
            <w:pPr>
              <w:pStyle w:val="28"/>
              <w:kinsoku w:val="0"/>
              <w:overflowPunct w:val="0"/>
              <w:spacing w:before="16"/>
              <w:ind w:left="582"/>
              <w:rPr>
                <w:rFonts w:hint="eastAsia" w:ascii="宋体" w:hAnsi="宋体" w:eastAsia="宋体" w:cs="宋体"/>
                <w:highlight w:val="none"/>
              </w:rPr>
            </w:pPr>
            <w:r>
              <w:rPr>
                <w:rFonts w:hint="eastAsia" w:ascii="宋体" w:hAnsi="宋体" w:eastAsia="宋体" w:cs="宋体"/>
                <w:b/>
                <w:bCs/>
                <w:spacing w:val="2"/>
                <w:highlight w:val="none"/>
              </w:rPr>
              <w:t>特</w:t>
            </w:r>
            <w:r>
              <w:rPr>
                <w:rFonts w:hint="eastAsia" w:ascii="宋体" w:hAnsi="宋体" w:eastAsia="宋体" w:cs="宋体"/>
                <w:b/>
                <w:bCs/>
                <w:highlight w:val="none"/>
              </w:rPr>
              <w:t>别</w:t>
            </w:r>
            <w:r>
              <w:rPr>
                <w:rFonts w:hint="eastAsia" w:ascii="宋体" w:hAnsi="宋体" w:eastAsia="宋体" w:cs="宋体"/>
                <w:b/>
                <w:bCs/>
                <w:spacing w:val="2"/>
                <w:highlight w:val="none"/>
              </w:rPr>
              <w:t>提示</w:t>
            </w:r>
            <w:r>
              <w:rPr>
                <w:rFonts w:hint="eastAsia" w:ascii="宋体" w:hAnsi="宋体" w:eastAsia="宋体" w:cs="宋体"/>
                <w:b/>
                <w:bCs/>
                <w:spacing w:val="-30"/>
                <w:highlight w:val="none"/>
              </w:rPr>
              <w:t>：</w:t>
            </w:r>
            <w:r>
              <w:rPr>
                <w:rFonts w:hint="eastAsia" w:ascii="宋体" w:hAnsi="宋体" w:eastAsia="宋体" w:cs="宋体"/>
                <w:b/>
                <w:bCs/>
                <w:spacing w:val="2"/>
                <w:highlight w:val="none"/>
              </w:rPr>
              <w:t>电</w:t>
            </w:r>
            <w:r>
              <w:rPr>
                <w:rFonts w:hint="eastAsia" w:ascii="宋体" w:hAnsi="宋体" w:eastAsia="宋体" w:cs="宋体"/>
                <w:b/>
                <w:bCs/>
                <w:highlight w:val="none"/>
              </w:rPr>
              <w:t>子</w:t>
            </w:r>
            <w:r>
              <w:rPr>
                <w:rFonts w:hint="eastAsia" w:ascii="宋体" w:hAnsi="宋体" w:eastAsia="宋体" w:cs="宋体"/>
                <w:b/>
                <w:bCs/>
                <w:spacing w:val="-28"/>
                <w:highlight w:val="none"/>
              </w:rPr>
              <w:t>版</w:t>
            </w:r>
            <w:r>
              <w:rPr>
                <w:rFonts w:hint="eastAsia" w:ascii="宋体" w:hAnsi="宋体" w:eastAsia="宋体" w:cs="宋体"/>
                <w:b/>
                <w:bCs/>
                <w:highlight w:val="none"/>
              </w:rPr>
              <w:t>《</w:t>
            </w:r>
            <w:r>
              <w:rPr>
                <w:rFonts w:hint="eastAsia" w:ascii="宋体" w:hAnsi="宋体" w:eastAsia="宋体" w:cs="宋体"/>
                <w:b/>
                <w:bCs/>
                <w:spacing w:val="2"/>
                <w:highlight w:val="none"/>
              </w:rPr>
              <w:t>磋</w:t>
            </w:r>
            <w:r>
              <w:rPr>
                <w:rFonts w:hint="eastAsia" w:ascii="宋体" w:hAnsi="宋体" w:eastAsia="宋体" w:cs="宋体"/>
                <w:b/>
                <w:bCs/>
                <w:highlight w:val="none"/>
              </w:rPr>
              <w:t>商</w:t>
            </w:r>
            <w:r>
              <w:rPr>
                <w:rFonts w:hint="eastAsia" w:ascii="宋体" w:hAnsi="宋体" w:eastAsia="宋体" w:cs="宋体"/>
                <w:b/>
                <w:bCs/>
                <w:spacing w:val="2"/>
                <w:highlight w:val="none"/>
              </w:rPr>
              <w:t>响应性</w:t>
            </w:r>
            <w:r>
              <w:rPr>
                <w:rFonts w:hint="eastAsia" w:ascii="宋体" w:hAnsi="宋体" w:eastAsia="宋体" w:cs="宋体"/>
                <w:b/>
                <w:bCs/>
                <w:highlight w:val="none"/>
              </w:rPr>
              <w:t>文</w:t>
            </w:r>
            <w:r>
              <w:rPr>
                <w:rFonts w:hint="eastAsia" w:ascii="宋体" w:hAnsi="宋体" w:eastAsia="宋体" w:cs="宋体"/>
                <w:b/>
                <w:bCs/>
                <w:spacing w:val="2"/>
                <w:highlight w:val="none"/>
              </w:rPr>
              <w:t>件</w:t>
            </w:r>
            <w:r>
              <w:rPr>
                <w:rFonts w:hint="eastAsia" w:ascii="宋体" w:hAnsi="宋体" w:eastAsia="宋体" w:cs="宋体"/>
                <w:b/>
                <w:bCs/>
                <w:spacing w:val="-30"/>
                <w:highlight w:val="none"/>
              </w:rPr>
              <w:t>》</w:t>
            </w:r>
            <w:r>
              <w:rPr>
                <w:rFonts w:hint="eastAsia" w:ascii="宋体" w:hAnsi="宋体" w:eastAsia="宋体" w:cs="宋体"/>
                <w:b/>
                <w:bCs/>
                <w:spacing w:val="2"/>
                <w:highlight w:val="none"/>
              </w:rPr>
              <w:t>必</w:t>
            </w:r>
            <w:r>
              <w:rPr>
                <w:rFonts w:hint="eastAsia" w:ascii="宋体" w:hAnsi="宋体" w:eastAsia="宋体" w:cs="宋体"/>
                <w:b/>
                <w:bCs/>
                <w:highlight w:val="none"/>
              </w:rPr>
              <w:t>须</w:t>
            </w:r>
            <w:r>
              <w:rPr>
                <w:rFonts w:hint="eastAsia" w:ascii="宋体" w:hAnsi="宋体" w:eastAsia="宋体" w:cs="宋体"/>
                <w:b/>
                <w:bCs/>
                <w:spacing w:val="2"/>
                <w:highlight w:val="none"/>
              </w:rPr>
              <w:t>与纸质</w:t>
            </w:r>
            <w:r>
              <w:rPr>
                <w:rFonts w:hint="eastAsia" w:ascii="宋体" w:hAnsi="宋体" w:eastAsia="宋体" w:cs="宋体"/>
                <w:b/>
                <w:bCs/>
                <w:spacing w:val="-30"/>
                <w:highlight w:val="none"/>
              </w:rPr>
              <w:t>版</w:t>
            </w:r>
            <w:r>
              <w:rPr>
                <w:rFonts w:hint="eastAsia" w:ascii="宋体" w:hAnsi="宋体" w:eastAsia="宋体" w:cs="宋体"/>
                <w:b/>
                <w:bCs/>
                <w:spacing w:val="2"/>
                <w:highlight w:val="none"/>
              </w:rPr>
              <w:t>《磋</w:t>
            </w:r>
            <w:r>
              <w:rPr>
                <w:rFonts w:hint="eastAsia" w:ascii="宋体" w:hAnsi="宋体" w:eastAsia="宋体" w:cs="宋体"/>
                <w:b/>
                <w:bCs/>
                <w:highlight w:val="none"/>
              </w:rPr>
              <w:t>商</w:t>
            </w:r>
            <w:r>
              <w:rPr>
                <w:rFonts w:hint="eastAsia" w:ascii="宋体" w:hAnsi="宋体" w:eastAsia="宋体" w:cs="宋体"/>
                <w:b/>
                <w:bCs/>
                <w:spacing w:val="2"/>
                <w:highlight w:val="none"/>
              </w:rPr>
              <w:t>响应性</w:t>
            </w:r>
            <w:r>
              <w:rPr>
                <w:rFonts w:hint="eastAsia" w:ascii="宋体" w:hAnsi="宋体" w:eastAsia="宋体" w:cs="宋体"/>
                <w:b/>
                <w:bCs/>
                <w:highlight w:val="none"/>
              </w:rPr>
              <w:t>文件》</w:t>
            </w:r>
          </w:p>
          <w:p>
            <w:pPr>
              <w:pStyle w:val="28"/>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完全一致。</w:t>
            </w:r>
          </w:p>
          <w:p>
            <w:pPr>
              <w:pStyle w:val="28"/>
              <w:kinsoku w:val="0"/>
              <w:overflowPunct w:val="0"/>
              <w:spacing w:before="16"/>
              <w:ind w:left="582"/>
              <w:rPr>
                <w:rFonts w:hint="eastAsia" w:ascii="宋体" w:hAnsi="宋体" w:eastAsia="宋体" w:cs="宋体"/>
                <w:highlight w:val="none"/>
              </w:rPr>
            </w:pPr>
            <w:r>
              <w:rPr>
                <w:rFonts w:hint="eastAsia" w:ascii="宋体" w:hAnsi="宋体" w:eastAsia="宋体" w:cs="宋体"/>
                <w:b/>
                <w:bCs/>
                <w:highlight w:val="none"/>
              </w:rPr>
              <w:t>2、递交截止时间：</w:t>
            </w:r>
            <w:r>
              <w:rPr>
                <w:rFonts w:hint="eastAsia" w:ascii="宋体" w:hAnsi="宋体" w:eastAsia="宋体" w:cs="宋体"/>
                <w:highlight w:val="none"/>
              </w:rPr>
              <w:t>20</w:t>
            </w:r>
            <w:r>
              <w:rPr>
                <w:rFonts w:hint="eastAsia" w:ascii="宋体" w:hAnsi="宋体" w:cs="宋体"/>
                <w:highlight w:val="none"/>
                <w:lang w:val="en-US" w:eastAsia="zh-CN"/>
              </w:rPr>
              <w:t>22</w:t>
            </w:r>
            <w:r>
              <w:rPr>
                <w:rFonts w:hint="eastAsia" w:ascii="宋体" w:hAnsi="宋体" w:eastAsia="宋体" w:cs="宋体"/>
                <w:highlight w:val="none"/>
              </w:rPr>
              <w:t>年</w:t>
            </w:r>
            <w:r>
              <w:rPr>
                <w:rFonts w:hint="eastAsia" w:ascii="宋体" w:hAnsi="宋体" w:cs="宋体"/>
                <w:highlight w:val="none"/>
                <w:lang w:val="en-US" w:eastAsia="zh-CN"/>
              </w:rPr>
              <w:t>03</w:t>
            </w:r>
            <w:r>
              <w:rPr>
                <w:rFonts w:hint="eastAsia" w:ascii="宋体" w:hAnsi="宋体" w:eastAsia="宋体" w:cs="宋体"/>
                <w:highlight w:val="none"/>
              </w:rPr>
              <w:t>月</w:t>
            </w:r>
            <w:r>
              <w:rPr>
                <w:rFonts w:hint="eastAsia" w:ascii="宋体" w:hAnsi="宋体" w:cs="宋体"/>
                <w:highlight w:val="yellow"/>
                <w:lang w:val="en-US" w:eastAsia="zh-CN"/>
              </w:rPr>
              <w:t xml:space="preserve"> </w:t>
            </w:r>
            <w:r>
              <w:rPr>
                <w:rFonts w:hint="eastAsia" w:ascii="宋体" w:hAnsi="宋体" w:eastAsia="宋体" w:cs="宋体"/>
                <w:highlight w:val="none"/>
              </w:rPr>
              <w:t>日</w:t>
            </w:r>
            <w:r>
              <w:rPr>
                <w:rFonts w:hint="eastAsia" w:ascii="宋体" w:hAnsi="宋体" w:cs="宋体"/>
                <w:highlight w:val="none"/>
                <w:lang w:val="en-US" w:eastAsia="zh-CN"/>
              </w:rPr>
              <w:t>11</w:t>
            </w:r>
            <w:r>
              <w:rPr>
                <w:rFonts w:hint="eastAsia" w:ascii="宋体" w:hAnsi="宋体" w:eastAsia="宋体" w:cs="宋体"/>
                <w:highlight w:val="none"/>
              </w:rPr>
              <w:t>:</w:t>
            </w:r>
            <w:r>
              <w:rPr>
                <w:rFonts w:hint="eastAsia" w:ascii="宋体" w:hAnsi="宋体" w:cs="宋体"/>
                <w:highlight w:val="none"/>
                <w:lang w:val="en-US" w:eastAsia="zh-CN"/>
              </w:rPr>
              <w:t>0</w:t>
            </w:r>
            <w:r>
              <w:rPr>
                <w:rFonts w:hint="eastAsia" w:ascii="宋体" w:hAnsi="宋体" w:eastAsia="宋体" w:cs="宋体"/>
                <w:highlight w:val="none"/>
              </w:rPr>
              <w:t xml:space="preserve">0 </w:t>
            </w:r>
            <w:r>
              <w:rPr>
                <w:rFonts w:hint="eastAsia" w:ascii="宋体" w:hAnsi="宋体" w:cs="宋体"/>
                <w:highlight w:val="none"/>
                <w:lang w:eastAsia="zh-CN"/>
              </w:rPr>
              <w:t>分</w:t>
            </w:r>
            <w:r>
              <w:rPr>
                <w:rFonts w:hint="eastAsia" w:ascii="宋体" w:hAnsi="宋体" w:eastAsia="宋体" w:cs="宋体"/>
                <w:highlight w:val="none"/>
              </w:rPr>
              <w:t>（北京时间）</w:t>
            </w:r>
          </w:p>
          <w:p>
            <w:pPr>
              <w:pStyle w:val="28"/>
              <w:kinsoku w:val="0"/>
              <w:overflowPunct w:val="0"/>
              <w:spacing w:before="16"/>
              <w:ind w:left="582"/>
              <w:rPr>
                <w:rFonts w:hint="eastAsia" w:ascii="宋体" w:hAnsi="宋体" w:eastAsia="宋体" w:cs="宋体"/>
                <w:b/>
                <w:bCs/>
                <w:highlight w:val="none"/>
              </w:rPr>
            </w:pPr>
            <w:r>
              <w:rPr>
                <w:rFonts w:hint="eastAsia" w:ascii="宋体" w:hAnsi="宋体" w:eastAsia="宋体" w:cs="宋体"/>
                <w:highlight w:val="none"/>
              </w:rPr>
              <w:t>3、</w:t>
            </w:r>
            <w:r>
              <w:rPr>
                <w:rFonts w:hint="eastAsia" w:ascii="宋体" w:hAnsi="宋体" w:eastAsia="宋体" w:cs="宋体"/>
                <w:b/>
                <w:bCs/>
                <w:highlight w:val="none"/>
              </w:rPr>
              <w:t>递交地点：</w:t>
            </w:r>
            <w:r>
              <w:rPr>
                <w:rFonts w:hint="eastAsia" w:asciiTheme="minorEastAsia" w:hAnsiTheme="minorEastAsia" w:eastAsiaTheme="minorEastAsia" w:cstheme="minorEastAsia"/>
                <w:color w:val="auto"/>
                <w:sz w:val="24"/>
                <w:szCs w:val="24"/>
                <w:highlight w:val="none"/>
              </w:rPr>
              <w:t>新疆乌鲁木齐市水磨沟区会展大道1119号大成尔雅B座（乌鲁木齐晚报大厦）七楼70</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号房</w:t>
            </w:r>
            <w:r>
              <w:rPr>
                <w:rFonts w:hint="eastAsia" w:ascii="宋体" w:hAnsi="宋体" w:eastAsia="宋体" w:cs="宋体"/>
                <w:b/>
                <w:bCs/>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8"/>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23</w:t>
            </w:r>
          </w:p>
        </w:tc>
        <w:tc>
          <w:tcPr>
            <w:tcW w:w="8475" w:type="dxa"/>
            <w:noWrap w:val="0"/>
            <w:vAlign w:val="top"/>
          </w:tcPr>
          <w:p>
            <w:pPr>
              <w:pStyle w:val="28"/>
              <w:kinsoku w:val="0"/>
              <w:overflowPunct w:val="0"/>
              <w:spacing w:line="277" w:lineRule="exact"/>
              <w:ind w:left="102"/>
              <w:rPr>
                <w:rFonts w:hint="eastAsia" w:ascii="宋体" w:hAnsi="宋体" w:eastAsia="宋体" w:cs="宋体"/>
                <w:highlight w:val="none"/>
              </w:rPr>
            </w:pPr>
            <w:r>
              <w:rPr>
                <w:rFonts w:hint="eastAsia" w:ascii="宋体" w:hAnsi="宋体" w:eastAsia="宋体" w:cs="宋体"/>
                <w:sz w:val="22"/>
                <w:szCs w:val="22"/>
                <w:highlight w:val="none"/>
              </w:rPr>
              <w:t>★</w:t>
            </w:r>
            <w:r>
              <w:rPr>
                <w:rFonts w:hint="eastAsia" w:ascii="宋体" w:hAnsi="宋体" w:eastAsia="宋体" w:cs="宋体"/>
                <w:b/>
                <w:bCs/>
                <w:highlight w:val="none"/>
              </w:rPr>
              <w:t>磋商响应性文件的密封和标记</w:t>
            </w:r>
          </w:p>
          <w:p>
            <w:pPr>
              <w:pStyle w:val="28"/>
              <w:kinsoku w:val="0"/>
              <w:overflowPunct w:val="0"/>
              <w:spacing w:before="38"/>
              <w:ind w:left="102" w:right="-43"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1、磋商响应性文件正本与副本应</w:t>
            </w:r>
            <w:r>
              <w:rPr>
                <w:rFonts w:hint="eastAsia" w:ascii="宋体" w:hAnsi="宋体" w:cs="宋体"/>
                <w:spacing w:val="-2"/>
                <w:highlight w:val="none"/>
                <w:lang w:val="en-US" w:eastAsia="zh-CN"/>
              </w:rPr>
              <w:t>分别</w:t>
            </w:r>
            <w:r>
              <w:rPr>
                <w:rFonts w:hint="eastAsia" w:ascii="宋体" w:hAnsi="宋体" w:eastAsia="宋体" w:cs="宋体"/>
                <w:spacing w:val="-2"/>
                <w:highlight w:val="none"/>
              </w:rPr>
              <w:t>密封，并加贴“密封”字样封条，在封套的封口处应加盖单位公章。供应商未按此要求采用其他包装的，将造成磋商响应性文件被拒收。</w:t>
            </w:r>
          </w:p>
          <w:p>
            <w:pPr>
              <w:pStyle w:val="28"/>
              <w:tabs>
                <w:tab w:val="left" w:pos="5415"/>
                <w:tab w:val="left" w:pos="6023"/>
                <w:tab w:val="left" w:pos="6627"/>
                <w:tab w:val="left" w:pos="7232"/>
                <w:tab w:val="left" w:pos="7839"/>
              </w:tabs>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2、在封套上注明项目名称、项目编号及“在</w:t>
            </w:r>
            <w:r>
              <w:rPr>
                <w:rFonts w:hint="eastAsia" w:ascii="宋体" w:hAnsi="宋体" w:eastAsia="宋体" w:cs="宋体"/>
                <w:spacing w:val="-2"/>
                <w:highlight w:val="none"/>
              </w:rPr>
              <w:tab/>
            </w:r>
            <w:r>
              <w:rPr>
                <w:rFonts w:hint="eastAsia" w:ascii="宋体" w:hAnsi="宋体" w:eastAsia="宋体" w:cs="宋体"/>
                <w:spacing w:val="-2"/>
                <w:highlight w:val="none"/>
              </w:rPr>
              <w:t>年</w:t>
            </w:r>
            <w:r>
              <w:rPr>
                <w:rFonts w:hint="eastAsia" w:ascii="宋体" w:hAnsi="宋体" w:eastAsia="宋体" w:cs="宋体"/>
                <w:spacing w:val="-2"/>
                <w:highlight w:val="none"/>
              </w:rPr>
              <w:tab/>
            </w:r>
            <w:r>
              <w:rPr>
                <w:rFonts w:hint="eastAsia" w:ascii="宋体" w:hAnsi="宋体" w:eastAsia="宋体" w:cs="宋体"/>
                <w:spacing w:val="-2"/>
                <w:highlight w:val="none"/>
              </w:rPr>
              <w:t>月</w:t>
            </w:r>
            <w:r>
              <w:rPr>
                <w:rFonts w:hint="eastAsia" w:ascii="宋体" w:hAnsi="宋体" w:eastAsia="宋体" w:cs="宋体"/>
                <w:spacing w:val="-2"/>
                <w:highlight w:val="none"/>
              </w:rPr>
              <w:tab/>
            </w:r>
            <w:r>
              <w:rPr>
                <w:rFonts w:hint="eastAsia" w:ascii="宋体" w:hAnsi="宋体" w:eastAsia="宋体" w:cs="宋体"/>
                <w:spacing w:val="-2"/>
                <w:highlight w:val="none"/>
              </w:rPr>
              <w:t>日</w:t>
            </w:r>
            <w:r>
              <w:rPr>
                <w:rFonts w:hint="eastAsia" w:ascii="宋体" w:hAnsi="宋体" w:eastAsia="宋体" w:cs="宋体"/>
                <w:spacing w:val="-2"/>
                <w:highlight w:val="none"/>
              </w:rPr>
              <w:tab/>
            </w:r>
            <w:r>
              <w:rPr>
                <w:rFonts w:hint="eastAsia" w:ascii="宋体" w:hAnsi="宋体" w:eastAsia="宋体" w:cs="宋体"/>
                <w:spacing w:val="-2"/>
                <w:highlight w:val="none"/>
              </w:rPr>
              <w:t>时</w:t>
            </w:r>
            <w:r>
              <w:rPr>
                <w:rFonts w:hint="eastAsia" w:ascii="宋体" w:hAnsi="宋体" w:eastAsia="宋体" w:cs="宋体"/>
                <w:spacing w:val="-2"/>
                <w:highlight w:val="none"/>
              </w:rPr>
              <w:tab/>
            </w:r>
            <w:r>
              <w:rPr>
                <w:rFonts w:hint="eastAsia" w:ascii="宋体" w:hAnsi="宋体" w:eastAsia="宋体" w:cs="宋体"/>
                <w:spacing w:val="-2"/>
                <w:highlight w:val="none"/>
              </w:rPr>
              <w:t>分之前不得启封”字样。</w:t>
            </w:r>
          </w:p>
          <w:p>
            <w:pPr>
              <w:pStyle w:val="28"/>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3、未按本章第 1 项或 2 项密封和加写标记的磋商响应性文件, 造成磋商响应性文件被拒收的不利后果由供应商自行承担。</w:t>
            </w:r>
          </w:p>
          <w:p>
            <w:pPr>
              <w:pStyle w:val="28"/>
              <w:kinsoku w:val="0"/>
              <w:overflowPunct w:val="0"/>
              <w:spacing w:before="86"/>
              <w:ind w:left="102" w:firstLine="472" w:firstLineChars="200"/>
              <w:rPr>
                <w:rFonts w:hint="eastAsia" w:ascii="宋体" w:hAnsi="宋体" w:eastAsia="宋体" w:cs="宋体"/>
                <w:highlight w:val="none"/>
              </w:rPr>
            </w:pPr>
            <w:r>
              <w:rPr>
                <w:rFonts w:hint="eastAsia" w:ascii="宋体" w:hAnsi="宋体" w:eastAsia="宋体" w:cs="宋体"/>
                <w:spacing w:val="-2"/>
                <w:highlight w:val="none"/>
              </w:rPr>
              <w:t>4、供应商必须将“电子版</w:t>
            </w:r>
            <w:r>
              <w:rPr>
                <w:rFonts w:hint="eastAsia" w:ascii="宋体" w:hAnsi="宋体" w:eastAsia="宋体" w:cs="宋体"/>
                <w:spacing w:val="-60"/>
                <w:highlight w:val="none"/>
              </w:rPr>
              <w:t xml:space="preserve"> </w:t>
            </w:r>
            <w:r>
              <w:rPr>
                <w:rFonts w:hint="eastAsia" w:ascii="宋体" w:hAnsi="宋体" w:eastAsia="宋体" w:cs="宋体"/>
                <w:highlight w:val="none"/>
              </w:rPr>
              <w:t>U</w:t>
            </w:r>
            <w:r>
              <w:rPr>
                <w:rFonts w:hint="eastAsia" w:ascii="宋体" w:hAnsi="宋体" w:eastAsia="宋体" w:cs="宋体"/>
                <w:spacing w:val="-60"/>
                <w:highlight w:val="none"/>
              </w:rPr>
              <w:t xml:space="preserve"> </w:t>
            </w:r>
            <w:r>
              <w:rPr>
                <w:rFonts w:hint="eastAsia" w:ascii="宋体" w:hAnsi="宋体" w:eastAsia="宋体" w:cs="宋体"/>
                <w:spacing w:val="-2"/>
                <w:highlight w:val="none"/>
              </w:rPr>
              <w:t>盘”与“</w:t>
            </w:r>
            <w:r>
              <w:rPr>
                <w:rFonts w:hint="eastAsia" w:ascii="宋体" w:hAnsi="宋体" w:eastAsia="宋体" w:cs="宋体"/>
                <w:spacing w:val="-4"/>
                <w:highlight w:val="none"/>
              </w:rPr>
              <w:t>正本</w:t>
            </w:r>
            <w:r>
              <w:rPr>
                <w:rFonts w:hint="eastAsia" w:ascii="宋体" w:hAnsi="宋体" w:eastAsia="宋体" w:cs="宋体"/>
                <w:spacing w:val="-2"/>
                <w:highlight w:val="none"/>
              </w:rPr>
              <w:t>”</w:t>
            </w:r>
            <w:r>
              <w:rPr>
                <w:rFonts w:hint="eastAsia" w:ascii="宋体" w:hAnsi="宋体" w:cs="宋体"/>
                <w:spacing w:val="-2"/>
                <w:highlight w:val="none"/>
                <w:lang w:eastAsia="zh-CN"/>
              </w:rPr>
              <w:t>共同</w:t>
            </w:r>
            <w:r>
              <w:rPr>
                <w:rFonts w:hint="eastAsia" w:ascii="宋体" w:hAnsi="宋体" w:eastAsia="宋体" w:cs="宋体"/>
                <w:spacing w:val="-2"/>
                <w:highlight w:val="none"/>
              </w:rPr>
              <w:t>密封提交，并在封面上注明</w:t>
            </w:r>
            <w:r>
              <w:rPr>
                <w:rFonts w:hint="eastAsia" w:ascii="宋体" w:hAnsi="宋体" w:eastAsia="宋体" w:cs="宋体"/>
                <w:highlight w:val="none"/>
              </w:rPr>
              <w:t>项目名称</w:t>
            </w:r>
            <w:r>
              <w:rPr>
                <w:rFonts w:hint="eastAsia" w:ascii="宋体" w:hAnsi="宋体" w:eastAsia="宋体" w:cs="宋体"/>
                <w:spacing w:val="-65"/>
                <w:highlight w:val="none"/>
              </w:rPr>
              <w:t>、</w:t>
            </w:r>
            <w:r>
              <w:rPr>
                <w:rFonts w:hint="eastAsia" w:ascii="宋体" w:hAnsi="宋体" w:eastAsia="宋体" w:cs="宋体"/>
                <w:highlight w:val="none"/>
              </w:rPr>
              <w:t>项目编号</w:t>
            </w:r>
            <w:r>
              <w:rPr>
                <w:rFonts w:hint="eastAsia" w:ascii="宋体" w:hAnsi="宋体" w:eastAsia="宋体" w:cs="宋体"/>
                <w:spacing w:val="-65"/>
                <w:highlight w:val="none"/>
              </w:rPr>
              <w:t>、</w:t>
            </w:r>
            <w:r>
              <w:rPr>
                <w:rFonts w:hint="eastAsia" w:ascii="宋体" w:hAnsi="宋体" w:eastAsia="宋体" w:cs="宋体"/>
                <w:highlight w:val="none"/>
              </w:rPr>
              <w:t>投标单位名</w:t>
            </w:r>
            <w:r>
              <w:rPr>
                <w:rFonts w:hint="eastAsia" w:ascii="宋体" w:hAnsi="宋体" w:eastAsia="宋体" w:cs="宋体"/>
                <w:spacing w:val="-63"/>
                <w:highlight w:val="none"/>
              </w:rPr>
              <w:t>称</w:t>
            </w:r>
            <w:r>
              <w:rPr>
                <w:rFonts w:hint="eastAsia" w:ascii="宋体" w:hAnsi="宋体" w:eastAsia="宋体" w:cs="宋体"/>
                <w:highlight w:val="none"/>
              </w:rPr>
              <w:t>（并加盖公章</w:t>
            </w:r>
            <w:r>
              <w:rPr>
                <w:rFonts w:hint="eastAsia" w:ascii="宋体" w:hAnsi="宋体" w:eastAsia="宋体" w:cs="宋体"/>
                <w:spacing w:val="-65"/>
                <w:highlight w:val="none"/>
              </w:rPr>
              <w:t>）</w:t>
            </w:r>
            <w:r>
              <w:rPr>
                <w:rFonts w:hint="eastAsia" w:ascii="宋体" w:hAnsi="宋体" w:eastAsia="宋体" w:cs="宋体"/>
                <w:spacing w:val="-63"/>
                <w:highlight w:val="none"/>
              </w:rPr>
              <w:t>及</w:t>
            </w:r>
            <w:r>
              <w:rPr>
                <w:rFonts w:hint="eastAsia" w:ascii="宋体" w:hAnsi="宋体" w:eastAsia="宋体" w:cs="宋体"/>
                <w:spacing w:val="-8"/>
                <w:highlight w:val="none"/>
              </w:rPr>
              <w:t>“</w:t>
            </w:r>
            <w:r>
              <w:rPr>
                <w:rFonts w:hint="eastAsia" w:ascii="宋体" w:hAnsi="宋体" w:eastAsia="宋体" w:cs="宋体"/>
                <w:spacing w:val="-1"/>
                <w:highlight w:val="none"/>
              </w:rPr>
              <w:t>在</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rPr>
              <w:t xml:space="preserve"> </w:t>
            </w:r>
            <w:r>
              <w:rPr>
                <w:rFonts w:hint="eastAsia" w:ascii="宋体" w:hAnsi="宋体" w:eastAsia="宋体" w:cs="宋体"/>
                <w:spacing w:val="-1"/>
                <w:w w:val="95"/>
                <w:highlight w:val="none"/>
              </w:rPr>
              <w:t>年</w:t>
            </w:r>
            <w:r>
              <w:rPr>
                <w:rFonts w:hint="eastAsia" w:ascii="宋体" w:hAnsi="宋体" w:eastAsia="宋体" w:cs="宋体"/>
                <w:spacing w:val="-1"/>
                <w:w w:val="95"/>
                <w:highlight w:val="none"/>
                <w:u w:val="single"/>
              </w:rPr>
              <w:tab/>
            </w:r>
            <w:r>
              <w:rPr>
                <w:rFonts w:hint="eastAsia" w:ascii="宋体" w:hAnsi="宋体" w:eastAsia="宋体" w:cs="宋体"/>
                <w:spacing w:val="-1"/>
                <w:w w:val="95"/>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spacing w:val="-1"/>
                <w:highlight w:val="none"/>
              </w:rPr>
              <w:t>日</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rPr>
              <w:t xml:space="preserve"> </w:t>
            </w:r>
            <w:r>
              <w:rPr>
                <w:rFonts w:hint="eastAsia" w:ascii="宋体" w:hAnsi="宋体" w:eastAsia="宋体" w:cs="宋体"/>
                <w:spacing w:val="-1"/>
                <w:highlight w:val="none"/>
              </w:rPr>
              <w:t>时</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rPr>
              <w:t xml:space="preserve">  </w:t>
            </w:r>
            <w:r>
              <w:rPr>
                <w:rFonts w:hint="eastAsia" w:ascii="宋体" w:hAnsi="宋体" w:eastAsia="宋体" w:cs="宋体"/>
                <w:spacing w:val="-1"/>
                <w:highlight w:val="none"/>
              </w:rPr>
              <w:t>分之前不得启封”字样</w:t>
            </w:r>
            <w:r>
              <w:rPr>
                <w:rFonts w:hint="eastAsia" w:ascii="宋体" w:hAnsi="宋体" w:cs="宋体"/>
                <w:spacing w:val="-1"/>
                <w:highlight w:val="none"/>
                <w:lang w:eastAsia="zh-CN"/>
              </w:rPr>
              <w:t>，</w:t>
            </w:r>
            <w:r>
              <w:rPr>
                <w:rFonts w:hint="eastAsia" w:ascii="宋体" w:hAnsi="宋体" w:cs="宋体"/>
                <w:spacing w:val="-3"/>
                <w:highlight w:val="none"/>
                <w:lang w:val="en-US" w:eastAsia="zh-CN"/>
              </w:rPr>
              <w:t>报价</w:t>
            </w:r>
            <w:r>
              <w:rPr>
                <w:rFonts w:hint="eastAsia" w:ascii="宋体" w:hAnsi="宋体" w:cs="宋体"/>
                <w:spacing w:val="-1"/>
                <w:highlight w:val="none"/>
                <w:lang w:val="en-US" w:eastAsia="zh-CN"/>
              </w:rPr>
              <w:t>一览表单独密封</w:t>
            </w:r>
            <w:r>
              <w:rPr>
                <w:rFonts w:hint="eastAsia" w:ascii="宋体" w:hAnsi="宋体" w:eastAsia="宋体" w:cs="宋体"/>
                <w:spacing w:val="-1"/>
                <w:highlight w:val="none"/>
              </w:rPr>
              <w:t>。密封后粘贴密封条。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8"/>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24</w:t>
            </w:r>
          </w:p>
        </w:tc>
        <w:tc>
          <w:tcPr>
            <w:tcW w:w="8475" w:type="dxa"/>
            <w:noWrap w:val="0"/>
            <w:vAlign w:val="top"/>
          </w:tcPr>
          <w:p>
            <w:pPr>
              <w:pStyle w:val="28"/>
              <w:kinsoku w:val="0"/>
              <w:overflowPunct w:val="0"/>
              <w:spacing w:before="56"/>
              <w:rPr>
                <w:rFonts w:hint="eastAsia" w:ascii="宋体" w:hAnsi="宋体" w:eastAsia="宋体" w:cs="宋体"/>
                <w:highlight w:val="none"/>
                <w:lang w:eastAsia="zh-CN"/>
              </w:rPr>
            </w:pPr>
            <w:r>
              <w:rPr>
                <w:rFonts w:hint="eastAsia" w:ascii="宋体" w:hAnsi="宋体" w:eastAsia="宋体" w:cs="宋体"/>
                <w:b/>
                <w:bCs/>
                <w:highlight w:val="none"/>
              </w:rPr>
              <w:t>开标时间及地点</w:t>
            </w:r>
            <w:r>
              <w:rPr>
                <w:rFonts w:hint="eastAsia" w:ascii="宋体" w:hAnsi="宋体" w:cs="宋体"/>
                <w:b/>
                <w:bCs/>
                <w:highlight w:val="none"/>
                <w:lang w:eastAsia="zh-CN"/>
              </w:rPr>
              <w:t>：</w:t>
            </w:r>
          </w:p>
          <w:p>
            <w:pPr>
              <w:pStyle w:val="28"/>
              <w:kinsoku w:val="0"/>
              <w:overflowPunct w:val="0"/>
              <w:spacing w:before="38"/>
              <w:rPr>
                <w:rFonts w:hint="eastAsia" w:ascii="宋体" w:hAnsi="宋体" w:eastAsia="宋体" w:cs="宋体"/>
                <w:highlight w:val="none"/>
              </w:rPr>
            </w:pPr>
            <w:r>
              <w:rPr>
                <w:rFonts w:hint="eastAsia" w:ascii="宋体" w:hAnsi="宋体" w:eastAsia="宋体" w:cs="宋体"/>
                <w:b/>
                <w:bCs/>
                <w:highlight w:val="none"/>
              </w:rPr>
              <w:t>开标时间：</w:t>
            </w:r>
            <w:r>
              <w:rPr>
                <w:rFonts w:hint="eastAsia" w:ascii="宋体" w:hAnsi="宋体" w:eastAsia="宋体" w:cs="宋体"/>
                <w:highlight w:val="none"/>
              </w:rPr>
              <w:t>同磋商响应性文件递交截止时间</w:t>
            </w:r>
          </w:p>
          <w:p>
            <w:pPr>
              <w:pStyle w:val="28"/>
              <w:kinsoku w:val="0"/>
              <w:overflowPunct w:val="0"/>
              <w:spacing w:before="38"/>
              <w:rPr>
                <w:rFonts w:hint="eastAsia" w:ascii="宋体" w:hAnsi="宋体" w:eastAsia="宋体" w:cs="宋体"/>
                <w:sz w:val="22"/>
                <w:szCs w:val="22"/>
                <w:highlight w:val="none"/>
              </w:rPr>
            </w:pPr>
            <w:r>
              <w:rPr>
                <w:rFonts w:hint="eastAsia" w:ascii="宋体" w:hAnsi="宋体" w:eastAsia="宋体" w:cs="宋体"/>
                <w:b/>
                <w:bCs/>
                <w:spacing w:val="-2"/>
                <w:highlight w:val="none"/>
              </w:rPr>
              <w:t>开标地点：</w:t>
            </w:r>
            <w:r>
              <w:rPr>
                <w:rFonts w:hint="eastAsia" w:ascii="宋体" w:hAnsi="宋体" w:eastAsia="宋体" w:cs="宋体"/>
                <w:highlight w:val="none"/>
              </w:rPr>
              <w:t>同磋商响应性文件递交地点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8"/>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25</w:t>
            </w:r>
          </w:p>
        </w:tc>
        <w:tc>
          <w:tcPr>
            <w:tcW w:w="8475" w:type="dxa"/>
            <w:noWrap w:val="0"/>
            <w:vAlign w:val="top"/>
          </w:tcPr>
          <w:p>
            <w:pPr>
              <w:pStyle w:val="28"/>
              <w:kinsoku w:val="0"/>
              <w:overflowPunct w:val="0"/>
              <w:spacing w:before="56"/>
              <w:ind w:left="102"/>
              <w:rPr>
                <w:rFonts w:hint="default" w:ascii="宋体" w:hAnsi="宋体" w:eastAsia="宋体" w:cs="宋体"/>
                <w:highlight w:val="none"/>
                <w:lang w:val="en-US" w:eastAsia="zh-CN"/>
              </w:rPr>
            </w:pPr>
            <w:r>
              <w:rPr>
                <w:rFonts w:hint="eastAsia" w:ascii="宋体" w:hAnsi="宋体" w:eastAsia="宋体" w:cs="宋体"/>
                <w:b/>
                <w:bCs/>
                <w:highlight w:val="none"/>
              </w:rPr>
              <w:t>付款方式：</w:t>
            </w:r>
            <w:r>
              <w:rPr>
                <w:rFonts w:hint="eastAsia" w:ascii="宋体" w:hAnsi="宋体" w:eastAsia="宋体" w:cs="宋体"/>
                <w:highlight w:val="none"/>
                <w:lang w:val="en-US" w:eastAsia="zh-CN"/>
              </w:rPr>
              <w:t>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8"/>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26</w:t>
            </w:r>
          </w:p>
        </w:tc>
        <w:tc>
          <w:tcPr>
            <w:tcW w:w="8475" w:type="dxa"/>
            <w:noWrap w:val="0"/>
            <w:vAlign w:val="top"/>
          </w:tcPr>
          <w:p>
            <w:pPr>
              <w:pStyle w:val="28"/>
              <w:kinsoku w:val="0"/>
              <w:overflowPunct w:val="0"/>
              <w:spacing w:line="277" w:lineRule="exact"/>
              <w:ind w:left="102"/>
              <w:rPr>
                <w:rFonts w:hint="eastAsia" w:ascii="宋体" w:hAnsi="宋体" w:eastAsia="宋体" w:cs="宋体"/>
                <w:highlight w:val="none"/>
                <w:lang w:val="en-US" w:eastAsia="zh-CN"/>
              </w:rPr>
            </w:pPr>
            <w:r>
              <w:rPr>
                <w:rFonts w:hint="eastAsia" w:ascii="宋体" w:hAnsi="宋体" w:eastAsia="宋体" w:cs="宋体"/>
                <w:b/>
                <w:bCs/>
                <w:highlight w:val="none"/>
              </w:rPr>
              <w:t>★履约保证金：</w:t>
            </w:r>
            <w:r>
              <w:rPr>
                <w:rFonts w:hint="eastAsia" w:ascii="宋体" w:hAnsi="宋体" w:cs="宋体"/>
                <w:b/>
                <w:bCs/>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5" w:hRule="atLeast"/>
          <w:jc w:val="center"/>
        </w:trPr>
        <w:tc>
          <w:tcPr>
            <w:tcW w:w="672" w:type="dxa"/>
            <w:noWrap w:val="0"/>
            <w:vAlign w:val="center"/>
          </w:tcPr>
          <w:p>
            <w:pPr>
              <w:pStyle w:val="28"/>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27</w:t>
            </w:r>
          </w:p>
        </w:tc>
        <w:tc>
          <w:tcPr>
            <w:tcW w:w="8475" w:type="dxa"/>
            <w:noWrap w:val="0"/>
            <w:vAlign w:val="top"/>
          </w:tcPr>
          <w:p>
            <w:pPr>
              <w:pStyle w:val="28"/>
              <w:kinsoku w:val="0"/>
              <w:overflowPunct w:val="0"/>
              <w:spacing w:line="274" w:lineRule="exact"/>
              <w:ind w:left="102"/>
              <w:rPr>
                <w:rFonts w:hint="eastAsia" w:ascii="宋体" w:hAnsi="宋体" w:eastAsia="宋体" w:cs="宋体"/>
                <w:highlight w:val="none"/>
              </w:rPr>
            </w:pPr>
            <w:r>
              <w:rPr>
                <w:rFonts w:hint="eastAsia" w:ascii="宋体" w:hAnsi="宋体" w:eastAsia="宋体" w:cs="宋体"/>
                <w:b/>
                <w:bCs/>
                <w:highlight w:val="none"/>
              </w:rPr>
              <w:t>代理服务费</w:t>
            </w:r>
            <w:r>
              <w:rPr>
                <w:rFonts w:hint="eastAsia" w:ascii="宋体" w:hAnsi="宋体" w:eastAsia="宋体" w:cs="宋体"/>
                <w:highlight w:val="none"/>
              </w:rPr>
              <w:t>：</w:t>
            </w:r>
          </w:p>
          <w:p>
            <w:pPr>
              <w:pStyle w:val="28"/>
              <w:kinsoku w:val="0"/>
              <w:overflowPunct w:val="0"/>
              <w:spacing w:line="276" w:lineRule="exact"/>
              <w:ind w:left="102" w:firstLine="472" w:firstLineChars="200"/>
              <w:rPr>
                <w:rFonts w:hint="eastAsia" w:ascii="宋体" w:hAnsi="宋体" w:eastAsia="宋体" w:cs="宋体"/>
                <w:highlight w:val="none"/>
              </w:rPr>
            </w:pPr>
            <w:r>
              <w:rPr>
                <w:rFonts w:hint="eastAsia" w:ascii="宋体" w:hAnsi="宋体" w:eastAsia="宋体" w:cs="宋体"/>
                <w:spacing w:val="-2"/>
                <w:highlight w:val="none"/>
              </w:rPr>
              <w:t>参照国家计委《招标代理服务收费管理暂行办法》(计价格﹝2002﹞1980 号)所规定</w:t>
            </w:r>
            <w:r>
              <w:rPr>
                <w:rFonts w:hint="eastAsia" w:ascii="宋体" w:hAnsi="宋体" w:cs="宋体"/>
                <w:spacing w:val="-2"/>
                <w:highlight w:val="none"/>
                <w:lang w:val="en-US" w:eastAsia="zh-CN"/>
              </w:rPr>
              <w:t>及与采购方签订合同所规定的费率</w:t>
            </w:r>
            <w:r>
              <w:rPr>
                <w:rFonts w:hint="eastAsia" w:ascii="宋体" w:hAnsi="宋体" w:eastAsia="宋体" w:cs="宋体"/>
                <w:spacing w:val="-2"/>
                <w:highlight w:val="none"/>
              </w:rPr>
              <w:t>取费，由中标人支付，该代理服务费在中标人领取中标通知书时向招标代理机构缴纳。此费由投标人综合考虑到投标报价中，不再单独列项。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8"/>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28</w:t>
            </w:r>
          </w:p>
        </w:tc>
        <w:tc>
          <w:tcPr>
            <w:tcW w:w="8475" w:type="dxa"/>
            <w:noWrap w:val="0"/>
            <w:vAlign w:val="top"/>
          </w:tcPr>
          <w:p>
            <w:pPr>
              <w:pStyle w:val="28"/>
              <w:kinsoku w:val="0"/>
              <w:overflowPunct w:val="0"/>
              <w:spacing w:line="277" w:lineRule="exact"/>
              <w:ind w:left="102"/>
              <w:rPr>
                <w:rFonts w:hint="eastAsia" w:ascii="宋体" w:hAnsi="宋体" w:eastAsia="宋体" w:cs="宋体"/>
                <w:highlight w:val="none"/>
              </w:rPr>
            </w:pPr>
            <w:r>
              <w:rPr>
                <w:rFonts w:hint="eastAsia" w:ascii="宋体" w:hAnsi="宋体" w:eastAsia="宋体" w:cs="宋体"/>
                <w:b/>
                <w:bCs/>
                <w:highlight w:val="none"/>
              </w:rPr>
              <w:t>采购项目需要落实的政府采购政策:</w:t>
            </w:r>
          </w:p>
          <w:p>
            <w:pPr>
              <w:pStyle w:val="28"/>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1、根据</w:t>
            </w:r>
            <w:r>
              <w:rPr>
                <w:rFonts w:hint="eastAsia" w:ascii="宋体" w:hAnsi="宋体" w:eastAsia="宋体" w:cs="宋体"/>
                <w:b w:val="0"/>
                <w:bCs w:val="0"/>
                <w:i w:val="0"/>
                <w:iCs w:val="0"/>
                <w:color w:val="auto"/>
                <w:sz w:val="24"/>
                <w:szCs w:val="24"/>
                <w:highlight w:val="none"/>
                <w:u w:val="none"/>
              </w:rPr>
              <w:t>《政府采购促进中小企业发展管理办法》（财库﹝2020﹞46 号）</w:t>
            </w:r>
            <w:r>
              <w:rPr>
                <w:rFonts w:hint="eastAsia" w:ascii="宋体" w:hAnsi="宋体" w:eastAsia="宋体" w:cs="宋体"/>
                <w:spacing w:val="-2"/>
                <w:highlight w:val="none"/>
              </w:rPr>
              <w:t>和工信部联企业〔2011〕300 号文件规定，对小型和微型企业产品的价格给予 6%-10%的扣除，用扣除后的价格参与评审；大中型企业和其他自然人、法人或者其他组织与小型、微型企业组成联合体共同参加非专门面向中小企业的政府采购活动的，小微企业的合同金额占联合体协议合同总金额 30%以上的，给予联合体 2%-3%的价格扣除，用扣除后的价格参与评审。具体办法详见竞争性磋商文件评标办法和标准；</w:t>
            </w:r>
          </w:p>
          <w:p>
            <w:pPr>
              <w:pStyle w:val="28"/>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2、根据《财政部民政部中国残疾人联合会关于促进残疾人就业政府采购政策的通知》（财库【2017】141 号）文件规定，对满足价格扣除条件且在磋商响应性文件中提交了《残疾人福利性单位声明函》等证明文件的投标人，其投标报价扣除 6%-10%后参与评审。具体办法详见竞争性磋商文件评标办法和标准。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8"/>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29</w:t>
            </w:r>
          </w:p>
        </w:tc>
        <w:tc>
          <w:tcPr>
            <w:tcW w:w="8475" w:type="dxa"/>
            <w:noWrap w:val="0"/>
            <w:vAlign w:val="top"/>
          </w:tcPr>
          <w:p>
            <w:pPr>
              <w:pStyle w:val="28"/>
              <w:kinsoku w:val="0"/>
              <w:overflowPunct w:val="0"/>
              <w:spacing w:line="277" w:lineRule="exact"/>
              <w:ind w:left="102"/>
              <w:rPr>
                <w:rFonts w:hint="eastAsia" w:ascii="宋体" w:hAnsi="宋体" w:eastAsia="宋体" w:cs="宋体"/>
                <w:b/>
                <w:bCs/>
                <w:highlight w:val="none"/>
              </w:rPr>
            </w:pPr>
            <w:r>
              <w:rPr>
                <w:rFonts w:hint="eastAsia" w:ascii="宋体" w:hAnsi="宋体" w:eastAsia="宋体" w:cs="宋体"/>
                <w:b/>
                <w:bCs/>
                <w:highlight w:val="none"/>
              </w:rPr>
              <w:t>磋商响应性文件递交</w:t>
            </w:r>
            <w:bookmarkStart w:id="47" w:name="bookmark3"/>
            <w:bookmarkEnd w:id="47"/>
            <w:bookmarkStart w:id="48" w:name="（二）供应商须知"/>
            <w:bookmarkEnd w:id="48"/>
            <w:r>
              <w:rPr>
                <w:rFonts w:hint="eastAsia" w:ascii="宋体" w:hAnsi="宋体" w:eastAsia="宋体" w:cs="宋体"/>
                <w:b/>
                <w:bCs/>
                <w:highlight w:val="none"/>
              </w:rPr>
              <w:t xml:space="preserve">要求： </w:t>
            </w:r>
          </w:p>
          <w:p>
            <w:pPr>
              <w:pStyle w:val="28"/>
              <w:kinsoku w:val="0"/>
              <w:overflowPunct w:val="0"/>
              <w:spacing w:before="38"/>
              <w:ind w:left="102" w:firstLine="472" w:firstLineChars="200"/>
              <w:rPr>
                <w:rFonts w:hint="eastAsia" w:ascii="宋体" w:hAnsi="宋体" w:eastAsia="宋体" w:cs="宋体"/>
                <w:highlight w:val="none"/>
              </w:rPr>
            </w:pPr>
            <w:r>
              <w:rPr>
                <w:rFonts w:hint="eastAsia" w:ascii="宋体" w:hAnsi="宋体" w:eastAsia="宋体" w:cs="宋体"/>
                <w:spacing w:val="-2"/>
                <w:highlight w:val="none"/>
              </w:rPr>
              <w:t>供应商参加磋商时，供应商的法定代表人或委托代理人在开标时必须到达现场，并提供授权委托书原件和有效的居民身份证备验，现场核查后，方可接收投标人的磋商响应性文件；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8"/>
              <w:kinsoku w:val="0"/>
              <w:overflowPunct w:val="0"/>
              <w:spacing w:before="73"/>
              <w:jc w:val="center"/>
              <w:rPr>
                <w:rFonts w:hint="default" w:ascii="宋体" w:hAnsi="宋体" w:eastAsia="宋体" w:cs="宋体"/>
                <w:highlight w:val="none"/>
                <w:lang w:val="en-US" w:eastAsia="zh-CN"/>
              </w:rPr>
            </w:pPr>
            <w:r>
              <w:rPr>
                <w:rFonts w:hint="eastAsia" w:ascii="宋体" w:hAnsi="宋体" w:cs="宋体"/>
                <w:highlight w:val="none"/>
                <w:lang w:val="en-US" w:eastAsia="zh-CN"/>
              </w:rPr>
              <w:t>30</w:t>
            </w:r>
          </w:p>
        </w:tc>
        <w:tc>
          <w:tcPr>
            <w:tcW w:w="8475" w:type="dxa"/>
            <w:noWrap w:val="0"/>
            <w:vAlign w:val="top"/>
          </w:tcPr>
          <w:p>
            <w:pPr>
              <w:pStyle w:val="28"/>
              <w:kinsoku w:val="0"/>
              <w:overflowPunct w:val="0"/>
              <w:spacing w:before="38"/>
              <w:ind w:left="102" w:firstLine="472" w:firstLineChars="200"/>
              <w:rPr>
                <w:rFonts w:hint="eastAsia" w:ascii="宋体" w:hAnsi="宋体" w:eastAsia="宋体" w:cs="宋体"/>
                <w:spacing w:val="-2"/>
                <w:highlight w:val="none"/>
                <w:lang w:eastAsia="zh-CN"/>
              </w:rPr>
            </w:pPr>
            <w:r>
              <w:rPr>
                <w:rFonts w:hint="eastAsia" w:ascii="宋体" w:hAnsi="宋体" w:cs="宋体"/>
                <w:spacing w:val="-2"/>
                <w:highlight w:val="none"/>
                <w:lang w:eastAsia="zh-CN"/>
              </w:rPr>
              <w:t>关于放弃磋商：</w:t>
            </w:r>
            <w:r>
              <w:rPr>
                <w:rFonts w:hint="eastAsia" w:ascii="宋体" w:hAnsi="宋体" w:eastAsia="宋体" w:cs="宋体"/>
                <w:b w:val="0"/>
                <w:bCs w:val="0"/>
                <w:color w:val="auto"/>
                <w:kern w:val="0"/>
                <w:sz w:val="24"/>
                <w:szCs w:val="24"/>
                <w:highlight w:val="none"/>
                <w:lang w:val="en-US" w:eastAsia="zh-CN"/>
              </w:rPr>
              <w:t>供应商获取</w:t>
            </w:r>
            <w:r>
              <w:rPr>
                <w:rFonts w:hint="eastAsia" w:cs="宋体"/>
                <w:b w:val="0"/>
                <w:bCs w:val="0"/>
                <w:color w:val="auto"/>
                <w:kern w:val="0"/>
                <w:sz w:val="24"/>
                <w:szCs w:val="24"/>
                <w:highlight w:val="none"/>
                <w:lang w:val="en-US" w:eastAsia="zh-CN"/>
              </w:rPr>
              <w:t>磋商</w:t>
            </w:r>
            <w:r>
              <w:rPr>
                <w:rFonts w:hint="eastAsia" w:ascii="宋体" w:hAnsi="宋体" w:eastAsia="宋体" w:cs="宋体"/>
                <w:b w:val="0"/>
                <w:bCs w:val="0"/>
                <w:color w:val="auto"/>
                <w:kern w:val="0"/>
                <w:sz w:val="24"/>
                <w:szCs w:val="24"/>
                <w:highlight w:val="none"/>
                <w:lang w:val="en-US" w:eastAsia="zh-CN"/>
              </w:rPr>
              <w:t>文件后如放弃</w:t>
            </w:r>
            <w:r>
              <w:rPr>
                <w:rFonts w:hint="eastAsia" w:cs="宋体"/>
                <w:b w:val="0"/>
                <w:bCs w:val="0"/>
                <w:color w:val="auto"/>
                <w:kern w:val="0"/>
                <w:sz w:val="24"/>
                <w:szCs w:val="24"/>
                <w:highlight w:val="none"/>
                <w:lang w:val="en-US" w:eastAsia="zh-CN"/>
              </w:rPr>
              <w:t>磋商</w:t>
            </w:r>
            <w:r>
              <w:rPr>
                <w:rFonts w:hint="eastAsia" w:ascii="宋体" w:hAnsi="宋体" w:eastAsia="宋体" w:cs="宋体"/>
                <w:b w:val="0"/>
                <w:bCs w:val="0"/>
                <w:color w:val="auto"/>
                <w:kern w:val="0"/>
                <w:sz w:val="24"/>
                <w:szCs w:val="24"/>
                <w:highlight w:val="none"/>
                <w:lang w:val="en-US" w:eastAsia="zh-CN"/>
              </w:rPr>
              <w:t>，需在提交响应文件截止前</w:t>
            </w:r>
            <w:r>
              <w:rPr>
                <w:rFonts w:hint="eastAsia" w:ascii="宋体" w:hAnsi="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val="en-US" w:eastAsia="zh-CN"/>
              </w:rPr>
              <w:t>日提交书面弃标函（如不然，将承担相应的失信</w:t>
            </w:r>
            <w:r>
              <w:rPr>
                <w:rFonts w:hint="eastAsia" w:cs="宋体"/>
                <w:b w:val="0"/>
                <w:bCs w:val="0"/>
                <w:color w:val="auto"/>
                <w:kern w:val="0"/>
                <w:sz w:val="24"/>
                <w:szCs w:val="24"/>
                <w:highlight w:val="none"/>
                <w:lang w:val="en-US" w:eastAsia="zh-CN"/>
              </w:rPr>
              <w:t>后</w:t>
            </w:r>
            <w:r>
              <w:rPr>
                <w:rFonts w:hint="eastAsia" w:ascii="宋体" w:hAnsi="宋体" w:eastAsia="宋体" w:cs="宋体"/>
                <w:b w:val="0"/>
                <w:bCs w:val="0"/>
                <w:color w:val="auto"/>
                <w:kern w:val="0"/>
                <w:sz w:val="24"/>
                <w:szCs w:val="24"/>
                <w:highlight w:val="none"/>
                <w:lang w:val="en-US" w:eastAsia="zh-CN"/>
              </w:rPr>
              <w:t>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8"/>
              <w:kinsoku w:val="0"/>
              <w:overflowPunct w:val="0"/>
              <w:spacing w:before="73"/>
              <w:jc w:val="center"/>
              <w:rPr>
                <w:rFonts w:hint="default" w:ascii="宋体" w:hAnsi="宋体" w:cs="宋体"/>
                <w:highlight w:val="none"/>
                <w:lang w:val="en-US" w:eastAsia="zh-CN"/>
              </w:rPr>
            </w:pPr>
            <w:r>
              <w:rPr>
                <w:rFonts w:hint="eastAsia" w:ascii="宋体" w:hAnsi="宋体" w:cs="宋体"/>
                <w:highlight w:val="none"/>
                <w:lang w:val="en-US" w:eastAsia="zh-CN"/>
              </w:rPr>
              <w:t>31</w:t>
            </w:r>
          </w:p>
        </w:tc>
        <w:tc>
          <w:tcPr>
            <w:tcW w:w="8475" w:type="dxa"/>
            <w:noWrap w:val="0"/>
            <w:vAlign w:val="top"/>
          </w:tcPr>
          <w:p>
            <w:pPr>
              <w:pStyle w:val="28"/>
              <w:kinsoku w:val="0"/>
              <w:overflowPunct w:val="0"/>
              <w:spacing w:before="38"/>
              <w:ind w:left="102" w:firstLine="472" w:firstLineChars="200"/>
              <w:rPr>
                <w:rFonts w:hint="eastAsia" w:ascii="宋体" w:hAnsi="宋体" w:cs="宋体"/>
                <w:spacing w:val="-2"/>
                <w:highlight w:val="none"/>
                <w:lang w:eastAsia="zh-CN"/>
              </w:rPr>
            </w:pPr>
            <w:r>
              <w:rPr>
                <w:rFonts w:hint="eastAsia" w:ascii="宋体" w:hAnsi="宋体" w:cs="宋体"/>
                <w:spacing w:val="-2"/>
                <w:highlight w:val="none"/>
                <w:lang w:eastAsia="zh-CN"/>
              </w:rPr>
              <w:t>接受答疑要求：供应商应在收到采购文件1天内，将需要答疑的问题以纸质的形式一并提交。采购人将对供应商疑问给予书面解答，供应商未按照以上时间提出答疑的或不自行查阅答疑的，造成错误理解和推论后果自负。</w:t>
            </w:r>
          </w:p>
        </w:tc>
      </w:tr>
    </w:tbl>
    <w:p>
      <w:pPr>
        <w:rPr>
          <w:rFonts w:hint="eastAsia" w:ascii="宋体" w:hAnsi="宋体" w:eastAsia="宋体" w:cs="宋体"/>
          <w:highlight w:val="none"/>
        </w:rPr>
      </w:pPr>
    </w:p>
    <w:p>
      <w:pPr>
        <w:pStyle w:val="4"/>
        <w:rPr>
          <w:rFonts w:hint="eastAsia" w:ascii="宋体" w:hAnsi="宋体" w:eastAsia="宋体" w:cs="宋体"/>
          <w:color w:val="000000"/>
          <w:highlight w:val="none"/>
        </w:rPr>
      </w:pPr>
      <w:r>
        <w:rPr>
          <w:rFonts w:hint="eastAsia" w:ascii="宋体" w:hAnsi="宋体" w:eastAsia="宋体" w:cs="宋体"/>
          <w:highlight w:val="none"/>
        </w:rPr>
        <w:br w:type="page"/>
      </w:r>
      <w:bookmarkStart w:id="49" w:name="_Toc28003"/>
      <w:r>
        <w:rPr>
          <w:rFonts w:hint="eastAsia" w:ascii="宋体" w:hAnsi="宋体" w:eastAsia="宋体" w:cs="宋体"/>
          <w:color w:val="000000"/>
          <w:highlight w:val="none"/>
        </w:rPr>
        <w:t>（二）供应商须知</w:t>
      </w:r>
      <w:bookmarkEnd w:id="49"/>
    </w:p>
    <w:p>
      <w:pPr>
        <w:pStyle w:val="2"/>
        <w:kinsoku w:val="0"/>
        <w:overflowPunct w:val="0"/>
        <w:spacing w:before="47" w:line="264" w:lineRule="auto"/>
        <w:ind w:right="5041"/>
        <w:rPr>
          <w:rFonts w:hint="eastAsia" w:ascii="宋体" w:hAnsi="宋体" w:eastAsia="宋体" w:cs="宋体"/>
          <w:b/>
          <w:bCs/>
          <w:color w:val="000000"/>
          <w:highlight w:val="none"/>
        </w:rPr>
      </w:pPr>
      <w:r>
        <w:rPr>
          <w:rFonts w:hint="eastAsia" w:ascii="宋体" w:hAnsi="宋体" w:eastAsia="宋体" w:cs="宋体"/>
          <w:b/>
          <w:bCs/>
          <w:color w:val="000000"/>
          <w:highlight w:val="none"/>
        </w:rPr>
        <w:t>1、综合说明</w:t>
      </w:r>
    </w:p>
    <w:p>
      <w:pPr>
        <w:pStyle w:val="2"/>
        <w:kinsoku w:val="0"/>
        <w:overflowPunct w:val="0"/>
        <w:spacing w:before="130" w:line="355" w:lineRule="auto"/>
        <w:ind w:left="0"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本项目按照《中华人民共和国政府采购法》、《中华人民共和国政府采购法实施条 例》、《政府采购货物和服务招标投标管理办法》、《政府购买服务管理办法（暂行）》、《政府采购竞争性磋商采购方式管理暂行办法》、《财政部关于政府采购竞争性磋商采购方式管理暂行办法有关问题的补充通知》及相关法规，已办理政府采购相关手续，并得到行业主管部门批准，现通过招标来择优选定为本项目提供服务的供应商。本竞争性磋商文件包括本文所列内容及按本须知发出的全部和补充资料。供应商应认真阅读本竞争性磋商文件中所有的事项、格式、条款、技术规范等实质性的条件和要求，并熟悉本招标项目的全部内容及与履行合同有关的全部内容，熟悉竞争性磋商文件的格式、条件和范围。供应商没有按照竞争性磋商文件的要求提交相关资料，或者供应商没有对竞争性磋商文件相关内容都做出实质性响应是供应商的风险，并可能导致其投标无效，其风险由投标供应商自行承担。</w:t>
      </w:r>
    </w:p>
    <w:p>
      <w:pPr>
        <w:pStyle w:val="2"/>
        <w:kinsoku w:val="0"/>
        <w:overflowPunct w:val="0"/>
        <w:spacing w:before="47" w:line="264" w:lineRule="auto"/>
        <w:ind w:right="5041"/>
        <w:rPr>
          <w:rFonts w:hint="eastAsia" w:ascii="宋体" w:hAnsi="宋体" w:eastAsia="宋体" w:cs="宋体"/>
          <w:b/>
          <w:bCs/>
          <w:color w:val="000000"/>
          <w:highlight w:val="none"/>
        </w:rPr>
      </w:pPr>
      <w:r>
        <w:rPr>
          <w:rFonts w:hint="eastAsia" w:ascii="宋体" w:hAnsi="宋体" w:eastAsia="宋体" w:cs="宋体"/>
          <w:b/>
          <w:bCs/>
          <w:color w:val="000000"/>
          <w:highlight w:val="none"/>
        </w:rPr>
        <w:t>2.适用范围</w:t>
      </w:r>
    </w:p>
    <w:p>
      <w:pPr>
        <w:pStyle w:val="2"/>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本竞争性磋商文件仅适用于本次磋商所叙述的磋商项目。</w:t>
      </w:r>
    </w:p>
    <w:p>
      <w:pPr>
        <w:pStyle w:val="2"/>
        <w:kinsoku w:val="0"/>
        <w:overflowPunct w:val="0"/>
        <w:spacing w:before="38"/>
        <w:rPr>
          <w:rFonts w:hint="eastAsia" w:ascii="宋体" w:hAnsi="宋体" w:eastAsia="宋体" w:cs="宋体"/>
          <w:color w:val="000000"/>
          <w:highlight w:val="none"/>
        </w:rPr>
      </w:pPr>
      <w:r>
        <w:rPr>
          <w:rFonts w:hint="eastAsia" w:ascii="宋体" w:hAnsi="宋体" w:eastAsia="宋体" w:cs="宋体"/>
          <w:b/>
          <w:bCs/>
          <w:color w:val="000000"/>
          <w:spacing w:val="-1"/>
          <w:highlight w:val="none"/>
        </w:rPr>
        <w:t>3.定义</w:t>
      </w:r>
    </w:p>
    <w:p>
      <w:pPr>
        <w:pStyle w:val="2"/>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3.1 “政府采购当事人”系指在政府采购活动中享有权利和承担义务的各类主体，包括采购人、供应商和招标代理机构。</w:t>
      </w:r>
    </w:p>
    <w:p>
      <w:pPr>
        <w:pStyle w:val="2"/>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3.2 “采购人”系指</w:t>
      </w:r>
      <w:r>
        <w:rPr>
          <w:rFonts w:hint="eastAsia" w:asciiTheme="minorEastAsia" w:hAnsiTheme="minorEastAsia" w:eastAsiaTheme="minorEastAsia" w:cstheme="minorEastAsia"/>
          <w:i w:val="0"/>
          <w:iCs w:val="0"/>
          <w:color w:val="auto"/>
          <w:sz w:val="24"/>
          <w:szCs w:val="24"/>
          <w:highlight w:val="none"/>
          <w:u w:val="none"/>
        </w:rPr>
        <w:t>新疆维吾尔自治区文化和旅游厅</w:t>
      </w:r>
      <w:r>
        <w:rPr>
          <w:rFonts w:hint="eastAsia" w:ascii="宋体" w:hAnsi="宋体" w:eastAsia="宋体" w:cs="宋体"/>
          <w:color w:val="000000"/>
          <w:spacing w:val="4"/>
          <w:highlight w:val="none"/>
        </w:rPr>
        <w:t>；</w:t>
      </w:r>
    </w:p>
    <w:p>
      <w:pPr>
        <w:pStyle w:val="2"/>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3.3 “招标代理机构”系指</w:t>
      </w:r>
      <w:r>
        <w:rPr>
          <w:rFonts w:hint="eastAsia" w:asciiTheme="minorEastAsia" w:hAnsiTheme="minorEastAsia" w:eastAsiaTheme="minorEastAsia" w:cstheme="minorEastAsia"/>
          <w:color w:val="auto"/>
          <w:sz w:val="24"/>
          <w:highlight w:val="none"/>
        </w:rPr>
        <w:t>新疆信尔成工程项目管理有限公司</w:t>
      </w:r>
      <w:r>
        <w:rPr>
          <w:rFonts w:hint="eastAsia" w:ascii="宋体" w:hAnsi="宋体" w:eastAsia="宋体" w:cs="宋体"/>
          <w:color w:val="000000"/>
          <w:spacing w:val="4"/>
          <w:highlight w:val="none"/>
        </w:rPr>
        <w:t>；</w:t>
      </w:r>
    </w:p>
    <w:p>
      <w:pPr>
        <w:pStyle w:val="2"/>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3.4 “供应商、磋商单位、响应人”系指符合本磋商项目资质要求，参加磋商竞争的法人机构或其他组织。</w:t>
      </w:r>
    </w:p>
    <w:p>
      <w:pPr>
        <w:pStyle w:val="2"/>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3.5 “竞争性磋商文件”系指由采购人和招标代理机构发出的文本、文件，包括全部章节和附件及答疑会议纪要。</w:t>
      </w:r>
    </w:p>
    <w:p>
      <w:pPr>
        <w:pStyle w:val="2"/>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3.6 “磋商响应性文件”系指供应商根据本《竞争性磋商文件》向采购人提交的全部文件。</w:t>
      </w:r>
    </w:p>
    <w:p>
      <w:pPr>
        <w:pStyle w:val="2"/>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3.7 “采购文件”系指包括采购活动的记录、采购预算、竞争性磋商文件、磋商响应性文件、评标标准、评估报告、定标文件、合同文本、验收证明、质疑答复、投诉处理决定及其他有关文件、资料。</w:t>
      </w:r>
    </w:p>
    <w:p>
      <w:pPr>
        <w:pStyle w:val="2"/>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3.8 “书面形式”系指任何手写、打印或印刷的各种函件，不包括电传、电报、传真、电子邮件。</w:t>
      </w:r>
    </w:p>
    <w:p>
      <w:pPr>
        <w:pStyle w:val="2"/>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3.9 “货物”系指供应商中标后根据竞争性磋商文件和合同的规定须向采购人提供的各种形态和种类的货物。</w:t>
      </w:r>
    </w:p>
    <w:p>
      <w:pPr>
        <w:pStyle w:val="2"/>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3.10 “服务”系指供应商中标后根据竞争性磋商文件和合同的规定承担有关的服务。</w:t>
      </w:r>
    </w:p>
    <w:p>
      <w:pPr>
        <w:pStyle w:val="2"/>
        <w:kinsoku w:val="0"/>
        <w:overflowPunct w:val="0"/>
        <w:spacing w:before="38"/>
        <w:rPr>
          <w:rFonts w:hint="eastAsia" w:ascii="宋体" w:hAnsi="宋体" w:eastAsia="宋体" w:cs="宋体"/>
          <w:color w:val="000000"/>
          <w:highlight w:val="none"/>
        </w:rPr>
      </w:pPr>
      <w:r>
        <w:rPr>
          <w:rFonts w:hint="eastAsia" w:ascii="宋体" w:hAnsi="宋体" w:eastAsia="宋体" w:cs="宋体"/>
          <w:b/>
          <w:bCs/>
          <w:color w:val="000000"/>
          <w:highlight w:val="none"/>
        </w:rPr>
        <w:t>4.合格的供应商</w:t>
      </w:r>
    </w:p>
    <w:p>
      <w:pPr>
        <w:pStyle w:val="2"/>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4.1 具备“供应商须知前附表”第六款的基本条件；</w:t>
      </w:r>
    </w:p>
    <w:p>
      <w:pPr>
        <w:pStyle w:val="2"/>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4.2 凡是符合国家工商行政管理部门登记审核，具有相应生产经营许可的，有一定技术实力和生产规模，并有能力提供招标货物的</w:t>
      </w:r>
      <w:r>
        <w:rPr>
          <w:rFonts w:hint="eastAsia" w:ascii="宋体" w:hAnsi="宋体" w:eastAsia="宋体" w:cs="宋体"/>
          <w:color w:val="000000"/>
          <w:spacing w:val="4"/>
          <w:highlight w:val="none"/>
          <w:lang w:eastAsia="zh-CN"/>
        </w:rPr>
        <w:t>供应商</w:t>
      </w:r>
      <w:r>
        <w:rPr>
          <w:rFonts w:hint="eastAsia" w:ascii="宋体" w:hAnsi="宋体" w:eastAsia="宋体" w:cs="宋体"/>
          <w:color w:val="000000"/>
          <w:spacing w:val="4"/>
          <w:highlight w:val="none"/>
        </w:rPr>
        <w:t>。</w:t>
      </w:r>
    </w:p>
    <w:p>
      <w:pPr>
        <w:pStyle w:val="2"/>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4.3 投标单位不得直接或间接地与本次招标进行设计、编制规范和其他文件所委托的咨询公司或其附属机构有任何关联；</w:t>
      </w:r>
    </w:p>
    <w:p>
      <w:pPr>
        <w:pStyle w:val="2"/>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4.4 投标单位与采购人存在利害关系可能影响招标公正性的法人、其他组织或个人，不得参加投标。单位负责人为同一人或者存在控股、管理关系的不同单位，不得参加同一标段投标或者未划分标段的同一招标项目投标；</w:t>
      </w:r>
    </w:p>
    <w:p>
      <w:pPr>
        <w:pStyle w:val="2"/>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4.5 遵守国家有关的法律、法规和条例及《竞争性磋商文件》的规定。</w:t>
      </w:r>
    </w:p>
    <w:p>
      <w:pPr>
        <w:pStyle w:val="2"/>
        <w:kinsoku w:val="0"/>
        <w:overflowPunct w:val="0"/>
        <w:spacing w:before="151"/>
        <w:rPr>
          <w:rFonts w:hint="eastAsia" w:ascii="宋体" w:hAnsi="宋体" w:eastAsia="宋体" w:cs="宋体"/>
          <w:color w:val="000000"/>
          <w:highlight w:val="none"/>
        </w:rPr>
      </w:pPr>
      <w:r>
        <w:rPr>
          <w:rFonts w:hint="eastAsia" w:ascii="宋体" w:hAnsi="宋体" w:eastAsia="宋体" w:cs="宋体"/>
          <w:b/>
          <w:bCs/>
          <w:color w:val="000000"/>
          <w:highlight w:val="none"/>
        </w:rPr>
        <w:t>5.费用承担</w:t>
      </w:r>
    </w:p>
    <w:p>
      <w:pPr>
        <w:pStyle w:val="2"/>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供应商应承担与招标代理活动有关的一切费用。不论招标的结果如何，招标代理机构和采购人在任何情况下均无义务和责任承担这些费用。</w:t>
      </w:r>
    </w:p>
    <w:p>
      <w:pPr>
        <w:pStyle w:val="2"/>
        <w:kinsoku w:val="0"/>
        <w:overflowPunct w:val="0"/>
        <w:spacing w:before="38"/>
        <w:rPr>
          <w:rFonts w:hint="eastAsia" w:ascii="宋体" w:hAnsi="宋体" w:eastAsia="宋体" w:cs="宋体"/>
          <w:color w:val="000000"/>
          <w:highlight w:val="none"/>
        </w:rPr>
      </w:pPr>
      <w:r>
        <w:rPr>
          <w:rFonts w:hint="eastAsia" w:ascii="宋体" w:hAnsi="宋体" w:eastAsia="宋体" w:cs="宋体"/>
          <w:b/>
          <w:bCs/>
          <w:color w:val="000000"/>
          <w:highlight w:val="none"/>
        </w:rPr>
        <w:t>6.</w:t>
      </w:r>
      <w:r>
        <w:rPr>
          <w:rFonts w:hint="eastAsia" w:ascii="宋体" w:hAnsi="宋体" w:eastAsia="宋体" w:cs="宋体"/>
          <w:color w:val="000000"/>
          <w:spacing w:val="4"/>
          <w:kern w:val="2"/>
          <w:sz w:val="21"/>
          <w:szCs w:val="22"/>
          <w:highlight w:val="none"/>
        </w:rPr>
        <w:t xml:space="preserve"> </w:t>
      </w:r>
      <w:r>
        <w:rPr>
          <w:rFonts w:hint="eastAsia" w:ascii="宋体" w:hAnsi="宋体" w:eastAsia="宋体" w:cs="宋体"/>
          <w:b/>
          <w:bCs/>
          <w:color w:val="000000"/>
          <w:highlight w:val="none"/>
        </w:rPr>
        <w:t>招标代理服务费</w:t>
      </w:r>
    </w:p>
    <w:p>
      <w:pPr>
        <w:pStyle w:val="2"/>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bCs/>
          <w:color w:val="000000"/>
          <w:highlight w:val="none"/>
        </w:rPr>
        <w:t>成交供应商</w:t>
      </w:r>
      <w:r>
        <w:rPr>
          <w:rFonts w:hint="eastAsia" w:ascii="宋体" w:hAnsi="宋体" w:eastAsia="宋体" w:cs="宋体"/>
          <w:color w:val="000000"/>
          <w:spacing w:val="4"/>
          <w:highlight w:val="none"/>
        </w:rPr>
        <w:t>应承担所有与准备和参加磋商有关的费用。不论磋商的结果如何，招标代理机构和采购人均无义务和责任承担这些费用；</w:t>
      </w:r>
    </w:p>
    <w:p>
      <w:pPr>
        <w:pStyle w:val="2"/>
        <w:kinsoku w:val="0"/>
        <w:overflowPunct w:val="0"/>
        <w:spacing w:before="130" w:line="355" w:lineRule="auto"/>
        <w:ind w:right="7" w:firstLine="480"/>
        <w:rPr>
          <w:rFonts w:hint="eastAsia" w:ascii="宋体" w:hAnsi="宋体" w:eastAsia="宋体" w:cs="宋体"/>
          <w:bCs/>
          <w:color w:val="000000"/>
          <w:highlight w:val="none"/>
        </w:rPr>
      </w:pPr>
      <w:r>
        <w:rPr>
          <w:rFonts w:hint="eastAsia" w:ascii="宋体" w:hAnsi="宋体" w:eastAsia="宋体" w:cs="宋体"/>
          <w:bCs/>
          <w:color w:val="000000"/>
          <w:highlight w:val="none"/>
        </w:rPr>
        <w:t>成交供应商在领取《成交通知书》时须一次性付给采购代理单位采购代理服务费，招标代理服务费参照国家计委《招标代理服务收费管理暂行办法》(计价格﹝2002﹞1980 号)所规定取费。</w:t>
      </w:r>
    </w:p>
    <w:p>
      <w:pPr>
        <w:pStyle w:val="2"/>
        <w:kinsoku w:val="0"/>
        <w:overflowPunct w:val="0"/>
        <w:rPr>
          <w:rFonts w:hint="eastAsia" w:ascii="宋体" w:hAnsi="宋体" w:eastAsia="宋体" w:cs="宋体"/>
          <w:b/>
          <w:bCs/>
          <w:color w:val="000000"/>
          <w:highlight w:val="none"/>
        </w:rPr>
      </w:pPr>
      <w:r>
        <w:rPr>
          <w:rFonts w:hint="eastAsia" w:ascii="宋体" w:hAnsi="宋体" w:eastAsia="宋体" w:cs="宋体"/>
          <w:b/>
          <w:bCs/>
          <w:color w:val="000000"/>
          <w:spacing w:val="1"/>
          <w:highlight w:val="none"/>
        </w:rPr>
        <w:t>7.</w:t>
      </w:r>
      <w:r>
        <w:rPr>
          <w:rFonts w:hint="eastAsia" w:ascii="宋体" w:hAnsi="宋体" w:eastAsia="宋体" w:cs="宋体"/>
          <w:b/>
          <w:bCs/>
          <w:color w:val="000000"/>
          <w:spacing w:val="-23"/>
          <w:highlight w:val="none"/>
        </w:rPr>
        <w:t xml:space="preserve"> </w:t>
      </w:r>
      <w:r>
        <w:rPr>
          <w:rFonts w:hint="eastAsia" w:ascii="宋体" w:hAnsi="宋体" w:eastAsia="宋体" w:cs="宋体"/>
          <w:b/>
          <w:bCs/>
          <w:color w:val="000000"/>
          <w:highlight w:val="none"/>
        </w:rPr>
        <w:t>踏勘现场和答疑会</w:t>
      </w:r>
    </w:p>
    <w:p>
      <w:pPr>
        <w:pStyle w:val="2"/>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不组织</w:t>
      </w:r>
    </w:p>
    <w:p>
      <w:pPr>
        <w:pStyle w:val="2"/>
        <w:kinsoku w:val="0"/>
        <w:overflowPunct w:val="0"/>
        <w:spacing w:before="151" w:line="357" w:lineRule="auto"/>
        <w:ind w:right="963"/>
        <w:rPr>
          <w:rFonts w:hint="eastAsia" w:ascii="宋体" w:hAnsi="宋体" w:eastAsia="宋体" w:cs="宋体"/>
          <w:color w:val="000000"/>
          <w:highlight w:val="none"/>
        </w:rPr>
      </w:pPr>
      <w:r>
        <w:rPr>
          <w:rFonts w:hint="eastAsia" w:ascii="宋体" w:hAnsi="宋体" w:eastAsia="宋体" w:cs="宋体"/>
          <w:b/>
          <w:bCs/>
          <w:color w:val="000000"/>
          <w:highlight w:val="none"/>
        </w:rPr>
        <w:t>8．保密</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参与招标投标活动的各方应对竞争性磋商文件和磋商响应性文件中的商业和技术等秘密保密，违者应对由此造成的后果承担法律责任。</w:t>
      </w:r>
    </w:p>
    <w:p>
      <w:pPr>
        <w:pStyle w:val="2"/>
        <w:kinsoku w:val="0"/>
        <w:overflowPunct w:val="0"/>
        <w:spacing w:before="38"/>
        <w:rPr>
          <w:rFonts w:hint="eastAsia" w:ascii="宋体" w:hAnsi="宋体" w:eastAsia="宋体" w:cs="宋体"/>
          <w:highlight w:val="none"/>
        </w:rPr>
      </w:pPr>
      <w:r>
        <w:rPr>
          <w:rFonts w:hint="eastAsia" w:ascii="宋体" w:hAnsi="宋体" w:eastAsia="宋体" w:cs="宋体"/>
          <w:b/>
          <w:bCs/>
          <w:highlight w:val="none"/>
        </w:rPr>
        <w:t>9.</w:t>
      </w:r>
      <w:r>
        <w:rPr>
          <w:rFonts w:hint="eastAsia" w:ascii="宋体" w:hAnsi="宋体" w:eastAsia="宋体" w:cs="宋体"/>
          <w:b/>
          <w:bCs/>
          <w:spacing w:val="-12"/>
          <w:highlight w:val="none"/>
        </w:rPr>
        <w:t xml:space="preserve"> </w:t>
      </w:r>
      <w:r>
        <w:rPr>
          <w:rFonts w:hint="eastAsia" w:ascii="宋体" w:hAnsi="宋体" w:eastAsia="宋体" w:cs="宋体"/>
          <w:b/>
          <w:bCs/>
          <w:highlight w:val="none"/>
        </w:rPr>
        <w:t>适用法律</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本次政府采购，招标采购单位、供应商、磋商小组的相关行为均受《《中华人民共和国政府采购法》、《中华人民共和国政府采购法实施条例》、《政府采购货物和服务 招标投标管理办法》、《政府购买服务管理办法（暂行）》、《政府采购竞争性磋商采购方式管理暂行办法》和本项目采购人本级和上级财政部门政府采购有关规定的约束，其权利受到上述法律法规的保护。</w:t>
      </w:r>
    </w:p>
    <w:p>
      <w:pPr>
        <w:pStyle w:val="4"/>
        <w:rPr>
          <w:rFonts w:hint="eastAsia" w:ascii="宋体" w:hAnsi="宋体" w:eastAsia="宋体" w:cs="宋体"/>
          <w:highlight w:val="none"/>
        </w:rPr>
      </w:pPr>
      <w:bookmarkStart w:id="50" w:name="_Toc26806"/>
      <w:r>
        <w:rPr>
          <w:rFonts w:hint="eastAsia" w:ascii="宋体" w:hAnsi="宋体" w:eastAsia="宋体" w:cs="宋体"/>
          <w:highlight w:val="none"/>
        </w:rPr>
        <w:t>（三）《竞争性磋商文件》</w:t>
      </w:r>
      <w:bookmarkEnd w:id="50"/>
    </w:p>
    <w:p>
      <w:pPr>
        <w:pStyle w:val="2"/>
        <w:kinsoku w:val="0"/>
        <w:overflowPunct w:val="0"/>
        <w:spacing w:before="122" w:line="357" w:lineRule="auto"/>
        <w:ind w:left="598" w:hanging="480"/>
        <w:rPr>
          <w:rFonts w:hint="eastAsia" w:ascii="宋体" w:hAnsi="宋体" w:eastAsia="宋体" w:cs="宋体"/>
          <w:b/>
          <w:bCs/>
          <w:spacing w:val="27"/>
          <w:w w:val="99"/>
          <w:highlight w:val="none"/>
        </w:rPr>
      </w:pPr>
      <w:r>
        <w:rPr>
          <w:rFonts w:hint="eastAsia" w:ascii="宋体" w:hAnsi="宋体" w:eastAsia="宋体" w:cs="宋体"/>
          <w:b/>
          <w:bCs/>
          <w:highlight w:val="none"/>
        </w:rPr>
        <w:t>1.《竞争性磋商文件》的组成</w:t>
      </w:r>
      <w:r>
        <w:rPr>
          <w:rFonts w:hint="eastAsia" w:ascii="宋体" w:hAnsi="宋体" w:eastAsia="宋体" w:cs="宋体"/>
          <w:b/>
          <w:bCs/>
          <w:spacing w:val="27"/>
          <w:w w:val="99"/>
          <w:highlight w:val="none"/>
        </w:rPr>
        <w:t xml:space="preserve"> </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竞争性文件用以阐明招标项目所需的资质、技术、服务及报价等要求、招标投标程序、有关规定和注意事项以及合同主要条款等。本竞争性磋商文件包括以下内容,但不限于这些内容：</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1）投标邀请书</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2）供应商须知及前附表</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3）评标办法</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4）磋商内容</w:t>
      </w:r>
    </w:p>
    <w:p>
      <w:pPr>
        <w:pStyle w:val="2"/>
        <w:kinsoku w:val="0"/>
        <w:overflowPunct w:val="0"/>
        <w:spacing w:before="130" w:line="355" w:lineRule="auto"/>
        <w:ind w:right="7" w:firstLine="480"/>
        <w:rPr>
          <w:rFonts w:hint="eastAsia" w:ascii="宋体" w:hAnsi="宋体" w:eastAsia="宋体" w:cs="宋体"/>
          <w:spacing w:val="4"/>
          <w:highlight w:val="none"/>
        </w:rPr>
      </w:pPr>
      <w:bookmarkStart w:id="51" w:name="bookmark5"/>
      <w:bookmarkEnd w:id="51"/>
      <w:bookmarkStart w:id="52" w:name="（四）《磋商响应性文件》的编制"/>
      <w:bookmarkEnd w:id="52"/>
      <w:r>
        <w:rPr>
          <w:rFonts w:hint="eastAsia" w:ascii="宋体" w:hAnsi="宋体" w:eastAsia="宋体" w:cs="宋体"/>
          <w:spacing w:val="4"/>
          <w:highlight w:val="none"/>
        </w:rPr>
        <w:t>5）合同条款及合同格式</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6）《磋商响应性文件》格式</w:t>
      </w:r>
    </w:p>
    <w:p>
      <w:pPr>
        <w:pStyle w:val="2"/>
        <w:kinsoku w:val="0"/>
        <w:overflowPunct w:val="0"/>
        <w:spacing w:line="355" w:lineRule="auto"/>
        <w:ind w:left="598" w:right="50" w:hanging="480"/>
        <w:rPr>
          <w:rFonts w:hint="eastAsia" w:ascii="宋体" w:hAnsi="宋体" w:eastAsia="宋体" w:cs="宋体"/>
          <w:b/>
          <w:bCs/>
          <w:spacing w:val="27"/>
          <w:w w:val="99"/>
          <w:highlight w:val="none"/>
        </w:rPr>
      </w:pPr>
      <w:r>
        <w:rPr>
          <w:rFonts w:hint="eastAsia" w:ascii="宋体" w:hAnsi="宋体" w:eastAsia="宋体" w:cs="宋体"/>
          <w:b/>
          <w:bCs/>
          <w:highlight w:val="none"/>
        </w:rPr>
        <w:t>2.《竞争性磋商文件》的澄清</w:t>
      </w:r>
      <w:r>
        <w:rPr>
          <w:rFonts w:hint="eastAsia" w:ascii="宋体" w:hAnsi="宋体" w:eastAsia="宋体" w:cs="宋体"/>
          <w:b/>
          <w:bCs/>
          <w:spacing w:val="27"/>
          <w:w w:val="99"/>
          <w:highlight w:val="none"/>
        </w:rPr>
        <w:t xml:space="preserve"> </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供应商若对《竞争性磋商文件》有任何疑问，根据《政府采购货物和服务招标投标管理办法》相关规定，供应商应于投标截止日期 3 日前以书面形式向招标代理机构提出 澄清要求，送至招标代理机构。如认为有必要，招标代理机构将以书面形式予以澄清，同时将书面澄清文件向所有供应商发送。供应商在收到该澄清文件后，应于 1 日内以书面形式（加盖公章）向招标代理机构予以确认，该答复作为《竞争性磋商文件》的组成部分，具有同《竞争性磋商文件》同样的约束作用。未确认情况应当视为对竞争性磋商文件修改的知晓，也将视为对修改内容接受的默认。对于未在磋商响应性文件中对修改内容做实质性响应的，对其产生的不利因素由未确认者自行承担。</w:t>
      </w:r>
    </w:p>
    <w:p>
      <w:pPr>
        <w:pStyle w:val="2"/>
        <w:kinsoku w:val="0"/>
        <w:overflowPunct w:val="0"/>
        <w:spacing w:before="151" w:line="356" w:lineRule="auto"/>
        <w:ind w:right="106"/>
        <w:jc w:val="both"/>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b/>
          <w:bCs/>
          <w:highlight w:val="none"/>
        </w:rPr>
        <w:t>3.《竞争性磋商文件》的修改</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3.1 投标截止期 3 日前，无论出于何种原因，招标采购单位可主动地或在解答供应商提出的澄清问题时对《竞争性磋商文件》进行修改，《竞争性磋商文件》的修改书将构成《竞争性磋商文件》的组成部分。</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3.2《竞争性磋商文件》的修改将以书面形式通知所有领取《竞争性磋商文件》的投标单位，并对其具有约束力。供应商在收到上述通知后，应于 1 日内以书面形式（加盖公章）向招标代理机构予以确认。未确认情况应当视为对竞争性磋商文件修改的知晓，也将视为对修改内容接受的默认。</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3.3 为使供应商在编制《磋商响应性文件》时有充分时间对《竞争性磋商文件》的修改部分进行研究，招标代理机构可自行决定是否延长投标截止日期和推迟开标时间，并通知全部供应商。</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3.4 供应商在应当领取竞争性磋商文件的 3 日内可对竞争性磋商文件的内容提出质 疑，招标采购单位按规定时间答复，超过时间的质疑将不予接受。</w:t>
      </w:r>
    </w:p>
    <w:p>
      <w:pPr>
        <w:pStyle w:val="4"/>
        <w:rPr>
          <w:rFonts w:hint="eastAsia" w:ascii="宋体" w:hAnsi="宋体" w:eastAsia="宋体" w:cs="宋体"/>
          <w:highlight w:val="none"/>
        </w:rPr>
      </w:pPr>
      <w:bookmarkStart w:id="53" w:name="_Toc12235"/>
      <w:r>
        <w:rPr>
          <w:rFonts w:hint="eastAsia" w:ascii="宋体" w:hAnsi="宋体" w:eastAsia="宋体" w:cs="宋体"/>
          <w:highlight w:val="none"/>
        </w:rPr>
        <w:t>（四）《磋商响应性文件》的编制</w:t>
      </w:r>
      <w:bookmarkEnd w:id="53"/>
    </w:p>
    <w:p>
      <w:pPr>
        <w:pStyle w:val="2"/>
        <w:kinsoku w:val="0"/>
        <w:overflowPunct w:val="0"/>
        <w:spacing w:before="124"/>
        <w:rPr>
          <w:rFonts w:hint="eastAsia" w:ascii="宋体" w:hAnsi="宋体" w:eastAsia="宋体" w:cs="宋体"/>
          <w:highlight w:val="none"/>
        </w:rPr>
      </w:pPr>
      <w:r>
        <w:rPr>
          <w:rFonts w:hint="eastAsia" w:ascii="宋体" w:hAnsi="宋体" w:eastAsia="宋体" w:cs="宋体"/>
          <w:b/>
          <w:bCs/>
          <w:spacing w:val="1"/>
          <w:highlight w:val="none"/>
        </w:rPr>
        <w:t>1.</w:t>
      </w:r>
      <w:r>
        <w:rPr>
          <w:rFonts w:hint="eastAsia" w:ascii="宋体" w:hAnsi="宋体" w:eastAsia="宋体" w:cs="宋体"/>
          <w:b/>
          <w:bCs/>
          <w:spacing w:val="-22"/>
          <w:highlight w:val="none"/>
        </w:rPr>
        <w:t xml:space="preserve"> </w:t>
      </w:r>
      <w:r>
        <w:rPr>
          <w:rFonts w:hint="eastAsia" w:ascii="宋体" w:hAnsi="宋体" w:eastAsia="宋体" w:cs="宋体"/>
          <w:b/>
          <w:bCs/>
          <w:highlight w:val="none"/>
        </w:rPr>
        <w:t>《磋商响应性文件》编制要求</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1.1 供应商应仔细阅读和充分理解《竞争性磋商文件》的所有内容，并按照《竞争性磋商文件》的“磋商响应性文件格式”规定及要求内容的格式提交完整的《磋商响应性文件》。磋商响应性文件应使用中文、编排有序，并按要求编制文件目录和页码，准确标明文件内容所在位置。供应商没有对竞争性磋商文件全面做出实质性响应是供应商的风险。没有按照竞争性磋商文件要求作出实质性响应的不利后果由供应商自行承担。 </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1.2 磋商响应性文件应字迹清楚，内容齐全，不得涂改和增删。如有修改错漏处，必须由供应商法定代表人或其授权代表签字。资格证明材料的复印件应是清晰可辨并加盖供应商鲜章。</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1.3 磋商响应性文件所提供的全部资料必须真实可靠。若磋商响应性文件填报的内容资料不详，或提供了虚假资料，其磋商响应性文件为无效磋商响应性文件。</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1.4 磋商响应性文件应严格按照竞争性磋商文件格式的要求提交，并按规定的统一 格式逐项填写，不准有空项；无相应内容可填的项应填写“无”、“没有相应指标”等明确的回答文字。</w:t>
      </w:r>
    </w:p>
    <w:p>
      <w:pPr>
        <w:pStyle w:val="2"/>
        <w:kinsoku w:val="0"/>
        <w:overflowPunct w:val="0"/>
        <w:spacing w:before="35"/>
        <w:rPr>
          <w:rFonts w:hint="eastAsia" w:ascii="宋体" w:hAnsi="宋体" w:eastAsia="宋体" w:cs="宋体"/>
          <w:highlight w:val="none"/>
        </w:rPr>
      </w:pPr>
      <w:r>
        <w:rPr>
          <w:rFonts w:hint="eastAsia" w:ascii="宋体" w:hAnsi="宋体" w:eastAsia="宋体" w:cs="宋体"/>
          <w:b/>
          <w:bCs/>
          <w:spacing w:val="1"/>
          <w:highlight w:val="none"/>
        </w:rPr>
        <w:t>2.</w:t>
      </w:r>
      <w:r>
        <w:rPr>
          <w:rFonts w:hint="eastAsia" w:ascii="宋体" w:hAnsi="宋体" w:eastAsia="宋体" w:cs="宋体"/>
          <w:b/>
          <w:bCs/>
          <w:spacing w:val="-19"/>
          <w:highlight w:val="none"/>
        </w:rPr>
        <w:t xml:space="preserve"> </w:t>
      </w:r>
      <w:r>
        <w:rPr>
          <w:rFonts w:hint="eastAsia" w:ascii="宋体" w:hAnsi="宋体" w:eastAsia="宋体" w:cs="宋体"/>
          <w:b/>
          <w:bCs/>
          <w:highlight w:val="none"/>
        </w:rPr>
        <w:t>投标语言：</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2.1 专用术语外，与招标投标有关的磋商响应性文件、投标交换的文件和往来信件应均使用中文，必要时专用术语应附有中文注释。</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2.2 磋商响应性文件中如附有外文资料，必须逐一对应翻译成中文并加盖供应商公章后附在相关外文资料后面，否则，供应商的磋商响应性文件将作为无效投标处理。</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2.3 翻译的中文资料与外文资料如果出现差异和矛盾时，以中文为准。但不能故意错误翻译，否则供应商的磋商响应性文件将作为无效投标处理。</w:t>
      </w:r>
    </w:p>
    <w:p>
      <w:pPr>
        <w:pStyle w:val="2"/>
        <w:kinsoku w:val="0"/>
        <w:overflowPunct w:val="0"/>
        <w:spacing w:before="34" w:line="356" w:lineRule="auto"/>
        <w:ind w:left="0" w:right="50"/>
        <w:rPr>
          <w:rFonts w:hint="eastAsia" w:ascii="宋体" w:hAnsi="宋体" w:eastAsia="宋体" w:cs="宋体"/>
          <w:b/>
          <w:bCs/>
          <w:spacing w:val="-2"/>
          <w:highlight w:val="none"/>
        </w:rPr>
      </w:pPr>
      <w:r>
        <w:rPr>
          <w:rFonts w:hint="eastAsia" w:ascii="宋体" w:hAnsi="宋体" w:eastAsia="宋体" w:cs="宋体"/>
          <w:highlight w:val="none"/>
        </w:rPr>
        <w:t xml:space="preserve"> </w:t>
      </w:r>
      <w:r>
        <w:rPr>
          <w:rFonts w:hint="eastAsia" w:ascii="宋体" w:hAnsi="宋体" w:eastAsia="宋体" w:cs="宋体"/>
          <w:b/>
          <w:bCs/>
          <w:spacing w:val="-2"/>
          <w:highlight w:val="none"/>
        </w:rPr>
        <w:t>3.计量单位：</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除工程规范中另有规定外，磋商响应性文件使用的度量衡单位，均应使用中华人民共和国法定计量单位。</w:t>
      </w:r>
    </w:p>
    <w:p>
      <w:pPr>
        <w:pStyle w:val="2"/>
        <w:kinsoku w:val="0"/>
        <w:overflowPunct w:val="0"/>
        <w:spacing w:before="37"/>
        <w:rPr>
          <w:rFonts w:hint="eastAsia" w:ascii="宋体" w:hAnsi="宋体" w:eastAsia="宋体" w:cs="宋体"/>
          <w:b/>
          <w:bCs/>
          <w:highlight w:val="none"/>
        </w:rPr>
      </w:pPr>
      <w:r>
        <w:rPr>
          <w:rFonts w:hint="eastAsia" w:ascii="宋体" w:hAnsi="宋体" w:eastAsia="宋体" w:cs="宋体"/>
          <w:b/>
          <w:bCs/>
          <w:highlight w:val="none"/>
        </w:rPr>
        <w:t>4.投标货币：</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本次招标项目的投标均以人民币报价。</w:t>
      </w:r>
    </w:p>
    <w:p>
      <w:pPr>
        <w:pStyle w:val="2"/>
        <w:kinsoku w:val="0"/>
        <w:overflowPunct w:val="0"/>
        <w:rPr>
          <w:rFonts w:hint="eastAsia" w:ascii="宋体" w:hAnsi="宋体" w:eastAsia="宋体" w:cs="宋体"/>
          <w:b/>
          <w:bCs/>
          <w:highlight w:val="none"/>
        </w:rPr>
      </w:pPr>
      <w:r>
        <w:rPr>
          <w:rFonts w:hint="eastAsia" w:ascii="宋体" w:hAnsi="宋体" w:eastAsia="宋体" w:cs="宋体"/>
          <w:b/>
          <w:bCs/>
          <w:highlight w:val="none"/>
        </w:rPr>
        <w:t>5.联合投标：</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本项目不接受联合体投标。</w:t>
      </w:r>
    </w:p>
    <w:p>
      <w:pPr>
        <w:pStyle w:val="2"/>
        <w:kinsoku w:val="0"/>
        <w:overflowPunct w:val="0"/>
        <w:spacing w:before="151"/>
        <w:rPr>
          <w:rFonts w:hint="eastAsia" w:ascii="宋体" w:hAnsi="宋体" w:eastAsia="宋体" w:cs="宋体"/>
          <w:highlight w:val="none"/>
        </w:rPr>
      </w:pPr>
      <w:r>
        <w:rPr>
          <w:rFonts w:hint="eastAsia" w:ascii="宋体" w:hAnsi="宋体" w:eastAsia="宋体" w:cs="宋体"/>
          <w:b/>
          <w:bCs/>
          <w:highlight w:val="none"/>
        </w:rPr>
        <w:t>6.知识产权</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6.1 供应商应保证在本项目使用的任何技术成果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6.2 采购人享有本项目实施过程中产生的知识成果及知识产权。</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6.3 供应商如欲在项目实施过程中采用自有知识成果，需在磋商响应性文件中声明，并提供相关知识产权证明文件。使用该知识成果后，供应商需提供开发接口和开发手册 等技术文档，并承诺提供无限期技术支持，采购人享有永久使用权。</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6.4 如采用供应商所不拥有的知识产权，则在投标报价中必须包括合法获取该知识产权的相关费用。</w:t>
      </w:r>
    </w:p>
    <w:p>
      <w:pPr>
        <w:pStyle w:val="2"/>
        <w:kinsoku w:val="0"/>
        <w:overflowPunct w:val="0"/>
        <w:spacing w:before="26"/>
        <w:rPr>
          <w:rFonts w:hint="eastAsia" w:ascii="宋体" w:hAnsi="宋体" w:eastAsia="宋体" w:cs="宋体"/>
          <w:highlight w:val="none"/>
        </w:rPr>
      </w:pPr>
      <w:r>
        <w:rPr>
          <w:rFonts w:hint="eastAsia" w:ascii="宋体" w:hAnsi="宋体" w:eastAsia="宋体" w:cs="宋体"/>
          <w:b/>
          <w:bCs/>
          <w:highlight w:val="none"/>
        </w:rPr>
        <w:t>7.《磋商响应性文件》的组成</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《磋商响应性文件》应由商务文件部分（包括资格证明文件）、技术文件部分（包括技术响应、服务方案等）、投标报价及其它部分组成，所有复印件须加盖公章。按如下顺序编制：</w:t>
      </w:r>
    </w:p>
    <w:p>
      <w:pPr>
        <w:pStyle w:val="2"/>
        <w:kinsoku w:val="0"/>
        <w:overflowPunct w:val="0"/>
        <w:spacing w:before="130" w:line="355" w:lineRule="auto"/>
        <w:ind w:right="7" w:firstLine="480"/>
        <w:rPr>
          <w:rFonts w:hint="eastAsia" w:ascii="宋体" w:hAnsi="宋体" w:eastAsia="宋体" w:cs="宋体"/>
          <w:b/>
          <w:spacing w:val="4"/>
          <w:highlight w:val="none"/>
        </w:rPr>
      </w:pPr>
      <w:r>
        <w:rPr>
          <w:rFonts w:hint="eastAsia" w:ascii="宋体" w:hAnsi="宋体" w:eastAsia="宋体" w:cs="宋体"/>
          <w:b/>
          <w:spacing w:val="4"/>
          <w:highlight w:val="none"/>
        </w:rPr>
        <w:t>7.1  商务文件部分、投标报价部分应包括：</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(1)投标函；</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(2)法定代表人身份证明（附法定代表人身份证复印件）； </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(3)授权委托书（附被授权人身份证复印件）； </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(4)投标保证金缴纳凭证（复印件加盖公章）； </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(5</w:t>
      </w:r>
      <w:r>
        <w:rPr>
          <w:rFonts w:hint="eastAsia" w:ascii="宋体" w:hAnsi="宋体" w:eastAsia="宋体" w:cs="宋体"/>
          <w:spacing w:val="4"/>
          <w:highlight w:val="none"/>
          <w:lang w:val="en-US" w:eastAsia="zh-CN"/>
        </w:rPr>
        <w:t xml:space="preserve"> </w:t>
      </w:r>
      <w:r>
        <w:rPr>
          <w:rFonts w:hint="eastAsia" w:ascii="宋体" w:hAnsi="宋体" w:eastAsia="宋体" w:cs="宋体"/>
          <w:highlight w:val="none"/>
        </w:rPr>
        <w:t>报价一览表</w:t>
      </w:r>
      <w:r>
        <w:rPr>
          <w:rFonts w:hint="eastAsia" w:ascii="宋体" w:hAnsi="宋体" w:eastAsia="宋体" w:cs="宋体"/>
          <w:spacing w:val="4"/>
          <w:highlight w:val="none"/>
        </w:rPr>
        <w:t>；</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(6)投标报价汇总表； </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(7)供应商基本情况；</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1）供应商基本情况表；</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2）营业执照副本、税务登记证、组织机构代码证、（三证合一的提供统一社会信用代码的营业执照）、公司资质证书（复印件加盖公章）；</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3）近1年财务状况报告相关材料（复印件加盖公章）；</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4）单位社会保障缴费证明（复印件加盖公章）；</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w:t>
      </w:r>
      <w:r>
        <w:rPr>
          <w:rFonts w:hint="eastAsia" w:ascii="宋体" w:hAnsi="宋体" w:eastAsia="宋体" w:cs="宋体"/>
          <w:b/>
          <w:bCs/>
          <w:spacing w:val="4"/>
          <w:highlight w:val="none"/>
        </w:rPr>
        <w:t xml:space="preserve"> </w:t>
      </w:r>
      <w:r>
        <w:rPr>
          <w:rFonts w:hint="eastAsia" w:ascii="宋体" w:hAnsi="宋体" w:eastAsia="宋体" w:cs="宋体"/>
          <w:spacing w:val="4"/>
          <w:highlight w:val="none"/>
        </w:rPr>
        <w:t xml:space="preserve">一般商务条款偏离表； </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(9)同类项目业绩介绍； </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(10)中小企业声明函（符合本声明函填写）；</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(11)残疾人福利性单位声明函（符合本声明函填写） ；</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(12)缴纳招标代理服务费承诺书；</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(13)退还保证金说明函；</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(14)其他商务资格证明资料（格式自定）。</w:t>
      </w:r>
    </w:p>
    <w:p>
      <w:pPr>
        <w:pStyle w:val="2"/>
        <w:kinsoku w:val="0"/>
        <w:overflowPunct w:val="0"/>
        <w:spacing w:before="130" w:line="355" w:lineRule="auto"/>
        <w:ind w:right="7" w:firstLine="480"/>
        <w:rPr>
          <w:rFonts w:hint="eastAsia" w:ascii="宋体" w:hAnsi="宋体" w:eastAsia="宋体" w:cs="宋体"/>
          <w:b/>
          <w:spacing w:val="4"/>
          <w:highlight w:val="none"/>
        </w:rPr>
      </w:pPr>
      <w:r>
        <w:rPr>
          <w:rFonts w:hint="eastAsia" w:ascii="宋体" w:hAnsi="宋体" w:eastAsia="宋体" w:cs="宋体"/>
          <w:b/>
          <w:spacing w:val="4"/>
          <w:highlight w:val="none"/>
        </w:rPr>
        <w:t>7.2 技术文件部分应包括：</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(16)项目实施方案；</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(17)供应商认为需要提交的技术资料；</w:t>
      </w:r>
    </w:p>
    <w:p>
      <w:pPr>
        <w:pStyle w:val="2"/>
        <w:kinsoku w:val="0"/>
        <w:overflowPunct w:val="0"/>
        <w:spacing w:before="130" w:line="355" w:lineRule="auto"/>
        <w:ind w:right="7" w:firstLine="480"/>
        <w:rPr>
          <w:rFonts w:hint="eastAsia" w:ascii="宋体" w:hAnsi="宋体" w:eastAsia="宋体" w:cs="宋体"/>
          <w:b/>
          <w:spacing w:val="4"/>
          <w:highlight w:val="none"/>
        </w:rPr>
      </w:pPr>
      <w:r>
        <w:rPr>
          <w:rFonts w:hint="eastAsia" w:ascii="宋体" w:hAnsi="宋体" w:eastAsia="宋体" w:cs="宋体"/>
          <w:b/>
          <w:spacing w:val="4"/>
          <w:highlight w:val="none"/>
        </w:rPr>
        <w:t>7.3 本次投标报价要求：</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7.3.1 总价格包括完成采购范围内全部内容采购及相关伴随服务全过程的全部费用。</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7.3.2 供应商只允许在《磋商响应性文件》中有一个报价，并且在合同履行过程中是固定不变的，任何有选择或可调整的报价将不予接受，并按无效投标处理。</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7.3.3 供应商的报价作为评标的重要依据之一，但并不是本项目采购人招标、评标确定中标供应商的唯一依据。拒绝不计成本的故意压低投标报价和恶意以低价投标的行为。</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7.3.4 本项目投标报价是在符合竞争性磋商文件对项目相关要求的情况下，以最大限度的折扣价或优惠后价格的体现。</w:t>
      </w:r>
    </w:p>
    <w:p>
      <w:pPr>
        <w:pStyle w:val="2"/>
        <w:kinsoku w:val="0"/>
        <w:overflowPunct w:val="0"/>
        <w:spacing w:before="36"/>
        <w:rPr>
          <w:rFonts w:hint="eastAsia" w:ascii="宋体" w:hAnsi="宋体" w:eastAsia="宋体" w:cs="宋体"/>
          <w:highlight w:val="none"/>
        </w:rPr>
      </w:pPr>
      <w:r>
        <w:rPr>
          <w:rFonts w:hint="eastAsia" w:ascii="宋体" w:hAnsi="宋体" w:eastAsia="宋体" w:cs="宋体"/>
          <w:b/>
          <w:bCs/>
          <w:highlight w:val="none"/>
        </w:rPr>
        <w:t>8.磋商响应性文件格式</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8.1 供应商应按《竞争性磋商文件》的内容与要求和第六章提供的格式编写其《磋商响应性文件》，供应商不得空留或缺少任何《竞争性磋商文件》要求填写的表格或提交的资料，未列出格式的部分供应商可自行编制。</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8.2 供应商提交的《磋商响应性文件》中全部资料必须真实可靠，并接受采购人、招标代理机构对其中任何资料进一步审查的要求。</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8.3 《磋商响应性文件》的封面及密封袋封面编制格式详见附件。</w:t>
      </w:r>
    </w:p>
    <w:p>
      <w:pPr>
        <w:pStyle w:val="2"/>
        <w:kinsoku w:val="0"/>
        <w:overflowPunct w:val="0"/>
        <w:spacing w:before="151"/>
        <w:rPr>
          <w:rFonts w:hint="eastAsia" w:ascii="宋体" w:hAnsi="宋体" w:eastAsia="宋体" w:cs="宋体"/>
          <w:highlight w:val="none"/>
        </w:rPr>
      </w:pPr>
      <w:r>
        <w:rPr>
          <w:rFonts w:hint="eastAsia" w:ascii="宋体" w:hAnsi="宋体" w:eastAsia="宋体" w:cs="宋体"/>
          <w:b/>
          <w:bCs/>
          <w:highlight w:val="none"/>
        </w:rPr>
        <w:t>9.投标有效期</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9.1 投标有效期见本须知前附表所规定的期限，在此期限内，供应商不得要求撤销或修改其磋商响应性文件。</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9.2 在特殊情况下，采购人在原定投标有效期内，可以根据需要以书面形式向供应商提出延长投标有效期的要求，对此要求供应商须以书面形式予以答复。供应商可以拒绝采购人这种要求</w:t>
      </w:r>
      <w:bookmarkStart w:id="54" w:name="（五）磋商响应性文件的提交及相关事项"/>
      <w:bookmarkEnd w:id="54"/>
      <w:bookmarkStart w:id="55" w:name="bookmark6"/>
      <w:bookmarkEnd w:id="55"/>
      <w:r>
        <w:rPr>
          <w:rFonts w:hint="eastAsia" w:ascii="宋体" w:hAnsi="宋体" w:eastAsia="宋体" w:cs="宋体"/>
          <w:spacing w:val="4"/>
          <w:highlight w:val="none"/>
        </w:rPr>
        <w:t>，而不被没收投标保证金。同意延长投标有效期的供应商既不能要求也不允许修改其磋商响应性文件，但需要相应的延长投标担保的有效期，在延长的投标有效期内须知前附表第 21 条关于投标担保的退还与没收的规定仍然适用。</w:t>
      </w:r>
    </w:p>
    <w:p>
      <w:pPr>
        <w:pStyle w:val="2"/>
        <w:kinsoku w:val="0"/>
        <w:overflowPunct w:val="0"/>
        <w:spacing w:before="37"/>
        <w:jc w:val="both"/>
        <w:rPr>
          <w:rFonts w:hint="eastAsia" w:ascii="宋体" w:hAnsi="宋体" w:eastAsia="宋体" w:cs="宋体"/>
          <w:highlight w:val="none"/>
        </w:rPr>
      </w:pPr>
      <w:r>
        <w:rPr>
          <w:rFonts w:hint="eastAsia" w:ascii="宋体" w:hAnsi="宋体" w:eastAsia="宋体" w:cs="宋体"/>
          <w:b/>
          <w:bCs/>
          <w:highlight w:val="none"/>
        </w:rPr>
        <w:t>10.投标保证金</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10.1投标保证金应用投标货币即人民币，并采用下列任何一种形式：</w:t>
      </w:r>
    </w:p>
    <w:p>
      <w:pPr>
        <w:pStyle w:val="2"/>
        <w:kinsoku w:val="0"/>
        <w:overflowPunct w:val="0"/>
        <w:spacing w:before="130" w:line="355" w:lineRule="auto"/>
        <w:ind w:right="7" w:firstLine="48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投标保证金的形式：电汇、转账等形式</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均应从基本账户转出</w:t>
      </w:r>
      <w:r>
        <w:rPr>
          <w:rFonts w:hint="eastAsia" w:ascii="宋体" w:hAnsi="宋体" w:eastAsia="宋体" w:cs="宋体"/>
          <w:kern w:val="0"/>
          <w:sz w:val="24"/>
          <w:szCs w:val="24"/>
          <w:highlight w:val="none"/>
          <w:lang w:eastAsia="zh-CN"/>
        </w:rPr>
        <w:t>。</w:t>
      </w:r>
    </w:p>
    <w:p>
      <w:pPr>
        <w:pStyle w:val="2"/>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投标保证金的金额：</w:t>
      </w:r>
      <w:r>
        <w:rPr>
          <w:rFonts w:hint="eastAsia" w:ascii="宋体" w:hAnsi="宋体" w:eastAsia="宋体" w:cs="宋体"/>
          <w:kern w:val="0"/>
          <w:sz w:val="24"/>
          <w:szCs w:val="24"/>
          <w:highlight w:val="none"/>
          <w:lang w:val="en-US" w:eastAsia="zh-CN"/>
        </w:rPr>
        <w:t>6000</w:t>
      </w:r>
      <w:r>
        <w:rPr>
          <w:rFonts w:hint="eastAsia" w:ascii="宋体" w:hAnsi="宋体" w:eastAsia="宋体" w:cs="宋体"/>
          <w:kern w:val="0"/>
          <w:sz w:val="24"/>
          <w:szCs w:val="24"/>
          <w:highlight w:val="none"/>
        </w:rPr>
        <w:t>元（</w:t>
      </w:r>
      <w:r>
        <w:rPr>
          <w:rFonts w:hint="eastAsia" w:ascii="宋体" w:hAnsi="宋体" w:eastAsia="宋体" w:cs="宋体"/>
          <w:kern w:val="0"/>
          <w:sz w:val="24"/>
          <w:szCs w:val="24"/>
          <w:highlight w:val="none"/>
          <w:lang w:val="en-US" w:eastAsia="zh-CN"/>
        </w:rPr>
        <w:t>陆仟元</w:t>
      </w:r>
      <w:r>
        <w:rPr>
          <w:rFonts w:hint="eastAsia" w:ascii="宋体" w:hAnsi="宋体" w:eastAsia="宋体" w:cs="宋体"/>
          <w:kern w:val="0"/>
          <w:sz w:val="24"/>
          <w:szCs w:val="24"/>
          <w:highlight w:val="none"/>
        </w:rPr>
        <w:t>整）</w:t>
      </w:r>
    </w:p>
    <w:p>
      <w:pPr>
        <w:pStyle w:val="2"/>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投标保证金必须在投标文件递交截止时间前1个工作日确保到帐</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投标人未按</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文件要求提交投标保证金的，投标文件无效</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至</w:t>
      </w:r>
      <w:r>
        <w:rPr>
          <w:rFonts w:hint="eastAsia" w:ascii="宋体" w:hAnsi="宋体" w:eastAsia="宋体" w:cs="宋体"/>
          <w:kern w:val="0"/>
          <w:sz w:val="24"/>
          <w:szCs w:val="24"/>
          <w:highlight w:val="none"/>
        </w:rPr>
        <w:t>以下账号：</w:t>
      </w:r>
    </w:p>
    <w:p>
      <w:pPr>
        <w:pStyle w:val="2"/>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单位名称：新疆信尔成工程项目管理</w:t>
      </w:r>
      <w:r>
        <w:rPr>
          <w:rFonts w:hint="eastAsia" w:ascii="宋体" w:hAnsi="宋体" w:eastAsia="宋体" w:cs="宋体"/>
          <w:kern w:val="0"/>
          <w:sz w:val="24"/>
          <w:szCs w:val="24"/>
          <w:highlight w:val="none"/>
          <w:lang w:eastAsia="zh-CN"/>
        </w:rPr>
        <w:t>有</w:t>
      </w:r>
      <w:r>
        <w:rPr>
          <w:rFonts w:hint="eastAsia" w:ascii="宋体" w:hAnsi="宋体" w:eastAsia="宋体" w:cs="宋体"/>
          <w:kern w:val="0"/>
          <w:sz w:val="24"/>
          <w:szCs w:val="24"/>
          <w:highlight w:val="none"/>
        </w:rPr>
        <w:t>限公司</w:t>
      </w:r>
    </w:p>
    <w:p>
      <w:pPr>
        <w:pStyle w:val="2"/>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开户银行：中国工商银行股份有限公司乌鲁木齐长春路支行</w:t>
      </w:r>
    </w:p>
    <w:p>
      <w:pPr>
        <w:pStyle w:val="2"/>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银行账号：3002 0301 0910 0074 747</w:t>
      </w:r>
    </w:p>
    <w:p>
      <w:pPr>
        <w:pStyle w:val="2"/>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行号：102881003011</w:t>
      </w:r>
    </w:p>
    <w:p>
      <w:pPr>
        <w:pStyle w:val="2"/>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投标人办理保证金时，须注明“项目名称+投标保证金”（如字数超出规定字数可简写项目名称）。</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10.2投标保证金为磋商响应性文件的重要组成部分。未按规定提交投标保证金的供应商，将被视为无效投标而予以拒绝。</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10.3成交人的投标保证金，在成交人按规定的金额付清招标代理服务费后予以无息退还。</w:t>
      </w:r>
    </w:p>
    <w:p>
      <w:pPr>
        <w:pStyle w:val="2"/>
        <w:kinsoku w:val="0"/>
        <w:overflowPunct w:val="0"/>
        <w:spacing w:before="38"/>
        <w:ind w:left="598"/>
        <w:rPr>
          <w:rFonts w:hint="eastAsia" w:ascii="宋体" w:hAnsi="宋体" w:eastAsia="宋体" w:cs="宋体"/>
          <w:highlight w:val="none"/>
        </w:rPr>
      </w:pPr>
      <w:r>
        <w:rPr>
          <w:rFonts w:hint="eastAsia" w:ascii="宋体" w:hAnsi="宋体" w:eastAsia="宋体" w:cs="宋体"/>
          <w:highlight w:val="none"/>
        </w:rPr>
        <w:t>10.4</w:t>
      </w:r>
      <w:r>
        <w:rPr>
          <w:rFonts w:hint="eastAsia" w:ascii="宋体" w:hAnsi="宋体" w:eastAsia="宋体" w:cs="宋体"/>
          <w:spacing w:val="-60"/>
          <w:highlight w:val="none"/>
        </w:rPr>
        <w:t xml:space="preserve"> </w:t>
      </w:r>
      <w:r>
        <w:rPr>
          <w:rFonts w:hint="eastAsia" w:ascii="宋体" w:hAnsi="宋体" w:eastAsia="宋体" w:cs="宋体"/>
          <w:highlight w:val="none"/>
        </w:rPr>
        <w:t>投标保证金的</w:t>
      </w:r>
      <w:r>
        <w:rPr>
          <w:rFonts w:hint="eastAsia" w:ascii="宋体" w:hAnsi="宋体" w:eastAsia="宋体" w:cs="宋体"/>
          <w:spacing w:val="4"/>
          <w:highlight w:val="none"/>
        </w:rPr>
        <w:t>缴纳</w:t>
      </w:r>
      <w:r>
        <w:rPr>
          <w:rFonts w:hint="eastAsia" w:ascii="宋体" w:hAnsi="宋体" w:eastAsia="宋体" w:cs="宋体"/>
          <w:highlight w:val="none"/>
        </w:rPr>
        <w:t>和退付（详见“供应商须知前附表”）。</w:t>
      </w:r>
    </w:p>
    <w:p>
      <w:pPr>
        <w:pStyle w:val="2"/>
        <w:kinsoku w:val="0"/>
        <w:overflowPunct w:val="0"/>
        <w:spacing w:before="151"/>
        <w:jc w:val="both"/>
        <w:rPr>
          <w:rFonts w:hint="eastAsia" w:ascii="宋体" w:hAnsi="宋体" w:eastAsia="宋体" w:cs="宋体"/>
          <w:highlight w:val="none"/>
        </w:rPr>
      </w:pPr>
      <w:r>
        <w:rPr>
          <w:rFonts w:hint="eastAsia" w:ascii="宋体" w:hAnsi="宋体" w:eastAsia="宋体" w:cs="宋体"/>
          <w:b/>
          <w:bCs/>
          <w:highlight w:val="none"/>
        </w:rPr>
        <w:t>11.磋商响应性文件的印制和签署</w:t>
      </w:r>
    </w:p>
    <w:p>
      <w:pPr>
        <w:pStyle w:val="2"/>
        <w:kinsoku w:val="0"/>
        <w:overflowPunct w:val="0"/>
        <w:spacing w:line="355" w:lineRule="auto"/>
        <w:ind w:right="234" w:firstLine="480"/>
        <w:jc w:val="both"/>
        <w:rPr>
          <w:rFonts w:hint="eastAsia" w:ascii="宋体" w:hAnsi="宋体" w:eastAsia="宋体" w:cs="宋体"/>
          <w:highlight w:val="none"/>
        </w:rPr>
      </w:pPr>
      <w:r>
        <w:rPr>
          <w:rFonts w:hint="eastAsia" w:ascii="宋体" w:hAnsi="宋体" w:eastAsia="宋体" w:cs="宋体"/>
          <w:highlight w:val="none"/>
        </w:rPr>
        <w:t>11.1</w:t>
      </w:r>
      <w:r>
        <w:rPr>
          <w:rFonts w:hint="eastAsia" w:ascii="宋体" w:hAnsi="宋体" w:eastAsia="宋体" w:cs="宋体"/>
          <w:spacing w:val="-60"/>
          <w:highlight w:val="none"/>
        </w:rPr>
        <w:t xml:space="preserve"> </w:t>
      </w:r>
      <w:r>
        <w:rPr>
          <w:rFonts w:hint="eastAsia" w:ascii="宋体" w:hAnsi="宋体" w:eastAsia="宋体" w:cs="宋体"/>
          <w:highlight w:val="none"/>
        </w:rPr>
        <w:t>供应商应</w:t>
      </w:r>
      <w:r>
        <w:rPr>
          <w:rFonts w:hint="eastAsia" w:ascii="宋体" w:hAnsi="宋体" w:eastAsia="宋体" w:cs="宋体"/>
          <w:spacing w:val="-27"/>
          <w:highlight w:val="none"/>
        </w:rPr>
        <w:t>按</w:t>
      </w:r>
      <w:r>
        <w:rPr>
          <w:rFonts w:hint="eastAsia" w:ascii="宋体" w:hAnsi="宋体" w:eastAsia="宋体" w:cs="宋体"/>
          <w:highlight w:val="none"/>
        </w:rPr>
        <w:t>“供应商须知前附表</w:t>
      </w:r>
      <w:r>
        <w:rPr>
          <w:rFonts w:hint="eastAsia" w:ascii="宋体" w:hAnsi="宋体" w:eastAsia="宋体" w:cs="宋体"/>
          <w:spacing w:val="-27"/>
          <w:highlight w:val="none"/>
        </w:rPr>
        <w:t>”</w:t>
      </w:r>
      <w:r>
        <w:rPr>
          <w:rFonts w:hint="eastAsia" w:ascii="宋体" w:hAnsi="宋体" w:eastAsia="宋体" w:cs="宋体"/>
          <w:highlight w:val="none"/>
        </w:rPr>
        <w:t>规定的份数提</w:t>
      </w:r>
      <w:r>
        <w:rPr>
          <w:rFonts w:hint="eastAsia" w:ascii="宋体" w:hAnsi="宋体" w:eastAsia="宋体" w:cs="宋体"/>
          <w:spacing w:val="-29"/>
          <w:highlight w:val="none"/>
        </w:rPr>
        <w:t>交</w:t>
      </w:r>
      <w:r>
        <w:rPr>
          <w:rFonts w:hint="eastAsia" w:ascii="宋体" w:hAnsi="宋体" w:eastAsia="宋体" w:cs="宋体"/>
          <w:highlight w:val="none"/>
        </w:rPr>
        <w:t>《磋商响应性文</w:t>
      </w:r>
      <w:r>
        <w:rPr>
          <w:rFonts w:hint="eastAsia" w:ascii="宋体" w:hAnsi="宋体" w:eastAsia="宋体" w:cs="宋体"/>
          <w:spacing w:val="2"/>
          <w:highlight w:val="none"/>
        </w:rPr>
        <w:t>件</w:t>
      </w:r>
      <w:r>
        <w:rPr>
          <w:rFonts w:hint="eastAsia" w:ascii="宋体" w:hAnsi="宋体" w:eastAsia="宋体" w:cs="宋体"/>
          <w:spacing w:val="-29"/>
          <w:highlight w:val="none"/>
        </w:rPr>
        <w:t>》</w:t>
      </w:r>
      <w:r>
        <w:rPr>
          <w:rFonts w:hint="eastAsia" w:ascii="宋体" w:hAnsi="宋体" w:eastAsia="宋体" w:cs="宋体"/>
          <w:highlight w:val="none"/>
        </w:rPr>
        <w:t>一正</w:t>
      </w:r>
      <w:r>
        <w:rPr>
          <w:rFonts w:hint="eastAsia" w:ascii="宋体" w:hAnsi="宋体" w:eastAsia="宋体" w:cs="宋体"/>
          <w:highlight w:val="none"/>
          <w:lang w:eastAsia="zh-CN"/>
        </w:rPr>
        <w:t>四</w:t>
      </w:r>
      <w:r>
        <w:rPr>
          <w:rFonts w:hint="eastAsia" w:ascii="宋体" w:hAnsi="宋体" w:eastAsia="宋体" w:cs="宋体"/>
          <w:highlight w:val="none"/>
        </w:rPr>
        <w:t>副</w:t>
      </w:r>
      <w:r>
        <w:rPr>
          <w:rFonts w:hint="eastAsia" w:ascii="宋体" w:hAnsi="宋体" w:eastAsia="宋体" w:cs="宋体"/>
          <w:spacing w:val="-2"/>
          <w:highlight w:val="none"/>
        </w:rPr>
        <w:t>，</w:t>
      </w:r>
      <w:r>
        <w:rPr>
          <w:rFonts w:hint="eastAsia" w:ascii="宋体" w:hAnsi="宋体" w:eastAsia="宋体" w:cs="宋体"/>
          <w:highlight w:val="none"/>
        </w:rPr>
        <w:t>电子版（正本扫描件、PDF格式）</w:t>
      </w:r>
      <w:r>
        <w:rPr>
          <w:rFonts w:hint="eastAsia" w:ascii="宋体" w:hAnsi="宋体" w:eastAsia="宋体" w:cs="宋体"/>
          <w:highlight w:val="none"/>
          <w:lang w:eastAsia="zh-CN"/>
        </w:rPr>
        <w:t>二</w:t>
      </w:r>
      <w:r>
        <w:rPr>
          <w:rFonts w:hint="eastAsia" w:ascii="宋体" w:hAnsi="宋体" w:eastAsia="宋体" w:cs="宋体"/>
          <w:highlight w:val="none"/>
        </w:rPr>
        <w:t>份。</w:t>
      </w:r>
    </w:p>
    <w:p>
      <w:pPr>
        <w:pStyle w:val="2"/>
        <w:kinsoku w:val="0"/>
        <w:overflowPunct w:val="0"/>
        <w:spacing w:before="38" w:line="356" w:lineRule="auto"/>
        <w:ind w:right="238" w:firstLine="480"/>
        <w:jc w:val="both"/>
        <w:rPr>
          <w:rFonts w:hint="eastAsia" w:ascii="宋体" w:hAnsi="宋体" w:eastAsia="宋体" w:cs="宋体"/>
          <w:highlight w:val="none"/>
        </w:rPr>
      </w:pPr>
      <w:r>
        <w:rPr>
          <w:rFonts w:hint="eastAsia" w:ascii="宋体" w:hAnsi="宋体" w:eastAsia="宋体" w:cs="宋体"/>
          <w:highlight w:val="none"/>
        </w:rPr>
        <w:t>11.2 《磋商响应性文件》的正本和副本均需打印或使用不褪色墨水笔书写，字迹</w:t>
      </w:r>
      <w:r>
        <w:rPr>
          <w:rFonts w:hint="eastAsia" w:ascii="宋体" w:hAnsi="宋体" w:eastAsia="宋体" w:cs="宋体"/>
          <w:spacing w:val="-2"/>
          <w:highlight w:val="none"/>
        </w:rPr>
        <w:t>应清晰易于辨认，并应在《磋商响应性文件》封面的右上角清楚地注明“正本”或“副</w:t>
      </w:r>
      <w:r>
        <w:rPr>
          <w:rFonts w:hint="eastAsia" w:ascii="宋体" w:hAnsi="宋体" w:eastAsia="宋体" w:cs="宋体"/>
          <w:highlight w:val="none"/>
        </w:rPr>
        <w:t>本”。正本和副本如有不一致之处，以正本为准。</w:t>
      </w:r>
    </w:p>
    <w:p>
      <w:pPr>
        <w:pStyle w:val="2"/>
        <w:kinsoku w:val="0"/>
        <w:overflowPunct w:val="0"/>
        <w:spacing w:before="37" w:line="355" w:lineRule="auto"/>
        <w:ind w:right="238" w:firstLine="480"/>
        <w:jc w:val="both"/>
        <w:rPr>
          <w:rFonts w:hint="eastAsia" w:ascii="宋体" w:hAnsi="宋体" w:eastAsia="宋体" w:cs="宋体"/>
          <w:highlight w:val="none"/>
        </w:rPr>
      </w:pPr>
      <w:r>
        <w:rPr>
          <w:rFonts w:hint="eastAsia" w:ascii="宋体" w:hAnsi="宋体" w:eastAsia="宋体" w:cs="宋体"/>
          <w:highlight w:val="none"/>
        </w:rPr>
        <w:t>11.3 《磋商响应性文件》的正本和副本均应在签字盖章处加盖投标单位公章，并</w:t>
      </w:r>
      <w:r>
        <w:rPr>
          <w:rFonts w:hint="eastAsia" w:ascii="宋体" w:hAnsi="宋体" w:eastAsia="宋体" w:cs="宋体"/>
          <w:spacing w:val="-2"/>
          <w:highlight w:val="none"/>
        </w:rPr>
        <w:t>经法定代表人或被授权人签字或盖章的《磋商响应性文件》，《磋商响应性文件》中</w:t>
      </w:r>
      <w:r>
        <w:rPr>
          <w:rFonts w:hint="eastAsia" w:ascii="宋体" w:hAnsi="宋体" w:eastAsia="宋体" w:cs="宋体"/>
          <w:highlight w:val="none"/>
        </w:rPr>
        <w:t>须同时提交“委托授权书”。</w:t>
      </w:r>
    </w:p>
    <w:p>
      <w:pPr>
        <w:pStyle w:val="2"/>
        <w:kinsoku w:val="0"/>
        <w:overflowPunct w:val="0"/>
        <w:spacing w:before="38" w:line="357" w:lineRule="auto"/>
        <w:ind w:right="238" w:firstLine="480"/>
        <w:jc w:val="both"/>
        <w:rPr>
          <w:rFonts w:hint="eastAsia" w:ascii="宋体" w:hAnsi="宋体" w:eastAsia="宋体" w:cs="宋体"/>
          <w:highlight w:val="none"/>
        </w:rPr>
      </w:pPr>
      <w:r>
        <w:rPr>
          <w:rFonts w:hint="eastAsia" w:ascii="宋体" w:hAnsi="宋体" w:eastAsia="宋体" w:cs="宋体"/>
          <w:highlight w:val="none"/>
        </w:rPr>
        <w:t>11.4 除供应商对错误处须修改外，全套《磋商响应性文件》应无涂改或行间插字</w:t>
      </w:r>
      <w:r>
        <w:rPr>
          <w:rFonts w:hint="eastAsia" w:ascii="宋体" w:hAnsi="宋体" w:eastAsia="宋体" w:cs="宋体"/>
          <w:spacing w:val="-2"/>
          <w:highlight w:val="none"/>
        </w:rPr>
        <w:t>和增删。如有修改，修改处应由供应商加盖投标单位的印章或由《磋商响应性文件》签</w:t>
      </w:r>
      <w:r>
        <w:rPr>
          <w:rFonts w:hint="eastAsia" w:ascii="宋体" w:hAnsi="宋体" w:eastAsia="宋体" w:cs="宋体"/>
          <w:highlight w:val="none"/>
        </w:rPr>
        <w:t>字人签字或盖章</w:t>
      </w:r>
      <w:r>
        <w:rPr>
          <w:rFonts w:hint="eastAsia" w:ascii="宋体" w:hAnsi="宋体" w:eastAsia="宋体" w:cs="宋体"/>
          <w:spacing w:val="-27"/>
          <w:highlight w:val="none"/>
        </w:rPr>
        <w:t>。</w:t>
      </w:r>
      <w:r>
        <w:rPr>
          <w:rFonts w:hint="eastAsia" w:ascii="宋体" w:hAnsi="宋体" w:eastAsia="宋体" w:cs="宋体"/>
          <w:highlight w:val="none"/>
        </w:rPr>
        <w:t>字迹潦草</w:t>
      </w:r>
      <w:r>
        <w:rPr>
          <w:rFonts w:hint="eastAsia" w:ascii="宋体" w:hAnsi="宋体" w:eastAsia="宋体" w:cs="宋体"/>
          <w:spacing w:val="-24"/>
          <w:highlight w:val="none"/>
        </w:rPr>
        <w:t>、</w:t>
      </w:r>
      <w:r>
        <w:rPr>
          <w:rFonts w:hint="eastAsia" w:ascii="宋体" w:hAnsi="宋体" w:eastAsia="宋体" w:cs="宋体"/>
          <w:highlight w:val="none"/>
        </w:rPr>
        <w:t>表达不清或可能导致非唯一理解的磋商响应性文件可能视为无效投标。</w:t>
      </w:r>
    </w:p>
    <w:p>
      <w:pPr>
        <w:pStyle w:val="2"/>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11.5 《磋商响应性文件》的印制应采用70克以上的复印纸打印，采用胶装方式装订，即不可抽取调换内页的书式平装方式，无脱落无散页，有目录、有页码。</w:t>
      </w:r>
    </w:p>
    <w:p>
      <w:pPr>
        <w:pStyle w:val="2"/>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11.6 《磋商响应性文件》应根据《竞争性磋商文件》的要求签署、盖章及密封，内容应完整详细，如有遗漏，将被视为无效投标。</w:t>
      </w:r>
    </w:p>
    <w:p>
      <w:pPr>
        <w:pStyle w:val="4"/>
        <w:rPr>
          <w:rFonts w:hint="eastAsia" w:ascii="宋体" w:hAnsi="宋体" w:eastAsia="宋体" w:cs="宋体"/>
          <w:highlight w:val="none"/>
        </w:rPr>
      </w:pPr>
      <w:bookmarkStart w:id="56" w:name="_Toc9103"/>
      <w:r>
        <w:rPr>
          <w:rFonts w:hint="eastAsia" w:ascii="宋体" w:hAnsi="宋体" w:eastAsia="宋体" w:cs="宋体"/>
          <w:highlight w:val="none"/>
        </w:rPr>
        <w:t>（五）磋商响应性文件的提交及相关事项</w:t>
      </w:r>
      <w:bookmarkEnd w:id="56"/>
    </w:p>
    <w:p>
      <w:pPr>
        <w:pStyle w:val="2"/>
        <w:kinsoku w:val="0"/>
        <w:overflowPunct w:val="0"/>
        <w:spacing w:before="151"/>
        <w:jc w:val="both"/>
        <w:rPr>
          <w:rFonts w:hint="eastAsia" w:ascii="宋体" w:hAnsi="宋体" w:eastAsia="宋体" w:cs="宋体"/>
          <w:b/>
          <w:bCs/>
          <w:highlight w:val="none"/>
        </w:rPr>
      </w:pPr>
      <w:r>
        <w:rPr>
          <w:rFonts w:hint="eastAsia" w:ascii="宋体" w:hAnsi="宋体" w:eastAsia="宋体" w:cs="宋体"/>
          <w:b/>
          <w:bCs/>
          <w:highlight w:val="none"/>
        </w:rPr>
        <w:t>1.磋商响应性文件的密封和标记</w:t>
      </w:r>
    </w:p>
    <w:p>
      <w:pPr>
        <w:pStyle w:val="2"/>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1.1磋商响应性文件正本与副本应</w:t>
      </w:r>
      <w:r>
        <w:rPr>
          <w:rFonts w:hint="eastAsia" w:ascii="宋体" w:hAnsi="宋体" w:eastAsia="宋体" w:cs="宋体"/>
          <w:highlight w:val="none"/>
          <w:lang w:val="en-US" w:eastAsia="zh-CN"/>
        </w:rPr>
        <w:t>分别</w:t>
      </w:r>
      <w:r>
        <w:rPr>
          <w:rFonts w:hint="eastAsia" w:ascii="宋体" w:hAnsi="宋体" w:eastAsia="宋体" w:cs="宋体"/>
          <w:highlight w:val="none"/>
        </w:rPr>
        <w:t>密封，并加贴“密封”字样封条，在封套的封口处应加盖单位公章。供应商未按此要求采用其他包装的，将造成磋商响应性文件被拒收。</w:t>
      </w:r>
    </w:p>
    <w:p>
      <w:pPr>
        <w:pStyle w:val="2"/>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1.2在封套上注明项目名称、项目编号及“在</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rPr>
        <w:t>日</w:t>
      </w:r>
      <w:r>
        <w:rPr>
          <w:rFonts w:hint="eastAsia" w:ascii="宋体" w:hAnsi="宋体" w:eastAsia="宋体" w:cs="宋体"/>
          <w:highlight w:val="none"/>
          <w:u w:val="single"/>
        </w:rPr>
        <w:tab/>
      </w:r>
      <w:r>
        <w:rPr>
          <w:rFonts w:hint="eastAsia" w:ascii="宋体" w:hAnsi="宋体" w:eastAsia="宋体" w:cs="宋体"/>
          <w:highlight w:val="none"/>
        </w:rPr>
        <w:t>时</w:t>
      </w:r>
      <w:r>
        <w:rPr>
          <w:rFonts w:hint="eastAsia" w:ascii="宋体" w:hAnsi="宋体" w:eastAsia="宋体" w:cs="宋体"/>
          <w:highlight w:val="none"/>
          <w:u w:val="single"/>
        </w:rPr>
        <w:tab/>
      </w:r>
      <w:r>
        <w:rPr>
          <w:rFonts w:hint="eastAsia" w:ascii="宋体" w:hAnsi="宋体" w:eastAsia="宋体" w:cs="宋体"/>
          <w:highlight w:val="none"/>
        </w:rPr>
        <w:t>分之前不得启封”字样。</w:t>
      </w:r>
    </w:p>
    <w:p>
      <w:pPr>
        <w:pStyle w:val="2"/>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1.3未按本章第1.1项或1.2项密封和加写标记的磋商响应性文件, 造成磋商响应性文件被拒收的不利后果由供应商自行承担。</w:t>
      </w:r>
    </w:p>
    <w:p>
      <w:pPr>
        <w:pStyle w:val="2"/>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1.4供应商必须将“电子版U盘”与“</w:t>
      </w:r>
      <w:r>
        <w:rPr>
          <w:rFonts w:hint="eastAsia" w:ascii="宋体" w:hAnsi="宋体" w:eastAsia="宋体" w:cs="宋体"/>
          <w:highlight w:val="none"/>
          <w:lang w:eastAsia="zh-CN"/>
        </w:rPr>
        <w:t>正本</w:t>
      </w:r>
      <w:r>
        <w:rPr>
          <w:rFonts w:hint="eastAsia" w:ascii="宋体" w:hAnsi="宋体" w:eastAsia="宋体" w:cs="宋体"/>
          <w:highlight w:val="none"/>
        </w:rPr>
        <w:t>”</w:t>
      </w:r>
      <w:r>
        <w:rPr>
          <w:rFonts w:hint="eastAsia" w:ascii="宋体" w:hAnsi="宋体" w:eastAsia="宋体" w:cs="宋体"/>
          <w:highlight w:val="none"/>
          <w:lang w:eastAsia="zh-CN"/>
        </w:rPr>
        <w:t>共同</w:t>
      </w:r>
      <w:r>
        <w:rPr>
          <w:rFonts w:hint="eastAsia" w:ascii="宋体" w:hAnsi="宋体" w:eastAsia="宋体" w:cs="宋体"/>
          <w:highlight w:val="none"/>
        </w:rPr>
        <w:t>密封提交，并在封面上注明项目名称、项目编号、投标单位名称（并加盖公章）及“在</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时</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分之前不得启封”字样。密封后粘贴密封条。</w:t>
      </w:r>
    </w:p>
    <w:p>
      <w:pPr>
        <w:pStyle w:val="2"/>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1.5 如果封口处未按要求密封和加写标记，招标代理机构对误投或过早启封概不负责。</w:t>
      </w:r>
    </w:p>
    <w:p>
      <w:pPr>
        <w:pStyle w:val="2"/>
        <w:kinsoku w:val="0"/>
        <w:overflowPunct w:val="0"/>
        <w:spacing w:before="151"/>
        <w:jc w:val="both"/>
        <w:rPr>
          <w:rFonts w:hint="eastAsia" w:ascii="宋体" w:hAnsi="宋体" w:eastAsia="宋体" w:cs="宋体"/>
          <w:b/>
          <w:bCs/>
          <w:highlight w:val="none"/>
        </w:rPr>
      </w:pPr>
      <w:r>
        <w:rPr>
          <w:rFonts w:hint="eastAsia" w:ascii="宋体" w:hAnsi="宋体" w:eastAsia="宋体" w:cs="宋体"/>
          <w:b/>
          <w:bCs/>
          <w:highlight w:val="none"/>
        </w:rPr>
        <w:t>2.磋商响应性文件的提交</w:t>
      </w:r>
    </w:p>
    <w:p>
      <w:pPr>
        <w:pStyle w:val="2"/>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2.1 供应商应按本须知前附表所规定的地点，于递交截止时间前提交磋商响应性文 件。</w:t>
      </w:r>
    </w:p>
    <w:p>
      <w:pPr>
        <w:pStyle w:val="2"/>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2.2 投标截止时间为《竞争性磋商文件》“供应商须知前附表”中规定时间，逾期送达的、未按竞争性磋商文件要求密封的《磋商响应性文件》招标代理机构和采购人概不接受。</w:t>
      </w:r>
    </w:p>
    <w:p>
      <w:pPr>
        <w:pStyle w:val="2"/>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2.3 采购人可按本须知规定以修改补充通知的方式，酌情延长提交磋商响应性文件 的截止时间。在此情况下，供应商的所有权利和义务以及供应商受制约的截止时间，均以延长后新的投标截止时间为准。</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2.4 到投标截止时间止，采购人收到的磋商响应性文件少于</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规定的家数，采购人将依法重新组织招标。</w:t>
      </w:r>
    </w:p>
    <w:p>
      <w:pPr>
        <w:pStyle w:val="2"/>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2.5 本次招标不接受邮寄的磋商响应性文件。</w:t>
      </w:r>
    </w:p>
    <w:p>
      <w:pPr>
        <w:pStyle w:val="2"/>
        <w:kinsoku w:val="0"/>
        <w:overflowPunct w:val="0"/>
        <w:spacing w:before="151"/>
        <w:jc w:val="both"/>
        <w:rPr>
          <w:rFonts w:hint="eastAsia" w:ascii="宋体" w:hAnsi="宋体" w:eastAsia="宋体" w:cs="宋体"/>
          <w:b/>
          <w:bCs/>
          <w:highlight w:val="none"/>
        </w:rPr>
      </w:pPr>
      <w:r>
        <w:rPr>
          <w:rFonts w:hint="eastAsia" w:ascii="宋体" w:hAnsi="宋体" w:eastAsia="宋体" w:cs="宋体"/>
          <w:b/>
          <w:bCs/>
          <w:highlight w:val="none"/>
        </w:rPr>
        <w:t xml:space="preserve">3.投标截止时间 </w:t>
      </w:r>
    </w:p>
    <w:p>
      <w:pPr>
        <w:pStyle w:val="2"/>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投标截止时间为“供应商须知前附表”中规定时间。</w:t>
      </w:r>
    </w:p>
    <w:p>
      <w:pPr>
        <w:pStyle w:val="2"/>
        <w:kinsoku w:val="0"/>
        <w:overflowPunct w:val="0"/>
        <w:spacing w:before="34" w:line="357" w:lineRule="auto"/>
        <w:ind w:left="598" w:right="101" w:hanging="480"/>
        <w:rPr>
          <w:rFonts w:hint="eastAsia" w:ascii="宋体" w:hAnsi="宋体" w:eastAsia="宋体" w:cs="宋体"/>
          <w:b/>
          <w:bCs/>
          <w:spacing w:val="27"/>
          <w:w w:val="99"/>
          <w:highlight w:val="none"/>
        </w:rPr>
      </w:pPr>
      <w:r>
        <w:rPr>
          <w:rFonts w:hint="eastAsia" w:ascii="宋体" w:hAnsi="宋体" w:eastAsia="宋体" w:cs="宋体"/>
          <w:b/>
          <w:bCs/>
          <w:highlight w:val="none"/>
        </w:rPr>
        <w:t>4.迟交的磋商响应性文件</w:t>
      </w:r>
      <w:r>
        <w:rPr>
          <w:rFonts w:hint="eastAsia" w:ascii="宋体" w:hAnsi="宋体" w:eastAsia="宋体" w:cs="宋体"/>
          <w:b/>
          <w:bCs/>
          <w:spacing w:val="27"/>
          <w:w w:val="99"/>
          <w:highlight w:val="none"/>
        </w:rPr>
        <w:t xml:space="preserve"> </w:t>
      </w:r>
    </w:p>
    <w:p>
      <w:pPr>
        <w:pStyle w:val="2"/>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采购人将拒绝并退回在其规定的截止时间后收到的任何磋商响应性文件。</w:t>
      </w:r>
    </w:p>
    <w:p>
      <w:pPr>
        <w:pStyle w:val="2"/>
        <w:kinsoku w:val="0"/>
        <w:overflowPunct w:val="0"/>
        <w:spacing w:before="34" w:line="357" w:lineRule="auto"/>
        <w:ind w:left="598" w:right="101" w:hanging="480"/>
        <w:rPr>
          <w:rFonts w:hint="eastAsia" w:ascii="宋体" w:hAnsi="宋体" w:eastAsia="宋体" w:cs="宋体"/>
          <w:b/>
          <w:bCs/>
          <w:highlight w:val="none"/>
        </w:rPr>
      </w:pPr>
      <w:r>
        <w:rPr>
          <w:rFonts w:hint="eastAsia" w:ascii="宋体" w:hAnsi="宋体" w:eastAsia="宋体" w:cs="宋体"/>
          <w:b/>
          <w:bCs/>
          <w:highlight w:val="none"/>
        </w:rPr>
        <w:t>5.磋商响应性文件的补充、修改与撤回</w:t>
      </w:r>
    </w:p>
    <w:p>
      <w:pPr>
        <w:pStyle w:val="2"/>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5.1 供应商在提交磋商响应性文件以后，在规定的投标截止时间之前，可以书面形式补充修改或撤回已提交的磋商响应性文件，并以书面形式通知采购人。补充、修改的内容为磋商响应性文件的组成部分。</w:t>
      </w:r>
    </w:p>
    <w:p>
      <w:pPr>
        <w:pStyle w:val="2"/>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5.2 供应商对磋商响应性文件的补充、修改，应按本须知有关规定密封、标记和提交，并在内外层磋商响应性文件密封袋上清楚标明“补充、修改”或“撤回”字样。</w:t>
      </w:r>
    </w:p>
    <w:p>
      <w:pPr>
        <w:pStyle w:val="2"/>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5.3 在投标截止时间之后，供应商不得补充、修改磋商响应性文件。</w:t>
      </w:r>
    </w:p>
    <w:p>
      <w:pPr>
        <w:pStyle w:val="2"/>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5.4 在投标截止时间至投标有效期满之前，供应商不得撤回其磋商响应性文件，否则其投标保证金将被没收。</w:t>
      </w:r>
    </w:p>
    <w:p>
      <w:pPr>
        <w:pStyle w:val="4"/>
        <w:rPr>
          <w:rFonts w:hint="eastAsia" w:ascii="宋体" w:hAnsi="宋体" w:eastAsia="宋体" w:cs="宋体"/>
          <w:highlight w:val="none"/>
          <w:lang w:eastAsia="zh-CN"/>
        </w:rPr>
      </w:pPr>
      <w:bookmarkStart w:id="57" w:name="_Toc20653"/>
      <w:r>
        <w:rPr>
          <w:rFonts w:hint="eastAsia" w:ascii="宋体" w:hAnsi="宋体" w:eastAsia="宋体" w:cs="宋体"/>
          <w:highlight w:val="none"/>
        </w:rPr>
        <w:t>（</w:t>
      </w:r>
      <w:r>
        <w:rPr>
          <w:rFonts w:hint="eastAsia" w:ascii="宋体" w:hAnsi="宋体" w:eastAsia="宋体" w:cs="宋体"/>
          <w:highlight w:val="none"/>
          <w:lang w:eastAsia="zh-CN"/>
        </w:rPr>
        <w:t>六</w:t>
      </w:r>
      <w:r>
        <w:rPr>
          <w:rFonts w:hint="eastAsia" w:ascii="宋体" w:hAnsi="宋体" w:eastAsia="宋体" w:cs="宋体"/>
          <w:highlight w:val="none"/>
        </w:rPr>
        <w:t>）</w:t>
      </w:r>
      <w:r>
        <w:rPr>
          <w:rFonts w:hint="eastAsia" w:ascii="宋体" w:hAnsi="宋体" w:eastAsia="宋体" w:cs="宋体"/>
          <w:highlight w:val="none"/>
          <w:lang w:eastAsia="zh-CN"/>
        </w:rPr>
        <w:t>磋商</w:t>
      </w:r>
      <w:bookmarkEnd w:id="57"/>
    </w:p>
    <w:p>
      <w:pPr>
        <w:pStyle w:val="2"/>
        <w:kinsoku w:val="0"/>
        <w:overflowPunct w:val="0"/>
        <w:spacing w:before="35"/>
        <w:rPr>
          <w:rFonts w:hint="eastAsia" w:ascii="宋体" w:hAnsi="宋体" w:eastAsia="宋体" w:cs="宋体"/>
          <w:b/>
          <w:bCs/>
          <w:spacing w:val="1"/>
          <w:highlight w:val="none"/>
        </w:rPr>
      </w:pPr>
      <w:r>
        <w:rPr>
          <w:rFonts w:hint="eastAsia" w:ascii="宋体" w:hAnsi="宋体" w:eastAsia="宋体" w:cs="宋体"/>
          <w:b/>
          <w:bCs/>
          <w:spacing w:val="1"/>
          <w:highlight w:val="none"/>
        </w:rPr>
        <w:t>1.磋商小组</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1.1</w:t>
      </w:r>
      <w:r>
        <w:rPr>
          <w:rFonts w:hint="eastAsia" w:ascii="宋体" w:hAnsi="宋体" w:eastAsia="宋体" w:cs="宋体"/>
          <w:highlight w:val="none"/>
        </w:rPr>
        <w:tab/>
      </w:r>
      <w:r>
        <w:rPr>
          <w:rFonts w:hint="eastAsia" w:ascii="宋体" w:hAnsi="宋体" w:eastAsia="宋体" w:cs="宋体"/>
          <w:spacing w:val="1"/>
          <w:highlight w:val="none"/>
        </w:rPr>
        <w:t>评标由采购人依法组建的磋商小组负责。磋商小组由采购人熟悉相关业务</w:t>
      </w:r>
      <w:r>
        <w:rPr>
          <w:rFonts w:hint="eastAsia" w:ascii="宋体" w:hAnsi="宋体" w:eastAsia="宋体" w:cs="宋体"/>
          <w:highlight w:val="none"/>
        </w:rPr>
        <w:t>的代表，以及有关技术、经济等方面的专家三人的单数组成。</w:t>
      </w:r>
    </w:p>
    <w:p>
      <w:pPr>
        <w:pStyle w:val="2"/>
        <w:tabs>
          <w:tab w:val="left" w:pos="1438"/>
        </w:tabs>
        <w:kinsoku w:val="0"/>
        <w:overflowPunct w:val="0"/>
        <w:spacing w:before="36"/>
        <w:ind w:left="598"/>
        <w:rPr>
          <w:rFonts w:hint="eastAsia" w:ascii="宋体" w:hAnsi="宋体" w:eastAsia="宋体" w:cs="宋体"/>
          <w:highlight w:val="none"/>
        </w:rPr>
      </w:pPr>
      <w:r>
        <w:rPr>
          <w:rFonts w:hint="eastAsia" w:ascii="宋体" w:hAnsi="宋体" w:eastAsia="宋体" w:cs="宋体"/>
          <w:highlight w:val="none"/>
        </w:rPr>
        <w:t>1.2 磋商小组成员有下列情形之一的，应当回避；</w:t>
      </w:r>
    </w:p>
    <w:p>
      <w:pPr>
        <w:pStyle w:val="2"/>
        <w:kinsoku w:val="0"/>
        <w:overflowPunct w:val="0"/>
        <w:ind w:left="598"/>
        <w:rPr>
          <w:rFonts w:hint="eastAsia" w:ascii="宋体" w:hAnsi="宋体" w:eastAsia="宋体" w:cs="宋体"/>
          <w:highlight w:val="none"/>
        </w:rPr>
      </w:pPr>
      <w:r>
        <w:rPr>
          <w:rFonts w:hint="eastAsia" w:ascii="宋体" w:hAnsi="宋体" w:eastAsia="宋体" w:cs="宋体"/>
          <w:highlight w:val="none"/>
        </w:rPr>
        <w:t>（1）采购人或供应商的主要负责人的近亲属。</w:t>
      </w:r>
    </w:p>
    <w:p>
      <w:pPr>
        <w:pStyle w:val="2"/>
        <w:kinsoku w:val="0"/>
        <w:overflowPunct w:val="0"/>
        <w:ind w:left="598"/>
        <w:rPr>
          <w:rFonts w:hint="eastAsia" w:ascii="宋体" w:hAnsi="宋体" w:eastAsia="宋体" w:cs="宋体"/>
          <w:highlight w:val="none"/>
        </w:rPr>
      </w:pPr>
      <w:r>
        <w:rPr>
          <w:rFonts w:hint="eastAsia" w:ascii="宋体" w:hAnsi="宋体" w:eastAsia="宋体" w:cs="宋体"/>
          <w:highlight w:val="none"/>
        </w:rPr>
        <w:t>（2）项目主管部门或者行政监督部门的人员。</w:t>
      </w:r>
    </w:p>
    <w:p>
      <w:pPr>
        <w:pStyle w:val="2"/>
        <w:kinsoku w:val="0"/>
        <w:overflowPunct w:val="0"/>
        <w:spacing w:before="151"/>
        <w:ind w:left="598"/>
        <w:rPr>
          <w:rFonts w:hint="eastAsia" w:ascii="宋体" w:hAnsi="宋体" w:eastAsia="宋体" w:cs="宋体"/>
          <w:highlight w:val="none"/>
        </w:rPr>
      </w:pPr>
      <w:r>
        <w:rPr>
          <w:rFonts w:hint="eastAsia" w:ascii="宋体" w:hAnsi="宋体" w:eastAsia="宋体" w:cs="宋体"/>
          <w:highlight w:val="none"/>
        </w:rPr>
        <w:t>（3）与供应商有经济利益关系，可能影响对投标公正评审的。</w:t>
      </w:r>
    </w:p>
    <w:p>
      <w:pPr>
        <w:pStyle w:val="2"/>
        <w:kinsoku w:val="0"/>
        <w:overflowPunct w:val="0"/>
        <w:spacing w:line="355" w:lineRule="auto"/>
        <w:ind w:right="50" w:firstLine="480"/>
        <w:rPr>
          <w:rFonts w:hint="eastAsia" w:ascii="宋体" w:hAnsi="宋体" w:eastAsia="宋体" w:cs="宋体"/>
          <w:highlight w:val="none"/>
        </w:rPr>
      </w:pPr>
      <w:r>
        <w:rPr>
          <w:rFonts w:hint="eastAsia" w:ascii="宋体" w:hAnsi="宋体" w:eastAsia="宋体" w:cs="宋体"/>
          <w:spacing w:val="1"/>
          <w:highlight w:val="none"/>
        </w:rPr>
        <w:t>（4）曾因在招标、评标以及其他与招标投标有关活动中从事违法行为而受过行政</w:t>
      </w:r>
      <w:r>
        <w:rPr>
          <w:rFonts w:hint="eastAsia" w:ascii="宋体" w:hAnsi="宋体" w:eastAsia="宋体" w:cs="宋体"/>
          <w:highlight w:val="none"/>
        </w:rPr>
        <w:t>处罚或刑事处罚的。</w:t>
      </w:r>
    </w:p>
    <w:p>
      <w:pPr>
        <w:pStyle w:val="2"/>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（5）其它可能影响公正评标的情形。</w:t>
      </w:r>
    </w:p>
    <w:p>
      <w:pPr>
        <w:pStyle w:val="2"/>
        <w:kinsoku w:val="0"/>
        <w:overflowPunct w:val="0"/>
        <w:spacing w:before="35"/>
        <w:rPr>
          <w:rFonts w:hint="eastAsia" w:ascii="宋体" w:hAnsi="宋体" w:eastAsia="宋体" w:cs="宋体"/>
          <w:b/>
          <w:bCs/>
          <w:spacing w:val="1"/>
          <w:highlight w:val="none"/>
        </w:rPr>
      </w:pPr>
      <w:r>
        <w:rPr>
          <w:rFonts w:hint="eastAsia" w:ascii="宋体" w:hAnsi="宋体" w:eastAsia="宋体" w:cs="宋体"/>
          <w:b/>
          <w:bCs/>
          <w:spacing w:val="1"/>
          <w:highlight w:val="none"/>
        </w:rPr>
        <w:t>2.评标原则</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2.1 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供应商。</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2.2 项目实施机构成立磋商小组，负责本次项目采购的磋商工作，磋商小组由业主代表与技术、经济等方面专家组成共3人以上组成，其中评审专家人数不得少于磋商小组成员总数的2/3。评审专家应当从政府采购评审庄家库内相关专业的专家名单中随机抽取，符合本办法（财库214号文）第三条第四项规定情形的项目，以及特殊情况。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2.3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2"/>
        <w:kinsoku w:val="0"/>
        <w:overflowPunct w:val="0"/>
        <w:spacing w:before="35" w:line="357" w:lineRule="auto"/>
        <w:ind w:left="598" w:right="238" w:hanging="480"/>
        <w:rPr>
          <w:rFonts w:hint="eastAsia" w:ascii="宋体" w:hAnsi="宋体" w:eastAsia="宋体" w:cs="宋体"/>
          <w:b/>
          <w:bCs/>
          <w:spacing w:val="22"/>
          <w:w w:val="99"/>
          <w:highlight w:val="none"/>
        </w:rPr>
      </w:pPr>
      <w:r>
        <w:rPr>
          <w:rFonts w:hint="eastAsia" w:ascii="宋体" w:hAnsi="宋体" w:eastAsia="宋体" w:cs="宋体"/>
          <w:b/>
          <w:bCs/>
          <w:w w:val="95"/>
          <w:highlight w:val="none"/>
        </w:rPr>
        <w:t>3.</w:t>
      </w:r>
      <w:r>
        <w:rPr>
          <w:rFonts w:hint="eastAsia" w:ascii="宋体" w:hAnsi="宋体" w:eastAsia="宋体" w:cs="宋体"/>
          <w:b/>
          <w:bCs/>
          <w:highlight w:val="none"/>
        </w:rPr>
        <w:t>评标</w:t>
      </w:r>
      <w:r>
        <w:rPr>
          <w:rFonts w:hint="eastAsia" w:ascii="宋体" w:hAnsi="宋体" w:eastAsia="宋体" w:cs="宋体"/>
          <w:b/>
          <w:bCs/>
          <w:spacing w:val="22"/>
          <w:w w:val="99"/>
          <w:highlight w:val="none"/>
        </w:rPr>
        <w:t xml:space="preserve"> </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3.1磋商小组按照竞争性磋商文件中规定的方法、评审因素、标准和程序对磋商应性文件进行评审。竞争性磋商文件中没有规定的方法、评审因素和标准，不作为评标依据。 详见“评标办法”内容。</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3.2评标过程严格保密。供应商对评委会的评标过程或合同授予决定施加影响的任何行为都可能导致其投标被拒绝。</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3.3 在评标期间，评委会可要求供应商对其磋商响应性文件中非实质性的有关问题进行 澄清、说明或者补正。有关澄清、说明或者补正的要求和答复应以书面形式提交。供应 商的澄清、说明或者补正不得超出磋商响应性文件的范围或者改变磋商响应性文件的实 质性内容。</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3.4 评委会认定实质性响应竞争性磋商文件的投标是磋商响应性文件与竞争性磋商文件 要求的全部条款、条件和规格相符，没有实质性负偏离。评委会评审磋商响应性文件的 响应性依据是磋商响应性文件本身的内容，而不寻求外部的证据。</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3.5 如果磋商响应性文件没有实质性响应竞争性磋商文件的要求，评委会将予以拒绝。 供应商不得通过修正或撤消不合要求的偏离或保留从而使其投标成为实质性响应的投 标。</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3.6 评委会只对确定为实质性响应竞争性磋商文件要求的磋商响应性文件，根据竞争性 磋商文件的评审标准采用相同的评标程序、评分办法进行评价和比较。</w:t>
      </w:r>
    </w:p>
    <w:p>
      <w:pPr>
        <w:pStyle w:val="4"/>
        <w:rPr>
          <w:rFonts w:hint="eastAsia" w:ascii="宋体" w:hAnsi="宋体" w:eastAsia="宋体" w:cs="宋体"/>
          <w:highlight w:val="none"/>
        </w:rPr>
      </w:pPr>
      <w:bookmarkStart w:id="58" w:name="_Toc17861"/>
      <w:r>
        <w:rPr>
          <w:rFonts w:hint="eastAsia" w:ascii="宋体" w:hAnsi="宋体" w:eastAsia="宋体" w:cs="宋体"/>
          <w:highlight w:val="none"/>
        </w:rPr>
        <w:t>（</w:t>
      </w:r>
      <w:r>
        <w:rPr>
          <w:rFonts w:hint="eastAsia" w:ascii="宋体" w:hAnsi="宋体" w:eastAsia="宋体" w:cs="宋体"/>
          <w:highlight w:val="none"/>
          <w:lang w:eastAsia="zh-CN"/>
        </w:rPr>
        <w:t>七</w:t>
      </w:r>
      <w:r>
        <w:rPr>
          <w:rFonts w:hint="eastAsia" w:ascii="宋体" w:hAnsi="宋体" w:eastAsia="宋体" w:cs="宋体"/>
          <w:highlight w:val="none"/>
        </w:rPr>
        <w:t>）定标</w:t>
      </w:r>
      <w:bookmarkEnd w:id="58"/>
    </w:p>
    <w:p>
      <w:pPr>
        <w:pStyle w:val="2"/>
        <w:kinsoku w:val="0"/>
        <w:overflowPunct w:val="0"/>
        <w:spacing w:before="35" w:line="357" w:lineRule="auto"/>
        <w:ind w:left="598" w:right="238" w:hanging="480"/>
        <w:rPr>
          <w:rFonts w:hint="eastAsia" w:ascii="宋体" w:hAnsi="宋体" w:eastAsia="宋体" w:cs="宋体"/>
          <w:b/>
          <w:bCs/>
          <w:w w:val="95"/>
          <w:highlight w:val="none"/>
        </w:rPr>
      </w:pPr>
      <w:r>
        <w:rPr>
          <w:rFonts w:hint="eastAsia" w:ascii="宋体" w:hAnsi="宋体" w:eastAsia="宋体" w:cs="宋体"/>
          <w:b/>
          <w:bCs/>
          <w:w w:val="95"/>
          <w:highlight w:val="none"/>
        </w:rPr>
        <w:t>1.定标</w:t>
      </w:r>
    </w:p>
    <w:p>
      <w:pPr>
        <w:spacing w:line="360" w:lineRule="auto"/>
        <w:ind w:firstLine="480" w:firstLineChars="200"/>
        <w:rPr>
          <w:rFonts w:hint="eastAsia" w:ascii="宋体" w:hAnsi="宋体" w:eastAsia="宋体" w:cs="宋体"/>
          <w:b/>
          <w:bCs/>
          <w:w w:val="95"/>
          <w:kern w:val="0"/>
          <w:sz w:val="24"/>
          <w:szCs w:val="24"/>
          <w:highlight w:val="none"/>
        </w:rPr>
      </w:pPr>
      <w:r>
        <w:rPr>
          <w:rFonts w:hint="eastAsia" w:ascii="宋体" w:hAnsi="宋体" w:eastAsia="宋体" w:cs="宋体"/>
          <w:sz w:val="24"/>
          <w:szCs w:val="24"/>
          <w:highlight w:val="none"/>
        </w:rPr>
        <w:t>1.1 定标原则：磋商小组按照公开、公平、公正、诚实信用的原则对待参与磋商的供应商的响应文件；经磋商确定最终采购需求和提交最后报价的供应商后，由磋商小组采用综合评分法对提交最后报价的供应商的响应文件和最后报价进行综合评分。</w:t>
      </w:r>
      <w:r>
        <w:rPr>
          <w:rFonts w:hint="eastAsia" w:ascii="宋体" w:hAnsi="宋体" w:eastAsia="宋体" w:cs="宋体"/>
          <w:kern w:val="0"/>
          <w:sz w:val="24"/>
          <w:szCs w:val="24"/>
          <w:highlight w:val="none"/>
        </w:rPr>
        <w:t xml:space="preserve">能够最大限度满足竞争性磋商文件中规定的各项综合评价标准且得分最高（但投标价格低于成本价的除外）。 </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1.2 定标方法：综合评分法。</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1.3 定标方式：根据评委会推荐的中标候选人名单，采购人确定中标人。</w:t>
      </w:r>
    </w:p>
    <w:p>
      <w:pPr>
        <w:pStyle w:val="2"/>
        <w:kinsoku w:val="0"/>
        <w:overflowPunct w:val="0"/>
        <w:spacing w:before="35" w:line="357" w:lineRule="auto"/>
        <w:ind w:left="598" w:right="238" w:hanging="480"/>
        <w:rPr>
          <w:rFonts w:hint="eastAsia" w:ascii="宋体" w:hAnsi="宋体" w:eastAsia="宋体" w:cs="宋体"/>
          <w:b/>
          <w:bCs/>
          <w:w w:val="95"/>
          <w:highlight w:val="none"/>
        </w:rPr>
      </w:pPr>
      <w:r>
        <w:rPr>
          <w:rFonts w:hint="eastAsia" w:ascii="宋体" w:hAnsi="宋体" w:eastAsia="宋体" w:cs="宋体"/>
          <w:b/>
          <w:bCs/>
          <w:w w:val="95"/>
          <w:highlight w:val="none"/>
        </w:rPr>
        <w:t>2.定标程序</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2.1 磋商小组按照综合评审打分结果由高到低排列顺序。综合得分相同的，按投标报价由低到高顺序排列。得分且投标报价相同的，按技术指标优劣顺序排列。前三名的供应商为拟中标候选人。</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2.2 采购人根据书面评标报告和被推荐的中标候选人，确定得分最高的供应商为拟中标供单位。</w:t>
      </w:r>
    </w:p>
    <w:p>
      <w:pPr>
        <w:pStyle w:val="2"/>
        <w:tabs>
          <w:tab w:val="left" w:pos="1080"/>
        </w:tabs>
        <w:kinsoku w:val="0"/>
        <w:overflowPunct w:val="0"/>
        <w:spacing w:before="26" w:line="355" w:lineRule="auto"/>
        <w:ind w:right="234" w:firstLine="480"/>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SA"/>
        </w:rPr>
        <w:t>2.3</w:t>
      </w:r>
      <w:r>
        <w:rPr>
          <w:rFonts w:hint="eastAsia" w:ascii="宋体" w:hAnsi="宋体" w:eastAsia="宋体" w:cs="宋体"/>
          <w:highlight w:val="none"/>
        </w:rPr>
        <w:t xml:space="preserve"> </w:t>
      </w:r>
      <w:r>
        <w:rPr>
          <w:rFonts w:hint="eastAsia" w:ascii="宋体" w:hAnsi="宋体" w:eastAsia="宋体" w:cs="宋体"/>
          <w:sz w:val="24"/>
          <w:szCs w:val="24"/>
          <w:highlight w:val="none"/>
        </w:rPr>
        <w:t>中标结果在“新疆政府采购网” 上予以公告。同时向中标人发出中标通知书。</w:t>
      </w:r>
    </w:p>
    <w:p>
      <w:pPr>
        <w:pStyle w:val="2"/>
        <w:kinsoku w:val="0"/>
        <w:overflowPunct w:val="0"/>
        <w:spacing w:before="151"/>
        <w:rPr>
          <w:rFonts w:hint="eastAsia" w:ascii="宋体" w:hAnsi="宋体" w:eastAsia="宋体" w:cs="宋体"/>
          <w:highlight w:val="none"/>
        </w:rPr>
      </w:pPr>
      <w:r>
        <w:rPr>
          <w:rFonts w:hint="eastAsia" w:ascii="宋体" w:hAnsi="宋体" w:eastAsia="宋体" w:cs="宋体"/>
          <w:b/>
          <w:bCs/>
          <w:highlight w:val="none"/>
        </w:rPr>
        <w:t>3.中标通知书</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3.1 中标结果在公示期满无质疑或投诉后，该结果将作为正式中标或签订《采购合同》的凭据。招标代理机构将以书面形式《中标通知书》通知中标的供应商其投标被接受。在该通知书发出三十日内，中标单位应与采购人签订采购合同。</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3.2 中标通知书为签订政府采购合同的依据，是合同的有效组成部分。</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3.3 中标通知书对采购人和中标人均具有法律效力。中标通知书发出后，采购人改变中标结果，或者中标人无正当理由放弃中标的，应当承担相应的法律责任。</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3.4 中标人的磋商响应性文件本应作为无效投标处理或者有政府采购法律法规规章制度规定的中标无效情形的，招标代理机构在取得有权主体的认定以后，应当宣布发出的中标通知书无效，并收回发出的中标通知书（中标人也应当缴回），依法重新确定中标人或者重新开展采购活动。</w:t>
      </w:r>
    </w:p>
    <w:p>
      <w:pPr>
        <w:pStyle w:val="4"/>
        <w:rPr>
          <w:rFonts w:hint="eastAsia" w:ascii="宋体" w:hAnsi="宋体" w:eastAsia="宋体" w:cs="宋体"/>
          <w:highlight w:val="none"/>
        </w:rPr>
      </w:pPr>
      <w:bookmarkStart w:id="59" w:name="_Toc28691"/>
      <w:r>
        <w:rPr>
          <w:rFonts w:hint="eastAsia" w:ascii="宋体" w:hAnsi="宋体" w:eastAsia="宋体" w:cs="宋体"/>
          <w:highlight w:val="none"/>
        </w:rPr>
        <w:t>（</w:t>
      </w:r>
      <w:r>
        <w:rPr>
          <w:rFonts w:hint="eastAsia" w:ascii="宋体" w:hAnsi="宋体" w:eastAsia="宋体" w:cs="宋体"/>
          <w:highlight w:val="none"/>
          <w:lang w:eastAsia="zh-CN"/>
        </w:rPr>
        <w:t>八</w:t>
      </w:r>
      <w:r>
        <w:rPr>
          <w:rFonts w:hint="eastAsia" w:ascii="宋体" w:hAnsi="宋体" w:eastAsia="宋体" w:cs="宋体"/>
          <w:highlight w:val="none"/>
        </w:rPr>
        <w:t>）合同签订及履行</w:t>
      </w:r>
      <w:bookmarkEnd w:id="59"/>
    </w:p>
    <w:p>
      <w:pPr>
        <w:pStyle w:val="2"/>
        <w:kinsoku w:val="0"/>
        <w:overflowPunct w:val="0"/>
        <w:spacing w:before="151"/>
        <w:rPr>
          <w:rFonts w:hint="eastAsia" w:ascii="宋体" w:hAnsi="宋体" w:eastAsia="宋体" w:cs="宋体"/>
          <w:b/>
          <w:bCs/>
          <w:highlight w:val="none"/>
        </w:rPr>
      </w:pPr>
      <w:r>
        <w:rPr>
          <w:rFonts w:hint="eastAsia" w:ascii="宋体" w:hAnsi="宋体" w:eastAsia="宋体" w:cs="宋体"/>
          <w:b/>
          <w:bCs/>
          <w:highlight w:val="none"/>
        </w:rPr>
        <w:t>1.合同授予原则</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1.1 采购人将把合同授予经磋商小组评议推荐，在法定公示时间后，收到《中标通知书》的投标单位。若因中标单位违约或因不可抗力等原因不能被授予合同，则合同将授予排序在该中标单位之后的下一个供应商，以此类推。</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1.2 采购人保留在签订合同时调整方案需求和变动所购服务内容的权力。</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1.3 采购人不得向中标人提出任何不合理的要求，作为签订合同的条件，不得与中标人私下订立背离合同实质性内容的任何协议，所签订的合同不得对竞争性磋商文件和中标人磋商响应性文件作实质性修改。</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1.4 中标人应当按照合同约定履行义务，完成中标项目的设计任务，不得将中标项目的转让（转包）给他人。</w:t>
      </w:r>
    </w:p>
    <w:p>
      <w:pPr>
        <w:pStyle w:val="2"/>
        <w:kinsoku w:val="0"/>
        <w:overflowPunct w:val="0"/>
        <w:spacing w:before="34"/>
        <w:rPr>
          <w:rFonts w:hint="eastAsia" w:ascii="宋体" w:hAnsi="宋体" w:eastAsia="宋体" w:cs="宋体"/>
          <w:highlight w:val="none"/>
        </w:rPr>
      </w:pPr>
      <w:r>
        <w:rPr>
          <w:rFonts w:hint="eastAsia" w:ascii="宋体" w:hAnsi="宋体" w:eastAsia="宋体" w:cs="宋体"/>
          <w:b/>
          <w:bCs/>
          <w:highlight w:val="none"/>
        </w:rPr>
        <w:t>2.合同的签署</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2.1 中标人依据《中标通知书》与采购人签订合同，签订时间为《中标通知书》发出之日起三十日内。</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2.2 中标单位按《中标通知书》中规定的时间和地点，在招标代理机构监督下，由法定代表人或授权代表与采购人签订合同。采购人与中标单位是合同权利与义务的直接全部责任承担人。所发出的《中标通知书》对采购人和中标单位具有同等法律效力。</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2.3《中标通知书》发出后，采购人拒绝签订《采购合同》或擅自改变中标内容，按照《中华人民共和国合同法》定金罚则及损害赔偿的原则处罚并办理。若由于中标单位的原因逾期未与采购人签订采购合同的，将视为放弃中标，取消其中标资格并将按照《中华人民共和国政府采购法》相关规定进行处理。</w:t>
      </w:r>
    </w:p>
    <w:p>
      <w:pPr>
        <w:pStyle w:val="2"/>
        <w:kinsoku w:val="0"/>
        <w:overflowPunct w:val="0"/>
        <w:spacing w:before="37" w:line="357" w:lineRule="auto"/>
        <w:ind w:right="2481"/>
        <w:rPr>
          <w:rFonts w:hint="eastAsia" w:ascii="宋体" w:hAnsi="宋体" w:eastAsia="宋体" w:cs="宋体"/>
          <w:highlight w:val="none"/>
        </w:rPr>
      </w:pPr>
      <w:r>
        <w:rPr>
          <w:rFonts w:hint="eastAsia" w:ascii="宋体" w:hAnsi="宋体" w:eastAsia="宋体" w:cs="宋体"/>
          <w:b/>
          <w:bCs/>
          <w:highlight w:val="none"/>
        </w:rPr>
        <w:t>3.履行合同</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3.1 中标人与采购人签订合同后，合同双方应严格执行合同条款，履行合同规定的义务，保证合同的顺利完成。</w:t>
      </w:r>
    </w:p>
    <w:p>
      <w:pPr>
        <w:pStyle w:val="2"/>
        <w:kinsoku w:val="0"/>
        <w:overflowPunct w:val="0"/>
        <w:spacing w:before="34" w:line="355" w:lineRule="auto"/>
        <w:ind w:right="126" w:firstLine="480"/>
        <w:jc w:val="both"/>
        <w:rPr>
          <w:rFonts w:hint="eastAsia" w:ascii="宋体" w:hAnsi="宋体" w:eastAsia="宋体" w:cs="宋体"/>
          <w:highlight w:val="none"/>
        </w:rPr>
      </w:pPr>
      <w:r>
        <w:rPr>
          <w:rFonts w:hint="eastAsia" w:ascii="宋体" w:hAnsi="宋体" w:eastAsia="宋体" w:cs="宋体"/>
          <w:highlight w:val="none"/>
        </w:rPr>
        <w:t>3.2 在合同履行过程中，如发生合同纠纷，合同双方应按照《合同法》的有关规定进行处理。</w:t>
      </w:r>
    </w:p>
    <w:p>
      <w:pPr>
        <w:pStyle w:val="4"/>
        <w:rPr>
          <w:rFonts w:hint="eastAsia" w:ascii="宋体" w:hAnsi="宋体" w:eastAsia="宋体" w:cs="宋体"/>
          <w:highlight w:val="none"/>
        </w:rPr>
      </w:pPr>
      <w:bookmarkStart w:id="60" w:name="_Toc6037"/>
      <w:r>
        <w:rPr>
          <w:rFonts w:hint="eastAsia" w:ascii="宋体" w:hAnsi="宋体" w:eastAsia="宋体" w:cs="宋体"/>
          <w:highlight w:val="none"/>
        </w:rPr>
        <w:t>（</w:t>
      </w:r>
      <w:r>
        <w:rPr>
          <w:rFonts w:hint="eastAsia" w:ascii="宋体" w:hAnsi="宋体" w:eastAsia="宋体" w:cs="宋体"/>
          <w:highlight w:val="none"/>
          <w:lang w:eastAsia="zh-CN"/>
        </w:rPr>
        <w:t>九</w:t>
      </w:r>
      <w:r>
        <w:rPr>
          <w:rFonts w:hint="eastAsia" w:ascii="宋体" w:hAnsi="宋体" w:eastAsia="宋体" w:cs="宋体"/>
          <w:highlight w:val="none"/>
        </w:rPr>
        <w:t>）重新招标和不再招标</w:t>
      </w:r>
      <w:bookmarkEnd w:id="60"/>
    </w:p>
    <w:p>
      <w:pPr>
        <w:pStyle w:val="2"/>
        <w:kinsoku w:val="0"/>
        <w:overflowPunct w:val="0"/>
        <w:spacing w:before="37" w:line="357" w:lineRule="auto"/>
        <w:ind w:right="2481"/>
        <w:rPr>
          <w:rFonts w:hint="eastAsia" w:ascii="宋体" w:hAnsi="宋体" w:eastAsia="宋体" w:cs="宋体"/>
          <w:b/>
          <w:bCs/>
          <w:highlight w:val="none"/>
        </w:rPr>
      </w:pPr>
      <w:r>
        <w:rPr>
          <w:rFonts w:hint="eastAsia" w:ascii="宋体" w:hAnsi="宋体" w:eastAsia="宋体" w:cs="宋体"/>
          <w:b/>
          <w:bCs/>
          <w:highlight w:val="none"/>
        </w:rPr>
        <w:t>1．重新招标</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有下列情形之一的，采购人将重新招标：</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（1）投标截止时间止，供应商少于</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（2）经磋商小组评审后否决所有投标的。 </w:t>
      </w:r>
    </w:p>
    <w:p>
      <w:pPr>
        <w:pStyle w:val="2"/>
        <w:kinsoku w:val="0"/>
        <w:overflowPunct w:val="0"/>
        <w:spacing w:line="357" w:lineRule="auto"/>
        <w:ind w:right="4044" w:firstLine="24"/>
        <w:rPr>
          <w:rFonts w:hint="eastAsia" w:ascii="宋体" w:hAnsi="宋体" w:eastAsia="宋体" w:cs="宋体"/>
          <w:highlight w:val="none"/>
        </w:rPr>
      </w:pPr>
      <w:r>
        <w:rPr>
          <w:rFonts w:hint="eastAsia" w:ascii="宋体" w:hAnsi="宋体" w:eastAsia="宋体" w:cs="宋体"/>
          <w:b/>
          <w:bCs/>
          <w:highlight w:val="none"/>
        </w:rPr>
        <w:t>2．不再招标</w:t>
      </w:r>
    </w:p>
    <w:p>
      <w:pPr>
        <w:pStyle w:val="2"/>
        <w:kinsoku w:val="0"/>
        <w:overflowPunct w:val="0"/>
        <w:spacing w:before="34" w:line="357" w:lineRule="auto"/>
        <w:ind w:right="126" w:firstLine="480"/>
        <w:jc w:val="both"/>
        <w:rPr>
          <w:rFonts w:hint="eastAsia" w:ascii="宋体" w:hAnsi="宋体" w:eastAsia="宋体" w:cs="宋体"/>
          <w:color w:val="FF0000"/>
          <w:highlight w:val="none"/>
        </w:rPr>
      </w:pPr>
      <w:r>
        <w:rPr>
          <w:rFonts w:hint="eastAsia" w:ascii="宋体" w:hAnsi="宋体" w:eastAsia="宋体" w:cs="宋体"/>
          <w:highlight w:val="none"/>
        </w:rPr>
        <w:t>重新招标后供应商仍少于</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规定的家数，或者所有投标被否决的，属于必须审批或核准的工程 建设、货物、服务项目，经原审批或核准部门批准后不再进行招标。</w:t>
      </w:r>
    </w:p>
    <w:p>
      <w:pPr>
        <w:pStyle w:val="4"/>
        <w:rPr>
          <w:rFonts w:hint="eastAsia" w:ascii="宋体" w:hAnsi="宋体" w:eastAsia="宋体" w:cs="宋体"/>
          <w:highlight w:val="none"/>
        </w:rPr>
      </w:pPr>
      <w:bookmarkStart w:id="61" w:name="_Toc9278"/>
      <w:r>
        <w:rPr>
          <w:rFonts w:hint="eastAsia" w:ascii="宋体" w:hAnsi="宋体" w:eastAsia="宋体" w:cs="宋体"/>
          <w:highlight w:val="none"/>
        </w:rPr>
        <w:t>（十）纪律和监督</w:t>
      </w:r>
      <w:bookmarkEnd w:id="61"/>
    </w:p>
    <w:p>
      <w:pPr>
        <w:pStyle w:val="2"/>
        <w:kinsoku w:val="0"/>
        <w:overflowPunct w:val="0"/>
        <w:spacing w:line="357" w:lineRule="auto"/>
        <w:ind w:right="4044" w:firstLine="24"/>
        <w:rPr>
          <w:rFonts w:hint="eastAsia" w:ascii="宋体" w:hAnsi="宋体" w:eastAsia="宋体" w:cs="宋体"/>
          <w:b/>
          <w:bCs/>
          <w:highlight w:val="none"/>
        </w:rPr>
      </w:pPr>
      <w:r>
        <w:rPr>
          <w:rFonts w:hint="eastAsia" w:ascii="宋体" w:hAnsi="宋体" w:eastAsia="宋体" w:cs="宋体"/>
          <w:b/>
          <w:bCs/>
          <w:highlight w:val="none"/>
        </w:rPr>
        <w:t>1．对采购人的纪律要求</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采购人不得泄漏招标投标活动中应当保密的情况和资料，不得与供应商串通损害国家利益、社会公共利益或者他人合法权益。下列行为视为采购人与供应商串通投标：</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(1）采购人在开标前开启磋商响应性文件，并将投标情况告知其它供应商，或者协助供应商撤换磋商响应性文件，更改报价；</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(2）采购人向供应商泄露标底；</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(3）采购人与供应商商定，投标时压低或抬高标价，中标后再给供应商或采购人额外补偿；</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(4）采购人预先内定中标人；</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(5）其它串通投标行为。</w:t>
      </w:r>
    </w:p>
    <w:p>
      <w:pPr>
        <w:pStyle w:val="2"/>
        <w:kinsoku w:val="0"/>
        <w:overflowPunct w:val="0"/>
        <w:spacing w:before="34" w:line="357" w:lineRule="auto"/>
        <w:ind w:left="598" w:right="178" w:hanging="480"/>
        <w:rPr>
          <w:rFonts w:hint="eastAsia" w:ascii="宋体" w:hAnsi="宋体" w:eastAsia="宋体" w:cs="宋体"/>
          <w:b/>
          <w:bCs/>
          <w:spacing w:val="25"/>
          <w:w w:val="99"/>
          <w:highlight w:val="none"/>
        </w:rPr>
      </w:pPr>
      <w:r>
        <w:rPr>
          <w:rFonts w:hint="eastAsia" w:ascii="宋体" w:hAnsi="宋体" w:eastAsia="宋体" w:cs="宋体"/>
          <w:b/>
          <w:bCs/>
          <w:highlight w:val="none"/>
        </w:rPr>
        <w:t>2.对供应商的纪律要求</w:t>
      </w:r>
      <w:r>
        <w:rPr>
          <w:rFonts w:hint="eastAsia" w:ascii="宋体" w:hAnsi="宋体" w:eastAsia="宋体" w:cs="宋体"/>
          <w:b/>
          <w:bCs/>
          <w:spacing w:val="25"/>
          <w:w w:val="99"/>
          <w:highlight w:val="none"/>
        </w:rPr>
        <w:t xml:space="preserve"> </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供应商不得相互串通投标或者与采购人串通投标，不得向采购人或者磋商小组成员行贿谋取中标，不得以他人名义投标或者以其他方式弄虚作假骗取中标；供应商不得以任何方式干扰、影响评标工作；不得诋毁、排挤其他供应商；不得在招标过程中与招标采购单位进行协商谈判；不得拒绝有关部门的监督检查或者向监督检查部门提供虚假情况。</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2.1 下列行为视为以他人名义投标：</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（1）供应商挂靠其他单位；</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（2）供应商从其它单位通过转让或租借的方式获取资格或资质证书；</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（3）由其它单位及法定代表人在自己编制的磋商响应性文件上加盖印章或签字；</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（4）法律法规规定的其它情形。</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2.2 下列行为，视为允许他人以本单位名义承揽工程</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a) 供应商的法定代表人的委托代理人不是供应商本单位人员；</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b) 供应商拟在担任本项目的项目负责人或主要技术人员等不是本单位人员；</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c) 通过出租、出借资质证书或者收取管理费等方式允许他人以本单位名义承接工程；</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d) 投标保证金非投标单位银行基本账户转出，或虽由投标单位银行基本账户转出， 但先由非投标单位人员将投标保证金存入投标单位或有关个人账户，或以其他方式抵押的；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e) 项目资金未实行项目资金专户分账管理或独立核算制度的；财务管理人员（财务主管和出纳）非本单位人员，或项目资金的使用未经项目经理本人签字、审批的；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f) 中标后，实际由他人履行职责且他人非本单位人员的(项目负责人换为非本单位人员，或其他主要技术人员有 2 个及以上换为非本单位人员)；</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g) 法律法规规定的其它情形。上述条件中，供应商本单位人员，必须同时满足以下条件：</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（1）聘任合同必须由供应商单位与之签订，项目负责人的聘任合同投标前已执行合同一年以上；</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（2）与供应商单位有合法的工资关系，且投标前已连续支付工资一年以上；</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（3）供应商单位为其办理社会保险关系，政府人事或社保管理部门出具的有效证明其为本单位人员身份的文件。</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 下列行为均视为供应商串通投标：</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2.3.1 供应商串通投标报价： </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a）供应商之间相互约定抬高或压低投标报价；</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b）供应商之间相互约定，在招标项目中分别以高、中、低价位报价； </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c）供应商之间先进行内部竞价，内定中标人，然后再参加投标； </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d）不同供应商的投标报价或报价组成异常一致的； </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e）供应商之间其它串通投标报价的行为。</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2.3.2 不同供应商磋商响应性文件的编制人或审核人为同一人或同一单位人员的；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2.3.3 不同供应商磋商响应性文件的授权签署人为同一人或同一单位人员的；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2.3.4 不同供应商委托同一人办理投标事宜的；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2.3.5 不同供应商的磋商响应性文件相互混装的；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2.3.6 不同供应商使用同一单位的资金缴纳投标保证金的；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2.3.7 不同供应商的磋商响应性文件载明的项目成员出现相同人员的；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2.3.8 不同供应商的磋商响应性文件内容存在非正常一致的；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2.3.9 不同供应商的服务方案中专门针对本项目的内容基本雷同的；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2.3.10 不同供应商的磋商响应性文件出现磋商小组认为不应当雷同的情况的；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2.3.11 法律法规规章规定的其他围标串标行为。</w:t>
      </w:r>
    </w:p>
    <w:p>
      <w:pPr>
        <w:pStyle w:val="2"/>
        <w:kinsoku w:val="0"/>
        <w:overflowPunct w:val="0"/>
        <w:spacing w:before="26" w:line="355" w:lineRule="auto"/>
        <w:ind w:right="50"/>
        <w:rPr>
          <w:rFonts w:hint="eastAsia" w:ascii="宋体" w:hAnsi="宋体" w:eastAsia="宋体" w:cs="宋体"/>
          <w:highlight w:val="none"/>
        </w:rPr>
      </w:pPr>
      <w:r>
        <w:rPr>
          <w:rFonts w:hint="eastAsia" w:ascii="宋体" w:hAnsi="宋体" w:eastAsia="宋体" w:cs="宋体"/>
          <w:b/>
          <w:bCs/>
          <w:highlight w:val="none"/>
        </w:rPr>
        <w:t>3.对磋商小组成员的纪律要求</w:t>
      </w:r>
      <w:r>
        <w:rPr>
          <w:rFonts w:hint="eastAsia" w:ascii="宋体" w:hAnsi="宋体" w:eastAsia="宋体" w:cs="宋体"/>
          <w:highlight w:val="none"/>
        </w:rPr>
        <w:t xml:space="preserve"> </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磋商小组成员不得收受他人的财物或者其他好处，不得向他人透漏对磋商响应性文件的评审和比较、中标候选人的推荐情况以及评标有关的其他情况。在评标活动中，磋商小组成员不得擅离职守，</w:t>
      </w:r>
      <w:bookmarkStart w:id="62" w:name="bookmark14"/>
      <w:bookmarkEnd w:id="62"/>
      <w:bookmarkStart w:id="63" w:name="（十三）废标"/>
      <w:bookmarkEnd w:id="63"/>
      <w:bookmarkStart w:id="64" w:name="bookmark13"/>
      <w:bookmarkEnd w:id="64"/>
      <w:bookmarkStart w:id="65" w:name="（十二）无效投标"/>
      <w:bookmarkEnd w:id="65"/>
      <w:r>
        <w:rPr>
          <w:rFonts w:hint="eastAsia" w:ascii="宋体" w:hAnsi="宋体" w:eastAsia="宋体" w:cs="宋体"/>
          <w:highlight w:val="none"/>
        </w:rPr>
        <w:t>影响评标程序正常进行，不得使用“评标办法”没有规定的 评审因素和标准进行评标。</w:t>
      </w:r>
    </w:p>
    <w:p>
      <w:pPr>
        <w:pStyle w:val="2"/>
        <w:kinsoku w:val="0"/>
        <w:overflowPunct w:val="0"/>
        <w:spacing w:before="38" w:line="357" w:lineRule="auto"/>
        <w:ind w:left="598" w:right="50" w:hanging="480"/>
        <w:rPr>
          <w:rFonts w:hint="eastAsia" w:ascii="宋体" w:hAnsi="宋体" w:eastAsia="宋体" w:cs="宋体"/>
          <w:b/>
          <w:bCs/>
          <w:spacing w:val="26"/>
          <w:w w:val="99"/>
          <w:highlight w:val="none"/>
        </w:rPr>
      </w:pPr>
      <w:r>
        <w:rPr>
          <w:rFonts w:hint="eastAsia" w:ascii="宋体" w:hAnsi="宋体" w:eastAsia="宋体" w:cs="宋体"/>
          <w:b/>
          <w:bCs/>
          <w:highlight w:val="none"/>
        </w:rPr>
        <w:t>4.对与评标活动有关的工作人员的纪律要求</w:t>
      </w:r>
      <w:r>
        <w:rPr>
          <w:rFonts w:hint="eastAsia" w:ascii="宋体" w:hAnsi="宋体" w:eastAsia="宋体" w:cs="宋体"/>
          <w:b/>
          <w:bCs/>
          <w:spacing w:val="26"/>
          <w:w w:val="99"/>
          <w:highlight w:val="none"/>
        </w:rPr>
        <w:t xml:space="preserve"> </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与评标活动有关的工作人员不得收受他人的财物或者其他好处，不得向他人透漏对标文件的评审和比较、中标候选人的推荐情况以及评标有关的其他情况。在评标活动中，与评标活动有关的工作人员不得擅离职守，影响评标程序正常进行。</w:t>
      </w:r>
    </w:p>
    <w:p>
      <w:pPr>
        <w:pStyle w:val="4"/>
        <w:rPr>
          <w:rFonts w:hint="eastAsia" w:ascii="宋体" w:hAnsi="宋体" w:eastAsia="宋体" w:cs="宋体"/>
          <w:highlight w:val="none"/>
        </w:rPr>
      </w:pPr>
      <w:bookmarkStart w:id="66" w:name="_Toc20838"/>
      <w:r>
        <w:rPr>
          <w:rFonts w:hint="eastAsia" w:ascii="宋体" w:hAnsi="宋体" w:eastAsia="宋体" w:cs="宋体"/>
          <w:highlight w:val="none"/>
        </w:rPr>
        <w:t>（十</w:t>
      </w:r>
      <w:r>
        <w:rPr>
          <w:rFonts w:hint="eastAsia" w:ascii="宋体" w:hAnsi="宋体" w:eastAsia="宋体" w:cs="宋体"/>
          <w:highlight w:val="none"/>
          <w:lang w:eastAsia="zh-CN"/>
        </w:rPr>
        <w:t>一</w:t>
      </w:r>
      <w:r>
        <w:rPr>
          <w:rFonts w:hint="eastAsia" w:ascii="宋体" w:hAnsi="宋体" w:eastAsia="宋体" w:cs="宋体"/>
          <w:highlight w:val="none"/>
        </w:rPr>
        <w:t>）无效投标</w:t>
      </w:r>
      <w:bookmarkEnd w:id="66"/>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遇到下列情况之一时, 投标人的投标将被视为无效投标: </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1)未按照招标文件的规定提交投标保证金的；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2)投标文件未按招标文件要求签署、盖章的；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3)不具备招标文件中规定的资格要求的；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 报价超过招标文件中规定的预算金额或者最高限价的；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 投标文件含有采购人不能接受的附加条件的；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6)法律、法规和招标文件规定的其他无效情形；</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7)有下列情形之一的，视为投标人串通投标，其投标无效： </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A、不同投标人的投标文件由同一单位或者个人编制； </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B、不同投标人委托同一单位或者个人办理投标事宜； </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C、不同投标人的投标文件载明的项目管理成员或者联系人员为同一人； </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D、不同投标人的投标文件异常一致或者投标报价呈规律性差异； </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E、不同投标人的投标文件相互混装； </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F、不同投标人的投标保证金从同一单位或者个人的账户转出。</w:t>
      </w:r>
    </w:p>
    <w:p>
      <w:pPr>
        <w:pStyle w:val="4"/>
        <w:rPr>
          <w:rFonts w:hint="eastAsia" w:ascii="宋体" w:hAnsi="宋体" w:eastAsia="宋体" w:cs="宋体"/>
          <w:highlight w:val="none"/>
        </w:rPr>
      </w:pPr>
      <w:bookmarkStart w:id="67" w:name="_Toc31352"/>
      <w:r>
        <w:rPr>
          <w:rFonts w:hint="eastAsia" w:ascii="宋体" w:hAnsi="宋体" w:eastAsia="宋体" w:cs="宋体"/>
          <w:highlight w:val="none"/>
        </w:rPr>
        <w:t>（十</w:t>
      </w:r>
      <w:r>
        <w:rPr>
          <w:rFonts w:hint="eastAsia" w:ascii="宋体" w:hAnsi="宋体" w:eastAsia="宋体" w:cs="宋体"/>
          <w:highlight w:val="none"/>
          <w:lang w:eastAsia="zh-CN"/>
        </w:rPr>
        <w:t>二</w:t>
      </w:r>
      <w:r>
        <w:rPr>
          <w:rFonts w:hint="eastAsia" w:ascii="宋体" w:hAnsi="宋体" w:eastAsia="宋体" w:cs="宋体"/>
          <w:highlight w:val="none"/>
        </w:rPr>
        <w:t>）废标</w:t>
      </w:r>
      <w:bookmarkEnd w:id="67"/>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招标采购中，出现下列情形之一的，予以废标：</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（1）符合专业条件的投标单位或者对竞争性磋商文件作实质响应的投标单位不足</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（2）出现影响采购公正的违法、违规行为的；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（3）供应商的报价均超过了采购预算，采购人不能支付的；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（4）因重大变故，采购任务取消的。废标后，招标代理机构应在发布公告相同的网站上公告，并公告废标的详细理由。</w:t>
      </w:r>
    </w:p>
    <w:p>
      <w:pPr>
        <w:pStyle w:val="4"/>
        <w:rPr>
          <w:rFonts w:hint="eastAsia" w:ascii="宋体" w:hAnsi="宋体" w:eastAsia="宋体" w:cs="宋体"/>
          <w:highlight w:val="none"/>
        </w:rPr>
      </w:pPr>
      <w:bookmarkStart w:id="68" w:name="_Toc12241"/>
      <w:r>
        <w:rPr>
          <w:rFonts w:hint="eastAsia" w:ascii="宋体" w:hAnsi="宋体" w:eastAsia="宋体" w:cs="宋体"/>
          <w:highlight w:val="none"/>
        </w:rPr>
        <w:t>（十</w:t>
      </w:r>
      <w:r>
        <w:rPr>
          <w:rFonts w:hint="eastAsia" w:ascii="宋体" w:hAnsi="宋体" w:eastAsia="宋体" w:cs="宋体"/>
          <w:highlight w:val="none"/>
          <w:lang w:eastAsia="zh-CN"/>
        </w:rPr>
        <w:t>三</w:t>
      </w:r>
      <w:r>
        <w:rPr>
          <w:rFonts w:hint="eastAsia" w:ascii="宋体" w:hAnsi="宋体" w:eastAsia="宋体" w:cs="宋体"/>
          <w:highlight w:val="none"/>
        </w:rPr>
        <w:t>）质疑和投诉</w:t>
      </w:r>
      <w:bookmarkEnd w:id="68"/>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1.供应商对政府采购活动事项有疑问的，可以向采购人提出询问，采购人应当及时作出答复，但答复的内容不得涉及商业秘密。</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2.供应商认为竞争性磋商文件、采购过程和中标、中标结果使自己的权益受到损害的，可以在知道或者应知其权益受到损害之日起七个工作日内，以规范的格式，详实的证明材料以书面形式向采购人提出质疑。</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3.采购人应当在收到供应商的书面质疑后七个工作日内作出答复，并以书面形式通知质疑供应商和其他有关供应商，但答复的内容不得涉及商业秘密。</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4.采购人委托采购代理机构采购的，供应商可以向采购代理机构提出询问或者质疑，采购代理机构应当依照《中华人民共和国政府采购法》第五十一条、第五十三条的 规定就采购人委托授权范围内的事项作出答复。</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5.质疑供应商对采购人、采购代理机构的答复不满意或者采购人、采购代理机构未在规定的时间内作出答复的，可以在答复期满后十五个工作日内向同级政府采购监督管理部门投诉。</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6.政府采购监督管理部门应当在收到投诉后三十个工作日内，对投诉事项作出处理决定，并以书面形式通知投诉人和与投诉事项有关的当事人。</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7.政府采购监督管理部门在处理投诉事项期间，可以视具体情况书面通知采购人暂停采购活动，但暂停时间最长不得超过三十日。</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8.投诉人对政府采购监督管理部门的投诉处理决定不服或者政府采购监督管理部门逾期未作处理的，可以依法申请行政复议或者向人民法院提起行政诉讼。</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9.质疑、投诉书应当包括下列主要内容：</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（1）投诉人和被投诉人的名称、地址、电话等；</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（2）具体的投诉事项及事实依据；</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（3）提供有关质疑事项真实可靠的书面证明材料；</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（4）提起投诉的日期。 质疑、投诉书应当署名。质疑、投诉人为自然人的，应当由本人签字；质疑、投诉人为法人或者其他组织的，应当由法定代表人签字并加盖公章；质疑、投诉人为委托授 权人的应该出具针对本质疑、投诉事项的法人委托授权书。</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10.投诉人有下列情形之一的，属于虚假、恶意投诉，财政部门应当驳回投诉，将其列入不良行为记录名单，并依法予以处罚：</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（1）1 年内 3 次以上投诉均查无实据的；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（2）捏造事实或者提供虚假投诉材料的。 </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11.澄清或质疑不予受理的情况有下列情形之一的，属于无效质疑，被质疑人不予受理，由此产生的影响由供应商自行承担：</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（1）不是参与该政府采购项目活动供应商的；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（2）被质疑人为采购人或政府采购代理机构之外的；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（3）所有质疑事项超过质疑有效期的；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（4）以具有法律效力的文书送达之外方式提出的；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（5）未按上述规定递交澄清或质疑函的；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（6）其它不符合受理条件的情形。</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 12.腐败和欺诈行为</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（1）定义 “腐败行为”系指提供、给予、接受或索取任何有价值的物品来影响招标代理机构和/或采购人在采购过程或合同实施过程中的行为。 “欺诈行为”系指为了影响采购过程或合同实施过程而谎报事实，损害招标代理机构和采购人的利益，包括供应商之间串通投标（递交《磋商响应性文件》之前和之后）， 人为地使投标丧失竞争性，剥夺采购人从自由公开竞争所能获得的权益。</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（2）如果招标代理机构和采购人认为供应商在本项目的竞争中有腐败或欺诈行为， 其投标将被拒绝。</w:t>
      </w:r>
    </w:p>
    <w:p>
      <w:pPr>
        <w:pStyle w:val="3"/>
        <w:outlineLvl w:val="0"/>
        <w:rPr>
          <w:rFonts w:hint="eastAsia" w:ascii="宋体" w:hAnsi="宋体" w:eastAsia="宋体" w:cs="宋体"/>
          <w:spacing w:val="1"/>
          <w:highlight w:val="none"/>
        </w:rPr>
      </w:pPr>
      <w:r>
        <w:rPr>
          <w:rFonts w:hint="eastAsia" w:ascii="宋体" w:hAnsi="宋体" w:eastAsia="宋体" w:cs="宋体"/>
          <w:highlight w:val="none"/>
        </w:rPr>
        <w:br w:type="page"/>
      </w:r>
      <w:bookmarkStart w:id="69" w:name="_Toc30600"/>
      <w:r>
        <w:rPr>
          <w:rFonts w:hint="eastAsia" w:ascii="宋体" w:hAnsi="宋体" w:eastAsia="宋体" w:cs="宋体"/>
          <w:spacing w:val="1"/>
          <w:highlight w:val="none"/>
        </w:rPr>
        <w:t>第三章</w:t>
      </w:r>
      <w:r>
        <w:rPr>
          <w:rFonts w:hint="eastAsia" w:ascii="宋体" w:hAnsi="宋体" w:eastAsia="宋体" w:cs="宋体"/>
          <w:spacing w:val="1"/>
          <w:highlight w:val="none"/>
          <w:lang w:val="en-US" w:eastAsia="zh-CN"/>
        </w:rPr>
        <w:t xml:space="preserve">  </w:t>
      </w:r>
      <w:r>
        <w:rPr>
          <w:rFonts w:hint="eastAsia" w:ascii="宋体" w:hAnsi="宋体" w:eastAsia="宋体" w:cs="宋体"/>
          <w:spacing w:val="1"/>
          <w:highlight w:val="none"/>
        </w:rPr>
        <w:t>评标办法</w:t>
      </w:r>
      <w:bookmarkEnd w:id="69"/>
    </w:p>
    <w:p>
      <w:pPr>
        <w:jc w:val="both"/>
        <w:outlineLvl w:val="9"/>
        <w:rPr>
          <w:rFonts w:hint="eastAsia" w:ascii="宋体" w:hAnsi="宋体" w:eastAsia="宋体" w:cs="宋体"/>
          <w:b/>
          <w:bCs/>
          <w:highlight w:val="none"/>
        </w:rPr>
      </w:pPr>
      <w:r>
        <w:rPr>
          <w:rFonts w:hint="eastAsia" w:ascii="宋体" w:hAnsi="宋体" w:eastAsia="宋体" w:cs="宋体"/>
          <w:b/>
          <w:bCs/>
          <w:highlight w:val="none"/>
        </w:rPr>
        <w:t>一、总则</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根据《中华人民共和国政府采购法》、《中华人民共和国政府采购法实施条例》、《政府购买服务管理办法（暂行）》、《政府采购竞争性磋商采购方式管理暂行办法》等法律规章，结合采购项目特点制定本评标办法。</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2.评标工作由招标代理机构负责组织，具体评标事务由招标代理机构依法组建的磋商小组负责。磋商小组成员人数不少于 3 人，为单数，其中技术、经济等方面的专家不少于成员总数的三分之二。磋商小组由有关技术、经济等方面的专家组成。</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3.评标工作应遵循公平、公正、科学及择优的原则，并以相同的评标程序和标准对待所有的供应商。</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4.磋商小组按照竞争性磋商文件规定的评标方法和标准进行评标，并独立履行下列职责：</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（1）审查磋商响应性文件是否符合竞争性磋商文件要求，并做出评价；</w:t>
      </w:r>
    </w:p>
    <w:p>
      <w:pPr>
        <w:pStyle w:val="2"/>
        <w:numPr>
          <w:ilvl w:val="0"/>
          <w:numId w:val="0"/>
        </w:numPr>
        <w:kinsoku w:val="0"/>
        <w:overflowPunct w:val="0"/>
        <w:spacing w:before="34" w:line="357" w:lineRule="auto"/>
        <w:ind w:left="598" w:leftChars="0" w:right="126" w:rightChars="0"/>
        <w:jc w:val="both"/>
        <w:rPr>
          <w:rFonts w:hint="eastAsia" w:ascii="宋体" w:hAnsi="宋体" w:eastAsia="宋体" w:cs="宋体"/>
          <w:highlight w:val="none"/>
        </w:rPr>
      </w:pPr>
      <w:r>
        <w:rPr>
          <w:rFonts w:hint="eastAsia" w:ascii="宋体" w:hAnsi="宋体" w:eastAsia="宋体" w:cs="宋体"/>
          <w:highlight w:val="none"/>
        </w:rPr>
        <w:t>★（2）要求投标供应商对磋商响应性文件有关事项做出解释或者澄清；</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（3）推荐中标候选供应商名单，或者受采购人委托按照事先确定的办法直接确定中标单位；</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（4）向招标采购单位或者有关部门报告非法干预评标工作的行为。</w:t>
      </w:r>
    </w:p>
    <w:p>
      <w:pPr>
        <w:pStyle w:val="2"/>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二、评标、定标组织</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1.由磋商小组组织进行评标。</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2.磋商小组由业主代表与专家库随机抽取的专家共 3 人组成，磋商小组</w:t>
      </w:r>
      <w:r>
        <w:rPr>
          <w:rFonts w:hint="eastAsia" w:ascii="宋体" w:hAnsi="宋体" w:eastAsia="宋体" w:cs="宋体"/>
          <w:highlight w:val="none"/>
          <w:lang w:eastAsia="zh-CN"/>
        </w:rPr>
        <w:t>组长</w:t>
      </w:r>
      <w:r>
        <w:rPr>
          <w:rFonts w:hint="eastAsia" w:ascii="宋体" w:hAnsi="宋体" w:eastAsia="宋体" w:cs="宋体"/>
          <w:highlight w:val="none"/>
        </w:rPr>
        <w:t>由磋商小组成员共同推举产生，磋商小组</w:t>
      </w:r>
      <w:r>
        <w:rPr>
          <w:rFonts w:hint="eastAsia" w:ascii="宋体" w:hAnsi="宋体" w:eastAsia="宋体" w:cs="宋体"/>
          <w:highlight w:val="none"/>
          <w:lang w:eastAsia="zh-CN"/>
        </w:rPr>
        <w:t>组长</w:t>
      </w:r>
      <w:r>
        <w:rPr>
          <w:rFonts w:hint="eastAsia" w:ascii="宋体" w:hAnsi="宋体" w:eastAsia="宋体" w:cs="宋体"/>
          <w:highlight w:val="none"/>
        </w:rPr>
        <w:t>主持整个评标工作，与磋商小组的其他成员有同等的表决权。</w:t>
      </w:r>
    </w:p>
    <w:p>
      <w:pPr>
        <w:pStyle w:val="2"/>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三、评标原则</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1.磋商小组按照公平、公正、科学、择优的原则对待所有的供应商；</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2.磋商小组成员应当客观、公正地履行职责，遵守职业道德，对所提出的评审意见承担个人责任；磋商小组成员实行主动回避制度；磋商小组成员及工作人员对整个评标活动保密。</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3.磋商小组审查磋商响应性文件是否符合竞争性磋商文件的所有条款、条件和规定。</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4.评标只对实质上响应竞争性磋商文件要求的有效磋商响应性文件进行评审，响应的依据是磋商响应性文件本身的内容，而不寻求其它证据。 </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5.评标将依据竞争性磋商文件确定的标准和方法，结合磋商响应性文件及其补充文件进行，不得忽视磋商响应性文件的实质性内容进行评标。 </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6.评标活动依法进行，任何单位和个人不得非法干预、阻挠采购人采购代理机构的正常工作或者影响评标过程和结果。</w:t>
      </w:r>
    </w:p>
    <w:p>
      <w:pPr>
        <w:pStyle w:val="2"/>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四、评标方法</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本次采购项目定标采用“综合评分法”。“综合评分法”是指在最大限度地满足竞争性磋商文件实质性要求前提下，以投标报价、技术响应程度、售后服务、商务等综合实力多个因素作为评审指标，全面比较各磋商响应性文件质量、价格、供应商的售后服务、资信情况等因素客观地进行评审，使评审的结果能准确地反映供应商的实际情况，并将各指标量化计分，按总得分排列顺序，确定中标人的方法。总得分最高的供应商作为拟中标单位。</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2.采购人、招标代理机构不向供应商承诺最低价中标，不解释中标或落标原因，不退还磋商响应性文件。</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3.供应商申报的关于资质、业绩等文件和材料必须真实准确，不得弄虚作假。</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4.供应商不得以任何形式搜集评标机密，不得以任何形式干扰评标或授标工作。</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5.供应商在磋商响应性文件的评审、澄清、比较以及授予合同过程中对评标人员施加影响的任何行为，都将导致被取消投标资格。</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6.供应商应具备较强的技术力量及综合实力，在众多项目中业绩、信誉良好，并能确保本次招标采购的长远售后服务。</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7.磋商小组成员对需要共同认定的事项存在争议的，应当按照少数服从多数的原则作出结论。持不同意见的磋商小组成员应当在评标报告上签署不同意见及理由，否则视为同意评标报告。</w:t>
      </w:r>
    </w:p>
    <w:p>
      <w:pPr>
        <w:pStyle w:val="2"/>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 xml:space="preserve">五、评标过程的保密性 </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1.开标后，至到向中标人授予合同时止，凡与审查、澄清、评价和比较投标的有关资料以及授标意见等，均不得向供应商及与评标无关的其他人透露。 </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2.在评标过程中，如果供应商试图在磋商响应性文件审查、澄清、比较及授予合同方面向采购人施加任何影响，其投标将被拒绝。 </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3.评标人员严格遵守国家的有关保密法律、法规的规定，严格自律，同时接受有关部门的监督、审查。</w:t>
      </w:r>
    </w:p>
    <w:p>
      <w:pPr>
        <w:pStyle w:val="2"/>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六、评标过程中磋商响应性文件的澄清</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为了公平、公正的对《磋商响应性文件》进行审查、评估和比较，磋商小组可以向投标供应商质疑，请供应商对有关情况作必要说明。供应商有责任按照磋商小组提出的质疑，指派专人进行答疑。重要问题供应商应以书面形式解答。但是澄清或者说明不得超过磋商响应性文件的范围或修改磋商响应性文件的实质性内容，解答文件作为《磋商响应性文件》的组成部分。《竞争性磋商文件》、《磋商响应性文件》及其澄清文件等，均作为签订合同的依据。若供应商对磋商小组提出的质疑不予答复，其不利后果由供应商自行承担。</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若磋商小组发现供应商的投标报价或主要单项货物报价明显低于同标段其它供应商投标报价或者在设有参考标底时明显低于参考标底价，使得其投标报价可能低于其个别成本的，应该要求该供应商作出书面说明并提供相关证明材料。如果供应商不能提供材料证明该项报价有效，磋商小组应当认定低于成本价竞标，否决其投标。如果供应商提供了证明材料，且磋商小组无法证明其无效的，磋商小组应当接受该项投标报价。</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磋商小组认为投标人的报价明显低于其他通过符合性审查投标人的报价，有可能影响产品质量或者不能诚信履约的，磋商小组有权要求其在评标现场合理的时间内提供书面说明，必要时提交相关证明材料；投标人如不能证明其报价合理性的，磋商小组应当将其作为无效投标处理。</w:t>
      </w:r>
    </w:p>
    <w:p>
      <w:pPr>
        <w:pStyle w:val="2"/>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 xml:space="preserve">七、会议组成成员的职责 </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1.采购人：在监督部门监督下，根据《中华人民共和国政府采购法》、《政府购买服务管理办法（暂行）》、《政府采购竞争性磋商采购方式管理暂行办法》规定构成磋商小组成员之一。</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招标代理机构：根据《中华人民共和国政府采购法》、《中华人民共和国政府采购法实施条例》、《政府购买服务管理办法（暂行）》等文件的规定，由代理机构工作人员组成，负责《竞争性磋商文件》的制作，对外联系，开标、评标的会务工作,整理并向磋商小组成员分发招标资料和《磋商响应性文件》；做好开标和评标会议记录；对评标过程中的原始文件进行归档；随时印发需要的文件资料,对各种咨询函件及档案文件的统收统发；负责对磋商小组推荐的拟中标结果进行审核。</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3.监督部门：根据国家有关法律、法规规定由规定部门对整个开标评标过程进行监督, 其他任何单位和个人不得参与或非法干预正常的评审工作和评审结果，保证评标的公正性,防止违法行为的产生。</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4.审核小组</w:t>
      </w:r>
      <w:r>
        <w:rPr>
          <w:rFonts w:hint="eastAsia" w:ascii="宋体" w:hAnsi="宋体" w:eastAsia="宋体" w:cs="宋体"/>
          <w:spacing w:val="-27"/>
          <w:highlight w:val="none"/>
        </w:rPr>
        <w:t>：</w:t>
      </w:r>
      <w:r>
        <w:rPr>
          <w:rFonts w:hint="eastAsia" w:ascii="宋体" w:hAnsi="宋体" w:eastAsia="宋体" w:cs="宋体"/>
          <w:highlight w:val="none"/>
        </w:rPr>
        <w:t>由监督部门和代理机构项目负责人共同组</w:t>
      </w:r>
      <w:r>
        <w:rPr>
          <w:rFonts w:hint="eastAsia" w:ascii="宋体" w:hAnsi="宋体" w:eastAsia="宋体" w:cs="宋体"/>
          <w:spacing w:val="2"/>
          <w:highlight w:val="none"/>
        </w:rPr>
        <w:t>成</w:t>
      </w:r>
      <w:r>
        <w:rPr>
          <w:rFonts w:hint="eastAsia" w:ascii="宋体" w:hAnsi="宋体" w:eastAsia="宋体" w:cs="宋体"/>
          <w:spacing w:val="-27"/>
          <w:highlight w:val="none"/>
        </w:rPr>
        <w:t>，</w:t>
      </w:r>
      <w:r>
        <w:rPr>
          <w:rFonts w:hint="eastAsia" w:ascii="宋体" w:hAnsi="宋体" w:eastAsia="宋体" w:cs="宋体"/>
          <w:highlight w:val="none"/>
        </w:rPr>
        <w:t>负责对磋商小组填写的商务打分表和技术打分表最终统计结果进行审核，审核无误后由磋商小组签字确认。</w:t>
      </w:r>
    </w:p>
    <w:p>
      <w:pPr>
        <w:pStyle w:val="2"/>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八、定标方法：</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1.磋商小组以开标、评标情况为基本依据，对符合条件的《磋商响应性文件》及供应商进行综合评审打分，总分值设定为 100 分。</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2.投标报价得分由磋商小组按照价格分计算公式计算分值。</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3.商务部分由磋商小组共同评定唯一的得分。</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4.技术部分由磋商小组专家分别打分后，取平均分作为技术分最后得分。</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5.供应商综合评分最终总分值为商务部分、技术部分和投标报价三部分得分总和。</w:t>
      </w:r>
    </w:p>
    <w:p>
      <w:pPr>
        <w:pStyle w:val="2"/>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九、评标程序及标准（综合评分法）</w:t>
      </w:r>
    </w:p>
    <w:p>
      <w:pPr>
        <w:pStyle w:val="18"/>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96" w:firstLineChars="200"/>
        <w:textAlignment w:val="auto"/>
        <w:outlineLvl w:val="9"/>
        <w:rPr>
          <w:rFonts w:hint="eastAsia"/>
          <w:sz w:val="24"/>
          <w:szCs w:val="24"/>
          <w:highlight w:val="none"/>
        </w:rPr>
      </w:pPr>
      <w:r>
        <w:rPr>
          <w:rFonts w:hint="eastAsia"/>
          <w:sz w:val="24"/>
          <w:szCs w:val="24"/>
          <w:highlight w:val="none"/>
        </w:rPr>
        <w:t>按照竞争性磋商响应文件初审、澄清有关问题、分别磋商、二次报价、比较与评审、推荐成交候选</w:t>
      </w:r>
      <w:r>
        <w:rPr>
          <w:rFonts w:hint="eastAsia"/>
          <w:sz w:val="24"/>
          <w:szCs w:val="24"/>
          <w:highlight w:val="none"/>
          <w:lang w:eastAsia="zh-CN"/>
        </w:rPr>
        <w:t>人</w:t>
      </w:r>
      <w:r>
        <w:rPr>
          <w:rFonts w:hint="eastAsia"/>
          <w:sz w:val="24"/>
          <w:szCs w:val="24"/>
          <w:highlight w:val="none"/>
        </w:rPr>
        <w:t>名单。在上一步评审中被认定为无效磋商者，不进入下一步的评审。</w:t>
      </w:r>
    </w:p>
    <w:p>
      <w:pPr>
        <w:rPr>
          <w:rFonts w:hint="eastAsia"/>
          <w:highlight w:val="none"/>
        </w:rPr>
      </w:pPr>
    </w:p>
    <w:p>
      <w:pPr>
        <w:pStyle w:val="2"/>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1.初步评审（资格后审）：</w:t>
      </w:r>
    </w:p>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right="0" w:rightChars="0" w:firstLine="413" w:firstLineChars="196"/>
        <w:jc w:val="both"/>
        <w:textAlignment w:val="auto"/>
        <w:outlineLvl w:val="9"/>
        <w:rPr>
          <w:rFonts w:hint="eastAsia" w:ascii="宋体" w:hAnsi="宋体" w:eastAsia="宋体" w:cs="宋体"/>
          <w:color w:val="000000"/>
          <w:kern w:val="0"/>
          <w:sz w:val="24"/>
          <w:szCs w:val="24"/>
          <w:highlight w:val="none"/>
          <w:lang w:eastAsia="zh-CN"/>
        </w:rPr>
      </w:pPr>
      <w:r>
        <w:rPr>
          <w:rFonts w:hint="eastAsia" w:ascii="宋体" w:hAnsi="宋体" w:eastAsia="宋体" w:cs="宋体"/>
          <w:b/>
          <w:bCs/>
          <w:highlight w:val="none"/>
        </w:rPr>
        <w:t>1.1 资格性审查：</w:t>
      </w:r>
      <w:r>
        <w:rPr>
          <w:rFonts w:hint="eastAsia" w:ascii="宋体" w:hAnsi="宋体" w:cs="宋体"/>
          <w:color w:val="000000"/>
          <w:sz w:val="24"/>
          <w:szCs w:val="24"/>
          <w:highlight w:val="none"/>
          <w:lang w:eastAsia="zh-CN"/>
        </w:rPr>
        <w:t>采购人代表或采购代理</w:t>
      </w:r>
      <w:r>
        <w:rPr>
          <w:rFonts w:hint="eastAsia" w:ascii="宋体" w:hAnsi="宋体" w:eastAsia="宋体" w:cs="宋体"/>
          <w:color w:val="000000"/>
          <w:sz w:val="24"/>
          <w:szCs w:val="24"/>
          <w:highlight w:val="none"/>
        </w:rPr>
        <w:t>将依据</w:t>
      </w:r>
      <w:r>
        <w:rPr>
          <w:rFonts w:hint="eastAsia" w:ascii="宋体" w:hAnsi="宋体" w:eastAsia="宋体" w:cs="宋体"/>
          <w:color w:val="000000"/>
          <w:sz w:val="24"/>
          <w:szCs w:val="24"/>
          <w:highlight w:val="none"/>
          <w:lang w:eastAsia="zh-CN"/>
        </w:rPr>
        <w:t>磋商响应</w:t>
      </w:r>
      <w:r>
        <w:rPr>
          <w:rFonts w:hint="eastAsia" w:ascii="宋体" w:hAnsi="宋体" w:eastAsia="宋体" w:cs="宋体"/>
          <w:color w:val="000000"/>
          <w:sz w:val="24"/>
          <w:szCs w:val="24"/>
          <w:highlight w:val="none"/>
        </w:rPr>
        <w:t>文件，按照</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文件第二章</w:t>
      </w:r>
      <w:r>
        <w:rPr>
          <w:rFonts w:hint="eastAsia" w:ascii="宋体" w:hAnsi="宋体" w:eastAsia="宋体" w:cs="宋体"/>
          <w:color w:val="000000"/>
          <w:sz w:val="24"/>
          <w:szCs w:val="24"/>
          <w:highlight w:val="none"/>
          <w:lang w:eastAsia="zh-CN"/>
        </w:rPr>
        <w:t>“供应商须知</w:t>
      </w:r>
      <w:r>
        <w:rPr>
          <w:rFonts w:hint="eastAsia" w:ascii="宋体" w:hAnsi="宋体" w:cs="宋体"/>
          <w:color w:val="000000"/>
          <w:sz w:val="24"/>
          <w:szCs w:val="24"/>
          <w:highlight w:val="none"/>
          <w:lang w:eastAsia="zh-CN"/>
        </w:rPr>
        <w:t>前附表</w:t>
      </w:r>
      <w:r>
        <w:rPr>
          <w:rFonts w:hint="eastAsia" w:ascii="宋体" w:hAnsi="宋体" w:eastAsia="宋体" w:cs="宋体"/>
          <w:color w:val="000000"/>
          <w:sz w:val="24"/>
          <w:szCs w:val="24"/>
          <w:highlight w:val="none"/>
          <w:lang w:eastAsia="zh-CN"/>
        </w:rPr>
        <w:t>”第</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rPr>
        <w:t>条所述</w:t>
      </w:r>
      <w:r>
        <w:rPr>
          <w:rFonts w:hint="eastAsia" w:ascii="宋体" w:hAnsi="宋体" w:eastAsia="宋体" w:cs="宋体"/>
          <w:color w:val="000000"/>
          <w:sz w:val="24"/>
          <w:szCs w:val="24"/>
          <w:highlight w:val="none"/>
          <w:lang w:eastAsia="zh-CN"/>
        </w:rPr>
        <w:t>资格要求进行资格审查，</w:t>
      </w:r>
      <w:r>
        <w:rPr>
          <w:rFonts w:hint="eastAsia" w:ascii="宋体" w:hAnsi="宋体" w:eastAsia="宋体" w:cs="宋体"/>
          <w:color w:val="000000"/>
          <w:sz w:val="24"/>
          <w:szCs w:val="24"/>
          <w:highlight w:val="none"/>
        </w:rPr>
        <w:t>有一项因素不符合审查标准的，</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不能通过</w:t>
      </w:r>
      <w:r>
        <w:rPr>
          <w:rFonts w:hint="eastAsia" w:ascii="宋体" w:hAnsi="宋体" w:eastAsia="宋体" w:cs="宋体"/>
          <w:color w:val="000000"/>
          <w:sz w:val="24"/>
          <w:szCs w:val="24"/>
          <w:highlight w:val="none"/>
          <w:lang w:eastAsia="zh-CN"/>
        </w:rPr>
        <w:t>资格审查，其磋商无效</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eastAsia="zh-CN"/>
        </w:rPr>
        <w:t>有关资格证明材料的证书、证件原件备查。</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资格审查主要审查以下方面的内容（包括但不限于以下内容）：</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1</w:t>
      </w:r>
      <w:r>
        <w:rPr>
          <w:rFonts w:hint="eastAsia" w:asciiTheme="minorEastAsia" w:hAnsiTheme="minorEastAsia" w:eastAsiaTheme="minorEastAsia" w:cstheme="minorEastAsia"/>
          <w:b/>
          <w:bCs/>
          <w:color w:val="auto"/>
          <w:kern w:val="0"/>
          <w:sz w:val="24"/>
          <w:szCs w:val="24"/>
          <w:highlight w:val="none"/>
          <w:lang w:val="en-US" w:eastAsia="zh-CN"/>
        </w:rPr>
        <w:t>、</w:t>
      </w:r>
      <w:r>
        <w:rPr>
          <w:rFonts w:hint="eastAsia" w:ascii="宋体" w:hAnsi="宋体"/>
          <w:b/>
          <w:bCs/>
          <w:sz w:val="24"/>
          <w:szCs w:val="24"/>
          <w:highlight w:val="none"/>
        </w:rPr>
        <w:t>法人授权委托书和被授权人有效身份证（法人直接参加的需出示法人身份</w:t>
      </w:r>
      <w:r>
        <w:rPr>
          <w:rFonts w:hint="eastAsia" w:ascii="宋体" w:hAnsi="宋体"/>
          <w:b/>
          <w:bCs/>
          <w:sz w:val="24"/>
          <w:szCs w:val="24"/>
          <w:highlight w:val="none"/>
          <w:lang w:eastAsia="zh-CN"/>
        </w:rPr>
        <w:t>证明及身份</w:t>
      </w:r>
      <w:r>
        <w:rPr>
          <w:rFonts w:hint="eastAsia" w:ascii="宋体" w:hAnsi="宋体"/>
          <w:b/>
          <w:bCs/>
          <w:sz w:val="24"/>
          <w:szCs w:val="24"/>
          <w:highlight w:val="none"/>
        </w:rPr>
        <w:t>证原件）</w:t>
      </w:r>
      <w:r>
        <w:rPr>
          <w:rFonts w:hint="eastAsia" w:asciiTheme="minorEastAsia" w:hAnsiTheme="minorEastAsia" w:eastAsiaTheme="minorEastAsia" w:cstheme="minorEastAsia"/>
          <w:b/>
          <w:bCs/>
          <w:color w:val="auto"/>
          <w:kern w:val="0"/>
          <w:sz w:val="24"/>
          <w:szCs w:val="24"/>
          <w:highlight w:val="none"/>
          <w:lang w:val="zh-CN" w:eastAsia="zh-CN"/>
        </w:rPr>
        <w:t>；</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Arial" w:hAnsi="Arial" w:cs="Arial"/>
          <w:b/>
          <w:bCs/>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lang w:val="en-US" w:eastAsia="zh-CN"/>
        </w:rPr>
        <w:t>2、</w:t>
      </w:r>
      <w:r>
        <w:rPr>
          <w:rFonts w:hint="eastAsia" w:ascii="宋体" w:hAnsi="宋体" w:eastAsia="宋体" w:cs="宋体"/>
          <w:b/>
          <w:bCs/>
          <w:color w:val="auto"/>
          <w:sz w:val="24"/>
          <w:szCs w:val="24"/>
          <w:highlight w:val="none"/>
          <w:lang w:val="en-US" w:eastAsia="zh-CN"/>
        </w:rPr>
        <w:t>供应商具有有效的</w:t>
      </w:r>
      <w:r>
        <w:rPr>
          <w:rFonts w:hint="eastAsia" w:ascii="Arial" w:hAnsi="Arial" w:cs="Arial"/>
          <w:sz w:val="24"/>
          <w:szCs w:val="24"/>
          <w:highlight w:val="yellow"/>
        </w:rPr>
        <w:t>《广播电视节目制作经营许可证》</w:t>
      </w:r>
      <w:r>
        <w:rPr>
          <w:rFonts w:hint="eastAsia" w:ascii="Arial" w:hAnsi="Arial" w:cs="Arial"/>
          <w:b/>
          <w:bCs/>
          <w:sz w:val="24"/>
          <w:szCs w:val="24"/>
          <w:highlight w:val="none"/>
          <w:lang w:eastAsia="zh-CN"/>
        </w:rPr>
        <w:t>；</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宋体" w:hAnsi="宋体" w:eastAsia="宋体" w:cs="宋体"/>
          <w:b/>
          <w:bCs/>
          <w:i w:val="0"/>
          <w:iCs w:val="0"/>
          <w:sz w:val="24"/>
          <w:szCs w:val="24"/>
          <w:highlight w:val="none"/>
          <w:u w:val="none"/>
          <w:lang w:eastAsia="zh-CN"/>
        </w:rPr>
      </w:pPr>
      <w:r>
        <w:rPr>
          <w:rFonts w:hint="eastAsia" w:ascii="Arial" w:hAnsi="Arial" w:cs="Arial"/>
          <w:b/>
          <w:bCs/>
          <w:sz w:val="24"/>
          <w:szCs w:val="24"/>
          <w:highlight w:val="none"/>
          <w:lang w:val="en-US" w:eastAsia="zh-CN"/>
        </w:rPr>
        <w:t>3、</w:t>
      </w:r>
      <w:r>
        <w:rPr>
          <w:rFonts w:hint="eastAsia" w:ascii="宋体" w:hAnsi="宋体" w:eastAsia="宋体" w:cs="宋体"/>
          <w:b/>
          <w:bCs/>
          <w:color w:val="auto"/>
          <w:sz w:val="24"/>
          <w:szCs w:val="24"/>
          <w:highlight w:val="none"/>
          <w:lang w:eastAsia="zh-CN"/>
        </w:rPr>
        <w:t>供应商为企业法人应提供合法有效的标识有统一社会信用代码的营业执照</w:t>
      </w:r>
      <w:r>
        <w:rPr>
          <w:rFonts w:hint="eastAsia" w:ascii="宋体" w:hAnsi="宋体" w:eastAsia="宋体" w:cs="宋体"/>
          <w:b/>
          <w:bCs/>
          <w:i w:val="0"/>
          <w:iCs w:val="0"/>
          <w:sz w:val="24"/>
          <w:szCs w:val="24"/>
          <w:highlight w:val="none"/>
          <w:lang w:eastAsia="zh-CN"/>
        </w:rPr>
        <w:t>；事业法人应提供事业单位法人证书；其他组织应提供合法登记证明文件</w:t>
      </w:r>
      <w:r>
        <w:rPr>
          <w:rFonts w:hint="eastAsia" w:asciiTheme="minorEastAsia" w:hAnsiTheme="minorEastAsia" w:eastAsiaTheme="minorEastAsia" w:cstheme="minorEastAsia"/>
          <w:b/>
          <w:bCs/>
          <w:color w:val="auto"/>
          <w:kern w:val="0"/>
          <w:sz w:val="24"/>
          <w:szCs w:val="24"/>
          <w:highlight w:val="none"/>
          <w:lang w:val="zh-CN" w:eastAsia="zh-CN"/>
        </w:rPr>
        <w:t>；</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Theme="minorEastAsia" w:hAnsiTheme="minorEastAsia" w:eastAsiaTheme="minorEastAsia" w:cstheme="minorEastAsia"/>
          <w:b/>
          <w:bCs/>
          <w:color w:val="auto"/>
          <w:kern w:val="0"/>
          <w:sz w:val="24"/>
          <w:szCs w:val="24"/>
          <w:highlight w:val="none"/>
          <w:lang w:val="zh-CN" w:eastAsia="zh-CN"/>
        </w:rPr>
      </w:pPr>
      <w:r>
        <w:rPr>
          <w:rFonts w:hint="eastAsia" w:ascii="宋体" w:hAnsi="宋体" w:cs="宋体"/>
          <w:b/>
          <w:bCs/>
          <w:i w:val="0"/>
          <w:iCs w:val="0"/>
          <w:sz w:val="24"/>
          <w:szCs w:val="24"/>
          <w:highlight w:val="none"/>
          <w:u w:val="none"/>
          <w:lang w:val="en-US" w:eastAsia="zh-CN"/>
        </w:rPr>
        <w:t>4、</w:t>
      </w:r>
      <w:r>
        <w:rPr>
          <w:rFonts w:hint="eastAsia" w:asciiTheme="minorEastAsia" w:hAnsiTheme="minorEastAsia" w:eastAsiaTheme="minorEastAsia" w:cstheme="minorEastAsia"/>
          <w:b/>
          <w:bCs/>
          <w:color w:val="auto"/>
          <w:kern w:val="0"/>
          <w:sz w:val="24"/>
          <w:szCs w:val="24"/>
          <w:highlight w:val="none"/>
          <w:lang w:val="zh-CN" w:eastAsia="zh-CN"/>
        </w:rPr>
        <w:t>供应商</w:t>
      </w:r>
      <w:r>
        <w:rPr>
          <w:rFonts w:hint="eastAsia" w:ascii="宋体" w:hAnsi="宋体"/>
          <w:b/>
          <w:bCs/>
          <w:sz w:val="24"/>
          <w:szCs w:val="24"/>
          <w:highlight w:val="none"/>
        </w:rPr>
        <w:t>提供近半年内已缴存的至少一个月的社会保障资金缴存单据或社保机构开具的社会保险参保缴费情况证明，依法不需要缴纳社会保障资金的投标人应提供相关文件证明</w:t>
      </w:r>
      <w:r>
        <w:rPr>
          <w:rFonts w:hint="eastAsia" w:asciiTheme="minorEastAsia" w:hAnsiTheme="minorEastAsia" w:eastAsiaTheme="minorEastAsia" w:cstheme="minorEastAsia"/>
          <w:b/>
          <w:bCs/>
          <w:color w:val="auto"/>
          <w:kern w:val="0"/>
          <w:sz w:val="24"/>
          <w:szCs w:val="24"/>
          <w:highlight w:val="none"/>
          <w:lang w:val="zh-CN" w:eastAsia="zh-CN"/>
        </w:rPr>
        <w:t>；</w:t>
      </w:r>
    </w:p>
    <w:p>
      <w:pPr>
        <w:keepNext w:val="0"/>
        <w:keepLines w:val="0"/>
        <w:pageBreakBefore w:val="0"/>
        <w:widowControl w:val="0"/>
        <w:kinsoku/>
        <w:wordWrap/>
        <w:overflowPunct/>
        <w:topLinePunct w:val="0"/>
        <w:bidi w:val="0"/>
        <w:snapToGrid/>
        <w:spacing w:line="400" w:lineRule="exact"/>
        <w:ind w:right="0" w:rightChars="0"/>
        <w:textAlignment w:val="auto"/>
        <w:rPr>
          <w:rFonts w:hint="eastAsia" w:asciiTheme="minorEastAsia" w:hAnsiTheme="minorEastAsia" w:eastAsiaTheme="minorEastAsia" w:cstheme="minorEastAsia"/>
          <w:b/>
          <w:bCs/>
          <w:color w:val="auto"/>
          <w:kern w:val="0"/>
          <w:sz w:val="24"/>
          <w:szCs w:val="24"/>
          <w:highlight w:val="none"/>
          <w:lang w:val="zh-CN" w:eastAsia="zh-CN"/>
        </w:rPr>
      </w:pPr>
      <w:r>
        <w:rPr>
          <w:rFonts w:hint="eastAsia" w:asciiTheme="minorEastAsia" w:hAnsiTheme="minorEastAsia" w:eastAsiaTheme="minorEastAsia" w:cstheme="minorEastAsia"/>
          <w:b/>
          <w:bCs/>
          <w:color w:val="auto"/>
          <w:kern w:val="0"/>
          <w:sz w:val="24"/>
          <w:szCs w:val="24"/>
          <w:highlight w:val="none"/>
          <w:lang w:val="en-US" w:eastAsia="zh-CN"/>
        </w:rPr>
        <w:t>5、</w:t>
      </w:r>
      <w:r>
        <w:rPr>
          <w:rFonts w:hint="eastAsia" w:asciiTheme="minorEastAsia" w:hAnsiTheme="minorEastAsia" w:eastAsiaTheme="minorEastAsia" w:cstheme="minorEastAsia"/>
          <w:b/>
          <w:bCs/>
          <w:color w:val="auto"/>
          <w:kern w:val="0"/>
          <w:sz w:val="24"/>
          <w:szCs w:val="24"/>
          <w:highlight w:val="none"/>
          <w:lang w:val="zh-CN" w:eastAsia="zh-CN"/>
        </w:rPr>
        <w:t>提供</w:t>
      </w:r>
      <w:r>
        <w:rPr>
          <w:rFonts w:hint="eastAsia" w:asciiTheme="minorEastAsia" w:hAnsiTheme="minorEastAsia" w:eastAsiaTheme="minorEastAsia" w:cstheme="minorEastAsia"/>
          <w:b/>
          <w:bCs/>
          <w:color w:val="auto"/>
          <w:kern w:val="0"/>
          <w:sz w:val="24"/>
          <w:szCs w:val="24"/>
          <w:highlight w:val="yellow"/>
          <w:lang w:val="zh-CN" w:eastAsia="zh-CN"/>
        </w:rPr>
        <w:t>202</w:t>
      </w:r>
      <w:r>
        <w:rPr>
          <w:rFonts w:hint="eastAsia" w:asciiTheme="minorEastAsia" w:hAnsiTheme="minorEastAsia" w:eastAsiaTheme="minorEastAsia" w:cstheme="minorEastAsia"/>
          <w:b/>
          <w:bCs/>
          <w:color w:val="auto"/>
          <w:kern w:val="0"/>
          <w:sz w:val="24"/>
          <w:szCs w:val="24"/>
          <w:highlight w:val="yellow"/>
          <w:lang w:val="en-US" w:eastAsia="zh-CN"/>
        </w:rPr>
        <w:t>1</w:t>
      </w:r>
      <w:r>
        <w:rPr>
          <w:rFonts w:hint="eastAsia" w:asciiTheme="minorEastAsia" w:hAnsiTheme="minorEastAsia" w:eastAsiaTheme="minorEastAsia" w:cstheme="minorEastAsia"/>
          <w:b/>
          <w:bCs/>
          <w:color w:val="auto"/>
          <w:kern w:val="0"/>
          <w:sz w:val="24"/>
          <w:szCs w:val="24"/>
          <w:highlight w:val="yellow"/>
          <w:lang w:val="zh-CN" w:eastAsia="zh-CN"/>
        </w:rPr>
        <w:t>年</w:t>
      </w:r>
      <w:r>
        <w:rPr>
          <w:rFonts w:hint="eastAsia" w:asciiTheme="minorEastAsia" w:hAnsiTheme="minorEastAsia" w:eastAsiaTheme="minorEastAsia" w:cstheme="minorEastAsia"/>
          <w:b/>
          <w:bCs/>
          <w:color w:val="auto"/>
          <w:kern w:val="0"/>
          <w:sz w:val="24"/>
          <w:szCs w:val="24"/>
          <w:highlight w:val="none"/>
          <w:lang w:val="zh-CN" w:eastAsia="zh-CN"/>
        </w:rPr>
        <w:t>的财务审计报告（至少包括“四表一注”即《资产负债表》《利润表》《现金流量表》《所有者权益变动表》及其附注复印件，成立时间至提交投标文件截止时间不足一年的可提供财务报表，不需审计），或其开标前三个月内基本存款账户开户银行出具的资信证明；</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6、</w:t>
      </w:r>
      <w:r>
        <w:rPr>
          <w:rFonts w:hint="eastAsia" w:asciiTheme="minorEastAsia" w:hAnsiTheme="minorEastAsia" w:eastAsiaTheme="minorEastAsia" w:cstheme="minorEastAsia"/>
          <w:b/>
          <w:bCs/>
          <w:color w:val="auto"/>
          <w:kern w:val="0"/>
          <w:sz w:val="24"/>
          <w:szCs w:val="24"/>
          <w:highlight w:val="none"/>
          <w:lang w:val="zh-CN" w:eastAsia="zh-CN"/>
        </w:rPr>
        <w:t>供应商</w:t>
      </w:r>
      <w:r>
        <w:rPr>
          <w:rFonts w:hint="eastAsia" w:ascii="宋体" w:hAnsi="宋体"/>
          <w:b/>
          <w:bCs/>
          <w:sz w:val="24"/>
          <w:szCs w:val="24"/>
          <w:highlight w:val="none"/>
        </w:rPr>
        <w:t>提供近半年内已缴纳的至少一个月的纳税证明或完税证明，纳税证明或完税证明上应有代收机构或税务机关的公章，依法免税的投标人应提供相关文件证明；</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Theme="minorEastAsia" w:hAnsiTheme="minorEastAsia" w:eastAsiaTheme="minorEastAsia" w:cstheme="minorEastAsia"/>
          <w:b/>
          <w:bCs/>
          <w:color w:val="auto"/>
          <w:kern w:val="0"/>
          <w:sz w:val="24"/>
          <w:szCs w:val="24"/>
          <w:highlight w:val="none"/>
          <w:lang w:val="zh-CN" w:eastAsia="zh-CN"/>
        </w:rPr>
      </w:pPr>
      <w:r>
        <w:rPr>
          <w:rFonts w:hint="eastAsia" w:asciiTheme="minorEastAsia" w:hAnsiTheme="minorEastAsia" w:eastAsiaTheme="minorEastAsia" w:cstheme="minorEastAsia"/>
          <w:b/>
          <w:bCs/>
          <w:color w:val="auto"/>
          <w:kern w:val="0"/>
          <w:sz w:val="24"/>
          <w:szCs w:val="24"/>
          <w:highlight w:val="none"/>
          <w:lang w:val="en-US" w:eastAsia="zh-CN"/>
        </w:rPr>
        <w:t>7、</w:t>
      </w:r>
      <w:r>
        <w:rPr>
          <w:rFonts w:hint="eastAsia" w:asciiTheme="minorEastAsia" w:hAnsiTheme="minorEastAsia" w:eastAsiaTheme="minorEastAsia" w:cstheme="minorEastAsia"/>
          <w:b/>
          <w:bCs/>
          <w:color w:val="auto"/>
          <w:kern w:val="0"/>
          <w:sz w:val="24"/>
          <w:szCs w:val="24"/>
          <w:highlight w:val="none"/>
          <w:lang w:val="zh-CN" w:eastAsia="zh-CN"/>
        </w:rPr>
        <w:t>提供保证金缴纳</w:t>
      </w:r>
      <w:r>
        <w:rPr>
          <w:rFonts w:hint="eastAsia" w:asciiTheme="minorEastAsia" w:hAnsiTheme="minorEastAsia" w:eastAsiaTheme="minorEastAsia" w:cstheme="minorEastAsia"/>
          <w:b/>
          <w:bCs/>
          <w:color w:val="auto"/>
          <w:kern w:val="0"/>
          <w:sz w:val="24"/>
          <w:szCs w:val="24"/>
          <w:highlight w:val="none"/>
          <w:lang w:val="en-US" w:eastAsia="zh-CN"/>
        </w:rPr>
        <w:t>凭证</w:t>
      </w:r>
      <w:r>
        <w:rPr>
          <w:rFonts w:hint="eastAsia" w:asciiTheme="minorEastAsia" w:hAnsiTheme="minorEastAsia" w:eastAsiaTheme="minorEastAsia" w:cstheme="minorEastAsia"/>
          <w:b/>
          <w:bCs/>
          <w:color w:val="auto"/>
          <w:kern w:val="0"/>
          <w:sz w:val="24"/>
          <w:szCs w:val="24"/>
          <w:highlight w:val="none"/>
          <w:lang w:val="zh-CN" w:eastAsia="zh-CN"/>
        </w:rPr>
        <w:t>；</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Theme="minorEastAsia" w:hAnsiTheme="minorEastAsia" w:eastAsiaTheme="minorEastAsia" w:cstheme="minorEastAsia"/>
          <w:b/>
          <w:bCs/>
          <w:color w:val="auto"/>
          <w:kern w:val="0"/>
          <w:sz w:val="24"/>
          <w:szCs w:val="24"/>
          <w:highlight w:val="none"/>
          <w:lang w:val="zh-CN"/>
        </w:rPr>
      </w:pPr>
      <w:r>
        <w:rPr>
          <w:rFonts w:hint="eastAsia" w:asciiTheme="minorEastAsia" w:hAnsiTheme="minorEastAsia" w:eastAsiaTheme="minorEastAsia" w:cstheme="minorEastAsia"/>
          <w:b/>
          <w:bCs/>
          <w:color w:val="auto"/>
          <w:kern w:val="0"/>
          <w:sz w:val="24"/>
          <w:szCs w:val="24"/>
          <w:highlight w:val="none"/>
          <w:lang w:val="en-US" w:eastAsia="zh-CN"/>
        </w:rPr>
        <w:t>8、</w:t>
      </w:r>
      <w:r>
        <w:rPr>
          <w:rFonts w:hint="eastAsia" w:ascii="宋体" w:hAnsi="宋体" w:eastAsia="宋体" w:cs="宋体"/>
          <w:b/>
          <w:bCs/>
          <w:kern w:val="0"/>
          <w:sz w:val="24"/>
          <w:szCs w:val="24"/>
          <w:highlight w:val="none"/>
          <w:lang w:val="zh-CN" w:eastAsia="zh-CN" w:bidi="ar-SA"/>
        </w:rPr>
        <w:t>参加政府采购活动前三年内，在经营活动中没有重大违法记录声明函原件；</w:t>
      </w:r>
    </w:p>
    <w:p>
      <w:pPr>
        <w:pageBreakBefore w:val="0"/>
        <w:widowControl w:val="0"/>
        <w:kinsoku/>
        <w:wordWrap/>
        <w:overflowPunct/>
        <w:topLinePunct w:val="0"/>
        <w:bidi w:val="0"/>
        <w:snapToGrid/>
        <w:spacing w:line="360" w:lineRule="auto"/>
        <w:textAlignment w:val="auto"/>
        <w:rPr>
          <w:rFonts w:hint="eastAsia" w:ascii="宋体" w:hAnsi="宋体" w:eastAsia="宋体" w:cs="宋体"/>
          <w:b/>
          <w:bCs/>
          <w:kern w:val="0"/>
          <w:sz w:val="24"/>
          <w:szCs w:val="24"/>
          <w:highlight w:val="none"/>
          <w:lang w:val="en-US" w:eastAsia="zh-CN" w:bidi="ar-SA"/>
        </w:rPr>
      </w:pPr>
      <w:r>
        <w:rPr>
          <w:rFonts w:hint="eastAsia" w:ascii="宋体" w:hAnsi="宋体" w:cs="宋体"/>
          <w:b/>
          <w:bCs/>
          <w:kern w:val="0"/>
          <w:sz w:val="24"/>
          <w:szCs w:val="24"/>
          <w:highlight w:val="none"/>
          <w:lang w:val="en-US" w:eastAsia="zh-CN" w:bidi="ar-SA"/>
        </w:rPr>
        <w:t>9</w:t>
      </w:r>
      <w:r>
        <w:rPr>
          <w:rFonts w:hint="eastAsia" w:ascii="宋体" w:hAnsi="宋体" w:eastAsia="宋体" w:cs="宋体"/>
          <w:b/>
          <w:bCs/>
          <w:kern w:val="0"/>
          <w:sz w:val="24"/>
          <w:szCs w:val="24"/>
          <w:highlight w:val="none"/>
          <w:lang w:val="en-US" w:eastAsia="zh-CN" w:bidi="ar-SA"/>
        </w:rPr>
        <w:t>、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供应商公章为准；</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备注：竞争性磋商文件涉及要求供应商在开标时所带的原件，请供应商在开标现场一次性提供。供应商提交的所有证明文件及材料必须清晰、准确、真实、有效；对于不提供或提供不真实或虚假资料者按无效标处理。</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b/>
          <w:bCs/>
          <w:highlight w:val="none"/>
        </w:rPr>
        <w:t>1.2 响应性审查：</w:t>
      </w:r>
      <w:r>
        <w:rPr>
          <w:rFonts w:hint="eastAsia" w:ascii="宋体" w:hAnsi="宋体" w:eastAsia="宋体" w:cs="宋体"/>
          <w:highlight w:val="none"/>
        </w:rPr>
        <w:t>依据《竞争性磋商文件》的规定，从《磋商响应性文件》的有效性、完整性和对《竞争性磋商文件》的响应程度进行审查，以确定是否对《竞争性磋商文件》的实质性要求做出响应。响应性审查时有下列情形之一的，由磋商小组按无效《磋商响应性文件》处理：</w:t>
      </w:r>
    </w:p>
    <w:p>
      <w:pPr>
        <w:pStyle w:val="2"/>
        <w:kinsoku w:val="0"/>
        <w:overflowPunct w:val="0"/>
        <w:spacing w:before="34" w:line="357" w:lineRule="auto"/>
        <w:ind w:right="126" w:firstLine="480"/>
        <w:rPr>
          <w:rFonts w:hint="default" w:ascii="宋体" w:hAnsi="宋体" w:eastAsia="宋体" w:cs="宋体"/>
          <w:highlight w:val="none"/>
          <w:lang w:val="en-US" w:eastAsia="zh-CN"/>
        </w:rPr>
      </w:pPr>
      <w:r>
        <w:rPr>
          <w:rFonts w:hint="eastAsia" w:ascii="宋体" w:hAnsi="宋体" w:eastAsia="宋体" w:cs="宋体"/>
          <w:highlight w:val="none"/>
        </w:rPr>
        <w:t>（1）未按照招标文件的规定提交投标保证金的；</w:t>
      </w:r>
      <w:r>
        <w:rPr>
          <w:rFonts w:hint="eastAsia" w:ascii="宋体" w:hAnsi="宋体" w:eastAsia="宋体" w:cs="宋体"/>
          <w:highlight w:val="none"/>
          <w:lang w:val="en-US" w:eastAsia="zh-CN"/>
        </w:rPr>
        <w:t xml:space="preserve">  </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（2）投标文件未按招标文件要求签署、盖章的；</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（3）不具备招标文件中规定的资格要求的；</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（4）报价超过招标文件中规定的预算金额或者最高限价的；</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（5）投标文件含有采购人不能接受的附加条件的；</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（6）法律、法规和招标文件规定的其他无效情形；</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1.3 实质上没有响应《竞争性磋商文件》要求的《磋商响应性文件》将被拒绝。</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1.4 供应商不得通过修正或撤销不符合要求的偏离或保留从而使其《磋商响应性文件》成为实质上响应的《磋商响应性文件》。</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1.5 通过资格性及响应性审查且无实质性背离采购人要求的响应文件，即可进行下一步评审。未通过资格性审查、响应性审查的响应文件按无效投标处理。</w:t>
      </w:r>
    </w:p>
    <w:p>
      <w:pPr>
        <w:pStyle w:val="2"/>
        <w:kinsoku w:val="0"/>
        <w:overflowPunct w:val="0"/>
        <w:spacing w:before="34"/>
        <w:jc w:val="both"/>
        <w:rPr>
          <w:rFonts w:hint="eastAsia" w:ascii="宋体" w:hAnsi="宋体" w:eastAsia="宋体" w:cs="宋体"/>
          <w:b/>
          <w:bCs/>
          <w:highlight w:val="none"/>
        </w:rPr>
      </w:pPr>
      <w:r>
        <w:rPr>
          <w:rFonts w:hint="eastAsia" w:ascii="宋体" w:hAnsi="宋体" w:eastAsia="宋体" w:cs="宋体"/>
          <w:b/>
          <w:bCs/>
          <w:highlight w:val="none"/>
        </w:rPr>
        <w:t>2.磋商及详细评审：</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2.1 磋商小组审阅响应文件： 以确定是否对磋商文件的要求做出实质性响应。未对磋商文件做实质性响应的供应商，不得进入具体磋商程序。</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2.2 开始磋商，磋商小组所有成员集中与单一供应商分别进行磋商。磋商小组可根据供应商的报价，响应内容及磋商的情况，给予每个正在参加磋商的供应商相同的机会。先依据供应商制定的方案进行审查，经过磋商小组所有成员集中讨论及磋商讨论，再给予每个合格的供应商二次报价资格。</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对磋商文件作出的实质性变动是磋商文件的有效组成部分，磋商小组应当及时以书面形式同时通知所有参加磋商的供应商。</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供应商应当按照磋商文件的变动情况和磋商小组的要求重新提交响应文件，并由其全权代表签章。</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2.3 磋商结束后，参加磋商的供应商应当对磋商的承诺和最后报价以书面形式确认， 并由授权委托人签章。各供应商对本项目进行二次（最终）报价。</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2.4 由磋商小组采用综合评分法对提交最终报价的供应商的响应文件和最终报价进 行打分；</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2.5 磋商小组可以对确定为实质上响应竞争性磋商文件要求的磋商响应性文件进行校对、审核，对出现的算术错误，由磋商小组予以改正，并让供应商澄清确认。修正计算错误按如下原则进行：</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2.6《磋商响应性文件》的大写金额和小写金额不一致的，以大写金额为准；总价金额与单项单价汇总金额不一致的，以单价金额计算结果为准；单价金额小数点有明显错位的，应以总价为准，并修改单价；对不同文字文本《磋商响应性文件》的解释发生异议的，以中文文本为准。</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2.7 若供应商不接受对其错误的更正，其投标将被视为无效投标。</w:t>
      </w:r>
    </w:p>
    <w:p>
      <w:pPr>
        <w:pStyle w:val="2"/>
        <w:kinsoku w:val="0"/>
        <w:overflowPunct w:val="0"/>
        <w:spacing w:before="34"/>
        <w:jc w:val="both"/>
        <w:rPr>
          <w:rFonts w:hint="eastAsia" w:ascii="宋体" w:hAnsi="宋体" w:eastAsia="宋体" w:cs="宋体"/>
          <w:b/>
          <w:bCs/>
          <w:highlight w:val="none"/>
        </w:rPr>
      </w:pPr>
      <w:r>
        <w:rPr>
          <w:rFonts w:hint="eastAsia" w:ascii="宋体" w:hAnsi="宋体" w:eastAsia="宋体" w:cs="宋体"/>
          <w:b/>
          <w:bCs/>
          <w:highlight w:val="none"/>
        </w:rPr>
        <w:br w:type="page"/>
      </w:r>
      <w:r>
        <w:rPr>
          <w:rFonts w:hint="eastAsia" w:ascii="宋体" w:hAnsi="宋体" w:eastAsia="宋体" w:cs="宋体"/>
          <w:b/>
          <w:bCs/>
          <w:highlight w:val="none"/>
        </w:rPr>
        <w:t>3. 综合评分表</w:t>
      </w:r>
    </w:p>
    <w:p>
      <w:pPr>
        <w:rPr>
          <w:rFonts w:hint="eastAsia" w:ascii="宋体" w:hAnsi="宋体" w:eastAsia="宋体" w:cs="宋体"/>
          <w:b/>
          <w:bCs/>
          <w:highlight w:val="none"/>
        </w:rPr>
      </w:pPr>
    </w:p>
    <w:tbl>
      <w:tblPr>
        <w:tblStyle w:val="2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359"/>
        <w:gridCol w:w="6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tcBorders>
              <w:top w:val="single" w:color="auto" w:sz="4" w:space="0"/>
              <w:left w:val="single" w:color="auto" w:sz="4" w:space="0"/>
              <w:bottom w:val="single" w:color="auto" w:sz="4" w:space="0"/>
              <w:right w:val="single" w:color="auto" w:sz="4" w:space="0"/>
            </w:tcBorders>
            <w:noWrap w:val="0"/>
            <w:vAlign w:val="center"/>
          </w:tcPr>
          <w:p>
            <w:pPr>
              <w:topLinePunct/>
              <w:spacing w:line="420" w:lineRule="exact"/>
              <w:jc w:val="center"/>
              <w:rPr>
                <w:rFonts w:hint="eastAsia" w:ascii="宋体" w:hAnsi="宋体"/>
                <w:b/>
                <w:bCs/>
                <w:sz w:val="21"/>
                <w:szCs w:val="21"/>
                <w:highlight w:val="none"/>
              </w:rPr>
            </w:pPr>
            <w:r>
              <w:rPr>
                <w:rFonts w:hint="eastAsia" w:ascii="宋体" w:hAnsi="宋体"/>
                <w:b/>
                <w:bCs/>
                <w:sz w:val="21"/>
                <w:szCs w:val="21"/>
                <w:highlight w:val="none"/>
              </w:rPr>
              <w:t>磋商报价</w:t>
            </w:r>
          </w:p>
          <w:p>
            <w:pPr>
              <w:topLinePunct/>
              <w:spacing w:line="420" w:lineRule="exact"/>
              <w:jc w:val="center"/>
              <w:rPr>
                <w:rFonts w:hint="eastAsia" w:ascii="宋体" w:hAnsi="宋体"/>
                <w:b/>
                <w:bCs/>
                <w:sz w:val="21"/>
                <w:szCs w:val="21"/>
                <w:highlight w:val="none"/>
              </w:rPr>
            </w:pPr>
            <w:r>
              <w:rPr>
                <w:rFonts w:hint="eastAsia" w:ascii="宋体" w:hAnsi="宋体"/>
                <w:b/>
                <w:bCs/>
                <w:sz w:val="21"/>
                <w:szCs w:val="21"/>
                <w:highlight w:val="none"/>
              </w:rPr>
              <w:t>（</w:t>
            </w:r>
            <w:r>
              <w:rPr>
                <w:rFonts w:ascii="宋体" w:hAnsi="宋体"/>
                <w:b/>
                <w:bCs/>
                <w:sz w:val="21"/>
                <w:szCs w:val="21"/>
                <w:highlight w:val="none"/>
              </w:rPr>
              <w:t>1</w:t>
            </w:r>
            <w:r>
              <w:rPr>
                <w:rFonts w:hint="eastAsia" w:ascii="宋体" w:hAnsi="宋体"/>
                <w:b/>
                <w:bCs/>
                <w:sz w:val="21"/>
                <w:szCs w:val="21"/>
                <w:highlight w:val="none"/>
              </w:rPr>
              <w:t>0分）</w:t>
            </w:r>
          </w:p>
        </w:tc>
        <w:tc>
          <w:tcPr>
            <w:tcW w:w="7759" w:type="dxa"/>
            <w:gridSpan w:val="2"/>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ascii="宋体" w:hAnsi="宋体" w:eastAsia="宋体"/>
                <w:sz w:val="21"/>
                <w:szCs w:val="21"/>
                <w:highlight w:val="none"/>
                <w:lang w:eastAsia="zh-CN"/>
              </w:rPr>
            </w:pPr>
            <w:r>
              <w:rPr>
                <w:rFonts w:hint="eastAsia" w:ascii="宋体" w:hAnsi="宋体"/>
                <w:sz w:val="21"/>
                <w:szCs w:val="21"/>
                <w:highlight w:val="none"/>
              </w:rPr>
              <w:t xml:space="preserve">价格分统一采用低价优先法计算，即满足磋商文件要求且磋商价格最低的磋商报价为磋商基准价，其价格分为满分。其他供应商的价格分统一按照下列公式计算： </w:t>
            </w:r>
          </w:p>
          <w:p>
            <w:pPr>
              <w:spacing w:line="420" w:lineRule="exact"/>
              <w:rPr>
                <w:rFonts w:hint="eastAsia" w:ascii="宋体" w:hAnsi="宋体"/>
                <w:sz w:val="21"/>
                <w:szCs w:val="21"/>
                <w:highlight w:val="none"/>
              </w:rPr>
            </w:pPr>
            <w:r>
              <w:rPr>
                <w:rFonts w:hint="eastAsia" w:ascii="宋体" w:hAnsi="宋体"/>
                <w:sz w:val="21"/>
                <w:szCs w:val="21"/>
                <w:highlight w:val="none"/>
              </w:rPr>
              <w:t xml:space="preserve">磋商报价得分=(磋商基准价／磋商报价)×价格权值×100               </w:t>
            </w:r>
          </w:p>
          <w:p>
            <w:pPr>
              <w:spacing w:line="420" w:lineRule="exact"/>
              <w:rPr>
                <w:rFonts w:hint="eastAsia" w:ascii="宋体" w:hAnsi="宋体" w:eastAsia="宋体"/>
                <w:sz w:val="21"/>
                <w:szCs w:val="21"/>
                <w:highlight w:val="none"/>
                <w:lang w:eastAsia="zh-CN"/>
              </w:rPr>
            </w:pPr>
            <w:r>
              <w:rPr>
                <w:rFonts w:hint="eastAsia" w:ascii="宋体" w:hAnsi="宋体"/>
                <w:sz w:val="21"/>
                <w:szCs w:val="21"/>
                <w:highlight w:val="none"/>
              </w:rPr>
              <w:t>计算分数时四舍五入取小数点后两位</w:t>
            </w:r>
            <w:r>
              <w:rPr>
                <w:rFonts w:hint="eastAsia" w:ascii="宋体" w:hAnsi="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Merge w:val="restart"/>
            <w:tcBorders>
              <w:top w:val="single" w:color="auto" w:sz="4" w:space="0"/>
              <w:left w:val="single" w:color="auto" w:sz="4" w:space="0"/>
              <w:right w:val="single" w:color="auto" w:sz="4" w:space="0"/>
            </w:tcBorders>
            <w:noWrap w:val="0"/>
            <w:vAlign w:val="center"/>
          </w:tcPr>
          <w:p>
            <w:pPr>
              <w:topLinePunct/>
              <w:spacing w:line="420" w:lineRule="exact"/>
              <w:jc w:val="center"/>
              <w:rPr>
                <w:rFonts w:ascii="宋体" w:hAnsi="宋体"/>
                <w:b/>
                <w:bCs/>
                <w:sz w:val="21"/>
                <w:szCs w:val="21"/>
                <w:highlight w:val="none"/>
              </w:rPr>
            </w:pPr>
            <w:r>
              <w:rPr>
                <w:rFonts w:hint="eastAsia" w:ascii="宋体" w:hAnsi="宋体"/>
                <w:b/>
                <w:bCs/>
                <w:sz w:val="21"/>
                <w:szCs w:val="21"/>
                <w:highlight w:val="none"/>
                <w:lang w:eastAsia="zh-CN"/>
              </w:rPr>
              <w:t>商务</w:t>
            </w:r>
            <w:r>
              <w:rPr>
                <w:rFonts w:hint="eastAsia" w:ascii="宋体" w:hAnsi="宋体"/>
                <w:b/>
                <w:bCs/>
                <w:sz w:val="21"/>
                <w:szCs w:val="21"/>
                <w:highlight w:val="none"/>
              </w:rPr>
              <w:t>技术</w:t>
            </w:r>
            <w:r>
              <w:rPr>
                <w:rFonts w:hint="eastAsia" w:ascii="宋体" w:hAnsi="宋体"/>
                <w:b/>
                <w:bCs/>
                <w:sz w:val="21"/>
                <w:szCs w:val="21"/>
                <w:highlight w:val="none"/>
                <w:lang w:eastAsia="zh-CN"/>
              </w:rPr>
              <w:t>部分</w:t>
            </w:r>
            <w:r>
              <w:rPr>
                <w:rFonts w:hint="eastAsia" w:ascii="宋体" w:hAnsi="宋体"/>
                <w:b/>
                <w:bCs/>
                <w:sz w:val="21"/>
                <w:szCs w:val="21"/>
                <w:highlight w:val="none"/>
              </w:rPr>
              <w:t>（</w:t>
            </w:r>
            <w:r>
              <w:rPr>
                <w:rFonts w:hint="eastAsia" w:ascii="宋体" w:hAnsi="宋体"/>
                <w:b/>
                <w:bCs/>
                <w:sz w:val="21"/>
                <w:szCs w:val="21"/>
                <w:highlight w:val="none"/>
                <w:lang w:val="en-US" w:eastAsia="zh-CN"/>
              </w:rPr>
              <w:t>90</w:t>
            </w:r>
            <w:r>
              <w:rPr>
                <w:rFonts w:hint="eastAsia" w:ascii="宋体" w:hAnsi="宋体"/>
                <w:b/>
                <w:bCs/>
                <w:sz w:val="21"/>
                <w:szCs w:val="21"/>
                <w:highlight w:val="none"/>
              </w:rPr>
              <w:t>分）</w:t>
            </w:r>
          </w:p>
        </w:tc>
        <w:tc>
          <w:tcPr>
            <w:tcW w:w="1359" w:type="dxa"/>
            <w:tcBorders>
              <w:top w:val="single" w:color="auto" w:sz="4" w:space="0"/>
              <w:left w:val="single" w:color="auto" w:sz="4" w:space="0"/>
              <w:bottom w:val="single" w:color="auto" w:sz="4" w:space="0"/>
              <w:right w:val="single" w:color="auto" w:sz="4" w:space="0"/>
            </w:tcBorders>
            <w:noWrap w:val="0"/>
            <w:vAlign w:val="center"/>
          </w:tcPr>
          <w:p>
            <w:pPr>
              <w:topLinePunct/>
              <w:spacing w:line="420" w:lineRule="exact"/>
              <w:jc w:val="center"/>
              <w:rPr>
                <w:rFonts w:hint="eastAsia" w:ascii="宋体" w:hAnsi="宋体" w:cs="Times New Roman"/>
                <w:b/>
                <w:sz w:val="21"/>
                <w:szCs w:val="21"/>
                <w:highlight w:val="none"/>
              </w:rPr>
            </w:pPr>
            <w:r>
              <w:rPr>
                <w:rFonts w:hint="eastAsia" w:ascii="宋体" w:hAnsi="宋体" w:cs="Times New Roman"/>
                <w:b/>
                <w:sz w:val="21"/>
                <w:szCs w:val="21"/>
                <w:highlight w:val="none"/>
              </w:rPr>
              <w:t>企业类似业绩（</w:t>
            </w:r>
            <w:r>
              <w:rPr>
                <w:rFonts w:hint="eastAsia" w:ascii="宋体" w:hAnsi="宋体" w:cs="Times New Roman"/>
                <w:b/>
                <w:sz w:val="21"/>
                <w:szCs w:val="21"/>
                <w:highlight w:val="none"/>
                <w:lang w:val="en-US" w:eastAsia="zh-CN"/>
              </w:rPr>
              <w:t>8</w:t>
            </w:r>
            <w:r>
              <w:rPr>
                <w:rFonts w:hint="eastAsia" w:ascii="宋体" w:hAnsi="宋体" w:cs="Times New Roman"/>
                <w:b/>
                <w:sz w:val="21"/>
                <w:szCs w:val="21"/>
                <w:highlight w:val="none"/>
              </w:rPr>
              <w:t>分）</w:t>
            </w:r>
          </w:p>
        </w:tc>
        <w:tc>
          <w:tcPr>
            <w:tcW w:w="6400" w:type="dxa"/>
            <w:tcBorders>
              <w:top w:val="single" w:color="auto" w:sz="4" w:space="0"/>
              <w:left w:val="single" w:color="auto" w:sz="4" w:space="0"/>
              <w:bottom w:val="single" w:color="auto" w:sz="4" w:space="0"/>
              <w:right w:val="single" w:color="auto" w:sz="4" w:space="0"/>
            </w:tcBorders>
            <w:noWrap w:val="0"/>
            <w:vAlign w:val="top"/>
          </w:tcPr>
          <w:p>
            <w:pPr>
              <w:pStyle w:val="28"/>
              <w:spacing w:before="97" w:line="360" w:lineRule="auto"/>
              <w:ind w:left="4" w:right="-15"/>
              <w:jc w:val="both"/>
              <w:rPr>
                <w:rFonts w:asciiTheme="minorEastAsia" w:hAnsiTheme="minorEastAsia" w:eastAsiaTheme="minorEastAsia" w:cstheme="minorEastAsia"/>
                <w:spacing w:val="-8"/>
                <w:sz w:val="21"/>
                <w:szCs w:val="21"/>
                <w:highlight w:val="none"/>
              </w:rPr>
            </w:pPr>
            <w:r>
              <w:rPr>
                <w:rFonts w:hint="eastAsia" w:asciiTheme="minorEastAsia" w:hAnsiTheme="minorEastAsia" w:eastAsiaTheme="minorEastAsia" w:cstheme="minorEastAsia"/>
                <w:spacing w:val="-8"/>
                <w:sz w:val="21"/>
                <w:szCs w:val="21"/>
                <w:highlight w:val="none"/>
              </w:rPr>
              <w:t>供应商提供近3年（201</w:t>
            </w:r>
            <w:r>
              <w:rPr>
                <w:rFonts w:hint="eastAsia" w:asciiTheme="minorEastAsia" w:hAnsiTheme="minorEastAsia" w:eastAsiaTheme="minorEastAsia" w:cstheme="minorEastAsia"/>
                <w:spacing w:val="-8"/>
                <w:sz w:val="21"/>
                <w:szCs w:val="21"/>
                <w:highlight w:val="none"/>
                <w:lang w:val="en-US" w:eastAsia="zh-CN"/>
              </w:rPr>
              <w:t>9</w:t>
            </w:r>
            <w:r>
              <w:rPr>
                <w:rFonts w:hint="eastAsia" w:asciiTheme="minorEastAsia" w:hAnsiTheme="minorEastAsia" w:eastAsiaTheme="minorEastAsia" w:cstheme="minorEastAsia"/>
                <w:spacing w:val="-8"/>
                <w:sz w:val="21"/>
                <w:szCs w:val="21"/>
                <w:highlight w:val="none"/>
              </w:rPr>
              <w:t>年</w:t>
            </w:r>
            <w:r>
              <w:rPr>
                <w:rFonts w:hint="eastAsia" w:asciiTheme="minorEastAsia" w:hAnsiTheme="minorEastAsia" w:eastAsiaTheme="minorEastAsia" w:cstheme="minorEastAsia"/>
                <w:spacing w:val="-8"/>
                <w:sz w:val="21"/>
                <w:szCs w:val="21"/>
                <w:highlight w:val="none"/>
                <w:lang w:val="en-US" w:eastAsia="zh-CN"/>
              </w:rPr>
              <w:t>4</w:t>
            </w:r>
            <w:bookmarkStart w:id="73" w:name="_GoBack"/>
            <w:bookmarkEnd w:id="73"/>
            <w:r>
              <w:rPr>
                <w:rFonts w:hint="eastAsia" w:asciiTheme="minorEastAsia" w:hAnsiTheme="minorEastAsia" w:eastAsiaTheme="minorEastAsia" w:cstheme="minorEastAsia"/>
                <w:spacing w:val="-8"/>
                <w:sz w:val="21"/>
                <w:szCs w:val="21"/>
                <w:highlight w:val="none"/>
              </w:rPr>
              <w:t>月1日至投标文件递交截止日前）独立承担的与本项目类似的业绩，有一项类似项目业绩者得</w:t>
            </w:r>
            <w:r>
              <w:rPr>
                <w:rFonts w:hint="eastAsia" w:asciiTheme="minorEastAsia" w:hAnsiTheme="minorEastAsia" w:eastAsiaTheme="minorEastAsia" w:cstheme="minorEastAsia"/>
                <w:spacing w:val="-8"/>
                <w:sz w:val="21"/>
                <w:szCs w:val="21"/>
                <w:highlight w:val="none"/>
                <w:lang w:val="en-US" w:eastAsia="zh-CN"/>
              </w:rPr>
              <w:t>1</w:t>
            </w:r>
            <w:r>
              <w:rPr>
                <w:rFonts w:hint="eastAsia" w:asciiTheme="minorEastAsia" w:hAnsiTheme="minorEastAsia" w:eastAsiaTheme="minorEastAsia" w:cstheme="minorEastAsia"/>
                <w:spacing w:val="-8"/>
                <w:sz w:val="21"/>
                <w:szCs w:val="21"/>
                <w:highlight w:val="none"/>
              </w:rPr>
              <w:t>分，最多</w:t>
            </w:r>
            <w:r>
              <w:rPr>
                <w:rFonts w:hint="eastAsia" w:asciiTheme="minorEastAsia" w:hAnsiTheme="minorEastAsia" w:eastAsiaTheme="minorEastAsia" w:cstheme="minorEastAsia"/>
                <w:spacing w:val="-8"/>
                <w:sz w:val="21"/>
                <w:szCs w:val="21"/>
                <w:highlight w:val="none"/>
                <w:lang w:val="en-US" w:eastAsia="zh-CN"/>
              </w:rPr>
              <w:t>8</w:t>
            </w:r>
            <w:r>
              <w:rPr>
                <w:rFonts w:hint="eastAsia" w:asciiTheme="minorEastAsia" w:hAnsiTheme="minorEastAsia" w:eastAsiaTheme="minorEastAsia" w:cstheme="minorEastAsia"/>
                <w:spacing w:val="-8"/>
                <w:sz w:val="21"/>
                <w:szCs w:val="21"/>
                <w:highlight w:val="none"/>
              </w:rPr>
              <w:t>分。</w:t>
            </w:r>
          </w:p>
          <w:p>
            <w:pPr>
              <w:spacing w:line="420" w:lineRule="exact"/>
              <w:rPr>
                <w:rFonts w:hint="eastAsia" w:asciiTheme="minorEastAsia" w:hAnsiTheme="minorEastAsia" w:eastAsiaTheme="minorEastAsia" w:cstheme="minorEastAsia"/>
                <w:spacing w:val="-8"/>
                <w:sz w:val="21"/>
                <w:szCs w:val="21"/>
                <w:highlight w:val="none"/>
              </w:rPr>
            </w:pPr>
            <w:r>
              <w:rPr>
                <w:rFonts w:hint="eastAsia" w:asciiTheme="minorEastAsia" w:hAnsiTheme="minorEastAsia" w:eastAsiaTheme="minorEastAsia" w:cstheme="minorEastAsia"/>
                <w:spacing w:val="-8"/>
                <w:sz w:val="21"/>
                <w:szCs w:val="21"/>
                <w:highlight w:val="none"/>
              </w:rPr>
              <w:t>备注：</w:t>
            </w:r>
            <w:r>
              <w:rPr>
                <w:rFonts w:hint="eastAsia" w:asciiTheme="minorEastAsia" w:hAnsiTheme="minorEastAsia" w:eastAsiaTheme="minorEastAsia" w:cstheme="minorEastAsia"/>
                <w:spacing w:val="-8"/>
                <w:sz w:val="21"/>
                <w:szCs w:val="21"/>
                <w:highlight w:val="yellow"/>
              </w:rPr>
              <w:t>业绩证明（以合同</w:t>
            </w:r>
            <w:r>
              <w:rPr>
                <w:rFonts w:hint="eastAsia" w:asciiTheme="minorEastAsia" w:hAnsiTheme="minorEastAsia" w:eastAsiaTheme="minorEastAsia" w:cstheme="minorEastAsia"/>
                <w:spacing w:val="-8"/>
                <w:sz w:val="21"/>
                <w:szCs w:val="21"/>
                <w:highlight w:val="yellow"/>
                <w:lang w:eastAsia="zh-CN"/>
              </w:rPr>
              <w:t>和</w:t>
            </w:r>
            <w:r>
              <w:rPr>
                <w:rFonts w:hint="eastAsia" w:asciiTheme="minorEastAsia" w:hAnsiTheme="minorEastAsia" w:eastAsiaTheme="minorEastAsia" w:cstheme="minorEastAsia"/>
                <w:spacing w:val="-8"/>
                <w:sz w:val="21"/>
                <w:szCs w:val="21"/>
                <w:highlight w:val="yellow"/>
              </w:rPr>
              <w:t>中标通知书为准，在投标文件中附合同</w:t>
            </w:r>
            <w:r>
              <w:rPr>
                <w:rFonts w:hint="eastAsia" w:asciiTheme="minorEastAsia" w:hAnsiTheme="minorEastAsia" w:eastAsiaTheme="minorEastAsia" w:cstheme="minorEastAsia"/>
                <w:spacing w:val="-8"/>
                <w:sz w:val="21"/>
                <w:szCs w:val="21"/>
                <w:highlight w:val="yellow"/>
                <w:lang w:eastAsia="zh-CN"/>
              </w:rPr>
              <w:t>（协议）</w:t>
            </w:r>
            <w:r>
              <w:rPr>
                <w:rFonts w:hint="eastAsia" w:asciiTheme="minorEastAsia" w:hAnsiTheme="minorEastAsia" w:eastAsiaTheme="minorEastAsia" w:cstheme="minorEastAsia"/>
                <w:spacing w:val="-8"/>
                <w:sz w:val="21"/>
                <w:szCs w:val="21"/>
                <w:highlight w:val="yellow"/>
              </w:rPr>
              <w:t>扫描件（合同须包含合同首页、金额页、服务内容页、签字盖章页）</w:t>
            </w:r>
            <w:r>
              <w:rPr>
                <w:rFonts w:hint="eastAsia" w:asciiTheme="minorEastAsia" w:hAnsiTheme="minorEastAsia" w:eastAsiaTheme="minorEastAsia" w:cstheme="minorEastAsia"/>
                <w:spacing w:val="-8"/>
                <w:sz w:val="21"/>
                <w:szCs w:val="21"/>
                <w:highlight w:val="yellow"/>
                <w:lang w:eastAsia="zh-CN"/>
              </w:rPr>
              <w:t>和</w:t>
            </w:r>
            <w:r>
              <w:rPr>
                <w:rFonts w:hint="eastAsia" w:asciiTheme="minorEastAsia" w:hAnsiTheme="minorEastAsia" w:eastAsiaTheme="minorEastAsia" w:cstheme="minorEastAsia"/>
                <w:spacing w:val="-8"/>
                <w:sz w:val="21"/>
                <w:szCs w:val="21"/>
                <w:highlight w:val="yellow"/>
              </w:rPr>
              <w:t>中标</w:t>
            </w:r>
            <w:r>
              <w:rPr>
                <w:rFonts w:hint="eastAsia" w:asciiTheme="minorEastAsia" w:hAnsiTheme="minorEastAsia" w:eastAsiaTheme="minorEastAsia" w:cstheme="minorEastAsia"/>
                <w:spacing w:val="-8"/>
                <w:sz w:val="21"/>
                <w:szCs w:val="21"/>
                <w:highlight w:val="yellow"/>
                <w:lang w:eastAsia="zh-CN"/>
              </w:rPr>
              <w:t>（成交）</w:t>
            </w:r>
            <w:r>
              <w:rPr>
                <w:rFonts w:hint="eastAsia" w:asciiTheme="minorEastAsia" w:hAnsiTheme="minorEastAsia" w:eastAsiaTheme="minorEastAsia" w:cstheme="minorEastAsia"/>
                <w:spacing w:val="-8"/>
                <w:sz w:val="21"/>
                <w:szCs w:val="21"/>
                <w:highlight w:val="yellow"/>
              </w:rPr>
              <w:t>通知书扫描件加盖单位公章，须携带原件备查，弄虚作假者取消其投标资格）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Merge w:val="continue"/>
            <w:tcBorders>
              <w:left w:val="single" w:color="auto" w:sz="4" w:space="0"/>
              <w:right w:val="single" w:color="auto" w:sz="4" w:space="0"/>
            </w:tcBorders>
            <w:noWrap w:val="0"/>
            <w:vAlign w:val="center"/>
          </w:tcPr>
          <w:p>
            <w:pPr>
              <w:pStyle w:val="26"/>
              <w:ind w:firstLine="0" w:firstLineChars="0"/>
              <w:jc w:val="center"/>
              <w:rPr>
                <w:rFonts w:hint="eastAsia" w:ascii="宋体" w:hAnsi="宋体"/>
                <w:b/>
                <w:bCs/>
                <w:sz w:val="21"/>
                <w:szCs w:val="21"/>
                <w:highlight w:val="none"/>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topLinePunct/>
              <w:spacing w:line="420" w:lineRule="exact"/>
              <w:jc w:val="center"/>
              <w:rPr>
                <w:rFonts w:ascii="宋体" w:hAnsi="宋体" w:cs="Times New Roman"/>
                <w:b/>
                <w:sz w:val="21"/>
                <w:szCs w:val="21"/>
                <w:highlight w:val="none"/>
              </w:rPr>
            </w:pPr>
            <w:r>
              <w:rPr>
                <w:rFonts w:hint="eastAsia" w:ascii="宋体" w:hAnsi="宋体" w:cs="Times New Roman"/>
                <w:b/>
                <w:sz w:val="21"/>
                <w:szCs w:val="21"/>
                <w:highlight w:val="none"/>
              </w:rPr>
              <w:t>响应文件制作质量</w:t>
            </w:r>
          </w:p>
          <w:p>
            <w:pPr>
              <w:topLinePunct/>
              <w:spacing w:line="420" w:lineRule="exact"/>
              <w:jc w:val="center"/>
              <w:rPr>
                <w:rFonts w:hint="eastAsia" w:ascii="宋体" w:hAnsi="宋体" w:cs="Times New Roman"/>
                <w:b/>
                <w:sz w:val="21"/>
                <w:szCs w:val="21"/>
                <w:highlight w:val="none"/>
              </w:rPr>
            </w:pPr>
            <w:r>
              <w:rPr>
                <w:rFonts w:hint="eastAsia" w:ascii="宋体" w:hAnsi="宋体" w:cs="Times New Roman"/>
                <w:b/>
                <w:sz w:val="21"/>
                <w:szCs w:val="21"/>
                <w:highlight w:val="none"/>
              </w:rPr>
              <w:t>（2分）</w:t>
            </w:r>
          </w:p>
        </w:tc>
        <w:tc>
          <w:tcPr>
            <w:tcW w:w="6400" w:type="dxa"/>
            <w:tcBorders>
              <w:top w:val="single" w:color="auto" w:sz="4" w:space="0"/>
              <w:left w:val="single" w:color="auto" w:sz="4" w:space="0"/>
              <w:bottom w:val="single" w:color="auto" w:sz="4" w:space="0"/>
              <w:right w:val="single" w:color="auto" w:sz="4" w:space="0"/>
            </w:tcBorders>
            <w:noWrap w:val="0"/>
            <w:vAlign w:val="center"/>
          </w:tcPr>
          <w:p>
            <w:pPr>
              <w:pStyle w:val="26"/>
              <w:spacing w:line="360" w:lineRule="auto"/>
              <w:ind w:firstLine="0" w:firstLineChars="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编制内容完整、齐全、叙述严谨、响应文件无涂改、错页、漏页现象，否则酌情扣分。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1241" w:type="dxa"/>
            <w:vMerge w:val="continue"/>
            <w:tcBorders>
              <w:left w:val="single" w:color="auto" w:sz="4" w:space="0"/>
              <w:right w:val="single" w:color="auto" w:sz="4" w:space="0"/>
            </w:tcBorders>
            <w:noWrap w:val="0"/>
            <w:vAlign w:val="center"/>
          </w:tcPr>
          <w:p>
            <w:pPr>
              <w:topLinePunct/>
              <w:spacing w:line="420" w:lineRule="exact"/>
              <w:jc w:val="center"/>
              <w:rPr>
                <w:rFonts w:ascii="宋体" w:hAnsi="宋体"/>
                <w:b/>
                <w:bCs/>
                <w:sz w:val="21"/>
                <w:szCs w:val="21"/>
                <w:highlight w:val="none"/>
              </w:rPr>
            </w:pPr>
          </w:p>
        </w:tc>
        <w:tc>
          <w:tcPr>
            <w:tcW w:w="1359" w:type="dxa"/>
            <w:tcBorders>
              <w:top w:val="single" w:color="auto" w:sz="4" w:space="0"/>
              <w:left w:val="single" w:color="auto" w:sz="4" w:space="0"/>
              <w:right w:val="single" w:color="auto" w:sz="4" w:space="0"/>
            </w:tcBorders>
            <w:noWrap w:val="0"/>
            <w:vAlign w:val="center"/>
          </w:tcPr>
          <w:p>
            <w:pPr>
              <w:topLinePunct/>
              <w:spacing w:line="420" w:lineRule="exact"/>
              <w:jc w:val="center"/>
              <w:rPr>
                <w:rFonts w:ascii="宋体" w:hAnsi="宋体" w:cs="Times New Roman"/>
                <w:b/>
                <w:sz w:val="21"/>
                <w:szCs w:val="21"/>
                <w:highlight w:val="none"/>
              </w:rPr>
            </w:pPr>
            <w:r>
              <w:rPr>
                <w:rFonts w:hint="eastAsia" w:ascii="宋体" w:hAnsi="宋体" w:cs="Times New Roman"/>
                <w:b/>
                <w:sz w:val="21"/>
                <w:szCs w:val="21"/>
                <w:highlight w:val="none"/>
              </w:rPr>
              <w:t>项目理解（</w:t>
            </w:r>
            <w:r>
              <w:rPr>
                <w:rFonts w:hint="eastAsia" w:ascii="宋体" w:hAnsi="宋体" w:cs="Times New Roman"/>
                <w:b/>
                <w:sz w:val="21"/>
                <w:szCs w:val="21"/>
                <w:highlight w:val="none"/>
                <w:lang w:val="en-US" w:eastAsia="zh-CN"/>
              </w:rPr>
              <w:t>10</w:t>
            </w:r>
            <w:r>
              <w:rPr>
                <w:rFonts w:ascii="宋体" w:hAnsi="宋体" w:cs="Times New Roman"/>
                <w:b/>
                <w:sz w:val="21"/>
                <w:szCs w:val="21"/>
                <w:highlight w:val="none"/>
              </w:rPr>
              <w:t>分</w:t>
            </w:r>
            <w:r>
              <w:rPr>
                <w:rFonts w:hint="eastAsia" w:ascii="宋体" w:hAnsi="宋体" w:cs="Times New Roman"/>
                <w:b/>
                <w:sz w:val="21"/>
                <w:szCs w:val="21"/>
                <w:highlight w:val="none"/>
              </w:rPr>
              <w:t>）</w:t>
            </w:r>
          </w:p>
        </w:tc>
        <w:tc>
          <w:tcPr>
            <w:tcW w:w="6400" w:type="dxa"/>
            <w:tcBorders>
              <w:top w:val="single" w:color="auto" w:sz="4" w:space="0"/>
              <w:left w:val="single" w:color="auto" w:sz="4" w:space="0"/>
              <w:right w:val="single" w:color="auto" w:sz="4" w:space="0"/>
            </w:tcBorders>
            <w:noWrap w:val="0"/>
            <w:vAlign w:val="center"/>
          </w:tcPr>
          <w:p>
            <w:pPr>
              <w:topLinePunct/>
              <w:spacing w:line="420" w:lineRule="exact"/>
              <w:rPr>
                <w:rFonts w:hint="eastAsia"/>
                <w:sz w:val="21"/>
                <w:szCs w:val="21"/>
                <w:highlight w:val="none"/>
                <w:lang w:eastAsia="zh-CN"/>
              </w:rPr>
            </w:pPr>
            <w:r>
              <w:rPr>
                <w:rFonts w:hint="eastAsia" w:ascii="宋体" w:hAnsi="宋体" w:eastAsia="宋体" w:cs="宋体"/>
                <w:color w:val="auto"/>
                <w:spacing w:val="0"/>
                <w:w w:val="100"/>
                <w:position w:val="0"/>
                <w:sz w:val="21"/>
                <w:szCs w:val="21"/>
                <w:highlight w:val="none"/>
                <w:lang w:eastAsia="zh-CN"/>
              </w:rPr>
              <w:t>供应商</w:t>
            </w:r>
            <w:r>
              <w:rPr>
                <w:rFonts w:hint="eastAsia" w:ascii="宋体" w:hAnsi="宋体" w:eastAsia="宋体" w:cs="宋体"/>
                <w:color w:val="auto"/>
                <w:spacing w:val="0"/>
                <w:w w:val="100"/>
                <w:position w:val="0"/>
                <w:sz w:val="21"/>
                <w:szCs w:val="21"/>
                <w:highlight w:val="none"/>
              </w:rPr>
              <w:t>能充分了解本项目需求和实施特点，理解本项目的采购需求，</w:t>
            </w:r>
            <w:r>
              <w:rPr>
                <w:rFonts w:hint="eastAsia" w:ascii="宋体" w:hAnsi="宋体" w:cs="宋体"/>
                <w:color w:val="auto"/>
                <w:spacing w:val="0"/>
                <w:w w:val="100"/>
                <w:position w:val="0"/>
                <w:sz w:val="21"/>
                <w:szCs w:val="21"/>
                <w:highlight w:val="none"/>
                <w:lang w:eastAsia="zh-CN"/>
              </w:rPr>
              <w:t>按供应商响应程度赋分</w:t>
            </w:r>
            <w:r>
              <w:rPr>
                <w:rFonts w:hint="eastAsia"/>
                <w:sz w:val="21"/>
                <w:szCs w:val="21"/>
                <w:highlight w:val="none"/>
                <w:lang w:eastAsia="zh-CN"/>
              </w:rPr>
              <w:t>：</w:t>
            </w:r>
          </w:p>
          <w:p>
            <w:pPr>
              <w:pStyle w:val="5"/>
              <w:ind w:left="0" w:leftChars="0" w:firstLine="0" w:firstLineChars="0"/>
              <w:rPr>
                <w:rFonts w:hint="eastAsia"/>
                <w:sz w:val="21"/>
                <w:szCs w:val="21"/>
                <w:highlight w:val="none"/>
                <w:lang w:eastAsia="zh-CN"/>
              </w:rPr>
            </w:pPr>
            <w:r>
              <w:rPr>
                <w:rFonts w:hint="eastAsia" w:asciiTheme="minorEastAsia" w:hAnsiTheme="minorEastAsia" w:eastAsiaTheme="minorEastAsia" w:cstheme="minorEastAsia"/>
                <w:sz w:val="21"/>
                <w:szCs w:val="21"/>
                <w:highlight w:val="none"/>
              </w:rPr>
              <w:t>优秀得</w:t>
            </w: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sz w:val="21"/>
                <w:szCs w:val="21"/>
                <w:highlight w:val="none"/>
              </w:rPr>
              <w:t>分；良好得</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分；一般得0-</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eastAsia="zh-CN"/>
              </w:rPr>
              <w:t>；不提供者不得分。</w:t>
            </w:r>
            <w:r>
              <w:rPr>
                <w:rFonts w:hint="eastAsia" w:asciiTheme="minorEastAsia" w:hAnsiTheme="minorEastAsia" w:eastAsiaTheme="minorEastAsia" w:cstheme="minorEastAsia"/>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241" w:type="dxa"/>
            <w:vMerge w:val="continue"/>
            <w:tcBorders>
              <w:left w:val="single" w:color="auto" w:sz="4" w:space="0"/>
              <w:right w:val="single" w:color="auto" w:sz="4" w:space="0"/>
            </w:tcBorders>
            <w:noWrap w:val="0"/>
            <w:vAlign w:val="center"/>
          </w:tcPr>
          <w:p>
            <w:pPr>
              <w:topLinePunct/>
              <w:spacing w:line="420" w:lineRule="exact"/>
              <w:jc w:val="center"/>
              <w:rPr>
                <w:rFonts w:hint="eastAsia" w:ascii="宋体" w:hAnsi="宋体"/>
                <w:b/>
                <w:bCs/>
                <w:sz w:val="21"/>
                <w:szCs w:val="21"/>
                <w:highlight w:val="none"/>
              </w:rPr>
            </w:pPr>
          </w:p>
        </w:tc>
        <w:tc>
          <w:tcPr>
            <w:tcW w:w="1359" w:type="dxa"/>
            <w:tcBorders>
              <w:top w:val="single" w:color="auto" w:sz="4" w:space="0"/>
              <w:left w:val="single" w:color="auto" w:sz="4" w:space="0"/>
              <w:right w:val="single" w:color="auto" w:sz="4" w:space="0"/>
            </w:tcBorders>
            <w:noWrap w:val="0"/>
            <w:vAlign w:val="center"/>
          </w:tcPr>
          <w:p>
            <w:pPr>
              <w:spacing w:line="420" w:lineRule="exact"/>
              <w:rPr>
                <w:rFonts w:hint="eastAsia" w:cs="Times New Roman"/>
                <w:b/>
                <w:bCs/>
                <w:sz w:val="21"/>
                <w:szCs w:val="21"/>
                <w:lang w:eastAsia="zh-CN"/>
              </w:rPr>
            </w:pPr>
            <w:r>
              <w:rPr>
                <w:rFonts w:hint="eastAsia" w:cs="Times New Roman"/>
                <w:b/>
                <w:bCs/>
                <w:sz w:val="21"/>
                <w:szCs w:val="21"/>
                <w:lang w:eastAsia="zh-CN"/>
              </w:rPr>
              <w:t>策划方案</w:t>
            </w:r>
            <w:r>
              <w:rPr>
                <w:rFonts w:hint="eastAsia" w:ascii="宋体" w:hAnsi="宋体" w:cs="Times New Roman"/>
                <w:b/>
                <w:sz w:val="21"/>
                <w:szCs w:val="21"/>
                <w:highlight w:val="none"/>
              </w:rPr>
              <w:t>（</w:t>
            </w:r>
            <w:r>
              <w:rPr>
                <w:rFonts w:hint="eastAsia" w:ascii="宋体" w:hAnsi="宋体" w:cs="Times New Roman"/>
                <w:b/>
                <w:sz w:val="21"/>
                <w:szCs w:val="21"/>
                <w:highlight w:val="none"/>
                <w:lang w:val="en-US" w:eastAsia="zh-CN"/>
              </w:rPr>
              <w:t>20</w:t>
            </w:r>
            <w:r>
              <w:rPr>
                <w:rFonts w:ascii="宋体" w:hAnsi="宋体" w:cs="Times New Roman"/>
                <w:b/>
                <w:sz w:val="21"/>
                <w:szCs w:val="21"/>
                <w:highlight w:val="none"/>
              </w:rPr>
              <w:t>分</w:t>
            </w:r>
            <w:r>
              <w:rPr>
                <w:rFonts w:hint="eastAsia" w:ascii="宋体" w:hAnsi="宋体" w:cs="Times New Roman"/>
                <w:b/>
                <w:sz w:val="21"/>
                <w:szCs w:val="21"/>
                <w:highlight w:val="none"/>
              </w:rPr>
              <w:t>）</w:t>
            </w:r>
          </w:p>
        </w:tc>
        <w:tc>
          <w:tcPr>
            <w:tcW w:w="6400" w:type="dxa"/>
            <w:tcBorders>
              <w:top w:val="single" w:color="auto" w:sz="4" w:space="0"/>
              <w:left w:val="single" w:color="auto" w:sz="4" w:space="0"/>
              <w:right w:val="single" w:color="auto" w:sz="4" w:space="0"/>
            </w:tcBorders>
            <w:noWrap w:val="0"/>
            <w:vAlign w:val="center"/>
          </w:tcPr>
          <w:p>
            <w:pPr>
              <w:spacing w:line="420" w:lineRule="exact"/>
              <w:rPr>
                <w:rFonts w:hint="eastAsia"/>
                <w:lang w:val="en-US" w:eastAsia="zh-CN"/>
              </w:rPr>
            </w:pPr>
            <w:r>
              <w:rPr>
                <w:rFonts w:hint="eastAsia"/>
                <w:lang w:val="en-US" w:eastAsia="zh-CN"/>
              </w:rPr>
              <w:t>拍摄大纲、脚本创作、表现形式等思路创意，围绕国家战略、新疆特色等，切合主题，立意新颖，脉络清晰，艺术性强，符合招标文件要求和项目背景。</w:t>
            </w:r>
          </w:p>
          <w:p>
            <w:pPr>
              <w:pStyle w:val="26"/>
              <w:rPr>
                <w:rFonts w:hint="eastAsia" w:ascii="宋体" w:hAnsi="宋体" w:eastAsia="宋体" w:cs="宋体"/>
                <w:lang w:eastAsia="zh-CN"/>
              </w:rPr>
            </w:pPr>
            <w:r>
              <w:rPr>
                <w:rFonts w:hint="eastAsia" w:ascii="宋体" w:hAnsi="宋体" w:eastAsia="宋体" w:cs="宋体"/>
                <w:lang w:eastAsia="zh-CN"/>
              </w:rPr>
              <w:t>根据投标文件的响应程度赋分：优 1</w:t>
            </w:r>
            <w:r>
              <w:rPr>
                <w:rFonts w:hint="eastAsia" w:ascii="宋体" w:hAnsi="宋体" w:eastAsia="宋体" w:cs="宋体"/>
                <w:lang w:val="en-US" w:eastAsia="zh-CN"/>
              </w:rPr>
              <w:t>6-20</w:t>
            </w:r>
            <w:r>
              <w:rPr>
                <w:rFonts w:hint="eastAsia" w:ascii="宋体" w:hAnsi="宋体" w:eastAsia="宋体" w:cs="宋体"/>
                <w:lang w:eastAsia="zh-CN"/>
              </w:rPr>
              <w:t>分；良</w:t>
            </w:r>
            <w:r>
              <w:rPr>
                <w:rFonts w:hint="eastAsia" w:ascii="宋体" w:hAnsi="宋体" w:eastAsia="宋体" w:cs="宋体"/>
                <w:lang w:val="en-US" w:eastAsia="zh-CN"/>
              </w:rPr>
              <w:t>10</w:t>
            </w:r>
            <w:r>
              <w:rPr>
                <w:rFonts w:hint="eastAsia" w:ascii="宋体" w:hAnsi="宋体" w:eastAsia="宋体" w:cs="宋体"/>
                <w:lang w:eastAsia="zh-CN"/>
              </w:rPr>
              <w:t>-</w:t>
            </w:r>
            <w:r>
              <w:rPr>
                <w:rFonts w:hint="eastAsia" w:ascii="宋体" w:hAnsi="宋体" w:eastAsia="宋体" w:cs="宋体"/>
                <w:lang w:val="en-US" w:eastAsia="zh-CN"/>
              </w:rPr>
              <w:t>15</w:t>
            </w:r>
            <w:r>
              <w:rPr>
                <w:rFonts w:hint="eastAsia" w:ascii="宋体" w:hAnsi="宋体" w:eastAsia="宋体" w:cs="宋体"/>
                <w:lang w:eastAsia="zh-CN"/>
              </w:rPr>
              <w:t xml:space="preserve"> 分；中</w:t>
            </w:r>
            <w:r>
              <w:rPr>
                <w:rFonts w:hint="eastAsia" w:ascii="宋体" w:hAnsi="宋体" w:eastAsia="宋体" w:cs="宋体"/>
                <w:lang w:val="en-US" w:eastAsia="zh-CN"/>
              </w:rPr>
              <w:t>6</w:t>
            </w:r>
            <w:r>
              <w:rPr>
                <w:rFonts w:hint="eastAsia" w:ascii="宋体" w:hAnsi="宋体" w:eastAsia="宋体" w:cs="宋体"/>
                <w:lang w:eastAsia="zh-CN"/>
              </w:rPr>
              <w:t>-</w:t>
            </w:r>
            <w:r>
              <w:rPr>
                <w:rFonts w:hint="eastAsia" w:ascii="宋体" w:hAnsi="宋体" w:eastAsia="宋体" w:cs="宋体"/>
                <w:lang w:val="en-US" w:eastAsia="zh-CN"/>
              </w:rPr>
              <w:t>9</w:t>
            </w:r>
            <w:r>
              <w:rPr>
                <w:rFonts w:hint="eastAsia" w:ascii="宋体" w:hAnsi="宋体" w:eastAsia="宋体" w:cs="宋体"/>
                <w:lang w:eastAsia="zh-CN"/>
              </w:rPr>
              <w:t>分；差</w:t>
            </w:r>
            <w:r>
              <w:rPr>
                <w:rFonts w:hint="eastAsia" w:ascii="宋体" w:hAnsi="宋体" w:eastAsia="宋体" w:cs="宋体"/>
                <w:lang w:val="en-US" w:eastAsia="zh-CN"/>
              </w:rPr>
              <w:t>0</w:t>
            </w: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lang w:eastAsia="zh-CN"/>
              </w:rPr>
              <w:t>；不提供者不得分。</w:t>
            </w:r>
          </w:p>
          <w:p>
            <w:pPr>
              <w:pStyle w:val="26"/>
              <w:rPr>
                <w:rFonts w:hint="eastAsia"/>
                <w:lang w:eastAsia="zh-CN"/>
              </w:rPr>
            </w:pPr>
            <w:r>
              <w:rPr>
                <w:rFonts w:hint="eastAsia" w:ascii="宋体" w:hAnsi="宋体" w:eastAsia="宋体" w:cs="宋体"/>
                <w:lang w:eastAsia="zh-CN"/>
              </w:rPr>
              <w:t>注：提供的内容详细、完善、</w:t>
            </w:r>
            <w:r>
              <w:rPr>
                <w:rFonts w:hint="eastAsia"/>
                <w:lang w:eastAsia="zh-CN"/>
              </w:rPr>
              <w:t>可行，主题明晰,可执行性高，符合招标文件要求。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1241" w:type="dxa"/>
            <w:vMerge w:val="continue"/>
            <w:tcBorders>
              <w:left w:val="single" w:color="auto" w:sz="4" w:space="0"/>
              <w:right w:val="single" w:color="auto" w:sz="4" w:space="0"/>
            </w:tcBorders>
            <w:noWrap w:val="0"/>
            <w:vAlign w:val="center"/>
          </w:tcPr>
          <w:p>
            <w:pPr>
              <w:topLinePunct/>
              <w:spacing w:line="420" w:lineRule="exact"/>
              <w:jc w:val="center"/>
              <w:rPr>
                <w:rFonts w:hint="eastAsia" w:ascii="宋体" w:hAnsi="宋体"/>
                <w:b/>
                <w:bCs/>
                <w:sz w:val="21"/>
                <w:szCs w:val="21"/>
                <w:highlight w:val="none"/>
              </w:rPr>
            </w:pPr>
          </w:p>
        </w:tc>
        <w:tc>
          <w:tcPr>
            <w:tcW w:w="1359" w:type="dxa"/>
            <w:tcBorders>
              <w:top w:val="single" w:color="auto" w:sz="4" w:space="0"/>
              <w:left w:val="single" w:color="auto" w:sz="4" w:space="0"/>
              <w:right w:val="single" w:color="auto" w:sz="4" w:space="0"/>
            </w:tcBorders>
            <w:noWrap w:val="0"/>
            <w:vAlign w:val="center"/>
          </w:tcPr>
          <w:p>
            <w:pPr>
              <w:spacing w:line="420" w:lineRule="exact"/>
              <w:rPr>
                <w:rFonts w:hint="eastAsia" w:cs="Times New Roman"/>
                <w:b/>
                <w:bCs/>
                <w:sz w:val="21"/>
                <w:szCs w:val="21"/>
                <w:lang w:eastAsia="zh-CN"/>
              </w:rPr>
            </w:pPr>
            <w:r>
              <w:rPr>
                <w:rFonts w:hint="eastAsia" w:cs="Times New Roman"/>
                <w:b/>
                <w:bCs/>
                <w:sz w:val="21"/>
                <w:szCs w:val="21"/>
                <w:lang w:eastAsia="zh-CN"/>
              </w:rPr>
              <w:t>项目团队</w:t>
            </w:r>
            <w:r>
              <w:rPr>
                <w:rFonts w:hint="eastAsia" w:ascii="宋体" w:hAnsi="宋体" w:cs="Times New Roman"/>
                <w:b/>
                <w:sz w:val="21"/>
                <w:szCs w:val="21"/>
                <w:highlight w:val="none"/>
              </w:rPr>
              <w:t>（</w:t>
            </w:r>
            <w:r>
              <w:rPr>
                <w:rFonts w:hint="eastAsia" w:ascii="宋体" w:hAnsi="宋体" w:cs="Times New Roman"/>
                <w:b/>
                <w:sz w:val="21"/>
                <w:szCs w:val="21"/>
                <w:highlight w:val="none"/>
                <w:lang w:val="en-US" w:eastAsia="zh-CN"/>
              </w:rPr>
              <w:t>10</w:t>
            </w:r>
            <w:r>
              <w:rPr>
                <w:rFonts w:ascii="宋体" w:hAnsi="宋体" w:cs="Times New Roman"/>
                <w:b/>
                <w:sz w:val="21"/>
                <w:szCs w:val="21"/>
                <w:highlight w:val="none"/>
              </w:rPr>
              <w:t>分</w:t>
            </w:r>
            <w:r>
              <w:rPr>
                <w:rFonts w:hint="eastAsia" w:ascii="宋体" w:hAnsi="宋体" w:cs="Times New Roman"/>
                <w:b/>
                <w:sz w:val="21"/>
                <w:szCs w:val="21"/>
                <w:highlight w:val="none"/>
              </w:rPr>
              <w:t>）</w:t>
            </w:r>
          </w:p>
        </w:tc>
        <w:tc>
          <w:tcPr>
            <w:tcW w:w="6400" w:type="dxa"/>
            <w:tcBorders>
              <w:top w:val="single" w:color="auto" w:sz="4" w:space="0"/>
              <w:left w:val="single" w:color="auto" w:sz="4" w:space="0"/>
              <w:right w:val="single" w:color="auto" w:sz="4" w:space="0"/>
            </w:tcBorders>
            <w:noWrap w:val="0"/>
            <w:vAlign w:val="center"/>
          </w:tcPr>
          <w:p>
            <w:pPr>
              <w:tabs>
                <w:tab w:val="left" w:pos="1050"/>
              </w:tabs>
              <w:spacing w:line="420" w:lineRule="exact"/>
              <w:ind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供应商针对本项目有合理的项目组织架构、固定的制作班底（包括：导演、策划、专业摄像师、后期剪辑师、特效合成师、配音、</w:t>
            </w:r>
            <w:r>
              <w:rPr>
                <w:rFonts w:hint="eastAsia" w:ascii="宋体" w:hAnsi="宋体" w:cs="宋体"/>
                <w:color w:val="auto"/>
                <w:sz w:val="21"/>
                <w:szCs w:val="21"/>
                <w:lang w:val="en-US" w:eastAsia="zh-CN"/>
              </w:rPr>
              <w:t>其他</w:t>
            </w:r>
            <w:r>
              <w:rPr>
                <w:rFonts w:hint="eastAsia" w:ascii="宋体" w:hAnsi="宋体" w:eastAsia="宋体" w:cs="宋体"/>
                <w:color w:val="auto"/>
                <w:sz w:val="21"/>
                <w:szCs w:val="21"/>
                <w:lang w:val="en-US" w:eastAsia="zh-CN"/>
              </w:rPr>
              <w:t>后期制作人员等角色），有详细的调配措施，人员配备齐全，分工明确。</w:t>
            </w:r>
          </w:p>
          <w:p>
            <w:pPr>
              <w:tabs>
                <w:tab w:val="left" w:pos="1050"/>
              </w:tabs>
              <w:spacing w:line="420" w:lineRule="exact"/>
              <w:ind w:firstLine="42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根据供应商投标文件的响应程度综合赋分：</w:t>
            </w:r>
          </w:p>
          <w:p>
            <w:pPr>
              <w:pStyle w:val="26"/>
              <w:rPr>
                <w:rFonts w:hint="eastAsia"/>
                <w:lang w:eastAsia="zh-CN"/>
              </w:rPr>
            </w:pPr>
            <w:r>
              <w:rPr>
                <w:rFonts w:hint="eastAsia" w:asciiTheme="minorEastAsia" w:hAnsiTheme="minorEastAsia" w:eastAsiaTheme="minorEastAsia" w:cstheme="minorEastAsia"/>
                <w:sz w:val="21"/>
                <w:szCs w:val="21"/>
                <w:highlight w:val="none"/>
              </w:rPr>
              <w:t>优秀得</w:t>
            </w: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sz w:val="21"/>
                <w:szCs w:val="21"/>
                <w:highlight w:val="none"/>
              </w:rPr>
              <w:t>分；良好得</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分；一般得0-</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eastAsia="zh-CN"/>
              </w:rPr>
              <w:t>；不提供者不得分。</w:t>
            </w:r>
          </w:p>
          <w:p>
            <w:pPr>
              <w:pStyle w:val="26"/>
              <w:rPr>
                <w:rFonts w:hint="eastAsia"/>
                <w:lang w:eastAsia="zh-CN"/>
              </w:rPr>
            </w:pPr>
            <w:r>
              <w:rPr>
                <w:rFonts w:hint="eastAsia"/>
                <w:lang w:eastAsia="zh-CN"/>
              </w:rPr>
              <w:t>注：提供人员身份证、学历证、</w:t>
            </w:r>
            <w:r>
              <w:rPr>
                <w:rFonts w:hint="eastAsia"/>
                <w:highlight w:val="yellow"/>
                <w:lang w:eastAsia="zh-CN"/>
              </w:rPr>
              <w:t>本单位缴纳社保证明</w:t>
            </w:r>
            <w:r>
              <w:rPr>
                <w:rFonts w:hint="eastAsia"/>
                <w:lang w:eastAsia="zh-CN"/>
              </w:rPr>
              <w:t>、个人相关经验、资格证、获奖及荣誉证书等证明材料。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241" w:type="dxa"/>
            <w:vMerge w:val="continue"/>
            <w:tcBorders>
              <w:left w:val="single" w:color="auto" w:sz="4" w:space="0"/>
              <w:right w:val="single" w:color="auto" w:sz="4" w:space="0"/>
            </w:tcBorders>
            <w:noWrap w:val="0"/>
            <w:vAlign w:val="center"/>
          </w:tcPr>
          <w:p>
            <w:pPr>
              <w:topLinePunct/>
              <w:spacing w:line="420" w:lineRule="exact"/>
              <w:jc w:val="center"/>
              <w:rPr>
                <w:rFonts w:hint="eastAsia" w:ascii="宋体" w:hAnsi="宋体"/>
                <w:b/>
                <w:bCs/>
                <w:sz w:val="21"/>
                <w:szCs w:val="21"/>
                <w:highlight w:val="none"/>
              </w:rPr>
            </w:pPr>
          </w:p>
        </w:tc>
        <w:tc>
          <w:tcPr>
            <w:tcW w:w="1359" w:type="dxa"/>
            <w:tcBorders>
              <w:top w:val="single" w:color="auto" w:sz="4" w:space="0"/>
              <w:left w:val="single" w:color="auto" w:sz="4" w:space="0"/>
              <w:right w:val="single" w:color="auto" w:sz="4" w:space="0"/>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sz w:val="21"/>
                <w:szCs w:val="21"/>
                <w:lang w:val="en-US" w:eastAsia="zh-CN"/>
              </w:rPr>
            </w:pPr>
            <w:r>
              <w:rPr>
                <w:rFonts w:hint="eastAsia" w:ascii="宋体" w:hAnsi="宋体" w:cs="Times New Roman"/>
                <w:b/>
                <w:sz w:val="21"/>
                <w:szCs w:val="21"/>
                <w:highlight w:val="none"/>
                <w:lang w:eastAsia="zh-CN"/>
              </w:rPr>
              <w:t>质量保障措施</w:t>
            </w:r>
            <w:r>
              <w:rPr>
                <w:rFonts w:hint="eastAsia" w:ascii="宋体" w:hAnsi="宋体" w:cs="Times New Roman"/>
                <w:b/>
                <w:sz w:val="21"/>
                <w:szCs w:val="21"/>
                <w:highlight w:val="none"/>
              </w:rPr>
              <w:t>（</w:t>
            </w:r>
            <w:r>
              <w:rPr>
                <w:rFonts w:hint="eastAsia" w:ascii="宋体" w:hAnsi="宋体" w:cs="Times New Roman"/>
                <w:b/>
                <w:sz w:val="21"/>
                <w:szCs w:val="21"/>
                <w:highlight w:val="none"/>
                <w:lang w:val="en-US" w:eastAsia="zh-CN"/>
              </w:rPr>
              <w:t>10</w:t>
            </w:r>
            <w:r>
              <w:rPr>
                <w:rFonts w:hint="eastAsia" w:ascii="宋体" w:hAnsi="宋体" w:cs="Times New Roman"/>
                <w:b/>
                <w:sz w:val="21"/>
                <w:szCs w:val="21"/>
                <w:highlight w:val="none"/>
              </w:rPr>
              <w:t>分）</w:t>
            </w:r>
          </w:p>
        </w:tc>
        <w:tc>
          <w:tcPr>
            <w:tcW w:w="6400" w:type="dxa"/>
            <w:tcBorders>
              <w:top w:val="single" w:color="auto" w:sz="4" w:space="0"/>
              <w:left w:val="single" w:color="auto" w:sz="4" w:space="0"/>
              <w:right w:val="single" w:color="auto" w:sz="4" w:space="0"/>
            </w:tcBorders>
            <w:noWrap w:val="0"/>
            <w:vAlign w:val="top"/>
          </w:tcPr>
          <w:p>
            <w:pPr>
              <w:tabs>
                <w:tab w:val="left" w:pos="1050"/>
              </w:tabs>
              <w:spacing w:line="420" w:lineRule="exact"/>
              <w:ind w:firstLine="420" w:firstLineChars="0"/>
              <w:rPr>
                <w:rFonts w:hint="eastAsia"/>
                <w:sz w:val="21"/>
                <w:szCs w:val="21"/>
                <w:lang w:eastAsia="zh-CN"/>
              </w:rPr>
            </w:pPr>
            <w:r>
              <w:rPr>
                <w:rFonts w:hint="eastAsia" w:ascii="宋体" w:hAnsi="宋体" w:eastAsia="宋体" w:cs="宋体"/>
                <w:color w:val="auto"/>
                <w:sz w:val="21"/>
                <w:szCs w:val="21"/>
                <w:lang w:val="en-US" w:eastAsia="zh-CN"/>
              </w:rPr>
              <w:t>质量保证措施</w:t>
            </w:r>
            <w:r>
              <w:rPr>
                <w:rFonts w:hint="eastAsia" w:ascii="宋体" w:hAnsi="宋体" w:cs="宋体"/>
                <w:color w:val="auto"/>
                <w:sz w:val="21"/>
                <w:szCs w:val="21"/>
                <w:lang w:val="en-US" w:eastAsia="zh-CN"/>
              </w:rPr>
              <w:t>是否</w:t>
            </w:r>
            <w:r>
              <w:rPr>
                <w:rFonts w:hint="eastAsia" w:ascii="宋体" w:hAnsi="宋体" w:eastAsia="宋体" w:cs="宋体"/>
                <w:color w:val="auto"/>
                <w:sz w:val="21"/>
                <w:szCs w:val="21"/>
                <w:lang w:val="en-US" w:eastAsia="zh-CN"/>
              </w:rPr>
              <w:t>完整、全面、可行</w:t>
            </w:r>
            <w:r>
              <w:rPr>
                <w:rFonts w:hint="eastAsia"/>
                <w:sz w:val="21"/>
                <w:szCs w:val="21"/>
                <w:lang w:eastAsia="zh-CN"/>
              </w:rPr>
              <w:t>，能否满足项目顺利开展。按供应商响应程度</w:t>
            </w:r>
            <w:r>
              <w:rPr>
                <w:rFonts w:hint="eastAsia" w:ascii="宋体" w:hAnsi="宋体" w:eastAsia="宋体" w:cs="宋体"/>
                <w:color w:val="auto"/>
                <w:sz w:val="21"/>
                <w:szCs w:val="21"/>
                <w:lang w:val="en-US" w:eastAsia="zh-CN"/>
              </w:rPr>
              <w:t>综合</w:t>
            </w:r>
            <w:r>
              <w:rPr>
                <w:rFonts w:hint="eastAsia" w:ascii="宋体" w:hAnsi="宋体" w:eastAsia="宋体" w:cs="宋体"/>
                <w:color w:val="auto"/>
                <w:spacing w:val="-4"/>
                <w:sz w:val="21"/>
                <w:szCs w:val="21"/>
              </w:rPr>
              <w:t>赋分：</w:t>
            </w:r>
          </w:p>
          <w:p>
            <w:pPr>
              <w:pStyle w:val="28"/>
              <w:keepNext w:val="0"/>
              <w:keepLines w:val="0"/>
              <w:pageBreakBefore w:val="0"/>
              <w:widowControl w:val="0"/>
              <w:kinsoku/>
              <w:wordWrap/>
              <w:overflowPunct/>
              <w:topLinePunct w:val="0"/>
              <w:autoSpaceDE/>
              <w:autoSpaceDN/>
              <w:bidi w:val="0"/>
              <w:adjustRightInd/>
              <w:snapToGrid/>
              <w:spacing w:line="400" w:lineRule="exact"/>
              <w:ind w:left="107" w:leftChars="0" w:right="0" w:rightChars="0" w:firstLine="0" w:firstLineChars="0"/>
              <w:jc w:val="both"/>
              <w:textAlignment w:val="auto"/>
              <w:rPr>
                <w:rFonts w:hint="eastAsia" w:ascii="宋体" w:hAnsi="宋体" w:eastAsia="宋体" w:cs="宋体"/>
                <w:color w:val="auto"/>
                <w:spacing w:val="-10"/>
                <w:sz w:val="21"/>
                <w:szCs w:val="21"/>
              </w:rPr>
            </w:pPr>
            <w:r>
              <w:rPr>
                <w:rFonts w:hint="eastAsia" w:asciiTheme="minorEastAsia" w:hAnsiTheme="minorEastAsia" w:eastAsiaTheme="minorEastAsia" w:cstheme="minorEastAsia"/>
                <w:sz w:val="21"/>
                <w:szCs w:val="21"/>
                <w:highlight w:val="none"/>
              </w:rPr>
              <w:t>优秀得</w:t>
            </w: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sz w:val="21"/>
                <w:szCs w:val="21"/>
                <w:highlight w:val="none"/>
              </w:rPr>
              <w:t>分；良好得</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分；一般得0-</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eastAsia="zh-CN"/>
              </w:rPr>
              <w:t>；不提供者不得分。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241" w:type="dxa"/>
            <w:vMerge w:val="continue"/>
            <w:tcBorders>
              <w:left w:val="single" w:color="auto" w:sz="4" w:space="0"/>
              <w:right w:val="single" w:color="auto" w:sz="4" w:space="0"/>
            </w:tcBorders>
            <w:noWrap w:val="0"/>
            <w:vAlign w:val="center"/>
          </w:tcPr>
          <w:p>
            <w:pPr>
              <w:topLinePunct/>
              <w:spacing w:line="420" w:lineRule="exact"/>
              <w:jc w:val="center"/>
              <w:rPr>
                <w:rFonts w:hint="eastAsia" w:ascii="宋体" w:hAnsi="宋体"/>
                <w:b/>
                <w:bCs/>
                <w:sz w:val="21"/>
                <w:szCs w:val="21"/>
                <w:highlight w:val="none"/>
              </w:rPr>
            </w:pPr>
          </w:p>
        </w:tc>
        <w:tc>
          <w:tcPr>
            <w:tcW w:w="1359" w:type="dxa"/>
            <w:tcBorders>
              <w:top w:val="single" w:color="auto" w:sz="4" w:space="0"/>
              <w:left w:val="single" w:color="auto" w:sz="4" w:space="0"/>
              <w:right w:val="single" w:color="auto" w:sz="4" w:space="0"/>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cs="Times New Roman"/>
                <w:b/>
                <w:sz w:val="21"/>
                <w:szCs w:val="21"/>
                <w:highlight w:val="none"/>
                <w:lang w:eastAsia="zh-CN"/>
              </w:rPr>
            </w:pPr>
            <w:r>
              <w:rPr>
                <w:rFonts w:hint="eastAsia" w:ascii="宋体" w:hAnsi="宋体" w:cs="Times New Roman"/>
                <w:b/>
                <w:sz w:val="21"/>
                <w:szCs w:val="21"/>
                <w:highlight w:val="none"/>
              </w:rPr>
              <w:t>工作进度控制措施（</w:t>
            </w:r>
            <w:r>
              <w:rPr>
                <w:rFonts w:hint="eastAsia" w:ascii="宋体" w:hAnsi="宋体" w:cs="Times New Roman"/>
                <w:b/>
                <w:sz w:val="21"/>
                <w:szCs w:val="21"/>
                <w:highlight w:val="none"/>
                <w:lang w:val="en-US" w:eastAsia="zh-CN"/>
              </w:rPr>
              <w:t>10</w:t>
            </w:r>
            <w:r>
              <w:rPr>
                <w:rFonts w:hint="eastAsia" w:ascii="宋体" w:hAnsi="宋体" w:cs="Times New Roman"/>
                <w:b/>
                <w:sz w:val="21"/>
                <w:szCs w:val="21"/>
                <w:highlight w:val="none"/>
              </w:rPr>
              <w:t>分）</w:t>
            </w:r>
          </w:p>
        </w:tc>
        <w:tc>
          <w:tcPr>
            <w:tcW w:w="6400" w:type="dxa"/>
            <w:tcBorders>
              <w:top w:val="single" w:color="auto" w:sz="4" w:space="0"/>
              <w:left w:val="single" w:color="auto" w:sz="4" w:space="0"/>
              <w:right w:val="single" w:color="auto" w:sz="4" w:space="0"/>
            </w:tcBorders>
            <w:noWrap w:val="0"/>
            <w:vAlign w:val="top"/>
          </w:tcPr>
          <w:p>
            <w:pPr>
              <w:pStyle w:val="28"/>
              <w:spacing w:before="4" w:line="360" w:lineRule="exact"/>
              <w:ind w:left="4" w:right="129"/>
              <w:rPr>
                <w:rFonts w:asciiTheme="minorEastAsia" w:hAnsiTheme="minorEastAsia" w:eastAsiaTheme="minorEastAsia" w:cstheme="minorEastAsia"/>
                <w:sz w:val="21"/>
                <w:szCs w:val="21"/>
                <w:highlight w:val="none"/>
              </w:rPr>
            </w:pPr>
            <w:r>
              <w:rPr>
                <w:rFonts w:hint="eastAsia" w:ascii="宋体" w:hAnsi="宋体" w:eastAsia="宋体" w:cs="宋体"/>
                <w:color w:val="auto"/>
                <w:sz w:val="21"/>
                <w:szCs w:val="21"/>
                <w:lang w:val="en-US" w:eastAsia="zh-CN"/>
              </w:rPr>
              <w:t>合理规划项目进度且符合招标文件需求</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进度计划科学合理且有进度控制计划表，</w:t>
            </w:r>
            <w:r>
              <w:rPr>
                <w:rFonts w:hint="eastAsia" w:asciiTheme="minorEastAsia" w:hAnsiTheme="minorEastAsia" w:eastAsiaTheme="minorEastAsia" w:cstheme="minorEastAsia"/>
                <w:sz w:val="21"/>
                <w:szCs w:val="21"/>
                <w:highlight w:val="none"/>
              </w:rPr>
              <w:t>实施进度安排和时间节点合理、详细、可操作性强：</w:t>
            </w:r>
          </w:p>
          <w:p>
            <w:pPr>
              <w:pStyle w:val="28"/>
              <w:keepNext w:val="0"/>
              <w:keepLines w:val="0"/>
              <w:pageBreakBefore w:val="0"/>
              <w:widowControl w:val="0"/>
              <w:kinsoku/>
              <w:wordWrap/>
              <w:overflowPunct/>
              <w:topLinePunct w:val="0"/>
              <w:autoSpaceDE/>
              <w:autoSpaceDN/>
              <w:bidi w:val="0"/>
              <w:adjustRightInd/>
              <w:snapToGrid/>
              <w:spacing w:line="400" w:lineRule="exact"/>
              <w:ind w:left="107" w:leftChars="0" w:right="0" w:rightChars="0" w:firstLine="0" w:firstLineChars="0"/>
              <w:jc w:val="both"/>
              <w:textAlignment w:val="auto"/>
              <w:rPr>
                <w:rFonts w:hint="eastAsia" w:ascii="宋体" w:hAnsi="宋体" w:eastAsia="宋体" w:cs="宋体"/>
                <w:color w:val="auto"/>
                <w:spacing w:val="-10"/>
                <w:sz w:val="21"/>
                <w:szCs w:val="21"/>
              </w:rPr>
            </w:pPr>
            <w:r>
              <w:rPr>
                <w:rFonts w:hint="eastAsia" w:asciiTheme="minorEastAsia" w:hAnsiTheme="minorEastAsia" w:eastAsiaTheme="minorEastAsia" w:cstheme="minorEastAsia"/>
                <w:sz w:val="21"/>
                <w:szCs w:val="21"/>
                <w:highlight w:val="none"/>
              </w:rPr>
              <w:t>优秀得</w:t>
            </w: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sz w:val="21"/>
                <w:szCs w:val="21"/>
                <w:highlight w:val="none"/>
              </w:rPr>
              <w:t>分；良好得</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分；一般得0-</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eastAsia="zh-CN"/>
              </w:rPr>
              <w:t>；不提供者不得分。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1241" w:type="dxa"/>
            <w:vMerge w:val="continue"/>
            <w:tcBorders>
              <w:left w:val="single" w:color="auto" w:sz="4" w:space="0"/>
              <w:right w:val="single" w:color="auto" w:sz="4" w:space="0"/>
            </w:tcBorders>
            <w:noWrap w:val="0"/>
            <w:vAlign w:val="center"/>
          </w:tcPr>
          <w:p>
            <w:pPr>
              <w:topLinePunct/>
              <w:spacing w:line="420" w:lineRule="exact"/>
              <w:jc w:val="center"/>
              <w:rPr>
                <w:rFonts w:hint="eastAsia" w:ascii="宋体" w:hAnsi="宋体"/>
                <w:b/>
                <w:bCs/>
                <w:sz w:val="21"/>
                <w:szCs w:val="21"/>
                <w:highlight w:val="none"/>
              </w:rPr>
            </w:pPr>
          </w:p>
        </w:tc>
        <w:tc>
          <w:tcPr>
            <w:tcW w:w="1359" w:type="dxa"/>
            <w:tcBorders>
              <w:top w:val="single" w:color="auto" w:sz="4" w:space="0"/>
              <w:left w:val="single" w:color="auto" w:sz="4" w:space="0"/>
              <w:right w:val="single" w:color="auto" w:sz="4" w:space="0"/>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sz w:val="21"/>
                <w:szCs w:val="21"/>
                <w:lang w:eastAsia="zh-CN"/>
              </w:rPr>
            </w:pPr>
            <w:r>
              <w:rPr>
                <w:rFonts w:hint="eastAsia" w:ascii="宋体" w:hAnsi="宋体" w:eastAsia="宋体" w:cs="宋体"/>
                <w:b/>
                <w:bCs/>
                <w:color w:val="auto"/>
                <w:sz w:val="21"/>
                <w:szCs w:val="21"/>
                <w:lang w:val="en-US" w:eastAsia="zh-CN"/>
              </w:rPr>
              <w:t>样片展示</w:t>
            </w:r>
            <w:r>
              <w:rPr>
                <w:rFonts w:hint="eastAsia" w:ascii="宋体" w:hAnsi="宋体" w:cs="Times New Roman"/>
                <w:b/>
                <w:sz w:val="21"/>
                <w:szCs w:val="21"/>
                <w:highlight w:val="none"/>
              </w:rPr>
              <w:t>（</w:t>
            </w:r>
            <w:r>
              <w:rPr>
                <w:rFonts w:hint="eastAsia" w:ascii="宋体" w:hAnsi="宋体" w:cs="Times New Roman"/>
                <w:b/>
                <w:sz w:val="21"/>
                <w:szCs w:val="21"/>
                <w:highlight w:val="none"/>
                <w:lang w:val="en-US" w:eastAsia="zh-CN"/>
              </w:rPr>
              <w:t>5</w:t>
            </w:r>
            <w:r>
              <w:rPr>
                <w:rFonts w:ascii="宋体" w:hAnsi="宋体" w:cs="Times New Roman"/>
                <w:b/>
                <w:sz w:val="21"/>
                <w:szCs w:val="21"/>
                <w:highlight w:val="none"/>
              </w:rPr>
              <w:t>分</w:t>
            </w:r>
            <w:r>
              <w:rPr>
                <w:rFonts w:hint="eastAsia" w:ascii="宋体" w:hAnsi="宋体" w:cs="Times New Roman"/>
                <w:b/>
                <w:sz w:val="21"/>
                <w:szCs w:val="21"/>
                <w:highlight w:val="none"/>
              </w:rPr>
              <w:t>）</w:t>
            </w:r>
          </w:p>
        </w:tc>
        <w:tc>
          <w:tcPr>
            <w:tcW w:w="6400" w:type="dxa"/>
            <w:tcBorders>
              <w:top w:val="single" w:color="auto" w:sz="4" w:space="0"/>
              <w:left w:val="single" w:color="auto" w:sz="4" w:space="0"/>
              <w:right w:val="single" w:color="auto" w:sz="4" w:space="0"/>
            </w:tcBorders>
            <w:noWrap w:val="0"/>
            <w:vAlign w:val="top"/>
          </w:tcPr>
          <w:p>
            <w:pPr>
              <w:pStyle w:val="28"/>
              <w:keepNext w:val="0"/>
              <w:keepLines w:val="0"/>
              <w:pageBreakBefore w:val="0"/>
              <w:widowControl w:val="0"/>
              <w:kinsoku/>
              <w:wordWrap/>
              <w:overflowPunct/>
              <w:topLinePunct w:val="0"/>
              <w:autoSpaceDE/>
              <w:autoSpaceDN/>
              <w:bidi w:val="0"/>
              <w:adjustRightInd/>
              <w:snapToGrid/>
              <w:spacing w:line="400" w:lineRule="exact"/>
              <w:ind w:left="107" w:leftChars="0" w:right="0" w:righ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yellow"/>
                <w:lang w:val="en-US" w:eastAsia="zh-CN"/>
              </w:rPr>
              <w:t>展示由供应商自己独立完成的与本项目类似样片</w:t>
            </w:r>
            <w:r>
              <w:rPr>
                <w:rFonts w:hint="eastAsia" w:ascii="宋体" w:hAnsi="宋体" w:eastAsia="宋体" w:cs="宋体"/>
                <w:color w:val="auto"/>
                <w:sz w:val="21"/>
                <w:szCs w:val="21"/>
                <w:lang w:val="en-US" w:eastAsia="zh-CN"/>
              </w:rPr>
              <w:t>（时间不得超过5分钟），根据样片质量综合赋分：</w:t>
            </w:r>
          </w:p>
          <w:p>
            <w:pPr>
              <w:pStyle w:val="28"/>
              <w:keepNext w:val="0"/>
              <w:keepLines w:val="0"/>
              <w:pageBreakBefore w:val="0"/>
              <w:widowControl w:val="0"/>
              <w:kinsoku/>
              <w:wordWrap/>
              <w:overflowPunct/>
              <w:topLinePunct w:val="0"/>
              <w:autoSpaceDE/>
              <w:autoSpaceDN/>
              <w:bidi w:val="0"/>
              <w:adjustRightInd/>
              <w:snapToGrid/>
              <w:spacing w:line="400" w:lineRule="exact"/>
              <w:ind w:left="107" w:leftChars="0" w:right="0" w:rightChars="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color w:val="auto"/>
                <w:spacing w:val="-4"/>
                <w:sz w:val="21"/>
                <w:szCs w:val="21"/>
              </w:rPr>
              <w:t>优 10-8 分；良 7-4 分；中3-2 分；差1- 0；不提供者不得分。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1241" w:type="dxa"/>
            <w:vMerge w:val="continue"/>
            <w:tcBorders>
              <w:left w:val="single" w:color="auto" w:sz="4" w:space="0"/>
              <w:right w:val="single" w:color="auto" w:sz="4" w:space="0"/>
            </w:tcBorders>
            <w:noWrap w:val="0"/>
            <w:vAlign w:val="center"/>
          </w:tcPr>
          <w:p>
            <w:pPr>
              <w:topLinePunct/>
              <w:spacing w:line="420" w:lineRule="exact"/>
              <w:jc w:val="center"/>
              <w:rPr>
                <w:rFonts w:hint="eastAsia" w:ascii="宋体" w:hAnsi="宋体"/>
                <w:b/>
                <w:bCs/>
                <w:sz w:val="21"/>
                <w:szCs w:val="21"/>
                <w:highlight w:val="none"/>
              </w:rPr>
            </w:pPr>
          </w:p>
        </w:tc>
        <w:tc>
          <w:tcPr>
            <w:tcW w:w="1359" w:type="dxa"/>
            <w:tcBorders>
              <w:top w:val="single" w:color="auto" w:sz="4" w:space="0"/>
              <w:left w:val="single" w:color="auto" w:sz="4" w:space="0"/>
              <w:right w:val="single" w:color="auto" w:sz="4" w:space="0"/>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专业设备</w:t>
            </w:r>
            <w:r>
              <w:rPr>
                <w:rFonts w:hint="eastAsia" w:ascii="宋体" w:hAnsi="宋体" w:cs="Times New Roman"/>
                <w:b/>
                <w:sz w:val="21"/>
                <w:szCs w:val="21"/>
                <w:highlight w:val="none"/>
              </w:rPr>
              <w:t>（</w:t>
            </w:r>
            <w:r>
              <w:rPr>
                <w:rFonts w:hint="eastAsia" w:ascii="宋体" w:hAnsi="宋体" w:cs="Times New Roman"/>
                <w:b/>
                <w:sz w:val="21"/>
                <w:szCs w:val="21"/>
                <w:highlight w:val="none"/>
                <w:lang w:val="en-US" w:eastAsia="zh-CN"/>
              </w:rPr>
              <w:t>10</w:t>
            </w:r>
            <w:r>
              <w:rPr>
                <w:rFonts w:ascii="宋体" w:hAnsi="宋体" w:cs="Times New Roman"/>
                <w:b/>
                <w:sz w:val="21"/>
                <w:szCs w:val="21"/>
                <w:highlight w:val="none"/>
              </w:rPr>
              <w:t>分</w:t>
            </w:r>
            <w:r>
              <w:rPr>
                <w:rFonts w:hint="eastAsia" w:ascii="宋体" w:hAnsi="宋体" w:cs="Times New Roman"/>
                <w:b/>
                <w:sz w:val="21"/>
                <w:szCs w:val="21"/>
                <w:highlight w:val="none"/>
              </w:rPr>
              <w:t>）</w:t>
            </w:r>
          </w:p>
        </w:tc>
        <w:tc>
          <w:tcPr>
            <w:tcW w:w="6400" w:type="dxa"/>
            <w:tcBorders>
              <w:top w:val="single" w:color="auto" w:sz="4" w:space="0"/>
              <w:left w:val="single" w:color="auto" w:sz="4" w:space="0"/>
              <w:right w:val="single" w:color="auto" w:sz="4" w:space="0"/>
            </w:tcBorders>
            <w:noWrap w:val="0"/>
            <w:vAlign w:val="top"/>
          </w:tcPr>
          <w:p>
            <w:pPr>
              <w:pStyle w:val="28"/>
              <w:keepNext w:val="0"/>
              <w:keepLines w:val="0"/>
              <w:pageBreakBefore w:val="0"/>
              <w:widowControl w:val="0"/>
              <w:kinsoku/>
              <w:wordWrap/>
              <w:overflowPunct/>
              <w:topLinePunct w:val="0"/>
              <w:autoSpaceDE/>
              <w:autoSpaceDN/>
              <w:bidi w:val="0"/>
              <w:adjustRightInd/>
              <w:snapToGrid/>
              <w:spacing w:line="400" w:lineRule="exact"/>
              <w:ind w:left="107" w:leftChars="0" w:right="0" w:righ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根据</w:t>
            </w:r>
            <w:r>
              <w:rPr>
                <w:rFonts w:hint="eastAsia" w:ascii="宋体" w:hAnsi="宋体" w:eastAsia="宋体" w:cs="宋体"/>
                <w:color w:val="auto"/>
                <w:sz w:val="21"/>
                <w:szCs w:val="21"/>
                <w:lang w:val="en-US" w:eastAsia="zh-CN"/>
              </w:rPr>
              <w:t>采购文件的要求能提供完全满足项目需求所使用的专业拍摄和制作器材设备清单。</w:t>
            </w:r>
          </w:p>
          <w:p>
            <w:pPr>
              <w:pStyle w:val="28"/>
              <w:keepNext w:val="0"/>
              <w:keepLines w:val="0"/>
              <w:pageBreakBefore w:val="0"/>
              <w:widowControl w:val="0"/>
              <w:kinsoku/>
              <w:wordWrap/>
              <w:overflowPunct/>
              <w:topLinePunct w:val="0"/>
              <w:autoSpaceDE/>
              <w:autoSpaceDN/>
              <w:bidi w:val="0"/>
              <w:adjustRightInd/>
              <w:snapToGrid/>
              <w:spacing w:line="400" w:lineRule="exact"/>
              <w:ind w:left="107" w:leftChars="0" w:right="0" w:righ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根据供应商投标</w:t>
            </w:r>
            <w:r>
              <w:rPr>
                <w:rFonts w:hint="eastAsia" w:ascii="宋体" w:hAnsi="宋体" w:eastAsia="宋体" w:cs="宋体"/>
                <w:color w:val="auto"/>
                <w:spacing w:val="-4"/>
                <w:sz w:val="21"/>
                <w:szCs w:val="21"/>
              </w:rPr>
              <w:t>文件的响应程度</w:t>
            </w:r>
            <w:r>
              <w:rPr>
                <w:rFonts w:hint="eastAsia" w:ascii="宋体" w:hAnsi="宋体" w:eastAsia="宋体" w:cs="宋体"/>
                <w:color w:val="auto"/>
                <w:spacing w:val="-4"/>
                <w:sz w:val="21"/>
                <w:szCs w:val="21"/>
                <w:lang w:eastAsia="zh-CN"/>
              </w:rPr>
              <w:t>综合</w:t>
            </w:r>
            <w:r>
              <w:rPr>
                <w:rFonts w:hint="eastAsia" w:ascii="宋体" w:hAnsi="宋体" w:eastAsia="宋体" w:cs="宋体"/>
                <w:color w:val="auto"/>
                <w:spacing w:val="-4"/>
                <w:sz w:val="21"/>
                <w:szCs w:val="21"/>
              </w:rPr>
              <w:t>赋分：</w:t>
            </w:r>
            <w:r>
              <w:rPr>
                <w:rFonts w:hint="eastAsia" w:asciiTheme="minorEastAsia" w:hAnsiTheme="minorEastAsia" w:eastAsiaTheme="minorEastAsia" w:cstheme="minorEastAsia"/>
                <w:sz w:val="21"/>
                <w:szCs w:val="21"/>
                <w:highlight w:val="none"/>
              </w:rPr>
              <w:t>优秀得</w:t>
            </w: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sz w:val="21"/>
                <w:szCs w:val="21"/>
                <w:highlight w:val="none"/>
              </w:rPr>
              <w:t>分；良好得</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分；一般得0-</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eastAsia="zh-CN"/>
              </w:rPr>
              <w:t>；不提供者不得分。</w:t>
            </w:r>
          </w:p>
          <w:p>
            <w:pPr>
              <w:pStyle w:val="28"/>
              <w:keepNext w:val="0"/>
              <w:keepLines w:val="0"/>
              <w:pageBreakBefore w:val="0"/>
              <w:widowControl w:val="0"/>
              <w:kinsoku/>
              <w:wordWrap/>
              <w:overflowPunct/>
              <w:topLinePunct w:val="0"/>
              <w:autoSpaceDE/>
              <w:autoSpaceDN/>
              <w:bidi w:val="0"/>
              <w:adjustRightInd/>
              <w:snapToGrid/>
              <w:spacing w:line="400" w:lineRule="exact"/>
              <w:ind w:left="107" w:leftChars="0" w:right="0" w:rightChars="0" w:firstLine="0" w:firstLineChars="0"/>
              <w:jc w:val="both"/>
              <w:textAlignment w:val="auto"/>
              <w:rPr>
                <w:rFonts w:hint="eastAsia" w:ascii="宋体" w:hAnsi="宋体" w:eastAsia="宋体" w:cs="宋体"/>
                <w:color w:val="auto"/>
                <w:spacing w:val="-4"/>
                <w:sz w:val="21"/>
                <w:szCs w:val="21"/>
              </w:rPr>
            </w:pPr>
            <w:r>
              <w:rPr>
                <w:rFonts w:hint="eastAsia" w:ascii="宋体" w:hAnsi="宋体" w:eastAsia="宋体" w:cs="宋体"/>
                <w:color w:val="auto"/>
                <w:sz w:val="21"/>
                <w:szCs w:val="21"/>
                <w:lang w:eastAsia="zh-CN"/>
              </w:rPr>
              <w:t>注：</w:t>
            </w:r>
            <w:r>
              <w:rPr>
                <w:rFonts w:hint="eastAsia" w:ascii="宋体" w:hAnsi="宋体" w:eastAsia="宋体" w:cs="宋体"/>
                <w:color w:val="auto"/>
                <w:sz w:val="21"/>
                <w:szCs w:val="21"/>
                <w:lang w:val="en-US" w:eastAsia="zh-CN"/>
              </w:rPr>
              <w:t>需附证明材料，如采购发票、租赁合同等，</w:t>
            </w:r>
            <w:r>
              <w:rPr>
                <w:rFonts w:hint="eastAsia" w:ascii="宋体" w:hAnsi="宋体" w:eastAsia="宋体" w:cs="宋体"/>
                <w:color w:val="auto"/>
                <w:sz w:val="21"/>
                <w:szCs w:val="21"/>
              </w:rPr>
              <w:t>不提供者不得分</w:t>
            </w:r>
            <w:r>
              <w:rPr>
                <w:rFonts w:hint="eastAsia" w:ascii="宋体" w:hAnsi="宋体" w:eastAsia="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1241" w:type="dxa"/>
            <w:vMerge w:val="continue"/>
            <w:tcBorders>
              <w:left w:val="single" w:color="auto" w:sz="4" w:space="0"/>
              <w:right w:val="single" w:color="auto" w:sz="4" w:space="0"/>
            </w:tcBorders>
            <w:noWrap w:val="0"/>
            <w:vAlign w:val="center"/>
          </w:tcPr>
          <w:p>
            <w:pPr>
              <w:topLinePunct/>
              <w:spacing w:line="420" w:lineRule="exact"/>
              <w:jc w:val="center"/>
              <w:rPr>
                <w:rFonts w:hint="eastAsia" w:ascii="宋体" w:hAnsi="宋体"/>
                <w:b/>
                <w:bCs/>
                <w:sz w:val="21"/>
                <w:szCs w:val="21"/>
                <w:highlight w:val="none"/>
              </w:rPr>
            </w:pPr>
          </w:p>
        </w:tc>
        <w:tc>
          <w:tcPr>
            <w:tcW w:w="1359" w:type="dxa"/>
            <w:tcBorders>
              <w:top w:val="single" w:color="auto" w:sz="4" w:space="0"/>
              <w:left w:val="single" w:color="auto" w:sz="4" w:space="0"/>
              <w:right w:val="single" w:color="auto" w:sz="4" w:space="0"/>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安全与应急预案</w:t>
            </w:r>
            <w:r>
              <w:rPr>
                <w:rFonts w:hint="eastAsia" w:ascii="宋体" w:hAnsi="宋体" w:cs="Times New Roman"/>
                <w:b/>
                <w:sz w:val="21"/>
                <w:szCs w:val="21"/>
                <w:highlight w:val="none"/>
              </w:rPr>
              <w:t>（</w:t>
            </w:r>
            <w:r>
              <w:rPr>
                <w:rFonts w:hint="eastAsia" w:ascii="宋体" w:hAnsi="宋体" w:cs="Times New Roman"/>
                <w:b/>
                <w:sz w:val="21"/>
                <w:szCs w:val="21"/>
                <w:highlight w:val="none"/>
                <w:lang w:val="en-US" w:eastAsia="zh-CN"/>
              </w:rPr>
              <w:t>5</w:t>
            </w:r>
            <w:r>
              <w:rPr>
                <w:rFonts w:ascii="宋体" w:hAnsi="宋体" w:cs="Times New Roman"/>
                <w:b/>
                <w:sz w:val="21"/>
                <w:szCs w:val="21"/>
                <w:highlight w:val="none"/>
              </w:rPr>
              <w:t>分</w:t>
            </w:r>
            <w:r>
              <w:rPr>
                <w:rFonts w:hint="eastAsia" w:ascii="宋体" w:hAnsi="宋体" w:cs="Times New Roman"/>
                <w:b/>
                <w:sz w:val="21"/>
                <w:szCs w:val="21"/>
                <w:highlight w:val="none"/>
              </w:rPr>
              <w:t>）</w:t>
            </w:r>
          </w:p>
        </w:tc>
        <w:tc>
          <w:tcPr>
            <w:tcW w:w="6400" w:type="dxa"/>
            <w:tcBorders>
              <w:top w:val="single" w:color="auto" w:sz="4" w:space="0"/>
              <w:left w:val="single" w:color="auto" w:sz="4" w:space="0"/>
              <w:right w:val="single" w:color="auto" w:sz="4" w:space="0"/>
            </w:tcBorders>
            <w:noWrap w:val="0"/>
            <w:vAlign w:val="top"/>
          </w:tcPr>
          <w:p>
            <w:pPr>
              <w:pStyle w:val="28"/>
              <w:keepNext w:val="0"/>
              <w:keepLines w:val="0"/>
              <w:pageBreakBefore w:val="0"/>
              <w:widowControl w:val="0"/>
              <w:kinsoku/>
              <w:wordWrap/>
              <w:overflowPunct/>
              <w:topLinePunct w:val="0"/>
              <w:autoSpaceDE/>
              <w:autoSpaceDN/>
              <w:bidi w:val="0"/>
              <w:adjustRightInd/>
              <w:snapToGrid/>
              <w:spacing w:line="400" w:lineRule="exact"/>
              <w:ind w:left="107" w:leftChars="0" w:right="0" w:rightChars="0" w:firstLine="0" w:firstLineChars="0"/>
              <w:jc w:val="both"/>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z w:val="21"/>
                <w:szCs w:val="21"/>
                <w:lang w:val="en-US" w:eastAsia="zh-CN"/>
              </w:rPr>
              <w:t>具有完善健全的安全保证措施及应急预案，应急预案需按照国家、地方及现状和有关规定进行编制，并满足本项目需求。根据供应商所提供措施和预案的全面性、针对性、精细性等进行综合</w:t>
            </w:r>
            <w:r>
              <w:rPr>
                <w:rFonts w:hint="eastAsia" w:ascii="宋体" w:hAnsi="宋体" w:eastAsia="宋体" w:cs="宋体"/>
                <w:color w:val="auto"/>
                <w:spacing w:val="-4"/>
                <w:sz w:val="21"/>
                <w:szCs w:val="21"/>
              </w:rPr>
              <w:t>赋分：</w:t>
            </w:r>
            <w:r>
              <w:rPr>
                <w:rFonts w:hint="eastAsia" w:ascii="宋体" w:hAnsi="宋体" w:eastAsia="宋体" w:cs="宋体"/>
                <w:color w:val="auto"/>
                <w:spacing w:val="-10"/>
                <w:sz w:val="21"/>
                <w:szCs w:val="21"/>
              </w:rPr>
              <w:t>优</w:t>
            </w:r>
            <w:r>
              <w:rPr>
                <w:rFonts w:hint="eastAsia" w:asciiTheme="minorEastAsia" w:hAnsiTheme="minorEastAsia" w:eastAsiaTheme="minorEastAsia" w:cstheme="minorEastAsia"/>
                <w:sz w:val="21"/>
                <w:szCs w:val="21"/>
                <w:highlight w:val="none"/>
              </w:rPr>
              <w:t xml:space="preserve">优秀得 </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 xml:space="preserve"> 分；良好得 </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 xml:space="preserve"> 分；一般得 0-</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 xml:space="preserve"> 分</w:t>
            </w:r>
            <w:r>
              <w:rPr>
                <w:rFonts w:hint="eastAsia" w:ascii="宋体" w:hAnsi="宋体" w:eastAsia="宋体" w:cs="宋体"/>
                <w:color w:val="auto"/>
                <w:sz w:val="21"/>
                <w:szCs w:val="21"/>
              </w:rPr>
              <w:t>；不提供者不得分。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0"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20" w:lineRule="exact"/>
              <w:rPr>
                <w:rFonts w:hint="eastAsia" w:ascii="宋体" w:hAnsi="宋体"/>
                <w:sz w:val="21"/>
                <w:szCs w:val="21"/>
                <w:highlight w:val="none"/>
              </w:rPr>
            </w:pPr>
          </w:p>
        </w:tc>
      </w:tr>
    </w:tbl>
    <w:p>
      <w:pPr>
        <w:rPr>
          <w:rFonts w:hint="eastAsia" w:ascii="宋体" w:hAnsi="宋体" w:eastAsia="宋体" w:cs="宋体"/>
          <w:szCs w:val="24"/>
          <w:highlight w:val="none"/>
        </w:rPr>
      </w:pPr>
    </w:p>
    <w:p>
      <w:pPr>
        <w:pStyle w:val="2"/>
        <w:kinsoku w:val="0"/>
        <w:overflowPunct w:val="0"/>
        <w:spacing w:before="34"/>
        <w:jc w:val="both"/>
        <w:rPr>
          <w:rFonts w:hint="eastAsia" w:ascii="宋体" w:hAnsi="宋体" w:eastAsia="宋体" w:cs="宋体"/>
          <w:b/>
          <w:highlight w:val="none"/>
        </w:rPr>
      </w:pPr>
      <w:r>
        <w:rPr>
          <w:rFonts w:hint="eastAsia" w:ascii="宋体" w:hAnsi="宋体" w:eastAsia="宋体" w:cs="宋体"/>
          <w:b/>
          <w:bCs/>
          <w:highlight w:val="none"/>
        </w:rPr>
        <w:t>备注：</w:t>
      </w:r>
      <w:r>
        <w:rPr>
          <w:rFonts w:hint="eastAsia" w:ascii="宋体" w:hAnsi="宋体" w:eastAsia="宋体" w:cs="宋体"/>
          <w:b/>
          <w:highlight w:val="none"/>
        </w:rPr>
        <w:t>以上涉及证书、业绩的，均需要提供原件以备查。</w:t>
      </w:r>
      <w:r>
        <w:rPr>
          <w:rFonts w:hint="eastAsia" w:ascii="宋体" w:hAnsi="宋体" w:eastAsia="宋体" w:cs="宋体"/>
          <w:b/>
          <w:highlight w:val="none"/>
          <w:lang w:eastAsia="zh-CN"/>
        </w:rPr>
        <w:t>投标文件</w:t>
      </w:r>
      <w:r>
        <w:rPr>
          <w:rFonts w:hint="eastAsia" w:ascii="宋体" w:hAnsi="宋体" w:eastAsia="宋体" w:cs="宋体"/>
          <w:b/>
          <w:highlight w:val="none"/>
        </w:rPr>
        <w:t>中可用复印件加盖公章，业绩以中标通知书或者合同为准。</w:t>
      </w:r>
    </w:p>
    <w:p>
      <w:pPr>
        <w:pStyle w:val="2"/>
        <w:kinsoku w:val="0"/>
        <w:overflowPunct w:val="0"/>
        <w:spacing w:before="34"/>
        <w:ind w:left="0"/>
        <w:jc w:val="both"/>
        <w:rPr>
          <w:rFonts w:hint="eastAsia" w:ascii="宋体" w:hAnsi="宋体" w:eastAsia="宋体" w:cs="宋体"/>
          <w:b/>
          <w:bCs/>
          <w:highlight w:val="none"/>
        </w:rPr>
      </w:pPr>
    </w:p>
    <w:p>
      <w:pPr>
        <w:pStyle w:val="2"/>
        <w:kinsoku w:val="0"/>
        <w:overflowPunct w:val="0"/>
        <w:spacing w:before="34"/>
        <w:ind w:left="0"/>
        <w:jc w:val="both"/>
        <w:rPr>
          <w:rFonts w:hint="eastAsia" w:ascii="宋体" w:hAnsi="宋体" w:eastAsia="宋体" w:cs="宋体"/>
          <w:b/>
          <w:bCs/>
          <w:highlight w:val="none"/>
        </w:rPr>
      </w:pPr>
      <w:r>
        <w:rPr>
          <w:rFonts w:hint="eastAsia" w:ascii="宋体" w:hAnsi="宋体" w:eastAsia="宋体" w:cs="宋体"/>
          <w:b/>
          <w:bCs/>
          <w:highlight w:val="none"/>
        </w:rPr>
        <w:t>投标报价计算备注：</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1、根据</w:t>
      </w:r>
      <w:r>
        <w:rPr>
          <w:rFonts w:hint="eastAsia" w:ascii="宋体" w:hAnsi="宋体" w:eastAsia="宋体" w:cs="宋体"/>
          <w:b w:val="0"/>
          <w:bCs w:val="0"/>
          <w:i w:val="0"/>
          <w:iCs w:val="0"/>
          <w:color w:val="auto"/>
          <w:sz w:val="24"/>
          <w:szCs w:val="24"/>
          <w:highlight w:val="none"/>
          <w:u w:val="none"/>
        </w:rPr>
        <w:t>《政府采购促进中小企业发展管理办法》（财库﹝2020﹞46 号）</w:t>
      </w:r>
      <w:r>
        <w:rPr>
          <w:rFonts w:hint="eastAsia" w:ascii="宋体" w:hAnsi="宋体" w:eastAsia="宋体" w:cs="宋体"/>
          <w:highlight w:val="none"/>
        </w:rPr>
        <w:t>和工信部联企业〔2011〕300 号文件规定，对小型和微型企业产品的价格给予 6%的扣除，用扣除后的价格参与评审；大中型企业和其他自然人、法人或者其他组织与小型、微型企业组成联合体共同参加 非专门面向中小企业的政府采购活动的，小微企业的合同金额占联合体协议合同总金额 30%以上的，给予联合体3%的价格扣除，用扣除后的价格参与评审。</w:t>
      </w:r>
    </w:p>
    <w:p>
      <w:pPr>
        <w:pStyle w:val="2"/>
        <w:kinsoku w:val="0"/>
        <w:overflowPunct w:val="0"/>
        <w:spacing w:before="34" w:line="357" w:lineRule="auto"/>
        <w:ind w:right="126" w:firstLine="480"/>
        <w:rPr>
          <w:rFonts w:hint="eastAsia" w:ascii="宋体" w:hAnsi="宋体" w:eastAsia="宋体" w:cs="宋体"/>
          <w:color w:val="FF0000"/>
          <w:highlight w:val="none"/>
        </w:rPr>
      </w:pPr>
      <w:r>
        <w:rPr>
          <w:rFonts w:hint="eastAsia" w:ascii="宋体" w:hAnsi="宋体" w:eastAsia="宋体" w:cs="宋体"/>
          <w:highlight w:val="none"/>
        </w:rPr>
        <w:t>2、根据《财政部民政部中国残疾人联合会关于促进残疾人就业政府采购政策的通知》（财库【2017】141号）文件规定，对满足价格扣除条件且在投标文件中提交了《残疾人福利性单位声明函》等证明文件的投标人，其投标报价扣除6%后参与评审，不与第1条叠加。</w:t>
      </w:r>
    </w:p>
    <w:p>
      <w:pPr>
        <w:pStyle w:val="2"/>
        <w:kinsoku w:val="0"/>
        <w:overflowPunct w:val="0"/>
        <w:spacing w:before="34" w:line="357" w:lineRule="auto"/>
        <w:ind w:right="126"/>
        <w:rPr>
          <w:rFonts w:hint="eastAsia" w:ascii="宋体" w:hAnsi="宋体" w:eastAsia="宋体" w:cs="宋体"/>
          <w:highlight w:val="none"/>
        </w:rPr>
      </w:pPr>
      <w:r>
        <w:rPr>
          <w:rFonts w:hint="eastAsia" w:ascii="宋体" w:hAnsi="宋体" w:eastAsia="宋体" w:cs="宋体"/>
          <w:b/>
          <w:bCs/>
          <w:highlight w:val="none"/>
        </w:rPr>
        <w:t>计分原则：</w:t>
      </w:r>
      <w:r>
        <w:rPr>
          <w:rFonts w:hint="eastAsia" w:ascii="宋体" w:hAnsi="宋体" w:eastAsia="宋体" w:cs="宋体"/>
          <w:highlight w:val="none"/>
        </w:rPr>
        <w:t>1、投标报价得分由磋商小组按照价格分计算公式计算分值。</w:t>
      </w:r>
    </w:p>
    <w:p>
      <w:pPr>
        <w:pStyle w:val="2"/>
        <w:kinsoku w:val="0"/>
        <w:overflowPunct w:val="0"/>
        <w:spacing w:before="34" w:line="357" w:lineRule="auto"/>
        <w:ind w:right="126" w:firstLine="1262" w:firstLineChars="526"/>
        <w:rPr>
          <w:rFonts w:hint="eastAsia" w:ascii="宋体" w:hAnsi="宋体" w:eastAsia="宋体" w:cs="宋体"/>
          <w:highlight w:val="none"/>
        </w:rPr>
      </w:pPr>
      <w:r>
        <w:rPr>
          <w:rFonts w:hint="eastAsia" w:ascii="宋体" w:hAnsi="宋体" w:eastAsia="宋体" w:cs="宋体"/>
          <w:highlight w:val="none"/>
        </w:rPr>
        <w:t>2、商务部分由磋商小组共同评定唯一的得分。</w:t>
      </w:r>
    </w:p>
    <w:p>
      <w:pPr>
        <w:pStyle w:val="2"/>
        <w:kinsoku w:val="0"/>
        <w:overflowPunct w:val="0"/>
        <w:spacing w:before="34" w:line="357" w:lineRule="auto"/>
        <w:ind w:right="126" w:firstLine="1262" w:firstLineChars="526"/>
        <w:rPr>
          <w:rFonts w:hint="eastAsia" w:ascii="宋体" w:hAnsi="宋体" w:eastAsia="宋体" w:cs="宋体"/>
          <w:highlight w:val="none"/>
        </w:rPr>
      </w:pPr>
      <w:r>
        <w:rPr>
          <w:rFonts w:hint="eastAsia" w:ascii="宋体" w:hAnsi="宋体" w:eastAsia="宋体" w:cs="宋体"/>
          <w:highlight w:val="none"/>
        </w:rPr>
        <w:t>3、技术部分由磋商小组专家分别打分后，取平均分作为技术分最后得分。</w:t>
      </w:r>
    </w:p>
    <w:p>
      <w:pPr>
        <w:pStyle w:val="2"/>
        <w:kinsoku w:val="0"/>
        <w:overflowPunct w:val="0"/>
        <w:spacing w:before="34" w:line="357" w:lineRule="auto"/>
        <w:ind w:left="836" w:leftChars="398" w:right="126" w:firstLine="540" w:firstLineChars="225"/>
        <w:rPr>
          <w:rFonts w:hint="eastAsia" w:ascii="宋体" w:hAnsi="宋体" w:eastAsia="宋体" w:cs="宋体"/>
          <w:highlight w:val="none"/>
        </w:rPr>
      </w:pPr>
      <w:r>
        <w:rPr>
          <w:rFonts w:hint="eastAsia" w:ascii="宋体" w:hAnsi="宋体" w:eastAsia="宋体" w:cs="宋体"/>
          <w:highlight w:val="none"/>
        </w:rPr>
        <w:t>4、供应商综合评分最终总分值为投标报价、商务部分和技术部分三部分得分总和。评分计算保留 2 位小数，第三位小数四舍五入。</w:t>
      </w:r>
    </w:p>
    <w:p>
      <w:pPr>
        <w:pStyle w:val="2"/>
        <w:kinsoku w:val="0"/>
        <w:overflowPunct w:val="0"/>
        <w:spacing w:before="34" w:line="357" w:lineRule="auto"/>
        <w:ind w:left="836" w:leftChars="398" w:right="126" w:firstLine="540" w:firstLineChars="225"/>
        <w:rPr>
          <w:rFonts w:hint="eastAsia" w:ascii="宋体" w:hAnsi="宋体" w:eastAsia="宋体" w:cs="宋体"/>
          <w:highlight w:val="none"/>
        </w:rPr>
      </w:pPr>
      <w:r>
        <w:rPr>
          <w:rFonts w:hint="eastAsia" w:ascii="宋体" w:hAnsi="宋体" w:eastAsia="宋体" w:cs="宋体"/>
          <w:highlight w:val="none"/>
        </w:rPr>
        <w:t>5、得分相同的，按投标报价由低到高顺序排列。得分且投标报价相同的，按技术指标优劣顺序排列。</w:t>
      </w:r>
    </w:p>
    <w:p>
      <w:pPr>
        <w:pStyle w:val="2"/>
        <w:kinsoku w:val="0"/>
        <w:overflowPunct w:val="0"/>
        <w:spacing w:before="34" w:line="357" w:lineRule="auto"/>
        <w:ind w:left="836" w:leftChars="398" w:right="126" w:firstLine="540" w:firstLineChars="225"/>
        <w:rPr>
          <w:rFonts w:hint="eastAsia" w:ascii="宋体" w:hAnsi="宋体" w:eastAsia="宋体" w:cs="宋体"/>
          <w:highlight w:val="none"/>
        </w:rPr>
      </w:pPr>
      <w:r>
        <w:rPr>
          <w:rFonts w:hint="eastAsia" w:ascii="宋体" w:hAnsi="宋体" w:eastAsia="宋体" w:cs="宋体"/>
          <w:highlight w:val="none"/>
        </w:rPr>
        <w:t>6、磋商小组按评分排序确定中标人，同时提交评标报告，由磋商小组成员集体签名。第一中标候选人放弃中标后，由第二名作为中标候选人，依次类推。</w:t>
      </w:r>
    </w:p>
    <w:p>
      <w:pPr>
        <w:pStyle w:val="2"/>
        <w:kinsoku w:val="0"/>
        <w:overflowPunct w:val="0"/>
        <w:spacing w:before="34" w:line="357" w:lineRule="auto"/>
        <w:ind w:right="126" w:firstLine="1262" w:firstLineChars="526"/>
        <w:rPr>
          <w:rFonts w:hint="eastAsia" w:ascii="宋体" w:hAnsi="宋体" w:eastAsia="宋体" w:cs="宋体"/>
          <w:highlight w:val="none"/>
        </w:rPr>
      </w:pPr>
      <w:r>
        <w:rPr>
          <w:rFonts w:hint="eastAsia" w:ascii="宋体" w:hAnsi="宋体" w:eastAsia="宋体" w:cs="宋体"/>
          <w:highlight w:val="none"/>
        </w:rPr>
        <w:t>7、评标中如遇未考虑到的问题，由磋商小组成员集体研究处理决定。</w:t>
      </w:r>
    </w:p>
    <w:p>
      <w:pPr>
        <w:pStyle w:val="2"/>
        <w:kinsoku w:val="0"/>
        <w:overflowPunct w:val="0"/>
        <w:spacing w:before="34"/>
        <w:jc w:val="both"/>
        <w:rPr>
          <w:rFonts w:hint="eastAsia" w:ascii="宋体" w:hAnsi="宋体" w:eastAsia="宋体" w:cs="宋体"/>
          <w:b/>
          <w:bCs/>
          <w:highlight w:val="none"/>
        </w:rPr>
      </w:pPr>
      <w:r>
        <w:rPr>
          <w:rFonts w:hint="eastAsia" w:ascii="宋体" w:hAnsi="宋体" w:eastAsia="宋体" w:cs="宋体"/>
          <w:b/>
          <w:bCs/>
          <w:highlight w:val="none"/>
        </w:rPr>
        <w:t xml:space="preserve"> 其他注意事项：</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（1）评审工作在磋商小组内独立进行。</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为了有助于对投标进行审查、评估和比较，磋商小组有权向供应商质疑、查看有关资质原件、供应商解释投标内容。供应商有责任按照磋商小组通知的时间、地点指派专人进行答疑、澄清、提供有关资质原件。</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（3）在开标、评标期间，供应商不得向磋商小组成员询问情况，不得进行影响评标结果的活动。</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（4）采购人、招标机构及磋商小组不向落标方解释原因，不保证最低价中标，不退还磋商响应性文件。</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（5）在招标过程中如供应商有不正当行为时，磋商小组有权中止其投标资格。</w:t>
      </w:r>
    </w:p>
    <w:p>
      <w:pPr>
        <w:pStyle w:val="2"/>
        <w:kinsoku w:val="0"/>
        <w:overflowPunct w:val="0"/>
        <w:spacing w:before="34" w:line="357" w:lineRule="auto"/>
        <w:ind w:left="598"/>
        <w:rPr>
          <w:rFonts w:hint="eastAsia" w:ascii="宋体" w:hAnsi="宋体" w:eastAsia="宋体" w:cs="宋体"/>
          <w:highlight w:val="none"/>
        </w:rPr>
      </w:pPr>
      <w:r>
        <w:rPr>
          <w:rFonts w:hint="eastAsia" w:ascii="宋体" w:hAnsi="宋体" w:eastAsia="宋体" w:cs="宋体"/>
          <w:b/>
          <w:bCs/>
          <w:highlight w:val="none"/>
        </w:rPr>
        <w:t>本评标办法解释权归采购人。</w:t>
      </w:r>
    </w:p>
    <w:p>
      <w:pPr>
        <w:pStyle w:val="3"/>
        <w:numPr>
          <w:ilvl w:val="0"/>
          <w:numId w:val="0"/>
        </w:numPr>
        <w:jc w:val="center"/>
        <w:rPr>
          <w:rFonts w:hint="eastAsia" w:ascii="宋体" w:hAnsi="宋体" w:eastAsia="宋体" w:cs="宋体"/>
          <w:sz w:val="32"/>
          <w:szCs w:val="32"/>
          <w:highlight w:val="none"/>
        </w:rPr>
      </w:pPr>
      <w:r>
        <w:rPr>
          <w:rFonts w:hint="eastAsia" w:ascii="宋体" w:hAnsi="宋体" w:eastAsia="宋体" w:cs="宋体"/>
          <w:highlight w:val="none"/>
        </w:rPr>
        <w:br w:type="page"/>
      </w:r>
      <w:bookmarkStart w:id="70" w:name="_Toc15568"/>
      <w:r>
        <w:rPr>
          <w:rFonts w:hint="eastAsia" w:ascii="宋体" w:hAnsi="宋体" w:eastAsia="宋体" w:cs="宋体"/>
          <w:highlight w:val="yellow"/>
          <w:lang w:eastAsia="zh-CN"/>
        </w:rPr>
        <w:t>第四章</w:t>
      </w:r>
      <w:r>
        <w:rPr>
          <w:rFonts w:hint="eastAsia" w:ascii="宋体" w:hAnsi="宋体" w:eastAsia="宋体" w:cs="宋体"/>
          <w:highlight w:val="yellow"/>
          <w:lang w:val="en-US" w:eastAsia="zh-CN"/>
        </w:rPr>
        <w:t xml:space="preserve">  </w:t>
      </w:r>
      <w:r>
        <w:rPr>
          <w:rFonts w:hint="eastAsia" w:ascii="宋体" w:hAnsi="宋体" w:eastAsia="宋体" w:cs="宋体"/>
          <w:spacing w:val="1"/>
          <w:highlight w:val="yellow"/>
        </w:rPr>
        <w:t>磋商内容</w:t>
      </w:r>
      <w:bookmarkEnd w:id="70"/>
    </w:p>
    <w:p>
      <w:pPr>
        <w:numPr>
          <w:ilvl w:val="0"/>
          <w:numId w:val="0"/>
        </w:numPr>
        <w:spacing w:before="240" w:beforeLines="100" w:after="0" w:line="360" w:lineRule="auto"/>
        <w:jc w:val="center"/>
        <w:outlineLvl w:val="9"/>
        <w:rPr>
          <w:rFonts w:hint="eastAsia" w:ascii="宋体" w:hAnsi="宋体" w:eastAsia="宋体" w:cs="宋体"/>
          <w:b/>
          <w:bCs/>
          <w:color w:val="auto"/>
          <w:sz w:val="28"/>
          <w:szCs w:val="28"/>
          <w:highlight w:val="none"/>
        </w:rPr>
      </w:pPr>
      <w:bookmarkStart w:id="71" w:name="_Toc217446094"/>
      <w:r>
        <w:rPr>
          <w:rFonts w:hint="eastAsia" w:ascii="宋体" w:hAnsi="宋体" w:eastAsia="宋体" w:cs="宋体"/>
          <w:b/>
          <w:bCs/>
          <w:color w:val="auto"/>
          <w:sz w:val="28"/>
          <w:szCs w:val="28"/>
          <w:highlight w:val="none"/>
        </w:rPr>
        <w:t>采购内容及要求</w:t>
      </w:r>
    </w:p>
    <w:bookmarkEnd w:id="71"/>
    <w:p>
      <w:pPr>
        <w:numPr>
          <w:ilvl w:val="0"/>
          <w:numId w:val="0"/>
        </w:numPr>
        <w:ind w:firstLine="482"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一、项目背景</w:t>
      </w:r>
    </w:p>
    <w:p>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深入贯彻落实党的十九大和十九届六中全会精神，完整准确贯彻第三次中央新疆工作座谈会精神和新时代党的治疆方略，贯彻落实习近平总书记关于发展旅游的重要讲话精神，</w:t>
      </w:r>
      <w:r>
        <w:rPr>
          <w:rFonts w:hint="eastAsia" w:ascii="宋体" w:hAnsi="宋体" w:eastAsia="宋体" w:cs="宋体"/>
          <w:sz w:val="24"/>
          <w:szCs w:val="24"/>
          <w:lang w:val="zh-CN" w:eastAsia="zh-CN"/>
        </w:rPr>
        <w:t>大力实施旅游兴疆战略，总结2018年来我区旅游产业发展工作，把握迎接宣传贯彻党的二十大主线，突出“文化润疆”工程和“旅游兴疆”战略两个重点，全面推动文化和旅游高质量发展。</w:t>
      </w:r>
    </w:p>
    <w:p>
      <w:pPr>
        <w:ind w:firstLine="482" w:firstLineChars="20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二、项目内容</w:t>
      </w:r>
    </w:p>
    <w:p>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展示新疆美景、多元文化、人文故事等，同时展示“十三五”时期旅游基础设施建设、精品工程建设、打造多种旅游业态、文化繁荣发展等方面累累硕果，展望“十四五”时期，新疆大力推进文化润疆、实施旅游兴疆战略，积极发展新疆四季游、冰雪经济、非遗文物等不断丰富旅游业态，推动文化和旅游深度融合发展，叫响“新疆是个好地方”品牌。</w:t>
      </w:r>
    </w:p>
    <w:p>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lang w:val="en-US" w:eastAsia="zh-CN"/>
        </w:rPr>
      </w:pPr>
      <w:r>
        <w:rPr>
          <w:rFonts w:hint="eastAsia" w:ascii="宋体" w:hAnsi="宋体" w:eastAsia="宋体" w:cs="宋体"/>
          <w:sz w:val="24"/>
          <w:szCs w:val="24"/>
          <w:lang w:val="en-US" w:eastAsia="zh-CN"/>
        </w:rPr>
        <w:t>现计划制作2022年自治区旅游发展大会专题宣传片《新疆是个好地方》，数量1部，时长8-10分钟。</w:t>
      </w:r>
    </w:p>
    <w:p>
      <w:pPr>
        <w:numPr>
          <w:ilvl w:val="0"/>
          <w:numId w:val="0"/>
        </w:numPr>
        <w:bidi w:val="0"/>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三、制作要求</w:t>
      </w:r>
    </w:p>
    <w:p>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1、策划要求</w:t>
      </w:r>
    </w:p>
    <w:p>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要制定完善的</w:t>
      </w:r>
      <w:r>
        <w:rPr>
          <w:rFonts w:hint="eastAsia" w:ascii="宋体" w:hAnsi="宋体" w:eastAsia="宋体" w:cs="宋体"/>
          <w:sz w:val="24"/>
          <w:szCs w:val="24"/>
          <w:lang w:eastAsia="zh-CN"/>
        </w:rPr>
        <w:t>策划、执行方案及解说词，</w:t>
      </w:r>
      <w:r>
        <w:rPr>
          <w:rFonts w:hint="eastAsia" w:ascii="宋体" w:hAnsi="宋体" w:eastAsia="宋体" w:cs="宋体"/>
          <w:sz w:val="24"/>
          <w:szCs w:val="24"/>
        </w:rPr>
        <w:t>整体创意、风格、表现形式</w:t>
      </w:r>
      <w:r>
        <w:rPr>
          <w:rFonts w:hint="eastAsia" w:ascii="宋体" w:hAnsi="宋体" w:eastAsia="宋体" w:cs="宋体"/>
          <w:sz w:val="24"/>
          <w:szCs w:val="24"/>
          <w:lang w:eastAsia="zh-CN"/>
        </w:rPr>
        <w:t>准确、</w:t>
      </w:r>
      <w:r>
        <w:rPr>
          <w:rFonts w:hint="eastAsia" w:ascii="宋体" w:hAnsi="宋体" w:eastAsia="宋体" w:cs="宋体"/>
          <w:sz w:val="24"/>
          <w:szCs w:val="24"/>
        </w:rPr>
        <w:t>可行</w:t>
      </w:r>
      <w:r>
        <w:rPr>
          <w:rFonts w:hint="eastAsia" w:ascii="宋体" w:hAnsi="宋体" w:eastAsia="宋体" w:cs="宋体"/>
          <w:sz w:val="24"/>
          <w:szCs w:val="24"/>
          <w:lang w:eastAsia="zh-CN"/>
        </w:rPr>
        <w:t>性强</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2、设备要求</w:t>
      </w:r>
    </w:p>
    <w:p>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专业</w:t>
      </w:r>
      <w:r>
        <w:rPr>
          <w:rFonts w:hint="eastAsia" w:ascii="宋体" w:hAnsi="宋体" w:eastAsia="宋体" w:cs="宋体"/>
          <w:sz w:val="24"/>
          <w:szCs w:val="24"/>
          <w:lang w:eastAsia="zh-CN"/>
        </w:rPr>
        <w:t>级</w:t>
      </w:r>
      <w:r>
        <w:rPr>
          <w:rFonts w:hint="eastAsia" w:ascii="宋体" w:hAnsi="宋体" w:eastAsia="宋体" w:cs="宋体"/>
          <w:sz w:val="24"/>
          <w:szCs w:val="24"/>
        </w:rPr>
        <w:t>摄影</w:t>
      </w:r>
      <w:r>
        <w:rPr>
          <w:rFonts w:hint="eastAsia" w:ascii="宋体" w:hAnsi="宋体" w:eastAsia="宋体" w:cs="宋体"/>
          <w:sz w:val="24"/>
          <w:szCs w:val="24"/>
          <w:lang w:eastAsia="zh-CN"/>
        </w:rPr>
        <w:t>、摄像、</w:t>
      </w:r>
      <w:r>
        <w:rPr>
          <w:rFonts w:hint="eastAsia" w:ascii="宋体" w:hAnsi="宋体" w:eastAsia="宋体" w:cs="宋体"/>
          <w:sz w:val="24"/>
          <w:szCs w:val="24"/>
        </w:rPr>
        <w:t>航拍</w:t>
      </w:r>
      <w:r>
        <w:rPr>
          <w:rFonts w:hint="eastAsia" w:ascii="宋体" w:hAnsi="宋体" w:eastAsia="宋体" w:cs="宋体"/>
          <w:sz w:val="24"/>
          <w:szCs w:val="24"/>
          <w:lang w:eastAsia="zh-CN"/>
        </w:rPr>
        <w:t>器材</w:t>
      </w:r>
      <w:r>
        <w:rPr>
          <w:rFonts w:hint="eastAsia" w:ascii="宋体" w:hAnsi="宋体" w:eastAsia="宋体" w:cs="宋体"/>
          <w:sz w:val="24"/>
          <w:szCs w:val="24"/>
        </w:rPr>
        <w:t>，分辨率须达到4K</w:t>
      </w:r>
      <w:r>
        <w:rPr>
          <w:rFonts w:hint="eastAsia" w:ascii="宋体" w:hAnsi="宋体" w:eastAsia="宋体" w:cs="宋体"/>
          <w:sz w:val="24"/>
          <w:szCs w:val="24"/>
          <w:lang w:val="en-US" w:eastAsia="zh-CN"/>
        </w:rPr>
        <w:t>或以上</w:t>
      </w:r>
      <w:r>
        <w:rPr>
          <w:rFonts w:hint="eastAsia" w:ascii="宋体" w:hAnsi="宋体" w:eastAsia="宋体" w:cs="宋体"/>
          <w:sz w:val="24"/>
          <w:szCs w:val="24"/>
        </w:rPr>
        <w:t>标准</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）专业级</w:t>
      </w:r>
      <w:r>
        <w:rPr>
          <w:rFonts w:hint="eastAsia" w:ascii="宋体" w:hAnsi="宋体" w:eastAsia="宋体" w:cs="宋体"/>
          <w:sz w:val="24"/>
          <w:szCs w:val="24"/>
        </w:rPr>
        <w:t>灯光设备、录音设备</w:t>
      </w:r>
      <w:r>
        <w:rPr>
          <w:rFonts w:hint="eastAsia" w:ascii="宋体" w:hAnsi="宋体" w:eastAsia="宋体" w:cs="宋体"/>
          <w:sz w:val="24"/>
          <w:szCs w:val="24"/>
          <w:lang w:eastAsia="zh-CN"/>
        </w:rPr>
        <w:t>和相关配套辅助设备；</w:t>
      </w:r>
    </w:p>
    <w:p>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）专业级</w:t>
      </w:r>
      <w:r>
        <w:rPr>
          <w:rFonts w:hint="eastAsia" w:ascii="宋体" w:hAnsi="宋体" w:eastAsia="宋体" w:cs="宋体"/>
          <w:sz w:val="24"/>
          <w:szCs w:val="24"/>
        </w:rPr>
        <w:t>后期制作设备</w:t>
      </w:r>
      <w:r>
        <w:rPr>
          <w:rFonts w:hint="eastAsia" w:ascii="宋体" w:hAnsi="宋体" w:eastAsia="宋体" w:cs="宋体"/>
          <w:sz w:val="24"/>
          <w:szCs w:val="24"/>
          <w:lang w:eastAsia="zh-CN"/>
        </w:rPr>
        <w:t>，</w:t>
      </w:r>
      <w:r>
        <w:rPr>
          <w:rFonts w:hint="eastAsia" w:ascii="宋体" w:hAnsi="宋体" w:eastAsia="宋体" w:cs="宋体"/>
          <w:sz w:val="24"/>
          <w:szCs w:val="24"/>
        </w:rPr>
        <w:t>校色系统、</w:t>
      </w:r>
      <w:r>
        <w:rPr>
          <w:rFonts w:hint="eastAsia" w:ascii="宋体" w:hAnsi="宋体" w:eastAsia="宋体" w:cs="宋体"/>
          <w:sz w:val="24"/>
          <w:szCs w:val="24"/>
          <w:lang w:val="en-US" w:eastAsia="zh-CN"/>
        </w:rPr>
        <w:t>专业</w:t>
      </w:r>
      <w:r>
        <w:rPr>
          <w:rFonts w:hint="eastAsia" w:ascii="宋体" w:hAnsi="宋体" w:eastAsia="宋体" w:cs="宋体"/>
          <w:sz w:val="24"/>
          <w:szCs w:val="24"/>
        </w:rPr>
        <w:t>录音棚等</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（4）其他完成本项目所需设备。</w:t>
      </w:r>
    </w:p>
    <w:p>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团队要求</w:t>
      </w:r>
    </w:p>
    <w:p>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高效稳定的制作团队，包含完成本项目的管理及技术人员，能够按时、保质保量完成本项目的制作等工作。</w:t>
      </w:r>
    </w:p>
    <w:p>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（1）主创团队在执行本项目期间，需全程参与本项目的创作工作不得随意更换。</w:t>
      </w:r>
    </w:p>
    <w:p>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w:t>
      </w:r>
      <w:r>
        <w:rPr>
          <w:rFonts w:hint="eastAsia" w:ascii="宋体" w:hAnsi="宋体" w:eastAsia="宋体" w:cs="宋体"/>
          <w:kern w:val="2"/>
          <w:sz w:val="24"/>
          <w:szCs w:val="24"/>
          <w:lang w:val="en-US" w:eastAsia="zh-CN" w:bidi="ar-SA"/>
        </w:rPr>
        <w:t>主要工作人员需有相关经验，参与创作自治区文旅产业大型宣传推广项目并获得相关荣誉。</w:t>
      </w:r>
    </w:p>
    <w:p>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4、参数要求</w:t>
      </w:r>
    </w:p>
    <w:p>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分辨率：4096×2160</w:t>
      </w:r>
      <w:r>
        <w:rPr>
          <w:rFonts w:hint="eastAsia" w:ascii="宋体" w:hAnsi="宋体" w:eastAsia="宋体" w:cs="宋体"/>
          <w:sz w:val="24"/>
          <w:szCs w:val="24"/>
          <w:lang w:eastAsia="zh-CN"/>
        </w:rPr>
        <w:t>，</w:t>
      </w:r>
      <w:r>
        <w:rPr>
          <w:rFonts w:hint="eastAsia" w:ascii="宋体" w:hAnsi="宋体" w:eastAsia="宋体" w:cs="宋体"/>
          <w:sz w:val="24"/>
          <w:szCs w:val="24"/>
        </w:rPr>
        <w:t>宽高比：16:9</w:t>
      </w:r>
      <w:r>
        <w:rPr>
          <w:rFonts w:hint="eastAsia" w:ascii="宋体" w:hAnsi="宋体" w:eastAsia="宋体" w:cs="宋体"/>
          <w:sz w:val="24"/>
          <w:szCs w:val="24"/>
          <w:lang w:eastAsia="zh-CN"/>
        </w:rPr>
        <w:t>，</w:t>
      </w:r>
      <w:r>
        <w:rPr>
          <w:rFonts w:hint="eastAsia" w:ascii="宋体" w:hAnsi="宋体" w:eastAsia="宋体" w:cs="宋体"/>
          <w:sz w:val="24"/>
          <w:szCs w:val="24"/>
        </w:rPr>
        <w:t>帧速率：50fps</w:t>
      </w:r>
      <w:r>
        <w:rPr>
          <w:rFonts w:hint="eastAsia" w:ascii="宋体" w:hAnsi="宋体" w:eastAsia="宋体" w:cs="宋体"/>
          <w:sz w:val="24"/>
          <w:szCs w:val="24"/>
          <w:lang w:eastAsia="zh-CN"/>
        </w:rPr>
        <w:t>，</w:t>
      </w:r>
      <w:r>
        <w:rPr>
          <w:rFonts w:hint="eastAsia" w:ascii="宋体" w:hAnsi="宋体" w:eastAsia="宋体" w:cs="宋体"/>
          <w:sz w:val="24"/>
          <w:szCs w:val="24"/>
        </w:rPr>
        <w:t>码流：140Mbps以上</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语言：国家通用语言，格式：MOV/MP4。</w:t>
      </w:r>
    </w:p>
    <w:p>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5、知识产权要求</w:t>
      </w:r>
    </w:p>
    <w:p>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本项目</w:t>
      </w:r>
      <w:r>
        <w:rPr>
          <w:rFonts w:hint="eastAsia" w:ascii="宋体" w:hAnsi="宋体" w:eastAsia="宋体" w:cs="宋体"/>
          <w:sz w:val="24"/>
          <w:szCs w:val="24"/>
        </w:rPr>
        <w:t>的相关资料和创作的文稿</w:t>
      </w:r>
      <w:r>
        <w:rPr>
          <w:rFonts w:hint="eastAsia" w:ascii="宋体" w:hAnsi="宋体" w:eastAsia="宋体" w:cs="宋体"/>
          <w:sz w:val="24"/>
          <w:szCs w:val="24"/>
          <w:lang w:val="en-US" w:eastAsia="zh-CN"/>
        </w:rPr>
        <w:t>及</w:t>
      </w:r>
      <w:r>
        <w:rPr>
          <w:rFonts w:hint="eastAsia" w:ascii="宋体" w:hAnsi="宋体" w:eastAsia="宋体" w:cs="宋体"/>
          <w:sz w:val="24"/>
          <w:szCs w:val="24"/>
        </w:rPr>
        <w:t>所有</w:t>
      </w:r>
      <w:r>
        <w:rPr>
          <w:rFonts w:hint="eastAsia" w:ascii="宋体" w:hAnsi="宋体" w:eastAsia="宋体" w:cs="宋体"/>
          <w:sz w:val="24"/>
          <w:szCs w:val="24"/>
          <w:lang w:val="en-US" w:eastAsia="zh-CN"/>
        </w:rPr>
        <w:t>关于本项目的</w:t>
      </w:r>
      <w:r>
        <w:rPr>
          <w:rFonts w:hint="eastAsia" w:ascii="宋体" w:hAnsi="宋体" w:eastAsia="宋体" w:cs="宋体"/>
          <w:sz w:val="24"/>
          <w:szCs w:val="24"/>
          <w:lang w:eastAsia="zh-CN"/>
        </w:rPr>
        <w:t>成果文件</w:t>
      </w:r>
      <w:r>
        <w:rPr>
          <w:rFonts w:hint="eastAsia" w:ascii="宋体" w:hAnsi="宋体" w:eastAsia="宋体" w:cs="宋体"/>
          <w:sz w:val="24"/>
          <w:szCs w:val="24"/>
        </w:rPr>
        <w:t>版权归采购方所有</w:t>
      </w:r>
      <w:r>
        <w:rPr>
          <w:rFonts w:hint="eastAsia" w:ascii="宋体" w:hAnsi="宋体" w:eastAsia="宋体" w:cs="宋体"/>
          <w:sz w:val="24"/>
          <w:szCs w:val="24"/>
          <w:lang w:eastAsia="zh-CN"/>
        </w:rPr>
        <w:t>，成交供应商所交付成果</w:t>
      </w:r>
      <w:r>
        <w:rPr>
          <w:rFonts w:hint="eastAsia" w:ascii="宋体" w:hAnsi="宋体" w:eastAsia="宋体" w:cs="宋体"/>
          <w:sz w:val="24"/>
          <w:szCs w:val="24"/>
          <w:lang w:val="en-US" w:eastAsia="zh-CN"/>
        </w:rPr>
        <w:t>必须是原创，保证</w:t>
      </w:r>
      <w:r>
        <w:rPr>
          <w:rFonts w:hint="eastAsia" w:ascii="宋体" w:hAnsi="宋体" w:eastAsia="宋体" w:cs="宋体"/>
          <w:sz w:val="24"/>
          <w:szCs w:val="24"/>
        </w:rPr>
        <w:t>无人物、标识、</w:t>
      </w:r>
      <w:r>
        <w:rPr>
          <w:rFonts w:hint="eastAsia" w:ascii="宋体" w:hAnsi="宋体" w:eastAsia="宋体" w:cs="宋体"/>
          <w:sz w:val="24"/>
          <w:szCs w:val="24"/>
          <w:lang w:eastAsia="zh-CN"/>
        </w:rPr>
        <w:t>音乐、</w:t>
      </w:r>
      <w:r>
        <w:rPr>
          <w:rFonts w:hint="eastAsia" w:ascii="宋体" w:hAnsi="宋体" w:eastAsia="宋体" w:cs="宋体"/>
          <w:sz w:val="24"/>
          <w:szCs w:val="24"/>
        </w:rPr>
        <w:t>影像等任何</w:t>
      </w:r>
      <w:r>
        <w:rPr>
          <w:rFonts w:hint="eastAsia" w:ascii="宋体" w:hAnsi="宋体" w:eastAsia="宋体" w:cs="宋体"/>
          <w:sz w:val="24"/>
          <w:szCs w:val="24"/>
          <w:lang w:val="en-US" w:eastAsia="zh-CN"/>
        </w:rPr>
        <w:t>知识产权</w:t>
      </w:r>
      <w:r>
        <w:rPr>
          <w:rFonts w:hint="eastAsia" w:ascii="宋体" w:hAnsi="宋体" w:eastAsia="宋体" w:cs="宋体"/>
          <w:sz w:val="24"/>
          <w:szCs w:val="24"/>
        </w:rPr>
        <w:t>纠纷。</w:t>
      </w:r>
    </w:p>
    <w:p>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其他服务要求</w:t>
      </w:r>
    </w:p>
    <w:p>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整个拍摄工作期间，拍摄工作人员做到不出现任何安全事故，拍摄团队应该安全、高质</w:t>
      </w:r>
      <w:r>
        <w:rPr>
          <w:rFonts w:hint="eastAsia" w:ascii="宋体" w:hAnsi="宋体" w:eastAsia="宋体" w:cs="宋体"/>
          <w:sz w:val="24"/>
          <w:szCs w:val="24"/>
          <w:lang w:val="en-US" w:eastAsia="zh-CN"/>
        </w:rPr>
        <w:t>量</w:t>
      </w:r>
      <w:r>
        <w:rPr>
          <w:rFonts w:hint="eastAsia" w:ascii="宋体" w:hAnsi="宋体" w:eastAsia="宋体" w:cs="宋体"/>
          <w:sz w:val="24"/>
          <w:szCs w:val="24"/>
        </w:rPr>
        <w:t>完成拍摄任务。</w:t>
      </w:r>
    </w:p>
    <w:p>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（2）参与本项目的</w:t>
      </w:r>
      <w:r>
        <w:rPr>
          <w:rFonts w:hint="eastAsia" w:ascii="宋体" w:hAnsi="宋体" w:eastAsia="宋体" w:cs="宋体"/>
          <w:sz w:val="24"/>
          <w:szCs w:val="24"/>
          <w:lang w:eastAsia="zh-CN"/>
        </w:rPr>
        <w:t>相关</w:t>
      </w:r>
      <w:r>
        <w:rPr>
          <w:rFonts w:hint="eastAsia" w:ascii="宋体" w:hAnsi="宋体" w:eastAsia="宋体" w:cs="宋体"/>
          <w:sz w:val="24"/>
          <w:szCs w:val="24"/>
        </w:rPr>
        <w:t>人员，在拍摄期间遵守采购</w:t>
      </w:r>
      <w:r>
        <w:rPr>
          <w:rFonts w:hint="eastAsia" w:ascii="宋体" w:hAnsi="宋体" w:eastAsia="宋体" w:cs="宋体"/>
          <w:sz w:val="24"/>
          <w:szCs w:val="24"/>
          <w:lang w:val="en-US" w:eastAsia="zh-CN"/>
        </w:rPr>
        <w:t>方</w:t>
      </w:r>
      <w:r>
        <w:rPr>
          <w:rFonts w:hint="eastAsia" w:ascii="宋体" w:hAnsi="宋体" w:eastAsia="宋体" w:cs="宋体"/>
          <w:sz w:val="24"/>
          <w:szCs w:val="24"/>
        </w:rPr>
        <w:t>的相应要求，服从采购人统一管理，不得参加与拍摄任务无关的任何活动。</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中标人应当将宣传片制作拍摄方案和脚本交由采购人审核同意后方可实施拍摄。</w:t>
      </w:r>
    </w:p>
    <w:p>
      <w:pPr>
        <w:pStyle w:val="26"/>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w:t>
      </w:r>
      <w:r>
        <w:rPr>
          <w:rFonts w:hint="eastAsia" w:ascii="宋体" w:hAnsi="宋体" w:eastAsia="宋体" w:cs="宋体"/>
          <w:b/>
          <w:bCs/>
          <w:color w:val="auto"/>
          <w:sz w:val="24"/>
          <w:szCs w:val="24"/>
          <w:highlight w:val="none"/>
        </w:rPr>
        <w:t>其他要求</w:t>
      </w:r>
    </w:p>
    <w:p>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宋体" w:hAnsi="宋体" w:eastAsia="宋体" w:cs="宋体"/>
          <w:b/>
          <w:color w:val="auto"/>
          <w:sz w:val="24"/>
          <w:szCs w:val="24"/>
          <w:highlight w:val="none"/>
          <w:lang w:eastAsia="zh-CN"/>
        </w:rPr>
      </w:pPr>
      <w:r>
        <w:rPr>
          <w:rFonts w:hint="eastAsia" w:ascii="宋体" w:hAnsi="宋体" w:cs="宋体"/>
          <w:b w:val="0"/>
          <w:bCs/>
          <w:color w:val="auto"/>
          <w:sz w:val="24"/>
          <w:szCs w:val="24"/>
          <w:highlight w:val="none"/>
          <w:lang w:val="en-US" w:eastAsia="zh-CN"/>
        </w:rPr>
        <w:t>1、</w:t>
      </w:r>
      <w:r>
        <w:rPr>
          <w:rFonts w:hint="eastAsia" w:ascii="宋体" w:hAnsi="宋体" w:eastAsia="宋体" w:cs="宋体"/>
          <w:color w:val="auto"/>
          <w:sz w:val="24"/>
          <w:szCs w:val="24"/>
          <w:highlight w:val="none"/>
        </w:rPr>
        <w:t>服务期限：</w:t>
      </w:r>
      <w:r>
        <w:rPr>
          <w:rFonts w:hint="eastAsia" w:ascii="宋体" w:hAnsi="宋体" w:eastAsia="宋体" w:cs="宋体"/>
          <w:sz w:val="24"/>
          <w:szCs w:val="24"/>
          <w:highlight w:val="yellow"/>
          <w:lang w:val="en-US" w:eastAsia="zh-CN"/>
        </w:rPr>
        <w:t>2022年5月28日前完成制作、审核、交付等工作。</w:t>
      </w:r>
    </w:p>
    <w:p>
      <w:pPr>
        <w:ind w:firstLine="480" w:firstLineChars="200"/>
        <w:outlineLvl w:val="9"/>
        <w:rPr>
          <w:rFonts w:hint="eastAsia" w:ascii="宋体" w:hAnsi="宋体" w:eastAsia="宋体" w:cs="宋体"/>
          <w:kern w:val="0"/>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kern w:val="0"/>
          <w:sz w:val="24"/>
          <w:szCs w:val="24"/>
          <w:highlight w:val="none"/>
          <w:lang w:val="en-US" w:eastAsia="zh-CN"/>
        </w:rPr>
        <w:t>报价要求：报价为总价包干，包括：完成本项目过程中可预见的和不可预见的一切费用。</w:t>
      </w:r>
    </w:p>
    <w:p>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outlineLvl w:val="9"/>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3、</w:t>
      </w:r>
      <w:r>
        <w:rPr>
          <w:rFonts w:hint="eastAsia" w:ascii="宋体" w:hAnsi="宋体" w:eastAsia="宋体" w:cs="宋体"/>
          <w:kern w:val="0"/>
          <w:sz w:val="24"/>
          <w:szCs w:val="24"/>
          <w:highlight w:val="none"/>
          <w:lang w:val="en-US" w:eastAsia="zh-CN"/>
        </w:rPr>
        <w:t>付款方式</w:t>
      </w:r>
      <w:r>
        <w:rPr>
          <w:rFonts w:hint="eastAsia" w:ascii="宋体" w:hAnsi="宋体" w:eastAsia="宋体" w:cs="宋体"/>
          <w:kern w:val="0"/>
          <w:sz w:val="24"/>
          <w:szCs w:val="24"/>
          <w:highlight w:val="none"/>
          <w:lang w:val="en-US" w:eastAsia="zh-CN"/>
        </w:rPr>
        <w:tab/>
      </w:r>
    </w:p>
    <w:p>
      <w:pPr>
        <w:spacing w:line="360" w:lineRule="auto"/>
        <w:ind w:firstLine="480" w:firstLineChars="200"/>
        <w:outlineLvl w:val="9"/>
        <w:rPr>
          <w:rFonts w:hint="eastAsia" w:ascii="宋体" w:hAnsi="宋体" w:eastAsia="宋体" w:cs="宋体"/>
          <w:sz w:val="28"/>
          <w:szCs w:val="28"/>
          <w:highlight w:val="none"/>
        </w:rPr>
      </w:pPr>
      <w:r>
        <w:rPr>
          <w:rFonts w:hint="eastAsia" w:asciiTheme="minorEastAsia" w:hAnsiTheme="minorEastAsia" w:eastAsiaTheme="minorEastAsia" w:cstheme="minorEastAsia"/>
          <w:color w:val="auto"/>
          <w:sz w:val="24"/>
          <w:szCs w:val="24"/>
          <w:highlight w:val="none"/>
        </w:rPr>
        <w:t>合同签定后，采购人按照合同约定向中标人预付合同款</w:t>
      </w:r>
      <w:r>
        <w:rPr>
          <w:rFonts w:hint="eastAsia" w:asciiTheme="minorEastAsia" w:hAnsiTheme="minorEastAsia" w:eastAsiaTheme="minorEastAsia" w:cstheme="minorEastAsia"/>
          <w:color w:val="auto"/>
          <w:sz w:val="24"/>
          <w:szCs w:val="24"/>
          <w:highlight w:val="none"/>
          <w:lang w:eastAsia="zh-CN"/>
        </w:rPr>
        <w:t>总额的</w:t>
      </w:r>
      <w:r>
        <w:rPr>
          <w:rFonts w:hint="eastAsia" w:asciiTheme="minorEastAsia" w:hAnsiTheme="minorEastAsia" w:eastAsiaTheme="minorEastAsia" w:cstheme="minorEastAsia"/>
          <w:color w:val="auto"/>
          <w:sz w:val="24"/>
          <w:szCs w:val="24"/>
          <w:highlight w:val="yellow"/>
          <w:lang w:val="en-US" w:eastAsia="zh-CN"/>
        </w:rPr>
        <w:t>80</w:t>
      </w:r>
      <w:r>
        <w:rPr>
          <w:rFonts w:hint="eastAsia" w:asciiTheme="minorEastAsia" w:hAnsiTheme="minorEastAsia" w:eastAsiaTheme="minorEastAsia" w:cstheme="minorEastAsia"/>
          <w:color w:val="auto"/>
          <w:sz w:val="24"/>
          <w:szCs w:val="24"/>
          <w:highlight w:val="yellow"/>
        </w:rPr>
        <w:t>%</w:t>
      </w:r>
      <w:r>
        <w:rPr>
          <w:rFonts w:hint="eastAsia" w:asciiTheme="minorEastAsia" w:hAnsiTheme="minorEastAsia" w:eastAsiaTheme="minorEastAsia" w:cstheme="minorEastAsia"/>
          <w:color w:val="auto"/>
          <w:sz w:val="24"/>
          <w:szCs w:val="24"/>
          <w:highlight w:val="none"/>
        </w:rPr>
        <w:t>，</w:t>
      </w:r>
      <w:r>
        <w:rPr>
          <w:rFonts w:hint="eastAsia" w:ascii="宋体" w:hAnsi="宋体" w:eastAsia="宋体" w:cs="宋体"/>
          <w:kern w:val="0"/>
          <w:sz w:val="24"/>
          <w:szCs w:val="24"/>
          <w:highlight w:val="none"/>
          <w:lang w:val="en-US" w:eastAsia="zh-CN"/>
        </w:rPr>
        <w:t>提交最终成果</w:t>
      </w:r>
      <w:r>
        <w:rPr>
          <w:rFonts w:hint="eastAsia" w:ascii="宋体" w:hAnsi="宋体" w:cs="宋体"/>
          <w:kern w:val="0"/>
          <w:sz w:val="24"/>
          <w:szCs w:val="24"/>
          <w:highlight w:val="none"/>
          <w:lang w:val="en-US" w:eastAsia="zh-CN"/>
        </w:rPr>
        <w:t>并验收合格</w:t>
      </w:r>
      <w:r>
        <w:rPr>
          <w:rFonts w:hint="eastAsia" w:ascii="宋体" w:hAnsi="宋体" w:eastAsia="宋体" w:cs="宋体"/>
          <w:kern w:val="0"/>
          <w:sz w:val="24"/>
          <w:szCs w:val="24"/>
          <w:highlight w:val="none"/>
          <w:lang w:val="en-US" w:eastAsia="zh-CN"/>
        </w:rPr>
        <w:t>后</w:t>
      </w:r>
      <w:r>
        <w:rPr>
          <w:rFonts w:hint="eastAsia" w:asciiTheme="minorEastAsia" w:hAnsiTheme="minorEastAsia" w:eastAsiaTheme="minorEastAsia" w:cstheme="minorEastAsia"/>
          <w:color w:val="auto"/>
          <w:sz w:val="24"/>
          <w:szCs w:val="24"/>
          <w:highlight w:val="none"/>
          <w:lang w:eastAsia="zh-CN"/>
        </w:rPr>
        <w:t>支</w:t>
      </w:r>
      <w:r>
        <w:rPr>
          <w:rFonts w:hint="eastAsia" w:asciiTheme="minorEastAsia" w:hAnsiTheme="minorEastAsia" w:eastAsiaTheme="minorEastAsia" w:cstheme="minorEastAsia"/>
          <w:color w:val="auto"/>
          <w:sz w:val="24"/>
          <w:szCs w:val="24"/>
          <w:highlight w:val="none"/>
        </w:rPr>
        <w:t>付合同款</w:t>
      </w:r>
      <w:r>
        <w:rPr>
          <w:rFonts w:hint="eastAsia" w:asciiTheme="minorEastAsia" w:hAnsiTheme="minorEastAsia" w:eastAsiaTheme="minorEastAsia" w:cstheme="minorEastAsia"/>
          <w:color w:val="auto"/>
          <w:sz w:val="24"/>
          <w:szCs w:val="24"/>
          <w:highlight w:val="none"/>
          <w:lang w:eastAsia="zh-CN"/>
        </w:rPr>
        <w:t>总额的</w:t>
      </w:r>
      <w:r>
        <w:rPr>
          <w:rFonts w:hint="eastAsia" w:asciiTheme="minorEastAsia" w:hAnsiTheme="minorEastAsia" w:eastAsiaTheme="minorEastAsia" w:cstheme="minorEastAsia"/>
          <w:color w:val="auto"/>
          <w:sz w:val="24"/>
          <w:szCs w:val="24"/>
          <w:highlight w:val="yellow"/>
          <w:lang w:val="en-US" w:eastAsia="zh-CN"/>
        </w:rPr>
        <w:t>20</w:t>
      </w:r>
      <w:r>
        <w:rPr>
          <w:rFonts w:hint="eastAsia" w:asciiTheme="minorEastAsia" w:hAnsiTheme="minorEastAsia" w:eastAsiaTheme="minorEastAsia" w:cstheme="minorEastAsia"/>
          <w:color w:val="auto"/>
          <w:sz w:val="24"/>
          <w:szCs w:val="24"/>
          <w:highlight w:val="yellow"/>
        </w:rPr>
        <w:t>%</w:t>
      </w:r>
      <w:r>
        <w:rPr>
          <w:rFonts w:hint="eastAsia" w:ascii="宋体" w:hAnsi="宋体" w:eastAsia="宋体" w:cs="宋体"/>
          <w:kern w:val="0"/>
          <w:sz w:val="24"/>
          <w:szCs w:val="24"/>
          <w:highlight w:val="none"/>
          <w:lang w:val="en-US" w:eastAsia="zh-CN"/>
        </w:rPr>
        <w:t>，付款前，成交供应商须提供合法的当届结算金额全额增值税发票并经采购人财务审核后方可付款。</w:t>
      </w:r>
    </w:p>
    <w:p>
      <w:pPr>
        <w:rPr>
          <w:rFonts w:hint="eastAsia" w:ascii="宋体" w:hAnsi="宋体" w:eastAsia="宋体" w:cs="宋体"/>
          <w:highlight w:val="none"/>
        </w:rPr>
      </w:pPr>
      <w:r>
        <w:rPr>
          <w:rFonts w:hint="eastAsia" w:ascii="宋体" w:hAnsi="宋体" w:eastAsia="宋体" w:cs="宋体"/>
          <w:highlight w:val="none"/>
        </w:rPr>
        <w:br w:type="page"/>
      </w:r>
    </w:p>
    <w:p>
      <w:pPr>
        <w:pStyle w:val="3"/>
        <w:jc w:val="center"/>
        <w:rPr>
          <w:rFonts w:hint="eastAsia" w:ascii="宋体" w:hAnsi="宋体" w:eastAsia="宋体" w:cs="宋体"/>
          <w:highlight w:val="none"/>
        </w:rPr>
      </w:pPr>
      <w:bookmarkStart w:id="72" w:name="_Toc23714"/>
      <w:r>
        <w:rPr>
          <w:rFonts w:hint="eastAsia" w:ascii="宋体" w:hAnsi="宋体" w:eastAsia="宋体" w:cs="宋体"/>
          <w:highlight w:val="none"/>
        </w:rPr>
        <w:t>第五章</w:t>
      </w:r>
      <w:r>
        <w:rPr>
          <w:rFonts w:hint="eastAsia" w:ascii="宋体" w:hAnsi="宋体" w:eastAsia="宋体" w:cs="宋体"/>
          <w:highlight w:val="none"/>
          <w:lang w:val="en-US" w:eastAsia="zh-CN"/>
        </w:rPr>
        <w:t xml:space="preserve">  </w:t>
      </w:r>
      <w:r>
        <w:rPr>
          <w:rFonts w:hint="eastAsia" w:ascii="宋体" w:hAnsi="宋体" w:eastAsia="宋体" w:cs="宋体"/>
          <w:highlight w:val="none"/>
        </w:rPr>
        <w:t>合同条款及合同格式</w:t>
      </w:r>
      <w:bookmarkEnd w:id="72"/>
    </w:p>
    <w:p>
      <w:pPr>
        <w:jc w:val="center"/>
        <w:rPr>
          <w:rFonts w:hint="eastAsia" w:ascii="宋体" w:hAnsi="宋体" w:cs="宋体"/>
          <w:highlight w:val="none"/>
          <w:lang w:eastAsia="zh-CN"/>
        </w:rPr>
      </w:pPr>
      <w:r>
        <w:rPr>
          <w:rFonts w:hint="eastAsia" w:ascii="宋体" w:hAnsi="宋体" w:cs="宋体"/>
          <w:highlight w:val="none"/>
          <w:lang w:eastAsia="zh-CN"/>
        </w:rPr>
        <w:t>此合同格式为参考模板，以实际签订合同为准</w:t>
      </w:r>
    </w:p>
    <w:p>
      <w:pPr>
        <w:pStyle w:val="26"/>
        <w:rPr>
          <w:rFonts w:hint="eastAsia" w:ascii="宋体" w:hAnsi="宋体" w:cs="宋体"/>
          <w:highlight w:val="none"/>
          <w:lang w:eastAsia="zh-CN"/>
        </w:rPr>
      </w:pPr>
    </w:p>
    <w:p>
      <w:pPr>
        <w:pStyle w:val="26"/>
        <w:rPr>
          <w:rFonts w:hint="eastAsia" w:ascii="宋体" w:hAnsi="宋体" w:cs="宋体"/>
          <w:highlight w:val="none"/>
          <w:lang w:eastAsia="zh-CN"/>
        </w:rPr>
      </w:pPr>
    </w:p>
    <w:p>
      <w:pPr>
        <w:spacing w:line="360" w:lineRule="auto"/>
        <w:jc w:val="center"/>
        <w:rPr>
          <w:rFonts w:ascii="宋体" w:hAnsi="宋体"/>
          <w:b/>
          <w:color w:val="000000"/>
          <w:sz w:val="24"/>
          <w:highlight w:val="none"/>
        </w:rPr>
      </w:pPr>
      <w:r>
        <w:rPr>
          <w:rFonts w:ascii="宋体" w:hAnsi="宋体"/>
          <w:b/>
          <w:color w:val="000000"/>
          <w:sz w:val="24"/>
          <w:highlight w:val="none"/>
        </w:rPr>
        <w:t>合　　　同　　　书</w:t>
      </w:r>
    </w:p>
    <w:p>
      <w:pPr>
        <w:pStyle w:val="15"/>
        <w:rPr>
          <w:rFonts w:hint="eastAsia"/>
          <w:color w:val="000000"/>
          <w:highlight w:val="none"/>
        </w:rPr>
      </w:pPr>
    </w:p>
    <w:p>
      <w:pPr>
        <w:spacing w:before="235"/>
        <w:ind w:left="4369" w:right="0" w:firstLine="0"/>
        <w:jc w:val="left"/>
        <w:rPr>
          <w:rFonts w:hint="eastAsia" w:asciiTheme="minorEastAsia" w:hAnsiTheme="minorEastAsia" w:eastAsiaTheme="minorEastAsia" w:cstheme="minorEastAsia"/>
          <w:b/>
          <w:color w:val="auto"/>
          <w:sz w:val="28"/>
        </w:rPr>
      </w:pPr>
      <w:r>
        <w:rPr>
          <w:rFonts w:hint="eastAsia" w:asciiTheme="minorEastAsia" w:hAnsiTheme="minorEastAsia" w:eastAsiaTheme="minorEastAsia" w:cstheme="minorEastAsia"/>
          <w:b/>
          <w:color w:val="auto"/>
          <w:sz w:val="28"/>
        </w:rPr>
        <w:t>合同主要条款</w:t>
      </w:r>
    </w:p>
    <w:p>
      <w:pPr>
        <w:pStyle w:val="2"/>
        <w:spacing w:before="32" w:line="624" w:lineRule="exact"/>
        <w:ind w:left="678" w:right="1037" w:firstLine="72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7"/>
        </w:rPr>
        <w:t>根据《中华人民共和国政府采购法》、《中华人民共和国合同法》等法律法规的</w:t>
      </w:r>
      <w:r>
        <w:rPr>
          <w:rFonts w:hint="eastAsia" w:asciiTheme="minorEastAsia" w:hAnsiTheme="minorEastAsia" w:eastAsiaTheme="minorEastAsia" w:cstheme="minorEastAsia"/>
          <w:color w:val="auto"/>
        </w:rPr>
        <w:t>规定，甲乙双方就以下项目的招标结果签订本合同。</w:t>
      </w:r>
    </w:p>
    <w:p>
      <w:pPr>
        <w:pStyle w:val="7"/>
        <w:spacing w:before="103"/>
        <w:ind w:left="67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第一条、合同标的</w:t>
      </w:r>
    </w:p>
    <w:p>
      <w:pPr>
        <w:pStyle w:val="2"/>
        <w:spacing w:before="7"/>
        <w:rPr>
          <w:rFonts w:hint="eastAsia" w:asciiTheme="minorEastAsia" w:hAnsiTheme="minorEastAsia" w:eastAsiaTheme="minorEastAsia" w:cstheme="minorEastAsia"/>
          <w:b/>
          <w:color w:val="auto"/>
          <w:sz w:val="18"/>
        </w:rPr>
      </w:pPr>
    </w:p>
    <w:p>
      <w:pPr>
        <w:pStyle w:val="2"/>
        <w:tabs>
          <w:tab w:val="left" w:pos="7937"/>
        </w:tabs>
        <w:spacing w:line="364" w:lineRule="auto"/>
        <w:ind w:left="1158" w:right="284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采</w:t>
      </w:r>
      <w:r>
        <w:rPr>
          <w:rFonts w:hint="eastAsia" w:asciiTheme="minorEastAsia" w:hAnsiTheme="minorEastAsia" w:eastAsiaTheme="minorEastAsia" w:cstheme="minorEastAsia"/>
          <w:color w:val="auto"/>
        </w:rPr>
        <w:t>购方（甲方）：</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u w:val="single"/>
        </w:rPr>
        <w:tab/>
      </w:r>
      <w:r>
        <w:rPr>
          <w:rFonts w:hint="eastAsia" w:asciiTheme="minorEastAsia" w:hAnsiTheme="minorEastAsia" w:eastAsiaTheme="minorEastAsia" w:cstheme="minorEastAsia"/>
          <w:color w:val="auto"/>
          <w:spacing w:val="-1"/>
          <w:u w:val="single"/>
        </w:rPr>
        <w:t xml:space="preserve"> </w:t>
      </w:r>
      <w:r>
        <w:rPr>
          <w:rFonts w:hint="eastAsia" w:asciiTheme="minorEastAsia" w:hAnsiTheme="minorEastAsia" w:eastAsiaTheme="minorEastAsia" w:cstheme="minorEastAsia"/>
          <w:color w:val="auto"/>
          <w:spacing w:val="-1"/>
        </w:rPr>
        <w:t>服</w:t>
      </w:r>
      <w:r>
        <w:rPr>
          <w:rFonts w:hint="eastAsia" w:asciiTheme="minorEastAsia" w:hAnsiTheme="minorEastAsia" w:eastAsiaTheme="minorEastAsia" w:cstheme="minorEastAsia"/>
          <w:color w:val="auto"/>
        </w:rPr>
        <w:t>务方（乙方）：</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u w:val="single"/>
        </w:rPr>
        <w:tab/>
      </w:r>
    </w:p>
    <w:p>
      <w:pPr>
        <w:pStyle w:val="2"/>
        <w:tabs>
          <w:tab w:val="left" w:pos="7071"/>
        </w:tabs>
        <w:spacing w:before="1" w:line="364" w:lineRule="auto"/>
        <w:ind w:left="678" w:right="1037"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乙方根据甲方需求提供下列服务：</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u w:val="single"/>
        </w:rPr>
        <w:tab/>
      </w:r>
      <w:r>
        <w:rPr>
          <w:rFonts w:hint="eastAsia" w:asciiTheme="minorEastAsia" w:hAnsiTheme="minorEastAsia" w:eastAsiaTheme="minorEastAsia" w:cstheme="minorEastAsia"/>
          <w:color w:val="auto"/>
          <w:spacing w:val="-24"/>
        </w:rPr>
        <w:t>，</w:t>
      </w:r>
      <w:r>
        <w:rPr>
          <w:rFonts w:hint="eastAsia" w:asciiTheme="minorEastAsia" w:hAnsiTheme="minorEastAsia" w:eastAsiaTheme="minorEastAsia" w:cstheme="minorEastAsia"/>
          <w:color w:val="auto"/>
        </w:rPr>
        <w:t>服务要求详见乙方投</w:t>
      </w:r>
      <w:r>
        <w:rPr>
          <w:rFonts w:hint="eastAsia" w:asciiTheme="minorEastAsia" w:hAnsiTheme="minorEastAsia" w:eastAsiaTheme="minorEastAsia" w:cstheme="minorEastAsia"/>
          <w:color w:val="auto"/>
          <w:spacing w:val="-18"/>
        </w:rPr>
        <w:t>标</w:t>
      </w:r>
      <w:r>
        <w:rPr>
          <w:rFonts w:hint="eastAsia" w:asciiTheme="minorEastAsia" w:hAnsiTheme="minorEastAsia" w:eastAsiaTheme="minorEastAsia" w:cstheme="minorEastAsia"/>
          <w:color w:val="auto"/>
        </w:rPr>
        <w:t>文件。</w:t>
      </w:r>
    </w:p>
    <w:p>
      <w:pPr>
        <w:pStyle w:val="7"/>
        <w:spacing w:before="1"/>
        <w:ind w:left="67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w w:val="95"/>
        </w:rPr>
        <w:t>第二条、合同总价款</w:t>
      </w:r>
    </w:p>
    <w:p>
      <w:pPr>
        <w:pStyle w:val="2"/>
        <w:tabs>
          <w:tab w:val="left" w:pos="5387"/>
        </w:tabs>
        <w:spacing w:before="161" w:line="364" w:lineRule="auto"/>
        <w:ind w:left="678" w:right="1036"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本合同项下总价款为人民币</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u w:val="single"/>
        </w:rPr>
        <w:tab/>
      </w:r>
      <w:r>
        <w:rPr>
          <w:rFonts w:hint="eastAsia" w:asciiTheme="minorEastAsia" w:hAnsiTheme="minorEastAsia" w:eastAsiaTheme="minorEastAsia" w:cstheme="minorEastAsia"/>
          <w:color w:val="auto"/>
        </w:rPr>
        <w:t>（大写）人民币，分项价款在“投标报</w:t>
      </w:r>
      <w:r>
        <w:rPr>
          <w:rFonts w:hint="eastAsia" w:asciiTheme="minorEastAsia" w:hAnsiTheme="minorEastAsia" w:eastAsiaTheme="minorEastAsia" w:cstheme="minorEastAsia"/>
          <w:color w:val="auto"/>
          <w:spacing w:val="-11"/>
        </w:rPr>
        <w:t>价</w:t>
      </w:r>
      <w:r>
        <w:rPr>
          <w:rFonts w:hint="eastAsia" w:asciiTheme="minorEastAsia" w:hAnsiTheme="minorEastAsia" w:eastAsiaTheme="minorEastAsia" w:cstheme="minorEastAsia"/>
          <w:color w:val="auto"/>
        </w:rPr>
        <w:t>表”中有明确规定。</w:t>
      </w:r>
    </w:p>
    <w:p>
      <w:pPr>
        <w:pStyle w:val="2"/>
        <w:spacing w:before="1" w:line="364" w:lineRule="auto"/>
        <w:ind w:left="678" w:right="1037"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合同总价即中标价，为一次性报价，不受市场价变化或实际工作量变化的影响。合</w:t>
      </w:r>
      <w:r>
        <w:rPr>
          <w:rFonts w:hint="eastAsia" w:asciiTheme="minorEastAsia" w:hAnsiTheme="minorEastAsia" w:eastAsiaTheme="minorEastAsia" w:cstheme="minorEastAsia"/>
          <w:color w:val="auto"/>
          <w:spacing w:val="-3"/>
        </w:rPr>
        <w:t>同价格为含税价，供应商</w:t>
      </w:r>
      <w:r>
        <w:rPr>
          <w:rFonts w:hint="eastAsia" w:asciiTheme="minorEastAsia" w:hAnsiTheme="minorEastAsia" w:eastAsiaTheme="minorEastAsia" w:cstheme="minorEastAsia"/>
          <w:color w:val="auto"/>
        </w:rPr>
        <w:t>（中标人</w:t>
      </w:r>
      <w:r>
        <w:rPr>
          <w:rFonts w:hint="eastAsia" w:asciiTheme="minorEastAsia" w:hAnsiTheme="minorEastAsia" w:eastAsiaTheme="minorEastAsia" w:cstheme="minorEastAsia"/>
          <w:color w:val="auto"/>
          <w:spacing w:val="-10"/>
        </w:rPr>
        <w:t>）</w:t>
      </w:r>
      <w:r>
        <w:rPr>
          <w:rFonts w:hint="eastAsia" w:asciiTheme="minorEastAsia" w:hAnsiTheme="minorEastAsia" w:eastAsiaTheme="minorEastAsia" w:cstheme="minorEastAsia"/>
          <w:color w:val="auto"/>
          <w:spacing w:val="-1"/>
        </w:rPr>
        <w:t>提供服务所发生的一切税</w:t>
      </w:r>
      <w:r>
        <w:rPr>
          <w:rFonts w:hint="eastAsia" w:asciiTheme="minorEastAsia" w:hAnsiTheme="minorEastAsia" w:eastAsiaTheme="minorEastAsia" w:cstheme="minorEastAsia"/>
          <w:color w:val="auto"/>
        </w:rPr>
        <w:t>（包括增值税</w:t>
      </w:r>
      <w:r>
        <w:rPr>
          <w:rFonts w:hint="eastAsia" w:asciiTheme="minorEastAsia" w:hAnsiTheme="minorEastAsia" w:eastAsiaTheme="minorEastAsia" w:cstheme="minorEastAsia"/>
          <w:color w:val="auto"/>
          <w:spacing w:val="-10"/>
        </w:rPr>
        <w:t>）</w:t>
      </w:r>
      <w:r>
        <w:rPr>
          <w:rFonts w:hint="eastAsia" w:asciiTheme="minorEastAsia" w:hAnsiTheme="minorEastAsia" w:eastAsiaTheme="minorEastAsia" w:cstheme="minorEastAsia"/>
          <w:color w:val="auto"/>
          <w:spacing w:val="-5"/>
        </w:rPr>
        <w:t>费等都已</w:t>
      </w:r>
      <w:r>
        <w:rPr>
          <w:rFonts w:hint="eastAsia" w:asciiTheme="minorEastAsia" w:hAnsiTheme="minorEastAsia" w:eastAsiaTheme="minorEastAsia" w:cstheme="minorEastAsia"/>
          <w:color w:val="auto"/>
        </w:rPr>
        <w:t>包含于合同价款中。</w:t>
      </w:r>
    </w:p>
    <w:p>
      <w:pPr>
        <w:spacing w:before="2" w:line="364" w:lineRule="auto"/>
        <w:ind w:left="678" w:right="6025" w:firstLine="480"/>
        <w:jc w:val="left"/>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sz w:val="24"/>
        </w:rPr>
        <w:t>本合同执行期间合同总价款不变。</w:t>
      </w:r>
      <w:r>
        <w:rPr>
          <w:rFonts w:hint="eastAsia" w:asciiTheme="minorEastAsia" w:hAnsiTheme="minorEastAsia" w:eastAsiaTheme="minorEastAsia" w:cstheme="minorEastAsia"/>
          <w:b/>
          <w:color w:val="auto"/>
          <w:sz w:val="24"/>
        </w:rPr>
        <w:t>第三条、付款方式</w:t>
      </w:r>
    </w:p>
    <w:p>
      <w:pPr>
        <w:spacing w:before="1" w:line="364" w:lineRule="auto"/>
        <w:ind w:left="678" w:right="6985" w:firstLine="480"/>
        <w:jc w:val="left"/>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sz w:val="24"/>
        </w:rPr>
        <w:t>详见招标文件商务要求。</w:t>
      </w:r>
      <w:r>
        <w:rPr>
          <w:rFonts w:hint="eastAsia" w:asciiTheme="minorEastAsia" w:hAnsiTheme="minorEastAsia" w:eastAsiaTheme="minorEastAsia" w:cstheme="minorEastAsia"/>
          <w:b/>
          <w:color w:val="auto"/>
          <w:sz w:val="24"/>
        </w:rPr>
        <w:t>第四条、组成本合同的文件</w:t>
      </w:r>
    </w:p>
    <w:p>
      <w:pPr>
        <w:pStyle w:val="36"/>
        <w:numPr>
          <w:ilvl w:val="0"/>
          <w:numId w:val="2"/>
        </w:numPr>
        <w:tabs>
          <w:tab w:val="left" w:pos="1519"/>
        </w:tabs>
        <w:spacing w:before="1" w:after="0" w:line="240" w:lineRule="auto"/>
        <w:ind w:left="1518" w:right="0" w:hanging="361"/>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协议书；</w:t>
      </w:r>
    </w:p>
    <w:p>
      <w:pPr>
        <w:pStyle w:val="36"/>
        <w:numPr>
          <w:ilvl w:val="0"/>
          <w:numId w:val="2"/>
        </w:numPr>
        <w:tabs>
          <w:tab w:val="left" w:pos="1519"/>
        </w:tabs>
        <w:spacing w:before="161" w:after="0" w:line="240" w:lineRule="auto"/>
        <w:ind w:left="1518" w:right="0" w:hanging="361"/>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中标通知书、投标文件、招标文件、澄清、招标补充文件；</w:t>
      </w:r>
    </w:p>
    <w:p>
      <w:pPr>
        <w:pStyle w:val="36"/>
        <w:numPr>
          <w:ilvl w:val="0"/>
          <w:numId w:val="2"/>
        </w:numPr>
        <w:tabs>
          <w:tab w:val="left" w:pos="1519"/>
        </w:tabs>
        <w:spacing w:before="160" w:after="0" w:line="240" w:lineRule="auto"/>
        <w:ind w:left="1518" w:right="0" w:hanging="361"/>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相关服务建议书；</w:t>
      </w:r>
    </w:p>
    <w:p>
      <w:pPr>
        <w:pStyle w:val="36"/>
        <w:numPr>
          <w:ilvl w:val="0"/>
          <w:numId w:val="2"/>
        </w:numPr>
        <w:tabs>
          <w:tab w:val="left" w:pos="1519"/>
        </w:tabs>
        <w:spacing w:before="161" w:after="0" w:line="240" w:lineRule="auto"/>
        <w:ind w:left="1518" w:right="0" w:hanging="361"/>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附录，即：附表内相关服务的范围和内容；</w:t>
      </w:r>
    </w:p>
    <w:p>
      <w:pPr>
        <w:spacing w:before="160" w:line="364" w:lineRule="auto"/>
        <w:ind w:left="678" w:right="2185" w:firstLine="480"/>
        <w:jc w:val="left"/>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sz w:val="24"/>
        </w:rPr>
        <w:t>本合同签订后，双方依法签订的补充协议也是本合同文件的组成部分。</w:t>
      </w:r>
      <w:r>
        <w:rPr>
          <w:rFonts w:hint="eastAsia" w:asciiTheme="minorEastAsia" w:hAnsiTheme="minorEastAsia" w:eastAsiaTheme="minorEastAsia" w:cstheme="minorEastAsia"/>
          <w:b/>
          <w:color w:val="auto"/>
          <w:sz w:val="24"/>
        </w:rPr>
        <w:t>第五条、内容及要求</w:t>
      </w:r>
    </w:p>
    <w:p>
      <w:pPr>
        <w:pStyle w:val="2"/>
        <w:spacing w:before="1" w:line="364" w:lineRule="auto"/>
        <w:ind w:left="678" w:right="974"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即交付的服务内容、数量与投标文件、招标文件等所指明的，或者与本合同所指明的服务内容相一致。（附清单）</w:t>
      </w:r>
    </w:p>
    <w:p>
      <w:pPr>
        <w:pStyle w:val="7"/>
        <w:spacing w:before="1"/>
        <w:ind w:left="67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第六条、服务地点</w:t>
      </w:r>
    </w:p>
    <w:p>
      <w:pPr>
        <w:spacing w:after="0"/>
        <w:rPr>
          <w:rFonts w:hint="eastAsia" w:asciiTheme="minorEastAsia" w:hAnsiTheme="minorEastAsia" w:eastAsiaTheme="minorEastAsia" w:cstheme="minorEastAsia"/>
          <w:color w:val="auto"/>
        </w:rPr>
      </w:pPr>
    </w:p>
    <w:p>
      <w:pPr>
        <w:pStyle w:val="2"/>
        <w:spacing w:before="48"/>
        <w:ind w:left="115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采购人指定地点。</w:t>
      </w:r>
    </w:p>
    <w:p>
      <w:pPr>
        <w:pStyle w:val="7"/>
        <w:spacing w:before="161" w:line="364" w:lineRule="auto"/>
        <w:ind w:right="6856" w:hanging="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第七条、 第六条、双方的义务</w:t>
      </w:r>
      <w:r>
        <w:rPr>
          <w:rFonts w:hint="eastAsia" w:asciiTheme="minorEastAsia" w:hAnsiTheme="minorEastAsia" w:eastAsiaTheme="minorEastAsia" w:cstheme="minorEastAsia"/>
          <w:color w:val="auto"/>
        </w:rPr>
        <w:t>1、甲方的义务</w:t>
      </w:r>
    </w:p>
    <w:p>
      <w:pPr>
        <w:spacing w:before="1" w:line="364" w:lineRule="auto"/>
        <w:ind w:left="1158" w:right="4585" w:firstLine="240"/>
        <w:jc w:val="left"/>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spacing w:val="-1"/>
          <w:sz w:val="24"/>
        </w:rPr>
        <w:t xml:space="preserve">甲方负责按合同条款约定，及时支付服务费； </w:t>
      </w:r>
      <w:r>
        <w:rPr>
          <w:rFonts w:hint="eastAsia" w:asciiTheme="minorEastAsia" w:hAnsiTheme="minorEastAsia" w:eastAsiaTheme="minorEastAsia" w:cstheme="minorEastAsia"/>
          <w:b/>
          <w:color w:val="auto"/>
          <w:sz w:val="24"/>
        </w:rPr>
        <w:t>2、乙方的义务</w:t>
      </w:r>
    </w:p>
    <w:p>
      <w:pPr>
        <w:pStyle w:val="36"/>
        <w:numPr>
          <w:ilvl w:val="0"/>
          <w:numId w:val="3"/>
        </w:numPr>
        <w:tabs>
          <w:tab w:val="left" w:pos="1760"/>
        </w:tabs>
        <w:spacing w:before="1" w:after="0" w:line="240" w:lineRule="auto"/>
        <w:ind w:left="1759" w:right="0" w:hanging="602"/>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严格按照国家和地方相关规程、细则进行开展工作，并对成果质量负责；</w:t>
      </w:r>
    </w:p>
    <w:p>
      <w:pPr>
        <w:pStyle w:val="36"/>
        <w:numPr>
          <w:ilvl w:val="0"/>
          <w:numId w:val="3"/>
        </w:numPr>
        <w:tabs>
          <w:tab w:val="left" w:pos="1764"/>
        </w:tabs>
        <w:spacing w:before="161" w:after="0" w:line="364" w:lineRule="auto"/>
        <w:ind w:left="678" w:right="1038" w:firstLine="48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对项目实施中因乙方原因出现的质量问题，应按照技术规程规定无条件修改完善，产生费用由乙方承担；</w:t>
      </w:r>
    </w:p>
    <w:p>
      <w:pPr>
        <w:pStyle w:val="36"/>
        <w:numPr>
          <w:ilvl w:val="0"/>
          <w:numId w:val="3"/>
        </w:numPr>
        <w:tabs>
          <w:tab w:val="left" w:pos="1760"/>
          <w:tab w:val="left" w:pos="3711"/>
        </w:tabs>
        <w:spacing w:before="1" w:after="0" w:line="240" w:lineRule="auto"/>
        <w:ind w:left="1759" w:right="0" w:hanging="602"/>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乙方指定</w:t>
      </w:r>
      <w:r>
        <w:rPr>
          <w:rFonts w:hint="eastAsia" w:asciiTheme="minorEastAsia" w:hAnsiTheme="minorEastAsia" w:eastAsiaTheme="minorEastAsia" w:cstheme="minorEastAsia"/>
          <w:color w:val="auto"/>
          <w:sz w:val="24"/>
          <w:u w:val="single"/>
        </w:rPr>
        <w:tab/>
      </w:r>
      <w:r>
        <w:rPr>
          <w:rFonts w:hint="eastAsia" w:asciiTheme="minorEastAsia" w:hAnsiTheme="minorEastAsia" w:eastAsiaTheme="minorEastAsia" w:cstheme="minorEastAsia"/>
          <w:color w:val="auto"/>
          <w:sz w:val="24"/>
        </w:rPr>
        <w:t>为该项目负责人</w:t>
      </w:r>
      <w:r>
        <w:rPr>
          <w:rFonts w:hint="eastAsia" w:asciiTheme="minorEastAsia" w:hAnsiTheme="minorEastAsia" w:eastAsiaTheme="minorEastAsia" w:cstheme="minorEastAsia"/>
          <w:color w:val="auto"/>
          <w:spacing w:val="-84"/>
          <w:sz w:val="24"/>
        </w:rPr>
        <w:t>，</w:t>
      </w:r>
      <w:r>
        <w:rPr>
          <w:rFonts w:hint="eastAsia" w:asciiTheme="minorEastAsia" w:hAnsiTheme="minorEastAsia" w:eastAsiaTheme="minorEastAsia" w:cstheme="minorEastAsia"/>
          <w:color w:val="auto"/>
          <w:sz w:val="24"/>
        </w:rPr>
        <w:t>且项目负责人在项目服务期间不得更换；</w:t>
      </w:r>
    </w:p>
    <w:p>
      <w:pPr>
        <w:pStyle w:val="36"/>
        <w:numPr>
          <w:ilvl w:val="0"/>
          <w:numId w:val="3"/>
        </w:numPr>
        <w:tabs>
          <w:tab w:val="left" w:pos="1760"/>
        </w:tabs>
        <w:spacing w:before="160" w:after="0" w:line="240" w:lineRule="auto"/>
        <w:ind w:left="1759" w:right="0" w:hanging="602"/>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乙方配合甲方做好省级成果检查验收工作；</w:t>
      </w:r>
    </w:p>
    <w:p>
      <w:pPr>
        <w:pStyle w:val="36"/>
        <w:numPr>
          <w:ilvl w:val="0"/>
          <w:numId w:val="3"/>
        </w:numPr>
        <w:tabs>
          <w:tab w:val="left" w:pos="1760"/>
        </w:tabs>
        <w:spacing w:before="161" w:after="0" w:line="364" w:lineRule="auto"/>
        <w:ind w:left="678" w:right="2545" w:firstLine="480"/>
        <w:jc w:val="left"/>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spacing w:val="-1"/>
          <w:sz w:val="24"/>
        </w:rPr>
        <w:t>乙方不得将本合同的全部或部分转包给其它任何单位和个人。</w:t>
      </w:r>
      <w:r>
        <w:rPr>
          <w:rFonts w:hint="eastAsia" w:asciiTheme="minorEastAsia" w:hAnsiTheme="minorEastAsia" w:eastAsiaTheme="minorEastAsia" w:cstheme="minorEastAsia"/>
          <w:b/>
          <w:color w:val="auto"/>
          <w:sz w:val="24"/>
        </w:rPr>
        <w:t>第八条、验收</w:t>
      </w:r>
    </w:p>
    <w:p>
      <w:pPr>
        <w:pStyle w:val="2"/>
        <w:spacing w:before="1" w:line="364" w:lineRule="auto"/>
        <w:ind w:left="678" w:right="1036" w:firstLine="6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项目服务完成后，由甲方组织有关专家进行评审论证和验收。评审达不到甲方要求的，继续完善至符合甲方要求。</w:t>
      </w:r>
    </w:p>
    <w:p>
      <w:pPr>
        <w:pStyle w:val="36"/>
        <w:numPr>
          <w:ilvl w:val="0"/>
          <w:numId w:val="4"/>
        </w:numPr>
        <w:tabs>
          <w:tab w:val="left" w:pos="1404"/>
        </w:tabs>
        <w:spacing w:before="1" w:after="0" w:line="364" w:lineRule="auto"/>
        <w:ind w:left="678" w:right="1037" w:firstLine="480"/>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pacing w:val="3"/>
          <w:sz w:val="24"/>
        </w:rPr>
        <w:t>所验服务及成果最终验收达不到招标文件要求和投标文件承诺及国家或行业标</w:t>
      </w:r>
      <w:r>
        <w:rPr>
          <w:rFonts w:hint="eastAsia" w:asciiTheme="minorEastAsia" w:hAnsiTheme="minorEastAsia" w:eastAsiaTheme="minorEastAsia" w:cstheme="minorEastAsia"/>
          <w:color w:val="auto"/>
          <w:spacing w:val="-6"/>
          <w:sz w:val="24"/>
        </w:rPr>
        <w:t>准的，或在使用中发现甲方不能容忍的缺陷等，将视为验收不合格，乙方应在甲方要求</w:t>
      </w:r>
      <w:r>
        <w:rPr>
          <w:rFonts w:hint="eastAsia" w:asciiTheme="minorEastAsia" w:hAnsiTheme="minorEastAsia" w:eastAsiaTheme="minorEastAsia" w:cstheme="minorEastAsia"/>
          <w:color w:val="auto"/>
          <w:sz w:val="24"/>
        </w:rPr>
        <w:t>的时间内无条件完善或要求赔付甲方损失。</w:t>
      </w:r>
    </w:p>
    <w:p>
      <w:pPr>
        <w:pStyle w:val="36"/>
        <w:numPr>
          <w:ilvl w:val="0"/>
          <w:numId w:val="4"/>
        </w:numPr>
        <w:tabs>
          <w:tab w:val="left" w:pos="1400"/>
        </w:tabs>
        <w:spacing w:before="2" w:after="0" w:line="364" w:lineRule="auto"/>
        <w:ind w:left="678" w:right="985" w:firstLine="48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pacing w:val="-1"/>
          <w:sz w:val="24"/>
        </w:rPr>
        <w:t xml:space="preserve">若发现乙方有弄虚作假的，在投标阶段故意或随意夸大服务及递交的成果报告， </w:t>
      </w:r>
      <w:r>
        <w:rPr>
          <w:rFonts w:hint="eastAsia" w:asciiTheme="minorEastAsia" w:hAnsiTheme="minorEastAsia" w:eastAsiaTheme="minorEastAsia" w:cstheme="minorEastAsia"/>
          <w:color w:val="auto"/>
          <w:sz w:val="24"/>
        </w:rPr>
        <w:t>本合同解除，乙方赔偿甲方相应的损失。</w:t>
      </w:r>
    </w:p>
    <w:p>
      <w:pPr>
        <w:pStyle w:val="36"/>
        <w:numPr>
          <w:ilvl w:val="0"/>
          <w:numId w:val="4"/>
        </w:numPr>
        <w:tabs>
          <w:tab w:val="left" w:pos="1400"/>
        </w:tabs>
        <w:spacing w:before="1" w:after="0" w:line="364" w:lineRule="auto"/>
        <w:ind w:left="678" w:right="1037" w:firstLine="48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pacing w:val="-8"/>
          <w:sz w:val="24"/>
        </w:rPr>
        <w:t>验收标准：按招标文件、投标文件及澄清函等技术指标进行逐项验收。各项指标</w:t>
      </w:r>
      <w:r>
        <w:rPr>
          <w:rFonts w:hint="eastAsia" w:asciiTheme="minorEastAsia" w:hAnsiTheme="minorEastAsia" w:eastAsiaTheme="minorEastAsia" w:cstheme="minorEastAsia"/>
          <w:color w:val="auto"/>
          <w:sz w:val="24"/>
        </w:rPr>
        <w:t>均应符合验收标准及要求。</w:t>
      </w:r>
    </w:p>
    <w:p>
      <w:pPr>
        <w:pStyle w:val="36"/>
        <w:numPr>
          <w:ilvl w:val="0"/>
          <w:numId w:val="4"/>
        </w:numPr>
        <w:tabs>
          <w:tab w:val="left" w:pos="1400"/>
        </w:tabs>
        <w:spacing w:before="1" w:after="0" w:line="364" w:lineRule="auto"/>
        <w:ind w:left="1158" w:right="8185" w:firstLine="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pacing w:val="-4"/>
          <w:sz w:val="24"/>
        </w:rPr>
        <w:t xml:space="preserve">验收依据： </w:t>
      </w:r>
      <w:r>
        <w:rPr>
          <w:rFonts w:hint="eastAsia" w:asciiTheme="minorEastAsia" w:hAnsiTheme="minorEastAsia" w:eastAsiaTheme="minorEastAsia" w:cstheme="minorEastAsia"/>
          <w:color w:val="auto"/>
          <w:sz w:val="24"/>
        </w:rPr>
        <w:t>a)</w:t>
      </w:r>
      <w:r>
        <w:rPr>
          <w:rFonts w:hint="eastAsia" w:asciiTheme="minorEastAsia" w:hAnsiTheme="minorEastAsia" w:eastAsiaTheme="minorEastAsia" w:cstheme="minorEastAsia"/>
          <w:color w:val="auto"/>
          <w:spacing w:val="-4"/>
          <w:sz w:val="24"/>
        </w:rPr>
        <w:t>合同文本；</w:t>
      </w:r>
    </w:p>
    <w:p>
      <w:pPr>
        <w:pStyle w:val="2"/>
        <w:spacing w:before="2" w:line="364" w:lineRule="auto"/>
        <w:ind w:left="1158" w:right="338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b)竞争性竞争性磋商响应文件及澄清函、竞争性磋商文件； c)国家和行业制定的相应的标准和规范。</w:t>
      </w:r>
    </w:p>
    <w:p>
      <w:pPr>
        <w:pStyle w:val="7"/>
        <w:spacing w:before="1"/>
        <w:ind w:left="67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第九条、保密</w:t>
      </w:r>
    </w:p>
    <w:p>
      <w:pPr>
        <w:pStyle w:val="2"/>
        <w:spacing w:before="160" w:line="364" w:lineRule="auto"/>
        <w:ind w:left="678" w:right="1036" w:firstLine="6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对工作中了解到的采购人的技术、机密等进行严格保密，不得向他人泄漏。本合同的解除或终止不免除供应商应承担的保密义务。</w:t>
      </w:r>
    </w:p>
    <w:p>
      <w:pPr>
        <w:pStyle w:val="7"/>
        <w:numPr>
          <w:ilvl w:val="0"/>
          <w:numId w:val="5"/>
        </w:numPr>
        <w:spacing w:before="2"/>
        <w:ind w:left="67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权利保证</w:t>
      </w:r>
    </w:p>
    <w:p>
      <w:pPr>
        <w:widowControl w:val="0"/>
        <w:numPr>
          <w:ilvl w:val="0"/>
          <w:numId w:val="0"/>
        </w:numPr>
        <w:jc w:val="both"/>
        <w:rPr>
          <w:rFonts w:hint="eastAsia"/>
        </w:rPr>
      </w:pPr>
    </w:p>
    <w:p>
      <w:pPr>
        <w:pStyle w:val="2"/>
        <w:spacing w:before="48" w:line="364" w:lineRule="auto"/>
        <w:ind w:left="678" w:right="974"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乙方应保证甲方在使用该货物或其任何一部分时不受第三方提出侵犯其专利权、版权、商标权或其他权利的起诉。一旦出现侵权，乙方应承担全部责任。</w:t>
      </w:r>
    </w:p>
    <w:p>
      <w:pPr>
        <w:pStyle w:val="7"/>
        <w:spacing w:before="1"/>
        <w:ind w:left="67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第十一条、履约保证金</w:t>
      </w:r>
    </w:p>
    <w:p>
      <w:pPr>
        <w:pStyle w:val="2"/>
        <w:tabs>
          <w:tab w:val="left" w:pos="4518"/>
        </w:tabs>
        <w:spacing w:before="161"/>
        <w:ind w:left="91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1、乙方缴纳人民币</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u w:val="single"/>
        </w:rPr>
        <w:tab/>
      </w:r>
      <w:r>
        <w:rPr>
          <w:rFonts w:hint="eastAsia" w:asciiTheme="minorEastAsia" w:hAnsiTheme="minorEastAsia" w:eastAsiaTheme="minorEastAsia" w:cstheme="minorEastAsia"/>
          <w:color w:val="auto"/>
        </w:rPr>
        <w:t>元作为本合同的履约保证金。</w:t>
      </w:r>
    </w:p>
    <w:p>
      <w:pPr>
        <w:pStyle w:val="2"/>
        <w:spacing w:before="11"/>
        <w:rPr>
          <w:rFonts w:hint="eastAsia" w:asciiTheme="minorEastAsia" w:hAnsiTheme="minorEastAsia" w:eastAsiaTheme="minorEastAsia" w:cstheme="minorEastAsia"/>
          <w:color w:val="auto"/>
          <w:sz w:val="21"/>
        </w:rPr>
      </w:pPr>
    </w:p>
    <w:p>
      <w:pPr>
        <w:pStyle w:val="2"/>
        <w:spacing w:line="364" w:lineRule="auto"/>
        <w:ind w:left="678" w:right="1105" w:firstLine="24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2、履约保证金作为违约金的一部分及用于补偿甲方因乙方不能履行合同义务而蒙受的损失。</w:t>
      </w:r>
    </w:p>
    <w:p>
      <w:pPr>
        <w:pStyle w:val="7"/>
        <w:spacing w:before="122"/>
        <w:ind w:left="67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第十二条、合同争议的解决</w:t>
      </w:r>
    </w:p>
    <w:p>
      <w:pPr>
        <w:pStyle w:val="2"/>
        <w:spacing w:before="160" w:line="364" w:lineRule="auto"/>
        <w:ind w:left="678" w:right="974"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合同执行中发生争议的，当事人双方应协商解决。协商达不成一致时，可向当地行政仲裁机关申请仲裁或者向人民法院提请诉讼。</w:t>
      </w:r>
    </w:p>
    <w:p>
      <w:pPr>
        <w:pStyle w:val="7"/>
        <w:spacing w:before="1"/>
        <w:ind w:left="67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第十三条、不可抗力情况下的免责约定</w:t>
      </w:r>
    </w:p>
    <w:p>
      <w:pPr>
        <w:pStyle w:val="2"/>
        <w:spacing w:before="161" w:line="364" w:lineRule="auto"/>
        <w:ind w:left="678" w:right="1033" w:firstLine="60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双方约定不可抗力情况指：双方不可预见、不可避免、不可克服的客观情况，但</w:t>
      </w:r>
      <w:r>
        <w:rPr>
          <w:rFonts w:hint="eastAsia" w:asciiTheme="minorEastAsia" w:hAnsiTheme="minorEastAsia" w:eastAsiaTheme="minorEastAsia" w:cstheme="minorEastAsia"/>
          <w:color w:val="auto"/>
          <w:spacing w:val="-7"/>
        </w:rPr>
        <w:t>不包括双方的违约或疏忽。这些事件包括但不限于：战争、严重火灾、洪水、台风、地</w:t>
      </w:r>
      <w:r>
        <w:rPr>
          <w:rFonts w:hint="eastAsia" w:asciiTheme="minorEastAsia" w:hAnsiTheme="minorEastAsia" w:eastAsiaTheme="minorEastAsia" w:cstheme="minorEastAsia"/>
          <w:color w:val="auto"/>
        </w:rPr>
        <w:t>震等。</w:t>
      </w:r>
    </w:p>
    <w:p>
      <w:pPr>
        <w:pStyle w:val="7"/>
        <w:spacing w:before="2"/>
        <w:ind w:left="67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第十四条、合同的终止、变更</w:t>
      </w:r>
    </w:p>
    <w:p>
      <w:pPr>
        <w:pStyle w:val="2"/>
        <w:spacing w:before="160" w:line="364" w:lineRule="auto"/>
        <w:ind w:left="678" w:right="985"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合同一经签订，不得擅自变更、中止或者终止合同。对确需变更、调整或者中止、终止合同的，应按规定履行相应的手续。</w:t>
      </w:r>
    </w:p>
    <w:p>
      <w:pPr>
        <w:pStyle w:val="7"/>
        <w:spacing w:line="229" w:lineRule="exact"/>
        <w:ind w:left="67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第十八条、 合同的转让</w:t>
      </w:r>
    </w:p>
    <w:p>
      <w:pPr>
        <w:spacing w:before="84" w:line="364" w:lineRule="auto"/>
        <w:ind w:left="678" w:right="4105" w:firstLine="480"/>
        <w:jc w:val="left"/>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sz w:val="24"/>
        </w:rPr>
        <w:t>乙方不得擅自部分或全部转让其应履行的合同义务。</w:t>
      </w:r>
      <w:r>
        <w:rPr>
          <w:rFonts w:hint="eastAsia" w:asciiTheme="minorEastAsia" w:hAnsiTheme="minorEastAsia" w:eastAsiaTheme="minorEastAsia" w:cstheme="minorEastAsia"/>
          <w:b/>
          <w:color w:val="auto"/>
          <w:sz w:val="24"/>
        </w:rPr>
        <w:t>第十五条、违约责任</w:t>
      </w:r>
    </w:p>
    <w:p>
      <w:pPr>
        <w:pStyle w:val="2"/>
        <w:spacing w:before="1" w:line="364" w:lineRule="auto"/>
        <w:ind w:left="678" w:right="1037"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8"/>
        </w:rPr>
        <w:t>依据《中华人民共和国合同法》、《中华人民共和国政府采购法》的相关条款和本</w:t>
      </w:r>
      <w:r>
        <w:rPr>
          <w:rFonts w:hint="eastAsia" w:asciiTheme="minorEastAsia" w:hAnsiTheme="minorEastAsia" w:eastAsiaTheme="minorEastAsia" w:cstheme="minorEastAsia"/>
          <w:color w:val="auto"/>
          <w:spacing w:val="-7"/>
        </w:rPr>
        <w:t>合同约定，中标单位未全面履行合同义务或者发生违约，采购单位会同采购代理机构有权终止合同，依法向中标单位要求经济索赔，并报请政府采购监督管理机关进行相应的</w:t>
      </w:r>
      <w:r>
        <w:rPr>
          <w:rFonts w:hint="eastAsia" w:asciiTheme="minorEastAsia" w:hAnsiTheme="minorEastAsia" w:eastAsiaTheme="minorEastAsia" w:cstheme="minorEastAsia"/>
          <w:color w:val="auto"/>
        </w:rPr>
        <w:t>行政处罚。采购单位违约的，应当赔偿给中标单位造成的经济损失。</w:t>
      </w:r>
    </w:p>
    <w:p>
      <w:pPr>
        <w:pStyle w:val="7"/>
        <w:spacing w:before="2"/>
        <w:ind w:left="67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第十六条、合同生效及其他</w:t>
      </w:r>
    </w:p>
    <w:p>
      <w:pPr>
        <w:pStyle w:val="2"/>
        <w:spacing w:before="161"/>
        <w:ind w:left="115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1、本合同自签订之日起生效。</w:t>
      </w:r>
    </w:p>
    <w:p>
      <w:pPr>
        <w:pStyle w:val="2"/>
        <w:spacing w:before="160" w:line="364" w:lineRule="auto"/>
        <w:ind w:left="678" w:right="1036"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2、本合同一式</w:t>
      </w:r>
      <w:r>
        <w:rPr>
          <w:rFonts w:hint="eastAsia" w:asciiTheme="minorEastAsia" w:hAnsiTheme="minorEastAsia" w:eastAsiaTheme="minorEastAsia" w:cstheme="minorEastAsia"/>
          <w:color w:val="auto"/>
          <w:u w:val="single"/>
          <w:lang w:val="en-US" w:eastAsia="zh-CN"/>
        </w:rPr>
        <w:t xml:space="preserve">   </w:t>
      </w:r>
      <w:r>
        <w:rPr>
          <w:rFonts w:hint="eastAsia" w:asciiTheme="minorEastAsia" w:hAnsiTheme="minorEastAsia" w:eastAsiaTheme="minorEastAsia" w:cstheme="minorEastAsia"/>
          <w:color w:val="auto"/>
        </w:rPr>
        <w:t>份，甲乙双方各执</w:t>
      </w:r>
      <w:r>
        <w:rPr>
          <w:rFonts w:hint="eastAsia" w:asciiTheme="minorEastAsia" w:hAnsiTheme="minorEastAsia" w:eastAsiaTheme="minorEastAsia" w:cstheme="minorEastAsia"/>
          <w:color w:val="auto"/>
          <w:u w:val="single"/>
          <w:lang w:val="en-US" w:eastAsia="zh-CN"/>
        </w:rPr>
        <w:t xml:space="preserve">   </w:t>
      </w:r>
      <w:r>
        <w:rPr>
          <w:rFonts w:hint="eastAsia" w:asciiTheme="minorEastAsia" w:hAnsiTheme="minorEastAsia" w:eastAsiaTheme="minorEastAsia" w:cstheme="minorEastAsia"/>
          <w:color w:val="auto"/>
        </w:rPr>
        <w:t>份，。</w:t>
      </w:r>
    </w:p>
    <w:p>
      <w:pPr>
        <w:pStyle w:val="2"/>
        <w:spacing w:before="2"/>
        <w:ind w:left="115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3、本合同应按照中华人民共和国的现行法律进行解释。</w:t>
      </w:r>
    </w:p>
    <w:p>
      <w:pPr>
        <w:pStyle w:val="2"/>
        <w:tabs>
          <w:tab w:val="left" w:pos="1998"/>
          <w:tab w:val="left" w:pos="3677"/>
          <w:tab w:val="left" w:pos="5958"/>
          <w:tab w:val="left" w:pos="7278"/>
          <w:tab w:val="left" w:pos="9317"/>
        </w:tabs>
        <w:spacing w:before="192"/>
        <w:ind w:left="67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发包人：</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u w:val="single"/>
        </w:rPr>
        <w:tab/>
      </w:r>
      <w:r>
        <w:rPr>
          <w:rFonts w:hint="eastAsia" w:asciiTheme="minorEastAsia" w:hAnsiTheme="minorEastAsia" w:eastAsiaTheme="minorEastAsia" w:cstheme="minorEastAsia"/>
          <w:color w:val="auto"/>
          <w:u w:val="single"/>
        </w:rPr>
        <w:t>（盖章）</w:t>
      </w:r>
      <w:r>
        <w:rPr>
          <w:rFonts w:hint="eastAsia" w:asciiTheme="minorEastAsia" w:hAnsiTheme="minorEastAsia" w:eastAsiaTheme="minorEastAsia" w:cstheme="minorEastAsia"/>
          <w:color w:val="auto"/>
          <w:u w:val="single"/>
        </w:rPr>
        <w:tab/>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承包人：</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u w:val="single"/>
        </w:rPr>
        <w:tab/>
      </w:r>
      <w:r>
        <w:rPr>
          <w:rFonts w:hint="eastAsia" w:asciiTheme="minorEastAsia" w:hAnsiTheme="minorEastAsia" w:eastAsiaTheme="minorEastAsia" w:cstheme="minorEastAsia"/>
          <w:color w:val="auto"/>
          <w:u w:val="single"/>
        </w:rPr>
        <w:t>（盖章）</w:t>
      </w:r>
      <w:r>
        <w:rPr>
          <w:rFonts w:hint="eastAsia" w:asciiTheme="minorEastAsia" w:hAnsiTheme="minorEastAsia" w:eastAsiaTheme="minorEastAsia" w:cstheme="minorEastAsia"/>
          <w:color w:val="auto"/>
          <w:u w:val="single"/>
        </w:rPr>
        <w:tab/>
      </w:r>
    </w:p>
    <w:p>
      <w:pPr>
        <w:pStyle w:val="2"/>
        <w:tabs>
          <w:tab w:val="left" w:pos="3857"/>
          <w:tab w:val="left" w:pos="5958"/>
          <w:tab w:val="left" w:pos="6438"/>
          <w:tab w:val="left" w:pos="9377"/>
        </w:tabs>
        <w:spacing w:before="94"/>
        <w:ind w:left="67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地 址：</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u w:val="single"/>
        </w:rPr>
        <w:tab/>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地</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spacing w:val="-1"/>
        </w:rPr>
        <w:t>址</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u w:val="single"/>
        </w:rPr>
        <w:tab/>
      </w:r>
    </w:p>
    <w:p>
      <w:pPr>
        <w:pStyle w:val="2"/>
        <w:tabs>
          <w:tab w:val="left" w:pos="3977"/>
          <w:tab w:val="left" w:pos="5958"/>
          <w:tab w:val="left" w:pos="9377"/>
        </w:tabs>
        <w:spacing w:before="93"/>
        <w:ind w:left="67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邮政编码：</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u w:val="single"/>
        </w:rPr>
        <w:tab/>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spacing w:val="-1"/>
        </w:rPr>
        <w:t>邮</w:t>
      </w:r>
      <w:r>
        <w:rPr>
          <w:rFonts w:hint="eastAsia" w:asciiTheme="minorEastAsia" w:hAnsiTheme="minorEastAsia" w:eastAsiaTheme="minorEastAsia" w:cstheme="minorEastAsia"/>
          <w:color w:val="auto"/>
        </w:rPr>
        <w:t>政编码：</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u w:val="single"/>
        </w:rPr>
        <w:tab/>
      </w:r>
    </w:p>
    <w:p>
      <w:pPr>
        <w:pStyle w:val="2"/>
        <w:tabs>
          <w:tab w:val="left" w:pos="5958"/>
        </w:tabs>
        <w:spacing w:before="91"/>
        <w:ind w:left="67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法定代表人或其授权</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法定代表人或其授权</w:t>
      </w:r>
    </w:p>
    <w:p>
      <w:pPr>
        <w:pStyle w:val="2"/>
        <w:tabs>
          <w:tab w:val="left" w:pos="3557"/>
          <w:tab w:val="left" w:pos="5958"/>
          <w:tab w:val="left" w:pos="9317"/>
        </w:tabs>
        <w:spacing w:before="93"/>
        <w:ind w:left="67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的代理人：</w:t>
      </w:r>
      <w:r>
        <w:rPr>
          <w:rFonts w:hint="eastAsia" w:asciiTheme="minorEastAsia" w:hAnsiTheme="minorEastAsia" w:eastAsiaTheme="minorEastAsia" w:cstheme="minorEastAsia"/>
          <w:color w:val="auto"/>
          <w:u w:val="single"/>
        </w:rPr>
        <w:t>（签字）</w:t>
      </w:r>
      <w:r>
        <w:rPr>
          <w:rFonts w:hint="eastAsia" w:asciiTheme="minorEastAsia" w:hAnsiTheme="minorEastAsia" w:eastAsiaTheme="minorEastAsia" w:cstheme="minorEastAsia"/>
          <w:color w:val="auto"/>
          <w:u w:val="single"/>
        </w:rPr>
        <w:tab/>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spacing w:val="-1"/>
        </w:rPr>
        <w:t>的</w:t>
      </w:r>
      <w:r>
        <w:rPr>
          <w:rFonts w:hint="eastAsia" w:asciiTheme="minorEastAsia" w:hAnsiTheme="minorEastAsia" w:eastAsiaTheme="minorEastAsia" w:cstheme="minorEastAsia"/>
          <w:color w:val="auto"/>
        </w:rPr>
        <w:t>代理人：</w:t>
      </w:r>
      <w:r>
        <w:rPr>
          <w:rFonts w:hint="eastAsia" w:asciiTheme="minorEastAsia" w:hAnsiTheme="minorEastAsia" w:eastAsiaTheme="minorEastAsia" w:cstheme="minorEastAsia"/>
          <w:color w:val="auto"/>
          <w:u w:val="single"/>
        </w:rPr>
        <w:t>（签字）</w:t>
      </w:r>
      <w:r>
        <w:rPr>
          <w:rFonts w:hint="eastAsia" w:asciiTheme="minorEastAsia" w:hAnsiTheme="minorEastAsia" w:eastAsiaTheme="minorEastAsia" w:cstheme="minorEastAsia"/>
          <w:color w:val="auto"/>
          <w:u w:val="single"/>
        </w:rPr>
        <w:tab/>
      </w:r>
    </w:p>
    <w:p>
      <w:pPr>
        <w:pStyle w:val="2"/>
        <w:tabs>
          <w:tab w:val="left" w:pos="3977"/>
          <w:tab w:val="left" w:pos="5958"/>
          <w:tab w:val="left" w:pos="9377"/>
        </w:tabs>
        <w:spacing w:before="94"/>
        <w:ind w:left="67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开户银行：</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u w:val="single"/>
        </w:rPr>
        <w:tab/>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spacing w:val="-1"/>
        </w:rPr>
        <w:t>开</w:t>
      </w:r>
      <w:r>
        <w:rPr>
          <w:rFonts w:hint="eastAsia" w:asciiTheme="minorEastAsia" w:hAnsiTheme="minorEastAsia" w:eastAsiaTheme="minorEastAsia" w:cstheme="minorEastAsia"/>
          <w:color w:val="auto"/>
        </w:rPr>
        <w:t>户银行：</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u w:val="single"/>
        </w:rPr>
        <w:tab/>
      </w:r>
    </w:p>
    <w:p>
      <w:pPr>
        <w:pStyle w:val="2"/>
        <w:tabs>
          <w:tab w:val="left" w:pos="4097"/>
          <w:tab w:val="left" w:pos="5958"/>
          <w:tab w:val="left" w:pos="9497"/>
        </w:tabs>
        <w:spacing w:before="90"/>
        <w:ind w:left="67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账号：</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u w:val="single"/>
        </w:rPr>
        <w:tab/>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spacing w:val="-1"/>
        </w:rPr>
        <w:t>账</w:t>
      </w:r>
      <w:r>
        <w:rPr>
          <w:rFonts w:hint="eastAsia" w:asciiTheme="minorEastAsia" w:hAnsiTheme="minorEastAsia" w:eastAsiaTheme="minorEastAsia" w:cstheme="minorEastAsia"/>
          <w:color w:val="auto"/>
        </w:rPr>
        <w:t>号：</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u w:val="single"/>
        </w:rPr>
        <w:tab/>
      </w:r>
    </w:p>
    <w:p>
      <w:pPr>
        <w:pStyle w:val="2"/>
        <w:tabs>
          <w:tab w:val="left" w:pos="4097"/>
          <w:tab w:val="left" w:pos="5958"/>
          <w:tab w:val="left" w:pos="9497"/>
        </w:tabs>
        <w:spacing w:before="94"/>
        <w:ind w:left="67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电话：</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u w:val="single"/>
        </w:rPr>
        <w:tab/>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spacing w:val="-1"/>
        </w:rPr>
        <w:t>电</w:t>
      </w:r>
      <w:r>
        <w:rPr>
          <w:rFonts w:hint="eastAsia" w:asciiTheme="minorEastAsia" w:hAnsiTheme="minorEastAsia" w:eastAsiaTheme="minorEastAsia" w:cstheme="minorEastAsia"/>
          <w:color w:val="auto"/>
        </w:rPr>
        <w:t>话：</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u w:val="single"/>
        </w:rPr>
        <w:tab/>
      </w:r>
    </w:p>
    <w:p>
      <w:pPr>
        <w:pStyle w:val="2"/>
        <w:tabs>
          <w:tab w:val="left" w:pos="4097"/>
          <w:tab w:val="left" w:pos="5958"/>
          <w:tab w:val="left" w:pos="9497"/>
        </w:tabs>
        <w:spacing w:before="93"/>
        <w:ind w:left="67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传真：</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u w:val="single"/>
        </w:rPr>
        <w:tab/>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spacing w:val="-1"/>
        </w:rPr>
        <w:t>传</w:t>
      </w:r>
      <w:r>
        <w:rPr>
          <w:rFonts w:hint="eastAsia" w:asciiTheme="minorEastAsia" w:hAnsiTheme="minorEastAsia" w:eastAsiaTheme="minorEastAsia" w:cstheme="minorEastAsia"/>
          <w:color w:val="auto"/>
        </w:rPr>
        <w:t>真：</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u w:val="single"/>
        </w:rPr>
        <w:tab/>
      </w:r>
    </w:p>
    <w:p>
      <w:pPr>
        <w:pStyle w:val="2"/>
        <w:tabs>
          <w:tab w:val="left" w:pos="4097"/>
          <w:tab w:val="left" w:pos="5958"/>
          <w:tab w:val="left" w:pos="9497"/>
        </w:tabs>
        <w:spacing w:before="94"/>
        <w:ind w:left="67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电子邮箱：</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u w:val="single"/>
        </w:rPr>
        <w:tab/>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电子邮箱：</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u w:val="single"/>
        </w:rPr>
        <w:tab/>
      </w:r>
    </w:p>
    <w:p>
      <w:pPr>
        <w:pStyle w:val="26"/>
        <w:rPr>
          <w:rFonts w:hint="eastAsia"/>
        </w:rPr>
      </w:pPr>
    </w:p>
    <w:p>
      <w:pPr>
        <w:pStyle w:val="26"/>
        <w:rPr>
          <w:rFonts w:hint="eastAsia" w:asciiTheme="minorEastAsia" w:hAnsiTheme="minorEastAsia" w:eastAsiaTheme="minorEastAsia" w:cstheme="minorEastAsia"/>
          <w:color w:val="auto"/>
        </w:rPr>
        <w:sectPr>
          <w:pgSz w:w="11910" w:h="16840"/>
          <w:pgMar w:top="1540" w:right="380" w:bottom="1180" w:left="740" w:header="0" w:footer="917" w:gutter="0"/>
          <w:cols w:space="720" w:num="1"/>
        </w:sectPr>
      </w:pPr>
    </w:p>
    <w:p>
      <w:pPr>
        <w:pStyle w:val="2"/>
        <w:tabs>
          <w:tab w:val="left" w:pos="3820"/>
        </w:tabs>
        <w:spacing w:before="160"/>
        <w:ind w:left="0" w:leftChars="0" w:firstLine="0" w:firstLineChars="0"/>
        <w:jc w:val="center"/>
        <w:outlineLvl w:val="0"/>
        <w:rPr>
          <w:rFonts w:hint="eastAsia" w:ascii="宋体" w:hAnsi="宋体" w:eastAsia="宋体" w:cs="宋体"/>
          <w:highlight w:val="none"/>
        </w:rPr>
      </w:pPr>
      <w:r>
        <w:rPr>
          <w:rFonts w:hint="eastAsia" w:ascii="宋体" w:hAnsi="宋体" w:eastAsia="宋体" w:cs="宋体"/>
          <w:b/>
          <w:bCs/>
          <w:w w:val="95"/>
          <w:sz w:val="32"/>
          <w:szCs w:val="32"/>
          <w:highlight w:val="none"/>
        </w:rPr>
        <w:t>第六章</w:t>
      </w:r>
      <w:r>
        <w:rPr>
          <w:rFonts w:hint="eastAsia" w:ascii="宋体" w:hAnsi="宋体" w:eastAsia="宋体" w:cs="宋体"/>
          <w:b/>
          <w:bCs/>
          <w:w w:val="95"/>
          <w:sz w:val="32"/>
          <w:szCs w:val="32"/>
          <w:highlight w:val="none"/>
          <w:lang w:val="en-US" w:eastAsia="zh-CN"/>
        </w:rPr>
        <w:t xml:space="preserve">  </w:t>
      </w:r>
      <w:r>
        <w:rPr>
          <w:rFonts w:hint="eastAsia" w:ascii="宋体" w:hAnsi="宋体" w:eastAsia="宋体" w:cs="宋体"/>
          <w:b/>
          <w:bCs/>
          <w:sz w:val="32"/>
          <w:szCs w:val="32"/>
          <w:highlight w:val="none"/>
        </w:rPr>
        <w:t>磋商响应性文件格式</w:t>
      </w:r>
    </w:p>
    <w:p>
      <w:pPr>
        <w:rPr>
          <w:rFonts w:hint="eastAsia" w:ascii="宋体" w:hAnsi="宋体" w:eastAsia="宋体" w:cs="宋体"/>
          <w:highlight w:val="none"/>
        </w:rPr>
      </w:pPr>
    </w:p>
    <w:p>
      <w:pPr>
        <w:widowControl/>
        <w:spacing w:line="460" w:lineRule="exact"/>
        <w:jc w:val="right"/>
        <w:rPr>
          <w:rFonts w:hint="eastAsia" w:ascii="宋体" w:hAnsi="宋体" w:cs="宋体"/>
          <w:sz w:val="36"/>
          <w:szCs w:val="36"/>
          <w:highlight w:val="none"/>
        </w:rPr>
      </w:pPr>
      <w:r>
        <w:rPr>
          <w:rFonts w:hint="eastAsia" w:ascii="宋体" w:hAnsi="宋体" w:cs="宋体"/>
          <w:sz w:val="36"/>
          <w:szCs w:val="36"/>
          <w:highlight w:val="none"/>
        </w:rPr>
        <w:t xml:space="preserve"> 正/副本 </w:t>
      </w: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80" w:lineRule="auto"/>
        <w:jc w:val="center"/>
        <w:rPr>
          <w:rFonts w:hint="eastAsia" w:ascii="宋体" w:hAnsi="宋体" w:cs="宋体"/>
          <w:b/>
          <w:sz w:val="84"/>
          <w:szCs w:val="84"/>
          <w:highlight w:val="none"/>
        </w:rPr>
      </w:pPr>
      <w:r>
        <w:rPr>
          <w:rFonts w:hint="eastAsia" w:ascii="宋体" w:hAnsi="宋体" w:eastAsia="宋体" w:cs="宋体"/>
          <w:b/>
          <w:bCs/>
          <w:spacing w:val="2"/>
          <w:sz w:val="96"/>
          <w:szCs w:val="96"/>
          <w:highlight w:val="none"/>
        </w:rPr>
        <w:t>磋商响应性文件</w:t>
      </w:r>
    </w:p>
    <w:p>
      <w:pPr>
        <w:widowControl/>
        <w:spacing w:line="460" w:lineRule="exact"/>
        <w:jc w:val="center"/>
        <w:rPr>
          <w:rFonts w:hint="eastAsia" w:ascii="宋体" w:hAnsi="宋体" w:cs="宋体"/>
          <w:sz w:val="36"/>
          <w:szCs w:val="36"/>
          <w:highlight w:val="none"/>
        </w:rPr>
      </w:pPr>
    </w:p>
    <w:p>
      <w:pPr>
        <w:pStyle w:val="35"/>
        <w:spacing w:line="460" w:lineRule="exact"/>
        <w:rPr>
          <w:rFonts w:hint="eastAsia"/>
          <w:highlight w:val="none"/>
        </w:rPr>
      </w:pPr>
    </w:p>
    <w:p>
      <w:pPr>
        <w:widowControl/>
        <w:spacing w:line="460" w:lineRule="exact"/>
        <w:ind w:firstLine="1792" w:firstLineChars="850"/>
        <w:rPr>
          <w:rFonts w:hint="eastAsia" w:ascii="宋体" w:hAnsi="宋体" w:cs="宋体"/>
          <w:b/>
          <w:szCs w:val="30"/>
          <w:highlight w:val="none"/>
        </w:rPr>
      </w:pPr>
    </w:p>
    <w:p>
      <w:pPr>
        <w:widowControl/>
        <w:spacing w:line="460" w:lineRule="exact"/>
        <w:rPr>
          <w:rFonts w:hint="eastAsia" w:ascii="宋体" w:hAnsi="宋体" w:cs="宋体"/>
          <w:b/>
          <w:szCs w:val="30"/>
          <w:highlight w:val="none"/>
        </w:rPr>
      </w:pPr>
      <w:r>
        <w:rPr>
          <w:rFonts w:hint="eastAsia" w:ascii="宋体" w:hAnsi="宋体" w:cs="宋体"/>
          <w:b/>
          <w:sz w:val="30"/>
          <w:szCs w:val="30"/>
          <w:highlight w:val="none"/>
          <w:lang w:bidi="ar"/>
        </w:rPr>
        <w:t xml:space="preserve">    项目名称：</w:t>
      </w:r>
    </w:p>
    <w:p>
      <w:pPr>
        <w:widowControl/>
        <w:spacing w:line="460" w:lineRule="exact"/>
        <w:ind w:firstLine="600"/>
        <w:rPr>
          <w:rFonts w:hint="eastAsia" w:ascii="宋体" w:hAnsi="宋体" w:cs="宋体"/>
          <w:b/>
          <w:sz w:val="30"/>
          <w:szCs w:val="30"/>
          <w:highlight w:val="none"/>
          <w:lang w:bidi="ar"/>
        </w:rPr>
      </w:pPr>
      <w:r>
        <w:rPr>
          <w:rFonts w:hint="eastAsia" w:ascii="宋体" w:hAnsi="宋体" w:cs="宋体"/>
          <w:b/>
          <w:sz w:val="30"/>
          <w:szCs w:val="30"/>
          <w:highlight w:val="none"/>
          <w:lang w:bidi="ar"/>
        </w:rPr>
        <w:t>项目编号：</w:t>
      </w:r>
    </w:p>
    <w:p>
      <w:pPr>
        <w:widowControl/>
        <w:spacing w:line="460" w:lineRule="exact"/>
        <w:ind w:firstLine="600"/>
        <w:rPr>
          <w:rFonts w:hint="eastAsia" w:ascii="宋体" w:hAnsi="宋体" w:cs="宋体"/>
          <w:b/>
          <w:sz w:val="30"/>
          <w:szCs w:val="30"/>
          <w:highlight w:val="none"/>
          <w:lang w:bidi="ar"/>
        </w:rPr>
      </w:pPr>
    </w:p>
    <w:p>
      <w:pPr>
        <w:widowControl/>
        <w:spacing w:line="460" w:lineRule="exact"/>
        <w:jc w:val="center"/>
        <w:rPr>
          <w:rFonts w:hint="eastAsia" w:ascii="宋体" w:hAnsi="宋体" w:cs="宋体"/>
          <w:sz w:val="36"/>
          <w:szCs w:val="36"/>
          <w:highlight w:val="none"/>
        </w:rPr>
      </w:pPr>
    </w:p>
    <w:p>
      <w:pPr>
        <w:pStyle w:val="35"/>
        <w:spacing w:line="460" w:lineRule="exact"/>
        <w:rPr>
          <w:rFonts w:hint="eastAsia"/>
          <w:highlight w:val="none"/>
        </w:rPr>
      </w:pPr>
    </w:p>
    <w:p>
      <w:pPr>
        <w:widowControl/>
        <w:spacing w:line="460" w:lineRule="exact"/>
        <w:ind w:firstLine="562" w:firstLineChars="200"/>
        <w:rPr>
          <w:rFonts w:hint="eastAsia" w:ascii="宋体" w:hAnsi="宋体" w:cs="宋体"/>
          <w:b/>
          <w:sz w:val="28"/>
          <w:szCs w:val="28"/>
          <w:highlight w:val="none"/>
          <w:lang w:bidi="ar"/>
        </w:rPr>
      </w:pPr>
      <w:r>
        <w:rPr>
          <w:rFonts w:hint="eastAsia" w:ascii="宋体" w:hAnsi="宋体" w:cs="宋体"/>
          <w:b/>
          <w:sz w:val="28"/>
          <w:szCs w:val="28"/>
          <w:highlight w:val="none"/>
          <w:lang w:bidi="ar"/>
        </w:rPr>
        <w:t>供应商（加盖公章）：</w:t>
      </w:r>
    </w:p>
    <w:p>
      <w:pPr>
        <w:widowControl/>
        <w:spacing w:line="460" w:lineRule="exact"/>
        <w:ind w:firstLine="562" w:firstLineChars="200"/>
        <w:rPr>
          <w:rFonts w:hint="eastAsia" w:ascii="宋体" w:hAnsi="宋体" w:cs="宋体"/>
          <w:b/>
          <w:sz w:val="28"/>
          <w:szCs w:val="28"/>
          <w:highlight w:val="none"/>
        </w:rPr>
      </w:pPr>
      <w:r>
        <w:rPr>
          <w:rFonts w:hint="eastAsia" w:ascii="宋体" w:hAnsi="宋体" w:eastAsia="宋体" w:cs="宋体"/>
          <w:b/>
          <w:sz w:val="28"/>
          <w:szCs w:val="28"/>
          <w:highlight w:val="none"/>
          <w:lang w:bidi="ar"/>
        </w:rPr>
        <w:t>法定代表人（或授权委托人）：</w:t>
      </w:r>
      <w:r>
        <w:rPr>
          <w:rFonts w:hint="eastAsia" w:ascii="宋体" w:hAnsi="宋体" w:eastAsia="宋体" w:cs="宋体"/>
          <w:spacing w:val="-1"/>
          <w:sz w:val="30"/>
          <w:szCs w:val="30"/>
          <w:highlight w:val="none"/>
          <w:u w:val="single"/>
        </w:rPr>
        <w:tab/>
      </w:r>
      <w:r>
        <w:rPr>
          <w:rFonts w:hint="eastAsia" w:ascii="宋体" w:hAnsi="宋体" w:eastAsia="宋体" w:cs="宋体"/>
          <w:sz w:val="30"/>
          <w:szCs w:val="30"/>
          <w:highlight w:val="none"/>
          <w:u w:val="single"/>
        </w:rPr>
        <w:t>（签字）</w:t>
      </w:r>
      <w:r>
        <w:rPr>
          <w:rFonts w:hint="eastAsia" w:ascii="宋体" w:hAnsi="宋体" w:cs="宋体"/>
          <w:b/>
          <w:sz w:val="28"/>
          <w:szCs w:val="28"/>
          <w:highlight w:val="none"/>
          <w:lang w:bidi="ar"/>
        </w:rPr>
        <w:t xml:space="preserve">                 </w:t>
      </w:r>
    </w:p>
    <w:p>
      <w:pPr>
        <w:widowControl/>
        <w:spacing w:line="460" w:lineRule="exact"/>
        <w:ind w:firstLine="422" w:firstLineChars="150"/>
        <w:rPr>
          <w:rFonts w:hint="eastAsia" w:ascii="宋体" w:hAnsi="宋体" w:cs="宋体"/>
          <w:b/>
          <w:sz w:val="28"/>
          <w:szCs w:val="28"/>
          <w:highlight w:val="none"/>
        </w:rPr>
      </w:pPr>
      <w:r>
        <w:rPr>
          <w:rFonts w:hint="eastAsia" w:ascii="宋体" w:hAnsi="宋体" w:cs="宋体"/>
          <w:b/>
          <w:sz w:val="28"/>
          <w:szCs w:val="28"/>
          <w:highlight w:val="none"/>
          <w:lang w:bidi="ar"/>
        </w:rPr>
        <w:t xml:space="preserve"> 电    话：</w:t>
      </w:r>
    </w:p>
    <w:p>
      <w:pPr>
        <w:widowControl/>
        <w:spacing w:line="460" w:lineRule="exact"/>
        <w:ind w:firstLine="422" w:firstLineChars="150"/>
        <w:rPr>
          <w:rFonts w:hint="eastAsia" w:ascii="宋体" w:hAnsi="宋体" w:cs="宋体"/>
          <w:b/>
          <w:sz w:val="28"/>
          <w:szCs w:val="28"/>
          <w:highlight w:val="none"/>
        </w:rPr>
      </w:pPr>
      <w:r>
        <w:rPr>
          <w:rFonts w:hint="eastAsia" w:ascii="宋体" w:hAnsi="宋体" w:cs="宋体"/>
          <w:b/>
          <w:sz w:val="28"/>
          <w:szCs w:val="28"/>
          <w:highlight w:val="none"/>
          <w:lang w:bidi="ar"/>
        </w:rPr>
        <w:t xml:space="preserve"> 日</w:t>
      </w:r>
      <w:r>
        <w:rPr>
          <w:rFonts w:hint="eastAsia" w:ascii="宋体" w:hAnsi="宋体" w:cs="宋体"/>
          <w:b/>
          <w:sz w:val="28"/>
          <w:szCs w:val="28"/>
          <w:highlight w:val="none"/>
          <w:lang w:val="en-US" w:eastAsia="zh-CN" w:bidi="ar"/>
        </w:rPr>
        <w:t xml:space="preserve">    </w:t>
      </w:r>
      <w:r>
        <w:rPr>
          <w:rFonts w:hint="eastAsia" w:ascii="宋体" w:hAnsi="宋体" w:cs="宋体"/>
          <w:b/>
          <w:sz w:val="28"/>
          <w:szCs w:val="28"/>
          <w:highlight w:val="none"/>
          <w:lang w:bidi="ar"/>
        </w:rPr>
        <w:t>期：</w:t>
      </w:r>
    </w:p>
    <w:p>
      <w:pPr>
        <w:pStyle w:val="2"/>
        <w:kinsoku w:val="0"/>
        <w:overflowPunct w:val="0"/>
        <w:spacing w:before="4"/>
        <w:ind w:left="0"/>
        <w:jc w:val="center"/>
        <w:rPr>
          <w:rFonts w:hint="eastAsia" w:ascii="宋体" w:hAnsi="宋体" w:eastAsia="宋体" w:cs="宋体"/>
          <w:b/>
          <w:sz w:val="36"/>
          <w:szCs w:val="36"/>
          <w:highlight w:val="none"/>
        </w:rPr>
      </w:pPr>
    </w:p>
    <w:p>
      <w:pPr>
        <w:rPr>
          <w:rFonts w:hint="eastAsia"/>
          <w:highlight w:val="none"/>
        </w:rPr>
      </w:pPr>
    </w:p>
    <w:p>
      <w:pPr>
        <w:rPr>
          <w:rFonts w:hint="eastAsia" w:ascii="宋体" w:hAnsi="宋体" w:eastAsia="宋体" w:cs="宋体"/>
          <w:highlight w:val="none"/>
        </w:rPr>
      </w:pPr>
    </w:p>
    <w:p>
      <w:pPr>
        <w:pStyle w:val="2"/>
        <w:kinsoku w:val="0"/>
        <w:overflowPunct w:val="0"/>
        <w:spacing w:before="130" w:line="355" w:lineRule="auto"/>
        <w:ind w:right="7" w:firstLine="480"/>
        <w:jc w:val="center"/>
        <w:rPr>
          <w:rFonts w:hint="eastAsia" w:ascii="宋体" w:hAnsi="宋体" w:eastAsia="宋体" w:cs="宋体"/>
          <w:b/>
          <w:spacing w:val="4"/>
          <w:highlight w:val="none"/>
        </w:rPr>
      </w:pPr>
      <w:r>
        <w:rPr>
          <w:rFonts w:hint="eastAsia" w:ascii="宋体" w:hAnsi="宋体" w:eastAsia="宋体" w:cs="宋体"/>
          <w:highlight w:val="none"/>
        </w:rPr>
        <w:br w:type="page"/>
      </w:r>
      <w:r>
        <w:rPr>
          <w:rFonts w:hint="eastAsia" w:ascii="宋体" w:hAnsi="宋体" w:eastAsia="宋体" w:cs="宋体"/>
          <w:b/>
          <w:spacing w:val="4"/>
          <w:highlight w:val="none"/>
        </w:rPr>
        <w:t>目录</w:t>
      </w:r>
    </w:p>
    <w:p>
      <w:pPr>
        <w:pStyle w:val="2"/>
        <w:spacing w:before="0"/>
        <w:ind w:left="0" w:firstLine="482" w:firstLineChars="200"/>
        <w:rPr>
          <w:rFonts w:hint="eastAsia" w:ascii="宋体" w:hAnsi="宋体" w:eastAsia="宋体" w:cs="宋体"/>
          <w:b/>
          <w:highlight w:val="none"/>
        </w:rPr>
      </w:pPr>
      <w:r>
        <w:rPr>
          <w:rFonts w:hint="eastAsia" w:ascii="宋体" w:hAnsi="宋体" w:eastAsia="宋体" w:cs="宋体"/>
          <w:b/>
          <w:highlight w:val="none"/>
        </w:rPr>
        <w:t>一、商务部分</w:t>
      </w:r>
    </w:p>
    <w:p>
      <w:pPr>
        <w:pStyle w:val="2"/>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(1)投标函；</w:t>
      </w:r>
    </w:p>
    <w:p>
      <w:pPr>
        <w:pStyle w:val="2"/>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(2)法定代表人身份证明（附法定代表人身份证复印件）； </w:t>
      </w:r>
    </w:p>
    <w:p>
      <w:pPr>
        <w:pStyle w:val="2"/>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(3)委托授权书（附被授权人身份证复印件）； </w:t>
      </w:r>
    </w:p>
    <w:p>
      <w:pPr>
        <w:pStyle w:val="2"/>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(4)投标保证金缴纳凭证（复印件加盖公章）； </w:t>
      </w:r>
    </w:p>
    <w:p>
      <w:pPr>
        <w:pStyle w:val="2"/>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(5)报价一览表；</w:t>
      </w:r>
    </w:p>
    <w:p>
      <w:pPr>
        <w:pStyle w:val="2"/>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(6)投标报价汇总表； </w:t>
      </w:r>
    </w:p>
    <w:p>
      <w:pPr>
        <w:pStyle w:val="2"/>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(7)供应商基本情况；</w:t>
      </w:r>
    </w:p>
    <w:p>
      <w:pPr>
        <w:pStyle w:val="2"/>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1）供应商基本情况表；</w:t>
      </w:r>
    </w:p>
    <w:p>
      <w:pPr>
        <w:pStyle w:val="2"/>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2）营业执照副本、税务登记证、组织机构代码证、（三证合一的提供统一社会信用代码的营业执照）、公司资质证书（复印件加盖公章）；</w:t>
      </w:r>
    </w:p>
    <w:p>
      <w:pPr>
        <w:pStyle w:val="2"/>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3）近一年财务状况报告相关材料（复印件加盖公章）；</w:t>
      </w:r>
    </w:p>
    <w:p>
      <w:pPr>
        <w:pStyle w:val="2"/>
        <w:spacing w:before="0"/>
        <w:ind w:left="0" w:firstLine="480" w:firstLineChars="200"/>
        <w:rPr>
          <w:rFonts w:hint="eastAsia" w:ascii="宋体" w:hAnsi="宋体" w:eastAsia="宋体" w:cs="宋体"/>
          <w:highlight w:val="none"/>
          <w:lang w:eastAsia="zh-CN"/>
        </w:rPr>
      </w:pPr>
      <w:r>
        <w:rPr>
          <w:rFonts w:hint="eastAsia" w:ascii="宋体" w:hAnsi="宋体" w:eastAsia="宋体" w:cs="宋体"/>
          <w:highlight w:val="none"/>
        </w:rPr>
        <w:t>4）税收缴纳证明（复印件加盖公章）</w:t>
      </w:r>
      <w:r>
        <w:rPr>
          <w:rFonts w:hint="eastAsia" w:ascii="宋体" w:hAnsi="宋体" w:eastAsia="宋体" w:cs="宋体"/>
          <w:highlight w:val="none"/>
          <w:lang w:eastAsia="zh-CN"/>
        </w:rPr>
        <w:t>；</w:t>
      </w:r>
    </w:p>
    <w:p>
      <w:pPr>
        <w:pStyle w:val="2"/>
        <w:spacing w:before="0"/>
        <w:ind w:left="0" w:firstLine="480" w:firstLineChars="200"/>
        <w:rPr>
          <w:rFonts w:hint="eastAsia" w:ascii="宋体" w:hAnsi="宋体" w:eastAsia="宋体" w:cs="宋体"/>
          <w:highlight w:val="none"/>
          <w:lang w:eastAsia="zh-CN"/>
        </w:rPr>
      </w:pPr>
      <w:r>
        <w:rPr>
          <w:rFonts w:hint="eastAsia" w:ascii="宋体" w:hAnsi="宋体" w:eastAsia="宋体" w:cs="宋体"/>
          <w:highlight w:val="none"/>
          <w:lang w:val="en-US" w:eastAsia="zh-CN"/>
        </w:rPr>
        <w:t>5</w:t>
      </w:r>
      <w:r>
        <w:rPr>
          <w:rFonts w:hint="eastAsia" w:ascii="宋体" w:hAnsi="宋体" w:eastAsia="宋体" w:cs="宋体"/>
          <w:highlight w:val="none"/>
        </w:rPr>
        <w:t>）单位社会保障缴费证明（复印件加盖公章）</w:t>
      </w:r>
      <w:r>
        <w:rPr>
          <w:rFonts w:hint="eastAsia" w:ascii="宋体" w:hAnsi="宋体" w:eastAsia="宋体" w:cs="宋体"/>
          <w:highlight w:val="none"/>
          <w:lang w:eastAsia="zh-CN"/>
        </w:rPr>
        <w:t>；</w:t>
      </w:r>
    </w:p>
    <w:p>
      <w:pPr>
        <w:pStyle w:val="2"/>
        <w:spacing w:before="0"/>
        <w:ind w:left="0" w:firstLine="480" w:firstLineChars="200"/>
        <w:rPr>
          <w:rFonts w:hint="eastAsia" w:ascii="宋体" w:hAnsi="宋体" w:eastAsia="宋体" w:cs="宋体"/>
          <w:highlight w:val="none"/>
          <w:lang w:eastAsia="zh-CN"/>
        </w:rPr>
      </w:pPr>
      <w:r>
        <w:rPr>
          <w:rFonts w:hint="eastAsia" w:ascii="宋体" w:hAnsi="宋体" w:eastAsia="宋体" w:cs="宋体"/>
          <w:highlight w:val="none"/>
          <w:lang w:val="en-US" w:eastAsia="zh-CN"/>
        </w:rPr>
        <w:t>6</w:t>
      </w:r>
      <w:r>
        <w:rPr>
          <w:rFonts w:hint="eastAsia" w:ascii="宋体" w:hAnsi="宋体" w:eastAsia="宋体" w:cs="宋体"/>
          <w:highlight w:val="none"/>
        </w:rPr>
        <w:t>）办公场所证明（复印件加盖公章）</w:t>
      </w:r>
      <w:r>
        <w:rPr>
          <w:rFonts w:hint="eastAsia" w:ascii="宋体" w:hAnsi="宋体" w:eastAsia="宋体" w:cs="宋体"/>
          <w:highlight w:val="none"/>
          <w:lang w:eastAsia="zh-CN"/>
        </w:rPr>
        <w:t>；</w:t>
      </w:r>
    </w:p>
    <w:p>
      <w:pPr>
        <w:pStyle w:val="2"/>
        <w:spacing w:before="0"/>
        <w:ind w:left="0" w:firstLine="480" w:firstLineChars="200"/>
        <w:rPr>
          <w:rFonts w:hint="eastAsia" w:ascii="宋体" w:hAnsi="宋体" w:eastAsia="宋体" w:cs="宋体"/>
          <w:highlight w:val="none"/>
          <w:lang w:eastAsia="zh-CN"/>
        </w:rPr>
      </w:pPr>
      <w:r>
        <w:rPr>
          <w:rFonts w:hint="eastAsia" w:ascii="宋体" w:hAnsi="宋体" w:eastAsia="宋体" w:cs="宋体"/>
          <w:highlight w:val="none"/>
          <w:lang w:val="en-US" w:eastAsia="zh-CN"/>
        </w:rPr>
        <w:t>7</w:t>
      </w:r>
      <w:r>
        <w:rPr>
          <w:rFonts w:hint="eastAsia" w:ascii="宋体" w:hAnsi="宋体" w:eastAsia="宋体" w:cs="宋体"/>
          <w:highlight w:val="none"/>
        </w:rPr>
        <w:t>）其他证明材料（复印件加盖公章）</w:t>
      </w:r>
      <w:r>
        <w:rPr>
          <w:rFonts w:hint="eastAsia" w:ascii="宋体" w:hAnsi="宋体" w:eastAsia="宋体" w:cs="宋体"/>
          <w:highlight w:val="none"/>
          <w:lang w:eastAsia="zh-CN"/>
        </w:rPr>
        <w:t>；</w:t>
      </w:r>
    </w:p>
    <w:p>
      <w:pPr>
        <w:pStyle w:val="2"/>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(8)一般商务条款偏离表； </w:t>
      </w:r>
    </w:p>
    <w:p>
      <w:pPr>
        <w:pStyle w:val="2"/>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(9)同类项目业绩介绍； </w:t>
      </w:r>
    </w:p>
    <w:p>
      <w:pPr>
        <w:pStyle w:val="2"/>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(10)中小企业声明函（符合本声明函填写）；</w:t>
      </w:r>
    </w:p>
    <w:p>
      <w:pPr>
        <w:pStyle w:val="2"/>
        <w:spacing w:before="0"/>
        <w:ind w:left="0" w:firstLine="480" w:firstLineChars="200"/>
        <w:rPr>
          <w:rFonts w:hint="eastAsia" w:ascii="宋体" w:hAnsi="宋体" w:eastAsia="宋体" w:cs="宋体"/>
          <w:color w:val="FF0000"/>
          <w:highlight w:val="none"/>
        </w:rPr>
      </w:pPr>
      <w:r>
        <w:rPr>
          <w:rFonts w:hint="eastAsia" w:ascii="宋体" w:hAnsi="宋体" w:eastAsia="宋体" w:cs="宋体"/>
          <w:highlight w:val="none"/>
        </w:rPr>
        <w:t>(11)残疾人福利性单位声明函（符合本声明函填写）；</w:t>
      </w:r>
    </w:p>
    <w:p>
      <w:pPr>
        <w:pStyle w:val="2"/>
        <w:spacing w:before="0"/>
        <w:ind w:leftChars="56" w:firstLine="240" w:firstLineChars="100"/>
        <w:rPr>
          <w:rFonts w:hint="eastAsia" w:ascii="宋体" w:hAnsi="宋体" w:eastAsia="宋体" w:cs="宋体"/>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(12)缴纳招标代理服务费承诺书；</w:t>
      </w:r>
    </w:p>
    <w:p>
      <w:pPr>
        <w:pStyle w:val="2"/>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(13)退还保证金说明函；</w:t>
      </w:r>
    </w:p>
    <w:p>
      <w:pPr>
        <w:pStyle w:val="2"/>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(14)其他商务资格证明资料（格式自定）。</w:t>
      </w:r>
    </w:p>
    <w:p>
      <w:pPr>
        <w:pStyle w:val="2"/>
        <w:spacing w:before="0"/>
        <w:ind w:left="0" w:firstLine="482" w:firstLineChars="200"/>
        <w:rPr>
          <w:rFonts w:hint="eastAsia" w:ascii="宋体" w:hAnsi="宋体" w:eastAsia="宋体" w:cs="宋体"/>
          <w:b/>
          <w:highlight w:val="none"/>
        </w:rPr>
      </w:pPr>
      <w:r>
        <w:rPr>
          <w:rFonts w:hint="eastAsia" w:ascii="宋体" w:hAnsi="宋体" w:eastAsia="宋体" w:cs="宋体"/>
          <w:b/>
          <w:highlight w:val="none"/>
        </w:rPr>
        <w:t>二、技术部分</w:t>
      </w:r>
    </w:p>
    <w:p>
      <w:pPr>
        <w:pStyle w:val="2"/>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(15)项目实施方案；</w:t>
      </w:r>
    </w:p>
    <w:p>
      <w:pPr>
        <w:pStyle w:val="2"/>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(16)供应商认为需要提交的技术资料；</w:t>
      </w:r>
    </w:p>
    <w:p>
      <w:pPr>
        <w:pStyle w:val="2"/>
        <w:spacing w:before="0"/>
        <w:ind w:left="0" w:firstLine="480" w:firstLineChars="200"/>
        <w:rPr>
          <w:rFonts w:hint="eastAsia" w:ascii="宋体" w:hAnsi="宋体" w:eastAsia="宋体" w:cs="宋体"/>
          <w:highlight w:val="none"/>
        </w:rPr>
      </w:pPr>
    </w:p>
    <w:p>
      <w:pPr>
        <w:pStyle w:val="2"/>
        <w:spacing w:before="0"/>
        <w:ind w:left="0" w:firstLine="480" w:firstLineChars="200"/>
        <w:rPr>
          <w:rFonts w:hint="eastAsia" w:ascii="宋体" w:hAnsi="宋体" w:eastAsia="宋体" w:cs="宋体"/>
          <w:highlight w:val="none"/>
        </w:rPr>
      </w:pPr>
    </w:p>
    <w:p>
      <w:pPr>
        <w:pStyle w:val="31"/>
        <w:kinsoku w:val="0"/>
        <w:overflowPunct w:val="0"/>
        <w:spacing w:line="940" w:lineRule="exact"/>
        <w:jc w:val="center"/>
        <w:outlineLvl w:val="9"/>
        <w:rPr>
          <w:rFonts w:hint="eastAsia" w:ascii="宋体" w:hAnsi="宋体" w:eastAsia="宋体" w:cs="宋体"/>
          <w:highlight w:val="none"/>
        </w:rPr>
      </w:pPr>
    </w:p>
    <w:p>
      <w:pPr>
        <w:pStyle w:val="31"/>
        <w:kinsoku w:val="0"/>
        <w:overflowPunct w:val="0"/>
        <w:spacing w:line="940" w:lineRule="exact"/>
        <w:jc w:val="center"/>
        <w:outlineLvl w:val="9"/>
        <w:rPr>
          <w:rFonts w:hint="eastAsia" w:ascii="宋体" w:hAnsi="宋体" w:eastAsia="宋体" w:cs="宋体"/>
          <w:highlight w:val="none"/>
        </w:rPr>
      </w:pPr>
    </w:p>
    <w:p>
      <w:pPr>
        <w:pStyle w:val="31"/>
        <w:kinsoku w:val="0"/>
        <w:overflowPunct w:val="0"/>
        <w:spacing w:line="940" w:lineRule="exact"/>
        <w:jc w:val="center"/>
        <w:outlineLvl w:val="9"/>
        <w:rPr>
          <w:rFonts w:hint="eastAsia" w:ascii="宋体" w:hAnsi="宋体" w:eastAsia="宋体" w:cs="宋体"/>
          <w:highlight w:val="none"/>
        </w:rPr>
      </w:pPr>
    </w:p>
    <w:p>
      <w:pPr>
        <w:pStyle w:val="31"/>
        <w:kinsoku w:val="0"/>
        <w:overflowPunct w:val="0"/>
        <w:spacing w:line="940" w:lineRule="exact"/>
        <w:jc w:val="center"/>
        <w:outlineLvl w:val="9"/>
        <w:rPr>
          <w:rFonts w:hint="eastAsia" w:ascii="宋体" w:hAnsi="宋体" w:eastAsia="宋体" w:cs="宋体"/>
          <w:highlight w:val="none"/>
        </w:rPr>
      </w:pPr>
    </w:p>
    <w:p>
      <w:pPr>
        <w:pStyle w:val="31"/>
        <w:kinsoku w:val="0"/>
        <w:overflowPunct w:val="0"/>
        <w:spacing w:line="940" w:lineRule="exact"/>
        <w:jc w:val="center"/>
        <w:outlineLvl w:val="9"/>
        <w:rPr>
          <w:rFonts w:hint="eastAsia" w:ascii="宋体" w:hAnsi="宋体" w:eastAsia="宋体" w:cs="宋体"/>
          <w:highlight w:val="none"/>
        </w:rPr>
      </w:pPr>
    </w:p>
    <w:p>
      <w:pPr>
        <w:pStyle w:val="31"/>
        <w:kinsoku w:val="0"/>
        <w:overflowPunct w:val="0"/>
        <w:spacing w:line="940" w:lineRule="exact"/>
        <w:jc w:val="center"/>
        <w:outlineLvl w:val="9"/>
        <w:rPr>
          <w:rFonts w:hint="eastAsia" w:ascii="宋体" w:hAnsi="宋体" w:eastAsia="宋体" w:cs="宋体"/>
          <w:highlight w:val="none"/>
        </w:rPr>
      </w:pPr>
    </w:p>
    <w:p>
      <w:pPr>
        <w:pStyle w:val="31"/>
        <w:kinsoku w:val="0"/>
        <w:overflowPunct w:val="0"/>
        <w:spacing w:line="940" w:lineRule="exact"/>
        <w:jc w:val="center"/>
        <w:outlineLvl w:val="9"/>
        <w:rPr>
          <w:rFonts w:hint="eastAsia" w:ascii="宋体" w:hAnsi="宋体" w:eastAsia="宋体" w:cs="宋体"/>
          <w:highlight w:val="none"/>
        </w:rPr>
      </w:pPr>
    </w:p>
    <w:p>
      <w:pPr>
        <w:pStyle w:val="31"/>
        <w:kinsoku w:val="0"/>
        <w:overflowPunct w:val="0"/>
        <w:spacing w:line="940" w:lineRule="exact"/>
        <w:jc w:val="center"/>
        <w:outlineLvl w:val="9"/>
        <w:rPr>
          <w:rFonts w:hint="eastAsia" w:ascii="宋体" w:hAnsi="宋体" w:eastAsia="宋体" w:cs="宋体"/>
          <w:highlight w:val="none"/>
        </w:rPr>
      </w:pPr>
    </w:p>
    <w:p>
      <w:pPr>
        <w:pStyle w:val="31"/>
        <w:kinsoku w:val="0"/>
        <w:overflowPunct w:val="0"/>
        <w:spacing w:line="940" w:lineRule="exact"/>
        <w:jc w:val="center"/>
        <w:outlineLvl w:val="9"/>
        <w:rPr>
          <w:rFonts w:hint="eastAsia" w:ascii="宋体" w:hAnsi="宋体" w:eastAsia="宋体" w:cs="宋体"/>
          <w:highlight w:val="none"/>
        </w:rPr>
      </w:pPr>
    </w:p>
    <w:p>
      <w:pPr>
        <w:jc w:val="center"/>
        <w:rPr>
          <w:rFonts w:hint="eastAsia" w:ascii="宋体" w:hAnsi="宋体" w:eastAsia="宋体" w:cs="宋体"/>
          <w:b/>
          <w:bCs/>
          <w:sz w:val="96"/>
          <w:szCs w:val="84"/>
          <w:highlight w:val="none"/>
        </w:rPr>
      </w:pPr>
      <w:r>
        <w:rPr>
          <w:rFonts w:hint="eastAsia" w:ascii="宋体" w:hAnsi="宋体" w:eastAsia="宋体" w:cs="宋体"/>
          <w:b/>
          <w:sz w:val="96"/>
          <w:szCs w:val="84"/>
          <w:highlight w:val="none"/>
        </w:rPr>
        <w:t>（一）商务部分</w:t>
      </w:r>
    </w:p>
    <w:p>
      <w:pPr>
        <w:pStyle w:val="2"/>
        <w:kinsoku w:val="0"/>
        <w:overflowPunct w:val="0"/>
        <w:spacing w:before="130" w:line="355" w:lineRule="auto"/>
        <w:ind w:right="7" w:firstLine="480"/>
        <w:jc w:val="center"/>
        <w:rPr>
          <w:rFonts w:hint="eastAsia" w:ascii="宋体" w:hAnsi="宋体" w:eastAsia="宋体" w:cs="宋体"/>
          <w:b/>
          <w:bCs/>
          <w:sz w:val="36"/>
          <w:szCs w:val="36"/>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一、投标函</w:t>
      </w:r>
    </w:p>
    <w:p>
      <w:pPr>
        <w:spacing w:line="360" w:lineRule="auto"/>
        <w:rPr>
          <w:rFonts w:hint="eastAsia" w:ascii="宋体" w:hAnsi="宋体" w:eastAsia="宋体" w:cs="宋体"/>
          <w:kern w:val="0"/>
          <w:sz w:val="24"/>
          <w:szCs w:val="24"/>
          <w:highlight w:val="none"/>
          <w:u w:val="single"/>
        </w:rPr>
      </w:pPr>
      <w:r>
        <w:rPr>
          <w:rFonts w:hint="eastAsia" w:hAnsi="宋体" w:cs="宋体"/>
          <w:b/>
          <w:bCs/>
          <w:spacing w:val="1"/>
          <w:sz w:val="24"/>
          <w:szCs w:val="24"/>
          <w:highlight w:val="none"/>
          <w:lang w:eastAsia="zh-CN"/>
        </w:rPr>
        <w:t>新疆信尔成工程项目管理有限公司</w:t>
      </w:r>
      <w:r>
        <w:rPr>
          <w:rFonts w:hint="eastAsia" w:ascii="宋体" w:hAnsi="宋体"/>
          <w:b/>
          <w:bCs/>
          <w:spacing w:val="6"/>
          <w:sz w:val="24"/>
          <w:szCs w:val="24"/>
        </w:rPr>
        <w:t>：</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为响应你方组织的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项目的招标[项目编号为：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]，我方愿参与投标。</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我方确认收到贵方提供的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磋商文件的全部内容。</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在参与投标前已详细研究了招标文件的所有内容，包括澄清、修改文件（如果有）和所有已提供的参考资料以及有关附件，我方完全明白并认为此招标文件没有倾向性，也不存在排斥潜在报价供应商的内容，我方同意招标文件的相关条款，放弃对招标文件提出误解和质疑的一切权力。</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(磋商供应商名称)      </w:t>
      </w:r>
      <w:r>
        <w:rPr>
          <w:rFonts w:hint="eastAsia" w:ascii="宋体" w:hAnsi="宋体" w:eastAsia="宋体" w:cs="宋体"/>
          <w:kern w:val="0"/>
          <w:sz w:val="24"/>
          <w:szCs w:val="24"/>
          <w:highlight w:val="none"/>
        </w:rPr>
        <w:t>作为投标供应商正式授权</w:t>
      </w:r>
      <w:r>
        <w:rPr>
          <w:rFonts w:hint="eastAsia" w:ascii="宋体" w:hAnsi="宋体" w:eastAsia="宋体" w:cs="宋体"/>
          <w:kern w:val="0"/>
          <w:sz w:val="24"/>
          <w:szCs w:val="24"/>
          <w:highlight w:val="none"/>
          <w:u w:val="single"/>
        </w:rPr>
        <w:t xml:space="preserve">  (授权代表全名, 职务)  </w:t>
      </w:r>
      <w:r>
        <w:rPr>
          <w:rFonts w:hint="eastAsia" w:ascii="宋体" w:hAnsi="宋体" w:eastAsia="宋体" w:cs="宋体"/>
          <w:kern w:val="0"/>
          <w:sz w:val="24"/>
          <w:szCs w:val="24"/>
          <w:highlight w:val="none"/>
        </w:rPr>
        <w:t>代表我方全权处理有关本报价的一切事宜。</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在此提交的投标文件，正本壹份，副本</w:t>
      </w:r>
      <w:r>
        <w:rPr>
          <w:rFonts w:hint="eastAsia" w:ascii="宋体" w:hAnsi="宋体" w:cs="宋体"/>
          <w:kern w:val="0"/>
          <w:sz w:val="24"/>
          <w:szCs w:val="24"/>
          <w:highlight w:val="none"/>
          <w:lang w:eastAsia="zh-CN"/>
        </w:rPr>
        <w:t>肆</w:t>
      </w:r>
      <w:r>
        <w:rPr>
          <w:rFonts w:hint="eastAsia" w:ascii="宋体" w:hAnsi="宋体" w:eastAsia="宋体" w:cs="宋体"/>
          <w:kern w:val="0"/>
          <w:sz w:val="24"/>
          <w:szCs w:val="24"/>
          <w:highlight w:val="none"/>
        </w:rPr>
        <w:t>份。</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我方已完全明白招标文件的所有条款要求，并申明如下：</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（一）按招标文件提供的全部货物与相关服务</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rPr>
        <w:t>的投标总价详见《报价一览表》。</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（二）本投标文件的有效期为投标截止时间起</w:t>
      </w:r>
      <w:r>
        <w:rPr>
          <w:rFonts w:hint="eastAsia" w:ascii="宋体" w:hAnsi="宋体" w:cs="宋体"/>
          <w:kern w:val="0"/>
          <w:sz w:val="24"/>
          <w:szCs w:val="24"/>
          <w:highlight w:val="none"/>
          <w:u w:val="single"/>
          <w:lang w:val="en-US" w:eastAsia="zh-CN"/>
        </w:rPr>
        <w:t>9</w:t>
      </w:r>
      <w:r>
        <w:rPr>
          <w:rFonts w:hint="eastAsia" w:ascii="宋体" w:hAnsi="宋体" w:eastAsia="宋体" w:cs="宋体"/>
          <w:kern w:val="0"/>
          <w:sz w:val="24"/>
          <w:szCs w:val="24"/>
          <w:highlight w:val="none"/>
          <w:u w:val="single"/>
        </w:rPr>
        <w:t>0天</w:t>
      </w:r>
      <w:r>
        <w:rPr>
          <w:rFonts w:hint="eastAsia" w:ascii="宋体" w:hAnsi="宋体" w:eastAsia="宋体" w:cs="宋体"/>
          <w:kern w:val="0"/>
          <w:sz w:val="24"/>
          <w:szCs w:val="24"/>
          <w:highlight w:val="none"/>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（三）我方明白并同意，在规定的开标日之后，投标有效期之内撤回投标或中标后不按规定与采购人签订合同或不提交履约保证金, 则贵方将不予退还投标保证金。</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（四）我方同意按照贵方可能提出的要求而提供与投标有关的任何其它数据、信息或资料。</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（五）我方理解贵方不一定接受最低投标价或任何贵方可能收到的投标。</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（六）我方如果中标，将保证履行招标文件及其澄清、修改文件（如果有）中的全部责任和义务，按质、按量、按期完成《磋商内容》及《合同书》中的全部任务。</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（七）如我方被授予合同，我方承诺支付就本次招标应支付或将支付的中标服务费（详见按招标文件要求格式填写的《中标服务费支付承诺书》）。</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（八）我方作为</w:t>
      </w:r>
      <w:r>
        <w:rPr>
          <w:rFonts w:hint="eastAsia" w:ascii="宋体" w:hAnsi="宋体" w:eastAsia="宋体" w:cs="宋体"/>
          <w:kern w:val="0"/>
          <w:sz w:val="24"/>
          <w:szCs w:val="24"/>
          <w:highlight w:val="none"/>
          <w:u w:val="single"/>
        </w:rPr>
        <w:t xml:space="preserve">   （制造商/代理商）   </w:t>
      </w:r>
      <w:r>
        <w:rPr>
          <w:rFonts w:hint="eastAsia" w:ascii="宋体" w:hAnsi="宋体" w:eastAsia="宋体" w:cs="宋体"/>
          <w:kern w:val="0"/>
          <w:sz w:val="24"/>
          <w:szCs w:val="24"/>
          <w:highlight w:val="none"/>
        </w:rPr>
        <w:t>是在法律、财务和运作上独立于采购人、招标代理机构的投标供应商，在此保证所提交的所有文件和全部说明是真实的和正确的。</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（九）我方投标报价已包含应向知识产权所有权人支付的所有相关税费，并保证采购人在中国使用我方提供的货物时，如有第三方提出侵犯其知识产权主张的，责任由我方承担。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（十）我方与其他投标供应商不存在单位负责人为同一人或者存在直接控股、管理关系。</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（十一）我方承诺未为本项目提供整体设计、规范编制或者项目管理、监理、检测等服务。</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（十二）我方具备《政府采购法》第二十二条规定的条件，承诺如下：</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（1）我方已依法缴纳了各项税费及社会保险费用，如有需要，可随时向采购人提供近三个月内的相关缴费证明，以便核查。</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（2）我方已依法建立健全的财务会计制度，如有需要，可随时向采购人提供相关的证明材料，以便核查。</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（3）我方参加本项目政府采购活动前3年内在经营活动中没有重大违法记录。</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（4）我方具备履行合同所必需的设备和专业技术能力。</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（5）我方符合法律、行政法规规定的其他条件。</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以上内容如有虚假或与事实不符的，评审委员会可将我方做无效投标处理，我方愿意承担相应的法律责任。</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（十三）我方对在本函及投标文件中所作的所有承诺承担法律责任。</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（十四）所有与本招标有关的函件请发往下列地址：</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    址：</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.邮政编码：</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    话：</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传    真：</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代表姓名：</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.职    务：</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rPr>
          <w:rFonts w:hint="eastAsia" w:ascii="宋体" w:hAnsi="宋体" w:eastAsia="宋体" w:cs="宋体"/>
          <w:color w:val="000000"/>
          <w:szCs w:val="21"/>
          <w:highlight w:val="none"/>
          <w:u w:val="single"/>
        </w:rPr>
      </w:pPr>
    </w:p>
    <w:p>
      <w:pPr>
        <w:spacing w:line="420" w:lineRule="exact"/>
        <w:ind w:firstLine="480" w:firstLineChars="200"/>
        <w:rPr>
          <w:rFonts w:hint="eastAsia" w:ascii="宋体" w:hAnsi="宋体" w:eastAsia="宋体" w:cs="宋体"/>
          <w:kern w:val="0"/>
          <w:sz w:val="24"/>
          <w:szCs w:val="24"/>
          <w:highlight w:val="none"/>
        </w:rPr>
      </w:pPr>
    </w:p>
    <w:p>
      <w:pPr>
        <w:spacing w:line="420" w:lineRule="exact"/>
        <w:ind w:right="48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（公章） </w:t>
      </w:r>
    </w:p>
    <w:p>
      <w:pPr>
        <w:wordWrap w:val="0"/>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法定代表人或委托人：</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（签字）    </w:t>
      </w:r>
    </w:p>
    <w:p>
      <w:pPr>
        <w:spacing w:line="420" w:lineRule="exact"/>
        <w:ind w:right="480" w:firstLine="5280" w:firstLineChars="2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pStyle w:val="2"/>
        <w:kinsoku w:val="0"/>
        <w:overflowPunct w:val="0"/>
        <w:spacing w:before="34" w:line="357" w:lineRule="auto"/>
        <w:ind w:right="126" w:firstLine="480"/>
        <w:jc w:val="center"/>
        <w:rPr>
          <w:rFonts w:hint="eastAsia" w:ascii="宋体" w:hAnsi="宋体" w:eastAsia="宋体" w:cs="宋体"/>
          <w:sz w:val="36"/>
          <w:szCs w:val="36"/>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二、法定代表人身份证明</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cs="宋体"/>
          <w:kern w:val="0"/>
          <w:sz w:val="24"/>
          <w:szCs w:val="24"/>
          <w:highlight w:val="none"/>
          <w:lang w:eastAsia="zh-CN"/>
        </w:rPr>
        <w:t>投标</w:t>
      </w:r>
      <w:r>
        <w:rPr>
          <w:rFonts w:hint="eastAsia" w:ascii="宋体" w:hAnsi="宋体" w:eastAsia="宋体" w:cs="宋体"/>
          <w:kern w:val="0"/>
          <w:sz w:val="24"/>
          <w:szCs w:val="24"/>
          <w:highlight w:val="none"/>
        </w:rPr>
        <w:t>单位名称：</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单位性质：</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地址：</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成立时间：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经营期限：</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姓名：</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性别：</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年龄：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职务：</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身份证号码：</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系</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（投标单位名称）的法定代表人。</w:t>
      </w:r>
    </w:p>
    <w:p>
      <w:pPr>
        <w:spacing w:line="420" w:lineRule="exact"/>
        <w:ind w:firstLine="960" w:firstLineChars="4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特此证明。</w:t>
      </w:r>
    </w:p>
    <w:p>
      <w:pPr>
        <w:pStyle w:val="2"/>
        <w:kinsoku w:val="0"/>
        <w:overflowPunct w:val="0"/>
        <w:spacing w:before="0"/>
        <w:ind w:left="0"/>
        <w:rPr>
          <w:rFonts w:hint="eastAsia" w:ascii="宋体" w:hAnsi="宋体" w:eastAsia="宋体" w:cs="宋体"/>
          <w:sz w:val="20"/>
          <w:szCs w:val="20"/>
          <w:highlight w:val="none"/>
        </w:rPr>
      </w:pPr>
    </w:p>
    <w:p>
      <w:pPr>
        <w:pStyle w:val="2"/>
        <w:kinsoku w:val="0"/>
        <w:overflowPunct w:val="0"/>
        <w:spacing w:before="7"/>
        <w:ind w:left="0"/>
        <w:rPr>
          <w:rFonts w:hint="eastAsia" w:ascii="宋体" w:hAnsi="宋体" w:eastAsia="宋体" w:cs="宋体"/>
          <w:sz w:val="25"/>
          <w:szCs w:val="25"/>
          <w:highlight w:val="none"/>
        </w:rPr>
      </w:pPr>
    </w:p>
    <w:p>
      <w:pPr>
        <w:pStyle w:val="2"/>
        <w:kinsoku w:val="0"/>
        <w:overflowPunct w:val="0"/>
        <w:spacing w:before="0" w:line="200" w:lineRule="atLeast"/>
        <w:ind w:left="608"/>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136515" cy="1458595"/>
                <wp:effectExtent l="0" t="0" r="8255" b="9525"/>
                <wp:docPr id="120" name="组合 120"/>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08" name="任意多边形 108"/>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09" name="任意多边形 109"/>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10" name="任意多边形 110"/>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11" name="任意多边形 111"/>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12" name="任意多边形 112"/>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113" name="任意多边形 113"/>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114" name="任意多边形 114"/>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5" name="任意多边形 115"/>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6" name="任意多边形 116"/>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7" name="任意多边形 117"/>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18" name="文本框 118"/>
                        <wps:cNvSpPr txBox="1"/>
                        <wps:spPr>
                          <a:xfrm>
                            <a:off x="19" y="19"/>
                            <a:ext cx="4025" cy="2258"/>
                          </a:xfrm>
                          <a:prstGeom prst="rect">
                            <a:avLst/>
                          </a:prstGeom>
                          <a:noFill/>
                          <a:ln>
                            <a:noFill/>
                          </a:ln>
                        </wps:spPr>
                        <wps:txbx>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13"/>
                                <w:ind w:left="0"/>
                                <w:rPr>
                                  <w:sz w:val="28"/>
                                  <w:szCs w:val="28"/>
                                </w:rPr>
                              </w:pPr>
                            </w:p>
                            <w:p>
                              <w:pPr>
                                <w:pStyle w:val="2"/>
                                <w:kinsoku w:val="0"/>
                                <w:overflowPunct w:val="0"/>
                                <w:spacing w:before="0"/>
                                <w:ind w:left="107"/>
                              </w:pPr>
                              <w:r>
                                <w:rPr>
                                  <w:rFonts w:hint="eastAsia"/>
                                </w:rPr>
                                <w:t>法定代表人身份证复印件（正面）</w:t>
                              </w:r>
                            </w:p>
                          </w:txbxContent>
                        </wps:txbx>
                        <wps:bodyPr lIns="0" tIns="0" rIns="0" bIns="0" upright="1"/>
                      </wps:wsp>
                      <wps:wsp>
                        <wps:cNvPr id="119" name="文本框 119"/>
                        <wps:cNvSpPr txBox="1"/>
                        <wps:spPr>
                          <a:xfrm>
                            <a:off x="4044" y="19"/>
                            <a:ext cx="4025" cy="2258"/>
                          </a:xfrm>
                          <a:prstGeom prst="rect">
                            <a:avLst/>
                          </a:prstGeom>
                          <a:noFill/>
                          <a:ln>
                            <a:noFill/>
                          </a:ln>
                        </wps:spPr>
                        <wps:txbx>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13"/>
                                <w:ind w:left="0"/>
                                <w:rPr>
                                  <w:sz w:val="28"/>
                                  <w:szCs w:val="28"/>
                                </w:rPr>
                              </w:pPr>
                            </w:p>
                            <w:p>
                              <w:pPr>
                                <w:pStyle w:val="2"/>
                                <w:kinsoku w:val="0"/>
                                <w:overflowPunct w:val="0"/>
                                <w:spacing w:before="0"/>
                                <w:ind w:left="107"/>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">
                <o:lock v:ext="edit" rotation="t" aspectratio="f"/>
                <v:shape id="_x0000_s1026" o:spid="_x0000_s1026" o:spt="100" style="position:absolute;left:4;top:9;height:20;width:8079;" filled="f" stroked="t" coordsize="8079,20" o:gfxdata="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8omSb4A&#10;AADcAAAADwAAAAAAAAABACAAAAAiAAAAZHJzL2Rvd25yZXYueG1sUEsBAhQAFAAAAAgAh07iQDMv&#10;BZ47AAAAOQAAABAAAAAAAAAAAQAgAAAADQEAAGRycy9zaGFwZXhtbC54bWxQSwUGAAAAAAYABgBb&#10;AQAAtwM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RzdCdrsAAADc&#10;AAAADwAAAGRycy9kb3ducmV2LnhtbEVPzWrCQBC+C77DMkJvuhuhpaZucqgUxNJDow8wZMckJDsb&#10;drca+/TdguBtPr7f2ZaTHcSFfOgca8hWCgRx7UzHjYbT8WP5CiJEZIODY9JwowBlMZ9tMTfuyt90&#10;qWIjUgiHHDW0MY65lKFuyWJYuZE4cWfnLcYEfSONx2sKt4NcK/UiLXacGloc6b2luq9+rIad98cv&#10;OZ6r38PnzmWN6p83U6/10yJTbyAiTfEhvrv3Js1XG/h/Jl0g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zdCdrsAAADc&#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U9R9Nr4AAADc&#10;AAAADwAAAGRycy9kb3ducmV2LnhtbEWPQWvDMAyF74X9B6PCbq2dwcqa1u2hZTA2eljaHyBiNQmJ&#10;5WB7bbZfPx0Gu0m8p/c+bfeTH9SNYuoCWyiWBhRxHVzHjYXL+XXxAiplZIdDYLLwTQn2u4fZFksX&#10;7vxJtyo3SkI4lWihzXkstU51Sx7TMozEol1D9JhljY12Ee8S7gf9ZMxKe+xYGloc6dBS3Vdf3sIx&#10;xvNJj9fq5/3jGIrG9M/rqbf2cV6YDahMU/43/12/OcEvBF+ekQn07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9R9Nr4A&#10;AADcAAAADwAAAAAAAAABACAAAAAiAAAAZHJzL2Rvd25yZXYueG1sUEsBAhQAFAAAAAgAh07iQDMv&#10;BZ47AAAAOQAAABAAAAAAAAAAAQAgAAAADQEAAGRycy9zaGFwZXhtbC54bWxQSwUGAAAAAAYABgBb&#10;AQAAtwM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bykZCbsAAADc&#10;AAAADwAAAGRycy9kb3ducmV2LnhtbEVPTWsCMRC9F/wPYYTearILimyNHqStpZ7UHnocNrObxc1k&#10;SaJu/31TELzN433OajO6XlwpxM6zhmKmQBDX3nTcavg+vb8sQcSEbLD3TBp+KcJmPXlaYWX8jQ90&#10;PaZW5BCOFWqwKQ2VlLG25DDO/ECcucYHhynD0EoT8JbDXS9LpRbSYce5weJAW0v1+XhxGvZNU56D&#10;Kr/mH7s3xHHetT92q/XztFCvIBKN6SG+uz9Nnl8U8P9MvkC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ykZCbsAAADc&#10;AAAADwAAAAAAAAABACAAAAAiAAAAZHJzL2Rvd25yZXYueG1sUEsBAhQAFAAAAAgAh07iQDMvBZ47&#10;AAAAOQAAABAAAAAAAAAAAQAgAAAACgEAAGRycy9zaGFwZXhtbC54bWxQSwUGAAAAAAYABgBbAQAA&#10;tAM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GPtzx7sAAADc&#10;AAAADwAAAGRycy9kb3ducmV2LnhtbEVPTWsCMRC9F/wPYYReiiYrtKyr0YNYEDx1q/dhM24WN5M1&#10;SdX665tCobd5vM9Zru+uF1cKsfOsoZgqEMSNNx23Gg6f75MSREzIBnvPpOGbIqxXo6clVsbf+IOu&#10;dWpFDuFYoQab0lBJGRtLDuPUD8SZO/ngMGUYWmkC3nK46+VMqTfpsOPcYHGgjaXmXH85DY/Ty+51&#10;a3FbN+VR7cv55oKh1vp5XKgFiET39C/+c+9Mnl/M4PeZfIFc/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Ptzx7sAAADc&#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45lnMr4AAADc&#10;AAAADwAAAGRycy9kb3ducmV2LnhtbEVPS2vCQBC+C/6HZYRepG5SS6mpaygtQg4Fnwd7G7JjEpud&#10;Ddk1if++KxR6m4/vOct0MLXoqHWVZQXxLAJBnFtdcaHgeFg/voJwHlljbZkU3MhBuhqPlpho2/OO&#10;ur0vRAhhl6CC0vsmkdLlJRl0M9sQB+5sW4M+wLaQusU+hJtaPkXRizRYcWgosaGPkvKf/dUo6LNP&#10;WR39Jp8Wu6/D8+L03ly+t0o9TOLoDYSnwf+L/9yZDvPjOdyfCRfI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5lnMr4A&#10;AADc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bJBF3LgAAADc&#10;AAAADwAAAGRycy9kb3ducmV2LnhtbEVPS4vCMBC+L/gfwgje1rS+kGoUKQieFnzdh2Zsis2kTeJj&#10;//1mYWFv8/E9Z71921Y8yYfGsYJ8nIEgrpxuuFZwOe8/lyBCRNbYOiYF3xRguxl8rLHQ7sVHep5i&#10;LVIIhwIVmBi7QspQGbIYxq4jTtzNeYsxQV9L7fGVwm0rJ1m2kBYbTg0GOyoNVffTwyrwVSh1P+3N&#10;tey/rrzDzi2mc6VGwzxbgYj0jv/iP/dBp/n5DH6fSRfIzQ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JBF3L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A9zgR7kAAADc&#10;AAAADwAAAGRycy9kb3ducmV2LnhtbEVPyWrDMBC9F/IPYgK91bIbHIJjJRRDoKdA3eY+WBPL1BrZ&#10;krL9fVUo9DaPt069v9tRXMmHwbGCIstBEHdOD9wr+Po8vGxAhIiscXRMCh4UYL9bPNVYaXfjD7q2&#10;sRcphEOFCkyMUyVl6AxZDJmbiBN3dt5iTND3Unu8pXA7ytc8X0uLA6cGgxM1hrrv9mIV+C40el7N&#10;5tTMxxO/4eTWq1Kp52WRb0FEusd/8Z/7Xaf5RQm/z6QL5O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Pc4Ee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8w5+MLgAAADc&#10;AAAADwAAAGRycy9kb3ducmV2LnhtbEVPTYvCMBC9C/sfwgh707SKRapRpCDsaUF3vQ/N2BSbSZtk&#10;1f33RhC8zeN9znp7t524kg+tYwX5NANBXDvdcqPg92c/WYIIEVlj55gU/FOA7eZjtMZSuxsf6HqM&#10;jUghHEpUYGLsSylDbchimLqeOHFn5y3GBH0jtcdbCrednGVZIS22nBoM9lQZqi/HP6vA16HSw3ww&#10;p2r4PvEOe1fMF0p9jvNsBSLSPb7FL/eXTvPzAp7PpAvk5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w5+ML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6YiwK70AAADc&#10;AAAADwAAAGRycy9kb3ducmV2LnhtbEVPTWvCQBC9F/oflin0ppvYYtPUVaho9SLStNDrmB2zwexs&#10;yK5R/70rCL3N433OZHa2jeip87VjBekwAUFcOl1zpeD3ZznIQPiArLFxTAou5GE2fXyYYK7dib+p&#10;L0IlYgj7HBWYENpcSl8asuiHriWO3N51FkOEXSV1h6cYbhs5SpKxtFhzbDDY0txQeSiOVsHB9+Zz&#10;9/q12r7w+yYrdov2b79Q6vkpTT5ABDqHf/HdvdZxfvoGt2fiBXJ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iLArvQAA&#10;ANw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3C/Mub8AAADc&#10;AAAADwAAAGRycy9kb3ducmV2LnhtbEWPT2vDMAzF74N9B6PBbqudHkqb1S1jrDAYlKXZYUctVhPT&#10;WM5ir3++/XQo9Cbxnt77abk+h14daUw+soViYkARN9F5bi181ZunOaiUkR32kcnChRKsV/d3Syxd&#10;PHFFx11ulYRwKtFCl/NQap2ajgKmSRyIRdvHMWCWdWy1G/Ek4aHXU2NmOqBnaehwoNeOmsPuL1h4&#10;+ebqzf9ufz6rfeXremH4Y3aw9vGhMM+gMp3zzXy9fneCXwitPCMT6N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vzL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13"/>
                          <w:ind w:left="0"/>
                          <w:rPr>
                            <w:sz w:val="28"/>
                            <w:szCs w:val="28"/>
                          </w:rPr>
                        </w:pPr>
                      </w:p>
                      <w:p>
                        <w:pPr>
                          <w:pStyle w:val="2"/>
                          <w:kinsoku w:val="0"/>
                          <w:overflowPunct w:val="0"/>
                          <w:spacing w:before="0"/>
                          <w:ind w:left="107"/>
                        </w:pPr>
                        <w:r>
                          <w:rPr>
                            <w:rFonts w:hint="eastAsia"/>
                          </w:rPr>
                          <w:t>法定代表人身份证复印件（正面）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s2NpIrwAAADc&#10;AAAADwAAAGRycy9kb3ducmV2LnhtbEVPTWvCQBC9C/6HZYTedDc9SE3diEgLhUIxpocep9lJspid&#10;TbNbtf/eLQje5vE+Z725uF6caAzWs4ZsoUAQ195YbjV8Vq/zJxAhIhvsPZOGPwqwKaaTNebGn7mk&#10;0yG2IoVwyFFDF+OQSxnqjhyGhR+IE9f40WFMcGylGfGcwl0vH5VaSoeWU0OHA+06qo+HX6dh+8Xl&#10;i/35+N6XTWmraqX4fXnU+mGWqWcQkS7xLr6530yan63g/5l0gSy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jaS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13"/>
                          <w:ind w:left="0"/>
                          <w:rPr>
                            <w:sz w:val="28"/>
                            <w:szCs w:val="28"/>
                          </w:rPr>
                        </w:pPr>
                      </w:p>
                      <w:p>
                        <w:pPr>
                          <w:pStyle w:val="2"/>
                          <w:kinsoku w:val="0"/>
                          <w:overflowPunct w:val="0"/>
                          <w:spacing w:before="0"/>
                          <w:ind w:left="107"/>
                        </w:pPr>
                        <w:r>
                          <w:rPr>
                            <w:rFonts w:hint="eastAsia"/>
                          </w:rPr>
                          <w:t>法定代表人身份证复印件（反面）</w:t>
                        </w:r>
                      </w:p>
                    </w:txbxContent>
                  </v:textbox>
                </v:shape>
                <w10:wrap type="none"/>
                <w10:anchorlock/>
              </v:group>
            </w:pict>
          </mc:Fallback>
        </mc:AlternateContent>
      </w:r>
    </w:p>
    <w:p>
      <w:pPr>
        <w:pStyle w:val="2"/>
        <w:kinsoku w:val="0"/>
        <w:overflowPunct w:val="0"/>
        <w:spacing w:before="0"/>
        <w:ind w:left="0"/>
        <w:rPr>
          <w:rFonts w:hint="eastAsia" w:ascii="宋体" w:hAnsi="宋体" w:eastAsia="宋体" w:cs="宋体"/>
          <w:sz w:val="20"/>
          <w:szCs w:val="20"/>
          <w:highlight w:val="none"/>
        </w:rPr>
      </w:pPr>
    </w:p>
    <w:p>
      <w:pPr>
        <w:wordWrap w:val="0"/>
        <w:spacing w:line="420" w:lineRule="exact"/>
        <w:ind w:firstLine="480" w:firstLineChars="200"/>
        <w:jc w:val="right"/>
        <w:rPr>
          <w:rFonts w:hint="eastAsia" w:ascii="宋体" w:hAnsi="宋体" w:eastAsia="宋体" w:cs="宋体"/>
          <w:kern w:val="0"/>
          <w:sz w:val="24"/>
          <w:szCs w:val="24"/>
          <w:highlight w:val="none"/>
        </w:rPr>
      </w:pPr>
    </w:p>
    <w:p>
      <w:pPr>
        <w:spacing w:line="420" w:lineRule="exact"/>
        <w:ind w:firstLine="480" w:firstLineChars="200"/>
        <w:jc w:val="right"/>
        <w:rPr>
          <w:rFonts w:hint="eastAsia" w:ascii="宋体" w:hAnsi="宋体" w:eastAsia="宋体" w:cs="宋体"/>
          <w:kern w:val="0"/>
          <w:sz w:val="24"/>
          <w:szCs w:val="24"/>
          <w:highlight w:val="none"/>
        </w:rPr>
      </w:pPr>
    </w:p>
    <w:p>
      <w:pPr>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（公章）</w:t>
      </w:r>
    </w:p>
    <w:p>
      <w:pPr>
        <w:wordWrap w:val="0"/>
        <w:spacing w:line="420" w:lineRule="exact"/>
        <w:ind w:right="480" w:firstLine="480" w:firstLineChars="20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日 </w:t>
      </w:r>
    </w:p>
    <w:p>
      <w:pPr>
        <w:pStyle w:val="2"/>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三、授权委托书</w:t>
      </w:r>
    </w:p>
    <w:p>
      <w:pPr>
        <w:pStyle w:val="2"/>
        <w:kinsoku w:val="0"/>
        <w:overflowPunct w:val="0"/>
        <w:spacing w:before="2"/>
        <w:ind w:left="0"/>
        <w:rPr>
          <w:rFonts w:hint="eastAsia" w:ascii="宋体" w:hAnsi="宋体" w:eastAsia="宋体" w:cs="宋体"/>
          <w:b/>
          <w:bCs/>
          <w:sz w:val="21"/>
          <w:szCs w:val="21"/>
          <w:highlight w:val="none"/>
        </w:rPr>
      </w:pPr>
    </w:p>
    <w:p>
      <w:pPr>
        <w:spacing w:line="360" w:lineRule="auto"/>
        <w:rPr>
          <w:rFonts w:hint="eastAsia" w:ascii="宋体" w:hAnsi="宋体" w:eastAsia="宋体" w:cs="宋体"/>
          <w:kern w:val="0"/>
          <w:sz w:val="24"/>
          <w:szCs w:val="24"/>
          <w:highlight w:val="none"/>
          <w:u w:val="single"/>
        </w:rPr>
      </w:pPr>
      <w:r>
        <w:rPr>
          <w:rFonts w:hint="eastAsia" w:hAnsi="宋体" w:cs="宋体"/>
          <w:b/>
          <w:bCs/>
          <w:spacing w:val="1"/>
          <w:sz w:val="24"/>
          <w:szCs w:val="24"/>
          <w:highlight w:val="none"/>
          <w:lang w:eastAsia="zh-CN"/>
        </w:rPr>
        <w:t>新疆信尔成工程项目管理有限公司</w:t>
      </w:r>
      <w:r>
        <w:rPr>
          <w:rFonts w:hint="eastAsia" w:ascii="宋体" w:hAnsi="宋体"/>
          <w:b/>
          <w:bCs/>
          <w:spacing w:val="6"/>
          <w:sz w:val="24"/>
          <w:szCs w:val="24"/>
        </w:rPr>
        <w:t>：</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本授权书声明：注册于</w:t>
      </w:r>
      <w:r>
        <w:rPr>
          <w:rFonts w:hint="eastAsia" w:ascii="宋体" w:hAnsi="宋体" w:eastAsia="宋体" w:cs="宋体"/>
          <w:kern w:val="0"/>
          <w:sz w:val="24"/>
          <w:szCs w:val="24"/>
          <w:highlight w:val="none"/>
          <w:u w:val="single"/>
        </w:rPr>
        <w:t>（投标人地址）</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（投标人名称）</w:t>
      </w:r>
      <w:r>
        <w:rPr>
          <w:rFonts w:hint="eastAsia" w:ascii="宋体" w:hAnsi="宋体" w:eastAsia="宋体" w:cs="宋体"/>
          <w:kern w:val="0"/>
          <w:sz w:val="24"/>
          <w:szCs w:val="24"/>
          <w:highlight w:val="none"/>
        </w:rPr>
        <w:t>法定代表人（负责人）</w:t>
      </w:r>
      <w:r>
        <w:rPr>
          <w:rFonts w:hint="eastAsia" w:ascii="宋体" w:hAnsi="宋体" w:eastAsia="宋体" w:cs="宋体"/>
          <w:kern w:val="0"/>
          <w:sz w:val="24"/>
          <w:szCs w:val="24"/>
          <w:highlight w:val="none"/>
          <w:u w:val="single"/>
        </w:rPr>
        <w:t>姓名、职务或职称）</w:t>
      </w:r>
      <w:r>
        <w:rPr>
          <w:rFonts w:hint="eastAsia" w:ascii="宋体" w:hAnsi="宋体" w:eastAsia="宋体" w:cs="宋体"/>
          <w:kern w:val="0"/>
          <w:sz w:val="24"/>
          <w:szCs w:val="24"/>
          <w:highlight w:val="none"/>
        </w:rPr>
        <w:t>代表本公司授权</w:t>
      </w:r>
      <w:r>
        <w:rPr>
          <w:rFonts w:hint="eastAsia" w:ascii="宋体" w:hAnsi="宋体" w:eastAsia="宋体" w:cs="宋体"/>
          <w:kern w:val="0"/>
          <w:sz w:val="24"/>
          <w:szCs w:val="24"/>
          <w:highlight w:val="none"/>
          <w:u w:val="single"/>
        </w:rPr>
        <w:t>（姓名）</w:t>
      </w:r>
      <w:r>
        <w:rPr>
          <w:rFonts w:hint="eastAsia" w:ascii="宋体" w:hAnsi="宋体" w:eastAsia="宋体" w:cs="宋体"/>
          <w:kern w:val="0"/>
          <w:sz w:val="24"/>
          <w:szCs w:val="24"/>
          <w:highlight w:val="none"/>
        </w:rPr>
        <w:t>为本单位的合法代理人，参与贵方组织的</w:t>
      </w:r>
      <w:r>
        <w:rPr>
          <w:rFonts w:hint="eastAsia" w:ascii="宋体" w:hAnsi="宋体" w:eastAsia="宋体" w:cs="宋体"/>
          <w:kern w:val="0"/>
          <w:sz w:val="24"/>
          <w:szCs w:val="24"/>
          <w:highlight w:val="none"/>
          <w:u w:val="single"/>
        </w:rPr>
        <w:t>（项目名称及项目编号）</w:t>
      </w:r>
      <w:r>
        <w:rPr>
          <w:rFonts w:hint="eastAsia" w:ascii="宋体" w:hAnsi="宋体" w:eastAsia="宋体" w:cs="宋体"/>
          <w:kern w:val="0"/>
          <w:sz w:val="24"/>
          <w:szCs w:val="24"/>
          <w:highlight w:val="none"/>
        </w:rPr>
        <w:t xml:space="preserve"> 的投标、谈判、签约等具体工作，并签署全部有关文件、协议及合同。</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我单位对被授权人的上述经济活动负全部责任。在撤销授权的书面通知前，本授权书一直有效。被授权人在授权书有效期内签署的所有文件不因授权的撤消而失效。</w:t>
      </w:r>
    </w:p>
    <w:p>
      <w:pPr>
        <w:pStyle w:val="2"/>
        <w:kinsoku w:val="0"/>
        <w:overflowPunct w:val="0"/>
        <w:spacing w:before="12"/>
        <w:ind w:left="0"/>
        <w:rPr>
          <w:rFonts w:hint="eastAsia" w:ascii="宋体" w:hAnsi="宋体" w:eastAsia="宋体" w:cs="宋体"/>
          <w:sz w:val="4"/>
          <w:szCs w:val="4"/>
          <w:highlight w:val="none"/>
        </w:rPr>
      </w:pPr>
    </w:p>
    <w:p>
      <w:pPr>
        <w:pStyle w:val="2"/>
        <w:kinsoku w:val="0"/>
        <w:overflowPunct w:val="0"/>
        <w:spacing w:before="0" w:line="200" w:lineRule="atLeast"/>
        <w:ind w:left="628"/>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136515" cy="1458595"/>
                <wp:effectExtent l="0" t="0" r="8255" b="9525"/>
                <wp:docPr id="107" name="组合 107"/>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95" name="任意多边形 95"/>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96" name="任意多边形 96"/>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97" name="任意多边形 97"/>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98" name="任意多边形 98"/>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99" name="任意多边形 99"/>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100" name="任意多边形 100"/>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101" name="任意多边形 101"/>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2" name="任意多边形 102"/>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3" name="任意多边形 103"/>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4" name="任意多边形 104"/>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05" name="文本框 105"/>
                        <wps:cNvSpPr txBox="1"/>
                        <wps:spPr>
                          <a:xfrm>
                            <a:off x="19" y="19"/>
                            <a:ext cx="4025" cy="2258"/>
                          </a:xfrm>
                          <a:prstGeom prst="rect">
                            <a:avLst/>
                          </a:prstGeom>
                          <a:noFill/>
                          <a:ln>
                            <a:noFill/>
                          </a:ln>
                        </wps:spPr>
                        <wps:txbx>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12"/>
                                <w:ind w:left="0"/>
                                <w:rPr>
                                  <w:sz w:val="28"/>
                                  <w:szCs w:val="28"/>
                                </w:rPr>
                              </w:pPr>
                            </w:p>
                            <w:p>
                              <w:pPr>
                                <w:pStyle w:val="2"/>
                                <w:kinsoku w:val="0"/>
                                <w:overflowPunct w:val="0"/>
                                <w:spacing w:before="0"/>
                                <w:ind w:left="107"/>
                              </w:pPr>
                              <w:r>
                                <w:rPr>
                                  <w:rFonts w:hint="eastAsia"/>
                                </w:rPr>
                                <w:t>授权人身份证复印件（正面）</w:t>
                              </w:r>
                            </w:p>
                          </w:txbxContent>
                        </wps:txbx>
                        <wps:bodyPr lIns="0" tIns="0" rIns="0" bIns="0" upright="1"/>
                      </wps:wsp>
                      <wps:wsp>
                        <wps:cNvPr id="106" name="文本框 106"/>
                        <wps:cNvSpPr txBox="1"/>
                        <wps:spPr>
                          <a:xfrm>
                            <a:off x="4044" y="19"/>
                            <a:ext cx="4025" cy="2258"/>
                          </a:xfrm>
                          <a:prstGeom prst="rect">
                            <a:avLst/>
                          </a:prstGeom>
                          <a:noFill/>
                          <a:ln>
                            <a:noFill/>
                          </a:ln>
                        </wps:spPr>
                        <wps:txbx>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12"/>
                                <w:ind w:left="0"/>
                                <w:rPr>
                                  <w:sz w:val="28"/>
                                  <w:szCs w:val="28"/>
                                </w:rPr>
                              </w:pPr>
                            </w:p>
                            <w:p>
                              <w:pPr>
                                <w:pStyle w:val="2"/>
                                <w:kinsoku w:val="0"/>
                                <w:overflowPunct w:val="0"/>
                                <w:spacing w:before="0"/>
                                <w:ind w:left="107"/>
                              </w:pPr>
                              <w:r>
                                <w:rPr>
                                  <w:rFonts w:hint="eastAsia"/>
                                </w:rPr>
                                <w:t>授权人身份证复印件（反面）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">
                <o:lock v:ext="edit" rotation="t" aspectratio="f"/>
                <v:shape id="_x0000_s1026" o:spid="_x0000_s1026" o:spt="100" style="position:absolute;left:4;top:9;height:20;width:8079;" filled="f" stroked="t" coordsize="8079,20" o:gfxdata="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AYIE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Hu1pY7wAAADb&#10;AAAADwAAAGRycy9kb3ducmV2LnhtbEWPQYvCMBSE7wv+h/CEva1JFxStRg/Kgih7sPoDHs2zLW1e&#10;ShK17q83Cwt7HGbmG2a1GWwn7uRD41hDNlEgiEtnGq40XM5fH3MQISIb7ByThicF2KxHbyvMjXvw&#10;ie5FrESCcMhRQx1jn0sZyposhonriZN3dd5iTNJX0nh8JLjt5KdSM2mx4bRQY0/bmsq2uFkNO+/P&#10;37K/Fj+H485llWqni6HV+n2cqSWISEP8D/+190bDYga/X9IPkO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7taWO8AAAA&#10;2w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caHM+L0AAADb&#10;AAAADwAAAGRycy9kb3ducmV2LnhtbEWPQWsCMRSE7wX/Q3iCt5qsYKur0YMiSEsPXf0Bj81zd9nN&#10;y5JEXf31TaHQ4zAz3zDr7WA7cSMfGscasqkCQVw603Cl4Xw6vC5AhIhssHNMGh4UYLsZvawxN+7O&#10;33QrYiUShEOOGuoY+1zKUNZkMUxdT5y8i/MWY5K+ksbjPcFtJ2dKvUmLDaeFGnva1VS2xdVq2Ht/&#10;+pL9pXh+fO5dVql2vhxarSfjTK1ARBrif/ivfTQalu/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ocz4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ZgAtmrkAAADb&#10;AAAADwAAAGRycy9kb3ducmV2LnhtbEVPPW/CMBDdK/EfrENiKzaRqErAMCAoqJ0KDIyn+BJHxOfI&#10;diH8+3qo1PHpfa82g+vEnUJsPWuYTRUI4sqblhsNl/P+9R1ETMgGO8+k4UkRNuvRywpL4x/8TfdT&#10;akQO4ViiBptSX0oZK0sO49T3xJmrfXCYMgyNNAEfOdx1slDqTTpsOTdY7GlrqbqdfpyGr7oubkEV&#10;n/OPww5xmLfN1W61noxnagki0ZD+xX/uo9GwyGP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ALZq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f8Jck70AAADb&#10;AAAADwAAAGRycy9kb3ducmV2LnhtbEWPT2sCMRTE7wW/Q3iCl1ITBcvu1uhBFISeurX3x+a5Wbp5&#10;2Sapf/rpG0HwOMzMb5jl+uJ6caIQO88aZlMFgrjxpuNWw+Fz91KAiAnZYO+ZNFwpwno1elpiZfyZ&#10;P+hUp1ZkCMcKNdiUhkrK2FhyGKd+IM7e0QeHKcvQShPwnOGul3OlXqXDjvOCxYE2lprv+tdp+Ds+&#10;7xdbi9u6Kb7Ue1FufjDUWk/GM/UGItElPcL39t5oKEu4fck/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lyTvQAA&#10;ANsAAAAPAAAAAAAAAAEAIAAAACIAAABkcnMvZG93bnJldi54bWxQSwECFAAUAAAACACHTuJAMy8F&#10;njsAAAA5AAAAEAAAAAAAAAABACAAAAAMAQAAZHJzL3NoYXBleG1sLnhtbFBLBQYAAAAABgAGAFsB&#10;AAC2Aw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lpJvmMAAAADc&#10;AAAADwAAAGRycy9kb3ducmV2LnhtbEWPT2sCQQzF74V+hyEFL0VnLFLa1VFKS8GDYP1z0FvYibtr&#10;dzLLzujqtzcHwVvCe3nvl8ns4mt1pjZWgS0MBwYUcR5cxYWF7ea3/wEqJmSHdWCycKUIs+nz0wQz&#10;Fzpe0XmdCiUhHDO0UKbUZFrHvCSPcRAaYtEOofWYZG0L7VrsJNzX+s2Yd+2xYmkosaHvkvL/9clb&#10;6OY/utqmZf5arBab0efuqznu/6ztvQzNGFSiS3qY79dzJ/hG8OUZmUBP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km+Y&#10;wAAAANwAAAAPAAAAAAAAAAEAIAAAACIAAABkcnMvZG93bnJldi54bWxQSwECFAAUAAAACACHTuJA&#10;My8FnjsAAAA5AAAAEAAAAAAAAAABACAAAAAPAQAAZHJzL3NoYXBleG1sLnhtbFBLBQYAAAAABgAG&#10;AFsBAAC5Aw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T5wmbkAAADc&#10;AAAADwAAAGRycy9kb3ducmV2LnhtbEVPyWrDMBC9B/oPYgK5JZIbGoob2QRDoadAs9wHa2qZWiNb&#10;UpP076tAoLd5vHW29c0N4kIh9p41FCsFgrj1pudOw+n4vnwFEROywcEzafilCHX1NNtiafyVP+ly&#10;SJ3IIRxL1GBTGkspY2vJYVz5kThzXz44TBmGTpqA1xzuBvms1EY67Dk3WBypsdR+H36chtDGxkzr&#10;yZ6baX/mHY5+s37RejEv1BuIRLf0L364P0yerwq4P5MvkNU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k+cJm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Cezu7rgAAADc&#10;AAAADwAAAGRycy9kb3ducmV2LnhtbEVPS4vCMBC+C/sfwizsTRMVRapRpCDsaUF3vQ/N2BSbSZvE&#10;x/57Iwje5uN7zmpzd624UoiNZw3jkQJBXHnTcK3h73c3XICICdlg65k0/FOEzfpjsMLC+Bvv6XpI&#10;tcghHAvUYFPqCiljZclhHPmOOHMnHxymDEMtTcBbDnetnCg1lw4bzg0WOyotVefDxWkIVSxNP+3t&#10;sex/jrzFzs+nM62/PsdqCSLRPb3FL/e3yfPVBJ7P5Avk+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ezu7r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ZqBLdbkAAADc&#10;AAAADwAAAGRycy9kb3ducmV2LnhtbEVP32vCMBB+F/Y/hBN808SVyehMixQGexJ08/1obk1Zc2mT&#10;TN1/bwRhb/fx/bxtfXWDOFOIvWcN65UCQdx603On4evzffkKIiZkg4Nn0vBHEerqabbF0vgLH+h8&#10;TJ3IIRxL1GBTGkspY2vJYVz5kThz3z44TBmGTpqAlxzuBvms1EY67Dk3WBypsdT+HH+dhtDGxkzF&#10;ZE/NtD/xDke/KV60XszX6g1Eomv6Fz/cHybPVwXcn8kXyOo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gS3W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nIO4gbwAAADc&#10;AAAADwAAAGRycy9kb3ducmV2LnhtbEVPTWsCMRC9F/ofwhR600QrRbdGoWLVSyldBa/jZtwsbibL&#10;Jl313xtB6G0e73Om84urRUdtqDxrGPQVCOLCm4pLDbvtV28MIkRkg7Vn0nClAPPZ89MUM+PP/Etd&#10;HkuRQjhkqMHG2GRShsKSw9D3DXHijr51GBNsS2laPKdwV8uhUu/SYcWpwWJDC0vFKf9zGk6hs5+H&#10;0Wr988aT73F+WDb741Lr15eB+gAR6RL/xQ/3xqT5agT3Z9IFcnY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DuIG8AAAA&#10;3AAAAA8AAAAAAAAAAQAgAAAAIgAAAGRycy9kb3ducmV2LnhtbFBLAQIUABQAAAAIAIdO4kAzLwWe&#10;OwAAADkAAAAQAAAAAAAAAAEAIAAAAAsBAABkcnMvc2hhcGV4bWwueG1sUEsFBgAAAAAGAAYAWwEA&#10;ALUDA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t/f1+rwAAADc&#10;AAAADwAAAGRycy9kb3ducmV2LnhtbEVPS2sCMRC+C/6HMAVvmlhQ6tYoRSwIheK6HjxON+NucDNZ&#10;N/HRf98IBW/z8T1nvry7RlypC9azhvFIgSAuvbFcadgXn8M3ECEiG2w8k4ZfCrBc9HtzzIy/cU7X&#10;XaxECuGQoYY6xjaTMpQ1OQwj3xIn7ug7hzHBrpKmw1sKd418VWoqHVpODTW2tKqpPO0uTsPHgfO1&#10;PX//bPNjbotipvhretJ68DJW7yAi3eNT/O/emDRfTe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39fq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12"/>
                          <w:ind w:left="0"/>
                          <w:rPr>
                            <w:sz w:val="28"/>
                            <w:szCs w:val="28"/>
                          </w:rPr>
                        </w:pPr>
                      </w:p>
                      <w:p>
                        <w:pPr>
                          <w:pStyle w:val="2"/>
                          <w:kinsoku w:val="0"/>
                          <w:overflowPunct w:val="0"/>
                          <w:spacing w:before="0"/>
                          <w:ind w:left="107"/>
                        </w:pPr>
                        <w:r>
                          <w:rPr>
                            <w:rFonts w:hint="eastAsia"/>
                          </w:rPr>
                          <w:t>授权人身份证复印件（正面）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RyVrjbwAAADc&#10;AAAADwAAAGRycy9kb3ducmV2LnhtbEVPTWvCQBC9C/0Pywi96a49BI1upEgLhUIxxoPHaXaSLGZn&#10;0+xW7b/vFgre5vE+Z7O9uV5caAzWs4bFXIEgrr2x3Go4Vq+zJYgQkQ32nknDDwXYFg+TDebGX7mk&#10;yyG2IoVwyFFDF+OQSxnqjhyGuR+IE9f40WFMcGylGfGawl0vn5TKpEPLqaHDgXYd1efDt9PwfOLy&#10;xX59fO7LprRVtVL8np21fpwu1BpEpFu8i//dbybNVxn8PZMuk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la4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12"/>
                          <w:ind w:left="0"/>
                          <w:rPr>
                            <w:sz w:val="28"/>
                            <w:szCs w:val="28"/>
                          </w:rPr>
                        </w:pPr>
                      </w:p>
                      <w:p>
                        <w:pPr>
                          <w:pStyle w:val="2"/>
                          <w:kinsoku w:val="0"/>
                          <w:overflowPunct w:val="0"/>
                          <w:spacing w:before="0"/>
                          <w:ind w:left="107"/>
                        </w:pPr>
                        <w:r>
                          <w:rPr>
                            <w:rFonts w:hint="eastAsia"/>
                          </w:rPr>
                          <w:t>授权人身份证复印件（反面）</w:t>
                        </w:r>
                      </w:p>
                    </w:txbxContent>
                  </v:textbox>
                </v:shape>
                <w10:wrap type="none"/>
                <w10:anchorlock/>
              </v:group>
            </w:pict>
          </mc:Fallback>
        </mc:AlternateContent>
      </w:r>
    </w:p>
    <w:p>
      <w:pPr>
        <w:pStyle w:val="2"/>
        <w:kinsoku w:val="0"/>
        <w:overflowPunct w:val="0"/>
        <w:spacing w:before="0"/>
        <w:ind w:left="0"/>
        <w:rPr>
          <w:rFonts w:hint="eastAsia" w:ascii="宋体" w:hAnsi="宋体" w:eastAsia="宋体" w:cs="宋体"/>
          <w:sz w:val="20"/>
          <w:szCs w:val="20"/>
          <w:highlight w:val="none"/>
        </w:rPr>
      </w:pPr>
    </w:p>
    <w:p>
      <w:pPr>
        <w:pStyle w:val="2"/>
        <w:kinsoku w:val="0"/>
        <w:overflowPunct w:val="0"/>
        <w:spacing w:before="1"/>
        <w:ind w:left="0"/>
        <w:rPr>
          <w:rFonts w:hint="eastAsia" w:ascii="宋体" w:hAnsi="宋体" w:eastAsia="宋体" w:cs="宋体"/>
          <w:sz w:val="19"/>
          <w:szCs w:val="19"/>
          <w:highlight w:val="none"/>
        </w:rPr>
      </w:pPr>
    </w:p>
    <w:p>
      <w:pPr>
        <w:pStyle w:val="2"/>
        <w:kinsoku w:val="0"/>
        <w:overflowPunct w:val="0"/>
        <w:spacing w:before="0" w:line="200" w:lineRule="atLeast"/>
        <w:ind w:left="628"/>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136515" cy="1384935"/>
                <wp:effectExtent l="0" t="0" r="7620" b="6985"/>
                <wp:docPr id="94" name="组合 94"/>
                <wp:cNvGraphicFramePr/>
                <a:graphic xmlns:a="http://schemas.openxmlformats.org/drawingml/2006/main">
                  <a:graphicData uri="http://schemas.microsoft.com/office/word/2010/wordprocessingGroup">
                    <wpg:wgp>
                      <wpg:cNvGrpSpPr>
                        <a:grpSpLocks noRot="1"/>
                      </wpg:cNvGrpSpPr>
                      <wpg:grpSpPr>
                        <a:xfrm>
                          <a:off x="0" y="0"/>
                          <a:ext cx="5136515" cy="1384935"/>
                          <a:chOff x="0" y="0"/>
                          <a:chExt cx="8089" cy="2181"/>
                        </a:xfrm>
                      </wpg:grpSpPr>
                      <wps:wsp>
                        <wps:cNvPr id="82" name="任意多边形 82"/>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83" name="任意多边形 83"/>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84" name="任意多边形 84"/>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85" name="任意多边形 85"/>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86" name="任意多边形 86"/>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87" name="任意多边形 87"/>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88" name="任意多边形 88"/>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89" name="任意多边形 89"/>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90" name="任意多边形 90"/>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91" name="任意多边形 91"/>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92" name="文本框 92"/>
                        <wps:cNvSpPr txBox="1"/>
                        <wps:spPr>
                          <a:xfrm>
                            <a:off x="19" y="19"/>
                            <a:ext cx="4025" cy="2142"/>
                          </a:xfrm>
                          <a:prstGeom prst="rect">
                            <a:avLst/>
                          </a:prstGeom>
                          <a:noFill/>
                          <a:ln>
                            <a:noFill/>
                          </a:ln>
                        </wps:spPr>
                        <wps:txbx>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7"/>
                                <w:ind w:left="0"/>
                              </w:pPr>
                            </w:p>
                            <w:p>
                              <w:pPr>
                                <w:pStyle w:val="2"/>
                                <w:kinsoku w:val="0"/>
                                <w:overflowPunct w:val="0"/>
                                <w:spacing w:before="0"/>
                                <w:ind w:left="107"/>
                              </w:pPr>
                              <w:r>
                                <w:rPr>
                                  <w:rFonts w:hint="eastAsia"/>
                                </w:rPr>
                                <w:t>被授权代表身份证复印件（正面）</w:t>
                              </w:r>
                            </w:p>
                          </w:txbxContent>
                        </wps:txbx>
                        <wps:bodyPr lIns="0" tIns="0" rIns="0" bIns="0" upright="1"/>
                      </wps:wsp>
                      <wps:wsp>
                        <wps:cNvPr id="93" name="文本框 93"/>
                        <wps:cNvSpPr txBox="1"/>
                        <wps:spPr>
                          <a:xfrm>
                            <a:off x="4044" y="19"/>
                            <a:ext cx="4025" cy="2142"/>
                          </a:xfrm>
                          <a:prstGeom prst="rect">
                            <a:avLst/>
                          </a:prstGeom>
                          <a:noFill/>
                          <a:ln>
                            <a:noFill/>
                          </a:ln>
                        </wps:spPr>
                        <wps:txbx>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7"/>
                                <w:ind w:left="0"/>
                              </w:pPr>
                            </w:p>
                            <w:p>
                              <w:pPr>
                                <w:pStyle w:val="2"/>
                                <w:kinsoku w:val="0"/>
                                <w:overflowPunct w:val="0"/>
                                <w:spacing w:before="0"/>
                                <w:ind w:left="107"/>
                              </w:pPr>
                              <w:r>
                                <w:rPr>
                                  <w:rFonts w:hint="eastAsia"/>
                                </w:rPr>
                                <w:t>被授权代表身份证复印件（反面）</w:t>
                              </w:r>
                            </w:p>
                          </w:txbxContent>
                        </wps:txbx>
                        <wps:bodyPr lIns="0" tIns="0" rIns="0" bIns="0" upright="1"/>
                      </wps:wsp>
                    </wpg:wgp>
                  </a:graphicData>
                </a:graphic>
              </wp:inline>
            </w:drawing>
          </mc:Choice>
          <mc:Fallback>
            <w:pict>
              <v:group id="_x0000_s1026"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">
                <o:lock v:ext="edit" rotation="t" aspectratio="f"/>
                <v:shape id="_x0000_s1026" o:spid="_x0000_s1026" o:spt="100" style="position:absolute;left:4;top:9;height:20;width:8079;" filled="f" stroked="t" coordsize="8079,20" o:gfxdata="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IxjK2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i0NcJr0AAADb&#10;AAAADwAAAGRycy9kb3ducmV2LnhtbEWPwWrDMBBE74X8g9hAb43klobUsZxDQiC09BCnH7BYG9vY&#10;WhlJTdx+fRUI9DjMzBum2Ex2EBfyoXOsIVsoEMS1Mx03Gr5O+6cViBCRDQ6OScMPBdiUs4cCc+Ou&#10;fKRLFRuRIBxy1NDGOOZShroli2HhRuLknZ23GJP0jTQerwluB/ms1FJa7DgttDjStqW6r76thp33&#10;p085nqvf94+dyxrVv75NvdaP80ytQUSa4n/43j4YDasXuH1JP0CW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Q1wm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24;top:2151;height:20;width:8041;" filled="f" stroked="t" coordsize="8041,20" o:gfxdata="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qsRS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170;height:20;width:8079;" filled="f" stroked="t" coordsize="8079,20" o:gfxdata="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3YFNm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171;width:20;" filled="f" stroked="t" coordsize="20,2171" o:gfxdata="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0OvqhtwAAANsAAAAP&#10;AAAAAAAAAAEAIAAAACIAAABkcnMvZG93bnJldi54bWxQSwECFAAUAAAACACHTuJAMy8FnjsAAAA5&#10;AAAAEAAAAAAAAAABACAAAAAGAQAAZHJzL3NoYXBleG1sLnhtbFBLBQYAAAAABgAGAFsBAACwAwAA&#10;AAA=&#10;" path="m0,0l0,2170e">
                  <v:fill on="f" focussize="0,0"/>
                  <v:stroke weight="0.48pt" color="#000000" joinstyle="round"/>
                  <v:imagedata o:title=""/>
                  <o:lock v:ext="edit" aspectratio="f"/>
                </v:shape>
                <v:shape id="_x0000_s1026" o:spid="_x0000_s1026" o:spt="100" style="position:absolute;left:28;top:24;height:2133;width:20;" filled="f" stroked="t" coordsize="20,2133" o:gfxdata="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Goq+vQAA&#10;ANsAAAAPAAAAAAAAAAEAIAAAACIAAABkcnMvZG93bnJldi54bWxQSwECFAAUAAAACACHTuJAMy8F&#10;njsAAAA5AAAAEAAAAAAAAAABACAAAAAMAQAAZHJzL3NoYXBleG1sLnhtbFBLBQYAAAAABgAGAFsB&#10;AAC2AwAAAAA=&#10;" path="m0,0l0,2132e">
                  <v:fill on="f" focussize="0,0"/>
                  <v:stroke weight="0.48pt" color="#000000" joinstyle="round"/>
                  <v:imagedata o:title=""/>
                  <o:lock v:ext="edit" aspectratio="f"/>
                </v:shape>
                <v:shape id="_x0000_s1026" o:spid="_x0000_s1026" o:spt="100" style="position:absolute;left:4034;top:24;height:2123;width:20;" filled="f" stroked="t" coordsize="20,2123" o:gfxdata="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MoNV+5AAAA2wAA&#10;AA8AAAAAAAAAAQAgAAAAIgAAAGRycy9kb3ducmV2LnhtbFBLAQIUABQAAAAIAIdO4kAzLwWeOwAA&#10;ADkAAAAQAAAAAAAAAAEAIAAAAAgBAABkcnMvc2hhcGV4bWwueG1sUEsFBgAAAAAGAAYAWwEAALID&#10;AAAAAA==&#10;" path="m0,0l0,2122e">
                  <v:fill on="f" focussize="0,0"/>
                  <v:stroke weight="0.48pt" color="#000000" joinstyle="round"/>
                  <v:imagedata o:title=""/>
                  <o:lock v:ext="edit" aspectratio="f"/>
                </v:shape>
                <v:shape id="_x0000_s1026" o:spid="_x0000_s1026" o:spt="100" style="position:absolute;left:4053;top:24;height:2123;width:20;" filled="f" stroked="t" coordsize="20,2123" o:gfxdata="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xkkM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_x0000_s1026" o:spid="_x0000_s1026" o:spt="100" style="position:absolute;left:8059;top:33;height:2123;width:20;" filled="f" stroked="t" coordsize="20,2123" o:gfxdata="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iHr4S5AAAA2wAA&#10;AA8AAAAAAAAAAQAgAAAAIgAAAGRycy9kb3ducmV2LnhtbFBLAQIUABQAAAAIAIdO4kAzLwWeOwAA&#10;ADkAAAAQAAAAAAAAAAEAIAAAAAgBAABkcnMvc2hhcGV4bWwueG1sUEsFBgAAAAAGAAYAWwEAALID&#10;AAAAAA==&#10;" path="m0,0l0,2122e">
                  <v:fill on="f" focussize="0,0"/>
                  <v:stroke weight="0.48pt" color="#000000" joinstyle="round"/>
                  <v:imagedata o:title=""/>
                  <o:lock v:ext="edit" aspectratio="f"/>
                </v:shape>
                <v:shape id="_x0000_s1026" o:spid="_x0000_s1026" o:spt="100" style="position:absolute;left:8078;top:14;height:2162;width:20;" filled="f" stroked="t" coordsize="20,2162" o:gfxdata="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H+9kA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_x0000_s1026" o:spid="_x0000_s1026" o:spt="202" type="#_x0000_t202" style="position:absolute;left:19;top:19;height:2142;width:4025;" filled="f" stroked="f" coordsize="21600,21600" o:gfxdata="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R8kO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7"/>
                          <w:ind w:left="0"/>
                        </w:pPr>
                      </w:p>
                      <w:p>
                        <w:pPr>
                          <w:pStyle w:val="2"/>
                          <w:kinsoku w:val="0"/>
                          <w:overflowPunct w:val="0"/>
                          <w:spacing w:before="0"/>
                          <w:ind w:left="107"/>
                        </w:pPr>
                        <w:r>
                          <w:rPr>
                            <w:rFonts w:hint="eastAsia"/>
                          </w:rPr>
                          <w:t>被授权代表身份证复印件（正面）</w:t>
                        </w:r>
                      </w:p>
                    </w:txbxContent>
                  </v:textbox>
                </v:shape>
                <v:shape id="_x0000_s1026" o:spid="_x0000_s1026" o:spt="202" type="#_x0000_t202" style="position:absolute;left:4044;top:19;height:2142;width:4025;" filled="f" stroked="f" coordsize="21600,21600" o:gfxdata="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C2yV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7"/>
                          <w:ind w:left="0"/>
                        </w:pPr>
                      </w:p>
                      <w:p>
                        <w:pPr>
                          <w:pStyle w:val="2"/>
                          <w:kinsoku w:val="0"/>
                          <w:overflowPunct w:val="0"/>
                          <w:spacing w:before="0"/>
                          <w:ind w:left="107"/>
                        </w:pPr>
                        <w:r>
                          <w:rPr>
                            <w:rFonts w:hint="eastAsia"/>
                          </w:rPr>
                          <w:t>被授权代表身份证复印件（反面）</w:t>
                        </w:r>
                      </w:p>
                    </w:txbxContent>
                  </v:textbox>
                </v:shape>
                <w10:wrap type="none"/>
                <w10:anchorlock/>
              </v:group>
            </w:pict>
          </mc:Fallback>
        </mc:AlternateContent>
      </w:r>
    </w:p>
    <w:p>
      <w:pPr>
        <w:pStyle w:val="2"/>
        <w:kinsoku w:val="0"/>
        <w:overflowPunct w:val="0"/>
        <w:spacing w:before="0"/>
        <w:ind w:left="0"/>
        <w:rPr>
          <w:rFonts w:hint="eastAsia" w:ascii="宋体" w:hAnsi="宋体" w:eastAsia="宋体" w:cs="宋体"/>
          <w:sz w:val="20"/>
          <w:szCs w:val="20"/>
          <w:highlight w:val="none"/>
        </w:rPr>
      </w:pPr>
    </w:p>
    <w:p>
      <w:pPr>
        <w:pStyle w:val="2"/>
        <w:kinsoku w:val="0"/>
        <w:overflowPunct w:val="0"/>
        <w:spacing w:before="7"/>
        <w:ind w:left="0"/>
        <w:rPr>
          <w:rFonts w:hint="eastAsia" w:ascii="宋体" w:hAnsi="宋体" w:eastAsia="宋体" w:cs="宋体"/>
          <w:sz w:val="20"/>
          <w:szCs w:val="20"/>
          <w:highlight w:val="none"/>
        </w:rPr>
      </w:pPr>
    </w:p>
    <w:p>
      <w:pPr>
        <w:pStyle w:val="2"/>
        <w:tabs>
          <w:tab w:val="left" w:pos="5295"/>
        </w:tabs>
        <w:kinsoku w:val="0"/>
        <w:overflowPunct w:val="0"/>
        <w:spacing w:before="26"/>
        <w:ind w:left="618"/>
        <w:rPr>
          <w:rFonts w:hint="eastAsia" w:ascii="宋体" w:hAnsi="宋体" w:eastAsia="宋体" w:cs="宋体"/>
          <w:highlight w:val="none"/>
        </w:rPr>
      </w:pPr>
      <w:r>
        <w:rPr>
          <w:rFonts w:hint="eastAsia" w:ascii="宋体" w:hAnsi="宋体" w:eastAsia="宋体" w:cs="宋体"/>
          <w:highlight w:val="none"/>
        </w:rPr>
        <w:t>被授权代表（签字）：</w:t>
      </w:r>
      <w:r>
        <w:rPr>
          <w:rFonts w:hint="eastAsia" w:ascii="宋体" w:hAnsi="宋体" w:eastAsia="宋体" w:cs="宋体"/>
          <w:highlight w:val="none"/>
        </w:rPr>
        <w:tab/>
      </w:r>
      <w:r>
        <w:rPr>
          <w:rFonts w:hint="eastAsia" w:ascii="宋体" w:hAnsi="宋体" w:eastAsia="宋体" w:cs="宋体"/>
          <w:highlight w:val="none"/>
        </w:rPr>
        <w:t>供应商法定代表人（签字）：</w:t>
      </w:r>
    </w:p>
    <w:p>
      <w:pPr>
        <w:pStyle w:val="2"/>
        <w:tabs>
          <w:tab w:val="left" w:pos="1098"/>
          <w:tab w:val="left" w:pos="5298"/>
          <w:tab w:val="left" w:pos="5778"/>
        </w:tabs>
        <w:kinsoku w:val="0"/>
        <w:overflowPunct w:val="0"/>
        <w:spacing w:before="86"/>
        <w:ind w:left="618"/>
        <w:rPr>
          <w:rFonts w:hint="eastAsia" w:ascii="宋体" w:hAnsi="宋体" w:eastAsia="宋体" w:cs="宋体"/>
          <w:highlight w:val="none"/>
        </w:rPr>
      </w:pPr>
      <w:r>
        <w:rPr>
          <w:rFonts w:hint="eastAsia" w:ascii="宋体" w:hAnsi="宋体" w:eastAsia="宋体" w:cs="宋体"/>
          <w:highlight w:val="none"/>
        </w:rPr>
        <w:t>职</w:t>
      </w:r>
      <w:r>
        <w:rPr>
          <w:rFonts w:hint="eastAsia" w:ascii="宋体" w:hAnsi="宋体" w:eastAsia="宋体" w:cs="宋体"/>
          <w:highlight w:val="none"/>
        </w:rPr>
        <w:tab/>
      </w:r>
      <w:r>
        <w:rPr>
          <w:rFonts w:hint="eastAsia" w:ascii="宋体" w:hAnsi="宋体" w:eastAsia="宋体" w:cs="宋体"/>
          <w:highlight w:val="none"/>
        </w:rPr>
        <w:t>务：</w:t>
      </w:r>
      <w:r>
        <w:rPr>
          <w:rFonts w:hint="eastAsia" w:ascii="宋体" w:hAnsi="宋体" w:eastAsia="宋体" w:cs="宋体"/>
          <w:highlight w:val="none"/>
        </w:rPr>
        <w:tab/>
      </w:r>
      <w:r>
        <w:rPr>
          <w:rFonts w:hint="eastAsia" w:ascii="宋体" w:hAnsi="宋体" w:eastAsia="宋体" w:cs="宋体"/>
          <w:highlight w:val="none"/>
        </w:rPr>
        <w:t>职</w:t>
      </w:r>
      <w:r>
        <w:rPr>
          <w:rFonts w:hint="eastAsia" w:ascii="宋体" w:hAnsi="宋体" w:eastAsia="宋体" w:cs="宋体"/>
          <w:highlight w:val="none"/>
        </w:rPr>
        <w:tab/>
      </w:r>
      <w:r>
        <w:rPr>
          <w:rFonts w:hint="eastAsia" w:ascii="宋体" w:hAnsi="宋体" w:eastAsia="宋体" w:cs="宋体"/>
          <w:highlight w:val="none"/>
        </w:rPr>
        <w:t>务：</w:t>
      </w:r>
    </w:p>
    <w:p>
      <w:pPr>
        <w:pStyle w:val="2"/>
        <w:tabs>
          <w:tab w:val="left" w:pos="1098"/>
          <w:tab w:val="left" w:pos="5298"/>
          <w:tab w:val="left" w:pos="5778"/>
        </w:tabs>
        <w:kinsoku w:val="0"/>
        <w:overflowPunct w:val="0"/>
        <w:spacing w:before="84"/>
        <w:ind w:left="618"/>
        <w:rPr>
          <w:rFonts w:hint="eastAsia" w:ascii="宋体" w:hAnsi="宋体" w:eastAsia="宋体" w:cs="宋体"/>
          <w:highlight w:val="none"/>
        </w:rPr>
      </w:pPr>
      <w:r>
        <w:rPr>
          <w:rFonts w:hint="eastAsia" w:ascii="宋体" w:hAnsi="宋体" w:eastAsia="宋体" w:cs="宋体"/>
          <w:highlight w:val="none"/>
        </w:rPr>
        <w:t>电</w:t>
      </w:r>
      <w:r>
        <w:rPr>
          <w:rFonts w:hint="eastAsia" w:ascii="宋体" w:hAnsi="宋体" w:eastAsia="宋体" w:cs="宋体"/>
          <w:highlight w:val="none"/>
        </w:rPr>
        <w:tab/>
      </w:r>
      <w:r>
        <w:rPr>
          <w:rFonts w:hint="eastAsia" w:ascii="宋体" w:hAnsi="宋体" w:eastAsia="宋体" w:cs="宋体"/>
          <w:highlight w:val="none"/>
        </w:rPr>
        <w:t>话：</w:t>
      </w:r>
      <w:r>
        <w:rPr>
          <w:rFonts w:hint="eastAsia" w:ascii="宋体" w:hAnsi="宋体" w:eastAsia="宋体" w:cs="宋体"/>
          <w:highlight w:val="none"/>
        </w:rPr>
        <w:tab/>
      </w:r>
      <w:r>
        <w:rPr>
          <w:rFonts w:hint="eastAsia" w:ascii="宋体" w:hAnsi="宋体" w:eastAsia="宋体" w:cs="宋体"/>
          <w:highlight w:val="none"/>
        </w:rPr>
        <w:t>电</w:t>
      </w:r>
      <w:r>
        <w:rPr>
          <w:rFonts w:hint="eastAsia" w:ascii="宋体" w:hAnsi="宋体" w:eastAsia="宋体" w:cs="宋体"/>
          <w:highlight w:val="none"/>
        </w:rPr>
        <w:tab/>
      </w:r>
      <w:r>
        <w:rPr>
          <w:rFonts w:hint="eastAsia" w:ascii="宋体" w:hAnsi="宋体" w:eastAsia="宋体" w:cs="宋体"/>
          <w:highlight w:val="none"/>
        </w:rPr>
        <w:t>话：</w:t>
      </w:r>
    </w:p>
    <w:p>
      <w:pPr>
        <w:pStyle w:val="2"/>
        <w:tabs>
          <w:tab w:val="left" w:pos="5631"/>
          <w:tab w:val="left" w:pos="6591"/>
          <w:tab w:val="left" w:pos="7191"/>
          <w:tab w:val="left" w:pos="7791"/>
          <w:tab w:val="left" w:pos="8247"/>
        </w:tabs>
        <w:kinsoku w:val="0"/>
        <w:overflowPunct w:val="0"/>
        <w:spacing w:before="166" w:line="383" w:lineRule="auto"/>
        <w:ind w:left="4912" w:right="238" w:hanging="384"/>
        <w:rPr>
          <w:rFonts w:hint="eastAsia"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2"/>
        <w:tabs>
          <w:tab w:val="left" w:pos="5631"/>
          <w:tab w:val="left" w:pos="6591"/>
          <w:tab w:val="left" w:pos="7191"/>
          <w:tab w:val="left" w:pos="7791"/>
          <w:tab w:val="left" w:pos="8247"/>
        </w:tabs>
        <w:kinsoku w:val="0"/>
        <w:overflowPunct w:val="0"/>
        <w:spacing w:before="166" w:line="383" w:lineRule="auto"/>
        <w:ind w:left="4912" w:right="238" w:hanging="384"/>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 xml:space="preserve">日                </w:t>
      </w:r>
    </w:p>
    <w:p>
      <w:pPr>
        <w:pStyle w:val="2"/>
        <w:kinsoku w:val="0"/>
        <w:overflowPunct w:val="0"/>
        <w:spacing w:before="7"/>
        <w:ind w:left="0"/>
        <w:rPr>
          <w:rFonts w:hint="eastAsia" w:ascii="宋体" w:hAnsi="宋体" w:eastAsia="宋体" w:cs="宋体"/>
          <w:sz w:val="22"/>
          <w:szCs w:val="22"/>
          <w:highlight w:val="none"/>
        </w:rPr>
      </w:pPr>
    </w:p>
    <w:p>
      <w:pPr>
        <w:pStyle w:val="2"/>
        <w:tabs>
          <w:tab w:val="left" w:pos="5418"/>
        </w:tabs>
        <w:kinsoku w:val="0"/>
        <w:overflowPunct w:val="0"/>
        <w:spacing w:before="26"/>
        <w:ind w:left="618"/>
        <w:jc w:val="both"/>
        <w:rPr>
          <w:rFonts w:hint="eastAsia" w:ascii="宋体" w:hAnsi="宋体" w:eastAsia="宋体" w:cs="宋体"/>
          <w:b/>
          <w:highlight w:val="none"/>
        </w:rPr>
      </w:pPr>
      <w:r>
        <w:rPr>
          <w:rFonts w:hint="eastAsia" w:ascii="宋体" w:hAnsi="宋体" w:eastAsia="宋体" w:cs="宋体"/>
          <w:b/>
          <w:highlight w:val="none"/>
        </w:rPr>
        <w:t>★备注 ：后 附〖 法定代表人资格证明及委托代理人（被授权人）身份证复印件（现场核查）〗，递交投标文件时需递交一份。</w:t>
      </w:r>
    </w:p>
    <w:p>
      <w:pPr>
        <w:pStyle w:val="2"/>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四、投标保证金缴纳凭证</w:t>
      </w:r>
    </w:p>
    <w:p>
      <w:pPr>
        <w:pStyle w:val="2"/>
        <w:kinsoku w:val="0"/>
        <w:overflowPunct w:val="0"/>
        <w:spacing w:before="0"/>
        <w:ind w:left="0"/>
        <w:rPr>
          <w:rFonts w:hint="eastAsia" w:ascii="宋体" w:hAnsi="宋体" w:eastAsia="宋体" w:cs="宋体"/>
          <w:b/>
          <w:bCs/>
          <w:sz w:val="20"/>
          <w:szCs w:val="20"/>
          <w:highlight w:val="none"/>
        </w:rPr>
      </w:pPr>
    </w:p>
    <w:p>
      <w:pPr>
        <w:pStyle w:val="2"/>
        <w:kinsoku w:val="0"/>
        <w:overflowPunct w:val="0"/>
        <w:spacing w:before="4"/>
        <w:ind w:left="0"/>
        <w:rPr>
          <w:rFonts w:hint="eastAsia" w:ascii="宋体" w:hAnsi="宋体" w:eastAsia="宋体" w:cs="宋体"/>
          <w:b/>
          <w:bCs/>
          <w:sz w:val="23"/>
          <w:szCs w:val="23"/>
          <w:highlight w:val="none"/>
        </w:rPr>
      </w:pPr>
    </w:p>
    <w:p>
      <w:pPr>
        <w:spacing w:line="360" w:lineRule="auto"/>
        <w:rPr>
          <w:rFonts w:hint="default" w:ascii="宋体" w:hAnsi="宋体" w:eastAsia="宋体" w:cs="宋体"/>
          <w:kern w:val="0"/>
          <w:sz w:val="24"/>
          <w:szCs w:val="24"/>
          <w:highlight w:val="none"/>
          <w:u w:val="single"/>
          <w:lang w:val="en-US" w:eastAsia="zh-CN"/>
        </w:rPr>
      </w:pPr>
      <w:r>
        <w:rPr>
          <w:rFonts w:hint="eastAsia" w:hAnsi="宋体" w:cs="宋体"/>
          <w:b/>
          <w:bCs/>
          <w:spacing w:val="1"/>
          <w:sz w:val="24"/>
          <w:szCs w:val="24"/>
          <w:highlight w:val="none"/>
          <w:lang w:eastAsia="zh-CN"/>
        </w:rPr>
        <w:t>新疆信尔成工程项目管理有限公司</w:t>
      </w:r>
      <w:r>
        <w:rPr>
          <w:rFonts w:hint="eastAsia" w:ascii="宋体" w:hAnsi="宋体"/>
          <w:b/>
          <w:bCs/>
          <w:spacing w:val="6"/>
          <w:sz w:val="24"/>
          <w:szCs w:val="24"/>
        </w:rPr>
        <w:t>：</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我方于</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 xml:space="preserve"> 日参加</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（项目名称）   </w:t>
      </w:r>
      <w:r>
        <w:rPr>
          <w:rFonts w:hint="eastAsia" w:ascii="宋体" w:hAnsi="宋体" w:eastAsia="宋体" w:cs="宋体"/>
          <w:kern w:val="0"/>
          <w:sz w:val="24"/>
          <w:szCs w:val="24"/>
          <w:highlight w:val="none"/>
        </w:rPr>
        <w:t>的投标，现保证：我方在规定的投标有效期内撤销或修改投标文件的，或者在收到中标通知书后无正当理由拒签合同或拒交规定履约担保的，投标保证金不予退还。</w:t>
      </w:r>
    </w:p>
    <w:p>
      <w:pPr>
        <w:pStyle w:val="2"/>
        <w:kinsoku w:val="0"/>
        <w:overflowPunct w:val="0"/>
        <w:spacing w:before="0"/>
        <w:ind w:left="0"/>
        <w:rPr>
          <w:rFonts w:hint="eastAsia" w:ascii="宋体" w:hAnsi="宋体" w:eastAsia="宋体" w:cs="宋体"/>
          <w:highlight w:val="none"/>
        </w:rPr>
      </w:pPr>
    </w:p>
    <w:p>
      <w:pPr>
        <w:pStyle w:val="2"/>
        <w:kinsoku w:val="0"/>
        <w:overflowPunct w:val="0"/>
        <w:spacing w:before="0"/>
        <w:ind w:left="0"/>
        <w:rPr>
          <w:rFonts w:hint="eastAsia" w:ascii="宋体" w:hAnsi="宋体" w:eastAsia="宋体" w:cs="宋体"/>
          <w:highlight w:val="none"/>
        </w:rPr>
      </w:pPr>
    </w:p>
    <w:p>
      <w:pPr>
        <w:pStyle w:val="2"/>
        <w:kinsoku w:val="0"/>
        <w:overflowPunct w:val="0"/>
        <w:spacing w:before="4"/>
        <w:ind w:left="0"/>
        <w:rPr>
          <w:rFonts w:hint="eastAsia" w:ascii="宋体" w:hAnsi="宋体" w:eastAsia="宋体" w:cs="宋体"/>
          <w:sz w:val="34"/>
          <w:szCs w:val="34"/>
          <w:highlight w:val="none"/>
        </w:rPr>
      </w:pPr>
    </w:p>
    <w:p>
      <w:pPr>
        <w:spacing w:line="420" w:lineRule="exact"/>
        <w:ind w:right="48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（公章） </w:t>
      </w:r>
    </w:p>
    <w:p>
      <w:pPr>
        <w:wordWrap w:val="0"/>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法定代表人或委托人：</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（签字）    </w:t>
      </w:r>
    </w:p>
    <w:p>
      <w:pPr>
        <w:spacing w:line="420" w:lineRule="exact"/>
        <w:ind w:right="480" w:firstLine="5280" w:firstLineChars="2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pStyle w:val="2"/>
        <w:tabs>
          <w:tab w:val="left" w:pos="5551"/>
          <w:tab w:val="left" w:pos="6511"/>
          <w:tab w:val="left" w:pos="7111"/>
          <w:tab w:val="left" w:pos="7711"/>
        </w:tabs>
        <w:kinsoku w:val="0"/>
        <w:overflowPunct w:val="0"/>
        <w:spacing w:before="46"/>
        <w:ind w:left="2583" w:firstLine="2248"/>
        <w:rPr>
          <w:rFonts w:hint="eastAsia" w:ascii="宋体" w:hAnsi="宋体" w:eastAsia="宋体" w:cs="宋体"/>
          <w:highlight w:val="none"/>
        </w:rPr>
      </w:pPr>
    </w:p>
    <w:p>
      <w:pPr>
        <w:pStyle w:val="2"/>
        <w:kinsoku w:val="0"/>
        <w:overflowPunct w:val="0"/>
        <w:spacing w:before="0"/>
        <w:ind w:left="0"/>
        <w:rPr>
          <w:rFonts w:hint="eastAsia" w:ascii="宋体" w:hAnsi="宋体" w:eastAsia="宋体" w:cs="宋体"/>
          <w:highlight w:val="none"/>
        </w:rPr>
      </w:pPr>
    </w:p>
    <w:p>
      <w:pPr>
        <w:pStyle w:val="2"/>
        <w:kinsoku w:val="0"/>
        <w:overflowPunct w:val="0"/>
        <w:spacing w:before="5"/>
        <w:ind w:left="0"/>
        <w:rPr>
          <w:rFonts w:hint="eastAsia" w:ascii="宋体" w:hAnsi="宋体" w:eastAsia="宋体" w:cs="宋体"/>
          <w:sz w:val="25"/>
          <w:szCs w:val="25"/>
          <w:highlight w:val="none"/>
        </w:rPr>
      </w:pPr>
    </w:p>
    <w:p>
      <w:pPr>
        <w:pStyle w:val="2"/>
        <w:kinsoku w:val="0"/>
        <w:overflowPunct w:val="0"/>
        <w:spacing w:before="0"/>
        <w:jc w:val="center"/>
        <w:rPr>
          <w:rFonts w:hint="eastAsia" w:ascii="宋体" w:hAnsi="宋体" w:eastAsia="宋体" w:cs="宋体"/>
          <w:highlight w:val="none"/>
        </w:rPr>
      </w:pPr>
      <w:r>
        <w:rPr>
          <w:rFonts w:hint="eastAsia" w:ascii="宋体" w:hAnsi="宋体" w:eastAsia="宋体" w:cs="宋体"/>
          <w:highlight w:val="none"/>
        </w:rPr>
        <w:t>缴费</w:t>
      </w:r>
      <w:r>
        <w:rPr>
          <w:rFonts w:hint="eastAsia" w:ascii="宋体" w:hAnsi="宋体" w:eastAsia="宋体" w:cs="宋体"/>
          <w:highlight w:val="none"/>
          <w:lang w:eastAsia="zh-CN"/>
        </w:rPr>
        <w:t>证明</w:t>
      </w:r>
      <w:r>
        <w:rPr>
          <w:rFonts w:hint="eastAsia" w:ascii="宋体" w:hAnsi="宋体" w:eastAsia="宋体" w:cs="宋体"/>
          <w:highlight w:val="none"/>
        </w:rPr>
        <w:t>（复印件应附在投标文件中）</w:t>
      </w:r>
    </w:p>
    <w:p>
      <w:pPr>
        <w:pStyle w:val="2"/>
        <w:kinsoku w:val="0"/>
        <w:overflowPunct w:val="0"/>
        <w:spacing w:before="0"/>
        <w:ind w:left="0"/>
        <w:rPr>
          <w:rFonts w:hint="eastAsia" w:ascii="宋体" w:hAnsi="宋体" w:eastAsia="宋体" w:cs="宋体"/>
          <w:sz w:val="20"/>
          <w:szCs w:val="20"/>
          <w:highlight w:val="none"/>
        </w:rPr>
      </w:pPr>
    </w:p>
    <w:p>
      <w:pPr>
        <w:pStyle w:val="2"/>
        <w:kinsoku w:val="0"/>
        <w:overflowPunct w:val="0"/>
        <w:spacing w:before="0" w:line="200" w:lineRule="atLeast"/>
        <w:ind w:left="0" w:leftChars="0"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695950" cy="3213100"/>
                <wp:effectExtent l="0" t="0" r="0" b="6350"/>
                <wp:docPr id="80" name="组合 80"/>
                <wp:cNvGraphicFramePr/>
                <a:graphic xmlns:a="http://schemas.openxmlformats.org/drawingml/2006/main">
                  <a:graphicData uri="http://schemas.microsoft.com/office/word/2010/wordprocessingGroup">
                    <wpg:wgp>
                      <wpg:cNvGrpSpPr>
                        <a:grpSpLocks noRot="1"/>
                      </wpg:cNvGrpSpPr>
                      <wpg:grpSpPr>
                        <a:xfrm>
                          <a:off x="0" y="0"/>
                          <a:ext cx="5695950" cy="3213100"/>
                          <a:chOff x="0" y="0"/>
                          <a:chExt cx="7425" cy="5060"/>
                        </a:xfrm>
                      </wpg:grpSpPr>
                      <wpg:grpSp>
                        <wpg:cNvPr id="81" name="组合 80"/>
                        <wpg:cNvGrpSpPr/>
                        <wpg:grpSpPr>
                          <a:xfrm>
                            <a:off x="0" y="0"/>
                            <a:ext cx="7425" cy="5060"/>
                            <a:chOff x="0" y="0"/>
                            <a:chExt cx="7425" cy="5060"/>
                          </a:xfrm>
                        </wpg:grpSpPr>
                        <wps:wsp>
                          <wps:cNvPr id="1" name="任意多边形 1"/>
                          <wps:cNvSpPr/>
                          <wps:spPr>
                            <a:xfrm>
                              <a:off x="0" y="0"/>
                              <a:ext cx="7425" cy="5060"/>
                            </a:xfrm>
                            <a:custGeom>
                              <a:avLst/>
                              <a:gdLst/>
                              <a:ahLst/>
                              <a:cxnLst/>
                              <a:pathLst>
                                <a:path w="7425" h="5060">
                                  <a:moveTo>
                                    <a:pt x="483" y="19"/>
                                  </a:moveTo>
                                  <a:lnTo>
                                    <a:pt x="412" y="19"/>
                                  </a:lnTo>
                                  <a:lnTo>
                                    <a:pt x="426" y="0"/>
                                  </a:lnTo>
                                  <a:lnTo>
                                    <a:pt x="497" y="0"/>
                                  </a:lnTo>
                                  <a:lnTo>
                                    <a:pt x="483" y="19"/>
                                  </a:lnTo>
                                  <a:close/>
                                </a:path>
                              </a:pathLst>
                            </a:custGeom>
                            <a:solidFill>
                              <a:srgbClr val="000000"/>
                            </a:solidFill>
                            <a:ln>
                              <a:noFill/>
                            </a:ln>
                          </wps:spPr>
                          <wps:bodyPr upright="1"/>
                        </wps:wsp>
                        <wps:wsp>
                          <wps:cNvPr id="2" name="任意多边形 2"/>
                          <wps:cNvSpPr/>
                          <wps:spPr>
                            <a:xfrm>
                              <a:off x="0" y="0"/>
                              <a:ext cx="7425" cy="5060"/>
                            </a:xfrm>
                            <a:custGeom>
                              <a:avLst/>
                              <a:gdLst/>
                              <a:ahLst/>
                              <a:cxnLst/>
                              <a:pathLst>
                                <a:path w="7425" h="5060">
                                  <a:moveTo>
                                    <a:pt x="7011" y="19"/>
                                  </a:moveTo>
                                  <a:lnTo>
                                    <a:pt x="6940" y="19"/>
                                  </a:lnTo>
                                  <a:lnTo>
                                    <a:pt x="6926" y="0"/>
                                  </a:lnTo>
                                  <a:lnTo>
                                    <a:pt x="6998" y="0"/>
                                  </a:lnTo>
                                  <a:lnTo>
                                    <a:pt x="7011" y="19"/>
                                  </a:lnTo>
                                  <a:close/>
                                </a:path>
                              </a:pathLst>
                            </a:custGeom>
                            <a:solidFill>
                              <a:srgbClr val="000000"/>
                            </a:solidFill>
                            <a:ln>
                              <a:noFill/>
                            </a:ln>
                          </wps:spPr>
                          <wps:bodyPr upright="1"/>
                        </wps:wsp>
                        <wps:wsp>
                          <wps:cNvPr id="3" name="任意多边形 3"/>
                          <wps:cNvSpPr/>
                          <wps:spPr>
                            <a:xfrm>
                              <a:off x="0" y="0"/>
                              <a:ext cx="7425" cy="5060"/>
                            </a:xfrm>
                            <a:custGeom>
                              <a:avLst/>
                              <a:gdLst/>
                              <a:ahLst/>
                              <a:cxnLst/>
                              <a:pathLst>
                                <a:path w="7425" h="5060">
                                  <a:moveTo>
                                    <a:pt x="390" y="39"/>
                                  </a:moveTo>
                                  <a:lnTo>
                                    <a:pt x="346" y="39"/>
                                  </a:lnTo>
                                  <a:lnTo>
                                    <a:pt x="359" y="19"/>
                                  </a:lnTo>
                                  <a:lnTo>
                                    <a:pt x="403" y="19"/>
                                  </a:lnTo>
                                  <a:lnTo>
                                    <a:pt x="390" y="39"/>
                                  </a:lnTo>
                                  <a:close/>
                                </a:path>
                              </a:pathLst>
                            </a:custGeom>
                            <a:solidFill>
                              <a:srgbClr val="000000"/>
                            </a:solidFill>
                            <a:ln>
                              <a:noFill/>
                            </a:ln>
                          </wps:spPr>
                          <wps:bodyPr upright="1"/>
                        </wps:wsp>
                        <wps:wsp>
                          <wps:cNvPr id="4" name="任意多边形 4"/>
                          <wps:cNvSpPr/>
                          <wps:spPr>
                            <a:xfrm>
                              <a:off x="0" y="0"/>
                              <a:ext cx="7425" cy="5060"/>
                            </a:xfrm>
                            <a:custGeom>
                              <a:avLst/>
                              <a:gdLst/>
                              <a:ahLst/>
                              <a:cxnLst/>
                              <a:pathLst>
                                <a:path w="7425" h="5060">
                                  <a:moveTo>
                                    <a:pt x="7077" y="39"/>
                                  </a:moveTo>
                                  <a:lnTo>
                                    <a:pt x="7033" y="39"/>
                                  </a:lnTo>
                                  <a:lnTo>
                                    <a:pt x="7020" y="19"/>
                                  </a:lnTo>
                                  <a:lnTo>
                                    <a:pt x="7064" y="19"/>
                                  </a:lnTo>
                                  <a:lnTo>
                                    <a:pt x="7077" y="39"/>
                                  </a:lnTo>
                                  <a:close/>
                                </a:path>
                              </a:pathLst>
                            </a:custGeom>
                            <a:solidFill>
                              <a:srgbClr val="000000"/>
                            </a:solidFill>
                            <a:ln>
                              <a:noFill/>
                            </a:ln>
                          </wps:spPr>
                          <wps:bodyPr upright="1"/>
                        </wps:wsp>
                        <wps:wsp>
                          <wps:cNvPr id="5" name="任意多边形 5"/>
                          <wps:cNvSpPr/>
                          <wps:spPr>
                            <a:xfrm>
                              <a:off x="0" y="0"/>
                              <a:ext cx="7425" cy="5060"/>
                            </a:xfrm>
                            <a:custGeom>
                              <a:avLst/>
                              <a:gdLst/>
                              <a:ahLst/>
                              <a:cxnLst/>
                              <a:pathLst>
                                <a:path w="7425" h="5060">
                                  <a:moveTo>
                                    <a:pt x="340" y="59"/>
                                  </a:moveTo>
                                  <a:lnTo>
                                    <a:pt x="309" y="59"/>
                                  </a:lnTo>
                                  <a:lnTo>
                                    <a:pt x="321" y="39"/>
                                  </a:lnTo>
                                  <a:lnTo>
                                    <a:pt x="352" y="39"/>
                                  </a:lnTo>
                                  <a:lnTo>
                                    <a:pt x="340" y="59"/>
                                  </a:lnTo>
                                  <a:close/>
                                </a:path>
                              </a:pathLst>
                            </a:custGeom>
                            <a:solidFill>
                              <a:srgbClr val="000000"/>
                            </a:solidFill>
                            <a:ln>
                              <a:noFill/>
                            </a:ln>
                          </wps:spPr>
                          <wps:bodyPr upright="1"/>
                        </wps:wsp>
                        <wps:wsp>
                          <wps:cNvPr id="6" name="任意多边形 6"/>
                          <wps:cNvSpPr/>
                          <wps:spPr>
                            <a:xfrm>
                              <a:off x="0" y="0"/>
                              <a:ext cx="7425" cy="5060"/>
                            </a:xfrm>
                            <a:custGeom>
                              <a:avLst/>
                              <a:gdLst/>
                              <a:ahLst/>
                              <a:cxnLst/>
                              <a:pathLst>
                                <a:path w="7425" h="5060">
                                  <a:moveTo>
                                    <a:pt x="7115" y="59"/>
                                  </a:moveTo>
                                  <a:lnTo>
                                    <a:pt x="7084" y="59"/>
                                  </a:lnTo>
                                  <a:lnTo>
                                    <a:pt x="7071" y="39"/>
                                  </a:lnTo>
                                  <a:lnTo>
                                    <a:pt x="7102" y="39"/>
                                  </a:lnTo>
                                  <a:lnTo>
                                    <a:pt x="7115" y="59"/>
                                  </a:lnTo>
                                  <a:close/>
                                </a:path>
                              </a:pathLst>
                            </a:custGeom>
                            <a:solidFill>
                              <a:srgbClr val="000000"/>
                            </a:solidFill>
                            <a:ln>
                              <a:noFill/>
                            </a:ln>
                          </wps:spPr>
                          <wps:bodyPr upright="1"/>
                        </wps:wsp>
                        <wps:wsp>
                          <wps:cNvPr id="7" name="任意多边形 7"/>
                          <wps:cNvSpPr/>
                          <wps:spPr>
                            <a:xfrm>
                              <a:off x="0" y="0"/>
                              <a:ext cx="7425" cy="5060"/>
                            </a:xfrm>
                            <a:custGeom>
                              <a:avLst/>
                              <a:gdLst/>
                              <a:ahLst/>
                              <a:cxnLst/>
                              <a:pathLst>
                                <a:path w="7425" h="5060">
                                  <a:moveTo>
                                    <a:pt x="304" y="79"/>
                                  </a:moveTo>
                                  <a:lnTo>
                                    <a:pt x="273" y="79"/>
                                  </a:lnTo>
                                  <a:lnTo>
                                    <a:pt x="285" y="59"/>
                                  </a:lnTo>
                                  <a:lnTo>
                                    <a:pt x="316" y="59"/>
                                  </a:lnTo>
                                  <a:lnTo>
                                    <a:pt x="304" y="79"/>
                                  </a:lnTo>
                                  <a:close/>
                                </a:path>
                              </a:pathLst>
                            </a:custGeom>
                            <a:solidFill>
                              <a:srgbClr val="000000"/>
                            </a:solidFill>
                            <a:ln>
                              <a:noFill/>
                            </a:ln>
                          </wps:spPr>
                          <wps:bodyPr upright="1"/>
                        </wps:wsp>
                        <wps:wsp>
                          <wps:cNvPr id="8" name="任意多边形 8"/>
                          <wps:cNvSpPr/>
                          <wps:spPr>
                            <a:xfrm>
                              <a:off x="0" y="0"/>
                              <a:ext cx="7425" cy="5060"/>
                            </a:xfrm>
                            <a:custGeom>
                              <a:avLst/>
                              <a:gdLst/>
                              <a:ahLst/>
                              <a:cxnLst/>
                              <a:pathLst>
                                <a:path w="7425" h="5060">
                                  <a:moveTo>
                                    <a:pt x="7151" y="79"/>
                                  </a:moveTo>
                                  <a:lnTo>
                                    <a:pt x="7120" y="79"/>
                                  </a:lnTo>
                                  <a:lnTo>
                                    <a:pt x="7108" y="59"/>
                                  </a:lnTo>
                                  <a:lnTo>
                                    <a:pt x="7139" y="59"/>
                                  </a:lnTo>
                                  <a:lnTo>
                                    <a:pt x="7151" y="79"/>
                                  </a:lnTo>
                                  <a:close/>
                                </a:path>
                              </a:pathLst>
                            </a:custGeom>
                            <a:solidFill>
                              <a:srgbClr val="000000"/>
                            </a:solidFill>
                            <a:ln>
                              <a:noFill/>
                            </a:ln>
                          </wps:spPr>
                          <wps:bodyPr upright="1"/>
                        </wps:wsp>
                        <wps:wsp>
                          <wps:cNvPr id="9" name="任意多边形 9"/>
                          <wps:cNvSpPr/>
                          <wps:spPr>
                            <a:xfrm>
                              <a:off x="0" y="0"/>
                              <a:ext cx="7425" cy="5060"/>
                            </a:xfrm>
                            <a:custGeom>
                              <a:avLst/>
                              <a:gdLst/>
                              <a:ahLst/>
                              <a:cxnLst/>
                              <a:pathLst>
                                <a:path w="7425" h="5060">
                                  <a:moveTo>
                                    <a:pt x="269" y="99"/>
                                  </a:moveTo>
                                  <a:lnTo>
                                    <a:pt x="239" y="99"/>
                                  </a:lnTo>
                                  <a:lnTo>
                                    <a:pt x="250" y="79"/>
                                  </a:lnTo>
                                  <a:lnTo>
                                    <a:pt x="281" y="79"/>
                                  </a:lnTo>
                                  <a:lnTo>
                                    <a:pt x="269" y="99"/>
                                  </a:lnTo>
                                  <a:close/>
                                </a:path>
                              </a:pathLst>
                            </a:custGeom>
                            <a:solidFill>
                              <a:srgbClr val="000000"/>
                            </a:solidFill>
                            <a:ln>
                              <a:noFill/>
                            </a:ln>
                          </wps:spPr>
                          <wps:bodyPr upright="1"/>
                        </wps:wsp>
                        <wps:wsp>
                          <wps:cNvPr id="10" name="任意多边形 10"/>
                          <wps:cNvSpPr/>
                          <wps:spPr>
                            <a:xfrm>
                              <a:off x="0" y="0"/>
                              <a:ext cx="7425" cy="5060"/>
                            </a:xfrm>
                            <a:custGeom>
                              <a:avLst/>
                              <a:gdLst/>
                              <a:ahLst/>
                              <a:cxnLst/>
                              <a:pathLst>
                                <a:path w="7425" h="5060">
                                  <a:moveTo>
                                    <a:pt x="7185" y="99"/>
                                  </a:moveTo>
                                  <a:lnTo>
                                    <a:pt x="7154" y="99"/>
                                  </a:lnTo>
                                  <a:lnTo>
                                    <a:pt x="7143" y="79"/>
                                  </a:lnTo>
                                  <a:lnTo>
                                    <a:pt x="7174" y="79"/>
                                  </a:lnTo>
                                  <a:lnTo>
                                    <a:pt x="7185" y="99"/>
                                  </a:lnTo>
                                  <a:close/>
                                </a:path>
                              </a:pathLst>
                            </a:custGeom>
                            <a:solidFill>
                              <a:srgbClr val="000000"/>
                            </a:solidFill>
                            <a:ln>
                              <a:noFill/>
                            </a:ln>
                          </wps:spPr>
                          <wps:bodyPr upright="1"/>
                        </wps:wsp>
                        <wps:wsp>
                          <wps:cNvPr id="11" name="任意多边形 11"/>
                          <wps:cNvSpPr/>
                          <wps:spPr>
                            <a:xfrm>
                              <a:off x="0" y="0"/>
                              <a:ext cx="7425" cy="5060"/>
                            </a:xfrm>
                            <a:custGeom>
                              <a:avLst/>
                              <a:gdLst/>
                              <a:ahLst/>
                              <a:cxnLst/>
                              <a:pathLst>
                                <a:path w="7425" h="5060">
                                  <a:moveTo>
                                    <a:pt x="237" y="119"/>
                                  </a:moveTo>
                                  <a:lnTo>
                                    <a:pt x="217" y="119"/>
                                  </a:lnTo>
                                  <a:lnTo>
                                    <a:pt x="228" y="99"/>
                                  </a:lnTo>
                                  <a:lnTo>
                                    <a:pt x="247" y="99"/>
                                  </a:lnTo>
                                  <a:lnTo>
                                    <a:pt x="237" y="119"/>
                                  </a:lnTo>
                                  <a:close/>
                                </a:path>
                              </a:pathLst>
                            </a:custGeom>
                            <a:solidFill>
                              <a:srgbClr val="000000"/>
                            </a:solidFill>
                            <a:ln>
                              <a:noFill/>
                            </a:ln>
                          </wps:spPr>
                          <wps:bodyPr upright="1"/>
                        </wps:wsp>
                        <wps:wsp>
                          <wps:cNvPr id="12" name="任意多边形 12"/>
                          <wps:cNvSpPr/>
                          <wps:spPr>
                            <a:xfrm>
                              <a:off x="0" y="0"/>
                              <a:ext cx="7425" cy="5060"/>
                            </a:xfrm>
                            <a:custGeom>
                              <a:avLst/>
                              <a:gdLst/>
                              <a:ahLst/>
                              <a:cxnLst/>
                              <a:pathLst>
                                <a:path w="7425" h="5060">
                                  <a:moveTo>
                                    <a:pt x="7207" y="119"/>
                                  </a:moveTo>
                                  <a:lnTo>
                                    <a:pt x="7187" y="119"/>
                                  </a:lnTo>
                                  <a:lnTo>
                                    <a:pt x="7176" y="99"/>
                                  </a:lnTo>
                                  <a:lnTo>
                                    <a:pt x="7196" y="99"/>
                                  </a:lnTo>
                                  <a:lnTo>
                                    <a:pt x="7207" y="119"/>
                                  </a:lnTo>
                                  <a:close/>
                                </a:path>
                              </a:pathLst>
                            </a:custGeom>
                            <a:solidFill>
                              <a:srgbClr val="000000"/>
                            </a:solidFill>
                            <a:ln>
                              <a:noFill/>
                            </a:ln>
                          </wps:spPr>
                          <wps:bodyPr upright="1"/>
                        </wps:wsp>
                        <wps:wsp>
                          <wps:cNvPr id="13" name="任意多边形 13"/>
                          <wps:cNvSpPr/>
                          <wps:spPr>
                            <a:xfrm>
                              <a:off x="0" y="0"/>
                              <a:ext cx="7425" cy="5060"/>
                            </a:xfrm>
                            <a:custGeom>
                              <a:avLst/>
                              <a:gdLst/>
                              <a:ahLst/>
                              <a:cxnLst/>
                              <a:pathLst>
                                <a:path w="7425" h="5060">
                                  <a:moveTo>
                                    <a:pt x="216" y="139"/>
                                  </a:moveTo>
                                  <a:lnTo>
                                    <a:pt x="186" y="139"/>
                                  </a:lnTo>
                                  <a:lnTo>
                                    <a:pt x="196" y="119"/>
                                  </a:lnTo>
                                  <a:lnTo>
                                    <a:pt x="226" y="119"/>
                                  </a:lnTo>
                                  <a:lnTo>
                                    <a:pt x="216" y="139"/>
                                  </a:lnTo>
                                  <a:close/>
                                </a:path>
                              </a:pathLst>
                            </a:custGeom>
                            <a:solidFill>
                              <a:srgbClr val="000000"/>
                            </a:solidFill>
                            <a:ln>
                              <a:noFill/>
                            </a:ln>
                          </wps:spPr>
                          <wps:bodyPr upright="1"/>
                        </wps:wsp>
                        <wps:wsp>
                          <wps:cNvPr id="14" name="任意多边形 14"/>
                          <wps:cNvSpPr/>
                          <wps:spPr>
                            <a:xfrm>
                              <a:off x="0" y="0"/>
                              <a:ext cx="7425" cy="5060"/>
                            </a:xfrm>
                            <a:custGeom>
                              <a:avLst/>
                              <a:gdLst/>
                              <a:ahLst/>
                              <a:cxnLst/>
                              <a:pathLst>
                                <a:path w="7425" h="5060">
                                  <a:moveTo>
                                    <a:pt x="7238" y="139"/>
                                  </a:moveTo>
                                  <a:lnTo>
                                    <a:pt x="7208" y="139"/>
                                  </a:lnTo>
                                  <a:lnTo>
                                    <a:pt x="7197" y="119"/>
                                  </a:lnTo>
                                  <a:lnTo>
                                    <a:pt x="7228" y="119"/>
                                  </a:lnTo>
                                  <a:lnTo>
                                    <a:pt x="7238" y="139"/>
                                  </a:lnTo>
                                  <a:close/>
                                </a:path>
                              </a:pathLst>
                            </a:custGeom>
                            <a:solidFill>
                              <a:srgbClr val="000000"/>
                            </a:solidFill>
                            <a:ln>
                              <a:noFill/>
                            </a:ln>
                          </wps:spPr>
                          <wps:bodyPr upright="1"/>
                        </wps:wsp>
                        <wps:wsp>
                          <wps:cNvPr id="15" name="任意多边形 15"/>
                          <wps:cNvSpPr/>
                          <wps:spPr>
                            <a:xfrm>
                              <a:off x="0" y="0"/>
                              <a:ext cx="7425" cy="5060"/>
                            </a:xfrm>
                            <a:custGeom>
                              <a:avLst/>
                              <a:gdLst/>
                              <a:ahLst/>
                              <a:cxnLst/>
                              <a:pathLst>
                                <a:path w="7425" h="5060">
                                  <a:moveTo>
                                    <a:pt x="186" y="159"/>
                                  </a:moveTo>
                                  <a:lnTo>
                                    <a:pt x="166" y="159"/>
                                  </a:lnTo>
                                  <a:lnTo>
                                    <a:pt x="176" y="139"/>
                                  </a:lnTo>
                                  <a:lnTo>
                                    <a:pt x="196" y="139"/>
                                  </a:lnTo>
                                  <a:lnTo>
                                    <a:pt x="186" y="159"/>
                                  </a:lnTo>
                                  <a:close/>
                                </a:path>
                              </a:pathLst>
                            </a:custGeom>
                            <a:solidFill>
                              <a:srgbClr val="000000"/>
                            </a:solidFill>
                            <a:ln>
                              <a:noFill/>
                            </a:ln>
                          </wps:spPr>
                          <wps:bodyPr upright="1"/>
                        </wps:wsp>
                        <wps:wsp>
                          <wps:cNvPr id="16" name="任意多边形 16"/>
                          <wps:cNvSpPr/>
                          <wps:spPr>
                            <a:xfrm>
                              <a:off x="0" y="0"/>
                              <a:ext cx="7425" cy="5060"/>
                            </a:xfrm>
                            <a:custGeom>
                              <a:avLst/>
                              <a:gdLst/>
                              <a:ahLst/>
                              <a:cxnLst/>
                              <a:pathLst>
                                <a:path w="7425" h="5060">
                                  <a:moveTo>
                                    <a:pt x="7258" y="159"/>
                                  </a:moveTo>
                                  <a:lnTo>
                                    <a:pt x="7238" y="159"/>
                                  </a:lnTo>
                                  <a:lnTo>
                                    <a:pt x="7228" y="139"/>
                                  </a:lnTo>
                                  <a:lnTo>
                                    <a:pt x="7248" y="139"/>
                                  </a:lnTo>
                                  <a:lnTo>
                                    <a:pt x="7258" y="159"/>
                                  </a:lnTo>
                                  <a:close/>
                                </a:path>
                              </a:pathLst>
                            </a:custGeom>
                            <a:solidFill>
                              <a:srgbClr val="000000"/>
                            </a:solidFill>
                            <a:ln>
                              <a:noFill/>
                            </a:ln>
                          </wps:spPr>
                          <wps:bodyPr upright="1"/>
                        </wps:wsp>
                        <wps:wsp>
                          <wps:cNvPr id="17" name="任意多边形 17"/>
                          <wps:cNvSpPr/>
                          <wps:spPr>
                            <a:xfrm>
                              <a:off x="0" y="0"/>
                              <a:ext cx="7425" cy="5060"/>
                            </a:xfrm>
                            <a:custGeom>
                              <a:avLst/>
                              <a:gdLst/>
                              <a:ahLst/>
                              <a:cxnLst/>
                              <a:pathLst>
                                <a:path w="7425" h="5060">
                                  <a:moveTo>
                                    <a:pt x="167" y="179"/>
                                  </a:moveTo>
                                  <a:lnTo>
                                    <a:pt x="147" y="179"/>
                                  </a:lnTo>
                                  <a:lnTo>
                                    <a:pt x="156" y="159"/>
                                  </a:lnTo>
                                  <a:lnTo>
                                    <a:pt x="176" y="159"/>
                                  </a:lnTo>
                                  <a:lnTo>
                                    <a:pt x="167" y="179"/>
                                  </a:lnTo>
                                  <a:close/>
                                </a:path>
                              </a:pathLst>
                            </a:custGeom>
                            <a:solidFill>
                              <a:srgbClr val="000000"/>
                            </a:solidFill>
                            <a:ln>
                              <a:noFill/>
                            </a:ln>
                          </wps:spPr>
                          <wps:bodyPr upright="1"/>
                        </wps:wsp>
                        <wps:wsp>
                          <wps:cNvPr id="18" name="任意多边形 18"/>
                          <wps:cNvSpPr/>
                          <wps:spPr>
                            <a:xfrm>
                              <a:off x="0" y="0"/>
                              <a:ext cx="7425" cy="5060"/>
                            </a:xfrm>
                            <a:custGeom>
                              <a:avLst/>
                              <a:gdLst/>
                              <a:ahLst/>
                              <a:cxnLst/>
                              <a:pathLst>
                                <a:path w="7425" h="5060">
                                  <a:moveTo>
                                    <a:pt x="7277" y="179"/>
                                  </a:moveTo>
                                  <a:lnTo>
                                    <a:pt x="7256" y="179"/>
                                  </a:lnTo>
                                  <a:lnTo>
                                    <a:pt x="7247" y="159"/>
                                  </a:lnTo>
                                  <a:lnTo>
                                    <a:pt x="7267" y="159"/>
                                  </a:lnTo>
                                  <a:lnTo>
                                    <a:pt x="7277" y="179"/>
                                  </a:lnTo>
                                  <a:close/>
                                </a:path>
                              </a:pathLst>
                            </a:custGeom>
                            <a:solidFill>
                              <a:srgbClr val="000000"/>
                            </a:solidFill>
                            <a:ln>
                              <a:noFill/>
                            </a:ln>
                          </wps:spPr>
                          <wps:bodyPr upright="1"/>
                        </wps:wsp>
                        <wps:wsp>
                          <wps:cNvPr id="19" name="任意多边形 19"/>
                          <wps:cNvSpPr/>
                          <wps:spPr>
                            <a:xfrm>
                              <a:off x="0" y="0"/>
                              <a:ext cx="7425" cy="5060"/>
                            </a:xfrm>
                            <a:custGeom>
                              <a:avLst/>
                              <a:gdLst/>
                              <a:ahLst/>
                              <a:cxnLst/>
                              <a:pathLst>
                                <a:path w="7425" h="5060">
                                  <a:moveTo>
                                    <a:pt x="149" y="199"/>
                                  </a:moveTo>
                                  <a:lnTo>
                                    <a:pt x="129" y="199"/>
                                  </a:lnTo>
                                  <a:lnTo>
                                    <a:pt x="138" y="179"/>
                                  </a:lnTo>
                                  <a:lnTo>
                                    <a:pt x="158" y="179"/>
                                  </a:lnTo>
                                  <a:lnTo>
                                    <a:pt x="149" y="199"/>
                                  </a:lnTo>
                                  <a:close/>
                                </a:path>
                              </a:pathLst>
                            </a:custGeom>
                            <a:solidFill>
                              <a:srgbClr val="000000"/>
                            </a:solidFill>
                            <a:ln>
                              <a:noFill/>
                            </a:ln>
                          </wps:spPr>
                          <wps:bodyPr upright="1"/>
                        </wps:wsp>
                        <wps:wsp>
                          <wps:cNvPr id="20" name="任意多边形 20"/>
                          <wps:cNvSpPr/>
                          <wps:spPr>
                            <a:xfrm>
                              <a:off x="0" y="0"/>
                              <a:ext cx="7425" cy="5060"/>
                            </a:xfrm>
                            <a:custGeom>
                              <a:avLst/>
                              <a:gdLst/>
                              <a:ahLst/>
                              <a:cxnLst/>
                              <a:pathLst>
                                <a:path w="7425" h="5060">
                                  <a:moveTo>
                                    <a:pt x="7294" y="199"/>
                                  </a:moveTo>
                                  <a:lnTo>
                                    <a:pt x="7274" y="199"/>
                                  </a:lnTo>
                                  <a:lnTo>
                                    <a:pt x="7265" y="179"/>
                                  </a:lnTo>
                                  <a:lnTo>
                                    <a:pt x="7286" y="179"/>
                                  </a:lnTo>
                                  <a:lnTo>
                                    <a:pt x="7294" y="199"/>
                                  </a:lnTo>
                                  <a:close/>
                                </a:path>
                              </a:pathLst>
                            </a:custGeom>
                            <a:solidFill>
                              <a:srgbClr val="000000"/>
                            </a:solidFill>
                            <a:ln>
                              <a:noFill/>
                            </a:ln>
                          </wps:spPr>
                          <wps:bodyPr upright="1"/>
                        </wps:wsp>
                        <wps:wsp>
                          <wps:cNvPr id="21" name="任意多边形 21"/>
                          <wps:cNvSpPr/>
                          <wps:spPr>
                            <a:xfrm>
                              <a:off x="0" y="0"/>
                              <a:ext cx="7425" cy="5060"/>
                            </a:xfrm>
                            <a:custGeom>
                              <a:avLst/>
                              <a:gdLst/>
                              <a:ahLst/>
                              <a:cxnLst/>
                              <a:pathLst>
                                <a:path w="7425" h="5060">
                                  <a:moveTo>
                                    <a:pt x="132" y="219"/>
                                  </a:moveTo>
                                  <a:lnTo>
                                    <a:pt x="112" y="219"/>
                                  </a:lnTo>
                                  <a:lnTo>
                                    <a:pt x="121" y="199"/>
                                  </a:lnTo>
                                  <a:lnTo>
                                    <a:pt x="141" y="199"/>
                                  </a:lnTo>
                                  <a:lnTo>
                                    <a:pt x="132" y="219"/>
                                  </a:lnTo>
                                  <a:close/>
                                </a:path>
                              </a:pathLst>
                            </a:custGeom>
                            <a:solidFill>
                              <a:srgbClr val="000000"/>
                            </a:solidFill>
                            <a:ln>
                              <a:noFill/>
                            </a:ln>
                          </wps:spPr>
                          <wps:bodyPr upright="1"/>
                        </wps:wsp>
                        <wps:wsp>
                          <wps:cNvPr id="22" name="任意多边形 22"/>
                          <wps:cNvSpPr/>
                          <wps:spPr>
                            <a:xfrm>
                              <a:off x="0" y="0"/>
                              <a:ext cx="7425" cy="5060"/>
                            </a:xfrm>
                            <a:custGeom>
                              <a:avLst/>
                              <a:gdLst/>
                              <a:ahLst/>
                              <a:cxnLst/>
                              <a:pathLst>
                                <a:path w="7425" h="5060">
                                  <a:moveTo>
                                    <a:pt x="7311" y="219"/>
                                  </a:moveTo>
                                  <a:lnTo>
                                    <a:pt x="7291" y="219"/>
                                  </a:lnTo>
                                  <a:lnTo>
                                    <a:pt x="7283" y="199"/>
                                  </a:lnTo>
                                  <a:lnTo>
                                    <a:pt x="7303" y="199"/>
                                  </a:lnTo>
                                  <a:lnTo>
                                    <a:pt x="7311" y="219"/>
                                  </a:lnTo>
                                  <a:close/>
                                </a:path>
                              </a:pathLst>
                            </a:custGeom>
                            <a:solidFill>
                              <a:srgbClr val="000000"/>
                            </a:solidFill>
                            <a:ln>
                              <a:noFill/>
                            </a:ln>
                          </wps:spPr>
                          <wps:bodyPr upright="1"/>
                        </wps:wsp>
                        <wps:wsp>
                          <wps:cNvPr id="23" name="任意多边形 23"/>
                          <wps:cNvSpPr/>
                          <wps:spPr>
                            <a:xfrm>
                              <a:off x="0" y="0"/>
                              <a:ext cx="7425" cy="5060"/>
                            </a:xfrm>
                            <a:custGeom>
                              <a:avLst/>
                              <a:gdLst/>
                              <a:ahLst/>
                              <a:cxnLst/>
                              <a:pathLst>
                                <a:path w="7425" h="5060">
                                  <a:moveTo>
                                    <a:pt x="101" y="259"/>
                                  </a:moveTo>
                                  <a:lnTo>
                                    <a:pt x="89" y="259"/>
                                  </a:lnTo>
                                  <a:lnTo>
                                    <a:pt x="96" y="239"/>
                                  </a:lnTo>
                                  <a:lnTo>
                                    <a:pt x="104" y="219"/>
                                  </a:lnTo>
                                  <a:lnTo>
                                    <a:pt x="124" y="219"/>
                                  </a:lnTo>
                                  <a:lnTo>
                                    <a:pt x="116" y="239"/>
                                  </a:lnTo>
                                  <a:lnTo>
                                    <a:pt x="109" y="239"/>
                                  </a:lnTo>
                                  <a:lnTo>
                                    <a:pt x="101" y="259"/>
                                  </a:lnTo>
                                  <a:close/>
                                </a:path>
                              </a:pathLst>
                            </a:custGeom>
                            <a:solidFill>
                              <a:srgbClr val="000000"/>
                            </a:solidFill>
                            <a:ln>
                              <a:noFill/>
                            </a:ln>
                          </wps:spPr>
                          <wps:bodyPr upright="1"/>
                        </wps:wsp>
                        <wps:wsp>
                          <wps:cNvPr id="24" name="任意多边形 24"/>
                          <wps:cNvSpPr/>
                          <wps:spPr>
                            <a:xfrm>
                              <a:off x="0" y="0"/>
                              <a:ext cx="7425" cy="5060"/>
                            </a:xfrm>
                            <a:custGeom>
                              <a:avLst/>
                              <a:gdLst/>
                              <a:ahLst/>
                              <a:cxnLst/>
                              <a:pathLst>
                                <a:path w="7425" h="5060">
                                  <a:moveTo>
                                    <a:pt x="7335" y="259"/>
                                  </a:moveTo>
                                  <a:lnTo>
                                    <a:pt x="7322" y="259"/>
                                  </a:lnTo>
                                  <a:lnTo>
                                    <a:pt x="7315" y="239"/>
                                  </a:lnTo>
                                  <a:lnTo>
                                    <a:pt x="7307" y="239"/>
                                  </a:lnTo>
                                  <a:lnTo>
                                    <a:pt x="7299" y="219"/>
                                  </a:lnTo>
                                  <a:lnTo>
                                    <a:pt x="7319" y="219"/>
                                  </a:lnTo>
                                  <a:lnTo>
                                    <a:pt x="7327" y="239"/>
                                  </a:lnTo>
                                  <a:lnTo>
                                    <a:pt x="7335" y="259"/>
                                  </a:lnTo>
                                  <a:close/>
                                </a:path>
                              </a:pathLst>
                            </a:custGeom>
                            <a:solidFill>
                              <a:srgbClr val="000000"/>
                            </a:solidFill>
                            <a:ln>
                              <a:noFill/>
                            </a:ln>
                          </wps:spPr>
                          <wps:bodyPr upright="1"/>
                        </wps:wsp>
                        <wps:wsp>
                          <wps:cNvPr id="25" name="任意多边形 25"/>
                          <wps:cNvSpPr/>
                          <wps:spPr>
                            <a:xfrm>
                              <a:off x="0" y="0"/>
                              <a:ext cx="7425" cy="5060"/>
                            </a:xfrm>
                            <a:custGeom>
                              <a:avLst/>
                              <a:gdLst/>
                              <a:ahLst/>
                              <a:cxnLst/>
                              <a:pathLst>
                                <a:path w="7425" h="5060">
                                  <a:moveTo>
                                    <a:pt x="94" y="279"/>
                                  </a:moveTo>
                                  <a:lnTo>
                                    <a:pt x="75" y="279"/>
                                  </a:lnTo>
                                  <a:lnTo>
                                    <a:pt x="82" y="259"/>
                                  </a:lnTo>
                                  <a:lnTo>
                                    <a:pt x="102" y="259"/>
                                  </a:lnTo>
                                  <a:lnTo>
                                    <a:pt x="94" y="279"/>
                                  </a:lnTo>
                                  <a:close/>
                                </a:path>
                              </a:pathLst>
                            </a:custGeom>
                            <a:solidFill>
                              <a:srgbClr val="000000"/>
                            </a:solidFill>
                            <a:ln>
                              <a:noFill/>
                            </a:ln>
                          </wps:spPr>
                          <wps:bodyPr upright="1"/>
                        </wps:wsp>
                        <wps:wsp>
                          <wps:cNvPr id="26" name="任意多边形 26"/>
                          <wps:cNvSpPr/>
                          <wps:spPr>
                            <a:xfrm>
                              <a:off x="0" y="0"/>
                              <a:ext cx="7425" cy="5060"/>
                            </a:xfrm>
                            <a:custGeom>
                              <a:avLst/>
                              <a:gdLst/>
                              <a:ahLst/>
                              <a:cxnLst/>
                              <a:pathLst>
                                <a:path w="7425" h="5060">
                                  <a:moveTo>
                                    <a:pt x="7349" y="279"/>
                                  </a:moveTo>
                                  <a:lnTo>
                                    <a:pt x="7329" y="279"/>
                                  </a:lnTo>
                                  <a:lnTo>
                                    <a:pt x="7322" y="259"/>
                                  </a:lnTo>
                                  <a:lnTo>
                                    <a:pt x="7342" y="259"/>
                                  </a:lnTo>
                                  <a:lnTo>
                                    <a:pt x="7349" y="279"/>
                                  </a:lnTo>
                                  <a:close/>
                                </a:path>
                              </a:pathLst>
                            </a:custGeom>
                            <a:solidFill>
                              <a:srgbClr val="000000"/>
                            </a:solidFill>
                            <a:ln>
                              <a:noFill/>
                            </a:ln>
                          </wps:spPr>
                          <wps:bodyPr upright="1"/>
                        </wps:wsp>
                        <wps:wsp>
                          <wps:cNvPr id="27" name="任意多边形 27"/>
                          <wps:cNvSpPr/>
                          <wps:spPr>
                            <a:xfrm>
                              <a:off x="0" y="0"/>
                              <a:ext cx="7425" cy="5060"/>
                            </a:xfrm>
                            <a:custGeom>
                              <a:avLst/>
                              <a:gdLst/>
                              <a:ahLst/>
                              <a:cxnLst/>
                              <a:pathLst>
                                <a:path w="7425" h="5060">
                                  <a:moveTo>
                                    <a:pt x="69" y="319"/>
                                  </a:moveTo>
                                  <a:lnTo>
                                    <a:pt x="55" y="319"/>
                                  </a:lnTo>
                                  <a:lnTo>
                                    <a:pt x="62" y="299"/>
                                  </a:lnTo>
                                  <a:lnTo>
                                    <a:pt x="68" y="279"/>
                                  </a:lnTo>
                                  <a:lnTo>
                                    <a:pt x="88" y="279"/>
                                  </a:lnTo>
                                  <a:lnTo>
                                    <a:pt x="81" y="299"/>
                                  </a:lnTo>
                                  <a:lnTo>
                                    <a:pt x="75" y="299"/>
                                  </a:lnTo>
                                  <a:lnTo>
                                    <a:pt x="69" y="319"/>
                                  </a:lnTo>
                                  <a:close/>
                                </a:path>
                              </a:pathLst>
                            </a:custGeom>
                            <a:solidFill>
                              <a:srgbClr val="000000"/>
                            </a:solidFill>
                            <a:ln>
                              <a:noFill/>
                            </a:ln>
                          </wps:spPr>
                          <wps:bodyPr upright="1"/>
                        </wps:wsp>
                        <wps:wsp>
                          <wps:cNvPr id="28" name="任意多边形 28"/>
                          <wps:cNvSpPr/>
                          <wps:spPr>
                            <a:xfrm>
                              <a:off x="0" y="0"/>
                              <a:ext cx="7425" cy="5060"/>
                            </a:xfrm>
                            <a:custGeom>
                              <a:avLst/>
                              <a:gdLst/>
                              <a:ahLst/>
                              <a:cxnLst/>
                              <a:pathLst>
                                <a:path w="7425" h="5060">
                                  <a:moveTo>
                                    <a:pt x="7368" y="319"/>
                                  </a:moveTo>
                                  <a:lnTo>
                                    <a:pt x="7355" y="319"/>
                                  </a:lnTo>
                                  <a:lnTo>
                                    <a:pt x="7349" y="299"/>
                                  </a:lnTo>
                                  <a:lnTo>
                                    <a:pt x="7342" y="299"/>
                                  </a:lnTo>
                                  <a:lnTo>
                                    <a:pt x="7336" y="279"/>
                                  </a:lnTo>
                                  <a:lnTo>
                                    <a:pt x="7356" y="279"/>
                                  </a:lnTo>
                                  <a:lnTo>
                                    <a:pt x="7362" y="299"/>
                                  </a:lnTo>
                                  <a:lnTo>
                                    <a:pt x="7368" y="319"/>
                                  </a:lnTo>
                                  <a:close/>
                                </a:path>
                              </a:pathLst>
                            </a:custGeom>
                            <a:solidFill>
                              <a:srgbClr val="000000"/>
                            </a:solidFill>
                            <a:ln>
                              <a:noFill/>
                            </a:ln>
                          </wps:spPr>
                          <wps:bodyPr upright="1"/>
                        </wps:wsp>
                        <wps:wsp>
                          <wps:cNvPr id="29" name="任意多边形 29"/>
                          <wps:cNvSpPr/>
                          <wps:spPr>
                            <a:xfrm>
                              <a:off x="0" y="0"/>
                              <a:ext cx="7425" cy="5060"/>
                            </a:xfrm>
                            <a:custGeom>
                              <a:avLst/>
                              <a:gdLst/>
                              <a:ahLst/>
                              <a:cxnLst/>
                              <a:pathLst>
                                <a:path w="7425" h="5060">
                                  <a:moveTo>
                                    <a:pt x="63" y="339"/>
                                  </a:moveTo>
                                  <a:lnTo>
                                    <a:pt x="44" y="339"/>
                                  </a:lnTo>
                                  <a:lnTo>
                                    <a:pt x="50" y="319"/>
                                  </a:lnTo>
                                  <a:lnTo>
                                    <a:pt x="69" y="319"/>
                                  </a:lnTo>
                                  <a:lnTo>
                                    <a:pt x="63" y="339"/>
                                  </a:lnTo>
                                  <a:close/>
                                </a:path>
                              </a:pathLst>
                            </a:custGeom>
                            <a:solidFill>
                              <a:srgbClr val="000000"/>
                            </a:solidFill>
                            <a:ln>
                              <a:noFill/>
                            </a:ln>
                          </wps:spPr>
                          <wps:bodyPr upright="1"/>
                        </wps:wsp>
                        <wps:wsp>
                          <wps:cNvPr id="30" name="任意多边形 30"/>
                          <wps:cNvSpPr/>
                          <wps:spPr>
                            <a:xfrm>
                              <a:off x="0" y="0"/>
                              <a:ext cx="7425" cy="5060"/>
                            </a:xfrm>
                            <a:custGeom>
                              <a:avLst/>
                              <a:gdLst/>
                              <a:ahLst/>
                              <a:cxnLst/>
                              <a:pathLst>
                                <a:path w="7425" h="5060">
                                  <a:moveTo>
                                    <a:pt x="7380" y="339"/>
                                  </a:moveTo>
                                  <a:lnTo>
                                    <a:pt x="7360" y="339"/>
                                  </a:lnTo>
                                  <a:lnTo>
                                    <a:pt x="7355" y="319"/>
                                  </a:lnTo>
                                  <a:lnTo>
                                    <a:pt x="7374" y="319"/>
                                  </a:lnTo>
                                  <a:lnTo>
                                    <a:pt x="7380" y="339"/>
                                  </a:lnTo>
                                  <a:close/>
                                </a:path>
                              </a:pathLst>
                            </a:custGeom>
                            <a:solidFill>
                              <a:srgbClr val="000000"/>
                            </a:solidFill>
                            <a:ln>
                              <a:noFill/>
                            </a:ln>
                          </wps:spPr>
                          <wps:bodyPr upright="1"/>
                        </wps:wsp>
                        <wps:wsp>
                          <wps:cNvPr id="31" name="任意多边形 31"/>
                          <wps:cNvSpPr/>
                          <wps:spPr>
                            <a:xfrm>
                              <a:off x="0" y="0"/>
                              <a:ext cx="7425" cy="5060"/>
                            </a:xfrm>
                            <a:custGeom>
                              <a:avLst/>
                              <a:gdLst/>
                              <a:ahLst/>
                              <a:cxnLst/>
                              <a:pathLst>
                                <a:path w="7425" h="5060">
                                  <a:moveTo>
                                    <a:pt x="43" y="379"/>
                                  </a:moveTo>
                                  <a:lnTo>
                                    <a:pt x="29" y="379"/>
                                  </a:lnTo>
                                  <a:lnTo>
                                    <a:pt x="34" y="359"/>
                                  </a:lnTo>
                                  <a:lnTo>
                                    <a:pt x="39" y="339"/>
                                  </a:lnTo>
                                  <a:lnTo>
                                    <a:pt x="58" y="339"/>
                                  </a:lnTo>
                                  <a:lnTo>
                                    <a:pt x="53" y="359"/>
                                  </a:lnTo>
                                  <a:lnTo>
                                    <a:pt x="48" y="359"/>
                                  </a:lnTo>
                                  <a:lnTo>
                                    <a:pt x="43" y="379"/>
                                  </a:lnTo>
                                  <a:close/>
                                </a:path>
                              </a:pathLst>
                            </a:custGeom>
                            <a:solidFill>
                              <a:srgbClr val="000000"/>
                            </a:solidFill>
                            <a:ln>
                              <a:noFill/>
                            </a:ln>
                          </wps:spPr>
                          <wps:bodyPr upright="1"/>
                        </wps:wsp>
                        <wps:wsp>
                          <wps:cNvPr id="32" name="任意多边形 32"/>
                          <wps:cNvSpPr/>
                          <wps:spPr>
                            <a:xfrm>
                              <a:off x="0" y="0"/>
                              <a:ext cx="7425" cy="5060"/>
                            </a:xfrm>
                            <a:custGeom>
                              <a:avLst/>
                              <a:gdLst/>
                              <a:ahLst/>
                              <a:cxnLst/>
                              <a:pathLst>
                                <a:path w="7425" h="5060">
                                  <a:moveTo>
                                    <a:pt x="7394" y="379"/>
                                  </a:moveTo>
                                  <a:lnTo>
                                    <a:pt x="7380" y="379"/>
                                  </a:lnTo>
                                  <a:lnTo>
                                    <a:pt x="7376" y="359"/>
                                  </a:lnTo>
                                  <a:lnTo>
                                    <a:pt x="7371" y="359"/>
                                  </a:lnTo>
                                  <a:lnTo>
                                    <a:pt x="7366" y="339"/>
                                  </a:lnTo>
                                  <a:lnTo>
                                    <a:pt x="7385" y="339"/>
                                  </a:lnTo>
                                  <a:lnTo>
                                    <a:pt x="7390" y="359"/>
                                  </a:lnTo>
                                  <a:lnTo>
                                    <a:pt x="7394" y="379"/>
                                  </a:lnTo>
                                  <a:close/>
                                </a:path>
                              </a:pathLst>
                            </a:custGeom>
                            <a:solidFill>
                              <a:srgbClr val="000000"/>
                            </a:solidFill>
                            <a:ln>
                              <a:noFill/>
                            </a:ln>
                          </wps:spPr>
                          <wps:bodyPr upright="1"/>
                        </wps:wsp>
                        <wps:wsp>
                          <wps:cNvPr id="33" name="任意多边形 33"/>
                          <wps:cNvSpPr/>
                          <wps:spPr>
                            <a:xfrm>
                              <a:off x="0" y="0"/>
                              <a:ext cx="7425" cy="5060"/>
                            </a:xfrm>
                            <a:custGeom>
                              <a:avLst/>
                              <a:gdLst/>
                              <a:ahLst/>
                              <a:cxnLst/>
                              <a:pathLst>
                                <a:path w="7425" h="5060">
                                  <a:moveTo>
                                    <a:pt x="32" y="419"/>
                                  </a:moveTo>
                                  <a:lnTo>
                                    <a:pt x="17" y="419"/>
                                  </a:lnTo>
                                  <a:lnTo>
                                    <a:pt x="21" y="399"/>
                                  </a:lnTo>
                                  <a:lnTo>
                                    <a:pt x="25" y="379"/>
                                  </a:lnTo>
                                  <a:lnTo>
                                    <a:pt x="43" y="379"/>
                                  </a:lnTo>
                                  <a:lnTo>
                                    <a:pt x="39" y="399"/>
                                  </a:lnTo>
                                  <a:lnTo>
                                    <a:pt x="35" y="399"/>
                                  </a:lnTo>
                                  <a:lnTo>
                                    <a:pt x="32" y="419"/>
                                  </a:lnTo>
                                  <a:close/>
                                </a:path>
                              </a:pathLst>
                            </a:custGeom>
                            <a:solidFill>
                              <a:srgbClr val="000000"/>
                            </a:solidFill>
                            <a:ln>
                              <a:noFill/>
                            </a:ln>
                          </wps:spPr>
                          <wps:bodyPr upright="1"/>
                        </wps:wsp>
                        <wps:wsp>
                          <wps:cNvPr id="34" name="任意多边形 34"/>
                          <wps:cNvSpPr/>
                          <wps:spPr>
                            <a:xfrm>
                              <a:off x="0" y="0"/>
                              <a:ext cx="7425" cy="5060"/>
                            </a:xfrm>
                            <a:custGeom>
                              <a:avLst/>
                              <a:gdLst/>
                              <a:ahLst/>
                              <a:cxnLst/>
                              <a:pathLst>
                                <a:path w="7425" h="5060">
                                  <a:moveTo>
                                    <a:pt x="7406" y="419"/>
                                  </a:moveTo>
                                  <a:lnTo>
                                    <a:pt x="7392" y="419"/>
                                  </a:lnTo>
                                  <a:lnTo>
                                    <a:pt x="7388" y="399"/>
                                  </a:lnTo>
                                  <a:lnTo>
                                    <a:pt x="7384" y="399"/>
                                  </a:lnTo>
                                  <a:lnTo>
                                    <a:pt x="7380" y="379"/>
                                  </a:lnTo>
                                  <a:lnTo>
                                    <a:pt x="7399" y="379"/>
                                  </a:lnTo>
                                  <a:lnTo>
                                    <a:pt x="7403" y="399"/>
                                  </a:lnTo>
                                  <a:lnTo>
                                    <a:pt x="7406" y="419"/>
                                  </a:lnTo>
                                  <a:close/>
                                </a:path>
                              </a:pathLst>
                            </a:custGeom>
                            <a:solidFill>
                              <a:srgbClr val="000000"/>
                            </a:solidFill>
                            <a:ln>
                              <a:noFill/>
                            </a:ln>
                          </wps:spPr>
                          <wps:bodyPr upright="1"/>
                        </wps:wsp>
                        <wps:wsp>
                          <wps:cNvPr id="35" name="任意多边形 35"/>
                          <wps:cNvSpPr/>
                          <wps:spPr>
                            <a:xfrm>
                              <a:off x="0" y="0"/>
                              <a:ext cx="7425" cy="5060"/>
                            </a:xfrm>
                            <a:custGeom>
                              <a:avLst/>
                              <a:gdLst/>
                              <a:ahLst/>
                              <a:cxnLst/>
                              <a:pathLst>
                                <a:path w="7425" h="5060">
                                  <a:moveTo>
                                    <a:pt x="21" y="479"/>
                                  </a:moveTo>
                                  <a:lnTo>
                                    <a:pt x="6" y="479"/>
                                  </a:lnTo>
                                  <a:lnTo>
                                    <a:pt x="8" y="459"/>
                                  </a:lnTo>
                                  <a:lnTo>
                                    <a:pt x="11" y="439"/>
                                  </a:lnTo>
                                  <a:lnTo>
                                    <a:pt x="14" y="419"/>
                                  </a:lnTo>
                                  <a:lnTo>
                                    <a:pt x="32" y="419"/>
                                  </a:lnTo>
                                  <a:lnTo>
                                    <a:pt x="28" y="439"/>
                                  </a:lnTo>
                                  <a:lnTo>
                                    <a:pt x="26" y="439"/>
                                  </a:lnTo>
                                  <a:lnTo>
                                    <a:pt x="23" y="459"/>
                                  </a:lnTo>
                                  <a:lnTo>
                                    <a:pt x="23" y="459"/>
                                  </a:lnTo>
                                  <a:lnTo>
                                    <a:pt x="21" y="479"/>
                                  </a:lnTo>
                                  <a:close/>
                                </a:path>
                              </a:pathLst>
                            </a:custGeom>
                            <a:solidFill>
                              <a:srgbClr val="000000"/>
                            </a:solidFill>
                            <a:ln>
                              <a:noFill/>
                            </a:ln>
                          </wps:spPr>
                          <wps:bodyPr upright="1"/>
                        </wps:wsp>
                        <wps:wsp>
                          <wps:cNvPr id="36" name="任意多边形 36"/>
                          <wps:cNvSpPr/>
                          <wps:spPr>
                            <a:xfrm>
                              <a:off x="0" y="0"/>
                              <a:ext cx="7425" cy="5060"/>
                            </a:xfrm>
                            <a:custGeom>
                              <a:avLst/>
                              <a:gdLst/>
                              <a:ahLst/>
                              <a:cxnLst/>
                              <a:pathLst>
                                <a:path w="7425" h="5060">
                                  <a:moveTo>
                                    <a:pt x="7418" y="479"/>
                                  </a:moveTo>
                                  <a:lnTo>
                                    <a:pt x="7403" y="479"/>
                                  </a:lnTo>
                                  <a:lnTo>
                                    <a:pt x="7401" y="459"/>
                                  </a:lnTo>
                                  <a:lnTo>
                                    <a:pt x="7401" y="459"/>
                                  </a:lnTo>
                                  <a:lnTo>
                                    <a:pt x="7398" y="439"/>
                                  </a:lnTo>
                                  <a:lnTo>
                                    <a:pt x="7395" y="439"/>
                                  </a:lnTo>
                                  <a:lnTo>
                                    <a:pt x="7392" y="419"/>
                                  </a:lnTo>
                                  <a:lnTo>
                                    <a:pt x="7410" y="419"/>
                                  </a:lnTo>
                                  <a:lnTo>
                                    <a:pt x="7413" y="439"/>
                                  </a:lnTo>
                                  <a:lnTo>
                                    <a:pt x="7415" y="459"/>
                                  </a:lnTo>
                                  <a:lnTo>
                                    <a:pt x="7418" y="479"/>
                                  </a:lnTo>
                                  <a:close/>
                                </a:path>
                              </a:pathLst>
                            </a:custGeom>
                            <a:solidFill>
                              <a:srgbClr val="000000"/>
                            </a:solidFill>
                            <a:ln>
                              <a:noFill/>
                            </a:ln>
                          </wps:spPr>
                          <wps:bodyPr upright="1"/>
                        </wps:wsp>
                        <wps:wsp>
                          <wps:cNvPr id="37" name="任意多边形 37"/>
                          <wps:cNvSpPr/>
                          <wps:spPr>
                            <a:xfrm>
                              <a:off x="0" y="0"/>
                              <a:ext cx="7425" cy="5060"/>
                            </a:xfrm>
                            <a:custGeom>
                              <a:avLst/>
                              <a:gdLst/>
                              <a:ahLst/>
                              <a:cxnLst/>
                              <a:pathLst>
                                <a:path w="7425" h="5060">
                                  <a:moveTo>
                                    <a:pt x="16" y="519"/>
                                  </a:moveTo>
                                  <a:lnTo>
                                    <a:pt x="1" y="519"/>
                                  </a:lnTo>
                                  <a:lnTo>
                                    <a:pt x="2" y="499"/>
                                  </a:lnTo>
                                  <a:lnTo>
                                    <a:pt x="4" y="479"/>
                                  </a:lnTo>
                                  <a:lnTo>
                                    <a:pt x="19" y="479"/>
                                  </a:lnTo>
                                  <a:lnTo>
                                    <a:pt x="17" y="499"/>
                                  </a:lnTo>
                                  <a:lnTo>
                                    <a:pt x="17" y="499"/>
                                  </a:lnTo>
                                  <a:lnTo>
                                    <a:pt x="16" y="519"/>
                                  </a:lnTo>
                                  <a:close/>
                                </a:path>
                              </a:pathLst>
                            </a:custGeom>
                            <a:solidFill>
                              <a:srgbClr val="000000"/>
                            </a:solidFill>
                            <a:ln>
                              <a:noFill/>
                            </a:ln>
                          </wps:spPr>
                          <wps:bodyPr upright="1"/>
                        </wps:wsp>
                        <wps:wsp>
                          <wps:cNvPr id="38" name="任意多边形 38"/>
                          <wps:cNvSpPr/>
                          <wps:spPr>
                            <a:xfrm>
                              <a:off x="0" y="0"/>
                              <a:ext cx="7425" cy="5060"/>
                            </a:xfrm>
                            <a:custGeom>
                              <a:avLst/>
                              <a:gdLst/>
                              <a:ahLst/>
                              <a:cxnLst/>
                              <a:pathLst>
                                <a:path w="7425" h="5060">
                                  <a:moveTo>
                                    <a:pt x="7423" y="519"/>
                                  </a:moveTo>
                                  <a:lnTo>
                                    <a:pt x="7408" y="519"/>
                                  </a:lnTo>
                                  <a:lnTo>
                                    <a:pt x="7406" y="499"/>
                                  </a:lnTo>
                                  <a:lnTo>
                                    <a:pt x="7406" y="499"/>
                                  </a:lnTo>
                                  <a:lnTo>
                                    <a:pt x="7405" y="479"/>
                                  </a:lnTo>
                                  <a:lnTo>
                                    <a:pt x="7420" y="479"/>
                                  </a:lnTo>
                                  <a:lnTo>
                                    <a:pt x="7421" y="499"/>
                                  </a:lnTo>
                                  <a:lnTo>
                                    <a:pt x="7423" y="519"/>
                                  </a:lnTo>
                                  <a:close/>
                                </a:path>
                              </a:pathLst>
                            </a:custGeom>
                            <a:solidFill>
                              <a:srgbClr val="000000"/>
                            </a:solidFill>
                            <a:ln>
                              <a:noFill/>
                            </a:ln>
                          </wps:spPr>
                          <wps:bodyPr upright="1"/>
                        </wps:wsp>
                        <wps:wsp>
                          <wps:cNvPr id="39" name="任意多边形 39"/>
                          <wps:cNvSpPr/>
                          <wps:spPr>
                            <a:xfrm>
                              <a:off x="0" y="0"/>
                              <a:ext cx="7425" cy="5060"/>
                            </a:xfrm>
                            <a:custGeom>
                              <a:avLst/>
                              <a:gdLst/>
                              <a:ahLst/>
                              <a:cxnLst/>
                              <a:pathLst>
                                <a:path w="7425" h="5060">
                                  <a:moveTo>
                                    <a:pt x="19" y="4559"/>
                                  </a:moveTo>
                                  <a:lnTo>
                                    <a:pt x="2" y="4559"/>
                                  </a:lnTo>
                                  <a:lnTo>
                                    <a:pt x="1" y="4539"/>
                                  </a:lnTo>
                                  <a:lnTo>
                                    <a:pt x="0" y="4519"/>
                                  </a:lnTo>
                                  <a:lnTo>
                                    <a:pt x="0" y="4499"/>
                                  </a:lnTo>
                                  <a:lnTo>
                                    <a:pt x="0" y="539"/>
                                  </a:lnTo>
                                  <a:lnTo>
                                    <a:pt x="0" y="519"/>
                                  </a:lnTo>
                                  <a:lnTo>
                                    <a:pt x="15" y="519"/>
                                  </a:lnTo>
                                  <a:lnTo>
                                    <a:pt x="15" y="539"/>
                                  </a:lnTo>
                                  <a:lnTo>
                                    <a:pt x="15" y="4499"/>
                                  </a:lnTo>
                                  <a:lnTo>
                                    <a:pt x="15" y="4519"/>
                                  </a:lnTo>
                                  <a:lnTo>
                                    <a:pt x="16" y="4539"/>
                                  </a:lnTo>
                                  <a:lnTo>
                                    <a:pt x="17" y="4539"/>
                                  </a:lnTo>
                                  <a:lnTo>
                                    <a:pt x="19" y="4559"/>
                                  </a:lnTo>
                                  <a:close/>
                                </a:path>
                              </a:pathLst>
                            </a:custGeom>
                            <a:solidFill>
                              <a:srgbClr val="000000"/>
                            </a:solidFill>
                            <a:ln>
                              <a:noFill/>
                            </a:ln>
                          </wps:spPr>
                          <wps:bodyPr upright="1"/>
                        </wps:wsp>
                        <wps:wsp>
                          <wps:cNvPr id="40" name="任意多边形 40"/>
                          <wps:cNvSpPr/>
                          <wps:spPr>
                            <a:xfrm>
                              <a:off x="0" y="0"/>
                              <a:ext cx="7425" cy="5060"/>
                            </a:xfrm>
                            <a:custGeom>
                              <a:avLst/>
                              <a:gdLst/>
                              <a:ahLst/>
                              <a:cxnLst/>
                              <a:pathLst>
                                <a:path w="7425" h="5060">
                                  <a:moveTo>
                                    <a:pt x="7421" y="4559"/>
                                  </a:moveTo>
                                  <a:lnTo>
                                    <a:pt x="7405" y="4559"/>
                                  </a:lnTo>
                                  <a:lnTo>
                                    <a:pt x="7406" y="4539"/>
                                  </a:lnTo>
                                  <a:lnTo>
                                    <a:pt x="7408" y="4539"/>
                                  </a:lnTo>
                                  <a:lnTo>
                                    <a:pt x="7408" y="4519"/>
                                  </a:lnTo>
                                  <a:lnTo>
                                    <a:pt x="7408" y="4519"/>
                                  </a:lnTo>
                                  <a:lnTo>
                                    <a:pt x="7409" y="4499"/>
                                  </a:lnTo>
                                  <a:lnTo>
                                    <a:pt x="7409" y="539"/>
                                  </a:lnTo>
                                  <a:lnTo>
                                    <a:pt x="7408" y="519"/>
                                  </a:lnTo>
                                  <a:lnTo>
                                    <a:pt x="7423" y="519"/>
                                  </a:lnTo>
                                  <a:lnTo>
                                    <a:pt x="7424" y="539"/>
                                  </a:lnTo>
                                  <a:lnTo>
                                    <a:pt x="7424" y="4499"/>
                                  </a:lnTo>
                                  <a:lnTo>
                                    <a:pt x="7423" y="4519"/>
                                  </a:lnTo>
                                  <a:lnTo>
                                    <a:pt x="7423" y="4539"/>
                                  </a:lnTo>
                                  <a:lnTo>
                                    <a:pt x="7421" y="4559"/>
                                  </a:lnTo>
                                  <a:close/>
                                </a:path>
                              </a:pathLst>
                            </a:custGeom>
                            <a:solidFill>
                              <a:srgbClr val="000000"/>
                            </a:solidFill>
                            <a:ln>
                              <a:noFill/>
                            </a:ln>
                          </wps:spPr>
                          <wps:bodyPr upright="1"/>
                        </wps:wsp>
                        <wps:wsp>
                          <wps:cNvPr id="41" name="任意多边形 41"/>
                          <wps:cNvSpPr/>
                          <wps:spPr>
                            <a:xfrm>
                              <a:off x="0" y="0"/>
                              <a:ext cx="7425" cy="5060"/>
                            </a:xfrm>
                            <a:custGeom>
                              <a:avLst/>
                              <a:gdLst/>
                              <a:ahLst/>
                              <a:cxnLst/>
                              <a:pathLst>
                                <a:path w="7425" h="5060">
                                  <a:moveTo>
                                    <a:pt x="23" y="4599"/>
                                  </a:moveTo>
                                  <a:lnTo>
                                    <a:pt x="8" y="4599"/>
                                  </a:lnTo>
                                  <a:lnTo>
                                    <a:pt x="6" y="4579"/>
                                  </a:lnTo>
                                  <a:lnTo>
                                    <a:pt x="4" y="4559"/>
                                  </a:lnTo>
                                  <a:lnTo>
                                    <a:pt x="19" y="4559"/>
                                  </a:lnTo>
                                  <a:lnTo>
                                    <a:pt x="21" y="4579"/>
                                  </a:lnTo>
                                  <a:lnTo>
                                    <a:pt x="21" y="4579"/>
                                  </a:lnTo>
                                  <a:lnTo>
                                    <a:pt x="23" y="4599"/>
                                  </a:lnTo>
                                  <a:close/>
                                </a:path>
                              </a:pathLst>
                            </a:custGeom>
                            <a:solidFill>
                              <a:srgbClr val="000000"/>
                            </a:solidFill>
                            <a:ln>
                              <a:noFill/>
                            </a:ln>
                          </wps:spPr>
                          <wps:bodyPr upright="1"/>
                        </wps:wsp>
                        <wps:wsp>
                          <wps:cNvPr id="42" name="任意多边形 42"/>
                          <wps:cNvSpPr/>
                          <wps:spPr>
                            <a:xfrm>
                              <a:off x="0" y="0"/>
                              <a:ext cx="7425" cy="5060"/>
                            </a:xfrm>
                            <a:custGeom>
                              <a:avLst/>
                              <a:gdLst/>
                              <a:ahLst/>
                              <a:cxnLst/>
                              <a:pathLst>
                                <a:path w="7425" h="5060">
                                  <a:moveTo>
                                    <a:pt x="7415" y="4599"/>
                                  </a:moveTo>
                                  <a:lnTo>
                                    <a:pt x="7401" y="4599"/>
                                  </a:lnTo>
                                  <a:lnTo>
                                    <a:pt x="7403" y="4579"/>
                                  </a:lnTo>
                                  <a:lnTo>
                                    <a:pt x="7403" y="4579"/>
                                  </a:lnTo>
                                  <a:lnTo>
                                    <a:pt x="7405" y="4559"/>
                                  </a:lnTo>
                                  <a:lnTo>
                                    <a:pt x="7420" y="4559"/>
                                  </a:lnTo>
                                  <a:lnTo>
                                    <a:pt x="7418" y="4579"/>
                                  </a:lnTo>
                                  <a:lnTo>
                                    <a:pt x="7415" y="4599"/>
                                  </a:lnTo>
                                  <a:close/>
                                </a:path>
                              </a:pathLst>
                            </a:custGeom>
                            <a:solidFill>
                              <a:srgbClr val="000000"/>
                            </a:solidFill>
                            <a:ln>
                              <a:noFill/>
                            </a:ln>
                          </wps:spPr>
                          <wps:bodyPr upright="1"/>
                        </wps:wsp>
                        <wps:wsp>
                          <wps:cNvPr id="43" name="任意多边形 43"/>
                          <wps:cNvSpPr/>
                          <wps:spPr>
                            <a:xfrm>
                              <a:off x="0" y="0"/>
                              <a:ext cx="7425" cy="5060"/>
                            </a:xfrm>
                            <a:custGeom>
                              <a:avLst/>
                              <a:gdLst/>
                              <a:ahLst/>
                              <a:cxnLst/>
                              <a:pathLst>
                                <a:path w="7425" h="5060">
                                  <a:moveTo>
                                    <a:pt x="32" y="4639"/>
                                  </a:moveTo>
                                  <a:lnTo>
                                    <a:pt x="17" y="4639"/>
                                  </a:lnTo>
                                  <a:lnTo>
                                    <a:pt x="14" y="4619"/>
                                  </a:lnTo>
                                  <a:lnTo>
                                    <a:pt x="11" y="4599"/>
                                  </a:lnTo>
                                  <a:lnTo>
                                    <a:pt x="26" y="4599"/>
                                  </a:lnTo>
                                  <a:lnTo>
                                    <a:pt x="29" y="4619"/>
                                  </a:lnTo>
                                  <a:lnTo>
                                    <a:pt x="28" y="4619"/>
                                  </a:lnTo>
                                  <a:lnTo>
                                    <a:pt x="32" y="4639"/>
                                  </a:lnTo>
                                  <a:close/>
                                </a:path>
                              </a:pathLst>
                            </a:custGeom>
                            <a:solidFill>
                              <a:srgbClr val="000000"/>
                            </a:solidFill>
                            <a:ln>
                              <a:noFill/>
                            </a:ln>
                          </wps:spPr>
                          <wps:bodyPr upright="1"/>
                        </wps:wsp>
                        <wps:wsp>
                          <wps:cNvPr id="44" name="任意多边形 44"/>
                          <wps:cNvSpPr/>
                          <wps:spPr>
                            <a:xfrm>
                              <a:off x="0" y="0"/>
                              <a:ext cx="7425" cy="5060"/>
                            </a:xfrm>
                            <a:custGeom>
                              <a:avLst/>
                              <a:gdLst/>
                              <a:ahLst/>
                              <a:cxnLst/>
                              <a:pathLst>
                                <a:path w="7425" h="5060">
                                  <a:moveTo>
                                    <a:pt x="7406" y="4639"/>
                                  </a:moveTo>
                                  <a:lnTo>
                                    <a:pt x="7392" y="4639"/>
                                  </a:lnTo>
                                  <a:lnTo>
                                    <a:pt x="7395" y="4619"/>
                                  </a:lnTo>
                                  <a:lnTo>
                                    <a:pt x="7395" y="4619"/>
                                  </a:lnTo>
                                  <a:lnTo>
                                    <a:pt x="7398" y="4599"/>
                                  </a:lnTo>
                                  <a:lnTo>
                                    <a:pt x="7413" y="4599"/>
                                  </a:lnTo>
                                  <a:lnTo>
                                    <a:pt x="7410" y="4619"/>
                                  </a:lnTo>
                                  <a:lnTo>
                                    <a:pt x="7406" y="4639"/>
                                  </a:lnTo>
                                  <a:close/>
                                </a:path>
                              </a:pathLst>
                            </a:custGeom>
                            <a:solidFill>
                              <a:srgbClr val="000000"/>
                            </a:solidFill>
                            <a:ln>
                              <a:noFill/>
                            </a:ln>
                          </wps:spPr>
                          <wps:bodyPr upright="1"/>
                        </wps:wsp>
                        <wps:wsp>
                          <wps:cNvPr id="45" name="任意多边形 45"/>
                          <wps:cNvSpPr/>
                          <wps:spPr>
                            <a:xfrm>
                              <a:off x="0" y="0"/>
                              <a:ext cx="7425" cy="5060"/>
                            </a:xfrm>
                            <a:custGeom>
                              <a:avLst/>
                              <a:gdLst/>
                              <a:ahLst/>
                              <a:cxnLst/>
                              <a:pathLst>
                                <a:path w="7425" h="5060">
                                  <a:moveTo>
                                    <a:pt x="43" y="4679"/>
                                  </a:moveTo>
                                  <a:lnTo>
                                    <a:pt x="29" y="4679"/>
                                  </a:lnTo>
                                  <a:lnTo>
                                    <a:pt x="25" y="4659"/>
                                  </a:lnTo>
                                  <a:lnTo>
                                    <a:pt x="21" y="4639"/>
                                  </a:lnTo>
                                  <a:lnTo>
                                    <a:pt x="35" y="4639"/>
                                  </a:lnTo>
                                  <a:lnTo>
                                    <a:pt x="39" y="4659"/>
                                  </a:lnTo>
                                  <a:lnTo>
                                    <a:pt x="39" y="4659"/>
                                  </a:lnTo>
                                  <a:lnTo>
                                    <a:pt x="43" y="4679"/>
                                  </a:lnTo>
                                  <a:close/>
                                </a:path>
                              </a:pathLst>
                            </a:custGeom>
                            <a:solidFill>
                              <a:srgbClr val="000000"/>
                            </a:solidFill>
                            <a:ln>
                              <a:noFill/>
                            </a:ln>
                          </wps:spPr>
                          <wps:bodyPr upright="1"/>
                        </wps:wsp>
                        <wps:wsp>
                          <wps:cNvPr id="46" name="任意多边形 46"/>
                          <wps:cNvSpPr/>
                          <wps:spPr>
                            <a:xfrm>
                              <a:off x="0" y="0"/>
                              <a:ext cx="7425" cy="5060"/>
                            </a:xfrm>
                            <a:custGeom>
                              <a:avLst/>
                              <a:gdLst/>
                              <a:ahLst/>
                              <a:cxnLst/>
                              <a:pathLst>
                                <a:path w="7425" h="5060">
                                  <a:moveTo>
                                    <a:pt x="7394" y="4679"/>
                                  </a:moveTo>
                                  <a:lnTo>
                                    <a:pt x="7380" y="4679"/>
                                  </a:lnTo>
                                  <a:lnTo>
                                    <a:pt x="7384" y="4659"/>
                                  </a:lnTo>
                                  <a:lnTo>
                                    <a:pt x="7384" y="4659"/>
                                  </a:lnTo>
                                  <a:lnTo>
                                    <a:pt x="7388" y="4639"/>
                                  </a:lnTo>
                                  <a:lnTo>
                                    <a:pt x="7403" y="4639"/>
                                  </a:lnTo>
                                  <a:lnTo>
                                    <a:pt x="7399" y="4659"/>
                                  </a:lnTo>
                                  <a:lnTo>
                                    <a:pt x="7394" y="4679"/>
                                  </a:lnTo>
                                  <a:close/>
                                </a:path>
                              </a:pathLst>
                            </a:custGeom>
                            <a:solidFill>
                              <a:srgbClr val="000000"/>
                            </a:solidFill>
                            <a:ln>
                              <a:noFill/>
                            </a:ln>
                          </wps:spPr>
                          <wps:bodyPr upright="1"/>
                        </wps:wsp>
                        <wps:wsp>
                          <wps:cNvPr id="47" name="任意多边形 47"/>
                          <wps:cNvSpPr/>
                          <wps:spPr>
                            <a:xfrm>
                              <a:off x="0" y="0"/>
                              <a:ext cx="7425" cy="5060"/>
                            </a:xfrm>
                            <a:custGeom>
                              <a:avLst/>
                              <a:gdLst/>
                              <a:ahLst/>
                              <a:cxnLst/>
                              <a:pathLst>
                                <a:path w="7425" h="5060">
                                  <a:moveTo>
                                    <a:pt x="48" y="4679"/>
                                  </a:moveTo>
                                  <a:lnTo>
                                    <a:pt x="43" y="4679"/>
                                  </a:lnTo>
                                  <a:lnTo>
                                    <a:pt x="43" y="4659"/>
                                  </a:lnTo>
                                  <a:lnTo>
                                    <a:pt x="48" y="4679"/>
                                  </a:lnTo>
                                  <a:close/>
                                </a:path>
                              </a:pathLst>
                            </a:custGeom>
                            <a:solidFill>
                              <a:srgbClr val="000000"/>
                            </a:solidFill>
                            <a:ln>
                              <a:noFill/>
                            </a:ln>
                          </wps:spPr>
                          <wps:bodyPr upright="1"/>
                        </wps:wsp>
                        <wps:wsp>
                          <wps:cNvPr id="48" name="任意多边形 48"/>
                          <wps:cNvSpPr/>
                          <wps:spPr>
                            <a:xfrm>
                              <a:off x="0" y="0"/>
                              <a:ext cx="7425" cy="5060"/>
                            </a:xfrm>
                            <a:custGeom>
                              <a:avLst/>
                              <a:gdLst/>
                              <a:ahLst/>
                              <a:cxnLst/>
                              <a:pathLst>
                                <a:path w="7425" h="5060">
                                  <a:moveTo>
                                    <a:pt x="7380" y="4679"/>
                                  </a:moveTo>
                                  <a:lnTo>
                                    <a:pt x="7376" y="4679"/>
                                  </a:lnTo>
                                  <a:lnTo>
                                    <a:pt x="7380" y="4659"/>
                                  </a:lnTo>
                                  <a:lnTo>
                                    <a:pt x="7380" y="4679"/>
                                  </a:lnTo>
                                  <a:close/>
                                </a:path>
                              </a:pathLst>
                            </a:custGeom>
                            <a:solidFill>
                              <a:srgbClr val="000000"/>
                            </a:solidFill>
                            <a:ln>
                              <a:noFill/>
                            </a:ln>
                          </wps:spPr>
                          <wps:bodyPr upright="1"/>
                        </wps:wsp>
                        <wps:wsp>
                          <wps:cNvPr id="49" name="任意多边形 49"/>
                          <wps:cNvSpPr/>
                          <wps:spPr>
                            <a:xfrm>
                              <a:off x="0" y="0"/>
                              <a:ext cx="7425" cy="5060"/>
                            </a:xfrm>
                            <a:custGeom>
                              <a:avLst/>
                              <a:gdLst/>
                              <a:ahLst/>
                              <a:cxnLst/>
                              <a:pathLst>
                                <a:path w="7425" h="5060">
                                  <a:moveTo>
                                    <a:pt x="63" y="4719"/>
                                  </a:moveTo>
                                  <a:lnTo>
                                    <a:pt x="44" y="4719"/>
                                  </a:lnTo>
                                  <a:lnTo>
                                    <a:pt x="39" y="4699"/>
                                  </a:lnTo>
                                  <a:lnTo>
                                    <a:pt x="34" y="4679"/>
                                  </a:lnTo>
                                  <a:lnTo>
                                    <a:pt x="48" y="4679"/>
                                  </a:lnTo>
                                  <a:lnTo>
                                    <a:pt x="53" y="4699"/>
                                  </a:lnTo>
                                  <a:lnTo>
                                    <a:pt x="58" y="4699"/>
                                  </a:lnTo>
                                  <a:lnTo>
                                    <a:pt x="63" y="4719"/>
                                  </a:lnTo>
                                  <a:close/>
                                </a:path>
                              </a:pathLst>
                            </a:custGeom>
                            <a:solidFill>
                              <a:srgbClr val="000000"/>
                            </a:solidFill>
                            <a:ln>
                              <a:noFill/>
                            </a:ln>
                          </wps:spPr>
                          <wps:bodyPr upright="1"/>
                        </wps:wsp>
                        <wps:wsp>
                          <wps:cNvPr id="50" name="任意多边形 50"/>
                          <wps:cNvSpPr/>
                          <wps:spPr>
                            <a:xfrm>
                              <a:off x="0" y="0"/>
                              <a:ext cx="7425" cy="5060"/>
                            </a:xfrm>
                            <a:custGeom>
                              <a:avLst/>
                              <a:gdLst/>
                              <a:ahLst/>
                              <a:cxnLst/>
                              <a:pathLst>
                                <a:path w="7425" h="5060">
                                  <a:moveTo>
                                    <a:pt x="7380" y="4719"/>
                                  </a:moveTo>
                                  <a:lnTo>
                                    <a:pt x="7360" y="4719"/>
                                  </a:lnTo>
                                  <a:lnTo>
                                    <a:pt x="7366" y="4699"/>
                                  </a:lnTo>
                                  <a:lnTo>
                                    <a:pt x="7371" y="4699"/>
                                  </a:lnTo>
                                  <a:lnTo>
                                    <a:pt x="7376" y="4679"/>
                                  </a:lnTo>
                                  <a:lnTo>
                                    <a:pt x="7390" y="4679"/>
                                  </a:lnTo>
                                  <a:lnTo>
                                    <a:pt x="7385" y="4699"/>
                                  </a:lnTo>
                                  <a:lnTo>
                                    <a:pt x="7380" y="4719"/>
                                  </a:lnTo>
                                  <a:close/>
                                </a:path>
                              </a:pathLst>
                            </a:custGeom>
                            <a:solidFill>
                              <a:srgbClr val="000000"/>
                            </a:solidFill>
                            <a:ln>
                              <a:noFill/>
                            </a:ln>
                          </wps:spPr>
                          <wps:bodyPr upright="1"/>
                        </wps:wsp>
                        <wps:wsp>
                          <wps:cNvPr id="51" name="任意多边形 51"/>
                          <wps:cNvSpPr/>
                          <wps:spPr>
                            <a:xfrm>
                              <a:off x="0" y="0"/>
                              <a:ext cx="7425" cy="5060"/>
                            </a:xfrm>
                            <a:custGeom>
                              <a:avLst/>
                              <a:gdLst/>
                              <a:ahLst/>
                              <a:cxnLst/>
                              <a:pathLst>
                                <a:path w="7425" h="5060">
                                  <a:moveTo>
                                    <a:pt x="81" y="4759"/>
                                  </a:moveTo>
                                  <a:lnTo>
                                    <a:pt x="62" y="4759"/>
                                  </a:lnTo>
                                  <a:lnTo>
                                    <a:pt x="55" y="4739"/>
                                  </a:lnTo>
                                  <a:lnTo>
                                    <a:pt x="50" y="4719"/>
                                  </a:lnTo>
                                  <a:lnTo>
                                    <a:pt x="63" y="4719"/>
                                  </a:lnTo>
                                  <a:lnTo>
                                    <a:pt x="69" y="4739"/>
                                  </a:lnTo>
                                  <a:lnTo>
                                    <a:pt x="75" y="4739"/>
                                  </a:lnTo>
                                  <a:lnTo>
                                    <a:pt x="81" y="4759"/>
                                  </a:lnTo>
                                  <a:close/>
                                </a:path>
                              </a:pathLst>
                            </a:custGeom>
                            <a:solidFill>
                              <a:srgbClr val="000000"/>
                            </a:solidFill>
                            <a:ln>
                              <a:noFill/>
                            </a:ln>
                          </wps:spPr>
                          <wps:bodyPr upright="1"/>
                        </wps:wsp>
                        <wps:wsp>
                          <wps:cNvPr id="52" name="任意多边形 52"/>
                          <wps:cNvSpPr/>
                          <wps:spPr>
                            <a:xfrm>
                              <a:off x="0" y="0"/>
                              <a:ext cx="7425" cy="5060"/>
                            </a:xfrm>
                            <a:custGeom>
                              <a:avLst/>
                              <a:gdLst/>
                              <a:ahLst/>
                              <a:cxnLst/>
                              <a:pathLst>
                                <a:path w="7425" h="5060">
                                  <a:moveTo>
                                    <a:pt x="7362" y="4759"/>
                                  </a:moveTo>
                                  <a:lnTo>
                                    <a:pt x="7342" y="4759"/>
                                  </a:lnTo>
                                  <a:lnTo>
                                    <a:pt x="7349" y="4739"/>
                                  </a:lnTo>
                                  <a:lnTo>
                                    <a:pt x="7355" y="4739"/>
                                  </a:lnTo>
                                  <a:lnTo>
                                    <a:pt x="7360" y="4719"/>
                                  </a:lnTo>
                                  <a:lnTo>
                                    <a:pt x="7374" y="4719"/>
                                  </a:lnTo>
                                  <a:lnTo>
                                    <a:pt x="7368" y="4739"/>
                                  </a:lnTo>
                                  <a:lnTo>
                                    <a:pt x="7362" y="4759"/>
                                  </a:lnTo>
                                  <a:close/>
                                </a:path>
                              </a:pathLst>
                            </a:custGeom>
                            <a:solidFill>
                              <a:srgbClr val="000000"/>
                            </a:solidFill>
                            <a:ln>
                              <a:noFill/>
                            </a:ln>
                          </wps:spPr>
                          <wps:bodyPr upright="1"/>
                        </wps:wsp>
                        <wps:wsp>
                          <wps:cNvPr id="53" name="任意多边形 53"/>
                          <wps:cNvSpPr/>
                          <wps:spPr>
                            <a:xfrm>
                              <a:off x="0" y="0"/>
                              <a:ext cx="7425" cy="5060"/>
                            </a:xfrm>
                            <a:custGeom>
                              <a:avLst/>
                              <a:gdLst/>
                              <a:ahLst/>
                              <a:cxnLst/>
                              <a:pathLst>
                                <a:path w="7425" h="5060">
                                  <a:moveTo>
                                    <a:pt x="94" y="4779"/>
                                  </a:moveTo>
                                  <a:lnTo>
                                    <a:pt x="75" y="4779"/>
                                  </a:lnTo>
                                  <a:lnTo>
                                    <a:pt x="68" y="4759"/>
                                  </a:lnTo>
                                  <a:lnTo>
                                    <a:pt x="88" y="4759"/>
                                  </a:lnTo>
                                  <a:lnTo>
                                    <a:pt x="94" y="4779"/>
                                  </a:lnTo>
                                  <a:close/>
                                </a:path>
                              </a:pathLst>
                            </a:custGeom>
                            <a:solidFill>
                              <a:srgbClr val="000000"/>
                            </a:solidFill>
                            <a:ln>
                              <a:noFill/>
                            </a:ln>
                          </wps:spPr>
                          <wps:bodyPr upright="1"/>
                        </wps:wsp>
                        <wps:wsp>
                          <wps:cNvPr id="54" name="任意多边形 54"/>
                          <wps:cNvSpPr/>
                          <wps:spPr>
                            <a:xfrm>
                              <a:off x="0" y="0"/>
                              <a:ext cx="7425" cy="5060"/>
                            </a:xfrm>
                            <a:custGeom>
                              <a:avLst/>
                              <a:gdLst/>
                              <a:ahLst/>
                              <a:cxnLst/>
                              <a:pathLst>
                                <a:path w="7425" h="5060">
                                  <a:moveTo>
                                    <a:pt x="7349" y="4779"/>
                                  </a:moveTo>
                                  <a:lnTo>
                                    <a:pt x="7329" y="4779"/>
                                  </a:lnTo>
                                  <a:lnTo>
                                    <a:pt x="7336" y="4759"/>
                                  </a:lnTo>
                                  <a:lnTo>
                                    <a:pt x="7356" y="4759"/>
                                  </a:lnTo>
                                  <a:lnTo>
                                    <a:pt x="7349" y="4779"/>
                                  </a:lnTo>
                                  <a:close/>
                                </a:path>
                              </a:pathLst>
                            </a:custGeom>
                            <a:solidFill>
                              <a:srgbClr val="000000"/>
                            </a:solidFill>
                            <a:ln>
                              <a:noFill/>
                            </a:ln>
                          </wps:spPr>
                          <wps:bodyPr upright="1"/>
                        </wps:wsp>
                        <wps:wsp>
                          <wps:cNvPr id="55" name="任意多边形 55"/>
                          <wps:cNvSpPr/>
                          <wps:spPr>
                            <a:xfrm>
                              <a:off x="0" y="0"/>
                              <a:ext cx="7425" cy="5060"/>
                            </a:xfrm>
                            <a:custGeom>
                              <a:avLst/>
                              <a:gdLst/>
                              <a:ahLst/>
                              <a:cxnLst/>
                              <a:pathLst>
                                <a:path w="7425" h="5060">
                                  <a:moveTo>
                                    <a:pt x="116" y="4819"/>
                                  </a:moveTo>
                                  <a:lnTo>
                                    <a:pt x="96" y="4819"/>
                                  </a:lnTo>
                                  <a:lnTo>
                                    <a:pt x="89" y="4799"/>
                                  </a:lnTo>
                                  <a:lnTo>
                                    <a:pt x="82" y="4779"/>
                                  </a:lnTo>
                                  <a:lnTo>
                                    <a:pt x="94" y="4779"/>
                                  </a:lnTo>
                                  <a:lnTo>
                                    <a:pt x="102" y="4799"/>
                                  </a:lnTo>
                                  <a:lnTo>
                                    <a:pt x="109" y="4799"/>
                                  </a:lnTo>
                                  <a:lnTo>
                                    <a:pt x="116" y="4819"/>
                                  </a:lnTo>
                                  <a:close/>
                                </a:path>
                              </a:pathLst>
                            </a:custGeom>
                            <a:solidFill>
                              <a:srgbClr val="000000"/>
                            </a:solidFill>
                            <a:ln>
                              <a:noFill/>
                            </a:ln>
                          </wps:spPr>
                          <wps:bodyPr upright="1"/>
                        </wps:wsp>
                        <wps:wsp>
                          <wps:cNvPr id="56" name="任意多边形 56"/>
                          <wps:cNvSpPr/>
                          <wps:spPr>
                            <a:xfrm>
                              <a:off x="0" y="0"/>
                              <a:ext cx="7425" cy="5060"/>
                            </a:xfrm>
                            <a:custGeom>
                              <a:avLst/>
                              <a:gdLst/>
                              <a:ahLst/>
                              <a:cxnLst/>
                              <a:pathLst>
                                <a:path w="7425" h="5060">
                                  <a:moveTo>
                                    <a:pt x="7327" y="4819"/>
                                  </a:moveTo>
                                  <a:lnTo>
                                    <a:pt x="7307" y="4819"/>
                                  </a:lnTo>
                                  <a:lnTo>
                                    <a:pt x="7315" y="4799"/>
                                  </a:lnTo>
                                  <a:lnTo>
                                    <a:pt x="7322" y="4799"/>
                                  </a:lnTo>
                                  <a:lnTo>
                                    <a:pt x="7329" y="4779"/>
                                  </a:lnTo>
                                  <a:lnTo>
                                    <a:pt x="7342" y="4779"/>
                                  </a:lnTo>
                                  <a:lnTo>
                                    <a:pt x="7335" y="4799"/>
                                  </a:lnTo>
                                  <a:lnTo>
                                    <a:pt x="7327" y="4819"/>
                                  </a:lnTo>
                                  <a:close/>
                                </a:path>
                              </a:pathLst>
                            </a:custGeom>
                            <a:solidFill>
                              <a:srgbClr val="000000"/>
                            </a:solidFill>
                            <a:ln>
                              <a:noFill/>
                            </a:ln>
                          </wps:spPr>
                          <wps:bodyPr upright="1"/>
                        </wps:wsp>
                        <wps:wsp>
                          <wps:cNvPr id="57" name="任意多边形 57"/>
                          <wps:cNvSpPr/>
                          <wps:spPr>
                            <a:xfrm>
                              <a:off x="0" y="0"/>
                              <a:ext cx="7425" cy="5060"/>
                            </a:xfrm>
                            <a:custGeom>
                              <a:avLst/>
                              <a:gdLst/>
                              <a:ahLst/>
                              <a:cxnLst/>
                              <a:pathLst>
                                <a:path w="7425" h="5060">
                                  <a:moveTo>
                                    <a:pt x="132" y="4839"/>
                                  </a:moveTo>
                                  <a:lnTo>
                                    <a:pt x="112" y="4839"/>
                                  </a:lnTo>
                                  <a:lnTo>
                                    <a:pt x="104" y="4819"/>
                                  </a:lnTo>
                                  <a:lnTo>
                                    <a:pt x="124" y="4819"/>
                                  </a:lnTo>
                                  <a:lnTo>
                                    <a:pt x="132" y="4839"/>
                                  </a:lnTo>
                                  <a:close/>
                                </a:path>
                              </a:pathLst>
                            </a:custGeom>
                            <a:solidFill>
                              <a:srgbClr val="000000"/>
                            </a:solidFill>
                            <a:ln>
                              <a:noFill/>
                            </a:ln>
                          </wps:spPr>
                          <wps:bodyPr upright="1"/>
                        </wps:wsp>
                        <wps:wsp>
                          <wps:cNvPr id="58" name="任意多边形 58"/>
                          <wps:cNvSpPr/>
                          <wps:spPr>
                            <a:xfrm>
                              <a:off x="0" y="0"/>
                              <a:ext cx="7425" cy="5060"/>
                            </a:xfrm>
                            <a:custGeom>
                              <a:avLst/>
                              <a:gdLst/>
                              <a:ahLst/>
                              <a:cxnLst/>
                              <a:pathLst>
                                <a:path w="7425" h="5060">
                                  <a:moveTo>
                                    <a:pt x="7311" y="4839"/>
                                  </a:moveTo>
                                  <a:lnTo>
                                    <a:pt x="7291" y="4839"/>
                                  </a:lnTo>
                                  <a:lnTo>
                                    <a:pt x="7299" y="4819"/>
                                  </a:lnTo>
                                  <a:lnTo>
                                    <a:pt x="7319" y="4819"/>
                                  </a:lnTo>
                                  <a:lnTo>
                                    <a:pt x="7311" y="4839"/>
                                  </a:lnTo>
                                  <a:close/>
                                </a:path>
                              </a:pathLst>
                            </a:custGeom>
                            <a:solidFill>
                              <a:srgbClr val="000000"/>
                            </a:solidFill>
                            <a:ln>
                              <a:noFill/>
                            </a:ln>
                          </wps:spPr>
                          <wps:bodyPr upright="1"/>
                        </wps:wsp>
                        <wps:wsp>
                          <wps:cNvPr id="59" name="任意多边形 59"/>
                          <wps:cNvSpPr/>
                          <wps:spPr>
                            <a:xfrm>
                              <a:off x="0" y="0"/>
                              <a:ext cx="7425" cy="5060"/>
                            </a:xfrm>
                            <a:custGeom>
                              <a:avLst/>
                              <a:gdLst/>
                              <a:ahLst/>
                              <a:cxnLst/>
                              <a:pathLst>
                                <a:path w="7425" h="5060">
                                  <a:moveTo>
                                    <a:pt x="149" y="4859"/>
                                  </a:moveTo>
                                  <a:lnTo>
                                    <a:pt x="129" y="4859"/>
                                  </a:lnTo>
                                  <a:lnTo>
                                    <a:pt x="121" y="4839"/>
                                  </a:lnTo>
                                  <a:lnTo>
                                    <a:pt x="141" y="4839"/>
                                  </a:lnTo>
                                  <a:lnTo>
                                    <a:pt x="149" y="4859"/>
                                  </a:lnTo>
                                  <a:close/>
                                </a:path>
                              </a:pathLst>
                            </a:custGeom>
                            <a:solidFill>
                              <a:srgbClr val="000000"/>
                            </a:solidFill>
                            <a:ln>
                              <a:noFill/>
                            </a:ln>
                          </wps:spPr>
                          <wps:bodyPr upright="1"/>
                        </wps:wsp>
                        <wps:wsp>
                          <wps:cNvPr id="60" name="任意多边形 60"/>
                          <wps:cNvSpPr/>
                          <wps:spPr>
                            <a:xfrm>
                              <a:off x="0" y="0"/>
                              <a:ext cx="7425" cy="5060"/>
                            </a:xfrm>
                            <a:custGeom>
                              <a:avLst/>
                              <a:gdLst/>
                              <a:ahLst/>
                              <a:cxnLst/>
                              <a:pathLst>
                                <a:path w="7425" h="5060">
                                  <a:moveTo>
                                    <a:pt x="7294" y="4859"/>
                                  </a:moveTo>
                                  <a:lnTo>
                                    <a:pt x="7274" y="4859"/>
                                  </a:lnTo>
                                  <a:lnTo>
                                    <a:pt x="7283" y="4839"/>
                                  </a:lnTo>
                                  <a:lnTo>
                                    <a:pt x="7303" y="4839"/>
                                  </a:lnTo>
                                  <a:lnTo>
                                    <a:pt x="7294" y="4859"/>
                                  </a:lnTo>
                                  <a:close/>
                                </a:path>
                              </a:pathLst>
                            </a:custGeom>
                            <a:solidFill>
                              <a:srgbClr val="000000"/>
                            </a:solidFill>
                            <a:ln>
                              <a:noFill/>
                            </a:ln>
                          </wps:spPr>
                          <wps:bodyPr upright="1"/>
                        </wps:wsp>
                        <wps:wsp>
                          <wps:cNvPr id="61" name="任意多边形 61"/>
                          <wps:cNvSpPr/>
                          <wps:spPr>
                            <a:xfrm>
                              <a:off x="0" y="0"/>
                              <a:ext cx="7425" cy="5060"/>
                            </a:xfrm>
                            <a:custGeom>
                              <a:avLst/>
                              <a:gdLst/>
                              <a:ahLst/>
                              <a:cxnLst/>
                              <a:pathLst>
                                <a:path w="7425" h="5060">
                                  <a:moveTo>
                                    <a:pt x="167" y="4879"/>
                                  </a:moveTo>
                                  <a:lnTo>
                                    <a:pt x="147" y="4879"/>
                                  </a:lnTo>
                                  <a:lnTo>
                                    <a:pt x="138" y="4859"/>
                                  </a:lnTo>
                                  <a:lnTo>
                                    <a:pt x="158" y="4859"/>
                                  </a:lnTo>
                                  <a:lnTo>
                                    <a:pt x="167" y="4879"/>
                                  </a:lnTo>
                                  <a:close/>
                                </a:path>
                              </a:pathLst>
                            </a:custGeom>
                            <a:solidFill>
                              <a:srgbClr val="000000"/>
                            </a:solidFill>
                            <a:ln>
                              <a:noFill/>
                            </a:ln>
                          </wps:spPr>
                          <wps:bodyPr upright="1"/>
                        </wps:wsp>
                        <wps:wsp>
                          <wps:cNvPr id="62" name="任意多边形 62"/>
                          <wps:cNvSpPr/>
                          <wps:spPr>
                            <a:xfrm>
                              <a:off x="0" y="0"/>
                              <a:ext cx="7425" cy="5060"/>
                            </a:xfrm>
                            <a:custGeom>
                              <a:avLst/>
                              <a:gdLst/>
                              <a:ahLst/>
                              <a:cxnLst/>
                              <a:pathLst>
                                <a:path w="7425" h="5060">
                                  <a:moveTo>
                                    <a:pt x="7277" y="4879"/>
                                  </a:moveTo>
                                  <a:lnTo>
                                    <a:pt x="7256" y="4879"/>
                                  </a:lnTo>
                                  <a:lnTo>
                                    <a:pt x="7265" y="4859"/>
                                  </a:lnTo>
                                  <a:lnTo>
                                    <a:pt x="7286" y="4859"/>
                                  </a:lnTo>
                                  <a:lnTo>
                                    <a:pt x="7277" y="4879"/>
                                  </a:lnTo>
                                  <a:close/>
                                </a:path>
                              </a:pathLst>
                            </a:custGeom>
                            <a:solidFill>
                              <a:srgbClr val="000000"/>
                            </a:solidFill>
                            <a:ln>
                              <a:noFill/>
                            </a:ln>
                          </wps:spPr>
                          <wps:bodyPr upright="1"/>
                        </wps:wsp>
                        <wps:wsp>
                          <wps:cNvPr id="63" name="任意多边形 63"/>
                          <wps:cNvSpPr/>
                          <wps:spPr>
                            <a:xfrm>
                              <a:off x="0" y="0"/>
                              <a:ext cx="7425" cy="5060"/>
                            </a:xfrm>
                            <a:custGeom>
                              <a:avLst/>
                              <a:gdLst/>
                              <a:ahLst/>
                              <a:cxnLst/>
                              <a:pathLst>
                                <a:path w="7425" h="5060">
                                  <a:moveTo>
                                    <a:pt x="186" y="4899"/>
                                  </a:moveTo>
                                  <a:lnTo>
                                    <a:pt x="166" y="4899"/>
                                  </a:lnTo>
                                  <a:lnTo>
                                    <a:pt x="156" y="4879"/>
                                  </a:lnTo>
                                  <a:lnTo>
                                    <a:pt x="176" y="4879"/>
                                  </a:lnTo>
                                  <a:lnTo>
                                    <a:pt x="186" y="4899"/>
                                  </a:lnTo>
                                  <a:close/>
                                </a:path>
                              </a:pathLst>
                            </a:custGeom>
                            <a:solidFill>
                              <a:srgbClr val="000000"/>
                            </a:solidFill>
                            <a:ln>
                              <a:noFill/>
                            </a:ln>
                          </wps:spPr>
                          <wps:bodyPr upright="1"/>
                        </wps:wsp>
                        <wps:wsp>
                          <wps:cNvPr id="64" name="任意多边形 64"/>
                          <wps:cNvSpPr/>
                          <wps:spPr>
                            <a:xfrm>
                              <a:off x="0" y="0"/>
                              <a:ext cx="7425" cy="5060"/>
                            </a:xfrm>
                            <a:custGeom>
                              <a:avLst/>
                              <a:gdLst/>
                              <a:ahLst/>
                              <a:cxnLst/>
                              <a:pathLst>
                                <a:path w="7425" h="5060">
                                  <a:moveTo>
                                    <a:pt x="7258" y="4899"/>
                                  </a:moveTo>
                                  <a:lnTo>
                                    <a:pt x="7238" y="4899"/>
                                  </a:lnTo>
                                  <a:lnTo>
                                    <a:pt x="7247" y="4879"/>
                                  </a:lnTo>
                                  <a:lnTo>
                                    <a:pt x="7267" y="4879"/>
                                  </a:lnTo>
                                  <a:lnTo>
                                    <a:pt x="7258" y="4899"/>
                                  </a:lnTo>
                                  <a:close/>
                                </a:path>
                              </a:pathLst>
                            </a:custGeom>
                            <a:solidFill>
                              <a:srgbClr val="000000"/>
                            </a:solidFill>
                            <a:ln>
                              <a:noFill/>
                            </a:ln>
                          </wps:spPr>
                          <wps:bodyPr upright="1"/>
                        </wps:wsp>
                        <wps:wsp>
                          <wps:cNvPr id="65" name="任意多边形 65"/>
                          <wps:cNvSpPr/>
                          <wps:spPr>
                            <a:xfrm>
                              <a:off x="0" y="0"/>
                              <a:ext cx="7425" cy="5060"/>
                            </a:xfrm>
                            <a:custGeom>
                              <a:avLst/>
                              <a:gdLst/>
                              <a:ahLst/>
                              <a:cxnLst/>
                              <a:pathLst>
                                <a:path w="7425" h="5060">
                                  <a:moveTo>
                                    <a:pt x="206" y="4919"/>
                                  </a:moveTo>
                                  <a:lnTo>
                                    <a:pt x="186" y="4919"/>
                                  </a:lnTo>
                                  <a:lnTo>
                                    <a:pt x="176" y="4899"/>
                                  </a:lnTo>
                                  <a:lnTo>
                                    <a:pt x="196" y="4899"/>
                                  </a:lnTo>
                                  <a:lnTo>
                                    <a:pt x="206" y="4919"/>
                                  </a:lnTo>
                                  <a:close/>
                                </a:path>
                              </a:pathLst>
                            </a:custGeom>
                            <a:solidFill>
                              <a:srgbClr val="000000"/>
                            </a:solidFill>
                            <a:ln>
                              <a:noFill/>
                            </a:ln>
                          </wps:spPr>
                          <wps:bodyPr upright="1"/>
                        </wps:wsp>
                        <wps:wsp>
                          <wps:cNvPr id="66" name="任意多边形 66"/>
                          <wps:cNvSpPr/>
                          <wps:spPr>
                            <a:xfrm>
                              <a:off x="0" y="0"/>
                              <a:ext cx="7425" cy="5060"/>
                            </a:xfrm>
                            <a:custGeom>
                              <a:avLst/>
                              <a:gdLst/>
                              <a:ahLst/>
                              <a:cxnLst/>
                              <a:pathLst>
                                <a:path w="7425" h="5060">
                                  <a:moveTo>
                                    <a:pt x="7238" y="4919"/>
                                  </a:moveTo>
                                  <a:lnTo>
                                    <a:pt x="7218" y="4919"/>
                                  </a:lnTo>
                                  <a:lnTo>
                                    <a:pt x="7228" y="4899"/>
                                  </a:lnTo>
                                  <a:lnTo>
                                    <a:pt x="7248" y="4899"/>
                                  </a:lnTo>
                                  <a:lnTo>
                                    <a:pt x="7238" y="4919"/>
                                  </a:lnTo>
                                  <a:close/>
                                </a:path>
                              </a:pathLst>
                            </a:custGeom>
                            <a:solidFill>
                              <a:srgbClr val="000000"/>
                            </a:solidFill>
                            <a:ln>
                              <a:noFill/>
                            </a:ln>
                          </wps:spPr>
                          <wps:bodyPr upright="1"/>
                        </wps:wsp>
                        <wps:wsp>
                          <wps:cNvPr id="67" name="任意多边形 67"/>
                          <wps:cNvSpPr/>
                          <wps:spPr>
                            <a:xfrm>
                              <a:off x="0" y="0"/>
                              <a:ext cx="7425" cy="5060"/>
                            </a:xfrm>
                            <a:custGeom>
                              <a:avLst/>
                              <a:gdLst/>
                              <a:ahLst/>
                              <a:cxnLst/>
                              <a:pathLst>
                                <a:path w="7425" h="5060">
                                  <a:moveTo>
                                    <a:pt x="237" y="4939"/>
                                  </a:moveTo>
                                  <a:lnTo>
                                    <a:pt x="206" y="4939"/>
                                  </a:lnTo>
                                  <a:lnTo>
                                    <a:pt x="196" y="4919"/>
                                  </a:lnTo>
                                  <a:lnTo>
                                    <a:pt x="226" y="4919"/>
                                  </a:lnTo>
                                  <a:lnTo>
                                    <a:pt x="237" y="4939"/>
                                  </a:lnTo>
                                  <a:close/>
                                </a:path>
                              </a:pathLst>
                            </a:custGeom>
                            <a:solidFill>
                              <a:srgbClr val="000000"/>
                            </a:solidFill>
                            <a:ln>
                              <a:noFill/>
                            </a:ln>
                          </wps:spPr>
                          <wps:bodyPr upright="1"/>
                        </wps:wsp>
                        <wps:wsp>
                          <wps:cNvPr id="68" name="任意多边形 68"/>
                          <wps:cNvSpPr/>
                          <wps:spPr>
                            <a:xfrm>
                              <a:off x="0" y="0"/>
                              <a:ext cx="7425" cy="5060"/>
                            </a:xfrm>
                            <a:custGeom>
                              <a:avLst/>
                              <a:gdLst/>
                              <a:ahLst/>
                              <a:cxnLst/>
                              <a:pathLst>
                                <a:path w="7425" h="5060">
                                  <a:moveTo>
                                    <a:pt x="7217" y="4939"/>
                                  </a:moveTo>
                                  <a:lnTo>
                                    <a:pt x="7187" y="4939"/>
                                  </a:lnTo>
                                  <a:lnTo>
                                    <a:pt x="7198" y="4919"/>
                                  </a:lnTo>
                                  <a:lnTo>
                                    <a:pt x="7228" y="4919"/>
                                  </a:lnTo>
                                  <a:lnTo>
                                    <a:pt x="7217" y="4939"/>
                                  </a:lnTo>
                                  <a:close/>
                                </a:path>
                              </a:pathLst>
                            </a:custGeom>
                            <a:solidFill>
                              <a:srgbClr val="000000"/>
                            </a:solidFill>
                            <a:ln>
                              <a:noFill/>
                            </a:ln>
                          </wps:spPr>
                          <wps:bodyPr upright="1"/>
                        </wps:wsp>
                        <wps:wsp>
                          <wps:cNvPr id="69" name="任意多边形 69"/>
                          <wps:cNvSpPr/>
                          <wps:spPr>
                            <a:xfrm>
                              <a:off x="0" y="0"/>
                              <a:ext cx="7425" cy="5060"/>
                            </a:xfrm>
                            <a:custGeom>
                              <a:avLst/>
                              <a:gdLst/>
                              <a:ahLst/>
                              <a:cxnLst/>
                              <a:pathLst>
                                <a:path w="7425" h="5060">
                                  <a:moveTo>
                                    <a:pt x="258" y="4959"/>
                                  </a:moveTo>
                                  <a:lnTo>
                                    <a:pt x="239" y="4959"/>
                                  </a:lnTo>
                                  <a:lnTo>
                                    <a:pt x="228" y="4939"/>
                                  </a:lnTo>
                                  <a:lnTo>
                                    <a:pt x="247" y="4939"/>
                                  </a:lnTo>
                                  <a:lnTo>
                                    <a:pt x="258" y="4959"/>
                                  </a:lnTo>
                                  <a:close/>
                                </a:path>
                              </a:pathLst>
                            </a:custGeom>
                            <a:solidFill>
                              <a:srgbClr val="000000"/>
                            </a:solidFill>
                            <a:ln>
                              <a:noFill/>
                            </a:ln>
                          </wps:spPr>
                          <wps:bodyPr upright="1"/>
                        </wps:wsp>
                        <wps:wsp>
                          <wps:cNvPr id="70" name="任意多边形 70"/>
                          <wps:cNvSpPr/>
                          <wps:spPr>
                            <a:xfrm>
                              <a:off x="0" y="0"/>
                              <a:ext cx="7425" cy="5060"/>
                            </a:xfrm>
                            <a:custGeom>
                              <a:avLst/>
                              <a:gdLst/>
                              <a:ahLst/>
                              <a:cxnLst/>
                              <a:pathLst>
                                <a:path w="7425" h="5060">
                                  <a:moveTo>
                                    <a:pt x="7185" y="4959"/>
                                  </a:moveTo>
                                  <a:lnTo>
                                    <a:pt x="7165" y="4959"/>
                                  </a:lnTo>
                                  <a:lnTo>
                                    <a:pt x="7176" y="4939"/>
                                  </a:lnTo>
                                  <a:lnTo>
                                    <a:pt x="7196" y="4939"/>
                                  </a:lnTo>
                                  <a:lnTo>
                                    <a:pt x="7185" y="4959"/>
                                  </a:lnTo>
                                  <a:close/>
                                </a:path>
                              </a:pathLst>
                            </a:custGeom>
                            <a:solidFill>
                              <a:srgbClr val="000000"/>
                            </a:solidFill>
                            <a:ln>
                              <a:noFill/>
                            </a:ln>
                          </wps:spPr>
                          <wps:bodyPr upright="1"/>
                        </wps:wsp>
                        <wps:wsp>
                          <wps:cNvPr id="71" name="任意多边形 71"/>
                          <wps:cNvSpPr/>
                          <wps:spPr>
                            <a:xfrm>
                              <a:off x="0" y="0"/>
                              <a:ext cx="7425" cy="5060"/>
                            </a:xfrm>
                            <a:custGeom>
                              <a:avLst/>
                              <a:gdLst/>
                              <a:ahLst/>
                              <a:cxnLst/>
                              <a:pathLst>
                                <a:path w="7425" h="5060">
                                  <a:moveTo>
                                    <a:pt x="292" y="4979"/>
                                  </a:moveTo>
                                  <a:lnTo>
                                    <a:pt x="261" y="4979"/>
                                  </a:lnTo>
                                  <a:lnTo>
                                    <a:pt x="250" y="4959"/>
                                  </a:lnTo>
                                  <a:lnTo>
                                    <a:pt x="281" y="4959"/>
                                  </a:lnTo>
                                  <a:lnTo>
                                    <a:pt x="292" y="4979"/>
                                  </a:lnTo>
                                  <a:close/>
                                </a:path>
                              </a:pathLst>
                            </a:custGeom>
                            <a:solidFill>
                              <a:srgbClr val="000000"/>
                            </a:solidFill>
                            <a:ln>
                              <a:noFill/>
                            </a:ln>
                          </wps:spPr>
                          <wps:bodyPr upright="1"/>
                        </wps:wsp>
                        <wps:wsp>
                          <wps:cNvPr id="72" name="任意多边形 72"/>
                          <wps:cNvSpPr/>
                          <wps:spPr>
                            <a:xfrm>
                              <a:off x="0" y="0"/>
                              <a:ext cx="7425" cy="5060"/>
                            </a:xfrm>
                            <a:custGeom>
                              <a:avLst/>
                              <a:gdLst/>
                              <a:ahLst/>
                              <a:cxnLst/>
                              <a:pathLst>
                                <a:path w="7425" h="5060">
                                  <a:moveTo>
                                    <a:pt x="7162" y="4979"/>
                                  </a:moveTo>
                                  <a:lnTo>
                                    <a:pt x="7131" y="4979"/>
                                  </a:lnTo>
                                  <a:lnTo>
                                    <a:pt x="7143" y="4959"/>
                                  </a:lnTo>
                                  <a:lnTo>
                                    <a:pt x="7174" y="4959"/>
                                  </a:lnTo>
                                  <a:lnTo>
                                    <a:pt x="7162" y="4979"/>
                                  </a:lnTo>
                                  <a:close/>
                                </a:path>
                              </a:pathLst>
                            </a:custGeom>
                            <a:solidFill>
                              <a:srgbClr val="000000"/>
                            </a:solidFill>
                            <a:ln>
                              <a:noFill/>
                            </a:ln>
                          </wps:spPr>
                          <wps:bodyPr upright="1"/>
                        </wps:wsp>
                        <wps:wsp>
                          <wps:cNvPr id="73" name="任意多边形 73"/>
                          <wps:cNvSpPr/>
                          <wps:spPr>
                            <a:xfrm>
                              <a:off x="0" y="0"/>
                              <a:ext cx="7425" cy="5060"/>
                            </a:xfrm>
                            <a:custGeom>
                              <a:avLst/>
                              <a:gdLst/>
                              <a:ahLst/>
                              <a:cxnLst/>
                              <a:pathLst>
                                <a:path w="7425" h="5060">
                                  <a:moveTo>
                                    <a:pt x="328" y="4999"/>
                                  </a:moveTo>
                                  <a:lnTo>
                                    <a:pt x="297" y="4999"/>
                                  </a:lnTo>
                                  <a:lnTo>
                                    <a:pt x="285" y="4979"/>
                                  </a:lnTo>
                                  <a:lnTo>
                                    <a:pt x="316" y="4979"/>
                                  </a:lnTo>
                                  <a:lnTo>
                                    <a:pt x="328" y="4999"/>
                                  </a:lnTo>
                                  <a:close/>
                                </a:path>
                              </a:pathLst>
                            </a:custGeom>
                            <a:solidFill>
                              <a:srgbClr val="000000"/>
                            </a:solidFill>
                            <a:ln>
                              <a:noFill/>
                            </a:ln>
                          </wps:spPr>
                          <wps:bodyPr upright="1"/>
                        </wps:wsp>
                        <wps:wsp>
                          <wps:cNvPr id="74" name="任意多边形 74"/>
                          <wps:cNvSpPr/>
                          <wps:spPr>
                            <a:xfrm>
                              <a:off x="0" y="0"/>
                              <a:ext cx="7425" cy="5060"/>
                            </a:xfrm>
                            <a:custGeom>
                              <a:avLst/>
                              <a:gdLst/>
                              <a:ahLst/>
                              <a:cxnLst/>
                              <a:pathLst>
                                <a:path w="7425" h="5060">
                                  <a:moveTo>
                                    <a:pt x="7127" y="4999"/>
                                  </a:moveTo>
                                  <a:lnTo>
                                    <a:pt x="7096" y="4999"/>
                                  </a:lnTo>
                                  <a:lnTo>
                                    <a:pt x="7108" y="4979"/>
                                  </a:lnTo>
                                  <a:lnTo>
                                    <a:pt x="7139" y="4979"/>
                                  </a:lnTo>
                                  <a:lnTo>
                                    <a:pt x="7127" y="4999"/>
                                  </a:lnTo>
                                  <a:close/>
                                </a:path>
                              </a:pathLst>
                            </a:custGeom>
                            <a:solidFill>
                              <a:srgbClr val="000000"/>
                            </a:solidFill>
                            <a:ln>
                              <a:noFill/>
                            </a:ln>
                          </wps:spPr>
                          <wps:bodyPr upright="1"/>
                        </wps:wsp>
                        <wps:wsp>
                          <wps:cNvPr id="75" name="任意多边形 75"/>
                          <wps:cNvSpPr/>
                          <wps:spPr>
                            <a:xfrm>
                              <a:off x="0" y="0"/>
                              <a:ext cx="7425" cy="5060"/>
                            </a:xfrm>
                            <a:custGeom>
                              <a:avLst/>
                              <a:gdLst/>
                              <a:ahLst/>
                              <a:cxnLst/>
                              <a:pathLst>
                                <a:path w="7425" h="5060">
                                  <a:moveTo>
                                    <a:pt x="378" y="5019"/>
                                  </a:moveTo>
                                  <a:lnTo>
                                    <a:pt x="334" y="5019"/>
                                  </a:lnTo>
                                  <a:lnTo>
                                    <a:pt x="321" y="4999"/>
                                  </a:lnTo>
                                  <a:lnTo>
                                    <a:pt x="365" y="4999"/>
                                  </a:lnTo>
                                  <a:lnTo>
                                    <a:pt x="378" y="5019"/>
                                  </a:lnTo>
                                  <a:close/>
                                </a:path>
                              </a:pathLst>
                            </a:custGeom>
                            <a:solidFill>
                              <a:srgbClr val="000000"/>
                            </a:solidFill>
                            <a:ln>
                              <a:noFill/>
                            </a:ln>
                          </wps:spPr>
                          <wps:bodyPr upright="1"/>
                        </wps:wsp>
                        <wps:wsp>
                          <wps:cNvPr id="76" name="任意多边形 76"/>
                          <wps:cNvSpPr/>
                          <wps:spPr>
                            <a:xfrm>
                              <a:off x="0" y="0"/>
                              <a:ext cx="7425" cy="5060"/>
                            </a:xfrm>
                            <a:custGeom>
                              <a:avLst/>
                              <a:gdLst/>
                              <a:ahLst/>
                              <a:cxnLst/>
                              <a:pathLst>
                                <a:path w="7425" h="5060">
                                  <a:moveTo>
                                    <a:pt x="7090" y="5019"/>
                                  </a:moveTo>
                                  <a:lnTo>
                                    <a:pt x="7046" y="5019"/>
                                  </a:lnTo>
                                  <a:lnTo>
                                    <a:pt x="7059" y="4999"/>
                                  </a:lnTo>
                                  <a:lnTo>
                                    <a:pt x="7102" y="4999"/>
                                  </a:lnTo>
                                  <a:lnTo>
                                    <a:pt x="7090" y="5019"/>
                                  </a:lnTo>
                                  <a:close/>
                                </a:path>
                              </a:pathLst>
                            </a:custGeom>
                            <a:solidFill>
                              <a:srgbClr val="000000"/>
                            </a:solidFill>
                            <a:ln>
                              <a:noFill/>
                            </a:ln>
                          </wps:spPr>
                          <wps:bodyPr upright="1"/>
                        </wps:wsp>
                        <wps:wsp>
                          <wps:cNvPr id="77" name="任意多边形 77"/>
                          <wps:cNvSpPr/>
                          <wps:spPr>
                            <a:xfrm>
                              <a:off x="0" y="0"/>
                              <a:ext cx="7425" cy="5060"/>
                            </a:xfrm>
                            <a:custGeom>
                              <a:avLst/>
                              <a:gdLst/>
                              <a:ahLst/>
                              <a:cxnLst/>
                              <a:pathLst>
                                <a:path w="7425" h="5060">
                                  <a:moveTo>
                                    <a:pt x="443" y="5039"/>
                                  </a:moveTo>
                                  <a:lnTo>
                                    <a:pt x="385" y="5039"/>
                                  </a:lnTo>
                                  <a:lnTo>
                                    <a:pt x="372" y="5019"/>
                                  </a:lnTo>
                                  <a:lnTo>
                                    <a:pt x="429" y="5019"/>
                                  </a:lnTo>
                                  <a:lnTo>
                                    <a:pt x="443" y="5039"/>
                                  </a:lnTo>
                                  <a:close/>
                                </a:path>
                              </a:pathLst>
                            </a:custGeom>
                            <a:solidFill>
                              <a:srgbClr val="000000"/>
                            </a:solidFill>
                            <a:ln>
                              <a:noFill/>
                            </a:ln>
                          </wps:spPr>
                          <wps:bodyPr upright="1"/>
                        </wps:wsp>
                        <wps:wsp>
                          <wps:cNvPr id="78" name="任意多边形 78"/>
                          <wps:cNvSpPr/>
                          <wps:spPr>
                            <a:xfrm>
                              <a:off x="0" y="0"/>
                              <a:ext cx="7425" cy="5060"/>
                            </a:xfrm>
                            <a:custGeom>
                              <a:avLst/>
                              <a:gdLst/>
                              <a:ahLst/>
                              <a:cxnLst/>
                              <a:pathLst>
                                <a:path w="7425" h="5060">
                                  <a:moveTo>
                                    <a:pt x="7038" y="5039"/>
                                  </a:moveTo>
                                  <a:lnTo>
                                    <a:pt x="6981" y="5039"/>
                                  </a:lnTo>
                                  <a:lnTo>
                                    <a:pt x="6994" y="5019"/>
                                  </a:lnTo>
                                  <a:lnTo>
                                    <a:pt x="7051" y="5019"/>
                                  </a:lnTo>
                                  <a:lnTo>
                                    <a:pt x="7038" y="5039"/>
                                  </a:lnTo>
                                  <a:close/>
                                </a:path>
                              </a:pathLst>
                            </a:custGeom>
                            <a:solidFill>
                              <a:srgbClr val="000000"/>
                            </a:solidFill>
                            <a:ln>
                              <a:noFill/>
                            </a:ln>
                          </wps:spPr>
                          <wps:bodyPr upright="1"/>
                        </wps:wsp>
                        <wps:wsp>
                          <wps:cNvPr id="79" name="任意多边形 79"/>
                          <wps:cNvSpPr/>
                          <wps:spPr>
                            <a:xfrm>
                              <a:off x="0" y="0"/>
                              <a:ext cx="7425" cy="5060"/>
                            </a:xfrm>
                            <a:custGeom>
                              <a:avLst/>
                              <a:gdLst/>
                              <a:ahLst/>
                              <a:cxnLst/>
                              <a:pathLst>
                                <a:path w="7425" h="5060">
                                  <a:moveTo>
                                    <a:pt x="6956" y="5059"/>
                                  </a:moveTo>
                                  <a:lnTo>
                                    <a:pt x="467" y="5059"/>
                                  </a:lnTo>
                                  <a:lnTo>
                                    <a:pt x="453" y="5039"/>
                                  </a:lnTo>
                                  <a:lnTo>
                                    <a:pt x="6970" y="5039"/>
                                  </a:lnTo>
                                  <a:lnTo>
                                    <a:pt x="6956" y="5059"/>
                                  </a:lnTo>
                                  <a:close/>
                                </a:path>
                              </a:pathLst>
                            </a:custGeom>
                            <a:solidFill>
                              <a:srgbClr val="000000"/>
                            </a:solidFill>
                            <a:ln>
                              <a:noFill/>
                            </a:ln>
                          </wps:spPr>
                          <wps:bodyPr upright="1"/>
                        </wps:wsp>
                      </wpg:grpSp>
                    </wpg:wgp>
                  </a:graphicData>
                </a:graphic>
              </wp:inline>
            </w:drawing>
          </mc:Choice>
          <mc:Fallback>
            <w:pict>
              <v:group id="_x0000_s1026" o:spid="_x0000_s1026" o:spt="203" style="height:253pt;width:448.5pt;" coordsize="7425,5060" o:gfxdata="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">
                <o:lock v:ext="edit" rotation="t" aspectratio="f"/>
                <v:group id="组合 80" o:spid="_x0000_s1026" o:spt="203" style="position:absolute;left:0;top:0;height:5060;width:7425;" coordsize="7425,5060" o:gfxdata="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VIoQm+AAAA2wAAAA8AAAAAAAAAAQAgAAAAIgAAAGRycy9kb3ducmV2Lnht&#10;bFBLAQIUABQAAAAIAIdO4kAzLwWeOwAAADkAAAAVAAAAAAAAAAEAIAAAAA0BAABkcnMvZ3JvdXBz&#10;aGFwZXhtbC54bWxQSwUGAAAAAAYABgBgAQAAygMAAAAA&#10;">
                  <o:lock v:ext="edit" aspectratio="f"/>
                  <v:shape id="_x0000_s1026" o:spid="_x0000_s1026" o:spt="100" style="position:absolute;left:0;top:0;height:5060;width:7425;" fillcolor="#000000" filled="t" stroked="f" coordsize="7425,5060" o:gfxdata="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83tze5AAAA2gAA&#10;AA8AAAAAAAAAAQAgAAAAIgAAAGRycy9kb3ducmV2LnhtbFBLAQIUABQAAAAIAIdO4kAzLwWeOwAA&#10;ADkAAAAQAAAAAAAAAAEAIAAAAAgBAABkcnMvc2hhcGV4bWwueG1sUEsFBgAAAAAGAAYAWwEAALID&#10;AAAAAA==&#10;" path="m483,19l412,19,426,0,497,0,48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UpQL0AAADa&#10;AAAADwAAAGRycy9kb3ducmV2LnhtbEWPwWrDMBBE74H+g9hCLqGRY2goTpQQCgYfHEqd9r5YG9vU&#10;WglLsd1+fVQo9DjMzBtmf5xNL0YafGdZwWadgCCure64UfBxyZ9eQPiArLG3TAq+ycPx8LDYY6bt&#10;xO80VqEREcI+QwVtCC6T0tctGfRr64ijd7WDwRDl0Eg94BThppdpkmylwY7jQouOXluqv6qbUfBZ&#10;leWPy1euOL+lPvjytH2mk1LLx02yAxFoDv/hv3ahFaTweyXeAHm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5SlAvQAA&#10;ANoAAAAPAAAAAAAAAAEAIAAAACIAAABkcnMvZG93bnJldi54bWxQSwECFAAUAAAACACHTuJAMy8F&#10;njsAAAA5AAAAEAAAAAAAAAABACAAAAAMAQAAZHJzL3NoYXBleG1sLnhtbFBLBQYAAAAABgAGAFsB&#10;AAC2AwAAAAA=&#10;" path="m7011,19l6940,19,6926,0,6998,0,701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KmM27sAAADa&#10;AAAADwAAAGRycy9kb3ducmV2LnhtbEWPT4vCMBTE7wt+h/AEL4umKitSjSKC4KEiW/X+aJ5tsXkJ&#10;Tfz76Y2wsMdhZn7DzJcP04gbtb62rGA4SEAQF1bXXCo4Hjb9KQgfkDU2lknBkzwsF52vOaba3vmX&#10;bnkoRYSwT1FBFYJLpfRFRQb9wDri6J1tazBE2ZZSt3iPcNPIUZJMpMGa40KFjtYVFZf8ahSc8ix7&#10;uc232+72Ix98tpr80EqpXneYzEAEeoT/8F97qxWM4XMl3gC5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KmM27sAAADa&#10;AAAADwAAAAAAAAABACAAAAAiAAAAZHJzL2Rvd25yZXYueG1sUEsBAhQAFAAAAAgAh07iQDMvBZ47&#10;AAAAOQAAABAAAAAAAAAAAQAgAAAACgEAAGRycy9zaGFwZXhtbC54bWxQSwUGAAAAAAYABgBbAQAA&#10;tAMAAAAA&#10;" path="m390,39l346,39,359,19,403,19,39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T0AUr7sAAADa&#10;AAAADwAAAGRycy9kb3ducmV2LnhtbEWPT4vCMBTE7wt+h/AEL4umiitSjSKC4KEiW/X+aJ5tsXkJ&#10;Tfz76Y2wsMdhZn7DzJcP04gbtb62rGA4SEAQF1bXXCo4Hjb9KQgfkDU2lknBkzwsF52vOaba3vmX&#10;bnkoRYSwT1FBFYJLpfRFRQb9wDri6J1tazBE2ZZSt3iPcNPIUZJMpMGa40KFjtYVFZf8ahSc8ix7&#10;uc232+72Ix98tpr80EqpXneYzEAEeoT/8F97qxWM4XMl3gC5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0AUr7sAAADa&#10;AAAADwAAAAAAAAABACAAAAAiAAAAZHJzL2Rvd25yZXYueG1sUEsBAhQAFAAAAAgAh07iQDMvBZ47&#10;AAAAOQAAABAAAAAAAAAAAQAgAAAACgEAAGRycy9zaGFwZXhtbC54bWxQSwUGAAAAAAYABgBbAQAA&#10;tAMAAAAA&#10;" path="m7077,39l7033,39,7020,19,7064,19,7077,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IAyxNLoAAADa&#10;AAAADwAAAGRycy9kb3ducmV2LnhtbEWPzarCMBSE94LvEI7gRjRVUKQaRQTBRUVu73V/aI5tsTkJ&#10;Tfx9eiMIdznMzDfMcv0wjbhR62vLCsajBARxYXXNpYK/391wDsIHZI2NZVLwJA/rVbezxFTbO//Q&#10;LQ+liBD2KSqoQnCplL6oyKAfWUccvbNtDYYo21LqFu8Rbho5SZKZNFhzXKjQ0bai4pJfjYJTnmUv&#10;txu4/eE48cFnm9mUNkr1e+NkASLQI/yHv+29VjCFz5V4A+Tq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DLE0ugAAANoA&#10;AAAPAAAAAAAAAAEAIAAAACIAAABkcnMvZG93bnJldi54bWxQSwECFAAUAAAACACHTuJAMy8FnjsA&#10;AAA5AAAAEAAAAAAAAAABACAAAAAJAQAAZHJzL3NoYXBleG1sLnhtbFBLBQYAAAAABgAGAFsBAACz&#10;AwAAAAA=&#10;" path="m340,59l309,59,321,39,352,39,340,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0N4vQ70AAADa&#10;AAAADwAAAGRycy9kb3ducmV2LnhtbEWPwWrDMBBE74X+g9hCL6WRbYgpTpRgCgEfHEKd9r5YG9vU&#10;WglLjdN+fRQI9DjMzBtmvb2YUZxp8oNlBekiAUHcWj1wp+DzuHt9A+EDssbRMin4JQ/bzePDGgtt&#10;Z/6gcxM6ESHsC1TQh+AKKX3bk0G/sI44eic7GQxRTp3UE84RbkaZJUkuDQ4cF3p09N5T+938GAVf&#10;TV3/ud2Lq/aHzAdfl/mSSqWen9JkBSLQJfyH7+1KK8jhdiXeALm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3i9DvQAA&#10;ANoAAAAPAAAAAAAAAAEAIAAAACIAAABkcnMvZG93bnJldi54bWxQSwECFAAUAAAACACHTuJAMy8F&#10;njsAAAA5AAAAEAAAAAAAAAABACAAAAAMAQAAZHJzL3NoYXBleG1sLnhtbFBLBQYAAAAABgAGAFsB&#10;AAC2AwAAAAA=&#10;" path="m7115,59l7084,59,7071,39,7102,39,711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5KK2LsAAADa&#10;AAAADwAAAGRycy9kb3ducmV2LnhtbEWPT4vCMBTE7wt+h/CEvSyaKuhKNYoIgoeK2NX7o3m2xeYl&#10;NFn/fXojCB6HmfkNM1vcTCMu1PrasoJBPwFBXFhdc6ng8LfuTUD4gKyxsUwK7uRhMe98zTDV9sp7&#10;uuShFBHCPkUFVQguldIXFRn0feuIo3eyrcEQZVtK3eI1wk0jh0kylgZrjgsVOlpVVJzzf6PgmGfZ&#10;w61/3Ga7G/rgs+V4REulvruDZAoi0C18wu/2Riv4hdeVeAP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5KK2LsAAADa&#10;AAAADwAAAAAAAAABACAAAAAiAAAAZHJzL2Rvd25yZXYueG1sUEsBAhQAFAAAAAgAh07iQDMvBZ47&#10;AAAAOQAAABAAAAAAAAAAAQAgAAAACgEAAGRycy9zaGFwZXhtbC54bWxQSwUGAAAAAAYABgBbAQAA&#10;tAMAAAAA&#10;" path="m304,79l273,79,285,59,316,59,30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g0eqroAAADa&#10;AAAADwAAAGRycy9kb3ducmV2LnhtbEVPz2vCMBS+D/Y/hDfwMmxqwSLVVEQQPHSMdfP+aN7asuYl&#10;NNHW/fXLQdjx4/u9289mEDcafW9ZwSpJQRA3VvfcKvj6PC03IHxA1jhYJgV38rAvn592WGg78Qfd&#10;6tCKGMK+QAVdCK6Q0jcdGfSJdcSR+7ajwRDh2Eo94hTDzSCzNM2lwZ5jQ4eOjh01P/XVKLjUVfXr&#10;Tq/u/Pae+eCrQ76mg1KLl1W6BRFoDv/ih/usFcSt8Uq8AbL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DR6qugAAANoA&#10;AAAPAAAAAAAAAAEAIAAAACIAAABkcnMvZG93bnJldi54bWxQSwECFAAUAAAACACHTuJAMy8FnjsA&#10;AAA5AAAAEAAAAAAAAAABACAAAAAJAQAAZHJzL3NoYXBleG1sLnhtbFBLBQYAAAAABgAGAFsBAACz&#10;AwAAAAA=&#10;" path="m7151,79l7120,79,7108,59,7139,59,715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UG7MbsAAADa&#10;AAAADwAAAGRycy9kb3ducmV2LnhtbEWPT4vCMBTE7wt+h/CEvSyaKihrNYoIgoeK2NX7o3m2xeYl&#10;NFn/fXojCB6HmfkNM1vcTCMu1PrasoJBPwFBXFhdc6ng8Lfu/YLwAVljY5kU3MnDYt75mmGq7ZX3&#10;dMlDKSKEfYoKqhBcKqUvKjLo+9YRR+9kW4MhyraUusVrhJtGDpNkLA3WHBcqdLSqqDjn/0bBMc+y&#10;h1v/uM12N/TBZ8vxiJZKfXcHyRREoFv4hN/tjVYwgdeVeAP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UG7MbsAAADa&#10;AAAADwAAAAAAAAABACAAAAAiAAAAZHJzL2Rvd25yZXYueG1sUEsBAhQAFAAAAAgAh07iQDMvBZ47&#10;AAAAOQAAABAAAAAAAAAAAQAgAAAACgEAAGRycy9zaGFwZXhtbC54bWxQSwUGAAAAAAYABgBbAQAA&#10;tAMAAAAA&#10;" path="m269,99l239,99,250,79,281,79,26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4WPYeb4AAADb&#10;AAAADwAAAGRycy9kb3ducmV2LnhtbEWPT2vCQBDF70K/wzKFXkQ3ChWJriKCkEOKmNb7kJ0modnZ&#10;Jbv+aT+9cyh4m+G9ee836+3d9epKQ+w8G5hNM1DEtbcdNwa+Pg+TJaiYkC32nsnAL0XYbl5Ga8yt&#10;v/GJrlVqlIRwzNFAm1LItY51Sw7j1Adi0b794DDJOjTaDniTcNfreZYttMOOpaHFQPuW6p/q4gyc&#10;q7L8C4dxKD6O85hiuVu8086Yt9dZtgKV6J6e5v/rwgq+0MsvMoDe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WPYeb4A&#10;AADbAAAADwAAAAAAAAABACAAAAAiAAAAZHJzL2Rvd25yZXYueG1sUEsBAhQAFAAAAAgAh07iQDMv&#10;BZ47AAAAOQAAABAAAAAAAAAAAQAgAAAADQEAAGRycy9zaGFwZXhtbC54bWxQSwUGAAAAAAYABgBb&#10;AQAAtwMAAAAA&#10;" path="m7185,99l7154,99,7143,79,7174,79,718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i994rsAAADb&#10;AAAADwAAAGRycy9kb3ducmV2LnhtbEVPTWvDMAy9F/YfjAa9lNVJYGWkcUsZBHJIGUu3u4jVJCyW&#10;Teym3X59PRjspsf7VLG/mVHMNPnBsoJ0nYAgbq0euFPwcSqfXkD4gKxxtEwKvsnDfvewKDDX9srv&#10;NDehEzGEfY4K+hBcLqVvezLo19YRR+5sJ4MhwqmTesJrDDejzJJkIw0OHBt6dPTaU/vVXIyCz6au&#10;f1y5ctXxLfPB14fNMx2UWj6myRZEoFv4F/+5Kx3np/D7SzxA7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i994rsAAADb&#10;AAAADwAAAAAAAAABACAAAAAiAAAAZHJzL2Rvd25yZXYueG1sUEsBAhQAFAAAAAgAh07iQDMvBZ47&#10;AAAAOQAAABAAAAAAAAAAAQAgAAAACgEAAGRycy9zaGFwZXhtbC54bWxQSwUGAAAAAAYABgBbAQAA&#10;tAMAAAAA&#10;" path="m237,119l217,119,228,99,247,99,237,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fv3jlbsAAADb&#10;AAAADwAAAGRycy9kb3ducmV2LnhtbEVPTWvDMAy9F/YfjAa9lNVpYGWkdUsZBHJIGUu3u4jVJCyW&#10;Tewm2X59PRjspsf71P44m16MNPjOsoLNOgFBXFvdcaPg45I/vYDwAVljb5kUfJOH4+FhscdM24nf&#10;aaxCI2II+wwVtCG4TEpft2TQr60jjtzVDgZDhEMj9YBTDDe9TJNkKw12HBtadPTaUv1V3YyCz6os&#10;f1y+csX5LfXBl6ftM52UWj5ukh2IQHP4F/+5Cx3np/D7SzxAH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v3jlbsAAADb&#10;AAAADwAAAAAAAAABACAAAAAiAAAAZHJzL2Rvd25yZXYueG1sUEsBAhQAFAAAAAgAh07iQDMvBZ47&#10;AAAAOQAAABAAAAAAAAAAAQAgAAAACgEAAGRycy9zaGFwZXhtbC54bWxQSwUGAAAAAAYABgBbAQAA&#10;tAMAAAAA&#10;" path="m7207,119l7187,119,7176,99,7196,99,7207,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EbFGDrkAAADb&#10;AAAADwAAAGRycy9kb3ducmV2LnhtbEVPS4vCMBC+L/gfwgheFk1VVqQaRQTBQ0W26n1oxrbYTEIT&#10;n7/eCAt7m4/vOfPlwzTiRq2vLSsYDhIQxIXVNZcKjodNfwrCB2SNjWVS8CQPy0Xna46ptnf+pVse&#10;ShFD2KeooArBpVL6oiKDfmAdceTOtjUYImxLqVu8x3DTyFGSTKTBmmNDhY7WFRWX/GoUnPIse7nN&#10;t9vu9iMffLaa/NBKqV53mMxABHqEf/Gfe6vj/DF8fokH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GxRg65AAAA2wAA&#10;AA8AAAAAAAAAAQAgAAAAIgAAAGRycy9kb3ducmV2LnhtbFBLAQIUABQAAAAIAIdO4kAzLwWeOwAA&#10;ADkAAAAQAAAAAAAAAAEAIAAAAAgBAABkcnMvc2hhcGV4bWwueG1sUEsFBgAAAAAGAAYAWwEAALID&#10;AAAAAA==&#10;" path="m216,139l186,139,196,119,226,119,216,1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ljeerkAAADb&#10;AAAADwAAAGRycy9kb3ducmV2LnhtbEVPS4vCMBC+L/gfwgheFk0VV6QaRQTBQ0W26n1oxrbYTEIT&#10;n7/eCAt7m4/vOfPlwzTiRq2vLSsYDhIQxIXVNZcKjodNfwrCB2SNjWVS8CQPy0Xna46ptnf+pVse&#10;ShFD2KeooArBpVL6oiKDfmAdceTOtjUYImxLqVu8x3DTyFGSTKTBmmNDhY7WFRWX/GoUnPIse7nN&#10;t9vu9iMffLaa/NBKqV53mMxABHqEf/Gfe6vj/DF8fokH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5Y3nq5AAAA2wAA&#10;AA8AAAAAAAAAAQAgAAAAIgAAAGRycy9kb3ducmV2LnhtbFBLAQIUABQAAAAIAIdO4kAzLwWeOwAA&#10;ADkAAAAQAAAAAAAAAAEAIAAAAAgBAABkcnMvc2hhcGV4bWwueG1sUEsFBgAAAAAGAAYAWwEAALID&#10;AAAAAA==&#10;" path="m7238,139l7208,139,7197,119,7228,119,7238,1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8RR74bsAAADb&#10;AAAADwAAAGRycy9kb3ducmV2LnhtbEVPTWvCQBC9F/wPywheSt0oJEjqKiIIHiKlab0P2WkSmp1d&#10;squJ/vquIPQ2j/c56+1oOnGl3reWFSzmCQjiyuqWawXfX4e3FQgfkDV2lknBjTxsN5OXNebaDvxJ&#10;1zLUIoawz1FBE4LLpfRVQwb93DriyP3Y3mCIsK+l7nGI4aaTyyTJpMGWY0ODjvYNVb/lxSg4l0Vx&#10;d4dXdzx9LH3wxS5LaafUbLpI3kEEGsO/+Ok+6jg/hcc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RR74bsAAADb&#10;AAAADwAAAAAAAAABACAAAAAiAAAAZHJzL2Rvd25yZXYueG1sUEsBAhQAFAAAAAgAh07iQDMvBZ47&#10;AAAAOQAAABAAAAAAAAAAAQAgAAAACgEAAGRycy9zaGFwZXhtbC54bWxQSwUGAAAAAAYABgBbAQAA&#10;tAMAAAAA&#10;" path="m186,159l166,159,176,139,196,139,186,1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AcbllrkAAADb&#10;AAAADwAAAGRycy9kb3ducmV2LnhtbEVPS4vCMBC+C/6HMIIX0VRhi1SjiCB46LJY9T40Y1tsJqGJ&#10;z1+/WVjwNh/fc5brp2nFnTrfWFYwnSQgiEurG64UnI678RyED8gaW8uk4EUe1qt+b4mZtg8+0L0I&#10;lYgh7DNUUIfgMil9WZNBP7GOOHIX2xkMEXaV1B0+Yrhp5SxJUmmw4dhQo6NtTeW1uBkF5yLP3243&#10;cvvvn5kPPt+kX7RRajiYJgsQgZ7hI/5373Wcn8LfL/EAuf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HG5Za5AAAA2wAA&#10;AA8AAAAAAAAAAQAgAAAAIgAAAGRycy9kb3ducmV2LnhtbFBLAQIUABQAAAAIAIdO4kAzLwWeOwAA&#10;ADkAAAAQAAAAAAAAAAEAIAAAAAgBAABkcnMvc2hhcGV4bWwueG1sUEsFBgAAAAAGAAYAWwEAALID&#10;AAAAAA==&#10;" path="m7258,159l7238,159,7228,139,7248,139,7258,1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opADbkAAADb&#10;AAAADwAAAGRycy9kb3ducmV2LnhtbEVPS4vCMBC+L/gfwgh7WTRV0JVqFBEEDxWxq/ehGdtiMwlN&#10;1tevN4LgbT6+58wWN9OIC7W+tqxg0E9AEBdW11wqOPytexMQPiBrbCyTgjt5WMw7XzNMtb3yni55&#10;KEUMYZ+igioEl0rpi4oM+r51xJE72dZgiLAtpW7xGsNNI4dJMpYGa44NFTpaVVSc83+j4Jhn2cOt&#10;f9xmuxv64LPleERLpb67g2QKItAtfMRv90bH+b/w+iUe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6KQA25AAAA2wAA&#10;AA8AAAAAAAAAAQAgAAAAIgAAAGRycy9kb3ducmV2LnhtbFBLAQIUABQAAAAIAIdO4kAzLwWeOwAA&#10;ADkAAAAQAAAAAAAAAAEAIAAAAAgBAABkcnMvc2hhcGV4bWwueG1sUEsFBgAAAAAGAAYAWwEAALID&#10;AAAAAA==&#10;" path="m167,179l147,179,156,159,176,159,167,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xXUf74AAADb&#10;AAAADwAAAGRycy9kb3ducmV2LnhtbEWPT2vCQBDF70K/wzKFXkQ3ChWJriKCkEOKmNb7kJ0modnZ&#10;Jbv+aT+9cyh4m+G9ee836+3d9epKQ+w8G5hNM1DEtbcdNwa+Pg+TJaiYkC32nsnAL0XYbl5Ga8yt&#10;v/GJrlVqlIRwzNFAm1LItY51Sw7j1Adi0b794DDJOjTaDniTcNfreZYttMOOpaHFQPuW6p/q4gyc&#10;q7L8C4dxKD6O85hiuVu8086Yt9dZtgKV6J6e5v/rwgq+wMovMoDe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xXUf74A&#10;AADbAAAADwAAAAAAAAABACAAAAAiAAAAZHJzL2Rvd25yZXYueG1sUEsBAhQAFAAAAAgAh07iQDMv&#10;BZ47AAAAOQAAABAAAAAAAAAAAQAgAAAADQEAAGRycy9zaGFwZXhtbC54bWxQSwUGAAAAAAYABgBb&#10;AQAAtwMAAAAA&#10;" path="m7277,179l7256,179,7247,159,7267,159,7277,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Flx5LkAAADb&#10;AAAADwAAAGRycy9kb3ducmV2LnhtbEVPS4vCMBC+L/gfwgh7WTRVUNZqFBEEDxWxq/ehGdtiMwlN&#10;1tevN4LgbT6+58wWN9OIC7W+tqxg0E9AEBdW11wqOPyte78gfEDW2FgmBXfysJh3vmaYanvlPV3y&#10;UIoYwj5FBVUILpXSFxUZ9H3riCN3sq3BEGFbSt3iNYabRg6TZCwN1hwbKnS0qqg45/9GwTHPsodb&#10;/7jNdjf0wWfL8YiWSn13B8kURKBb+Ijf7o2O8yfw+iUe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BZceS5AAAA2wAA&#10;AA8AAAAAAAAAAQAgAAAAIgAAAGRycy9kb3ducmV2LnhtbFBLAQIUABQAAAAIAIdO4kAzLwWeOwAA&#10;ADkAAAAQAAAAAAAAAAEAIAAAAAgBAABkcnMvc2hhcGV4bWwueG1sUEsFBgAAAAAGAAYAWwEAALID&#10;AAAAAA==&#10;" path="m149,199l129,199,138,179,158,179,149,1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w8SxLgAAADb&#10;AAAADwAAAGRycy9kb3ducmV2LnhtbEVPy4rCMBTdC/5DuIIbGVMLinSMIoLgoiJW3V+aO22Z5iY0&#10;8fn1ZiG4PJz3YvUwrbhR5xvLCibjBARxaXXDlYLzafszB+EDssbWMil4kofVst9bYKbtnY90K0Il&#10;Ygj7DBXUIbhMSl/WZNCPrSOO3J/tDIYIu0rqDu8x3LQyTZKZNNhwbKjR0aam8r+4GgWXIs9fbjty&#10;u/0h9cHn69mU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w8SxLgAAADbAAAA&#10;DwAAAAAAAAABACAAAAAiAAAAZHJzL2Rvd25yZXYueG1sUEsBAhQAFAAAAAgAh07iQDMvBZ47AAAA&#10;OQAAABAAAAAAAAAAAQAgAAAABwEAAGRycy9zaGFwZXhtbC54bWxQSwUGAAAAAAYABgBbAQAAsQMA&#10;AAAA&#10;" path="m7294,199l7274,199,7265,179,7286,179,7294,1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EO3X7wAAADb&#10;AAAADwAAAGRycy9kb3ducmV2LnhtbEWPT4vCMBTE78J+h/AWvIimLShLNYosCB4qYl3vj+bZlm1e&#10;QhP/7H56Iwgeh5n5DbNY3U0nrtT71rKCdJKAIK6sbrlW8HPcjL9A+ICssbNMCv7Iw2r5MVhgru2N&#10;D3QtQy0ihH2OCpoQXC6lrxoy6CfWEUfvbHuDIcq+lrrHW4SbTmZJMpMGW44LDTr6bqj6LS9Gwaks&#10;in+3Gbntbp/54Iv1bEprpYafaTIHEege3uFXe6sVZCk8v8QfIJ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BDt1+8AAAA&#10;2wAAAA8AAAAAAAAAAQAgAAAAIgAAAGRycy9kb3ducmV2LnhtbFBLAQIUABQAAAAIAIdO4kAzLwWe&#10;OwAAADkAAAAQAAAAAAAAAAEAIAAAAAsBAABkcnMvc2hhcGV4bWwueG1sUEsFBgAAAAAGAAYAWwEA&#10;ALUDAAAAAA==&#10;" path="m132,219l112,219,121,199,141,199,132,2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JEpKL0AAADb&#10;AAAADwAAAGRycy9kb3ducmV2LnhtbEWPwWrDMBBE74H+g9hCLqGRY2goTpQQCgYfHEqd9r5YG9vU&#10;WglLsd1+fVQo9DjMzBtmf5xNL0YafGdZwWadgCCure64UfBxyZ9eQPiArLG3TAq+ycPx8LDYY6bt&#10;xO80VqEREcI+QwVtCC6T0tctGfRr64ijd7WDwRDl0Eg94BThppdpkmylwY7jQouOXluqv6qbUfBZ&#10;leWPy1euOL+lPvjytH2mk1LLx02yAxFoDv/hv3ahFaQp/H6JP0Ae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kSkovQAA&#10;ANsAAAAPAAAAAAAAAAEAIAAAACIAAABkcnMvZG93bnJldi54bWxQSwECFAAUAAAACACHTuJAMy8F&#10;njsAAAA5AAAAEAAAAAAAAAABACAAAAAMAQAAZHJzL3NoYXBleG1sLnhtbFBLBQYAAAAABgAGAFsB&#10;AAC2AwAAAAA=&#10;" path="m7311,219l7291,219,7283,199,7303,199,7311,2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392Ms7wAAADb&#10;AAAADwAAAGRycy9kb3ducmV2LnhtbEWPT4vCMBTE7wt+h/AEL4umVlakGkUEwUNl2ar3R/Nsi81L&#10;aOLfT28WFvY4zMxvmMXqYVpxo843lhWMRwkI4tLqhisFx8N2OAPhA7LG1jIpeJKH1bL3scBM2zv/&#10;0K0IlYgQ9hkqqENwmZS+rMmgH1lHHL2z7QyGKLtK6g7vEW5amSbJVBpsOC7U6GhTU3kprkbBqcjz&#10;l9t+ut3+O/XB5+vpF62VGvTHyRxEoEf4D/+1d1pBOoH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jLO8AAAA&#10;2wAAAA8AAAAAAAAAAQAgAAAAIgAAAGRycy9kb3ducmV2LnhtbFBLAQIUABQAAAAIAIdO4kAzLwWe&#10;OwAAADkAAAAQAAAAAAAAAAEAIAAAAAsBAABkcnMvc2hhcGV4bWwueG1sUEsFBgAAAAAGAAYAWwEA&#10;ALUDAAAAAA==&#10;" path="m101,259l89,259,96,239,104,219,124,219,116,239,109,239,101,2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DQUx7wAAADb&#10;AAAADwAAAGRycy9kb3ducmV2LnhtbEWPT4vCMBTE7wt+h/AEL4umFlekGkUEwUNl2ar3R/Nsi81L&#10;aOLfT28WFvY4zMxvmMXqYVpxo843lhWMRwkI4tLqhisFx8N2OAPhA7LG1jIpeJKH1bL3scBM2zv/&#10;0K0IlYgQ9hkqqENwmZS+rMmgH1lHHL2z7QyGKLtK6g7vEW5amSbJVBpsOC7U6GhTU3kprkbBqcjz&#10;l9t+ut3+O/XB5+vpF62VGvTHyRxEoEf4D/+1d1pBOoH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A0FMe8AAAA&#10;2wAAAA8AAAAAAAAAAQAgAAAAIgAAAGRycy9kb3ducmV2LnhtbFBLAQIUABQAAAAIAIdO4kAzLwWe&#10;OwAAADkAAAAQAAAAAAAAAAEAIAAAAAsBAABkcnMvc2hhcGV4bWwueG1sUEsFBgAAAAAGAAYAWwEA&#10;ALUDAAAAAA==&#10;" path="m7335,259l7322,259,7315,239,7307,239,7299,219,7319,219,7327,239,7335,2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P3ixXLwAAADb&#10;AAAADwAAAGRycy9kb3ducmV2LnhtbEWPQYvCMBSE78L+h/AW9iKaWlCWahRZEHqoiNW9P5pnW2xe&#10;QpNV119vBMHjMDPfMIvVzXTiQr1vLSuYjBMQxJXVLdcKjofN6BuED8gaO8uk4J88rJYfgwVm2l55&#10;T5cy1CJC2GeooAnBZVL6qiGDfmwdcfROtjcYouxrqXu8RrjpZJokM2mw5bjQoKOfhqpz+WcU/JZF&#10;cXebocu3u9QHX6xnU1or9fU5SeYgAt3CO/xq51pBOo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94sVy8AAAA&#10;2wAAAA8AAAAAAAAAAQAgAAAAIgAAAGRycy9kb3ducmV2LnhtbFBLAQIUABQAAAAIAIdO4kAzLwWe&#10;OwAAADkAAAAQAAAAAAAAAAEAIAAAAAsBAABkcnMvc2hhcGV4bWwueG1sUEsFBgAAAAAGAAYAWwEA&#10;ALUDAAAAAA==&#10;" path="m94,279l75,279,82,259,102,259,94,2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6ovK7wAAADb&#10;AAAADwAAAGRycy9kb3ducmV2LnhtbEWPT4vCMBTE7wt+h/CEvSyaWrBI1ygiCB66iFXvj+ZtW2xe&#10;QpP136ffCILHYWZ+w8yXN9OJC/W+taxgMk5AEFdWt1wrOB42oxkIH5A1dpZJwZ08LBeDjznm2l55&#10;T5cy1CJC2OeooAnB5VL6qiGDfmwdcfR+bW8wRNnXUvd4jXDTyTRJMmmw5bjQoKN1Q9W5/DMKTmVR&#10;PNzmy21/dqkPvlhlU1op9TmcJN8gAt3CO/xqb7WCNIP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Lyu8AAAA&#10;2wAAAA8AAAAAAAAAAQAgAAAAIgAAAGRycy9kb3ducmV2LnhtbFBLAQIUABQAAAAIAIdO4kAzLwWe&#10;OwAAADkAAAAQAAAAAAAAAAEAIAAAAAsBAABkcnMvc2hhcGV4bWwueG1sUEsFBgAAAAAGAAYAWwEA&#10;ALUDAAAAAA==&#10;" path="m7349,279l7329,279,7322,259,7342,259,7349,2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OaKsL4AAADb&#10;AAAADwAAAGRycy9kb3ducmV2LnhtbEWPQWvCQBSE7wX/w/IKvRTdGDCV1FVECHhIKU31/si+JqHZ&#10;t0t2G6O/visUehxm5htms5tML0YafGdZwXKRgCCure64UXD6LOZrED4ga+wtk4IredhtZw8bzLW9&#10;8AeNVWhEhLDPUUEbgsul9HVLBv3COuLofdnBYIhyaKQe8BLhppdpkmTSYMdxoUVHh5bq7+rHKDhX&#10;ZXlzxbM7vr2nPvhyn61or9TT4zJ5BRFoCv/hv/ZRK0hf4P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aKsL4A&#10;AADbAAAADwAAAAAAAAABACAAAAAiAAAAZHJzL2Rvd25yZXYueG1sUEsBAhQAFAAAAAgAh07iQDMv&#10;BZ47AAAAOQAAABAAAAAAAAAAAQAgAAAADQEAAGRycy9zaGFwZXhtbC54bWxQSwUGAAAAAAYABgBb&#10;AQAAtwMAAAAA&#10;" path="m69,319l55,319,62,299,68,279,88,279,81,299,75,299,69,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0XkewrgAAADb&#10;AAAADwAAAGRycy9kb3ducmV2LnhtbEVPy4rCMBTdC/5DuIIbGVMLinSMIoLgoiJW3V+aO22Z5iY0&#10;8fn1ZiG4PJz3YvUwrbhR5xvLCibjBARxaXXDlYLzafszB+EDssbWMil4kofVst9bYKbtnY90K0Il&#10;Ygj7DBXUIbhMSl/WZNCPrSOO3J/tDIYIu0rqDu8x3LQyTZKZNNhwbKjR0aam8r+4GgWXIs9fbjty&#10;u/0h9cHn69mU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XkewrgAAADbAAAA&#10;DwAAAAAAAAABACAAAAAiAAAAZHJzL2Rvd25yZXYueG1sUEsBAhQAFAAAAAgAh07iQDMvBZ47AAAA&#10;OQAAABAAAAAAAAAAAQAgAAAABwEAAGRycy9zaGFwZXhtbC54bWxQSwUGAAAAAAYABgBbAQAAsQMA&#10;AAAA&#10;" path="m7368,319l7355,319,7349,299,7342,299,7336,279,7356,279,7362,299,7368,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jW7Wb4AAADb&#10;AAAADwAAAGRycy9kb3ducmV2LnhtbEWPQWvCQBSE7wX/w/IKvRTdGDDU1FVECHhIKU31/si+JqHZ&#10;t0t2G6O/visUehxm5htms5tML0YafGdZwXKRgCCure64UXD6LOYvIHxA1thbJgVX8rDbzh42mGt7&#10;4Q8aq9CICGGfo4I2BJdL6euWDPqFdcTR+7KDwRDl0Eg94CXCTS/TJMmkwY7jQouODi3V39WPUXCu&#10;yvLmimd3fHtPffDlPlvRXqmnx2XyCiLQFP7Df+2jVpCu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W7Wb4A&#10;AADbAAAADwAAAAAAAAABACAAAAAiAAAAZHJzL2Rvd25yZXYueG1sUEsBAhQAFAAAAAgAh07iQDMv&#10;BZ47AAAAOQAAABAAAAAAAAAAAQAgAAAADQEAAGRycy9zaGFwZXhtbC54bWxQSwUGAAAAAAYABgBb&#10;AQAAtwMAAAAA&#10;" path="m63,339l44,339,50,319,69,319,63,3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taEGbkAAADb&#10;AAAADwAAAGRycy9kb3ducmV2LnhtbEVPy4rCMBTdC/MP4Q64kTFVUYaOaZEBwUVFrLq/NHfaMs1N&#10;aOLz681CcHk472V+M524UO9bywom4wQEcWV1y7WC42H99Q3CB2SNnWVScCcPefYxWGKq7ZX3dClD&#10;LWII+xQVNCG4VEpfNWTQj60jjtyf7Q2GCPta6h6vMdx0cpokC2mw5djQoKPfhqr/8mwUnMqieLj1&#10;yG22u6kPvlgt5rRSavg5SX5ABLqFt/jl3mgFs7g+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rWhBm5AAAA2wAA&#10;AA8AAAAAAAAAAQAgAAAAIgAAAGRycy9kb3ducmV2LnhtbFBLAQIUABQAAAAIAIdO4kAzLwWeOwAA&#10;ADkAAAAQAAAAAAAAAAEAIAAAAAgBAABkcnMvc2hhcGV4bWwueG1sUEsFBgAAAAAGAAYAWwEAALID&#10;AAAAAA==&#10;" path="m7380,339l7360,339,7355,319,7374,319,7380,3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Zohgr0AAADb&#10;AAAADwAAAGRycy9kb3ducmV2LnhtbEWPT4vCMBTE78J+h/AWvIimVZSlGkUWBA8Vsbr3R/Nsi81L&#10;aLL+2U+/EQSPw8z8hlms7qYVV+p8Y1lBOkpAEJdWN1wpOB03wy8QPiBrbC2Tggd5WC0/egvMtL3x&#10;ga5FqESEsM9QQR2Cy6T0ZU0G/cg64uidbWcwRNlVUnd4i3DTynGSzKTBhuNCjY6+ayovxa9R8FPk&#10;+Z/bDNx2tx/74PP1bEprpfqfaTIHEege3uFXe6sVTFJ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miGCvQAA&#10;ANsAAAAPAAAAAAAAAAEAIAAAACIAAABkcnMvZG93bnJldi54bWxQSwECFAAUAAAACACHTuJAMy8F&#10;njsAAAA5AAAAEAAAAAAAAAABACAAAAAMAQAAZHJzL3NoYXBleG1sLnhtbFBLBQYAAAAABgAGAFsB&#10;AAC2AwAAAAA=&#10;" path="m43,379l29,379,34,359,39,339,58,339,53,359,48,359,43,3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Ui/9bwAAADb&#10;AAAADwAAAGRycy9kb3ducmV2LnhtbEWPT4vCMBTE7wt+h/AEL4umVlakGkUEwUNl2ar3R/Nsi81L&#10;aOLfT28WFvY4zMxvmMXqYVpxo843lhWMRwkI4tLqhisFx8N2OAPhA7LG1jIpeJKH1bL3scBM2zv/&#10;0K0IlYgQ9hkqqENwmZS+rMmgH1lHHL2z7QyGKLtK6g7vEW5amSbJVBpsOC7U6GhTU3kprkbBqcjz&#10;l9t+ut3+O/XB5+vpF62VGvTHyRxEoEf4D/+1d1rBJ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Iv/W8AAAA&#10;2wAAAA8AAAAAAAAAAQAgAAAAIgAAAGRycy9kb3ducmV2LnhtbFBLAQIUABQAAAAIAIdO4kAzLwWe&#10;OwAAADkAAAAQAAAAAAAAAAEAIAAAAAsBAABkcnMvc2hhcGV4bWwueG1sUEsFBgAAAAAGAAYAWwEA&#10;ALUDAAAAAA==&#10;" path="m7394,379l7380,379,7376,359,7371,359,7366,339,7385,339,7390,359,7394,3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gQabr4AAADb&#10;AAAADwAAAGRycy9kb3ducmV2LnhtbEWPQWvCQBSE7wX/w/KEXorZJFKR6CoiBDykSGN7f2SfSTD7&#10;dslu1fbXd4VCj8PMfMOst3cziCuNvresIEtSEMSN1T23Cj5O5WwJwgdkjYNlUvBNHrabydMaC21v&#10;/E7XOrQiQtgXqKALwRVS+qYjgz6xjjh6ZzsaDFGOrdQj3iLcDDJP04U02HNc6NDRvqPmUn8ZBZ91&#10;Vf248sUd3o65D77aLV5pp9TzNEtXIALdw3/4r33QCuZzeHy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gQabr4A&#10;AADbAAAADwAAAAAAAAABACAAAAAiAAAAZHJzL2Rvd25yZXYueG1sUEsBAhQAFAAAAAgAh07iQDMv&#10;BZ47AAAAOQAAABAAAAAAAAAAAQAgAAAADQEAAGRycy9zaGFwZXhtbC54bWxQSwUGAAAAAAYABgBb&#10;AQAAtwMAAAAA&#10;" path="m32,419l17,419,21,399,25,379,43,379,39,399,35,399,32,4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1e2CGr4AAADb&#10;AAAADwAAAGRycy9kb3ducmV2LnhtbEWPQWvCQBSE7wX/w/IKvZS6MVaR1FVEEDykFGO9P7KvSWj2&#10;7ZLdJtFf7xYKPQ4z8w2z3o6mFT11vrGsYDZNQBCXVjdcKfg8H15WIHxA1thaJgVX8rDdTB7WmGk7&#10;8In6IlQiQthnqKAOwWVS+rImg35qHXH0vmxnMETZVVJ3OES4aWWaJEtpsOG4UKOjfU3ld/FjFFyK&#10;PL+5w7M7vn+kPvh8t1zQTqmnx1nyBiLQGP7Df+2jVjB/hd8v8Qf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e2CGr4A&#10;AADbAAAADwAAAAAAAAABACAAAAAiAAAAZHJzL2Rvd25yZXYueG1sUEsBAhQAFAAAAAgAh07iQDMv&#10;BZ47AAAAOQAAABAAAAAAAAAAAQAgAAAADQEAAGRycy9zaGFwZXhtbC54bWxQSwUGAAAAAAYABgBb&#10;AQAAtwMAAAAA&#10;" path="m7406,419l7392,419,7388,399,7384,399,7380,379,7399,379,7403,399,7406,4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qEngbwAAADb&#10;AAAADwAAAGRycy9kb3ducmV2LnhtbEWPT4vCMBTE78J+h/AWvIimKhbpGkUWBA8Vse7eH83btmzz&#10;Epr499MbQfA4zMxvmMXqalpxps43lhWMRwkI4tLqhisFP8fNcA7CB2SNrWVScCMPq+VHb4GZthc+&#10;0LkIlYgQ9hkqqENwmZS+rMmgH1lHHL0/2xkMUXaV1B1eIty0cpIkqTTYcFyo0dF3TeV/cTIKfos8&#10;v7vNwG13+4kPPl+nM1or1f8cJ18gAl3DO/xqb7WC6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hJ4G8AAAA&#10;2wAAAA8AAAAAAAAAAQAgAAAAIgAAAGRycy9kb3ducmV2LnhtbFBLAQIUABQAAAAIAIdO4kAzLwWe&#10;OwAAADkAAAAQAAAAAAAAAAEAIAAAAAsBAABkcnMvc2hhcGV4bWwueG1sUEsFBgAAAAAGAAYAWwEA&#10;ALUDAAAAAA==&#10;" path="m21,479l6,479,8,459,11,439,14,419,32,419,28,439,26,439,23,459,23,459,21,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nO59rwAAADb&#10;AAAADwAAAGRycy9kb3ducmV2LnhtbEWPT4vCMBTE7wt+h/AEL4umKlukGkUEwUNl2ar3R/Nsi81L&#10;aOLfT28WFvY4zMxvmMXqYVpxo843lhWMRwkI4tLqhisFx8N2OAPhA7LG1jIpeJKH1bL3scBM2zv/&#10;0K0IlYgQ9hkqqENwmZS+rMmgH1lHHL2z7QyGKLtK6g7vEW5aOUmSVBpsOC7U6GhTU3kprkbBqcjz&#10;l9t+ut3+e+KDz9fpF62VGvTHyRxEoEf4D/+1d1rBN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zufa8AAAA&#10;2wAAAA8AAAAAAAAAAQAgAAAAIgAAAGRycy9kb3ducmV2LnhtbFBLAQIUABQAAAAIAIdO4kAzLwWe&#10;OwAAADkAAAAQAAAAAAAAAAEAIAAAAAsBAABkcnMvc2hhcGV4bWwueG1sUEsFBgAAAAAGAAYAWwEA&#10;ALUDAAAAAA==&#10;" path="m7418,479l7403,479,7401,459,7401,459,7398,439,7395,439,7392,419,7410,419,7413,439,7415,459,7418,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T8cbbwAAADb&#10;AAAADwAAAGRycy9kb3ducmV2LnhtbEWPT4vCMBTE78J+h/AWvIimK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HG28AAAA&#10;2wAAAA8AAAAAAAAAAQAgAAAAIgAAAGRycy9kb3ducmV2LnhtbFBLAQIUABQAAAAIAIdO4kAzLwWe&#10;OwAAADkAAAAQAAAAAAAAAAEAIAAAAAsBAABkcnMvc2hhcGV4bWwueG1sUEsFBgAAAAAGAAYAWwEA&#10;ALUDAAAAAA==&#10;" path="m16,519l1,519,2,499,4,479,19,479,17,499,17,499,16,5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KCIH7kAAADb&#10;AAAADwAAAGRycy9kb3ducmV2LnhtbEVPy4rCMBTdC/MP4Q64kTFVUY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SgiB+5AAAA2wAA&#10;AA8AAAAAAAAAAQAgAAAAIgAAAGRycy9kb3ducmV2LnhtbFBLAQIUABQAAAAIAIdO4kAzLwWeOwAA&#10;ADkAAAAQAAAAAAAAAAEAIAAAAAgBAABkcnMvc2hhcGV4bWwueG1sUEsFBgAAAAAGAAYAWwEAALID&#10;AAAAAA==&#10;" path="m7423,519l7408,519,7406,499,7406,499,7405,479,7420,479,7421,499,7423,5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wthLwAAADb&#10;AAAADwAAAGRycy9kb3ducmV2LnhtbEWPT4vCMBTE78J+h/AWvIimK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sLYS8AAAA&#10;2wAAAA8AAAAAAAAAAQAgAAAAIgAAAGRycy9kb3ducmV2LnhtbFBLAQIUABQAAAAIAIdO4kAzLwWe&#10;OwAAADkAAAAQAAAAAAAAAAEAIAAAAAsBAABkcnMvc2hhcGV4bWwueG1sUEsFBgAAAAAGAAYAWwEA&#10;ALUDAAAAAA==&#10;" path="m19,4559l2,4559,1,4539,0,4519,0,4499,0,539,0,519,15,519,15,539,15,4499,15,4519,16,4539,17,4539,19,4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8tD3ZLkAAADb&#10;AAAADwAAAGRycy9kb3ducmV2LnhtbEVPy4rCMBTdC/MP4Q64kTFVVIaOaZEBwUVFrLq/NHfaMs1N&#10;aOLz681CcHk472V+M524UO9bywom4wQEcWV1y7WC42H99Q3CB2SNnWVScCcPefYxWGKq7ZX3dClD&#10;LWII+xQVNCG4VEpfNWTQj60jjtyf7Q2GCPta6h6vMdx0cpokC2mw5djQoKPfhqr/8mwUnMqieLj1&#10;yG22u6kPvlgt5rRSavg5SX5ABLqFt/jl3mgFs7g+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LQ92S5AAAA2wAA&#10;AA8AAAAAAAAAAQAgAAAAIgAAAGRycy9kb3ducmV2LnhtbFBLAQIUABQAAAAIAIdO4kAzLwWeOwAA&#10;ADkAAAAQAAAAAAAAAAEAIAAAAAgBAABkcnMvc2hhcGV4bWwueG1sUEsFBgAAAAAGAAYAWwEAALID&#10;AAAAAA==&#10;" path="m7421,4559l7405,4559,7406,4539,7408,4539,7408,4519,7408,4519,7409,4499,7409,539,7408,519,7423,519,7424,539,7424,4499,7423,4519,7423,4539,7421,4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ZxS/70AAADb&#10;AAAADwAAAGRycy9kb3ducmV2LnhtbEWPT4vCMBTE78J+h/AWvIimFZWlGkUWBA8Vsbr3R/Nsi81L&#10;aLL+2U+/EQSPw8z8hlms7qYVV+p8Y1lBOkpAEJdWN1wpOB03wy8QPiBrbC2Tggd5WC0/egvMtL3x&#10;ga5FqESEsM9QQR2Cy6T0ZU0G/cg64uidbWcwRNlVUnd4i3DTynGSzKTBhuNCjY6+ayovxa9R8FPk&#10;+Z/bDNx2tx/74PP1bEprpfqfaTIHEege3uFXe6sVTFJ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nFL/vQAA&#10;ANsAAAAPAAAAAAAAAAEAIAAAACIAAABkcnMvZG93bnJldi54bWxQSwECFAAUAAAACACHTuJAMy8F&#10;njsAAAA5AAAAEAAAAAAAAAABACAAAAAMAQAAZHJzL3NoYXBleG1sLnhtbFBLBQYAAAAABgAGAFsB&#10;AAC2AwAAAAA=&#10;" path="m23,4599l8,4599,6,4579,4,4559,19,4559,21,4579,21,4579,23,4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U7MiLwAAADb&#10;AAAADwAAAGRycy9kb3ducmV2LnhtbEWPT4vCMBTE7wt+h/AEL4umFlekGkUEwUNl2ar3R/Nsi81L&#10;aOLfT28WFvY4zMxvmMXqYVpxo843lhWMRwkI4tLqhisFx8N2OAPhA7LG1jIpeJKH1bL3scBM2zv/&#10;0K0IlYgQ9hkqqENwmZS+rMmgH1lHHL2z7QyGKLtK6g7vEW5amSbJVBpsOC7U6GhTU3kprkbBqcjz&#10;l9t+ut3+O/XB5+vpF62VGvTHyRxEoEf4D/+1d1rBJ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1OzIi8AAAA&#10;2wAAAA8AAAAAAAAAAQAgAAAAIgAAAGRycy9kb3ducmV2LnhtbFBLAQIUABQAAAAIAIdO4kAzLwWe&#10;OwAAADkAAAAQAAAAAAAAAAEAIAAAAAsBAABkcnMvc2hhcGV4bWwueG1sUEsFBgAAAAAGAAYAWwEA&#10;ALUDAAAAAA==&#10;" path="m7415,4599l7401,4599,7403,4579,7403,4579,7405,4559,7420,4559,7418,4579,7415,4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AgJpE74AAADb&#10;AAAADwAAAGRycy9kb3ducmV2LnhtbEWPQWvCQBSE7wX/w/IKvZS6MVaR1FVEEDykFGO9P7KvSWj2&#10;7ZLdJtFf7xYKPQ4z8w2z3o6mFT11vrGsYDZNQBCXVjdcKfg8H15WIHxA1thaJgVX8rDdTB7WmGk7&#10;8In6IlQiQthnqKAOwWVS+rImg35qHXH0vmxnMETZVVJ3OES4aWWaJEtpsOG4UKOjfU3ld/FjFFyK&#10;PL+5w7M7vn+kPvh8t1zQTqmnx1nyBiLQGP7Df+2jVvA6h98v8Qf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gJpE74A&#10;AADbAAAADwAAAAAAAAABACAAAAAiAAAAZHJzL2Rvd25yZXYueG1sUEsBAhQAFAAAAAgAh07iQDMv&#10;BZ47AAAAOQAAABAAAAAAAAAAAQAgAAAADQEAAGRycy9zaGFwZXhtbC54bWxQSwUGAAAAAAYABgBb&#10;AQAAtwMAAAAA&#10;" path="m32,4639l17,4639,14,4619,11,4599,26,4599,29,4619,28,4619,32,46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evxZ74AAADb&#10;AAAADwAAAGRycy9kb3ducmV2LnhtbEWPQWvCQBSE7wX/w/KEXorZJFiR6CoiBDykSGN7f2SfSTD7&#10;dslu1fbXd4VCj8PMfMOst3cziCuNvresIEtSEMSN1T23Cj5O5WwJwgdkjYNlUvBNHrabydMaC21v&#10;/E7XOrQiQtgXqKALwRVS+qYjgz6xjjh6ZzsaDFGOrdQj3iLcDDJP04U02HNc6NDRvqPmUn8ZBZ91&#10;Vf248sUd3o65D77aLV5pp9TzNEtXIALdw3/4r33QCuZzeHy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evxZ74A&#10;AADbAAAADwAAAAAAAAABACAAAAAiAAAAZHJzL2Rvd25yZXYueG1sUEsBAhQAFAAAAAgAh07iQDMv&#10;BZ47AAAAOQAAABAAAAAAAAAAAQAgAAAADQEAAGRycy9zaGFwZXhtbC54bWxQSwUGAAAAAAYABgBb&#10;AQAAtwMAAAAA&#10;" path="m7406,4639l7392,4639,7395,4619,7395,4619,7398,4599,7413,4599,7410,4619,7406,46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4qdU/LwAAADb&#10;AAAADwAAAGRycy9kb3ducmV2LnhtbEWPT4vCMBTE78J+h/AWvIimihbpGkUWBA8Vse7eH83btmzz&#10;Epr499MbQfA4zMxvmMXqalpxps43lhWMRwkI4tLqhisFP8fNcA7CB2SNrWVScCMPq+VHb4GZthc+&#10;0LkIlYgQ9hkqqENwmZS+rMmgH1lHHL0/2xkMUXaV1B1eIty0cpIkqTTYcFyo0dF3TeV/cTIKfos8&#10;v7vNwG13+4kPPl+nM1or1f8cJ18gAl3DO/xqb7WC6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KnVPy8AAAA&#10;2wAAAA8AAAAAAAAAAQAgAAAAIgAAAGRycy9kb3ducmV2LnhtbFBLAQIUABQAAAAIAIdO4kAzLwWe&#10;OwAAADkAAAAQAAAAAAAAAAEAIAAAAAsBAABkcnMvc2hhcGV4bWwueG1sUEsFBgAAAAAGAAYAWwEA&#10;ALUDAAAAAA==&#10;" path="m43,4679l29,4679,25,4659,21,4639,35,4639,39,4659,39,4659,43,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EnXKi7wAAADb&#10;AAAADwAAAGRycy9kb3ducmV2LnhtbEWPT4vCMBTE7wt+h/AEL4umilukGkUEwUNl2ar3R/Nsi81L&#10;aOLfT28WFvY4zMxvmMXqYVpxo843lhWMRwkI4tLqhisFx8N2OAPhA7LG1jIpeJKH1bL3scBM2zv/&#10;0K0IlYgQ9hkqqENwmZS+rMmgH1lHHL2z7QyGKLtK6g7vEW5aOUmSVBpsOC7U6GhTU3kprkbBqcjz&#10;l9t+ut3+e+KDz9fpF62VGvTHyRxEoEf4D/+1d1rBN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1you8AAAA&#10;2wAAAA8AAAAAAAAAAQAgAAAAIgAAAGRycy9kb3ducmV2LnhtbFBLAQIUABQAAAAIAIdO4kAzLwWe&#10;OwAAADkAAAAQAAAAAAAAAAEAIAAAAAsBAABkcnMvc2hhcGV4bWwueG1sUEsFBgAAAAAGAAYAWwEA&#10;ALUDAAAAAA==&#10;" path="m7394,4679l7380,4679,7384,4659,7384,4659,7388,4639,7403,4639,7399,4659,7394,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fTlvELwAAADb&#10;AAAADwAAAGRycy9kb3ducmV2LnhtbEWPT4vCMBTE78J+h/AWvIimi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5bxC8AAAA&#10;2wAAAA8AAAAAAAAAAQAgAAAAIgAAAGRycy9kb3ducmV2LnhtbFBLAQIUABQAAAAIAIdO4kAzLwWe&#10;OwAAADkAAAAQAAAAAAAAAAEAIAAAAAsBAABkcnMvc2hhcGV4bWwueG1sUEsFBgAAAAAGAAYAWwEA&#10;ALUDAAAAAA==&#10;" path="m48,4679l43,4679,43,4659,48,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Kb7YrkAAADb&#10;AAAADwAAAGRycy9kb3ducmV2LnhtbEVPy4rCMBTdC/MP4Q64kTFVVI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ym+2K5AAAA2wAA&#10;AA8AAAAAAAAAAQAgAAAAIgAAAGRycy9kb3ducmV2LnhtbFBLAQIUABQAAAAIAIdO4kAzLwWeOwAA&#10;ADkAAAAQAAAAAAAAAAEAIAAAAAgBAABkcnMvc2hhcGV4bWwueG1sUEsFBgAAAAAGAAYAWwEAALID&#10;AAAAAA==&#10;" path="m7380,4679l7376,4679,7380,4659,7380,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Y+pe+bwAAADb&#10;AAAADwAAAGRycy9kb3ducmV2LnhtbEWPT4vCMBTE78J+h/AWvIimi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qXvm8AAAA&#10;2wAAAA8AAAAAAAAAAQAgAAAAIgAAAGRycy9kb3ducmV2LnhtbFBLAQIUABQAAAAIAIdO4kAzLwWe&#10;OwAAADkAAAAQAAAAAAAAAAEAIAAAAAsBAABkcnMvc2hhcGV4bWwueG1sUEsFBgAAAAAGAAYAWwEA&#10;ALUDAAAAAA==&#10;" path="m63,4719l44,4719,39,4699,34,4679,48,4679,53,4699,58,4699,63,47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wlhubkAAADb&#10;AAAADwAAAGRycy9kb3ducmV2LnhtbEVPy4rCMBTdC/5DuIIbmaYKinRMRQTBRQexOvtLc6ctNjeh&#10;ic+vnywEl4fzXq0fphM36n1rWcE0SUEQV1a3XCs4n3ZfSxA+IGvsLJOCJ3lY58PBCjNt73ykWxlq&#10;EUPYZ6igCcFlUvqqIYM+sY44cn+2Nxgi7Gupe7zHcNPJWZoupMGWY0ODjrYNVZfyahT8lkXxcruJ&#10;2/8cZj74YrOY00ap8WiafoMI9Agf8du91wrmcX3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JYbm5AAAA2wAA&#10;AA8AAAAAAAAAAQAgAAAAIgAAAGRycy9kb3ducmV2LnhtbFBLAQIUABQAAAAIAIdO4kAzLwWeOwAA&#10;ADkAAAAQAAAAAAAAAAEAIAAAAAgBAABkcnMvc2hhcGV4bWwueG1sUEsFBgAAAAAGAAYAWwEAALID&#10;AAAAAA==&#10;" path="m7380,4719l7360,4719,7366,4699,7371,4699,7376,4679,7390,4679,7385,4699,7380,47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GEXEIr0AAADb&#10;AAAADwAAAGRycy9kb3ducmV2LnhtbEWPzWrDMBCE74W8g9hALiWRbUgIjpUQAgYfXErd5r5YW9vU&#10;WglL+evTV4VCj8PMfMMUh7sZxZUmP1hWkK4SEMSt1QN3Cj7ey+UWhA/IGkfLpOBBHg772VOBubY3&#10;fqNrEzoRIexzVNCH4HIpfduTQb+yjjh6n3YyGKKcOqknvEW4GWWWJBtpcOC40KOjU0/tV3MxCs5N&#10;XX+78tlVL6+ZD74+btZ0VGoxT5MdiED38B/+a1dawTqF3y/xB8j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RcQivQAA&#10;ANsAAAAPAAAAAAAAAAEAIAAAACIAAABkcnMvZG93bnJldi54bWxQSwECFAAUAAAACACHTuJAMy8F&#10;njsAAAA5AAAAEAAAAAAAAAABACAAAAAMAQAAZHJzL3NoYXBleG1sLnhtbFBLBQYAAAAABgAGAFsB&#10;AAC2AwAAAAA=&#10;" path="m81,4759l62,4759,55,4739,50,4719,63,4719,69,4739,75,4739,81,47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6JdaVbwAAADb&#10;AAAADwAAAGRycy9kb3ducmV2LnhtbEWPQYvCMBSE78L+h/AW9iKaWlCWahRZEHqoiNW9P5pnW2xe&#10;QpNV119vBMHjMDPfMIvVzXTiQr1vLSuYjBMQxJXVLdcKjofN6BuED8gaO8uk4J88rJYfgwVm2l55&#10;T5cy1CJC2GeooAnBZVL6qiGDfmwdcfROtjcYouxrqXu8RrjpZJokM2mw5bjQoKOfhqpz+WcU/JZF&#10;cXebocu3u9QHX6xnU1or9fU5SeYgAt3CO/xq51rBNI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XWlW8AAAA&#10;2wAAAA8AAAAAAAAAAQAgAAAAIgAAAGRycy9kb3ducmV2LnhtbFBLAQIUABQAAAAIAIdO4kAzLwWe&#10;OwAAADkAAAAQAAAAAAAAAAEAIAAAAAsBAABkcnMvc2hhcGV4bWwueG1sUEsFBgAAAAAGAAYAWwEA&#10;ALUDAAAAAA==&#10;" path="m7362,4759l7342,4759,7349,4739,7355,4739,7360,4719,7374,4719,7368,4739,7362,47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9v/zrwAAADb&#10;AAAADwAAAGRycy9kb3ducmV2LnhtbEWPT4vCMBTE78J+h/AWvIimK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b/868AAAA&#10;2wAAAA8AAAAAAAAAAQAgAAAAIgAAAGRycy9kb3ducmV2LnhtbFBLAQIUABQAAAAIAIdO4kAzLwWe&#10;OwAAADkAAAAQAAAAAAAAAAEAIAAAAAsBAABkcnMvc2hhcGV4bWwueG1sUEsFBgAAAAAGAAYAWwEA&#10;ALUDAAAAAA==&#10;" path="m94,4779l75,4779,68,4759,88,4759,94,47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DJnurwAAADb&#10;AAAADwAAAGRycy9kb3ducmV2LnhtbEWPT4vCMBTE78J+h/AWvIimi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yZ7q8AAAA&#10;2wAAAA8AAAAAAAAAAQAgAAAAIgAAAGRycy9kb3ducmV2LnhtbFBLAQIUABQAAAAIAIdO4kAzLwWe&#10;OwAAADkAAAAQAAAAAAAAAAEAIAAAAAsBAABkcnMvc2hhcGV4bWwueG1sUEsFBgAAAAAGAAYAWwEA&#10;ALUDAAAAAA==&#10;" path="m7349,4779l7329,4779,7336,4759,7356,4759,7349,47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37CIbwAAADb&#10;AAAADwAAAGRycy9kb3ducmV2LnhtbEWPT4vCMBTE78J+h/AWvIimCpWlGkUWBA8Vsbt7fzTPtti8&#10;hCZb/3x6Iwgeh5n5DbNcX00reup8Y1nBdJKAIC6tbrhS8PuzHX+B8AFZY2uZFNzIw3r1MVhipu2F&#10;j9QXoRIRwj5DBXUILpPSlzUZ9BPriKN3sp3BEGVXSd3hJcJNK2dJMpcGG44LNTr6rqk8F/9GwV+R&#10;53e3Hbnd/jDzweebeUobpYaf02QBItA1vMOv9k4rSFN4fok/QK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wiG8AAAA&#10;2wAAAA8AAAAAAAAAAQAgAAAAIgAAAGRycy9kb3ducmV2LnhtbFBLAQIUABQAAAAIAIdO4kAzLwWe&#10;OwAAADkAAAAQAAAAAAAAAAEAIAAAAAsBAABkcnMvc2hhcGV4bWwueG1sUEsFBgAAAAAGAAYAWwEA&#10;ALUDAAAAAA==&#10;" path="m116,4819l96,4819,89,4799,82,4779,94,4779,102,4799,109,4799,116,48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6xcVr4AAADb&#10;AAAADwAAAGRycy9kb3ducmV2LnhtbEWPwWrDMBBE74H+g9hCLiGRHYgpjpUQCgYfXErd9r5YW9vU&#10;WglLdZJ+fRUI9DjMzBumOF7MKGaa/GBZQbpJQBC3Vg/cKfh4L9dPIHxA1jhaJgVX8nA8PCwKzLU9&#10;8xvNTehEhLDPUUEfgsul9G1PBv3GOuLofdnJYIhy6qSe8BzhZpTbJMmkwYHjQo+Onntqv5sfo+Cz&#10;qetfV65c9fK69cHXp2xHJ6WWj2myBxHoEv7D93alFewy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6xcVr4A&#10;AADbAAAADwAAAAAAAAABACAAAAAiAAAAZHJzL2Rvd25yZXYueG1sUEsBAhQAFAAAAAgAh07iQDMv&#10;BZ47AAAAOQAAABAAAAAAAAAAAQAgAAAADQEAAGRycy9zaGFwZXhtbC54bWxQSwUGAAAAAAYABgBb&#10;AQAAtwMAAAAA&#10;" path="m7327,4819l7307,4819,7315,4799,7322,4799,7329,4779,7342,4779,7335,4799,7327,48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D5zb4AAADb&#10;AAAADwAAAGRycy9kb3ducmV2LnhtbEWPQWvCQBSE70L/w/IKvYhuDGhLdBUpBHJIEWN7f2Rfk9Ds&#10;2yW7TWx/fbcgeBxm5htmd7iaXow0+M6ygtUyAUFcW91xo+D9ki9eQPiArLG3TAp+yMNh/zDbYabt&#10;xGcaq9CICGGfoYI2BJdJ6euWDPqldcTR+7SDwRDl0Eg94BThppdpkmykwY7jQouOXluqv6pvo+Cj&#10;Kstfl89d8XZKffDlcbOmo1JPj6tkCyLQNdzDt3ahFayf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D5zb4A&#10;AADbAAAADwAAAAAAAAABACAAAAAiAAAAZHJzL2Rvd25yZXYueG1sUEsBAhQAFAAAAAgAh07iQDMv&#10;BZ47AAAAOQAAABAAAAAAAAAAAQAgAAAADQEAAGRycy9zaGFwZXhtbC54bWxQSwUGAAAAAAYABgBb&#10;AQAAtwMAAAAA&#10;" path="m132,4839l112,4839,104,4819,124,4819,132,48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iX9tv7kAAADb&#10;AAAADwAAAGRycy9kb3ducmV2LnhtbEVPy4rCMBTdC/5DuIIbmaYKinRMRQTBRQexOvtLc6ctNjeh&#10;ic+vnywEl4fzXq0fphM36n1rWcE0SUEQV1a3XCs4n3ZfSxA+IGvsLJOCJ3lY58PBCjNt73ykWxlq&#10;EUPYZ6igCcFlUvqqIYM+sY44cn+2Nxgi7Gupe7zHcNPJWZoupMGWY0ODjrYNVZfyahT8lkXxcruJ&#10;2/8cZj74YrOY00ap8WiafoMI9Agf8du91wrmcWz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bb+5AAAA2wAA&#10;AA8AAAAAAAAAAQAgAAAAIgAAAGRycy9kb3ducmV2LnhtbFBLAQIUABQAAAAIAIdO4kAzLwWeOwAA&#10;ADkAAAAQAAAAAAAAAAEAIAAAAAgBAABkcnMvc2hhcGV4bWwueG1sUEsFBgAAAAAGAAYAWwEAALID&#10;AAAAAA==&#10;" path="m7311,4839l7291,4839,7299,4819,7319,4819,7311,48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5jPIJL4AAADb&#10;AAAADwAAAGRycy9kb3ducmV2LnhtbEWPQWvCQBSE70L/w/IKvYhuDChtdBUpBHJIEWN7f2Rfk9Ds&#10;2yW7TWx/fbcgeBxm5htmd7iaXow0+M6ygtUyAUFcW91xo+D9ki+eQfiArLG3TAp+yMNh/zDbYabt&#10;xGcaq9CICGGfoYI2BJdJ6euWDPqldcTR+7SDwRDl0Eg94BThppdpkmykwY7jQouOXluqv6pvo+Cj&#10;Kstfl89d8XZKffDlcbOmo1JPj6tkCyLQNdzDt3ahFaxf4P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jPIJL4A&#10;AADbAAAADwAAAAAAAAABACAAAAAiAAAAZHJzL2Rvd25yZXYueG1sUEsBAhQAFAAAAAgAh07iQDMv&#10;BZ47AAAAOQAAABAAAAAAAAAAAQAgAAAADQEAAGRycy9zaGFwZXhtbC54bWxQSwUGAAAAAAYABgBb&#10;AQAAtwMAAAAA&#10;" path="m149,4859l129,4859,121,4839,141,4839,149,48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WWrBLgAAADb&#10;AAAADwAAAGRycy9kb3ducmV2LnhtbEVPy4rCMBTdC/5DuIIbGVMFi3SMIoLgoiJW3V+aO22Z5iY0&#10;8fn1ZiG4PJz3YvUwrbhR5xvLCibjBARxaXXDlYLzafszB+EDssbWMil4kofVst9bYKbtnY90K0Il&#10;Ygj7DBXUIbhMSl/WZNCPrSOO3J/tDIYIu0rqDu8x3LRymiSpNNhwbKjR0aam8r+4GgWXIs9fbjty&#10;u/1h6oPP1+mM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WWrBLgAAADbAAAA&#10;DwAAAAAAAAABACAAAAAiAAAAZHJzL2Rvd25yZXYueG1sUEsBAhQAFAAAAAgAh07iQDMvBZ47AAAA&#10;OQAAABAAAAAAAAAAAQAgAAAABwEAAGRycy9zaGFwZXhtbC54bWxQSwUGAAAAAAYABgBbAQAAsQMA&#10;AAAA&#10;" path="m7294,4859l7274,4859,7283,4839,7303,4839,7294,48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1ikOn70AAADb&#10;AAAADwAAAGRycy9kb3ducmV2LnhtbEWPwWrDMBBE74X8g9hALyWRbagJrpUQAgEfXEqd5L5YW9vE&#10;WglLjdN+fVUo9DjMzBum3N3NKG40+cGygnSdgCBurR64U3A+HVcbED4gaxwtk4Iv8rDbLh5KLLSd&#10;+Z1uTehEhLAvUEEfgiuk9G1PBv3aOuLofdjJYIhy6qSecI5wM8osSXJpcOC40KOjQ0/ttfk0Ci5N&#10;XX+745OrXt8yH3y9z59pr9TjMk1eQAS6h//wX7vSCvIU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KQ6fvQAA&#10;ANsAAAAPAAAAAAAAAAEAIAAAACIAAABkcnMvZG93bnJldi54bWxQSwECFAAUAAAACACHTuJAMy8F&#10;njsAAAA5AAAAEAAAAAAAAAABACAAAAAMAQAAZHJzL3NoYXBleG1sLnhtbFBLBQYAAAAABgAGAFsB&#10;AAC2AwAAAAA=&#10;" path="m167,4879l147,4879,138,4859,158,4859,167,48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vuQ6LwAAADb&#10;AAAADwAAAGRycy9kb3ducmV2LnhtbEWPT4vCMBTE7wt+h/CEvSyaWrBI1ygiCB66iFXvj+ZtW2xe&#10;QpP136ffCILHYWZ+w8yXN9OJC/W+taxgMk5AEFdWt1wrOB42oxkIH5A1dpZJwZ08LBeDjznm2l55&#10;T5cy1CJC2OeooAnB5VL6qiGDfmwdcfR+bW8wRNnXUvd4jXDTyTRJMmmw5bjQoKN1Q9W5/DMKTmVR&#10;PNzmy21/dqkPvlhlU1op9TmcJN8gAt3CO/xqb7WCLIX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7kOi8AAAA&#10;2wAAAA8AAAAAAAAAAQAgAAAAIgAAAGRycy9kb3ducmV2LnhtbFBLAQIUABQAAAAIAIdO4kAzLwWe&#10;OwAAADkAAAAQAAAAAAAAAAEAIAAAAAsBAABkcnMvc2hhcGV4bWwueG1sUEsFBgAAAAAGAAYAWwEA&#10;ALUDAAAAAA==&#10;" path="m7277,4879l7256,4879,7265,4859,7286,4859,7277,48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bc1c7wAAADb&#10;AAAADwAAAGRycy9kb3ducmV2LnhtbEWPT4vCMBTE7wt+h/AEL4umK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3NXO8AAAA&#10;2wAAAA8AAAAAAAAAAQAgAAAAIgAAAGRycy9kb3ducmV2LnhtbFBLAQIUABQAAAAIAIdO4kAzLwWe&#10;OwAAADkAAAAQAAAAAAAAAAEAIAAAAAsBAABkcnMvc2hhcGV4bWwueG1sUEsFBgAAAAAGAAYAWwEA&#10;ALUDAAAAAA==&#10;" path="m186,4899l166,4899,156,4879,176,4879,186,48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l6tB7wAAADb&#10;AAAADwAAAGRycy9kb3ducmV2LnhtbEWPT4vCMBTE7wt+h/AEL4umi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erQe8AAAA&#10;2wAAAA8AAAAAAAAAAQAgAAAAIgAAAGRycy9kb3ducmV2LnhtbFBLAQIUABQAAAAIAIdO4kAzLwWe&#10;OwAAADkAAAAQAAAAAAAAAAEAIAAAAAsBAABkcnMvc2hhcGV4bWwueG1sUEsFBgAAAAAGAAYAWwEA&#10;ALUDAAAAAA==&#10;" path="m7258,4899l7238,4899,7247,4879,7267,4879,7258,48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RIInL4AAADb&#10;AAAADwAAAGRycy9kb3ducmV2LnhtbEWPwWrDMBBE74H+g9hCLiGRHYgpjpUQCgYfXErd9r5YW9vU&#10;WglLdZJ+fRUI9DjMzBumOF7MKGaa/GBZQbpJQBC3Vg/cKfh4L9dPIHxA1jhaJgVX8nA8PCwKzLU9&#10;8xvNTehEhLDPUUEfgsul9G1PBv3GOuLofdnJYIhy6qSe8BzhZpTbJMmkwYHjQo+Onntqv5sfo+Cz&#10;qetfV65c9fK69cHXp2xHJ6WWj2myBxHoEv7D93alFWQ7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RIInL4A&#10;AADbAAAADwAAAAAAAAABACAAAAAiAAAAZHJzL2Rvd25yZXYueG1sUEsBAhQAFAAAAAgAh07iQDMv&#10;BZ47AAAAOQAAABAAAAAAAAAAAQAgAAAADQEAAGRycy9zaGFwZXhtbC54bWxQSwUGAAAAAAYABgBb&#10;AQAAtwMAAAAA&#10;" path="m206,4919l186,4919,176,4899,196,4899,206,49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cCW670AAADb&#10;AAAADwAAAGRycy9kb3ducmV2LnhtbEWPwWrDMBBE74X+g9hCL6WRbYgpTpRgCgEfHEKd9r5YG9vU&#10;WglLjdN+fRQI9DjMzBtmvb2YUZxp8oNlBekiAUHcWj1wp+DzuHt9A+EDssbRMin4JQ/bzePDGgtt&#10;Z/6gcxM6ESHsC1TQh+AKKX3bk0G/sI44eic7GQxRTp3UE84RbkaZJUkuDQ4cF3p09N5T+938GAVf&#10;TV3/ud2Lq/aHzAdfl/mSSqWen9JkBSLQJfyH7+1KK8hzuH2JP0Bu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wJbrvQAA&#10;ANsAAAAPAAAAAAAAAAEAIAAAACIAAABkcnMvZG93bnJldi54bWxQSwECFAAUAAAACACHTuJAMy8F&#10;njsAAAA5AAAAEAAAAAAAAAABACAAAAAMAQAAZHJzL3NoYXBleG1sLnhtbFBLBQYAAAAABgAGAFsB&#10;AAC2AwAAAAA=&#10;" path="m7238,4919l7218,4919,7228,4899,7248,4899,7238,49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owzcL4AAADb&#10;AAAADwAAAGRycy9kb3ducmV2LnhtbEWPzWrDMBCE74W8g9hCLyWWbagT3CghBAw5uJQ6yX2xtrap&#10;tRKWmr+nrwqFHoeZ+YZZba5mFGea/GBZQZakIIhbqwfuFBwP1XwJwgdkjaNlUnAjD5v17GGFpbYX&#10;/qBzEzoRIexLVNCH4EopfduTQZ9YRxy9TzsZDFFOndQTXiLcjDJP00IaHDgu9Oho11P71XwbBaem&#10;ru+uenb7t/fcB19vixfaKvX0mKWvIAJdw3/4r73XCoo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owzcL4A&#10;AADbAAAADwAAAAAAAAABACAAAAAiAAAAZHJzL2Rvd25yZXYueG1sUEsBAhQAFAAAAAgAh07iQDMv&#10;BZ47AAAAOQAAABAAAAAAAAAAAQAgAAAADQEAAGRycy9zaGFwZXhtbC54bWxQSwUGAAAAAAYABgBb&#10;AQAAtwMAAAAA&#10;" path="m237,4939l206,4939,196,4919,226,4919,237,49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xOnArgAAADb&#10;AAAADwAAAGRycy9kb3ducmV2LnhtbEVPy4rCMBTdC/5DuIIbGVMFi3SMIoLgoiJW3V+aO22Z5iY0&#10;8fn1ZiG4PJz3YvUwrbhR5xvLCibjBARxaXXDlYLzafszB+EDssbWMil4kofVst9bYKbtnY90K0Il&#10;Ygj7DBXUIbhMSl/WZNCPrSOO3J/tDIYIu0rqDu8x3LRymiSpNNhwbKjR0aam8r+4GgWXIs9fbjty&#10;u/1h6oPP1+mM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xOnArgAAADbAAAA&#10;DwAAAAAAAAABACAAAAAiAAAAZHJzL2Rvd25yZXYueG1sUEsBAhQAFAAAAAgAh07iQDMvBZ47AAAA&#10;OQAAABAAAAAAAAAAAQAgAAAABwEAAGRycy9zaGFwZXhtbC54bWxQSwUGAAAAAAYABgBbAQAAsQMA&#10;AAAA&#10;" path="m7217,4939l7187,4939,7198,4919,7228,4919,7217,49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KF8Cmb4AAADb&#10;AAAADwAAAGRycy9kb3ducmV2LnhtbEWPzWrDMBCE74W8g9hCLyWWbahJ3CghBAw5uJQ6yX2xtrap&#10;tRKWmr+nrwqFHoeZ+YZZba5mFGea/GBZQZakIIhbqwfuFBwP1XwBwgdkjaNlUnAjD5v17GGFpbYX&#10;/qBzEzoRIexLVNCH4EopfduTQZ9YRxy9TzsZDFFOndQTXiLcjDJP00IaHDgu9Oho11P71XwbBaem&#10;ru+uenb7t/fcB19vixfaKvX0mKWvIAJdw3/4r73XCool/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8Cmb4A&#10;AADbAAAADwAAAAAAAAABACAAAAAiAAAAZHJzL2Rvd25yZXYueG1sUEsBAhQAFAAAAAgAh07iQDMv&#10;BZ47AAAAOQAAABAAAAAAAAAAAQAgAAAADQEAAGRycy9zaGFwZXhtbC54bWxQSwUGAAAAAAYABgBb&#10;AQAAtwMAAAAA&#10;" path="m258,4959l239,4959,228,4939,247,4939,258,49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PLw92bsAAADb&#10;AAAADwAAAGRycy9kb3ducmV2LnhtbEVPz2vCMBS+C/4P4Qm7yJoqzI2uqcig0EPHsG73R/PWljUv&#10;ocm08683h4HHj+93vp/NKM40+cGygk2SgiBurR64U/B5Kh9fQPiArHG0TAr+yMO+WC5yzLS98JHO&#10;TehEDGGfoYI+BJdJ6dueDPrEOuLIfdvJYIhw6qSe8BLDzSi3abqTBgeODT06euup/Wl+jYKvpq6v&#10;rly76v1j64OvD7snOij1sNqkryACzeEu/ndXWsFzXB+/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Lw92bsAAADb&#10;AAAADwAAAAAAAAABACAAAAAiAAAAZHJzL2Rvd25yZXYueG1sUEsBAhQAFAAAAAgAh07iQDMvBZ47&#10;AAAAOQAAABAAAAAAAAAAAQAgAAAACgEAAGRycy9zaGFwZXhtbC54bWxQSwUGAAAAAAYABgBbAQAA&#10;tAMAAAAA&#10;" path="m7185,4959l7165,4959,7176,4939,7196,4939,7185,49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CYQr4AAADb&#10;AAAADwAAAGRycy9kb3ducmV2LnhtbEWPQWvCQBSE70L/w/IKvYjZRGiU1FWkEPAQKcb2/si+JqHZ&#10;t0t2q2l/vVsoeBxm5htms5vMIC40+t6ygixJQRA3VvfcKng/l4s1CB+QNQ6WScEPedhtH2YbLLS9&#10;8okudWhFhLAvUEEXgiuk9E1HBn1iHXH0Pu1oMEQ5tlKPeI1wM8hlmubSYM9xoUNHrx01X/W3UfBR&#10;V9WvK+fucHxb+uCrff5Me6WeHrP0BUSgKdzD/+2DVrDK4O9L/AFy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YQr4A&#10;AADbAAAADwAAAAAAAAABACAAAAAiAAAAZHJzL2Rvd25yZXYueG1sUEsBAhQAFAAAAAgAh07iQDMv&#10;BZ47AAAAOQAAABAAAAAAAAAAAQAgAAAADQEAAGRycy9zaGFwZXhtbC54bWxQSwUGAAAAAAYABgBb&#10;AQAAtwMAAAAA&#10;" path="m292,4979l261,4979,250,4959,281,4959,292,49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yIGNb4AAADb&#10;AAAADwAAAGRycy9kb3ducmV2LnhtbEWPQWvCQBSE7wX/w/IKvRTdGDCV1FVECHhIKU31/si+JqHZ&#10;t0t2G6O/visUehxm5htms5tML0YafGdZwXKRgCCure64UXD6LOZrED4ga+wtk4IredhtZw8bzLW9&#10;8AeNVWhEhLDPUUEbgsul9HVLBv3COuLofdnBYIhyaKQe8BLhppdpkmTSYMdxoUVHh5bq7+rHKDhX&#10;ZXlzxbM7vr2nPvhyn61or9TT4zJ5BRFoCv/hv/ZRK3hJ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yIGNb4A&#10;AADbAAAADwAAAAAAAAABACAAAAAiAAAAZHJzL2Rvd25yZXYueG1sUEsBAhQAFAAAAAgAh07iQDMv&#10;BZ47AAAAOQAAABAAAAAAAAAAAQAgAAAADQEAAGRycy9zaGFwZXhtbC54bWxQSwUGAAAAAAYABgBb&#10;AQAAtwMAAAAA&#10;" path="m7162,4979l7131,4979,7143,4959,7174,4959,7162,49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G6jrrwAAADb&#10;AAAADwAAAGRycy9kb3ducmV2LnhtbEWPT4vCMBTE78J+h/AWvIimK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xuo668AAAA&#10;2wAAAA8AAAAAAAAAAQAgAAAAIgAAAGRycy9kb3ducmV2LnhtbFBLAQIUABQAAAAIAIdO4kAzLwWe&#10;OwAAADkAAAAQAAAAAAAAAAEAIAAAAAsBAABkcnMvc2hhcGV4bWwueG1sUEsFBgAAAAAGAAYAWwEA&#10;ALUDAAAAAA==&#10;" path="m328,4999l297,4999,285,4979,316,4979,328,4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4c72rwAAADb&#10;AAAADwAAAGRycy9kb3ducmV2LnhtbEWPT4vCMBTE78J+h/AWvIimi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HO9q8AAAA&#10;2wAAAA8AAAAAAAAAAQAgAAAAIgAAAGRycy9kb3ducmV2LnhtbFBLAQIUABQAAAAIAIdO4kAzLwWe&#10;OwAAADkAAAAQAAAAAAAAAAEAIAAAAAsBAABkcnMvc2hhcGV4bWwueG1sUEsFBgAAAAAGAAYAWwEA&#10;ALUDAAAAAA==&#10;" path="m7127,4999l7096,4999,7108,4979,7139,4979,7127,4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MueQb4AAADb&#10;AAAADwAAAGRycy9kb3ducmV2LnhtbEWPQWvCQBSE70L/w/IKvYhuDGhLdBUpBHJIEWN7f2Rfk9Ds&#10;2yW7TWx/fbcgeBxm5htmd7iaXow0+M6ygtUyAUFcW91xo+D9ki9eQPiArLG3TAp+yMNh/zDbYabt&#10;xGcaq9CICGGfoYI2BJdJ6euWDPqldcTR+7SDwRDl0Eg94BThppdpkmykwY7jQouOXluqv6pvo+Cj&#10;Kstfl89d8XZKffDlcbOmo1JPj6tkCyLQNdzDt3ahFTyv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MueQb4A&#10;AADbAAAADwAAAAAAAAABACAAAAAiAAAAZHJzL2Rvd25yZXYueG1sUEsBAhQAFAAAAAgAh07iQDMv&#10;BZ47AAAAOQAAABAAAAAAAAAAAQAgAAAADQEAAGRycy9zaGFwZXhtbC54bWxQSwUGAAAAAAYABgBb&#10;AQAAtwMAAAAA&#10;" path="m378,5019l334,5019,321,4999,365,4999,378,50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3BkANr4AAADb&#10;AAAADwAAAGRycy9kb3ducmV2LnhtbEWPzWrDMBCE74W8g9hCLyWWbagT3CghBAw5uJQ6yX2xtrap&#10;tRKWmr+nrwqFHoeZ+YZZba5mFGea/GBZQZakIIhbqwfuFBwP1XwJwgdkjaNlUnAjD5v17GGFpbYX&#10;/qBzEzoRIexLVNCH4EopfduTQZ9YRxy9TzsZDFFOndQTXiLcjDJP00IaHDgu9Oho11P71XwbBaem&#10;ru+uenb7t/fcB19vixfaKvX0mKWvIAJdw3/4r73XChY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BkANr4A&#10;AADbAAAADwAAAAAAAAABACAAAAAiAAAAZHJzL2Rvd25yZXYueG1sUEsBAhQAFAAAAAgAh07iQDMv&#10;BZ47AAAAOQAAABAAAAAAAAAAAQAgAAAADQEAAGRycy9zaGFwZXhtbC54bWxQSwUGAAAAAAYABgBb&#10;AQAAtwMAAAAA&#10;" path="m7090,5019l7046,5019,7059,4999,7102,4999,7090,50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1WlrbwAAADb&#10;AAAADwAAAGRycy9kb3ducmV2LnhtbEWPT4vCMBTE78J+h/AWvIimClrpGkUWBA8Vse7eH83btmzz&#10;Epr499MbQfA4zMxvmMXqalpxps43lhWMRwkI4tLqhisFP8fNcA7CB2SNrWVScCMPq+VHb4GZthc+&#10;0LkIlYgQ9hkqqENwmZS+rMmgH1lHHL0/2xkMUXaV1B1eIty0cpIkM2mw4bhQo6Pvmsr/4mQU/BZ5&#10;fnebgdvu9hMffL6eTWmtVP9znHyBCHQN7/CrvdUK0h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Vpa28AAAA&#10;2wAAAA8AAAAAAAAAAQAgAAAAIgAAAGRycy9kb3ducmV2LnhtbFBLAQIUABQAAAAIAIdO4kAzLwWe&#10;OwAAADkAAAAQAAAAAAAAAAEAIAAAAAsBAABkcnMvc2hhcGV4bWwueG1sUEsFBgAAAAAGAAYAWwEA&#10;ALUDAAAAAA==&#10;" path="m443,5039l385,5039,372,5019,429,5019,443,5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sox37sAAADb&#10;AAAADwAAAGRycy9kb3ducmV2LnhtbEVPz2vCMBS+C/4P4Qm7yJoqzI2uqcig0EPHsG73R/PWljUv&#10;ocm08683h4HHj+93vp/NKM40+cGygk2SgiBurR64U/B5Kh9fQPiArHG0TAr+yMO+WC5yzLS98JHO&#10;TehEDGGfoYI+BJdJ6dueDPrEOuLIfdvJYIhw6qSe8BLDzSi3abqTBgeODT06euup/Wl+jYKvpq6v&#10;rly76v1j64OvD7snOij1sNqkryACzeEu/ndXWsFzHBu/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sox37sAAADb&#10;AAAADwAAAAAAAAABACAAAAAiAAAAZHJzL2Rvd25yZXYueG1sUEsBAhQAFAAAAAgAh07iQDMvBZ47&#10;AAAAOQAAABAAAAAAAAAAAQAgAAAACgEAAGRycy9zaGFwZXhtbC54bWxQSwUGAAAAAAYABgBbAQAA&#10;tAMAAAAA&#10;" path="m7038,5039l6981,5039,6994,5019,7051,5019,7038,5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YaURLwAAADb&#10;AAAADwAAAGRycy9kb3ducmV2LnhtbEWPT4vCMBTE78J+h/AWvIimCuraNYoIgocuYl3vj+bZlm1e&#10;QhP/fvqNIHgcZuY3zHx5M424UOtrywqGgwQEcWF1zaWC38Om/wXCB2SNjWVScCcPy8VHZ46ptlfe&#10;0yUPpYgQ9ikqqEJwqZS+qMigH1hHHL2TbQ2GKNtS6havEW4aOUqSiTRYc1yo0NG6ouIvPxsFxzzL&#10;Hm7Tc9uf3cgHn60mY1op1f0cJt8gAt3CO/xqb7WC6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GlES8AAAA&#10;2wAAAA8AAAAAAAAAAQAgAAAAIgAAAGRycy9kb3ducmV2LnhtbFBLAQIUABQAAAAIAIdO4kAzLwWe&#10;OwAAADkAAAAQAAAAAAAAAAEAIAAAAAsBAABkcnMvc2hhcGV4bWwueG1sUEsFBgAAAAAGAAYAWwEA&#10;ALUDAAAAAA==&#10;" path="m6956,5059l467,5059,453,5039,6970,5039,6956,5059xe">
                    <v:fill on="t" focussize="0,0"/>
                    <v:stroke on="f"/>
                    <v:imagedata o:title=""/>
                    <o:lock v:ext="edit" aspectratio="f"/>
                  </v:shape>
                </v:group>
                <w10:wrap type="none"/>
                <w10:anchorlock/>
              </v:group>
            </w:pict>
          </mc:Fallback>
        </mc:AlternateContent>
      </w:r>
    </w:p>
    <w:p>
      <w:pPr>
        <w:pStyle w:val="2"/>
        <w:kinsoku w:val="0"/>
        <w:overflowPunct w:val="0"/>
        <w:spacing w:before="174"/>
        <w:rPr>
          <w:rFonts w:hint="eastAsia" w:ascii="宋体" w:hAnsi="宋体" w:eastAsia="宋体" w:cs="宋体"/>
          <w:b/>
          <w:bCs/>
          <w:spacing w:val="1"/>
          <w:sz w:val="21"/>
          <w:szCs w:val="21"/>
          <w:highlight w:val="none"/>
        </w:rPr>
      </w:pPr>
    </w:p>
    <w:p>
      <w:pPr>
        <w:pStyle w:val="2"/>
        <w:kinsoku w:val="0"/>
        <w:overflowPunct w:val="0"/>
        <w:spacing w:before="174"/>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★备注：投标保证金缴费</w:t>
      </w:r>
      <w:r>
        <w:rPr>
          <w:rFonts w:hint="eastAsia" w:ascii="宋体" w:hAnsi="宋体" w:eastAsia="宋体" w:cs="宋体"/>
          <w:b/>
          <w:bCs/>
          <w:spacing w:val="1"/>
          <w:sz w:val="21"/>
          <w:szCs w:val="21"/>
          <w:highlight w:val="none"/>
          <w:lang w:eastAsia="zh-CN"/>
        </w:rPr>
        <w:t>证明</w:t>
      </w:r>
      <w:r>
        <w:rPr>
          <w:rFonts w:hint="eastAsia" w:ascii="宋体" w:hAnsi="宋体" w:eastAsia="宋体" w:cs="宋体"/>
          <w:b/>
          <w:bCs/>
          <w:spacing w:val="1"/>
          <w:sz w:val="21"/>
          <w:szCs w:val="21"/>
          <w:highlight w:val="none"/>
        </w:rPr>
        <w:t>复印件加盖公章</w:t>
      </w:r>
    </w:p>
    <w:p>
      <w:pPr>
        <w:pStyle w:val="2"/>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五、</w:t>
      </w:r>
      <w:r>
        <w:rPr>
          <w:rFonts w:hint="eastAsia" w:ascii="宋体" w:hAnsi="宋体" w:eastAsia="宋体" w:cs="宋体"/>
          <w:b/>
          <w:bCs/>
          <w:sz w:val="36"/>
          <w:szCs w:val="36"/>
          <w:highlight w:val="none"/>
          <w:lang w:eastAsia="zh-CN"/>
        </w:rPr>
        <w:t>报价一览表</w:t>
      </w:r>
    </w:p>
    <w:p>
      <w:pPr>
        <w:pStyle w:val="2"/>
        <w:kinsoku w:val="0"/>
        <w:overflowPunct w:val="0"/>
        <w:spacing w:before="6"/>
        <w:ind w:left="0"/>
        <w:rPr>
          <w:rFonts w:hint="eastAsia" w:ascii="宋体" w:hAnsi="宋体" w:eastAsia="宋体" w:cs="宋体"/>
          <w:b/>
          <w:bCs/>
          <w:sz w:val="26"/>
          <w:szCs w:val="26"/>
          <w:highlight w:val="none"/>
        </w:rPr>
      </w:pP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采购项目名称：</w:t>
      </w:r>
      <w:r>
        <w:rPr>
          <w:rFonts w:hint="eastAsia" w:ascii="宋体" w:hAnsi="宋体" w:eastAsia="宋体" w:cs="宋体"/>
          <w:kern w:val="0"/>
          <w:sz w:val="24"/>
          <w:szCs w:val="24"/>
          <w:highlight w:val="none"/>
          <w:u w:val="single"/>
        </w:rPr>
        <w:t xml:space="preserve">                              </w:t>
      </w: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采购项目编号：</w:t>
      </w:r>
      <w:r>
        <w:rPr>
          <w:rFonts w:hint="eastAsia" w:ascii="宋体" w:hAnsi="宋体" w:eastAsia="宋体" w:cs="宋体"/>
          <w:kern w:val="0"/>
          <w:sz w:val="24"/>
          <w:szCs w:val="24"/>
          <w:highlight w:val="none"/>
          <w:u w:val="single"/>
        </w:rPr>
        <w:t xml:space="preserve">                              </w:t>
      </w:r>
    </w:p>
    <w:p>
      <w:pPr>
        <w:pStyle w:val="2"/>
        <w:rPr>
          <w:rFonts w:hint="eastAsia"/>
          <w:highlight w:val="none"/>
        </w:rPr>
      </w:pPr>
    </w:p>
    <w:tbl>
      <w:tblPr>
        <w:tblStyle w:val="21"/>
        <w:tblW w:w="9420" w:type="dxa"/>
        <w:jc w:val="center"/>
        <w:tblLayout w:type="fixed"/>
        <w:tblCellMar>
          <w:top w:w="0" w:type="dxa"/>
          <w:left w:w="108" w:type="dxa"/>
          <w:bottom w:w="0" w:type="dxa"/>
          <w:right w:w="108" w:type="dxa"/>
        </w:tblCellMar>
      </w:tblPr>
      <w:tblGrid>
        <w:gridCol w:w="1728"/>
        <w:gridCol w:w="7692"/>
      </w:tblGrid>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noWrap w:val="0"/>
            <w:vAlign w:val="center"/>
          </w:tcPr>
          <w:p>
            <w:pPr>
              <w:jc w:val="left"/>
              <w:rPr>
                <w:rFonts w:hint="default" w:ascii="宋体" w:hAnsi="宋体" w:eastAsia="宋体" w:cs="宋体"/>
                <w:b/>
                <w:bCs/>
                <w:kern w:val="0"/>
                <w:sz w:val="24"/>
                <w:szCs w:val="24"/>
                <w:highlight w:val="none"/>
                <w:lang w:val="en-US" w:eastAsia="zh-CN"/>
              </w:rPr>
            </w:pPr>
            <w:r>
              <w:rPr>
                <w:rFonts w:hint="eastAsia" w:ascii="宋体" w:hAnsi="宋体" w:cs="宋体"/>
                <w:b/>
                <w:bCs/>
                <w:kern w:val="0"/>
                <w:sz w:val="24"/>
                <w:szCs w:val="24"/>
                <w:highlight w:val="none"/>
                <w:lang w:val="en-US" w:eastAsia="zh-CN"/>
              </w:rPr>
              <w:t>供应商名称</w:t>
            </w:r>
          </w:p>
        </w:tc>
        <w:tc>
          <w:tcPr>
            <w:tcW w:w="76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cantSplit/>
          <w:trHeight w:val="559" w:hRule="atLeast"/>
          <w:jc w:val="center"/>
        </w:trPr>
        <w:tc>
          <w:tcPr>
            <w:tcW w:w="1728" w:type="dxa"/>
            <w:tcBorders>
              <w:top w:val="single" w:color="000000" w:sz="4" w:space="0"/>
              <w:left w:val="single" w:color="000000" w:sz="4" w:space="0"/>
              <w:bottom w:val="single" w:color="000000" w:sz="4" w:space="0"/>
            </w:tcBorders>
            <w:noWrap w:val="0"/>
            <w:vAlign w:val="center"/>
          </w:tcPr>
          <w:p>
            <w:pPr>
              <w:jc w:val="left"/>
              <w:rPr>
                <w:rFonts w:hint="eastAsia" w:ascii="宋体" w:hAnsi="宋体" w:eastAsia="宋体" w:cs="宋体"/>
                <w:b/>
                <w:bCs/>
                <w:kern w:val="0"/>
                <w:sz w:val="24"/>
                <w:szCs w:val="24"/>
                <w:highlight w:val="none"/>
              </w:rPr>
            </w:pPr>
            <w:r>
              <w:rPr>
                <w:rFonts w:hint="eastAsia" w:ascii="宋体" w:hAnsi="宋体" w:cs="宋体"/>
                <w:b/>
                <w:bCs/>
                <w:kern w:val="0"/>
                <w:sz w:val="24"/>
                <w:szCs w:val="24"/>
                <w:highlight w:val="none"/>
                <w:lang w:val="en-US" w:eastAsia="zh-CN"/>
              </w:rPr>
              <w:t>服务期限</w:t>
            </w:r>
          </w:p>
        </w:tc>
        <w:tc>
          <w:tcPr>
            <w:tcW w:w="76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noWrap w:val="0"/>
            <w:vAlign w:val="center"/>
          </w:tcPr>
          <w:p>
            <w:pPr>
              <w:jc w:val="left"/>
              <w:rPr>
                <w:rFonts w:hint="eastAsia" w:ascii="宋体" w:hAnsi="宋体" w:eastAsia="宋体" w:cs="宋体"/>
                <w:kern w:val="0"/>
                <w:sz w:val="24"/>
                <w:szCs w:val="24"/>
                <w:highlight w:val="none"/>
              </w:rPr>
            </w:pPr>
            <w:r>
              <w:rPr>
                <w:rFonts w:hint="eastAsia" w:ascii="宋体" w:hAnsi="宋体" w:eastAsia="宋体" w:cs="宋体"/>
                <w:b/>
                <w:bCs/>
                <w:kern w:val="0"/>
                <w:sz w:val="24"/>
                <w:szCs w:val="24"/>
                <w:highlight w:val="none"/>
              </w:rPr>
              <w:t>总报价</w:t>
            </w:r>
          </w:p>
        </w:tc>
        <w:tc>
          <w:tcPr>
            <w:tcW w:w="76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（大写）人民币                      元整（￥          </w:t>
            </w:r>
            <w:r>
              <w:rPr>
                <w:rFonts w:hint="eastAsia" w:ascii="宋体" w:hAnsi="宋体" w:cs="宋体"/>
                <w:kern w:val="0"/>
                <w:sz w:val="24"/>
                <w:szCs w:val="24"/>
                <w:highlight w:val="none"/>
                <w:lang w:eastAsia="zh-CN"/>
              </w:rPr>
              <w:t>元</w:t>
            </w:r>
            <w:r>
              <w:rPr>
                <w:rFonts w:hint="eastAsia" w:ascii="宋体" w:hAnsi="宋体" w:eastAsia="宋体" w:cs="宋体"/>
                <w:kern w:val="0"/>
                <w:sz w:val="24"/>
                <w:szCs w:val="24"/>
                <w:highlight w:val="none"/>
              </w:rPr>
              <w:t xml:space="preserve"> ）</w:t>
            </w: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2" w:space="0"/>
            </w:tcBorders>
            <w:noWrap w:val="0"/>
            <w:vAlign w:val="center"/>
          </w:tcPr>
          <w:p>
            <w:pPr>
              <w:jc w:val="left"/>
              <w:rPr>
                <w:rFonts w:hint="eastAsia" w:ascii="宋体" w:hAnsi="宋体" w:eastAsia="宋体" w:cs="宋体"/>
                <w:b/>
                <w:bCs/>
                <w:kern w:val="0"/>
                <w:sz w:val="24"/>
                <w:szCs w:val="24"/>
                <w:highlight w:val="none"/>
                <w:lang w:eastAsia="zh-CN"/>
              </w:rPr>
            </w:pPr>
            <w:r>
              <w:rPr>
                <w:rFonts w:hint="eastAsia" w:ascii="宋体" w:hAnsi="宋体" w:cs="宋体"/>
                <w:b/>
                <w:bCs/>
                <w:kern w:val="0"/>
                <w:sz w:val="24"/>
                <w:szCs w:val="24"/>
                <w:highlight w:val="none"/>
                <w:lang w:eastAsia="zh-CN"/>
              </w:rPr>
              <w:t>备注</w:t>
            </w:r>
          </w:p>
        </w:tc>
        <w:tc>
          <w:tcPr>
            <w:tcW w:w="7692" w:type="dxa"/>
            <w:tcBorders>
              <w:top w:val="single" w:color="000000" w:sz="4" w:space="0"/>
              <w:left w:val="single" w:color="000000" w:sz="4" w:space="0"/>
              <w:bottom w:val="single" w:color="000000" w:sz="2" w:space="0"/>
              <w:right w:val="single" w:color="000000" w:sz="4" w:space="0"/>
            </w:tcBorders>
            <w:noWrap w:val="0"/>
            <w:vAlign w:val="center"/>
          </w:tcPr>
          <w:p>
            <w:pPr>
              <w:rPr>
                <w:rFonts w:hint="eastAsia" w:ascii="宋体" w:hAnsi="宋体" w:eastAsia="宋体" w:cs="宋体"/>
                <w:kern w:val="0"/>
                <w:sz w:val="24"/>
                <w:szCs w:val="24"/>
                <w:highlight w:val="none"/>
              </w:rPr>
            </w:pPr>
          </w:p>
        </w:tc>
      </w:tr>
    </w:tbl>
    <w:p>
      <w:pPr>
        <w:spacing w:line="480" w:lineRule="exact"/>
        <w:ind w:firstLine="42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注：1.此表总报价是所有需采购人支付的金额总数，包括《磋商内容》要求的全部内容。</w:t>
      </w:r>
    </w:p>
    <w:p>
      <w:pPr>
        <w:spacing w:line="480" w:lineRule="exact"/>
        <w:ind w:firstLine="42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2.总报价中必须包含劳务、</w:t>
      </w:r>
      <w:r>
        <w:rPr>
          <w:rFonts w:hint="eastAsia" w:ascii="宋体" w:hAnsi="宋体" w:cs="宋体"/>
          <w:kern w:val="0"/>
          <w:sz w:val="24"/>
          <w:szCs w:val="24"/>
          <w:highlight w:val="none"/>
          <w:lang w:eastAsia="zh-CN"/>
        </w:rPr>
        <w:t>保险、</w:t>
      </w:r>
      <w:r>
        <w:rPr>
          <w:rFonts w:hint="eastAsia" w:ascii="宋体" w:hAnsi="宋体" w:eastAsia="宋体" w:cs="宋体"/>
          <w:kern w:val="0"/>
          <w:sz w:val="24"/>
          <w:szCs w:val="24"/>
          <w:highlight w:val="none"/>
        </w:rPr>
        <w:t>管理、食宿、政策性文件规定配套服务费</w:t>
      </w: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全额含税发票、合同实施过程中应预见和不可预见费用等</w:t>
      </w:r>
      <w:r>
        <w:rPr>
          <w:rFonts w:hint="eastAsia" w:ascii="宋体" w:hAnsi="宋体" w:cs="宋体"/>
          <w:kern w:val="0"/>
          <w:sz w:val="24"/>
          <w:szCs w:val="24"/>
          <w:highlight w:val="none"/>
          <w:lang w:val="en-US" w:eastAsia="zh-CN"/>
        </w:rPr>
        <w:t>完成本项目所需的一切费用</w:t>
      </w:r>
      <w:r>
        <w:rPr>
          <w:rFonts w:hint="eastAsia" w:ascii="宋体" w:hAnsi="宋体" w:eastAsia="宋体" w:cs="宋体"/>
          <w:kern w:val="0"/>
          <w:sz w:val="24"/>
          <w:szCs w:val="24"/>
          <w:highlight w:val="none"/>
        </w:rPr>
        <w:t>。所有价格均应予人民币报价，金额单位为元。</w:t>
      </w:r>
    </w:p>
    <w:p>
      <w:pPr>
        <w:spacing w:line="480" w:lineRule="exact"/>
        <w:ind w:firstLine="42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3.此表应按“供应商须知”的规定密封标记并单独提交，同时在装订成册的响应文件中仍应提供本表。</w:t>
      </w:r>
    </w:p>
    <w:p>
      <w:pPr>
        <w:pStyle w:val="2"/>
        <w:tabs>
          <w:tab w:val="left" w:pos="8227"/>
        </w:tabs>
        <w:kinsoku w:val="0"/>
        <w:overflowPunct w:val="0"/>
        <w:spacing w:before="0" w:line="381" w:lineRule="auto"/>
        <w:ind w:left="4027" w:right="118"/>
        <w:rPr>
          <w:rFonts w:hint="eastAsia" w:ascii="宋体" w:hAnsi="宋体" w:eastAsia="宋体" w:cs="宋体"/>
          <w:highlight w:val="none"/>
        </w:rPr>
      </w:pPr>
    </w:p>
    <w:p>
      <w:pPr>
        <w:spacing w:line="420" w:lineRule="exact"/>
        <w:ind w:right="48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（公章） </w:t>
      </w:r>
    </w:p>
    <w:p>
      <w:pPr>
        <w:wordWrap w:val="0"/>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法定代表人或委托人：</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（签字）    </w:t>
      </w:r>
    </w:p>
    <w:p>
      <w:pPr>
        <w:spacing w:line="420" w:lineRule="exact"/>
        <w:ind w:right="480" w:firstLine="5280" w:firstLineChars="2200"/>
        <w:rPr>
          <w:rFonts w:hint="eastAsia" w:ascii="宋体" w:hAnsi="宋体" w:eastAsia="宋体" w:cs="宋体"/>
          <w:kern w:val="0"/>
          <w:sz w:val="24"/>
          <w:szCs w:val="24"/>
          <w:highlight w:val="none"/>
        </w:rPr>
      </w:pPr>
      <w:r>
        <w:rPr>
          <w:rFonts w:hint="eastAsia" w:ascii="宋体" w:hAnsi="宋体" w:cs="宋体"/>
          <w:kern w:val="0"/>
          <w:sz w:val="24"/>
          <w:szCs w:val="24"/>
          <w:highlight w:val="none"/>
          <w:u w:val="none"/>
          <w:lang w:eastAsia="zh-CN"/>
        </w:rPr>
        <w:t>日期：</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pStyle w:val="2"/>
        <w:kinsoku w:val="0"/>
        <w:overflowPunct w:val="0"/>
        <w:spacing w:before="34" w:line="357" w:lineRule="auto"/>
        <w:ind w:right="126" w:firstLine="480"/>
        <w:jc w:val="center"/>
        <w:rPr>
          <w:rFonts w:hint="eastAsia" w:ascii="宋体" w:hAnsi="宋体" w:eastAsia="宋体" w:cs="宋体"/>
          <w:b/>
          <w:bCs/>
          <w:sz w:val="36"/>
          <w:szCs w:val="36"/>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六、</w:t>
      </w:r>
      <w:r>
        <w:rPr>
          <w:rFonts w:hint="eastAsia" w:ascii="宋体" w:hAnsi="宋体" w:eastAsia="宋体" w:cs="宋体"/>
          <w:b/>
          <w:bCs/>
          <w:sz w:val="36"/>
          <w:szCs w:val="36"/>
          <w:highlight w:val="none"/>
          <w:lang w:val="en-US" w:eastAsia="zh-CN"/>
        </w:rPr>
        <w:t>磋商</w:t>
      </w:r>
      <w:r>
        <w:rPr>
          <w:rFonts w:hint="eastAsia" w:ascii="宋体" w:hAnsi="宋体" w:eastAsia="宋体" w:cs="宋体"/>
          <w:b/>
          <w:bCs/>
          <w:sz w:val="36"/>
          <w:szCs w:val="36"/>
          <w:highlight w:val="none"/>
        </w:rPr>
        <w:t>报价汇总表</w:t>
      </w: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项目名称：</w:t>
      </w:r>
      <w:r>
        <w:rPr>
          <w:rFonts w:hint="eastAsia" w:ascii="宋体" w:hAnsi="宋体" w:eastAsia="宋体" w:cs="宋体"/>
          <w:kern w:val="0"/>
          <w:sz w:val="24"/>
          <w:szCs w:val="24"/>
          <w:highlight w:val="none"/>
          <w:u w:val="single"/>
        </w:rPr>
        <w:t>　            　　</w:t>
      </w: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项目编号：</w:t>
      </w:r>
      <w:r>
        <w:rPr>
          <w:rFonts w:hint="eastAsia" w:ascii="宋体" w:hAnsi="宋体" w:eastAsia="宋体" w:cs="宋体"/>
          <w:kern w:val="0"/>
          <w:sz w:val="24"/>
          <w:szCs w:val="24"/>
          <w:highlight w:val="none"/>
          <w:u w:val="single"/>
        </w:rPr>
        <w:t>　            　　</w:t>
      </w:r>
    </w:p>
    <w:tbl>
      <w:tblPr>
        <w:tblStyle w:val="21"/>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327"/>
        <w:gridCol w:w="1871"/>
        <w:gridCol w:w="1052"/>
        <w:gridCol w:w="1106"/>
        <w:gridCol w:w="929"/>
        <w:gridCol w:w="1158"/>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一、货物详列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327"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分项名称</w:t>
            </w:r>
          </w:p>
        </w:tc>
        <w:tc>
          <w:tcPr>
            <w:tcW w:w="1871"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主要技术参数</w:t>
            </w:r>
          </w:p>
        </w:tc>
        <w:tc>
          <w:tcPr>
            <w:tcW w:w="1052"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制造商</w:t>
            </w:r>
          </w:p>
        </w:tc>
        <w:tc>
          <w:tcPr>
            <w:tcW w:w="1106"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929"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单价</w:t>
            </w:r>
          </w:p>
        </w:tc>
        <w:tc>
          <w:tcPr>
            <w:tcW w:w="1158" w:type="dxa"/>
            <w:tcBorders>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合计（元）</w:t>
            </w:r>
          </w:p>
        </w:tc>
        <w:tc>
          <w:tcPr>
            <w:tcW w:w="1544" w:type="dxa"/>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tcBorders>
              <w:right w:val="single" w:color="auto" w:sz="4" w:space="0"/>
            </w:tcBorders>
            <w:noWrap w:val="0"/>
            <w:vAlign w:val="center"/>
          </w:tcPr>
          <w:p>
            <w:pPr>
              <w:rPr>
                <w:rFonts w:hint="eastAsia" w:ascii="宋体" w:hAnsi="宋体" w:eastAsia="宋体" w:cs="宋体"/>
                <w:kern w:val="0"/>
                <w:sz w:val="24"/>
                <w:szCs w:val="24"/>
                <w:highlight w:val="none"/>
              </w:rPr>
            </w:pPr>
          </w:p>
        </w:tc>
        <w:tc>
          <w:tcPr>
            <w:tcW w:w="1544" w:type="dxa"/>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tcBorders>
              <w:right w:val="single" w:color="auto" w:sz="4" w:space="0"/>
            </w:tcBorders>
            <w:noWrap w:val="0"/>
            <w:vAlign w:val="center"/>
          </w:tcPr>
          <w:p>
            <w:pPr>
              <w:rPr>
                <w:rFonts w:hint="eastAsia" w:ascii="宋体" w:hAnsi="宋体" w:eastAsia="宋体" w:cs="宋体"/>
                <w:kern w:val="0"/>
                <w:sz w:val="24"/>
                <w:szCs w:val="24"/>
                <w:highlight w:val="none"/>
              </w:rPr>
            </w:pPr>
          </w:p>
        </w:tc>
        <w:tc>
          <w:tcPr>
            <w:tcW w:w="1544" w:type="dxa"/>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tcBorders>
              <w:right w:val="single" w:color="auto" w:sz="4" w:space="0"/>
            </w:tcBorders>
            <w:noWrap w:val="0"/>
            <w:vAlign w:val="center"/>
          </w:tcPr>
          <w:p>
            <w:pPr>
              <w:rPr>
                <w:rFonts w:hint="eastAsia" w:ascii="宋体" w:hAnsi="宋体" w:eastAsia="宋体" w:cs="宋体"/>
                <w:kern w:val="0"/>
                <w:sz w:val="24"/>
                <w:szCs w:val="24"/>
                <w:highlight w:val="none"/>
              </w:rPr>
            </w:pPr>
          </w:p>
        </w:tc>
        <w:tc>
          <w:tcPr>
            <w:tcW w:w="1544" w:type="dxa"/>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bottom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　　计</w:t>
            </w:r>
          </w:p>
        </w:tc>
        <w:tc>
          <w:tcPr>
            <w:tcW w:w="3087" w:type="dxa"/>
            <w:gridSpan w:val="3"/>
            <w:tcBorders>
              <w:bottom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数量合计：</w:t>
            </w:r>
          </w:p>
        </w:tc>
        <w:tc>
          <w:tcPr>
            <w:tcW w:w="2702" w:type="dxa"/>
            <w:gridSpan w:val="2"/>
            <w:tcBorders>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二、服务详列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327"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分项名称</w:t>
            </w:r>
          </w:p>
        </w:tc>
        <w:tc>
          <w:tcPr>
            <w:tcW w:w="1871"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具体服务内容</w:t>
            </w:r>
          </w:p>
        </w:tc>
        <w:tc>
          <w:tcPr>
            <w:tcW w:w="1052"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w:t>
            </w:r>
          </w:p>
        </w:tc>
        <w:tc>
          <w:tcPr>
            <w:tcW w:w="1106"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929"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单价</w:t>
            </w:r>
          </w:p>
        </w:tc>
        <w:tc>
          <w:tcPr>
            <w:tcW w:w="115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合计（元）</w:t>
            </w: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　　计</w:t>
            </w:r>
          </w:p>
        </w:tc>
        <w:tc>
          <w:tcPr>
            <w:tcW w:w="3087" w:type="dxa"/>
            <w:gridSpan w:val="3"/>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数量合计：</w:t>
            </w:r>
          </w:p>
        </w:tc>
        <w:tc>
          <w:tcPr>
            <w:tcW w:w="2702" w:type="dxa"/>
            <w:gridSpan w:val="2"/>
            <w:tcBorders>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三、其他费用详列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327"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分项名称</w:t>
            </w:r>
          </w:p>
        </w:tc>
        <w:tc>
          <w:tcPr>
            <w:tcW w:w="1871"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具体内容</w:t>
            </w:r>
          </w:p>
        </w:tc>
        <w:tc>
          <w:tcPr>
            <w:tcW w:w="1052"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w:t>
            </w:r>
          </w:p>
        </w:tc>
        <w:tc>
          <w:tcPr>
            <w:tcW w:w="1106"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929"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单价</w:t>
            </w:r>
          </w:p>
        </w:tc>
        <w:tc>
          <w:tcPr>
            <w:tcW w:w="115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合计（元）</w:t>
            </w: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　　计</w:t>
            </w:r>
          </w:p>
        </w:tc>
        <w:tc>
          <w:tcPr>
            <w:tcW w:w="3087" w:type="dxa"/>
            <w:gridSpan w:val="3"/>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数量合计：</w:t>
            </w:r>
          </w:p>
        </w:tc>
        <w:tc>
          <w:tcPr>
            <w:tcW w:w="2702" w:type="dxa"/>
            <w:gridSpan w:val="2"/>
            <w:tcBorders>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9620" w:type="dxa"/>
            <w:gridSpan w:val="8"/>
            <w:tcBorders>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四、总报价：人民币    元。（以上各合计项与报价一览表中的对应项均一致相符，如不一致以报价一览表为准）</w:t>
            </w:r>
          </w:p>
        </w:tc>
      </w:tr>
    </w:tbl>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注：1）以上内容必须与《</w:t>
      </w:r>
      <w:r>
        <w:rPr>
          <w:rFonts w:hint="eastAsia" w:ascii="宋体" w:hAnsi="宋体" w:cs="宋体"/>
          <w:kern w:val="0"/>
          <w:sz w:val="24"/>
          <w:szCs w:val="24"/>
          <w:highlight w:val="none"/>
          <w:lang w:val="en-US" w:eastAsia="zh-CN"/>
        </w:rPr>
        <w:t>磋商</w:t>
      </w:r>
      <w:r>
        <w:rPr>
          <w:rFonts w:hint="eastAsia" w:ascii="宋体" w:hAnsi="宋体" w:eastAsia="宋体" w:cs="宋体"/>
          <w:kern w:val="0"/>
          <w:sz w:val="24"/>
          <w:szCs w:val="24"/>
          <w:highlight w:val="none"/>
        </w:rPr>
        <w:t>报价单》一致。2)</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对于报价免费的项目必须标明“免费”；3)</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所有根据合同或其它原因应由报价供应商支付的税款和其它应交纳的费用都要包括在报价供应商提交的报价价格中；4)</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应包含货物运至最终目的地的运输、保险和伴随货物服务的其他所有费用。</w:t>
      </w:r>
    </w:p>
    <w:p>
      <w:pPr>
        <w:pStyle w:val="2"/>
        <w:tabs>
          <w:tab w:val="left" w:pos="8227"/>
        </w:tabs>
        <w:kinsoku w:val="0"/>
        <w:overflowPunct w:val="0"/>
        <w:spacing w:before="0" w:line="381" w:lineRule="auto"/>
        <w:ind w:right="118"/>
        <w:rPr>
          <w:rFonts w:hint="eastAsia"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w w:val="95"/>
          <w:highlight w:val="none"/>
        </w:rPr>
        <w:t>（盖章）</w:t>
      </w:r>
      <w:r>
        <w:rPr>
          <w:rFonts w:hint="eastAsia" w:ascii="宋体" w:hAnsi="宋体" w:eastAsia="宋体" w:cs="宋体"/>
          <w:highlight w:val="none"/>
        </w:rPr>
        <w:t xml:space="preserve"> </w:t>
      </w:r>
    </w:p>
    <w:p>
      <w:pPr>
        <w:pStyle w:val="2"/>
        <w:tabs>
          <w:tab w:val="left" w:pos="8227"/>
        </w:tabs>
        <w:kinsoku w:val="0"/>
        <w:overflowPunct w:val="0"/>
        <w:spacing w:before="0" w:line="381" w:lineRule="auto"/>
        <w:ind w:right="118"/>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w w:val="95"/>
          <w:highlight w:val="none"/>
        </w:rPr>
        <w:t>（签字）</w:t>
      </w:r>
    </w:p>
    <w:p>
      <w:pPr>
        <w:pStyle w:val="2"/>
        <w:tabs>
          <w:tab w:val="left" w:pos="5551"/>
          <w:tab w:val="left" w:pos="6511"/>
          <w:tab w:val="left" w:pos="7111"/>
          <w:tab w:val="left" w:pos="7711"/>
        </w:tabs>
        <w:kinsoku w:val="0"/>
        <w:overflowPunct w:val="0"/>
        <w:spacing w:before="46"/>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lang w:val="en-US" w:eastAsia="zh-CN"/>
        </w:rPr>
        <w:t xml:space="preserve"> </w:t>
      </w:r>
      <w:r>
        <w:rPr>
          <w:rFonts w:hint="eastAsia" w:ascii="宋体" w:hAnsi="宋体" w:eastAsia="宋体" w:cs="宋体"/>
          <w:highlight w:val="none"/>
        </w:rPr>
        <w:t>年</w:t>
      </w:r>
      <w:r>
        <w:rPr>
          <w:rFonts w:hint="eastAsia" w:ascii="宋体" w:hAnsi="宋体" w:eastAsia="宋体" w:cs="宋体"/>
          <w:highlight w:val="none"/>
          <w:lang w:val="en-US" w:eastAsia="zh-CN"/>
        </w:rPr>
        <w:t xml:space="preserve"> </w:t>
      </w:r>
      <w:r>
        <w:rPr>
          <w:rFonts w:hint="eastAsia" w:ascii="宋体" w:hAnsi="宋体" w:eastAsia="宋体" w:cs="宋体"/>
          <w:highlight w:val="none"/>
        </w:rPr>
        <w:t>月</w:t>
      </w:r>
      <w:r>
        <w:rPr>
          <w:rFonts w:hint="eastAsia" w:ascii="宋体" w:hAnsi="宋体" w:eastAsia="宋体" w:cs="宋体"/>
          <w:highlight w:val="none"/>
          <w:lang w:val="en-US" w:eastAsia="zh-CN"/>
        </w:rPr>
        <w:t xml:space="preserve"> </w:t>
      </w:r>
      <w:r>
        <w:rPr>
          <w:rFonts w:hint="eastAsia" w:ascii="宋体" w:hAnsi="宋体" w:eastAsia="宋体" w:cs="宋体"/>
          <w:highlight w:val="none"/>
        </w:rPr>
        <w:t>日</w:t>
      </w:r>
    </w:p>
    <w:p>
      <w:pPr>
        <w:jc w:val="center"/>
        <w:rPr>
          <w:rFonts w:hint="eastAsia" w:ascii="宋体" w:hAnsi="宋体" w:eastAsia="宋体" w:cs="宋体"/>
          <w:b/>
          <w:kern w:val="0"/>
          <w:sz w:val="24"/>
          <w:szCs w:val="24"/>
          <w:highlight w:val="none"/>
        </w:rPr>
      </w:pPr>
      <w:r>
        <w:rPr>
          <w:rFonts w:hint="eastAsia" w:ascii="宋体" w:hAnsi="宋体" w:eastAsia="宋体" w:cs="宋体"/>
          <w:highlight w:val="none"/>
        </w:rPr>
        <w:br w:type="page"/>
      </w:r>
      <w:r>
        <w:rPr>
          <w:rFonts w:hint="eastAsia" w:ascii="宋体" w:hAnsi="宋体" w:eastAsia="宋体" w:cs="宋体"/>
          <w:b/>
          <w:kern w:val="0"/>
          <w:sz w:val="24"/>
          <w:szCs w:val="24"/>
          <w:highlight w:val="none"/>
        </w:rPr>
        <w:t>政策适用性说明</w:t>
      </w:r>
    </w:p>
    <w:p>
      <w:pPr>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按照政府采购有关政策的要求，在本次的技术方案中，采用符合政策的小型或微型企业产品、节能产品、环保标志产品，主要产品与核心技术介绍说明如下：</w:t>
      </w:r>
    </w:p>
    <w:tbl>
      <w:tblPr>
        <w:tblStyle w:val="21"/>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2379"/>
        <w:gridCol w:w="982"/>
        <w:gridCol w:w="942"/>
        <w:gridCol w:w="876"/>
        <w:gridCol w:w="982"/>
        <w:gridCol w:w="1010"/>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序号</w:t>
            </w: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主要产品/技术名称</w:t>
            </w:r>
          </w:p>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（规格型号、注册商标）</w:t>
            </w: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rPr>
              <w:t>制造商</w:t>
            </w:r>
          </w:p>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(开发商)</w:t>
            </w: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企业类型</w:t>
            </w: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rPr>
              <w:t>节能</w:t>
            </w:r>
          </w:p>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产品</w:t>
            </w: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环保标志产品</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认证证书编号</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该产品报价（合计）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7171"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总合计（节能产品）</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7171"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总合计（环保产品）</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bl>
    <w:p>
      <w:pPr>
        <w:rPr>
          <w:rFonts w:hint="eastAsia" w:ascii="宋体" w:hAnsi="宋体" w:eastAsia="宋体" w:cs="宋体"/>
          <w:b/>
          <w:bCs/>
          <w:kern w:val="0"/>
          <w:sz w:val="24"/>
          <w:szCs w:val="24"/>
          <w:highlight w:val="none"/>
        </w:rPr>
      </w:pP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注：1</w:t>
      </w:r>
      <w:r>
        <w:rPr>
          <w:rFonts w:hint="eastAsia" w:ascii="宋体" w:hAnsi="宋体" w:cs="宋体"/>
          <w:b/>
          <w:bCs/>
          <w:kern w:val="0"/>
          <w:sz w:val="24"/>
          <w:szCs w:val="24"/>
          <w:highlight w:val="none"/>
          <w:lang w:eastAsia="zh-CN"/>
        </w:rPr>
        <w:t>、</w:t>
      </w:r>
      <w:r>
        <w:rPr>
          <w:rFonts w:hint="eastAsia" w:ascii="宋体" w:hAnsi="宋体" w:eastAsia="宋体" w:cs="宋体"/>
          <w:b/>
          <w:bCs/>
          <w:kern w:val="0"/>
          <w:sz w:val="24"/>
          <w:szCs w:val="24"/>
          <w:highlight w:val="none"/>
        </w:rPr>
        <w:t>企业为小型或微型企业时才需要填“企业类型”栏，填写内容为“小型”或“微型”；</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2、“节能产品、环保标志产品”是属于国家行业主管部门颁布的清单目录中的产品，须填写认证证书编号，并在“节能产品”、“环保标志产品”栏中填写属于“第　  期清单”的产品（产品被列入多期清单的，以最新一期为准），同时提供有效期内的下述文件（均为复印件，加盖报价供应商公章）：</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（1）属于“节能产品政府采购清单”中品目的产品，提供“节能产品政府采购清单（第___期）”中报价产品所在清单页并加盖报价供应商公章，节能清单在中国政府采购网（http：//www.ccgp.gov .cn/）、国家发展改革委网站（</w:t>
      </w:r>
      <w:r>
        <w:rPr>
          <w:rFonts w:hint="eastAsia" w:ascii="宋体" w:hAnsi="宋体" w:eastAsia="宋体" w:cs="宋体"/>
          <w:b/>
          <w:bCs/>
          <w:kern w:val="0"/>
          <w:sz w:val="24"/>
          <w:szCs w:val="24"/>
          <w:highlight w:val="none"/>
        </w:rPr>
        <w:fldChar w:fldCharType="begin"/>
      </w:r>
      <w:r>
        <w:rPr>
          <w:rFonts w:hint="eastAsia" w:ascii="宋体" w:hAnsi="宋体" w:eastAsia="宋体" w:cs="宋体"/>
          <w:b/>
          <w:bCs/>
          <w:kern w:val="0"/>
          <w:sz w:val="24"/>
          <w:szCs w:val="24"/>
          <w:highlight w:val="none"/>
        </w:rPr>
        <w:instrText xml:space="preserve"> HYPERLINK "http://hzs.nd/" </w:instrText>
      </w:r>
      <w:r>
        <w:rPr>
          <w:rFonts w:hint="eastAsia" w:ascii="宋体" w:hAnsi="宋体" w:eastAsia="宋体" w:cs="宋体"/>
          <w:b/>
          <w:bCs/>
          <w:kern w:val="0"/>
          <w:sz w:val="24"/>
          <w:szCs w:val="24"/>
          <w:highlight w:val="none"/>
        </w:rPr>
        <w:fldChar w:fldCharType="separate"/>
      </w:r>
      <w:r>
        <w:rPr>
          <w:rFonts w:hint="eastAsia" w:ascii="宋体" w:hAnsi="宋体" w:eastAsia="宋体" w:cs="宋体"/>
          <w:b/>
          <w:bCs/>
          <w:kern w:val="0"/>
          <w:sz w:val="24"/>
          <w:szCs w:val="24"/>
          <w:highlight w:val="none"/>
        </w:rPr>
        <w:t>http://hzs.nd</w:t>
      </w:r>
      <w:r>
        <w:rPr>
          <w:rFonts w:hint="eastAsia" w:ascii="宋体" w:hAnsi="宋体" w:eastAsia="宋体" w:cs="宋体"/>
          <w:b/>
          <w:bCs/>
          <w:kern w:val="0"/>
          <w:sz w:val="24"/>
          <w:szCs w:val="24"/>
          <w:highlight w:val="none"/>
        </w:rPr>
        <w:fldChar w:fldCharType="end"/>
      </w:r>
      <w:r>
        <w:rPr>
          <w:rFonts w:hint="eastAsia" w:ascii="宋体" w:hAnsi="宋体" w:eastAsia="宋体" w:cs="宋体"/>
          <w:b/>
          <w:bCs/>
          <w:kern w:val="0"/>
          <w:sz w:val="24"/>
          <w:szCs w:val="24"/>
          <w:highlight w:val="none"/>
        </w:rPr>
        <w:t xml:space="preserve"> rc.gv.cn/）和中国质量认证中心网站（http://www.cqc.com.cn/）上发布；</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2）属于“环境标志产品政府采购清单”中品目的产品，提供最新“环境标志产品政府采购清单（第___期）”中报价产品所在清单页并加盖报价供应商公章，清单在中国政府采购网（http://www.ccgp.gov.cn/）、国家环境保护总局网（http://www.sepa.gov.cn/）、中国绿色采购网（http://www.cgpn. cn/）上发布；</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3、如不填写或填写不全，后果自行承担。</w:t>
      </w:r>
    </w:p>
    <w:p>
      <w:pPr>
        <w:pStyle w:val="2"/>
        <w:tabs>
          <w:tab w:val="left" w:pos="8227"/>
        </w:tabs>
        <w:kinsoku w:val="0"/>
        <w:overflowPunct w:val="0"/>
        <w:spacing w:before="0" w:line="381" w:lineRule="auto"/>
        <w:ind w:left="4027" w:right="118"/>
        <w:rPr>
          <w:rFonts w:hint="eastAsia" w:ascii="宋体" w:hAnsi="宋体" w:eastAsia="宋体" w:cs="宋体"/>
          <w:b/>
          <w:bCs/>
          <w:highlight w:val="none"/>
        </w:rPr>
      </w:pPr>
    </w:p>
    <w:p>
      <w:pPr>
        <w:pStyle w:val="2"/>
        <w:tabs>
          <w:tab w:val="left" w:pos="8227"/>
        </w:tabs>
        <w:kinsoku w:val="0"/>
        <w:overflowPunct w:val="0"/>
        <w:spacing w:before="0" w:line="381" w:lineRule="auto"/>
        <w:ind w:right="118"/>
        <w:jc w:val="left"/>
        <w:rPr>
          <w:rFonts w:hint="eastAsia" w:ascii="宋体" w:hAnsi="宋体" w:eastAsia="宋体" w:cs="宋体"/>
          <w:b/>
          <w:bCs/>
          <w:highlight w:val="none"/>
        </w:rPr>
      </w:pPr>
      <w:r>
        <w:rPr>
          <w:rFonts w:hint="eastAsia" w:ascii="宋体" w:hAnsi="宋体" w:eastAsia="宋体" w:cs="宋体"/>
          <w:b/>
          <w:bCs/>
          <w:highlight w:val="none"/>
        </w:rPr>
        <w:t>供应商：</w:t>
      </w:r>
      <w:r>
        <w:rPr>
          <w:rFonts w:hint="eastAsia" w:ascii="宋体" w:hAnsi="宋体" w:eastAsia="宋体" w:cs="宋体"/>
          <w:b/>
          <w:bCs/>
          <w:w w:val="95"/>
          <w:highlight w:val="none"/>
        </w:rPr>
        <w:t>（盖章）</w:t>
      </w:r>
    </w:p>
    <w:p>
      <w:pPr>
        <w:pStyle w:val="2"/>
        <w:tabs>
          <w:tab w:val="left" w:pos="8227"/>
        </w:tabs>
        <w:kinsoku w:val="0"/>
        <w:overflowPunct w:val="0"/>
        <w:spacing w:before="0" w:line="381" w:lineRule="auto"/>
        <w:ind w:right="118"/>
        <w:jc w:val="left"/>
        <w:rPr>
          <w:rFonts w:hint="eastAsia" w:ascii="宋体" w:hAnsi="宋体" w:eastAsia="宋体" w:cs="宋体"/>
          <w:b/>
          <w:bCs/>
          <w:w w:val="95"/>
          <w:highlight w:val="none"/>
        </w:rPr>
      </w:pPr>
      <w:r>
        <w:rPr>
          <w:rFonts w:hint="eastAsia" w:ascii="宋体" w:hAnsi="宋体" w:eastAsia="宋体" w:cs="宋体"/>
          <w:b/>
          <w:bCs/>
          <w:highlight w:val="none"/>
        </w:rPr>
        <w:t>法定代表人或被授权人：</w:t>
      </w:r>
      <w:r>
        <w:rPr>
          <w:rFonts w:hint="eastAsia" w:ascii="宋体" w:hAnsi="宋体" w:eastAsia="宋体" w:cs="宋体"/>
          <w:b/>
          <w:bCs/>
          <w:w w:val="95"/>
          <w:highlight w:val="none"/>
        </w:rPr>
        <w:t>（签字）</w:t>
      </w:r>
    </w:p>
    <w:p>
      <w:pPr>
        <w:pStyle w:val="2"/>
        <w:tabs>
          <w:tab w:val="left" w:pos="5551"/>
          <w:tab w:val="left" w:pos="6511"/>
          <w:tab w:val="left" w:pos="7111"/>
          <w:tab w:val="left" w:pos="7711"/>
        </w:tabs>
        <w:kinsoku w:val="0"/>
        <w:overflowPunct w:val="0"/>
        <w:spacing w:before="46"/>
        <w:jc w:val="left"/>
        <w:rPr>
          <w:rFonts w:hint="eastAsia" w:ascii="宋体" w:hAnsi="宋体" w:eastAsia="宋体" w:cs="宋体"/>
          <w:b/>
          <w:bCs/>
          <w:highlight w:val="none"/>
        </w:rPr>
      </w:pPr>
      <w:r>
        <w:rPr>
          <w:rFonts w:hint="eastAsia" w:ascii="宋体" w:hAnsi="宋体" w:eastAsia="宋体" w:cs="宋体"/>
          <w:b/>
          <w:bCs/>
          <w:highlight w:val="none"/>
        </w:rPr>
        <w:t>日期：年月日</w:t>
      </w:r>
    </w:p>
    <w:p>
      <w:pPr>
        <w:pStyle w:val="2"/>
        <w:tabs>
          <w:tab w:val="left" w:pos="5551"/>
          <w:tab w:val="left" w:pos="6511"/>
          <w:tab w:val="left" w:pos="7111"/>
          <w:tab w:val="left" w:pos="7711"/>
        </w:tabs>
        <w:kinsoku w:val="0"/>
        <w:overflowPunct w:val="0"/>
        <w:spacing w:before="46"/>
        <w:ind w:left="0"/>
        <w:rPr>
          <w:rFonts w:hint="eastAsia" w:ascii="宋体" w:hAnsi="宋体" w:eastAsia="宋体" w:cs="宋体"/>
          <w:highlight w:val="none"/>
        </w:rPr>
      </w:pPr>
      <w:r>
        <w:rPr>
          <w:rFonts w:hint="eastAsia" w:ascii="宋体" w:hAnsi="宋体" w:eastAsia="宋体" w:cs="宋体"/>
          <w:highlight w:val="none"/>
        </w:rPr>
        <w:br w:type="page"/>
      </w:r>
    </w:p>
    <w:p>
      <w:pPr>
        <w:pStyle w:val="2"/>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b/>
          <w:bCs/>
          <w:sz w:val="36"/>
          <w:szCs w:val="36"/>
          <w:highlight w:val="none"/>
        </w:rPr>
        <w:t>七、供应商基本情况</w:t>
      </w:r>
    </w:p>
    <w:p>
      <w:pPr>
        <w:pStyle w:val="2"/>
        <w:kinsoku w:val="0"/>
        <w:overflowPunct w:val="0"/>
        <w:spacing w:before="0"/>
        <w:ind w:left="3104" w:right="2998"/>
        <w:jc w:val="center"/>
        <w:rPr>
          <w:rFonts w:hint="eastAsia" w:ascii="宋体" w:hAnsi="宋体" w:eastAsia="宋体" w:cs="宋体"/>
          <w:b/>
          <w:bCs/>
          <w:highlight w:val="none"/>
        </w:rPr>
      </w:pPr>
      <w:r>
        <w:rPr>
          <w:rFonts w:hint="eastAsia" w:ascii="宋体" w:hAnsi="宋体" w:eastAsia="宋体" w:cs="宋体"/>
          <w:b/>
          <w:bCs/>
          <w:highlight w:val="none"/>
        </w:rPr>
        <w:t>（一）供应商基本情况表</w:t>
      </w:r>
    </w:p>
    <w:tbl>
      <w:tblPr>
        <w:tblStyle w:val="21"/>
        <w:tblW w:w="900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4"/>
        <w:gridCol w:w="1416"/>
        <w:gridCol w:w="208"/>
        <w:gridCol w:w="1068"/>
        <w:gridCol w:w="143"/>
        <w:gridCol w:w="1418"/>
        <w:gridCol w:w="140"/>
        <w:gridCol w:w="427"/>
        <w:gridCol w:w="814"/>
        <w:gridCol w:w="13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984" w:type="dxa"/>
            <w:noWrap w:val="0"/>
            <w:vAlign w:val="center"/>
          </w:tcPr>
          <w:p>
            <w:pPr>
              <w:topLinePunct/>
              <w:jc w:val="center"/>
              <w:rPr>
                <w:rFonts w:ascii="宋体" w:hAnsi="宋体"/>
                <w:szCs w:val="21"/>
              </w:rPr>
            </w:pPr>
            <w:r>
              <w:rPr>
                <w:rFonts w:hint="eastAsia" w:ascii="宋体" w:hAnsi="宋体"/>
                <w:szCs w:val="21"/>
              </w:rPr>
              <w:t>供应商</w:t>
            </w:r>
            <w:r>
              <w:rPr>
                <w:rFonts w:ascii="宋体" w:hAnsi="宋体"/>
                <w:szCs w:val="21"/>
              </w:rPr>
              <w:t>名称</w:t>
            </w:r>
          </w:p>
        </w:tc>
        <w:tc>
          <w:tcPr>
            <w:tcW w:w="7016" w:type="dxa"/>
            <w:gridSpan w:val="9"/>
            <w:noWrap w:val="0"/>
            <w:vAlign w:val="center"/>
          </w:tcPr>
          <w:p>
            <w:pPr>
              <w:topLinePunct/>
              <w:spacing w:line="44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984" w:type="dxa"/>
            <w:noWrap w:val="0"/>
            <w:vAlign w:val="center"/>
          </w:tcPr>
          <w:p>
            <w:pPr>
              <w:topLinePunct/>
              <w:jc w:val="center"/>
              <w:rPr>
                <w:rFonts w:ascii="宋体" w:hAnsi="宋体"/>
                <w:szCs w:val="21"/>
              </w:rPr>
            </w:pPr>
            <w:r>
              <w:rPr>
                <w:rFonts w:hint="eastAsia" w:ascii="宋体" w:hAnsi="宋体"/>
                <w:szCs w:val="21"/>
              </w:rPr>
              <w:t>统一社会信用代码</w:t>
            </w:r>
          </w:p>
        </w:tc>
        <w:tc>
          <w:tcPr>
            <w:tcW w:w="1416" w:type="dxa"/>
            <w:noWrap w:val="0"/>
            <w:vAlign w:val="center"/>
          </w:tcPr>
          <w:p>
            <w:pPr>
              <w:topLinePunct/>
              <w:spacing w:line="440" w:lineRule="exact"/>
              <w:jc w:val="center"/>
              <w:rPr>
                <w:rFonts w:ascii="宋体" w:hAnsi="宋体"/>
                <w:szCs w:val="21"/>
              </w:rPr>
            </w:pPr>
          </w:p>
        </w:tc>
        <w:tc>
          <w:tcPr>
            <w:tcW w:w="1419" w:type="dxa"/>
            <w:gridSpan w:val="3"/>
            <w:noWrap w:val="0"/>
            <w:vAlign w:val="center"/>
          </w:tcPr>
          <w:p>
            <w:pPr>
              <w:topLinePunct/>
              <w:jc w:val="center"/>
              <w:rPr>
                <w:rFonts w:ascii="宋体" w:hAnsi="宋体"/>
                <w:szCs w:val="21"/>
              </w:rPr>
            </w:pPr>
            <w:r>
              <w:rPr>
                <w:rFonts w:hint="eastAsia" w:ascii="宋体" w:hAnsi="宋体"/>
                <w:szCs w:val="21"/>
              </w:rPr>
              <w:t>注册资金</w:t>
            </w:r>
          </w:p>
        </w:tc>
        <w:tc>
          <w:tcPr>
            <w:tcW w:w="1418" w:type="dxa"/>
            <w:noWrap w:val="0"/>
            <w:vAlign w:val="center"/>
          </w:tcPr>
          <w:p>
            <w:pPr>
              <w:topLinePunct/>
              <w:jc w:val="center"/>
              <w:rPr>
                <w:rFonts w:ascii="宋体" w:hAnsi="宋体"/>
                <w:szCs w:val="21"/>
              </w:rPr>
            </w:pPr>
          </w:p>
        </w:tc>
        <w:tc>
          <w:tcPr>
            <w:tcW w:w="1381" w:type="dxa"/>
            <w:gridSpan w:val="3"/>
            <w:noWrap w:val="0"/>
            <w:vAlign w:val="center"/>
          </w:tcPr>
          <w:p>
            <w:pPr>
              <w:topLinePunct/>
              <w:spacing w:line="440" w:lineRule="exact"/>
              <w:jc w:val="center"/>
              <w:rPr>
                <w:rFonts w:ascii="宋体" w:hAnsi="宋体"/>
                <w:szCs w:val="21"/>
              </w:rPr>
            </w:pPr>
            <w:r>
              <w:rPr>
                <w:rFonts w:hint="eastAsia" w:ascii="宋体" w:hAnsi="宋体"/>
                <w:szCs w:val="21"/>
              </w:rPr>
              <w:t>成立时间</w:t>
            </w:r>
          </w:p>
        </w:tc>
        <w:tc>
          <w:tcPr>
            <w:tcW w:w="1382" w:type="dxa"/>
            <w:noWrap w:val="0"/>
            <w:vAlign w:val="center"/>
          </w:tcPr>
          <w:p>
            <w:pPr>
              <w:topLinePunct/>
              <w:spacing w:line="44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984" w:type="dxa"/>
            <w:noWrap w:val="0"/>
            <w:vAlign w:val="center"/>
          </w:tcPr>
          <w:p>
            <w:pPr>
              <w:topLinePunct/>
              <w:jc w:val="center"/>
              <w:rPr>
                <w:rFonts w:hint="eastAsia" w:ascii="宋体" w:hAnsi="宋体"/>
                <w:szCs w:val="21"/>
              </w:rPr>
            </w:pPr>
            <w:r>
              <w:rPr>
                <w:rFonts w:hint="eastAsia" w:ascii="宋体" w:hAnsi="宋体"/>
                <w:szCs w:val="21"/>
              </w:rPr>
              <w:t>注册地址</w:t>
            </w:r>
          </w:p>
        </w:tc>
        <w:tc>
          <w:tcPr>
            <w:tcW w:w="4253" w:type="dxa"/>
            <w:gridSpan w:val="5"/>
            <w:noWrap w:val="0"/>
            <w:vAlign w:val="center"/>
          </w:tcPr>
          <w:p>
            <w:pPr>
              <w:topLinePunct/>
              <w:spacing w:line="440" w:lineRule="exact"/>
              <w:jc w:val="center"/>
              <w:rPr>
                <w:rFonts w:ascii="宋体" w:hAnsi="宋体"/>
                <w:szCs w:val="21"/>
              </w:rPr>
            </w:pPr>
          </w:p>
        </w:tc>
        <w:tc>
          <w:tcPr>
            <w:tcW w:w="1381" w:type="dxa"/>
            <w:gridSpan w:val="3"/>
            <w:noWrap w:val="0"/>
            <w:vAlign w:val="center"/>
          </w:tcPr>
          <w:p>
            <w:pPr>
              <w:topLinePunct/>
              <w:spacing w:line="440" w:lineRule="exact"/>
              <w:jc w:val="center"/>
              <w:rPr>
                <w:rFonts w:ascii="宋体" w:hAnsi="宋体"/>
                <w:szCs w:val="21"/>
              </w:rPr>
            </w:pPr>
            <w:r>
              <w:rPr>
                <w:rFonts w:hint="eastAsia" w:ascii="宋体" w:hAnsi="宋体"/>
                <w:szCs w:val="21"/>
              </w:rPr>
              <w:t>资产总额</w:t>
            </w:r>
          </w:p>
        </w:tc>
        <w:tc>
          <w:tcPr>
            <w:tcW w:w="1382" w:type="dxa"/>
            <w:noWrap w:val="0"/>
            <w:vAlign w:val="center"/>
          </w:tcPr>
          <w:p>
            <w:pPr>
              <w:topLinePunct/>
              <w:spacing w:line="44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noWrap w:val="0"/>
            <w:vAlign w:val="center"/>
          </w:tcPr>
          <w:p>
            <w:pPr>
              <w:topLinePunct/>
              <w:jc w:val="center"/>
              <w:rPr>
                <w:rFonts w:hint="eastAsia" w:ascii="宋体" w:hAnsi="宋体"/>
                <w:szCs w:val="21"/>
              </w:rPr>
            </w:pPr>
            <w:r>
              <w:rPr>
                <w:rFonts w:hint="eastAsia" w:ascii="宋体" w:hAnsi="宋体"/>
                <w:szCs w:val="21"/>
              </w:rPr>
              <w:t>上年营业额</w:t>
            </w:r>
          </w:p>
        </w:tc>
        <w:tc>
          <w:tcPr>
            <w:tcW w:w="1416" w:type="dxa"/>
            <w:noWrap w:val="0"/>
            <w:vAlign w:val="center"/>
          </w:tcPr>
          <w:p>
            <w:pPr>
              <w:topLinePunct/>
              <w:jc w:val="center"/>
              <w:rPr>
                <w:rFonts w:hint="eastAsia" w:ascii="宋体" w:hAnsi="宋体"/>
                <w:szCs w:val="21"/>
              </w:rPr>
            </w:pPr>
          </w:p>
        </w:tc>
        <w:tc>
          <w:tcPr>
            <w:tcW w:w="1419" w:type="dxa"/>
            <w:gridSpan w:val="3"/>
            <w:noWrap w:val="0"/>
            <w:vAlign w:val="center"/>
          </w:tcPr>
          <w:p>
            <w:pPr>
              <w:topLinePunct/>
              <w:jc w:val="center"/>
              <w:rPr>
                <w:rFonts w:hint="eastAsia" w:ascii="宋体" w:hAnsi="宋体"/>
                <w:szCs w:val="21"/>
              </w:rPr>
            </w:pPr>
            <w:r>
              <w:rPr>
                <w:rFonts w:hint="eastAsia" w:ascii="宋体" w:hAnsi="宋体"/>
                <w:szCs w:val="21"/>
              </w:rPr>
              <w:t>员工总人数</w:t>
            </w:r>
          </w:p>
        </w:tc>
        <w:tc>
          <w:tcPr>
            <w:tcW w:w="1418" w:type="dxa"/>
            <w:noWrap w:val="0"/>
            <w:vAlign w:val="center"/>
          </w:tcPr>
          <w:p>
            <w:pPr>
              <w:topLinePunct/>
              <w:jc w:val="center"/>
              <w:rPr>
                <w:rFonts w:hint="eastAsia" w:ascii="宋体" w:hAnsi="宋体"/>
                <w:szCs w:val="21"/>
              </w:rPr>
            </w:pPr>
          </w:p>
        </w:tc>
        <w:tc>
          <w:tcPr>
            <w:tcW w:w="1381" w:type="dxa"/>
            <w:gridSpan w:val="3"/>
            <w:noWrap w:val="0"/>
            <w:vAlign w:val="center"/>
          </w:tcPr>
          <w:p>
            <w:pPr>
              <w:topLinePunct/>
              <w:spacing w:line="440" w:lineRule="exact"/>
              <w:jc w:val="center"/>
              <w:rPr>
                <w:rFonts w:hint="eastAsia" w:ascii="宋体" w:hAnsi="宋体"/>
                <w:szCs w:val="21"/>
              </w:rPr>
            </w:pPr>
            <w:r>
              <w:rPr>
                <w:rFonts w:hint="eastAsia" w:ascii="宋体" w:hAnsi="宋体"/>
                <w:szCs w:val="21"/>
              </w:rPr>
              <w:t>企业类型</w:t>
            </w:r>
          </w:p>
        </w:tc>
        <w:tc>
          <w:tcPr>
            <w:tcW w:w="1382" w:type="dxa"/>
            <w:noWrap w:val="0"/>
            <w:vAlign w:val="center"/>
          </w:tcPr>
          <w:p>
            <w:pPr>
              <w:topLinePunct/>
              <w:spacing w:line="44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restart"/>
            <w:noWrap w:val="0"/>
            <w:vAlign w:val="center"/>
          </w:tcPr>
          <w:p>
            <w:pPr>
              <w:topLinePunct/>
              <w:jc w:val="center"/>
              <w:rPr>
                <w:rFonts w:hint="eastAsia" w:ascii="宋体" w:hAnsi="宋体"/>
                <w:szCs w:val="21"/>
              </w:rPr>
            </w:pPr>
            <w:r>
              <w:rPr>
                <w:rFonts w:hint="eastAsia" w:ascii="宋体" w:hAnsi="宋体"/>
                <w:szCs w:val="21"/>
              </w:rPr>
              <w:t>法定代表人</w:t>
            </w:r>
          </w:p>
          <w:p>
            <w:pPr>
              <w:topLinePunct/>
              <w:jc w:val="center"/>
              <w:rPr>
                <w:rFonts w:hint="eastAsia" w:ascii="宋体" w:hAnsi="宋体"/>
                <w:szCs w:val="21"/>
              </w:rPr>
            </w:pPr>
            <w:r>
              <w:rPr>
                <w:rFonts w:hint="eastAsia" w:ascii="宋体" w:hAnsi="宋体"/>
                <w:szCs w:val="21"/>
              </w:rPr>
              <w:t xml:space="preserve"> （单位负责人）</w:t>
            </w:r>
          </w:p>
        </w:tc>
        <w:tc>
          <w:tcPr>
            <w:tcW w:w="1416" w:type="dxa"/>
            <w:vMerge w:val="restart"/>
            <w:noWrap w:val="0"/>
            <w:vAlign w:val="center"/>
          </w:tcPr>
          <w:p>
            <w:pPr>
              <w:topLinePunct/>
              <w:jc w:val="center"/>
              <w:rPr>
                <w:rFonts w:hint="eastAsia" w:ascii="宋体" w:hAnsi="宋体"/>
                <w:szCs w:val="21"/>
              </w:rPr>
            </w:pPr>
            <w:r>
              <w:rPr>
                <w:rFonts w:hint="eastAsia" w:ascii="宋体" w:hAnsi="宋体"/>
                <w:szCs w:val="21"/>
              </w:rPr>
              <w:t>姓名</w:t>
            </w:r>
          </w:p>
        </w:tc>
        <w:tc>
          <w:tcPr>
            <w:tcW w:w="1419" w:type="dxa"/>
            <w:gridSpan w:val="3"/>
            <w:vMerge w:val="restart"/>
            <w:noWrap w:val="0"/>
            <w:vAlign w:val="center"/>
          </w:tcPr>
          <w:p>
            <w:pPr>
              <w:topLinePunct/>
              <w:jc w:val="center"/>
              <w:rPr>
                <w:rFonts w:hint="eastAsia" w:ascii="宋体" w:hAnsi="宋体"/>
                <w:szCs w:val="21"/>
              </w:rPr>
            </w:pPr>
          </w:p>
        </w:tc>
        <w:tc>
          <w:tcPr>
            <w:tcW w:w="1418" w:type="dxa"/>
            <w:vMerge w:val="restart"/>
            <w:noWrap w:val="0"/>
            <w:vAlign w:val="center"/>
          </w:tcPr>
          <w:p>
            <w:pPr>
              <w:topLinePunct/>
              <w:jc w:val="center"/>
              <w:rPr>
                <w:rFonts w:hint="eastAsia" w:ascii="宋体" w:hAnsi="宋体"/>
                <w:szCs w:val="21"/>
              </w:rPr>
            </w:pPr>
            <w:r>
              <w:rPr>
                <w:rFonts w:hint="eastAsia" w:ascii="宋体" w:hAnsi="宋体"/>
                <w:szCs w:val="21"/>
              </w:rPr>
              <w:t>电话</w:t>
            </w:r>
          </w:p>
        </w:tc>
        <w:tc>
          <w:tcPr>
            <w:tcW w:w="1381" w:type="dxa"/>
            <w:gridSpan w:val="3"/>
            <w:noWrap w:val="0"/>
            <w:vAlign w:val="center"/>
          </w:tcPr>
          <w:p>
            <w:pPr>
              <w:topLinePunct/>
              <w:spacing w:line="440" w:lineRule="exact"/>
              <w:jc w:val="center"/>
              <w:rPr>
                <w:rFonts w:hint="eastAsia" w:ascii="宋体" w:hAnsi="宋体"/>
                <w:szCs w:val="21"/>
              </w:rPr>
            </w:pPr>
            <w:r>
              <w:rPr>
                <w:rFonts w:hint="eastAsia" w:ascii="宋体" w:hAnsi="宋体"/>
                <w:szCs w:val="21"/>
              </w:rPr>
              <w:t>手机</w:t>
            </w:r>
          </w:p>
        </w:tc>
        <w:tc>
          <w:tcPr>
            <w:tcW w:w="1382" w:type="dxa"/>
            <w:noWrap w:val="0"/>
            <w:vAlign w:val="center"/>
          </w:tcPr>
          <w:p>
            <w:pPr>
              <w:topLinePunct/>
              <w:spacing w:line="44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continue"/>
            <w:noWrap w:val="0"/>
            <w:vAlign w:val="center"/>
          </w:tcPr>
          <w:p>
            <w:pPr>
              <w:topLinePunct/>
              <w:jc w:val="center"/>
              <w:rPr>
                <w:rFonts w:hint="eastAsia" w:ascii="宋体" w:hAnsi="宋体"/>
                <w:szCs w:val="21"/>
              </w:rPr>
            </w:pPr>
          </w:p>
        </w:tc>
        <w:tc>
          <w:tcPr>
            <w:tcW w:w="1416" w:type="dxa"/>
            <w:vMerge w:val="continue"/>
            <w:noWrap w:val="0"/>
            <w:vAlign w:val="center"/>
          </w:tcPr>
          <w:p>
            <w:pPr>
              <w:topLinePunct/>
              <w:jc w:val="center"/>
              <w:rPr>
                <w:rFonts w:hint="eastAsia" w:ascii="宋体" w:hAnsi="宋体"/>
                <w:szCs w:val="21"/>
              </w:rPr>
            </w:pPr>
          </w:p>
        </w:tc>
        <w:tc>
          <w:tcPr>
            <w:tcW w:w="1419" w:type="dxa"/>
            <w:gridSpan w:val="3"/>
            <w:vMerge w:val="continue"/>
            <w:noWrap w:val="0"/>
            <w:vAlign w:val="center"/>
          </w:tcPr>
          <w:p>
            <w:pPr>
              <w:topLinePunct/>
              <w:jc w:val="center"/>
              <w:rPr>
                <w:rFonts w:hint="eastAsia" w:ascii="宋体" w:hAnsi="宋体"/>
                <w:szCs w:val="21"/>
              </w:rPr>
            </w:pPr>
          </w:p>
        </w:tc>
        <w:tc>
          <w:tcPr>
            <w:tcW w:w="1418" w:type="dxa"/>
            <w:vMerge w:val="continue"/>
            <w:noWrap w:val="0"/>
            <w:vAlign w:val="center"/>
          </w:tcPr>
          <w:p>
            <w:pPr>
              <w:topLinePunct/>
              <w:jc w:val="center"/>
              <w:rPr>
                <w:rFonts w:hint="eastAsia" w:ascii="宋体" w:hAnsi="宋体"/>
                <w:szCs w:val="21"/>
              </w:rPr>
            </w:pPr>
          </w:p>
        </w:tc>
        <w:tc>
          <w:tcPr>
            <w:tcW w:w="1381" w:type="dxa"/>
            <w:gridSpan w:val="3"/>
            <w:noWrap w:val="0"/>
            <w:vAlign w:val="center"/>
          </w:tcPr>
          <w:p>
            <w:pPr>
              <w:topLinePunct/>
              <w:spacing w:line="440" w:lineRule="exact"/>
              <w:jc w:val="center"/>
              <w:rPr>
                <w:rFonts w:hint="eastAsia" w:ascii="宋体" w:hAnsi="宋体"/>
                <w:szCs w:val="21"/>
              </w:rPr>
            </w:pPr>
            <w:r>
              <w:rPr>
                <w:rFonts w:hint="eastAsia" w:ascii="宋体" w:hAnsi="宋体"/>
                <w:szCs w:val="21"/>
              </w:rPr>
              <w:t>办公</w:t>
            </w:r>
          </w:p>
        </w:tc>
        <w:tc>
          <w:tcPr>
            <w:tcW w:w="1382" w:type="dxa"/>
            <w:noWrap w:val="0"/>
            <w:vAlign w:val="center"/>
          </w:tcPr>
          <w:p>
            <w:pPr>
              <w:topLinePunct/>
              <w:spacing w:line="44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restart"/>
            <w:noWrap w:val="0"/>
            <w:vAlign w:val="center"/>
          </w:tcPr>
          <w:p>
            <w:pPr>
              <w:topLinePunct/>
              <w:jc w:val="center"/>
              <w:rPr>
                <w:rFonts w:hint="eastAsia" w:ascii="宋体" w:hAnsi="宋体"/>
                <w:szCs w:val="21"/>
              </w:rPr>
            </w:pPr>
            <w:r>
              <w:rPr>
                <w:rFonts w:hint="eastAsia" w:ascii="宋体" w:hAnsi="宋体"/>
                <w:szCs w:val="21"/>
              </w:rPr>
              <w:t>联系方式</w:t>
            </w:r>
          </w:p>
        </w:tc>
        <w:tc>
          <w:tcPr>
            <w:tcW w:w="1416" w:type="dxa"/>
            <w:vMerge w:val="restart"/>
            <w:noWrap w:val="0"/>
            <w:vAlign w:val="center"/>
          </w:tcPr>
          <w:p>
            <w:pPr>
              <w:topLinePunct/>
              <w:jc w:val="center"/>
              <w:rPr>
                <w:rFonts w:hint="eastAsia" w:ascii="宋体" w:hAnsi="宋体"/>
                <w:szCs w:val="21"/>
              </w:rPr>
            </w:pPr>
            <w:r>
              <w:rPr>
                <w:rFonts w:hint="eastAsia" w:ascii="宋体" w:hAnsi="宋体"/>
                <w:szCs w:val="21"/>
              </w:rPr>
              <w:t>联系人</w:t>
            </w:r>
          </w:p>
        </w:tc>
        <w:tc>
          <w:tcPr>
            <w:tcW w:w="1419" w:type="dxa"/>
            <w:gridSpan w:val="3"/>
            <w:vMerge w:val="restart"/>
            <w:noWrap w:val="0"/>
            <w:vAlign w:val="center"/>
          </w:tcPr>
          <w:p>
            <w:pPr>
              <w:topLinePunct/>
              <w:jc w:val="center"/>
              <w:rPr>
                <w:rFonts w:hint="eastAsia" w:ascii="宋体" w:hAnsi="宋体"/>
                <w:szCs w:val="21"/>
              </w:rPr>
            </w:pPr>
          </w:p>
        </w:tc>
        <w:tc>
          <w:tcPr>
            <w:tcW w:w="1418" w:type="dxa"/>
            <w:noWrap w:val="0"/>
            <w:vAlign w:val="center"/>
          </w:tcPr>
          <w:p>
            <w:pPr>
              <w:topLinePunct/>
              <w:jc w:val="center"/>
              <w:rPr>
                <w:rFonts w:hint="eastAsia" w:ascii="宋体" w:hAnsi="宋体"/>
                <w:szCs w:val="21"/>
              </w:rPr>
            </w:pPr>
            <w:r>
              <w:rPr>
                <w:rFonts w:hint="eastAsia" w:ascii="宋体" w:hAnsi="宋体"/>
                <w:szCs w:val="21"/>
              </w:rPr>
              <w:t>电话</w:t>
            </w:r>
          </w:p>
        </w:tc>
        <w:tc>
          <w:tcPr>
            <w:tcW w:w="2763" w:type="dxa"/>
            <w:gridSpan w:val="4"/>
            <w:noWrap w:val="0"/>
            <w:vAlign w:val="center"/>
          </w:tcPr>
          <w:p>
            <w:pPr>
              <w:topLinePunct/>
              <w:spacing w:line="44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continue"/>
            <w:noWrap w:val="0"/>
            <w:vAlign w:val="center"/>
          </w:tcPr>
          <w:p>
            <w:pPr>
              <w:topLinePunct/>
              <w:jc w:val="center"/>
              <w:rPr>
                <w:rFonts w:hint="eastAsia" w:ascii="宋体" w:hAnsi="宋体"/>
                <w:szCs w:val="21"/>
              </w:rPr>
            </w:pPr>
          </w:p>
        </w:tc>
        <w:tc>
          <w:tcPr>
            <w:tcW w:w="1416" w:type="dxa"/>
            <w:vMerge w:val="continue"/>
            <w:noWrap w:val="0"/>
            <w:vAlign w:val="center"/>
          </w:tcPr>
          <w:p>
            <w:pPr>
              <w:topLinePunct/>
              <w:jc w:val="center"/>
              <w:rPr>
                <w:rFonts w:hint="eastAsia" w:ascii="宋体" w:hAnsi="宋体"/>
                <w:szCs w:val="21"/>
              </w:rPr>
            </w:pPr>
          </w:p>
        </w:tc>
        <w:tc>
          <w:tcPr>
            <w:tcW w:w="1419" w:type="dxa"/>
            <w:gridSpan w:val="3"/>
            <w:vMerge w:val="continue"/>
            <w:noWrap w:val="0"/>
            <w:vAlign w:val="center"/>
          </w:tcPr>
          <w:p>
            <w:pPr>
              <w:topLinePunct/>
              <w:jc w:val="center"/>
              <w:rPr>
                <w:rFonts w:hint="eastAsia" w:ascii="宋体" w:hAnsi="宋体"/>
                <w:szCs w:val="21"/>
              </w:rPr>
            </w:pPr>
          </w:p>
        </w:tc>
        <w:tc>
          <w:tcPr>
            <w:tcW w:w="1418" w:type="dxa"/>
            <w:noWrap w:val="0"/>
            <w:vAlign w:val="center"/>
          </w:tcPr>
          <w:p>
            <w:pPr>
              <w:topLinePunct/>
              <w:jc w:val="center"/>
              <w:rPr>
                <w:rFonts w:hint="eastAsia" w:ascii="宋体" w:hAnsi="宋体"/>
                <w:szCs w:val="21"/>
              </w:rPr>
            </w:pPr>
            <w:r>
              <w:rPr>
                <w:rFonts w:hint="eastAsia" w:ascii="宋体" w:hAnsi="宋体"/>
                <w:szCs w:val="21"/>
              </w:rPr>
              <w:t>邮箱</w:t>
            </w:r>
          </w:p>
        </w:tc>
        <w:tc>
          <w:tcPr>
            <w:tcW w:w="2763" w:type="dxa"/>
            <w:gridSpan w:val="4"/>
            <w:noWrap w:val="0"/>
            <w:vAlign w:val="center"/>
          </w:tcPr>
          <w:p>
            <w:pPr>
              <w:topLinePunct/>
              <w:spacing w:line="44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noWrap w:val="0"/>
            <w:vAlign w:val="center"/>
          </w:tcPr>
          <w:p>
            <w:pPr>
              <w:topLinePunct/>
              <w:jc w:val="center"/>
              <w:rPr>
                <w:rFonts w:hint="eastAsia" w:ascii="宋体" w:hAnsi="宋体"/>
                <w:szCs w:val="21"/>
              </w:rPr>
            </w:pPr>
            <w:r>
              <w:rPr>
                <w:rFonts w:hint="eastAsia" w:ascii="宋体" w:hAnsi="宋体"/>
                <w:szCs w:val="21"/>
              </w:rPr>
              <w:t>基本账户开银行行</w:t>
            </w:r>
          </w:p>
        </w:tc>
        <w:tc>
          <w:tcPr>
            <w:tcW w:w="2835" w:type="dxa"/>
            <w:gridSpan w:val="4"/>
            <w:noWrap w:val="0"/>
            <w:vAlign w:val="center"/>
          </w:tcPr>
          <w:p>
            <w:pPr>
              <w:topLinePunct/>
              <w:spacing w:line="440" w:lineRule="exact"/>
              <w:jc w:val="center"/>
              <w:rPr>
                <w:rFonts w:hint="eastAsia" w:ascii="宋体" w:hAnsi="宋体"/>
                <w:szCs w:val="21"/>
              </w:rPr>
            </w:pPr>
          </w:p>
        </w:tc>
        <w:tc>
          <w:tcPr>
            <w:tcW w:w="1985" w:type="dxa"/>
            <w:gridSpan w:val="3"/>
            <w:noWrap w:val="0"/>
            <w:vAlign w:val="center"/>
          </w:tcPr>
          <w:p>
            <w:pPr>
              <w:topLinePunct/>
              <w:spacing w:line="440" w:lineRule="exact"/>
              <w:jc w:val="center"/>
              <w:rPr>
                <w:rFonts w:hint="eastAsia" w:ascii="宋体" w:hAnsi="宋体"/>
                <w:szCs w:val="21"/>
              </w:rPr>
            </w:pPr>
            <w:r>
              <w:rPr>
                <w:rFonts w:hint="eastAsia" w:ascii="宋体" w:hAnsi="宋体"/>
                <w:szCs w:val="21"/>
              </w:rPr>
              <w:t>基本账户银行账号</w:t>
            </w:r>
          </w:p>
        </w:tc>
        <w:tc>
          <w:tcPr>
            <w:tcW w:w="2196" w:type="dxa"/>
            <w:gridSpan w:val="2"/>
            <w:noWrap w:val="0"/>
            <w:vAlign w:val="center"/>
          </w:tcPr>
          <w:p>
            <w:pPr>
              <w:topLinePunct/>
              <w:spacing w:line="44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88" w:hRule="atLeast"/>
        </w:trPr>
        <w:tc>
          <w:tcPr>
            <w:tcW w:w="1984" w:type="dxa"/>
            <w:noWrap w:val="0"/>
            <w:vAlign w:val="center"/>
          </w:tcPr>
          <w:p>
            <w:pPr>
              <w:topLinePunct/>
              <w:spacing w:line="360" w:lineRule="exact"/>
              <w:rPr>
                <w:rFonts w:hint="eastAsia" w:ascii="宋体" w:hAnsi="宋体"/>
                <w:szCs w:val="21"/>
              </w:rPr>
            </w:pPr>
            <w:r>
              <w:rPr>
                <w:rFonts w:hint="eastAsia" w:ascii="宋体" w:hAnsi="宋体"/>
                <w:szCs w:val="21"/>
              </w:rPr>
              <w:t>投标人关联企业情况（包括但不限于与投标人法定代表人为同一人或者存在控股、管理关系的不同单位）</w:t>
            </w:r>
          </w:p>
        </w:tc>
        <w:tc>
          <w:tcPr>
            <w:tcW w:w="7016" w:type="dxa"/>
            <w:gridSpan w:val="9"/>
            <w:noWrap w:val="0"/>
            <w:vAlign w:val="center"/>
          </w:tcPr>
          <w:p>
            <w:pPr>
              <w:topLinePunct/>
              <w:spacing w:line="44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9" w:hRule="atLeast"/>
        </w:trPr>
        <w:tc>
          <w:tcPr>
            <w:tcW w:w="3608" w:type="dxa"/>
            <w:gridSpan w:val="3"/>
            <w:noWrap w:val="0"/>
            <w:vAlign w:val="center"/>
          </w:tcPr>
          <w:p>
            <w:pPr>
              <w:topLinePunct/>
              <w:jc w:val="center"/>
              <w:rPr>
                <w:rFonts w:ascii="宋体" w:hAnsi="宋体"/>
                <w:szCs w:val="21"/>
              </w:rPr>
            </w:pPr>
            <w:r>
              <w:rPr>
                <w:rFonts w:hint="eastAsia" w:ascii="宋体" w:hAnsi="宋体"/>
                <w:szCs w:val="21"/>
              </w:rPr>
              <w:t>供应商需具有的</w:t>
            </w:r>
            <w:r>
              <w:rPr>
                <w:rFonts w:ascii="宋体" w:hAnsi="宋体"/>
                <w:szCs w:val="21"/>
              </w:rPr>
              <w:t>资质</w:t>
            </w:r>
            <w:r>
              <w:rPr>
                <w:rFonts w:hint="eastAsia" w:ascii="宋体" w:hAnsi="宋体"/>
                <w:szCs w:val="21"/>
              </w:rPr>
              <w:t>证书</w:t>
            </w:r>
          </w:p>
        </w:tc>
        <w:tc>
          <w:tcPr>
            <w:tcW w:w="1068" w:type="dxa"/>
            <w:noWrap w:val="0"/>
            <w:vAlign w:val="center"/>
          </w:tcPr>
          <w:p>
            <w:pPr>
              <w:topLinePunct/>
              <w:jc w:val="center"/>
              <w:rPr>
                <w:rFonts w:ascii="宋体" w:hAnsi="宋体"/>
                <w:szCs w:val="21"/>
              </w:rPr>
            </w:pPr>
            <w:r>
              <w:rPr>
                <w:rFonts w:ascii="宋体" w:hAnsi="宋体"/>
                <w:szCs w:val="21"/>
              </w:rPr>
              <w:t>等级</w:t>
            </w:r>
          </w:p>
        </w:tc>
        <w:tc>
          <w:tcPr>
            <w:tcW w:w="1701" w:type="dxa"/>
            <w:gridSpan w:val="3"/>
            <w:noWrap w:val="0"/>
            <w:vAlign w:val="center"/>
          </w:tcPr>
          <w:p>
            <w:pPr>
              <w:topLinePunct/>
              <w:jc w:val="center"/>
              <w:rPr>
                <w:rFonts w:ascii="宋体" w:hAnsi="宋体"/>
                <w:szCs w:val="21"/>
              </w:rPr>
            </w:pPr>
            <w:r>
              <w:rPr>
                <w:rFonts w:hint="eastAsia" w:ascii="宋体" w:hAnsi="宋体"/>
                <w:szCs w:val="21"/>
              </w:rPr>
              <w:t>类型</w:t>
            </w:r>
          </w:p>
        </w:tc>
        <w:tc>
          <w:tcPr>
            <w:tcW w:w="2623" w:type="dxa"/>
            <w:gridSpan w:val="3"/>
            <w:noWrap w:val="0"/>
            <w:vAlign w:val="center"/>
          </w:tcPr>
          <w:p>
            <w:pPr>
              <w:topLinePunct/>
              <w:jc w:val="center"/>
              <w:rPr>
                <w:rFonts w:ascii="宋体" w:hAnsi="宋体"/>
                <w:szCs w:val="21"/>
              </w:rPr>
            </w:pPr>
            <w:r>
              <w:rPr>
                <w:rFonts w:hint="eastAsia" w:ascii="宋体" w:hAnsi="宋体"/>
                <w:szCs w:val="21"/>
              </w:rPr>
              <w:t>证书号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trPr>
        <w:tc>
          <w:tcPr>
            <w:tcW w:w="3608" w:type="dxa"/>
            <w:gridSpan w:val="3"/>
            <w:noWrap w:val="0"/>
            <w:vAlign w:val="center"/>
          </w:tcPr>
          <w:p>
            <w:pPr>
              <w:topLinePunct/>
              <w:jc w:val="center"/>
              <w:rPr>
                <w:rFonts w:ascii="宋体" w:hAnsi="宋体"/>
                <w:szCs w:val="21"/>
              </w:rPr>
            </w:pPr>
          </w:p>
        </w:tc>
        <w:tc>
          <w:tcPr>
            <w:tcW w:w="1068" w:type="dxa"/>
            <w:noWrap w:val="0"/>
            <w:vAlign w:val="center"/>
          </w:tcPr>
          <w:p>
            <w:pPr>
              <w:topLinePunct/>
              <w:jc w:val="center"/>
              <w:rPr>
                <w:rFonts w:ascii="宋体" w:hAnsi="宋体"/>
                <w:szCs w:val="21"/>
              </w:rPr>
            </w:pPr>
          </w:p>
        </w:tc>
        <w:tc>
          <w:tcPr>
            <w:tcW w:w="1701" w:type="dxa"/>
            <w:gridSpan w:val="3"/>
            <w:noWrap w:val="0"/>
            <w:vAlign w:val="center"/>
          </w:tcPr>
          <w:p>
            <w:pPr>
              <w:topLinePunct/>
              <w:jc w:val="center"/>
              <w:rPr>
                <w:rFonts w:ascii="宋体" w:hAnsi="宋体"/>
                <w:szCs w:val="21"/>
              </w:rPr>
            </w:pPr>
          </w:p>
        </w:tc>
        <w:tc>
          <w:tcPr>
            <w:tcW w:w="2623" w:type="dxa"/>
            <w:gridSpan w:val="3"/>
            <w:noWrap w:val="0"/>
            <w:vAlign w:val="center"/>
          </w:tcPr>
          <w:p>
            <w:pPr>
              <w:topLinePun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8" w:hRule="atLeast"/>
        </w:trPr>
        <w:tc>
          <w:tcPr>
            <w:tcW w:w="3608" w:type="dxa"/>
            <w:gridSpan w:val="3"/>
            <w:noWrap w:val="0"/>
            <w:vAlign w:val="center"/>
          </w:tcPr>
          <w:p>
            <w:pPr>
              <w:topLinePunct/>
              <w:jc w:val="center"/>
              <w:rPr>
                <w:rFonts w:ascii="宋体" w:hAnsi="宋体"/>
                <w:szCs w:val="21"/>
              </w:rPr>
            </w:pPr>
          </w:p>
        </w:tc>
        <w:tc>
          <w:tcPr>
            <w:tcW w:w="1068" w:type="dxa"/>
            <w:noWrap w:val="0"/>
            <w:vAlign w:val="center"/>
          </w:tcPr>
          <w:p>
            <w:pPr>
              <w:topLinePunct/>
              <w:jc w:val="center"/>
              <w:rPr>
                <w:rFonts w:ascii="宋体" w:hAnsi="宋体"/>
                <w:szCs w:val="21"/>
              </w:rPr>
            </w:pPr>
          </w:p>
        </w:tc>
        <w:tc>
          <w:tcPr>
            <w:tcW w:w="1701" w:type="dxa"/>
            <w:gridSpan w:val="3"/>
            <w:noWrap w:val="0"/>
            <w:vAlign w:val="center"/>
          </w:tcPr>
          <w:p>
            <w:pPr>
              <w:topLinePunct/>
              <w:jc w:val="center"/>
              <w:rPr>
                <w:rFonts w:ascii="宋体" w:hAnsi="宋体"/>
                <w:szCs w:val="21"/>
              </w:rPr>
            </w:pPr>
          </w:p>
        </w:tc>
        <w:tc>
          <w:tcPr>
            <w:tcW w:w="2623" w:type="dxa"/>
            <w:gridSpan w:val="3"/>
            <w:noWrap w:val="0"/>
            <w:vAlign w:val="center"/>
          </w:tcPr>
          <w:p>
            <w:pPr>
              <w:topLinePun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6" w:hRule="atLeast"/>
        </w:trPr>
        <w:tc>
          <w:tcPr>
            <w:tcW w:w="3608" w:type="dxa"/>
            <w:gridSpan w:val="3"/>
            <w:noWrap w:val="0"/>
            <w:vAlign w:val="center"/>
          </w:tcPr>
          <w:p>
            <w:pPr>
              <w:topLinePunct/>
              <w:jc w:val="center"/>
              <w:rPr>
                <w:rFonts w:ascii="宋体" w:hAnsi="宋体"/>
                <w:szCs w:val="21"/>
              </w:rPr>
            </w:pPr>
            <w:r>
              <w:rPr>
                <w:rFonts w:hint="eastAsia" w:ascii="宋体" w:hAnsi="宋体"/>
                <w:szCs w:val="21"/>
              </w:rPr>
              <w:t>投标产品制造商名称</w:t>
            </w:r>
          </w:p>
        </w:tc>
        <w:tc>
          <w:tcPr>
            <w:tcW w:w="5392" w:type="dxa"/>
            <w:gridSpan w:val="7"/>
            <w:noWrap w:val="0"/>
            <w:vAlign w:val="center"/>
          </w:tcPr>
          <w:p>
            <w:pPr>
              <w:topLinePun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2" w:hRule="atLeast"/>
        </w:trPr>
        <w:tc>
          <w:tcPr>
            <w:tcW w:w="3608" w:type="dxa"/>
            <w:gridSpan w:val="3"/>
            <w:noWrap w:val="0"/>
            <w:vAlign w:val="center"/>
          </w:tcPr>
          <w:p>
            <w:pPr>
              <w:topLinePunct/>
              <w:jc w:val="center"/>
              <w:rPr>
                <w:rFonts w:ascii="宋体" w:hAnsi="宋体"/>
                <w:szCs w:val="21"/>
              </w:rPr>
            </w:pPr>
            <w:r>
              <w:rPr>
                <w:rFonts w:hint="eastAsia" w:ascii="宋体" w:hAnsi="宋体"/>
                <w:szCs w:val="21"/>
              </w:rPr>
              <w:t>投标产品制造商需具有的资质证书</w:t>
            </w:r>
          </w:p>
        </w:tc>
        <w:tc>
          <w:tcPr>
            <w:tcW w:w="1068" w:type="dxa"/>
            <w:noWrap w:val="0"/>
            <w:vAlign w:val="center"/>
          </w:tcPr>
          <w:p>
            <w:pPr>
              <w:topLinePunct/>
              <w:jc w:val="center"/>
              <w:rPr>
                <w:rFonts w:ascii="宋体" w:hAnsi="宋体"/>
                <w:szCs w:val="21"/>
              </w:rPr>
            </w:pPr>
            <w:r>
              <w:rPr>
                <w:rFonts w:hint="eastAsia" w:ascii="宋体" w:hAnsi="宋体"/>
                <w:szCs w:val="21"/>
              </w:rPr>
              <w:t>等级</w:t>
            </w:r>
          </w:p>
        </w:tc>
        <w:tc>
          <w:tcPr>
            <w:tcW w:w="1701" w:type="dxa"/>
            <w:gridSpan w:val="3"/>
            <w:noWrap w:val="0"/>
            <w:vAlign w:val="center"/>
          </w:tcPr>
          <w:p>
            <w:pPr>
              <w:topLinePunct/>
              <w:jc w:val="center"/>
              <w:rPr>
                <w:rFonts w:ascii="宋体" w:hAnsi="宋体"/>
                <w:szCs w:val="21"/>
              </w:rPr>
            </w:pPr>
            <w:r>
              <w:rPr>
                <w:rFonts w:hint="eastAsia" w:ascii="宋体" w:hAnsi="宋体"/>
                <w:szCs w:val="21"/>
              </w:rPr>
              <w:t>类型</w:t>
            </w:r>
          </w:p>
        </w:tc>
        <w:tc>
          <w:tcPr>
            <w:tcW w:w="2623" w:type="dxa"/>
            <w:gridSpan w:val="3"/>
            <w:noWrap w:val="0"/>
            <w:vAlign w:val="center"/>
          </w:tcPr>
          <w:p>
            <w:pPr>
              <w:topLinePunct/>
              <w:jc w:val="center"/>
              <w:rPr>
                <w:rFonts w:ascii="宋体" w:hAnsi="宋体"/>
                <w:szCs w:val="21"/>
              </w:rPr>
            </w:pPr>
            <w:r>
              <w:rPr>
                <w:rFonts w:hint="eastAsia" w:ascii="宋体" w:hAnsi="宋体"/>
                <w:szCs w:val="21"/>
              </w:rPr>
              <w:t>证书号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2" w:hRule="atLeast"/>
        </w:trPr>
        <w:tc>
          <w:tcPr>
            <w:tcW w:w="3608" w:type="dxa"/>
            <w:gridSpan w:val="3"/>
            <w:noWrap w:val="0"/>
            <w:vAlign w:val="center"/>
          </w:tcPr>
          <w:p>
            <w:pPr>
              <w:topLinePunct/>
              <w:jc w:val="center"/>
              <w:rPr>
                <w:rFonts w:ascii="宋体" w:hAnsi="宋体"/>
                <w:szCs w:val="21"/>
              </w:rPr>
            </w:pPr>
          </w:p>
        </w:tc>
        <w:tc>
          <w:tcPr>
            <w:tcW w:w="1068" w:type="dxa"/>
            <w:noWrap w:val="0"/>
            <w:vAlign w:val="center"/>
          </w:tcPr>
          <w:p>
            <w:pPr>
              <w:topLinePunct/>
              <w:jc w:val="center"/>
              <w:rPr>
                <w:rFonts w:ascii="宋体" w:hAnsi="宋体"/>
                <w:szCs w:val="21"/>
              </w:rPr>
            </w:pPr>
          </w:p>
        </w:tc>
        <w:tc>
          <w:tcPr>
            <w:tcW w:w="1701" w:type="dxa"/>
            <w:gridSpan w:val="3"/>
            <w:noWrap w:val="0"/>
            <w:vAlign w:val="center"/>
          </w:tcPr>
          <w:p>
            <w:pPr>
              <w:topLinePunct/>
              <w:jc w:val="center"/>
              <w:rPr>
                <w:rFonts w:ascii="宋体" w:hAnsi="宋体"/>
                <w:szCs w:val="21"/>
              </w:rPr>
            </w:pPr>
          </w:p>
        </w:tc>
        <w:tc>
          <w:tcPr>
            <w:tcW w:w="2623" w:type="dxa"/>
            <w:gridSpan w:val="3"/>
            <w:noWrap w:val="0"/>
            <w:vAlign w:val="center"/>
          </w:tcPr>
          <w:p>
            <w:pPr>
              <w:topLinePun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trPr>
        <w:tc>
          <w:tcPr>
            <w:tcW w:w="3608" w:type="dxa"/>
            <w:gridSpan w:val="3"/>
            <w:noWrap w:val="0"/>
            <w:vAlign w:val="center"/>
          </w:tcPr>
          <w:p>
            <w:pPr>
              <w:topLinePunct/>
              <w:jc w:val="center"/>
              <w:rPr>
                <w:rFonts w:ascii="宋体" w:hAnsi="宋体"/>
                <w:szCs w:val="21"/>
              </w:rPr>
            </w:pPr>
          </w:p>
        </w:tc>
        <w:tc>
          <w:tcPr>
            <w:tcW w:w="1068" w:type="dxa"/>
            <w:noWrap w:val="0"/>
            <w:vAlign w:val="center"/>
          </w:tcPr>
          <w:p>
            <w:pPr>
              <w:topLinePunct/>
              <w:jc w:val="center"/>
              <w:rPr>
                <w:rFonts w:ascii="宋体" w:hAnsi="宋体"/>
                <w:szCs w:val="21"/>
              </w:rPr>
            </w:pPr>
          </w:p>
        </w:tc>
        <w:tc>
          <w:tcPr>
            <w:tcW w:w="1701" w:type="dxa"/>
            <w:gridSpan w:val="3"/>
            <w:noWrap w:val="0"/>
            <w:vAlign w:val="center"/>
          </w:tcPr>
          <w:p>
            <w:pPr>
              <w:topLinePunct/>
              <w:jc w:val="center"/>
              <w:rPr>
                <w:rFonts w:ascii="宋体" w:hAnsi="宋体"/>
                <w:szCs w:val="21"/>
              </w:rPr>
            </w:pPr>
          </w:p>
        </w:tc>
        <w:tc>
          <w:tcPr>
            <w:tcW w:w="2623" w:type="dxa"/>
            <w:gridSpan w:val="3"/>
            <w:noWrap w:val="0"/>
            <w:vAlign w:val="center"/>
          </w:tcPr>
          <w:p>
            <w:pPr>
              <w:topLinePunct/>
              <w:jc w:val="center"/>
              <w:rPr>
                <w:rFonts w:ascii="宋体" w:hAnsi="宋体"/>
                <w:szCs w:val="21"/>
              </w:rPr>
            </w:pPr>
          </w:p>
        </w:tc>
      </w:tr>
    </w:tbl>
    <w:p>
      <w:pPr>
        <w:topLinePunct/>
        <w:jc w:val="left"/>
        <w:rPr>
          <w:rFonts w:hint="eastAsia" w:ascii="宋体" w:hAnsi="宋体" w:eastAsia="宋体" w:cs="Times New Roman"/>
          <w:szCs w:val="21"/>
        </w:rPr>
      </w:pPr>
      <w:r>
        <w:rPr>
          <w:rFonts w:hint="eastAsia" w:ascii="宋体" w:hAnsi="宋体" w:eastAsia="宋体" w:cs="Times New Roman"/>
          <w:szCs w:val="21"/>
        </w:rPr>
        <w:t>说明：企业类型指大型、中型、小型、微型；上年营业收入、资产总额应与财务报表中的数据一致， 金额单位为万元。</w:t>
      </w:r>
    </w:p>
    <w:p>
      <w:pPr>
        <w:pStyle w:val="5"/>
        <w:ind w:left="0" w:leftChars="0" w:firstLine="0" w:firstLineChars="0"/>
        <w:rPr>
          <w:rFonts w:hint="eastAsia"/>
          <w:u w:val="single"/>
        </w:rPr>
      </w:pPr>
      <w:r>
        <w:rPr>
          <w:rFonts w:hint="eastAsia" w:ascii="Arial" w:hAnsi="Arial" w:cs="Arial"/>
          <w:b/>
          <w:bCs/>
          <w:sz w:val="24"/>
          <w:szCs w:val="24"/>
          <w:highlight w:val="none"/>
          <w:lang w:eastAsia="zh-CN"/>
        </w:rPr>
        <w:t>附：</w:t>
      </w:r>
      <w:r>
        <w:rPr>
          <w:rFonts w:hint="eastAsia" w:ascii="Arial" w:hAnsi="Arial" w:cs="Arial"/>
          <w:b/>
          <w:bCs/>
          <w:sz w:val="24"/>
          <w:szCs w:val="24"/>
          <w:highlight w:val="none"/>
          <w:u w:val="single"/>
          <w:lang w:eastAsia="zh-CN"/>
        </w:rPr>
        <w:t>资质证书</w:t>
      </w:r>
    </w:p>
    <w:p>
      <w:pPr>
        <w:adjustRightInd w:val="0"/>
        <w:snapToGrid w:val="0"/>
        <w:spacing w:before="240" w:beforeLines="100" w:line="360" w:lineRule="auto"/>
        <w:ind w:firstLine="388" w:firstLineChars="185"/>
        <w:rPr>
          <w:rFonts w:hint="eastAsia" w:ascii="宋体" w:hAnsi="宋体"/>
          <w:szCs w:val="21"/>
        </w:rPr>
      </w:pPr>
      <w:r>
        <w:rPr>
          <w:rFonts w:hint="eastAsia" w:ascii="宋体" w:hAnsi="宋体"/>
          <w:bCs/>
          <w:szCs w:val="21"/>
          <w:lang w:eastAsia="zh-CN"/>
        </w:rPr>
        <w:t>供应商</w:t>
      </w:r>
      <w:r>
        <w:rPr>
          <w:rFonts w:hint="eastAsia" w:ascii="宋体" w:hAnsi="宋体"/>
          <w:bCs/>
          <w:szCs w:val="21"/>
        </w:rPr>
        <w:t>：</w:t>
      </w:r>
      <w:r>
        <w:rPr>
          <w:rFonts w:hint="eastAsia" w:ascii="宋体" w:hAnsi="宋体"/>
          <w:bCs/>
          <w:szCs w:val="21"/>
          <w:u w:val="single"/>
        </w:rPr>
        <w:t xml:space="preserve">                        </w:t>
      </w:r>
      <w:r>
        <w:rPr>
          <w:rFonts w:hint="eastAsia" w:ascii="宋体" w:hAnsi="宋体"/>
          <w:bCs/>
          <w:szCs w:val="21"/>
        </w:rPr>
        <w:t>（盖单位章）</w:t>
      </w:r>
    </w:p>
    <w:p>
      <w:pPr>
        <w:adjustRightInd w:val="0"/>
        <w:spacing w:line="360" w:lineRule="auto"/>
        <w:ind w:firstLine="367" w:firstLineChars="175"/>
        <w:jc w:val="left"/>
        <w:rPr>
          <w:rFonts w:hint="eastAsia" w:ascii="宋体" w:hAnsi="宋体"/>
          <w:bCs/>
          <w:szCs w:val="21"/>
        </w:rPr>
      </w:pPr>
      <w:r>
        <w:rPr>
          <w:rFonts w:hint="eastAsia" w:ascii="宋体" w:hAnsi="宋体"/>
          <w:szCs w:val="21"/>
        </w:rPr>
        <w:t>法定代表人或委托代理人：</w:t>
      </w:r>
      <w:r>
        <w:rPr>
          <w:rFonts w:hint="eastAsia" w:ascii="宋体" w:hAnsi="宋体"/>
          <w:szCs w:val="21"/>
          <w:u w:val="single"/>
        </w:rPr>
        <w:t xml:space="preserve">            </w:t>
      </w:r>
      <w:r>
        <w:rPr>
          <w:rFonts w:hint="eastAsia" w:ascii="宋体" w:hAnsi="宋体"/>
          <w:szCs w:val="21"/>
        </w:rPr>
        <w:t>（签字）</w:t>
      </w:r>
    </w:p>
    <w:p>
      <w:pPr>
        <w:adjustRightInd w:val="0"/>
        <w:spacing w:line="360" w:lineRule="auto"/>
        <w:ind w:firstLine="367" w:firstLineChars="175"/>
        <w:jc w:val="left"/>
        <w:rPr>
          <w:rFonts w:hint="eastAsia" w:ascii="宋体" w:hAnsi="宋体"/>
          <w:bCs/>
          <w:szCs w:val="21"/>
        </w:rPr>
      </w:pPr>
      <w:r>
        <w:rPr>
          <w:rFonts w:hint="eastAsia" w:ascii="宋体" w:hAnsi="宋体"/>
          <w:bCs/>
          <w:szCs w:val="21"/>
        </w:rPr>
        <w:t>日      期:20</w:t>
      </w:r>
      <w:r>
        <w:rPr>
          <w:rFonts w:hint="eastAsia" w:ascii="宋体" w:hAnsi="宋体"/>
          <w:bCs/>
          <w:szCs w:val="21"/>
          <w:u w:val="single"/>
          <w:lang w:val="en-US" w:eastAsia="zh-CN"/>
        </w:rPr>
        <w:t>22</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p>
      <w:pPr>
        <w:pStyle w:val="2"/>
        <w:kinsoku w:val="0"/>
        <w:overflowPunct w:val="0"/>
        <w:spacing w:before="26" w:line="320" w:lineRule="auto"/>
        <w:ind w:left="0"/>
        <w:jc w:val="left"/>
        <w:rPr>
          <w:rFonts w:hint="eastAsia" w:ascii="宋体" w:hAnsi="宋体" w:eastAsia="宋体" w:cs="宋体"/>
          <w:highlight w:val="none"/>
        </w:rPr>
      </w:pPr>
      <w:r>
        <w:rPr>
          <w:rFonts w:hint="eastAsia" w:ascii="宋体" w:hAnsi="宋体" w:eastAsia="宋体" w:cs="宋体"/>
          <w:b/>
          <w:bCs/>
          <w:w w:val="95"/>
          <w:highlight w:val="none"/>
        </w:rPr>
        <w:br w:type="page"/>
      </w:r>
      <w:r>
        <w:rPr>
          <w:rFonts w:hint="eastAsia" w:ascii="宋体" w:hAnsi="宋体" w:eastAsia="宋体" w:cs="宋体"/>
          <w:b/>
          <w:bCs/>
          <w:w w:val="95"/>
          <w:highlight w:val="none"/>
        </w:rPr>
        <w:t>（二</w:t>
      </w:r>
      <w:r>
        <w:rPr>
          <w:rFonts w:hint="eastAsia" w:ascii="宋体" w:hAnsi="宋体" w:eastAsia="宋体" w:cs="宋体"/>
          <w:b/>
          <w:bCs/>
          <w:spacing w:val="-15"/>
          <w:w w:val="95"/>
          <w:highlight w:val="none"/>
        </w:rPr>
        <w:t>）</w:t>
      </w:r>
      <w:r>
        <w:rPr>
          <w:rFonts w:hint="eastAsia" w:ascii="宋体" w:hAnsi="宋体" w:eastAsia="宋体" w:cs="宋体"/>
          <w:b/>
          <w:bCs/>
          <w:w w:val="95"/>
          <w:highlight w:val="none"/>
        </w:rPr>
        <w:t>营</w:t>
      </w:r>
      <w:r>
        <w:rPr>
          <w:rFonts w:hint="eastAsia" w:ascii="宋体" w:hAnsi="宋体" w:eastAsia="宋体" w:cs="宋体"/>
          <w:b/>
          <w:bCs/>
          <w:spacing w:val="1"/>
          <w:w w:val="95"/>
          <w:highlight w:val="none"/>
        </w:rPr>
        <w:t>业</w:t>
      </w:r>
      <w:r>
        <w:rPr>
          <w:rFonts w:hint="eastAsia" w:ascii="宋体" w:hAnsi="宋体" w:eastAsia="宋体" w:cs="宋体"/>
          <w:b/>
          <w:bCs/>
          <w:w w:val="95"/>
          <w:highlight w:val="none"/>
        </w:rPr>
        <w:t>执</w:t>
      </w:r>
      <w:r>
        <w:rPr>
          <w:rFonts w:hint="eastAsia" w:ascii="宋体" w:hAnsi="宋体" w:eastAsia="宋体" w:cs="宋体"/>
          <w:b/>
          <w:bCs/>
          <w:spacing w:val="1"/>
          <w:w w:val="95"/>
          <w:highlight w:val="none"/>
        </w:rPr>
        <w:t>照</w:t>
      </w:r>
      <w:r>
        <w:rPr>
          <w:rFonts w:hint="eastAsia" w:ascii="宋体" w:hAnsi="宋体" w:eastAsia="宋体" w:cs="宋体"/>
          <w:b/>
          <w:bCs/>
          <w:w w:val="95"/>
          <w:highlight w:val="none"/>
        </w:rPr>
        <w:t>副本</w:t>
      </w:r>
      <w:r>
        <w:rPr>
          <w:rFonts w:hint="eastAsia" w:ascii="宋体" w:hAnsi="宋体" w:eastAsia="宋体" w:cs="宋体"/>
          <w:b/>
          <w:bCs/>
          <w:spacing w:val="-15"/>
          <w:w w:val="95"/>
          <w:highlight w:val="none"/>
        </w:rPr>
        <w:t>、</w:t>
      </w:r>
      <w:r>
        <w:rPr>
          <w:rFonts w:hint="eastAsia" w:ascii="宋体" w:hAnsi="宋体" w:eastAsia="宋体" w:cs="宋体"/>
          <w:b/>
          <w:bCs/>
          <w:w w:val="95"/>
          <w:highlight w:val="none"/>
        </w:rPr>
        <w:t>税</w:t>
      </w:r>
      <w:r>
        <w:rPr>
          <w:rFonts w:hint="eastAsia" w:ascii="宋体" w:hAnsi="宋体" w:eastAsia="宋体" w:cs="宋体"/>
          <w:b/>
          <w:bCs/>
          <w:spacing w:val="1"/>
          <w:w w:val="95"/>
          <w:highlight w:val="none"/>
        </w:rPr>
        <w:t>务</w:t>
      </w:r>
      <w:r>
        <w:rPr>
          <w:rFonts w:hint="eastAsia" w:ascii="宋体" w:hAnsi="宋体" w:eastAsia="宋体" w:cs="宋体"/>
          <w:b/>
          <w:bCs/>
          <w:w w:val="95"/>
          <w:highlight w:val="none"/>
        </w:rPr>
        <w:t>登</w:t>
      </w:r>
      <w:r>
        <w:rPr>
          <w:rFonts w:hint="eastAsia" w:ascii="宋体" w:hAnsi="宋体" w:eastAsia="宋体" w:cs="宋体"/>
          <w:b/>
          <w:bCs/>
          <w:spacing w:val="1"/>
          <w:w w:val="95"/>
          <w:highlight w:val="none"/>
        </w:rPr>
        <w:t>记</w:t>
      </w:r>
      <w:r>
        <w:rPr>
          <w:rFonts w:hint="eastAsia" w:ascii="宋体" w:hAnsi="宋体" w:eastAsia="宋体" w:cs="宋体"/>
          <w:b/>
          <w:bCs/>
          <w:w w:val="95"/>
          <w:highlight w:val="none"/>
        </w:rPr>
        <w:t>证</w:t>
      </w:r>
      <w:r>
        <w:rPr>
          <w:rFonts w:hint="eastAsia" w:ascii="宋体" w:hAnsi="宋体" w:eastAsia="宋体" w:cs="宋体"/>
          <w:b/>
          <w:bCs/>
          <w:spacing w:val="-17"/>
          <w:w w:val="95"/>
          <w:highlight w:val="none"/>
        </w:rPr>
        <w:t>、</w:t>
      </w:r>
      <w:r>
        <w:rPr>
          <w:rFonts w:hint="eastAsia" w:ascii="宋体" w:hAnsi="宋体" w:eastAsia="宋体" w:cs="宋体"/>
          <w:b/>
          <w:bCs/>
          <w:w w:val="95"/>
          <w:highlight w:val="none"/>
        </w:rPr>
        <w:t>组</w:t>
      </w:r>
      <w:r>
        <w:rPr>
          <w:rFonts w:hint="eastAsia" w:ascii="宋体" w:hAnsi="宋体" w:eastAsia="宋体" w:cs="宋体"/>
          <w:b/>
          <w:bCs/>
          <w:spacing w:val="1"/>
          <w:w w:val="95"/>
          <w:highlight w:val="none"/>
        </w:rPr>
        <w:t>织</w:t>
      </w:r>
      <w:r>
        <w:rPr>
          <w:rFonts w:hint="eastAsia" w:ascii="宋体" w:hAnsi="宋体" w:eastAsia="宋体" w:cs="宋体"/>
          <w:b/>
          <w:bCs/>
          <w:w w:val="95"/>
          <w:highlight w:val="none"/>
        </w:rPr>
        <w:t>机</w:t>
      </w:r>
      <w:r>
        <w:rPr>
          <w:rFonts w:hint="eastAsia" w:ascii="宋体" w:hAnsi="宋体" w:eastAsia="宋体" w:cs="宋体"/>
          <w:b/>
          <w:bCs/>
          <w:spacing w:val="1"/>
          <w:w w:val="95"/>
          <w:highlight w:val="none"/>
        </w:rPr>
        <w:t>构</w:t>
      </w:r>
      <w:r>
        <w:rPr>
          <w:rFonts w:hint="eastAsia" w:ascii="宋体" w:hAnsi="宋体" w:eastAsia="宋体" w:cs="宋体"/>
          <w:b/>
          <w:bCs/>
          <w:w w:val="95"/>
          <w:highlight w:val="none"/>
        </w:rPr>
        <w:t>代码</w:t>
      </w:r>
      <w:r>
        <w:rPr>
          <w:rFonts w:hint="eastAsia" w:ascii="宋体" w:hAnsi="宋体" w:eastAsia="宋体" w:cs="宋体"/>
          <w:b/>
          <w:bCs/>
          <w:spacing w:val="1"/>
          <w:w w:val="95"/>
          <w:highlight w:val="none"/>
        </w:rPr>
        <w:t>证</w:t>
      </w:r>
      <w:r>
        <w:rPr>
          <w:rFonts w:hint="eastAsia" w:ascii="宋体" w:hAnsi="宋体" w:eastAsia="宋体" w:cs="宋体"/>
          <w:b/>
          <w:bCs/>
          <w:spacing w:val="-33"/>
          <w:w w:val="95"/>
          <w:highlight w:val="none"/>
        </w:rPr>
        <w:t>、</w:t>
      </w:r>
      <w:r>
        <w:rPr>
          <w:rFonts w:hint="eastAsia" w:ascii="宋体" w:hAnsi="宋体" w:eastAsia="宋体" w:cs="宋体"/>
          <w:b/>
          <w:bCs/>
          <w:w w:val="95"/>
          <w:highlight w:val="none"/>
        </w:rPr>
        <w:t>（三</w:t>
      </w:r>
      <w:r>
        <w:rPr>
          <w:rFonts w:hint="eastAsia" w:ascii="宋体" w:hAnsi="宋体" w:eastAsia="宋体" w:cs="宋体"/>
          <w:b/>
          <w:bCs/>
          <w:spacing w:val="1"/>
          <w:w w:val="95"/>
          <w:highlight w:val="none"/>
        </w:rPr>
        <w:t>证</w:t>
      </w:r>
      <w:r>
        <w:rPr>
          <w:rFonts w:hint="eastAsia" w:ascii="宋体" w:hAnsi="宋体" w:eastAsia="宋体" w:cs="宋体"/>
          <w:b/>
          <w:bCs/>
          <w:w w:val="95"/>
          <w:highlight w:val="none"/>
        </w:rPr>
        <w:t>合</w:t>
      </w:r>
      <w:r>
        <w:rPr>
          <w:rFonts w:hint="eastAsia" w:ascii="宋体" w:hAnsi="宋体" w:eastAsia="宋体" w:cs="宋体"/>
          <w:b/>
          <w:bCs/>
          <w:spacing w:val="1"/>
          <w:w w:val="95"/>
          <w:highlight w:val="none"/>
        </w:rPr>
        <w:t>一</w:t>
      </w:r>
      <w:r>
        <w:rPr>
          <w:rFonts w:hint="eastAsia" w:ascii="宋体" w:hAnsi="宋体" w:eastAsia="宋体" w:cs="宋体"/>
          <w:b/>
          <w:bCs/>
          <w:w w:val="95"/>
          <w:highlight w:val="none"/>
        </w:rPr>
        <w:t>的提</w:t>
      </w:r>
      <w:r>
        <w:rPr>
          <w:rFonts w:hint="eastAsia" w:ascii="宋体" w:hAnsi="宋体" w:eastAsia="宋体" w:cs="宋体"/>
          <w:b/>
          <w:bCs/>
          <w:spacing w:val="1"/>
          <w:w w:val="95"/>
          <w:highlight w:val="none"/>
        </w:rPr>
        <w:t>供</w:t>
      </w:r>
      <w:r>
        <w:rPr>
          <w:rFonts w:hint="eastAsia" w:ascii="宋体" w:hAnsi="宋体" w:eastAsia="宋体" w:cs="宋体"/>
          <w:b/>
          <w:bCs/>
          <w:w w:val="95"/>
          <w:highlight w:val="none"/>
        </w:rPr>
        <w:t>统</w:t>
      </w:r>
      <w:r>
        <w:rPr>
          <w:rFonts w:hint="eastAsia" w:ascii="宋体" w:hAnsi="宋体" w:eastAsia="宋体" w:cs="宋体"/>
          <w:b/>
          <w:bCs/>
          <w:spacing w:val="1"/>
          <w:w w:val="95"/>
          <w:highlight w:val="none"/>
        </w:rPr>
        <w:t>一</w:t>
      </w:r>
      <w:r>
        <w:rPr>
          <w:rFonts w:hint="eastAsia" w:ascii="宋体" w:hAnsi="宋体" w:eastAsia="宋体" w:cs="宋体"/>
          <w:b/>
          <w:bCs/>
          <w:w w:val="95"/>
          <w:highlight w:val="none"/>
        </w:rPr>
        <w:t>社会</w:t>
      </w:r>
      <w:r>
        <w:rPr>
          <w:rFonts w:hint="eastAsia" w:ascii="宋体" w:hAnsi="宋体" w:eastAsia="宋体" w:cs="宋体"/>
          <w:b/>
          <w:bCs/>
          <w:spacing w:val="1"/>
          <w:w w:val="95"/>
          <w:highlight w:val="none"/>
        </w:rPr>
        <w:t>信</w:t>
      </w:r>
      <w:r>
        <w:rPr>
          <w:rFonts w:hint="eastAsia" w:ascii="宋体" w:hAnsi="宋体" w:eastAsia="宋体" w:cs="宋体"/>
          <w:b/>
          <w:bCs/>
          <w:w w:val="95"/>
          <w:highlight w:val="none"/>
        </w:rPr>
        <w:t>用</w:t>
      </w:r>
      <w:r>
        <w:rPr>
          <w:rFonts w:hint="eastAsia" w:ascii="宋体" w:hAnsi="宋体" w:eastAsia="宋体" w:cs="宋体"/>
          <w:b/>
          <w:bCs/>
          <w:highlight w:val="none"/>
        </w:rPr>
        <w:t>代码的营业执照）</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说明：</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（1）企业单位投标提供有效的营业执照（3证合1或多证合1）；</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（2）事业单位投标提供有效的法人证书（带有社会统一信用代码）；</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（3）其他组织投标提供有效的登记证书（带有社会统一信用代码）；</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（4）自然人投标提供有效的身份证复印件；</w:t>
      </w:r>
    </w:p>
    <w:p>
      <w:pPr>
        <w:pStyle w:val="2"/>
        <w:kinsoku w:val="0"/>
        <w:overflowPunct w:val="0"/>
        <w:spacing w:before="26"/>
        <w:ind w:left="1051" w:right="118"/>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highlight w:val="none"/>
        </w:rPr>
        <w:t>（三）近一年财务状况报告相关材料（复印件加盖单位公章）</w:t>
      </w:r>
    </w:p>
    <w:p>
      <w:pPr>
        <w:pStyle w:val="12"/>
        <w:adjustRightInd w:val="0"/>
        <w:snapToGrid w:val="0"/>
        <w:spacing w:line="360" w:lineRule="auto"/>
        <w:jc w:val="left"/>
        <w:rPr>
          <w:rFonts w:hint="eastAsia" w:ascii="宋体" w:hAnsi="宋体" w:eastAsia="宋体" w:cs="宋体"/>
          <w:b/>
          <w:sz w:val="24"/>
          <w:szCs w:val="24"/>
          <w:highlight w:val="none"/>
        </w:rPr>
      </w:pP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说明：</w:t>
      </w:r>
    </w:p>
    <w:p>
      <w:pPr>
        <w:spacing w:line="360" w:lineRule="auto"/>
        <w:ind w:firstLine="480"/>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（1）</w:t>
      </w:r>
      <w:r>
        <w:rPr>
          <w:rFonts w:hint="eastAsia" w:ascii="宋体" w:hAnsi="宋体" w:cs="宋体"/>
          <w:color w:val="000000"/>
          <w:kern w:val="0"/>
          <w:sz w:val="24"/>
          <w:highlight w:val="none"/>
          <w:lang w:val="en-US" w:eastAsia="zh-CN"/>
        </w:rPr>
        <w:t>2021年</w:t>
      </w:r>
      <w:r>
        <w:rPr>
          <w:rFonts w:hint="eastAsia" w:ascii="宋体" w:hAnsi="宋体" w:eastAsia="宋体" w:cs="宋体"/>
          <w:color w:val="000000"/>
          <w:kern w:val="0"/>
          <w:sz w:val="24"/>
          <w:highlight w:val="none"/>
          <w:lang w:val="en-US" w:eastAsia="zh-CN"/>
        </w:rPr>
        <w:t>审计报告（或基本开户银行出具的资信证明文件）</w:t>
      </w:r>
      <w:r>
        <w:rPr>
          <w:rFonts w:hint="eastAsia" w:ascii="宋体" w:hAnsi="宋体" w:eastAsia="宋体" w:cs="宋体"/>
          <w:color w:val="000000"/>
          <w:kern w:val="0"/>
          <w:sz w:val="24"/>
          <w:highlight w:val="none"/>
        </w:rPr>
        <w:t>，包括 “四表一注”即《资产负债表》《利润表》《现金流量表》《所有者权益变动表》及其附注复印件</w:t>
      </w:r>
      <w:r>
        <w:rPr>
          <w:rFonts w:hint="eastAsia" w:ascii="宋体" w:hAnsi="宋体" w:cs="宋体"/>
          <w:color w:val="000000"/>
          <w:kern w:val="0"/>
          <w:sz w:val="24"/>
          <w:highlight w:val="none"/>
          <w:lang w:eastAsia="zh-CN"/>
        </w:rPr>
        <w:t>；</w:t>
      </w:r>
    </w:p>
    <w:p>
      <w:pPr>
        <w:numPr>
          <w:ilvl w:val="0"/>
          <w:numId w:val="0"/>
        </w:numPr>
        <w:spacing w:line="360" w:lineRule="auto"/>
        <w:ind w:firstLine="480" w:firstLineChars="200"/>
        <w:rPr>
          <w:rFonts w:hint="eastAsia" w:ascii="宋体" w:hAnsi="宋体" w:eastAsia="宋体" w:cs="宋体"/>
          <w:highlight w:val="none"/>
          <w:lang w:eastAsia="zh-CN"/>
        </w:rPr>
      </w:pP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lang w:val="en-US" w:eastAsia="zh-CN"/>
        </w:rPr>
        <w:t>2</w:t>
      </w:r>
      <w:r>
        <w:rPr>
          <w:rFonts w:hint="eastAsia" w:ascii="宋体" w:hAnsi="宋体" w:cs="宋体"/>
          <w:color w:val="000000"/>
          <w:kern w:val="0"/>
          <w:sz w:val="24"/>
          <w:highlight w:val="none"/>
          <w:lang w:eastAsia="zh-CN"/>
        </w:rPr>
        <w:t>）供应商</w:t>
      </w:r>
      <w:r>
        <w:rPr>
          <w:rFonts w:hint="eastAsia" w:ascii="宋体" w:hAnsi="宋体" w:eastAsia="宋体" w:cs="宋体"/>
          <w:color w:val="000000"/>
          <w:kern w:val="0"/>
          <w:sz w:val="24"/>
          <w:highlight w:val="none"/>
        </w:rPr>
        <w:t>成立不到1年的，提供季度或月份有关财务报表（不需审计）</w:t>
      </w:r>
      <w:r>
        <w:rPr>
          <w:rFonts w:hint="eastAsia" w:ascii="宋体" w:hAnsi="宋体" w:cs="宋体"/>
          <w:color w:val="000000"/>
          <w:kern w:val="0"/>
          <w:sz w:val="24"/>
          <w:highlight w:val="none"/>
          <w:lang w:eastAsia="zh-CN"/>
        </w:rPr>
        <w:t>；</w:t>
      </w:r>
    </w:p>
    <w:p>
      <w:pPr>
        <w:spacing w:line="360" w:lineRule="auto"/>
        <w:ind w:firstLine="480"/>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（3）公益类事业单位、自然人无需提供</w:t>
      </w:r>
      <w:r>
        <w:rPr>
          <w:rFonts w:hint="eastAsia" w:ascii="宋体" w:hAnsi="宋体" w:cs="宋体"/>
          <w:color w:val="000000"/>
          <w:kern w:val="0"/>
          <w:sz w:val="24"/>
          <w:highlight w:val="none"/>
          <w:lang w:eastAsia="zh-CN"/>
        </w:rPr>
        <w:t>；</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（4）原件或复印件可直接装订，复印件加盖投标人单位章。 </w:t>
      </w:r>
    </w:p>
    <w:p>
      <w:pPr>
        <w:rPr>
          <w:rFonts w:hint="eastAsia"/>
          <w:highlight w:val="none"/>
        </w:rPr>
      </w:pPr>
    </w:p>
    <w:p>
      <w:pPr>
        <w:pStyle w:val="12"/>
        <w:adjustRightInd w:val="0"/>
        <w:snapToGrid w:val="0"/>
        <w:spacing w:line="360" w:lineRule="auto"/>
        <w:jc w:val="center"/>
        <w:rPr>
          <w:rFonts w:hint="eastAsia" w:ascii="宋体" w:hAnsi="宋体" w:eastAsia="宋体" w:cs="宋体"/>
          <w:b/>
          <w:sz w:val="36"/>
          <w:szCs w:val="36"/>
          <w:highlight w:val="none"/>
        </w:rPr>
      </w:pPr>
      <w:r>
        <w:rPr>
          <w:rFonts w:hint="eastAsia" w:ascii="宋体" w:hAnsi="宋体" w:eastAsia="宋体" w:cs="宋体"/>
          <w:highlight w:val="none"/>
        </w:rPr>
        <w:br w:type="page"/>
      </w:r>
      <w:r>
        <w:rPr>
          <w:rFonts w:hint="eastAsia" w:ascii="宋体" w:hAnsi="宋体" w:eastAsia="宋体" w:cs="宋体"/>
          <w:b/>
          <w:bCs/>
          <w:kern w:val="0"/>
          <w:sz w:val="24"/>
          <w:szCs w:val="24"/>
          <w:highlight w:val="none"/>
          <w:lang w:val="en-US" w:eastAsia="zh-CN" w:bidi="ar-SA"/>
        </w:rPr>
        <w:t>（四）税收缴纳证明</w:t>
      </w:r>
    </w:p>
    <w:p>
      <w:pPr>
        <w:pStyle w:val="12"/>
        <w:adjustRightInd w:val="0"/>
        <w:snapToGrid w:val="0"/>
        <w:spacing w:line="360" w:lineRule="auto"/>
        <w:jc w:val="left"/>
        <w:rPr>
          <w:rFonts w:hint="eastAsia" w:ascii="宋体" w:hAnsi="宋体" w:eastAsia="宋体" w:cs="宋体"/>
          <w:sz w:val="24"/>
          <w:szCs w:val="24"/>
          <w:highlight w:val="none"/>
        </w:rPr>
      </w:pP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说明：</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（1）税收缴纳证明：提供供应商</w:t>
      </w:r>
      <w:r>
        <w:rPr>
          <w:rFonts w:hint="eastAsia" w:ascii="宋体" w:hAnsi="宋体" w:cs="宋体"/>
          <w:color w:val="000000"/>
          <w:kern w:val="0"/>
          <w:sz w:val="24"/>
          <w:highlight w:val="none"/>
          <w:lang w:eastAsia="zh-CN"/>
        </w:rPr>
        <w:t>近半年</w:t>
      </w:r>
      <w:r>
        <w:rPr>
          <w:rFonts w:hint="eastAsia" w:ascii="宋体" w:hAnsi="宋体" w:cs="宋体"/>
          <w:color w:val="000000"/>
          <w:kern w:val="0"/>
          <w:sz w:val="24"/>
          <w:highlight w:val="none"/>
          <w:lang w:val="en-US" w:eastAsia="zh-CN"/>
        </w:rPr>
        <w:t>内至少一个月</w:t>
      </w:r>
      <w:r>
        <w:rPr>
          <w:rFonts w:hint="eastAsia" w:ascii="宋体" w:hAnsi="宋体" w:eastAsia="宋体" w:cs="宋体"/>
          <w:color w:val="000000"/>
          <w:kern w:val="0"/>
          <w:sz w:val="24"/>
          <w:highlight w:val="none"/>
        </w:rPr>
        <w:t xml:space="preserve">纳税证明； </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（2）依法免税的应提供相关文件证明；</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（3）公益类事业单位无需提供；</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（4）新成立未发生缴纳税收事项的投标人，应提供纳税书面承诺；</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（5）原件或复印件可直接装订，复印件加盖投标人单位章。</w:t>
      </w:r>
    </w:p>
    <w:p>
      <w:pPr>
        <w:rPr>
          <w:rFonts w:hint="eastAsia" w:ascii="宋体" w:hAnsi="宋体" w:eastAsia="宋体" w:cs="宋体"/>
          <w:b/>
          <w:bCs/>
          <w:highlight w:val="none"/>
        </w:rPr>
      </w:pPr>
      <w:r>
        <w:rPr>
          <w:rFonts w:hint="eastAsia" w:ascii="宋体" w:hAnsi="宋体" w:eastAsia="宋体" w:cs="宋体"/>
          <w:b/>
          <w:bCs/>
          <w:highlight w:val="none"/>
        </w:rPr>
        <w:br w:type="page"/>
      </w:r>
    </w:p>
    <w:p>
      <w:pPr>
        <w:pStyle w:val="2"/>
        <w:numPr>
          <w:ilvl w:val="0"/>
          <w:numId w:val="0"/>
        </w:numPr>
        <w:kinsoku w:val="0"/>
        <w:overflowPunct w:val="0"/>
        <w:spacing w:before="26"/>
        <w:ind w:right="118" w:rightChars="0"/>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（五）单位社会保障缴费证明（复印件加盖公章）</w:t>
      </w:r>
    </w:p>
    <w:p>
      <w:pPr>
        <w:pStyle w:val="12"/>
        <w:adjustRightInd w:val="0"/>
        <w:snapToGrid w:val="0"/>
        <w:spacing w:line="36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说明：</w:t>
      </w:r>
    </w:p>
    <w:p>
      <w:pPr>
        <w:spacing w:line="360" w:lineRule="auto"/>
        <w:ind w:firstLine="482"/>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（1）社会保障资金缴纳证明：</w:t>
      </w:r>
      <w:r>
        <w:rPr>
          <w:rFonts w:hint="eastAsia" w:ascii="宋体" w:hAnsi="宋体" w:cs="宋体"/>
          <w:color w:val="000000"/>
          <w:kern w:val="0"/>
          <w:sz w:val="24"/>
          <w:highlight w:val="none"/>
          <w:lang w:eastAsia="zh-CN"/>
        </w:rPr>
        <w:t>近半年</w:t>
      </w:r>
      <w:r>
        <w:rPr>
          <w:rFonts w:hint="eastAsia" w:ascii="宋体" w:hAnsi="宋体" w:cs="宋体"/>
          <w:color w:val="000000"/>
          <w:kern w:val="0"/>
          <w:sz w:val="24"/>
          <w:highlight w:val="none"/>
          <w:lang w:val="en-US" w:eastAsia="zh-CN"/>
        </w:rPr>
        <w:t>内至少一个月</w:t>
      </w:r>
      <w:r>
        <w:rPr>
          <w:rFonts w:hint="eastAsia" w:ascii="宋体" w:hAnsi="宋体" w:eastAsia="宋体" w:cs="宋体"/>
          <w:color w:val="000000"/>
          <w:kern w:val="0"/>
          <w:sz w:val="24"/>
          <w:highlight w:val="none"/>
        </w:rPr>
        <w:t>社保缴纳证明；</w:t>
      </w:r>
    </w:p>
    <w:p>
      <w:pPr>
        <w:spacing w:line="360" w:lineRule="auto"/>
        <w:ind w:firstLine="482"/>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（2）依法不需要缴纳社会保障资金的供应商应提供相关文件证明；</w:t>
      </w:r>
    </w:p>
    <w:p>
      <w:pPr>
        <w:pStyle w:val="12"/>
        <w:adjustRightInd w:val="0"/>
        <w:snapToGrid w:val="0"/>
        <w:spacing w:line="360" w:lineRule="auto"/>
        <w:ind w:firstLine="482"/>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（3）公益类事业单位无需提供；</w:t>
      </w:r>
    </w:p>
    <w:p>
      <w:pPr>
        <w:pStyle w:val="12"/>
        <w:adjustRightInd w:val="0"/>
        <w:snapToGrid w:val="0"/>
        <w:spacing w:line="360" w:lineRule="auto"/>
        <w:ind w:firstLine="482"/>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（4）新成立未发生缴纳社保资金事项的投标人，应提供缴纳社保资金的书面承诺；</w:t>
      </w:r>
    </w:p>
    <w:p>
      <w:pPr>
        <w:pStyle w:val="12"/>
        <w:adjustRightInd w:val="0"/>
        <w:snapToGrid w:val="0"/>
        <w:spacing w:line="360" w:lineRule="auto"/>
        <w:ind w:firstLine="482"/>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（5）原件或复印件可直接装订，复印件加盖投标人单位章。</w:t>
      </w:r>
    </w:p>
    <w:p>
      <w:pPr>
        <w:rPr>
          <w:rFonts w:hint="eastAsia" w:ascii="宋体" w:hAnsi="宋体" w:eastAsia="宋体" w:cs="宋体"/>
          <w:b/>
          <w:bCs/>
          <w:highlight w:val="none"/>
        </w:rPr>
      </w:pPr>
      <w:r>
        <w:rPr>
          <w:rFonts w:hint="eastAsia" w:ascii="宋体" w:hAnsi="宋体" w:eastAsia="宋体" w:cs="宋体"/>
          <w:b/>
          <w:bCs/>
          <w:highlight w:val="none"/>
        </w:rPr>
        <w:br w:type="page"/>
      </w:r>
    </w:p>
    <w:p>
      <w:pPr>
        <w:pStyle w:val="12"/>
        <w:adjustRightInd w:val="0"/>
        <w:snapToGrid w:val="0"/>
        <w:spacing w:line="360" w:lineRule="auto"/>
        <w:ind w:firstLine="482"/>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（六）办公场所证明</w:t>
      </w:r>
    </w:p>
    <w:p>
      <w:pP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br w:type="page"/>
      </w:r>
    </w:p>
    <w:p>
      <w:pPr>
        <w:pStyle w:val="12"/>
        <w:adjustRightInd w:val="0"/>
        <w:snapToGrid w:val="0"/>
        <w:spacing w:line="360" w:lineRule="auto"/>
        <w:ind w:firstLine="482"/>
        <w:jc w:val="center"/>
        <w:rPr>
          <w:rFonts w:hint="eastAsia" w:ascii="宋体" w:hAnsi="宋体" w:eastAsia="宋体" w:cs="宋体"/>
          <w:b/>
          <w:bCs/>
          <w:kern w:val="0"/>
          <w:sz w:val="24"/>
          <w:szCs w:val="24"/>
          <w:highlight w:val="none"/>
          <w:lang w:val="en-US" w:eastAsia="zh-CN" w:bidi="ar-SA"/>
        </w:rPr>
      </w:pPr>
    </w:p>
    <w:p>
      <w:pPr>
        <w:pStyle w:val="12"/>
        <w:adjustRightInd w:val="0"/>
        <w:snapToGrid w:val="0"/>
        <w:spacing w:line="360" w:lineRule="auto"/>
        <w:ind w:firstLine="482"/>
        <w:jc w:val="center"/>
        <w:rPr>
          <w:rFonts w:hint="eastAsia" w:ascii="宋体" w:hAnsi="宋体" w:eastAsia="宋体" w:cs="宋体"/>
          <w:color w:val="000000"/>
          <w:kern w:val="0"/>
          <w:sz w:val="24"/>
          <w:szCs w:val="24"/>
          <w:highlight w:val="none"/>
        </w:rPr>
      </w:pPr>
      <w:r>
        <w:rPr>
          <w:rFonts w:hint="eastAsia" w:ascii="宋体" w:hAnsi="宋体" w:eastAsia="宋体" w:cs="宋体"/>
          <w:b/>
          <w:bCs/>
          <w:kern w:val="0"/>
          <w:sz w:val="24"/>
          <w:szCs w:val="24"/>
          <w:highlight w:val="none"/>
          <w:lang w:val="en-US" w:eastAsia="zh-CN" w:bidi="ar-SA"/>
        </w:rPr>
        <w:t>（七）其他证明材料</w:t>
      </w:r>
    </w:p>
    <w:p>
      <w:pPr>
        <w:pStyle w:val="26"/>
        <w:ind w:firstLine="480"/>
        <w:rPr>
          <w:rFonts w:hint="eastAsia" w:ascii="宋体" w:hAnsi="宋体" w:eastAsia="宋体" w:cs="宋体"/>
          <w:color w:val="000000"/>
          <w:kern w:val="0"/>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color w:val="000000"/>
          <w:kern w:val="0"/>
          <w:sz w:val="24"/>
          <w:szCs w:val="24"/>
          <w:highlight w:val="none"/>
        </w:rPr>
        <w:t>参加政府采购活动前3年内在经营活动中没有重大违法记录的书面声明</w:t>
      </w:r>
      <w:r>
        <w:rPr>
          <w:rFonts w:hint="eastAsia" w:ascii="宋体" w:hAnsi="宋体" w:cs="宋体"/>
          <w:color w:val="000000"/>
          <w:kern w:val="0"/>
          <w:sz w:val="24"/>
          <w:szCs w:val="24"/>
          <w:highlight w:val="none"/>
          <w:lang w:eastAsia="zh-CN"/>
        </w:rPr>
        <w:t>；</w:t>
      </w:r>
    </w:p>
    <w:p>
      <w:pPr>
        <w:pStyle w:val="26"/>
        <w:ind w:firstLine="480"/>
        <w:rPr>
          <w:rFonts w:hint="eastAsia" w:ascii="宋体" w:hAnsi="宋体" w:eastAsia="宋体" w:cs="宋体"/>
          <w:color w:val="000000"/>
          <w:kern w:val="0"/>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color w:val="000000"/>
          <w:kern w:val="0"/>
          <w:sz w:val="24"/>
          <w:szCs w:val="24"/>
          <w:highlight w:val="none"/>
        </w:rPr>
        <w:t>法律、行政法规规定的其他条件。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网站查询的截图，加盖供应商公章）</w:t>
      </w:r>
    </w:p>
    <w:p>
      <w:pPr>
        <w:pStyle w:val="26"/>
        <w:ind w:firstLine="560"/>
        <w:rPr>
          <w:rFonts w:hint="eastAsia" w:ascii="宋体" w:hAnsi="宋体" w:eastAsia="宋体" w:cs="宋体"/>
          <w:color w:val="000000"/>
          <w:kern w:val="0"/>
          <w:sz w:val="28"/>
          <w:szCs w:val="28"/>
          <w:highlight w:val="none"/>
        </w:rPr>
        <w:sectPr>
          <w:footerReference r:id="rId7" w:type="default"/>
          <w:pgSz w:w="11906" w:h="16838"/>
          <w:pgMar w:top="1440" w:right="1588" w:bottom="1440" w:left="1588" w:header="851" w:footer="992" w:gutter="0"/>
          <w:pgBorders>
            <w:top w:val="none" w:sz="0" w:space="0"/>
            <w:left w:val="none" w:sz="0" w:space="0"/>
            <w:bottom w:val="none" w:sz="0" w:space="0"/>
            <w:right w:val="none" w:sz="0" w:space="0"/>
          </w:pgBorders>
          <w:pgNumType w:fmt="decimal"/>
          <w:cols w:space="720" w:num="1"/>
          <w:docGrid w:linePitch="312" w:charSpace="0"/>
        </w:sectPr>
      </w:pPr>
    </w:p>
    <w:p>
      <w:pPr>
        <w:jc w:val="center"/>
        <w:rPr>
          <w:rFonts w:hint="eastAsia" w:ascii="宋体" w:hAnsi="宋体" w:eastAsia="宋体" w:cs="宋体"/>
          <w:b/>
          <w:szCs w:val="21"/>
          <w:highlight w:val="none"/>
        </w:rPr>
      </w:pPr>
      <w:r>
        <w:rPr>
          <w:rFonts w:hint="eastAsia" w:ascii="宋体" w:hAnsi="宋体" w:eastAsia="宋体" w:cs="宋体"/>
          <w:b/>
          <w:bCs/>
          <w:sz w:val="36"/>
          <w:szCs w:val="36"/>
          <w:highlight w:val="none"/>
        </w:rPr>
        <w:t>八、一般商务条款偏离表</w:t>
      </w:r>
    </w:p>
    <w:p>
      <w:pPr>
        <w:rPr>
          <w:rFonts w:hint="eastAsia" w:ascii="宋体" w:hAnsi="宋体" w:eastAsia="宋体" w:cs="宋体"/>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114"/>
        <w:gridCol w:w="1289"/>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序号</w:t>
            </w:r>
          </w:p>
        </w:tc>
        <w:tc>
          <w:tcPr>
            <w:tcW w:w="2154"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一般商务条款序号</w:t>
            </w:r>
          </w:p>
        </w:tc>
        <w:tc>
          <w:tcPr>
            <w:tcW w:w="2114"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条款内容</w:t>
            </w:r>
          </w:p>
        </w:tc>
        <w:tc>
          <w:tcPr>
            <w:tcW w:w="1289"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是否响应</w:t>
            </w:r>
          </w:p>
        </w:tc>
        <w:tc>
          <w:tcPr>
            <w:tcW w:w="265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2</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3</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4</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5</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6</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7</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8</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9</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10</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11</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12</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13</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14</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15</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bl>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注：请在“偏离说明”栏内扼要说明偏离情况，如无偏离则不需列明。</w:t>
      </w:r>
    </w:p>
    <w:p>
      <w:pPr>
        <w:rPr>
          <w:rFonts w:hint="eastAsia" w:ascii="宋体" w:hAnsi="宋体" w:eastAsia="宋体" w:cs="宋体"/>
          <w:szCs w:val="21"/>
          <w:highlight w:val="none"/>
        </w:rPr>
      </w:pPr>
    </w:p>
    <w:p>
      <w:pPr>
        <w:pStyle w:val="2"/>
        <w:kinsoku w:val="0"/>
        <w:overflowPunct w:val="0"/>
        <w:spacing w:before="34" w:line="357" w:lineRule="auto"/>
        <w:ind w:right="126" w:firstLine="480"/>
        <w:jc w:val="center"/>
        <w:rPr>
          <w:rFonts w:hint="eastAsia" w:ascii="宋体" w:hAnsi="宋体" w:eastAsia="宋体" w:cs="宋体"/>
          <w:sz w:val="18"/>
          <w:szCs w:val="18"/>
          <w:highlight w:val="none"/>
        </w:rPr>
      </w:pPr>
    </w:p>
    <w:p>
      <w:pPr>
        <w:pStyle w:val="2"/>
        <w:tabs>
          <w:tab w:val="left" w:pos="6736"/>
        </w:tabs>
        <w:kinsoku w:val="0"/>
        <w:overflowPunct w:val="0"/>
        <w:spacing w:before="26" w:line="337" w:lineRule="auto"/>
        <w:ind w:right="33" w:rightChars="0" w:firstLine="5355" w:firstLineChars="2250"/>
        <w:rPr>
          <w:rFonts w:hint="eastAsia" w:ascii="宋体" w:hAnsi="宋体" w:eastAsia="宋体" w:cs="宋体"/>
          <w:spacing w:val="23"/>
          <w:highlight w:val="none"/>
        </w:rPr>
      </w:pPr>
      <w:r>
        <w:rPr>
          <w:rFonts w:hint="eastAsia" w:ascii="宋体" w:hAnsi="宋体" w:eastAsia="宋体" w:cs="宋体"/>
          <w:spacing w:val="-1"/>
          <w:highlight w:val="none"/>
        </w:rPr>
        <w:t>供应商：</w:t>
      </w:r>
      <w:r>
        <w:rPr>
          <w:rFonts w:hint="eastAsia" w:ascii="宋体" w:hAnsi="宋体" w:eastAsia="宋体" w:cs="宋体"/>
          <w:spacing w:val="-1"/>
          <w:highlight w:val="none"/>
          <w:u w:val="single"/>
        </w:rPr>
        <w:t xml:space="preserve">               </w:t>
      </w:r>
      <w:r>
        <w:rPr>
          <w:rFonts w:hint="eastAsia" w:ascii="宋体" w:hAnsi="宋体" w:eastAsia="宋体" w:cs="宋体"/>
          <w:highlight w:val="none"/>
          <w:u w:val="single"/>
        </w:rPr>
        <w:t>（公章）</w:t>
      </w:r>
      <w:r>
        <w:rPr>
          <w:rFonts w:hint="eastAsia" w:ascii="宋体" w:hAnsi="宋体" w:eastAsia="宋体" w:cs="宋体"/>
          <w:spacing w:val="23"/>
          <w:highlight w:val="none"/>
        </w:rPr>
        <w:t xml:space="preserve"> </w:t>
      </w:r>
    </w:p>
    <w:p>
      <w:pPr>
        <w:pStyle w:val="2"/>
        <w:tabs>
          <w:tab w:val="left" w:pos="6736"/>
        </w:tabs>
        <w:kinsoku w:val="0"/>
        <w:overflowPunct w:val="0"/>
        <w:spacing w:before="26" w:line="337" w:lineRule="auto"/>
        <w:ind w:right="33" w:rightChars="0" w:firstLine="3927" w:firstLineChars="1650"/>
        <w:rPr>
          <w:rFonts w:hint="eastAsia" w:ascii="宋体" w:hAnsi="宋体" w:eastAsia="宋体" w:cs="宋体"/>
          <w:highlight w:val="none"/>
        </w:rPr>
      </w:pPr>
      <w:r>
        <w:rPr>
          <w:rFonts w:hint="eastAsia" w:ascii="宋体" w:hAnsi="宋体" w:eastAsia="宋体" w:cs="宋体"/>
          <w:spacing w:val="-1"/>
          <w:highlight w:val="none"/>
        </w:rPr>
        <w:t>法定代表人或委托人：</w:t>
      </w:r>
      <w:r>
        <w:rPr>
          <w:rFonts w:hint="eastAsia" w:ascii="宋体" w:hAnsi="宋体" w:eastAsia="宋体" w:cs="宋体"/>
          <w:spacing w:val="-1"/>
          <w:highlight w:val="none"/>
          <w:u w:val="single"/>
        </w:rPr>
        <w:t xml:space="preserve">               </w:t>
      </w:r>
      <w:r>
        <w:rPr>
          <w:rFonts w:hint="eastAsia" w:ascii="宋体" w:hAnsi="宋体" w:eastAsia="宋体" w:cs="宋体"/>
          <w:highlight w:val="none"/>
          <w:u w:val="single"/>
        </w:rPr>
        <w:t>（签字）</w:t>
      </w:r>
    </w:p>
    <w:p>
      <w:pPr>
        <w:pStyle w:val="2"/>
        <w:kinsoku w:val="0"/>
        <w:overflowPunct w:val="0"/>
        <w:spacing w:before="11"/>
        <w:ind w:left="0"/>
        <w:rPr>
          <w:rFonts w:hint="eastAsia" w:ascii="宋体" w:hAnsi="宋体" w:eastAsia="宋体" w:cs="宋体"/>
          <w:sz w:val="9"/>
          <w:szCs w:val="9"/>
          <w:highlight w:val="none"/>
        </w:rPr>
      </w:pPr>
    </w:p>
    <w:p>
      <w:pPr>
        <w:pStyle w:val="2"/>
        <w:tabs>
          <w:tab w:val="left" w:pos="5418"/>
          <w:tab w:val="left" w:pos="6258"/>
          <w:tab w:val="left" w:pos="7098"/>
        </w:tabs>
        <w:kinsoku w:val="0"/>
        <w:overflowPunct w:val="0"/>
        <w:spacing w:before="26"/>
        <w:ind w:firstLine="6480" w:firstLineChars="2700"/>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spacing w:val="-1"/>
          <w:highlight w:val="none"/>
        </w:rPr>
        <w:t>年</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lang w:val="en-US" w:eastAsia="zh-CN"/>
        </w:rPr>
        <w:t xml:space="preserve">  </w:t>
      </w:r>
      <w:r>
        <w:rPr>
          <w:rFonts w:hint="eastAsia" w:ascii="宋体" w:hAnsi="宋体" w:eastAsia="宋体" w:cs="宋体"/>
          <w:spacing w:val="-1"/>
          <w:highlight w:val="none"/>
        </w:rPr>
        <w:t>月</w:t>
      </w:r>
      <w:r>
        <w:rPr>
          <w:rFonts w:hint="eastAsia" w:ascii="宋体" w:hAnsi="宋体" w:eastAsia="宋体" w:cs="宋体"/>
          <w:spacing w:val="-1"/>
          <w:highlight w:val="none"/>
          <w:u w:val="single"/>
        </w:rPr>
        <w:tab/>
      </w:r>
      <w:r>
        <w:rPr>
          <w:rFonts w:hint="eastAsia" w:ascii="宋体" w:hAnsi="宋体" w:eastAsia="宋体" w:cs="宋体"/>
          <w:highlight w:val="none"/>
        </w:rPr>
        <w:t>日</w:t>
      </w:r>
    </w:p>
    <w:p>
      <w:pPr>
        <w:pStyle w:val="2"/>
        <w:numPr>
          <w:ilvl w:val="0"/>
          <w:numId w:val="6"/>
        </w:numPr>
        <w:kinsoku w:val="0"/>
        <w:overflowPunct w:val="0"/>
        <w:spacing w:before="34" w:line="357" w:lineRule="auto"/>
        <w:ind w:right="126" w:firstLine="480"/>
        <w:jc w:val="center"/>
        <w:rPr>
          <w:rFonts w:hint="eastAsia" w:ascii="宋体" w:hAnsi="宋体" w:eastAsia="宋体" w:cs="宋体"/>
          <w:b/>
          <w:bCs/>
          <w:sz w:val="36"/>
          <w:szCs w:val="36"/>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同类项目业绩介绍</w:t>
      </w:r>
    </w:p>
    <w:p>
      <w:pPr>
        <w:rPr>
          <w:rFonts w:hint="eastAsia" w:ascii="宋体" w:hAnsi="宋体" w:eastAsia="宋体" w:cs="宋体"/>
          <w:spacing w:val="-1"/>
          <w:kern w:val="0"/>
          <w:sz w:val="24"/>
          <w:szCs w:val="24"/>
          <w:highlight w:val="none"/>
          <w:lang w:eastAsia="zh-CN"/>
        </w:rPr>
      </w:pPr>
      <w:r>
        <w:rPr>
          <w:rFonts w:hint="eastAsia" w:ascii="宋体" w:hAnsi="宋体" w:eastAsia="宋体" w:cs="宋体"/>
          <w:spacing w:val="-1"/>
          <w:kern w:val="0"/>
          <w:sz w:val="24"/>
          <w:szCs w:val="24"/>
          <w:highlight w:val="none"/>
        </w:rPr>
        <w:t>供应商提供近</w:t>
      </w:r>
      <w:r>
        <w:rPr>
          <w:rFonts w:hint="eastAsia" w:ascii="宋体" w:hAnsi="宋体" w:cs="宋体"/>
          <w:spacing w:val="-1"/>
          <w:kern w:val="0"/>
          <w:sz w:val="24"/>
          <w:szCs w:val="24"/>
          <w:highlight w:val="none"/>
          <w:lang w:val="en-US" w:eastAsia="zh-CN"/>
        </w:rPr>
        <w:t>3</w:t>
      </w:r>
      <w:r>
        <w:rPr>
          <w:rFonts w:hint="eastAsia" w:ascii="宋体" w:hAnsi="宋体" w:eastAsia="宋体" w:cs="宋体"/>
          <w:spacing w:val="-1"/>
          <w:kern w:val="0"/>
          <w:sz w:val="24"/>
          <w:szCs w:val="24"/>
          <w:highlight w:val="none"/>
        </w:rPr>
        <w:t>年（201</w:t>
      </w:r>
      <w:r>
        <w:rPr>
          <w:rFonts w:hint="eastAsia" w:ascii="宋体" w:hAnsi="宋体" w:cs="宋体"/>
          <w:spacing w:val="-1"/>
          <w:kern w:val="0"/>
          <w:sz w:val="24"/>
          <w:szCs w:val="24"/>
          <w:highlight w:val="none"/>
          <w:lang w:val="en-US" w:eastAsia="zh-CN"/>
        </w:rPr>
        <w:t>9</w:t>
      </w:r>
      <w:r>
        <w:rPr>
          <w:rFonts w:hint="eastAsia" w:ascii="宋体" w:hAnsi="宋体" w:eastAsia="宋体" w:cs="宋体"/>
          <w:spacing w:val="-1"/>
          <w:kern w:val="0"/>
          <w:sz w:val="24"/>
          <w:szCs w:val="24"/>
          <w:highlight w:val="none"/>
        </w:rPr>
        <w:t>年</w:t>
      </w:r>
      <w:r>
        <w:rPr>
          <w:rFonts w:hint="eastAsia" w:ascii="宋体" w:hAnsi="宋体" w:cs="宋体"/>
          <w:spacing w:val="-1"/>
          <w:kern w:val="0"/>
          <w:sz w:val="24"/>
          <w:szCs w:val="24"/>
          <w:highlight w:val="none"/>
          <w:lang w:val="en-US" w:eastAsia="zh-CN"/>
        </w:rPr>
        <w:t>1</w:t>
      </w:r>
      <w:r>
        <w:rPr>
          <w:rFonts w:hint="eastAsia" w:ascii="宋体" w:hAnsi="宋体" w:eastAsia="宋体" w:cs="宋体"/>
          <w:spacing w:val="-1"/>
          <w:kern w:val="0"/>
          <w:sz w:val="24"/>
          <w:szCs w:val="24"/>
          <w:highlight w:val="none"/>
        </w:rPr>
        <w:t>月1日至投标文件递交截止日前）独立承担的与本项目类似的业绩</w:t>
      </w:r>
      <w:r>
        <w:rPr>
          <w:rFonts w:hint="eastAsia" w:ascii="宋体" w:hAnsi="宋体" w:eastAsia="宋体" w:cs="宋体"/>
          <w:spacing w:val="-1"/>
          <w:kern w:val="0"/>
          <w:sz w:val="24"/>
          <w:szCs w:val="24"/>
          <w:highlight w:val="none"/>
          <w:lang w:eastAsia="zh-CN"/>
        </w:rPr>
        <w:t>：</w:t>
      </w:r>
    </w:p>
    <w:p>
      <w:pPr>
        <w:pStyle w:val="2"/>
        <w:kinsoku w:val="0"/>
        <w:overflowPunct w:val="0"/>
        <w:spacing w:before="0"/>
        <w:ind w:left="0"/>
        <w:rPr>
          <w:rFonts w:hint="eastAsia" w:ascii="宋体" w:hAnsi="宋体" w:eastAsia="宋体" w:cs="宋体"/>
          <w:b/>
          <w:bCs/>
          <w:sz w:val="20"/>
          <w:szCs w:val="20"/>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73"/>
        <w:gridCol w:w="3103"/>
        <w:gridCol w:w="1230"/>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序号</w:t>
            </w:r>
          </w:p>
        </w:tc>
        <w:tc>
          <w:tcPr>
            <w:tcW w:w="2373"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客户名称</w:t>
            </w:r>
          </w:p>
        </w:tc>
        <w:tc>
          <w:tcPr>
            <w:tcW w:w="3103"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项目名称及合同金额（万元）</w:t>
            </w:r>
          </w:p>
        </w:tc>
        <w:tc>
          <w:tcPr>
            <w:tcW w:w="1230"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实施时间</w:t>
            </w:r>
          </w:p>
        </w:tc>
        <w:tc>
          <w:tcPr>
            <w:tcW w:w="172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w:t>
            </w:r>
          </w:p>
        </w:tc>
        <w:tc>
          <w:tcPr>
            <w:tcW w:w="2373" w:type="dxa"/>
            <w:noWrap w:val="0"/>
            <w:vAlign w:val="center"/>
          </w:tcPr>
          <w:p>
            <w:pPr>
              <w:jc w:val="center"/>
              <w:rPr>
                <w:rFonts w:hint="eastAsia" w:ascii="宋体" w:hAnsi="宋体" w:eastAsia="宋体" w:cs="宋体"/>
                <w:spacing w:val="-1"/>
                <w:kern w:val="0"/>
                <w:sz w:val="24"/>
                <w:szCs w:val="24"/>
                <w:highlight w:val="none"/>
              </w:rPr>
            </w:pPr>
          </w:p>
        </w:tc>
        <w:tc>
          <w:tcPr>
            <w:tcW w:w="3103" w:type="dxa"/>
            <w:noWrap w:val="0"/>
            <w:vAlign w:val="center"/>
          </w:tcPr>
          <w:p>
            <w:pPr>
              <w:jc w:val="center"/>
              <w:rPr>
                <w:rFonts w:hint="eastAsia" w:ascii="宋体" w:hAnsi="宋体" w:eastAsia="宋体" w:cs="宋体"/>
                <w:spacing w:val="-1"/>
                <w:kern w:val="0"/>
                <w:sz w:val="24"/>
                <w:szCs w:val="24"/>
                <w:highlight w:val="none"/>
              </w:rPr>
            </w:pPr>
          </w:p>
        </w:tc>
        <w:tc>
          <w:tcPr>
            <w:tcW w:w="1230" w:type="dxa"/>
            <w:noWrap w:val="0"/>
            <w:vAlign w:val="center"/>
          </w:tcPr>
          <w:p>
            <w:pPr>
              <w:jc w:val="center"/>
              <w:rPr>
                <w:rFonts w:hint="eastAsia" w:ascii="宋体" w:hAnsi="宋体" w:eastAsia="宋体" w:cs="宋体"/>
                <w:spacing w:val="-1"/>
                <w:kern w:val="0"/>
                <w:sz w:val="24"/>
                <w:szCs w:val="24"/>
                <w:highlight w:val="none"/>
              </w:rPr>
            </w:pPr>
          </w:p>
        </w:tc>
        <w:tc>
          <w:tcPr>
            <w:tcW w:w="1725" w:type="dxa"/>
            <w:noWrap w:val="0"/>
            <w:vAlign w:val="center"/>
          </w:tcPr>
          <w:p>
            <w:pPr>
              <w:jc w:val="cente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2</w:t>
            </w:r>
          </w:p>
        </w:tc>
        <w:tc>
          <w:tcPr>
            <w:tcW w:w="2373" w:type="dxa"/>
            <w:noWrap w:val="0"/>
            <w:vAlign w:val="center"/>
          </w:tcPr>
          <w:p>
            <w:pPr>
              <w:jc w:val="center"/>
              <w:rPr>
                <w:rFonts w:hint="eastAsia" w:ascii="宋体" w:hAnsi="宋体" w:eastAsia="宋体" w:cs="宋体"/>
                <w:spacing w:val="-1"/>
                <w:kern w:val="0"/>
                <w:sz w:val="24"/>
                <w:szCs w:val="24"/>
                <w:highlight w:val="none"/>
              </w:rPr>
            </w:pPr>
          </w:p>
        </w:tc>
        <w:tc>
          <w:tcPr>
            <w:tcW w:w="3103" w:type="dxa"/>
            <w:noWrap w:val="0"/>
            <w:vAlign w:val="center"/>
          </w:tcPr>
          <w:p>
            <w:pPr>
              <w:jc w:val="center"/>
              <w:rPr>
                <w:rFonts w:hint="eastAsia" w:ascii="宋体" w:hAnsi="宋体" w:eastAsia="宋体" w:cs="宋体"/>
                <w:spacing w:val="-1"/>
                <w:kern w:val="0"/>
                <w:sz w:val="24"/>
                <w:szCs w:val="24"/>
                <w:highlight w:val="none"/>
              </w:rPr>
            </w:pPr>
          </w:p>
        </w:tc>
        <w:tc>
          <w:tcPr>
            <w:tcW w:w="1230" w:type="dxa"/>
            <w:noWrap w:val="0"/>
            <w:vAlign w:val="center"/>
          </w:tcPr>
          <w:p>
            <w:pPr>
              <w:jc w:val="center"/>
              <w:rPr>
                <w:rFonts w:hint="eastAsia" w:ascii="宋体" w:hAnsi="宋体" w:eastAsia="宋体" w:cs="宋体"/>
                <w:spacing w:val="-1"/>
                <w:kern w:val="0"/>
                <w:sz w:val="24"/>
                <w:szCs w:val="24"/>
                <w:highlight w:val="none"/>
              </w:rPr>
            </w:pPr>
          </w:p>
        </w:tc>
        <w:tc>
          <w:tcPr>
            <w:tcW w:w="1725" w:type="dxa"/>
            <w:noWrap w:val="0"/>
            <w:vAlign w:val="center"/>
          </w:tcPr>
          <w:p>
            <w:pPr>
              <w:jc w:val="cente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3</w:t>
            </w:r>
          </w:p>
        </w:tc>
        <w:tc>
          <w:tcPr>
            <w:tcW w:w="2373" w:type="dxa"/>
            <w:noWrap w:val="0"/>
            <w:vAlign w:val="center"/>
          </w:tcPr>
          <w:p>
            <w:pPr>
              <w:jc w:val="center"/>
              <w:rPr>
                <w:rFonts w:hint="eastAsia" w:ascii="宋体" w:hAnsi="宋体" w:eastAsia="宋体" w:cs="宋体"/>
                <w:spacing w:val="-1"/>
                <w:kern w:val="0"/>
                <w:sz w:val="24"/>
                <w:szCs w:val="24"/>
                <w:highlight w:val="none"/>
              </w:rPr>
            </w:pPr>
          </w:p>
        </w:tc>
        <w:tc>
          <w:tcPr>
            <w:tcW w:w="3103" w:type="dxa"/>
            <w:noWrap w:val="0"/>
            <w:vAlign w:val="center"/>
          </w:tcPr>
          <w:p>
            <w:pPr>
              <w:jc w:val="center"/>
              <w:rPr>
                <w:rFonts w:hint="eastAsia" w:ascii="宋体" w:hAnsi="宋体" w:eastAsia="宋体" w:cs="宋体"/>
                <w:spacing w:val="-1"/>
                <w:kern w:val="0"/>
                <w:sz w:val="24"/>
                <w:szCs w:val="24"/>
                <w:highlight w:val="none"/>
              </w:rPr>
            </w:pPr>
          </w:p>
        </w:tc>
        <w:tc>
          <w:tcPr>
            <w:tcW w:w="1230" w:type="dxa"/>
            <w:noWrap w:val="0"/>
            <w:vAlign w:val="center"/>
          </w:tcPr>
          <w:p>
            <w:pPr>
              <w:jc w:val="center"/>
              <w:rPr>
                <w:rFonts w:hint="eastAsia" w:ascii="宋体" w:hAnsi="宋体" w:eastAsia="宋体" w:cs="宋体"/>
                <w:spacing w:val="-1"/>
                <w:kern w:val="0"/>
                <w:sz w:val="24"/>
                <w:szCs w:val="24"/>
                <w:highlight w:val="none"/>
              </w:rPr>
            </w:pPr>
          </w:p>
        </w:tc>
        <w:tc>
          <w:tcPr>
            <w:tcW w:w="1725" w:type="dxa"/>
            <w:noWrap w:val="0"/>
            <w:vAlign w:val="center"/>
          </w:tcPr>
          <w:p>
            <w:pPr>
              <w:jc w:val="cente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w:t>
            </w:r>
          </w:p>
        </w:tc>
        <w:tc>
          <w:tcPr>
            <w:tcW w:w="2373" w:type="dxa"/>
            <w:noWrap w:val="0"/>
            <w:vAlign w:val="center"/>
          </w:tcPr>
          <w:p>
            <w:pPr>
              <w:jc w:val="center"/>
              <w:rPr>
                <w:rFonts w:hint="eastAsia" w:ascii="宋体" w:hAnsi="宋体" w:eastAsia="宋体" w:cs="宋体"/>
                <w:spacing w:val="-1"/>
                <w:kern w:val="0"/>
                <w:sz w:val="24"/>
                <w:szCs w:val="24"/>
                <w:highlight w:val="none"/>
              </w:rPr>
            </w:pPr>
          </w:p>
        </w:tc>
        <w:tc>
          <w:tcPr>
            <w:tcW w:w="3103" w:type="dxa"/>
            <w:noWrap w:val="0"/>
            <w:vAlign w:val="center"/>
          </w:tcPr>
          <w:p>
            <w:pPr>
              <w:jc w:val="center"/>
              <w:rPr>
                <w:rFonts w:hint="eastAsia" w:ascii="宋体" w:hAnsi="宋体" w:eastAsia="宋体" w:cs="宋体"/>
                <w:spacing w:val="-1"/>
                <w:kern w:val="0"/>
                <w:sz w:val="24"/>
                <w:szCs w:val="24"/>
                <w:highlight w:val="none"/>
              </w:rPr>
            </w:pPr>
          </w:p>
        </w:tc>
        <w:tc>
          <w:tcPr>
            <w:tcW w:w="1230" w:type="dxa"/>
            <w:noWrap w:val="0"/>
            <w:vAlign w:val="center"/>
          </w:tcPr>
          <w:p>
            <w:pPr>
              <w:jc w:val="center"/>
              <w:rPr>
                <w:rFonts w:hint="eastAsia" w:ascii="宋体" w:hAnsi="宋体" w:eastAsia="宋体" w:cs="宋体"/>
                <w:spacing w:val="-1"/>
                <w:kern w:val="0"/>
                <w:sz w:val="24"/>
                <w:szCs w:val="24"/>
                <w:highlight w:val="none"/>
              </w:rPr>
            </w:pPr>
          </w:p>
        </w:tc>
        <w:tc>
          <w:tcPr>
            <w:tcW w:w="1725" w:type="dxa"/>
            <w:noWrap w:val="0"/>
            <w:vAlign w:val="center"/>
          </w:tcPr>
          <w:p>
            <w:pPr>
              <w:jc w:val="center"/>
              <w:rPr>
                <w:rFonts w:hint="eastAsia" w:ascii="宋体" w:hAnsi="宋体" w:eastAsia="宋体" w:cs="宋体"/>
                <w:spacing w:val="-1"/>
                <w:kern w:val="0"/>
                <w:sz w:val="24"/>
                <w:szCs w:val="24"/>
                <w:highlight w:val="none"/>
              </w:rPr>
            </w:pPr>
          </w:p>
        </w:tc>
      </w:tr>
    </w:tbl>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注：根据评审表的要求提交相应资料。</w:t>
      </w:r>
    </w:p>
    <w:p>
      <w:pPr>
        <w:rPr>
          <w:rFonts w:hint="eastAsia" w:ascii="宋体" w:hAnsi="宋体" w:eastAsia="宋体" w:cs="宋体"/>
          <w:spacing w:val="-1"/>
          <w:kern w:val="0"/>
          <w:sz w:val="24"/>
          <w:szCs w:val="24"/>
          <w:highlight w:val="yellow"/>
        </w:rPr>
      </w:pPr>
      <w:r>
        <w:rPr>
          <w:rFonts w:hint="eastAsia" w:asciiTheme="minorEastAsia" w:hAnsiTheme="minorEastAsia" w:eastAsiaTheme="minorEastAsia" w:cstheme="minorEastAsia"/>
          <w:spacing w:val="-8"/>
          <w:sz w:val="21"/>
          <w:szCs w:val="21"/>
          <w:highlight w:val="yellow"/>
        </w:rPr>
        <w:t>业绩证明（以合同</w:t>
      </w:r>
      <w:r>
        <w:rPr>
          <w:rFonts w:hint="eastAsia" w:asciiTheme="minorEastAsia" w:hAnsiTheme="minorEastAsia" w:eastAsiaTheme="minorEastAsia" w:cstheme="minorEastAsia"/>
          <w:spacing w:val="-8"/>
          <w:sz w:val="21"/>
          <w:szCs w:val="21"/>
          <w:highlight w:val="yellow"/>
          <w:lang w:eastAsia="zh-CN"/>
        </w:rPr>
        <w:t>和</w:t>
      </w:r>
      <w:r>
        <w:rPr>
          <w:rFonts w:hint="eastAsia" w:asciiTheme="minorEastAsia" w:hAnsiTheme="minorEastAsia" w:eastAsiaTheme="minorEastAsia" w:cstheme="minorEastAsia"/>
          <w:spacing w:val="-8"/>
          <w:sz w:val="21"/>
          <w:szCs w:val="21"/>
          <w:highlight w:val="yellow"/>
        </w:rPr>
        <w:t>中标通知书为准，在投标文件中附合同</w:t>
      </w:r>
      <w:r>
        <w:rPr>
          <w:rFonts w:hint="eastAsia" w:asciiTheme="minorEastAsia" w:hAnsiTheme="minorEastAsia" w:eastAsiaTheme="minorEastAsia" w:cstheme="minorEastAsia"/>
          <w:spacing w:val="-8"/>
          <w:sz w:val="21"/>
          <w:szCs w:val="21"/>
          <w:highlight w:val="yellow"/>
          <w:lang w:eastAsia="zh-CN"/>
        </w:rPr>
        <w:t>（协议）</w:t>
      </w:r>
      <w:r>
        <w:rPr>
          <w:rFonts w:hint="eastAsia" w:asciiTheme="minorEastAsia" w:hAnsiTheme="minorEastAsia" w:eastAsiaTheme="minorEastAsia" w:cstheme="minorEastAsia"/>
          <w:spacing w:val="-8"/>
          <w:sz w:val="21"/>
          <w:szCs w:val="21"/>
          <w:highlight w:val="yellow"/>
        </w:rPr>
        <w:t>扫描件（合同须包含合同首页、金额页、服务内容页、签字盖章页）</w:t>
      </w:r>
      <w:r>
        <w:rPr>
          <w:rFonts w:hint="eastAsia" w:asciiTheme="minorEastAsia" w:hAnsiTheme="minorEastAsia" w:eastAsiaTheme="minorEastAsia" w:cstheme="minorEastAsia"/>
          <w:spacing w:val="-8"/>
          <w:sz w:val="21"/>
          <w:szCs w:val="21"/>
          <w:highlight w:val="yellow"/>
          <w:lang w:eastAsia="zh-CN"/>
        </w:rPr>
        <w:t>和</w:t>
      </w:r>
      <w:r>
        <w:rPr>
          <w:rFonts w:hint="eastAsia" w:asciiTheme="minorEastAsia" w:hAnsiTheme="minorEastAsia" w:eastAsiaTheme="minorEastAsia" w:cstheme="minorEastAsia"/>
          <w:spacing w:val="-8"/>
          <w:sz w:val="21"/>
          <w:szCs w:val="21"/>
          <w:highlight w:val="yellow"/>
        </w:rPr>
        <w:t>中标</w:t>
      </w:r>
      <w:r>
        <w:rPr>
          <w:rFonts w:hint="eastAsia" w:asciiTheme="minorEastAsia" w:hAnsiTheme="minorEastAsia" w:eastAsiaTheme="minorEastAsia" w:cstheme="minorEastAsia"/>
          <w:spacing w:val="-8"/>
          <w:sz w:val="21"/>
          <w:szCs w:val="21"/>
          <w:highlight w:val="yellow"/>
          <w:lang w:eastAsia="zh-CN"/>
        </w:rPr>
        <w:t>（成交）</w:t>
      </w:r>
      <w:r>
        <w:rPr>
          <w:rFonts w:hint="eastAsia" w:asciiTheme="minorEastAsia" w:hAnsiTheme="minorEastAsia" w:eastAsiaTheme="minorEastAsia" w:cstheme="minorEastAsia"/>
          <w:spacing w:val="-8"/>
          <w:sz w:val="21"/>
          <w:szCs w:val="21"/>
          <w:highlight w:val="yellow"/>
        </w:rPr>
        <w:t>通知书扫描件加盖单位公章，须携带原件备查，弄虚作假者取消其投标资格）</w:t>
      </w:r>
      <w:r>
        <w:rPr>
          <w:rFonts w:hint="eastAsia" w:ascii="宋体" w:hAnsi="宋体" w:eastAsia="宋体" w:cs="宋体"/>
          <w:spacing w:val="-1"/>
          <w:kern w:val="0"/>
          <w:sz w:val="24"/>
          <w:szCs w:val="24"/>
          <w:highlight w:val="yellow"/>
        </w:rPr>
        <w:t>。</w:t>
      </w:r>
    </w:p>
    <w:p>
      <w:pPr>
        <w:pStyle w:val="2"/>
        <w:kinsoku w:val="0"/>
        <w:overflowPunct w:val="0"/>
        <w:spacing w:before="0"/>
        <w:ind w:left="0"/>
        <w:rPr>
          <w:rFonts w:hint="eastAsia" w:ascii="宋体" w:hAnsi="宋体" w:eastAsia="宋体" w:cs="宋体"/>
          <w:highlight w:val="none"/>
        </w:rPr>
      </w:pPr>
    </w:p>
    <w:p>
      <w:pPr>
        <w:pStyle w:val="2"/>
        <w:kinsoku w:val="0"/>
        <w:overflowPunct w:val="0"/>
        <w:spacing w:before="10"/>
        <w:ind w:left="0"/>
        <w:rPr>
          <w:rFonts w:hint="eastAsia" w:ascii="宋体" w:hAnsi="宋体" w:eastAsia="宋体" w:cs="宋体"/>
          <w:sz w:val="29"/>
          <w:szCs w:val="29"/>
          <w:highlight w:val="none"/>
        </w:rPr>
      </w:pPr>
    </w:p>
    <w:p>
      <w:pPr>
        <w:pStyle w:val="2"/>
        <w:tabs>
          <w:tab w:val="left" w:pos="7078"/>
        </w:tabs>
        <w:kinsoku w:val="0"/>
        <w:overflowPunct w:val="0"/>
        <w:spacing w:before="0" w:line="337" w:lineRule="auto"/>
        <w:ind w:left="3598" w:right="1266"/>
        <w:rPr>
          <w:rFonts w:hint="eastAsia" w:ascii="宋体" w:hAnsi="宋体" w:eastAsia="宋体" w:cs="宋体"/>
          <w:spacing w:val="23"/>
          <w:highlight w:val="none"/>
        </w:rPr>
      </w:pPr>
      <w:r>
        <w:rPr>
          <w:rFonts w:hint="eastAsia" w:ascii="宋体" w:hAnsi="宋体" w:eastAsia="宋体" w:cs="宋体"/>
          <w:spacing w:val="-1"/>
          <w:highlight w:val="none"/>
        </w:rPr>
        <w:t>供应商：</w:t>
      </w:r>
      <w:r>
        <w:rPr>
          <w:rFonts w:hint="eastAsia" w:ascii="宋体" w:hAnsi="宋体" w:eastAsia="宋体" w:cs="宋体"/>
          <w:spacing w:val="-1"/>
          <w:highlight w:val="none"/>
          <w:u w:val="single"/>
        </w:rPr>
        <w:tab/>
      </w:r>
      <w:r>
        <w:rPr>
          <w:rFonts w:hint="eastAsia" w:ascii="宋体" w:hAnsi="宋体" w:eastAsia="宋体" w:cs="宋体"/>
          <w:highlight w:val="none"/>
          <w:u w:val="single"/>
        </w:rPr>
        <w:t>（公章）</w:t>
      </w:r>
      <w:r>
        <w:rPr>
          <w:rFonts w:hint="eastAsia" w:ascii="宋体" w:hAnsi="宋体" w:eastAsia="宋体" w:cs="宋体"/>
          <w:spacing w:val="23"/>
          <w:highlight w:val="none"/>
        </w:rPr>
        <w:t xml:space="preserve"> </w:t>
      </w:r>
    </w:p>
    <w:p>
      <w:pPr>
        <w:pStyle w:val="2"/>
        <w:tabs>
          <w:tab w:val="left" w:pos="7078"/>
        </w:tabs>
        <w:kinsoku w:val="0"/>
        <w:overflowPunct w:val="0"/>
        <w:spacing w:before="0" w:line="337" w:lineRule="auto"/>
        <w:ind w:left="3598" w:right="1266"/>
        <w:rPr>
          <w:rFonts w:hint="eastAsia" w:ascii="宋体" w:hAnsi="宋体" w:eastAsia="宋体" w:cs="宋体"/>
          <w:highlight w:val="none"/>
        </w:rPr>
      </w:pPr>
      <w:r>
        <w:rPr>
          <w:rFonts w:hint="eastAsia" w:ascii="宋体" w:hAnsi="宋体" w:eastAsia="宋体" w:cs="宋体"/>
          <w:spacing w:val="-1"/>
          <w:highlight w:val="none"/>
        </w:rPr>
        <w:t>法定代表人或委托人：</w:t>
      </w:r>
      <w:r>
        <w:rPr>
          <w:rFonts w:hint="eastAsia" w:ascii="宋体" w:hAnsi="宋体" w:eastAsia="宋体" w:cs="宋体"/>
          <w:spacing w:val="-1"/>
          <w:highlight w:val="none"/>
          <w:u w:val="single"/>
        </w:rPr>
        <w:tab/>
      </w:r>
      <w:r>
        <w:rPr>
          <w:rFonts w:hint="eastAsia" w:ascii="宋体" w:hAnsi="宋体" w:eastAsia="宋体" w:cs="宋体"/>
          <w:highlight w:val="none"/>
          <w:u w:val="single"/>
        </w:rPr>
        <w:t>（签字）</w:t>
      </w:r>
    </w:p>
    <w:p>
      <w:pPr>
        <w:pStyle w:val="2"/>
        <w:kinsoku w:val="0"/>
        <w:overflowPunct w:val="0"/>
        <w:spacing w:before="11"/>
        <w:ind w:left="0"/>
        <w:rPr>
          <w:rFonts w:hint="eastAsia" w:ascii="宋体" w:hAnsi="宋体" w:eastAsia="宋体" w:cs="宋体"/>
          <w:sz w:val="9"/>
          <w:szCs w:val="9"/>
          <w:highlight w:val="none"/>
        </w:rPr>
      </w:pPr>
    </w:p>
    <w:p>
      <w:pPr>
        <w:pStyle w:val="2"/>
        <w:tabs>
          <w:tab w:val="left" w:pos="5158"/>
          <w:tab w:val="left" w:pos="5998"/>
          <w:tab w:val="left" w:pos="6838"/>
        </w:tabs>
        <w:kinsoku w:val="0"/>
        <w:overflowPunct w:val="0"/>
        <w:spacing w:before="26"/>
        <w:ind w:left="4437" w:right="118"/>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spacing w:val="-1"/>
          <w:highlight w:val="none"/>
        </w:rPr>
        <w:t>年</w:t>
      </w:r>
      <w:r>
        <w:rPr>
          <w:rFonts w:hint="eastAsia" w:ascii="宋体" w:hAnsi="宋体" w:eastAsia="宋体" w:cs="宋体"/>
          <w:spacing w:val="-1"/>
          <w:highlight w:val="none"/>
          <w:u w:val="single"/>
        </w:rPr>
        <w:tab/>
      </w:r>
      <w:r>
        <w:rPr>
          <w:rFonts w:hint="eastAsia" w:ascii="宋体" w:hAnsi="宋体" w:eastAsia="宋体" w:cs="宋体"/>
          <w:spacing w:val="-1"/>
          <w:highlight w:val="none"/>
        </w:rPr>
        <w:t>月</w:t>
      </w:r>
      <w:r>
        <w:rPr>
          <w:rFonts w:hint="eastAsia" w:ascii="宋体" w:hAnsi="宋体" w:eastAsia="宋体" w:cs="宋体"/>
          <w:spacing w:val="-1"/>
          <w:highlight w:val="none"/>
          <w:u w:val="single"/>
        </w:rPr>
        <w:tab/>
      </w:r>
      <w:r>
        <w:rPr>
          <w:rFonts w:hint="eastAsia" w:ascii="宋体" w:hAnsi="宋体" w:eastAsia="宋体" w:cs="宋体"/>
          <w:highlight w:val="none"/>
        </w:rPr>
        <w:t>日</w:t>
      </w:r>
    </w:p>
    <w:p>
      <w:pPr>
        <w:pStyle w:val="2"/>
        <w:kinsoku w:val="0"/>
        <w:overflowPunct w:val="0"/>
        <w:spacing w:before="34" w:line="357" w:lineRule="auto"/>
        <w:ind w:right="126" w:firstLine="480"/>
        <w:jc w:val="center"/>
        <w:rPr>
          <w:rFonts w:hint="eastAsia" w:ascii="宋体" w:hAnsi="宋体" w:eastAsia="宋体" w:cs="宋体"/>
          <w:b/>
          <w:bCs/>
          <w:sz w:val="32"/>
          <w:szCs w:val="32"/>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十、中小企业声明函（符合本声明函填写）</w:t>
      </w:r>
    </w:p>
    <w:p>
      <w:pPr>
        <w:tabs>
          <w:tab w:val="left" w:pos="3600"/>
        </w:tabs>
        <w:adjustRightInd w:val="0"/>
        <w:snapToGrid w:val="0"/>
        <w:spacing w:before="240" w:beforeLines="100"/>
        <w:jc w:val="center"/>
        <w:rPr>
          <w:rFonts w:hint="eastAsia"/>
          <w:kern w:val="0"/>
          <w:sz w:val="36"/>
          <w:szCs w:val="36"/>
        </w:rPr>
      </w:pPr>
      <w:r>
        <w:rPr>
          <w:rFonts w:hint="eastAsia"/>
          <w:kern w:val="0"/>
          <w:sz w:val="36"/>
          <w:szCs w:val="36"/>
        </w:rPr>
        <w:t>中小企业声明函</w:t>
      </w:r>
    </w:p>
    <w:p>
      <w:pPr>
        <w:pStyle w:val="2"/>
        <w:rPr>
          <w:rFonts w:hint="eastAsia"/>
        </w:rPr>
      </w:pPr>
    </w:p>
    <w:p>
      <w:pPr>
        <w:spacing w:line="360" w:lineRule="auto"/>
        <w:ind w:firstLine="504" w:firstLineChars="200"/>
        <w:rPr>
          <w:rFonts w:hint="eastAsia" w:ascii="宋体" w:hAnsi="宋体"/>
          <w:spacing w:val="6"/>
          <w:sz w:val="24"/>
          <w:szCs w:val="24"/>
        </w:rPr>
      </w:pPr>
      <w:r>
        <w:rPr>
          <w:rFonts w:hint="eastAsia" w:ascii="宋体" w:hAnsi="宋体"/>
          <w:spacing w:val="6"/>
          <w:sz w:val="24"/>
          <w:szCs w:val="24"/>
        </w:rPr>
        <w:t>本公司（联合体）郑重声明，根据《政府采购促进中小企业发展管理办法》（财库﹝2020﹞46号）的规定，本公司（联合体）参加</w:t>
      </w:r>
      <w:r>
        <w:rPr>
          <w:rFonts w:hint="eastAsia" w:ascii="宋体" w:hAnsi="宋体"/>
          <w:spacing w:val="6"/>
          <w:sz w:val="24"/>
          <w:szCs w:val="24"/>
          <w:u w:val="single"/>
        </w:rPr>
        <w:t>（单位名称）</w:t>
      </w:r>
      <w:r>
        <w:rPr>
          <w:rFonts w:hint="eastAsia" w:ascii="宋体" w:hAnsi="宋体"/>
          <w:spacing w:val="6"/>
          <w:sz w:val="24"/>
          <w:szCs w:val="24"/>
        </w:rPr>
        <w:t>的</w:t>
      </w:r>
      <w:r>
        <w:rPr>
          <w:rFonts w:hint="eastAsia" w:ascii="宋体" w:hAnsi="宋体"/>
          <w:spacing w:val="6"/>
          <w:sz w:val="24"/>
          <w:szCs w:val="24"/>
          <w:u w:val="single"/>
        </w:rPr>
        <w:t>（项目名称）</w:t>
      </w:r>
      <w:r>
        <w:rPr>
          <w:rFonts w:hint="eastAsia" w:ascii="宋体" w:hAnsi="宋体"/>
          <w:spacing w:val="6"/>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0"/>
        </w:numPr>
        <w:spacing w:line="360" w:lineRule="auto"/>
        <w:ind w:firstLine="504" w:firstLineChars="200"/>
        <w:rPr>
          <w:rFonts w:hint="eastAsia" w:ascii="宋体" w:hAnsi="宋体"/>
          <w:spacing w:val="6"/>
          <w:sz w:val="24"/>
          <w:szCs w:val="24"/>
        </w:rPr>
      </w:pPr>
      <w:r>
        <w:rPr>
          <w:rFonts w:hint="eastAsia" w:ascii="宋体" w:hAnsi="宋体"/>
          <w:spacing w:val="6"/>
          <w:sz w:val="24"/>
          <w:szCs w:val="24"/>
          <w:u w:val="single"/>
          <w:lang w:val="en-US" w:eastAsia="zh-CN"/>
        </w:rPr>
        <w:t>1.</w:t>
      </w:r>
      <w:r>
        <w:rPr>
          <w:rFonts w:hint="eastAsia" w:ascii="宋体" w:hAnsi="宋体"/>
          <w:spacing w:val="6"/>
          <w:sz w:val="24"/>
          <w:szCs w:val="24"/>
          <w:u w:val="single"/>
        </w:rPr>
        <w:t>（标的名称）</w:t>
      </w:r>
      <w:r>
        <w:rPr>
          <w:rFonts w:hint="eastAsia" w:ascii="宋体" w:hAnsi="宋体"/>
          <w:spacing w:val="6"/>
          <w:sz w:val="24"/>
          <w:szCs w:val="24"/>
        </w:rPr>
        <w:t>，属于</w:t>
      </w:r>
      <w:r>
        <w:rPr>
          <w:rFonts w:hint="eastAsia" w:ascii="宋体" w:hAnsi="宋体"/>
          <w:spacing w:val="6"/>
          <w:sz w:val="24"/>
          <w:szCs w:val="24"/>
          <w:u w:val="single"/>
        </w:rPr>
        <w:t>（采购文件中明确的所属行业）</w:t>
      </w:r>
      <w:r>
        <w:rPr>
          <w:rFonts w:hint="eastAsia" w:ascii="宋体" w:hAnsi="宋体"/>
          <w:spacing w:val="6"/>
          <w:sz w:val="24"/>
          <w:szCs w:val="24"/>
        </w:rPr>
        <w:t>；承建（承接）企业为</w:t>
      </w:r>
      <w:r>
        <w:rPr>
          <w:rFonts w:hint="eastAsia" w:ascii="宋体" w:hAnsi="宋体"/>
          <w:spacing w:val="6"/>
          <w:sz w:val="24"/>
          <w:szCs w:val="24"/>
          <w:u w:val="single"/>
        </w:rPr>
        <w:t>（企业名称）</w:t>
      </w:r>
      <w:r>
        <w:rPr>
          <w:rFonts w:hint="eastAsia" w:ascii="宋体" w:hAnsi="宋体"/>
          <w:spacing w:val="6"/>
          <w:sz w:val="24"/>
          <w:szCs w:val="24"/>
        </w:rPr>
        <w:t>，从业人员人</w:t>
      </w:r>
      <w:r>
        <w:rPr>
          <w:rFonts w:hint="eastAsia" w:ascii="宋体" w:hAnsi="宋体"/>
          <w:spacing w:val="6"/>
          <w:sz w:val="24"/>
          <w:szCs w:val="24"/>
          <w:u w:val="single"/>
          <w:lang w:val="en-US" w:eastAsia="zh-CN"/>
        </w:rPr>
        <w:t xml:space="preserve">         </w:t>
      </w:r>
      <w:r>
        <w:rPr>
          <w:rFonts w:hint="eastAsia" w:ascii="宋体" w:hAnsi="宋体"/>
          <w:spacing w:val="6"/>
          <w:sz w:val="24"/>
          <w:szCs w:val="24"/>
          <w:u w:val="none"/>
          <w:lang w:val="en-US" w:eastAsia="zh-CN"/>
        </w:rPr>
        <w:t>人</w:t>
      </w:r>
      <w:r>
        <w:rPr>
          <w:rFonts w:hint="eastAsia" w:ascii="宋体" w:hAnsi="宋体"/>
          <w:spacing w:val="6"/>
          <w:sz w:val="24"/>
          <w:szCs w:val="24"/>
        </w:rPr>
        <w:t>，营业收入为</w:t>
      </w:r>
      <w:r>
        <w:rPr>
          <w:rFonts w:hint="eastAsia" w:ascii="宋体" w:hAnsi="宋体"/>
          <w:spacing w:val="6"/>
          <w:sz w:val="24"/>
          <w:szCs w:val="24"/>
          <w:u w:val="single"/>
          <w:lang w:val="en-US" w:eastAsia="zh-CN"/>
        </w:rPr>
        <w:t xml:space="preserve">         </w:t>
      </w:r>
      <w:r>
        <w:rPr>
          <w:rFonts w:hint="eastAsia" w:ascii="宋体" w:hAnsi="宋体"/>
          <w:spacing w:val="6"/>
          <w:sz w:val="24"/>
          <w:szCs w:val="24"/>
        </w:rPr>
        <w:t>万元，资产总额为</w:t>
      </w:r>
      <w:r>
        <w:rPr>
          <w:rFonts w:hint="eastAsia" w:ascii="宋体" w:hAnsi="宋体"/>
          <w:spacing w:val="6"/>
          <w:sz w:val="24"/>
          <w:szCs w:val="24"/>
          <w:u w:val="single"/>
          <w:lang w:val="en-US" w:eastAsia="zh-CN"/>
        </w:rPr>
        <w:t xml:space="preserve">         </w:t>
      </w:r>
      <w:r>
        <w:rPr>
          <w:rFonts w:hint="eastAsia" w:ascii="宋体" w:hAnsi="宋体"/>
          <w:spacing w:val="6"/>
          <w:sz w:val="24"/>
          <w:szCs w:val="24"/>
        </w:rPr>
        <w:t>万元，属于</w:t>
      </w:r>
      <w:r>
        <w:rPr>
          <w:rFonts w:hint="eastAsia" w:ascii="宋体" w:hAnsi="宋体"/>
          <w:spacing w:val="6"/>
          <w:sz w:val="24"/>
          <w:szCs w:val="24"/>
          <w:u w:val="single"/>
        </w:rPr>
        <w:t>（中型企业、 小型企业、微型企业）</w:t>
      </w:r>
      <w:r>
        <w:rPr>
          <w:rFonts w:hint="eastAsia" w:ascii="宋体" w:hAnsi="宋体"/>
          <w:spacing w:val="6"/>
          <w:sz w:val="24"/>
          <w:szCs w:val="24"/>
        </w:rPr>
        <w:t>；</w:t>
      </w:r>
    </w:p>
    <w:p>
      <w:pPr>
        <w:numPr>
          <w:ilvl w:val="0"/>
          <w:numId w:val="0"/>
        </w:numPr>
        <w:spacing w:line="360" w:lineRule="auto"/>
        <w:ind w:firstLine="504" w:firstLineChars="200"/>
        <w:rPr>
          <w:rFonts w:hint="eastAsia" w:ascii="宋体" w:hAnsi="宋体"/>
          <w:spacing w:val="6"/>
          <w:sz w:val="24"/>
          <w:szCs w:val="24"/>
        </w:rPr>
      </w:pPr>
      <w:r>
        <w:rPr>
          <w:rFonts w:hint="eastAsia" w:ascii="宋体" w:hAnsi="宋体"/>
          <w:spacing w:val="6"/>
          <w:sz w:val="24"/>
          <w:szCs w:val="24"/>
          <w:lang w:val="en-US" w:eastAsia="zh-CN"/>
        </w:rPr>
        <w:t>2.</w:t>
      </w:r>
      <w:r>
        <w:rPr>
          <w:rFonts w:hint="eastAsia" w:ascii="宋体" w:hAnsi="宋体"/>
          <w:spacing w:val="6"/>
          <w:sz w:val="24"/>
          <w:szCs w:val="24"/>
          <w:u w:val="single"/>
        </w:rPr>
        <w:t>（标的名称）</w:t>
      </w:r>
      <w:r>
        <w:rPr>
          <w:rFonts w:hint="eastAsia" w:ascii="宋体" w:hAnsi="宋体"/>
          <w:spacing w:val="6"/>
          <w:sz w:val="24"/>
          <w:szCs w:val="24"/>
        </w:rPr>
        <w:t>，属于</w:t>
      </w:r>
      <w:r>
        <w:rPr>
          <w:rFonts w:hint="eastAsia" w:ascii="宋体" w:hAnsi="宋体"/>
          <w:spacing w:val="6"/>
          <w:sz w:val="24"/>
          <w:szCs w:val="24"/>
          <w:u w:val="single"/>
        </w:rPr>
        <w:t>（采购文件中明确的所属行业）</w:t>
      </w:r>
      <w:r>
        <w:rPr>
          <w:rFonts w:hint="eastAsia" w:ascii="宋体" w:hAnsi="宋体"/>
          <w:spacing w:val="6"/>
          <w:sz w:val="24"/>
          <w:szCs w:val="24"/>
        </w:rPr>
        <w:t>；承建（承接）企业为</w:t>
      </w:r>
      <w:r>
        <w:rPr>
          <w:rFonts w:hint="eastAsia" w:ascii="宋体" w:hAnsi="宋体"/>
          <w:spacing w:val="6"/>
          <w:sz w:val="24"/>
          <w:szCs w:val="24"/>
          <w:u w:val="single"/>
        </w:rPr>
        <w:t>（企业名称）</w:t>
      </w:r>
      <w:r>
        <w:rPr>
          <w:rFonts w:hint="eastAsia" w:ascii="宋体" w:hAnsi="宋体"/>
          <w:spacing w:val="6"/>
          <w:sz w:val="24"/>
          <w:szCs w:val="24"/>
        </w:rPr>
        <w:t>，从业人员人</w:t>
      </w:r>
      <w:r>
        <w:rPr>
          <w:rFonts w:hint="eastAsia" w:ascii="宋体" w:hAnsi="宋体"/>
          <w:spacing w:val="6"/>
          <w:sz w:val="24"/>
          <w:szCs w:val="24"/>
          <w:u w:val="single"/>
          <w:lang w:val="en-US" w:eastAsia="zh-CN"/>
        </w:rPr>
        <w:t xml:space="preserve">         </w:t>
      </w:r>
      <w:r>
        <w:rPr>
          <w:rFonts w:hint="eastAsia" w:ascii="宋体" w:hAnsi="宋体"/>
          <w:spacing w:val="6"/>
          <w:sz w:val="24"/>
          <w:szCs w:val="24"/>
          <w:u w:val="none"/>
          <w:lang w:val="en-US" w:eastAsia="zh-CN"/>
        </w:rPr>
        <w:t>人</w:t>
      </w:r>
      <w:r>
        <w:rPr>
          <w:rFonts w:hint="eastAsia" w:ascii="宋体" w:hAnsi="宋体"/>
          <w:spacing w:val="6"/>
          <w:sz w:val="24"/>
          <w:szCs w:val="24"/>
        </w:rPr>
        <w:t>，营业收入为</w:t>
      </w:r>
      <w:r>
        <w:rPr>
          <w:rFonts w:hint="eastAsia" w:ascii="宋体" w:hAnsi="宋体"/>
          <w:spacing w:val="6"/>
          <w:sz w:val="24"/>
          <w:szCs w:val="24"/>
          <w:u w:val="single"/>
          <w:lang w:val="en-US" w:eastAsia="zh-CN"/>
        </w:rPr>
        <w:t xml:space="preserve">         </w:t>
      </w:r>
      <w:r>
        <w:rPr>
          <w:rFonts w:hint="eastAsia" w:ascii="宋体" w:hAnsi="宋体"/>
          <w:spacing w:val="6"/>
          <w:sz w:val="24"/>
          <w:szCs w:val="24"/>
        </w:rPr>
        <w:t>万元，资产总额为</w:t>
      </w:r>
      <w:r>
        <w:rPr>
          <w:rFonts w:hint="eastAsia" w:ascii="宋体" w:hAnsi="宋体"/>
          <w:spacing w:val="6"/>
          <w:sz w:val="24"/>
          <w:szCs w:val="24"/>
          <w:u w:val="single"/>
          <w:lang w:val="en-US" w:eastAsia="zh-CN"/>
        </w:rPr>
        <w:t xml:space="preserve">         </w:t>
      </w:r>
      <w:r>
        <w:rPr>
          <w:rFonts w:hint="eastAsia" w:ascii="宋体" w:hAnsi="宋体"/>
          <w:spacing w:val="6"/>
          <w:sz w:val="24"/>
          <w:szCs w:val="24"/>
        </w:rPr>
        <w:t>万元，属于</w:t>
      </w:r>
      <w:r>
        <w:rPr>
          <w:rFonts w:hint="eastAsia" w:ascii="宋体" w:hAnsi="宋体"/>
          <w:spacing w:val="6"/>
          <w:sz w:val="24"/>
          <w:szCs w:val="24"/>
          <w:u w:val="single"/>
        </w:rPr>
        <w:t>（中型企业、 小型企业、微型企业）</w:t>
      </w:r>
      <w:r>
        <w:rPr>
          <w:rFonts w:hint="eastAsia" w:ascii="宋体" w:hAnsi="宋体"/>
          <w:spacing w:val="6"/>
          <w:sz w:val="24"/>
          <w:szCs w:val="24"/>
        </w:rPr>
        <w:t>；</w:t>
      </w:r>
    </w:p>
    <w:p>
      <w:pPr>
        <w:pStyle w:val="8"/>
        <w:rPr>
          <w:rFonts w:hint="eastAsia"/>
        </w:rPr>
      </w:pPr>
      <w:r>
        <w:rPr>
          <w:rFonts w:hint="eastAsia"/>
        </w:rPr>
        <w:t>……</w:t>
      </w:r>
    </w:p>
    <w:p>
      <w:pPr>
        <w:rPr>
          <w:rFonts w:hint="eastAsia"/>
        </w:rPr>
      </w:pPr>
    </w:p>
    <w:p>
      <w:pPr>
        <w:numPr>
          <w:ilvl w:val="0"/>
          <w:numId w:val="0"/>
        </w:numPr>
        <w:spacing w:line="360" w:lineRule="auto"/>
        <w:ind w:firstLine="504" w:firstLineChars="200"/>
        <w:rPr>
          <w:rFonts w:hint="eastAsia" w:ascii="宋体" w:hAnsi="宋体"/>
          <w:spacing w:val="6"/>
          <w:sz w:val="24"/>
          <w:szCs w:val="24"/>
        </w:rPr>
      </w:pPr>
      <w:r>
        <w:rPr>
          <w:rFonts w:hint="eastAsia" w:ascii="宋体" w:hAnsi="宋体"/>
          <w:spacing w:val="6"/>
          <w:sz w:val="24"/>
          <w:szCs w:val="24"/>
        </w:rPr>
        <w:t>以上企业，不属于大企业的分支机构，不存在控股股东为大企业的情形，也不存在与大企业的负责人为同一人的情形。</w:t>
      </w:r>
    </w:p>
    <w:p>
      <w:pPr>
        <w:numPr>
          <w:ilvl w:val="0"/>
          <w:numId w:val="0"/>
        </w:numPr>
        <w:spacing w:line="360" w:lineRule="auto"/>
        <w:ind w:leftChars="200"/>
        <w:rPr>
          <w:rFonts w:hint="eastAsia" w:ascii="宋体" w:hAnsi="宋体"/>
          <w:spacing w:val="6"/>
          <w:sz w:val="24"/>
          <w:szCs w:val="24"/>
        </w:rPr>
      </w:pPr>
      <w:r>
        <w:rPr>
          <w:rFonts w:hint="eastAsia" w:ascii="宋体" w:hAnsi="宋体"/>
          <w:spacing w:val="6"/>
          <w:sz w:val="24"/>
          <w:szCs w:val="24"/>
        </w:rPr>
        <w:t>本企业对上述声明内容的真实性负责。如有虚假，将依法承担相应责任。</w:t>
      </w:r>
    </w:p>
    <w:p>
      <w:pPr>
        <w:spacing w:line="360" w:lineRule="auto"/>
        <w:ind w:firstLine="504" w:firstLineChars="200"/>
        <w:rPr>
          <w:rFonts w:hint="eastAsia" w:ascii="宋体" w:hAnsi="宋体"/>
          <w:spacing w:val="6"/>
          <w:sz w:val="24"/>
          <w:szCs w:val="24"/>
        </w:rPr>
      </w:pPr>
    </w:p>
    <w:p>
      <w:pPr>
        <w:spacing w:line="360" w:lineRule="auto"/>
        <w:ind w:firstLine="504" w:firstLineChars="200"/>
        <w:rPr>
          <w:rFonts w:hint="eastAsia" w:ascii="宋体" w:hAnsi="宋体"/>
          <w:spacing w:val="6"/>
          <w:sz w:val="24"/>
          <w:szCs w:val="24"/>
        </w:rPr>
      </w:pPr>
      <w:r>
        <w:rPr>
          <w:rFonts w:hint="eastAsia" w:ascii="宋体" w:hAnsi="宋体"/>
          <w:spacing w:val="6"/>
          <w:sz w:val="24"/>
          <w:szCs w:val="24"/>
        </w:rPr>
        <w:t>企业名称（盖章）：</w:t>
      </w:r>
    </w:p>
    <w:p>
      <w:pPr>
        <w:spacing w:line="360" w:lineRule="auto"/>
        <w:ind w:firstLine="504" w:firstLineChars="200"/>
        <w:rPr>
          <w:rFonts w:hint="eastAsia" w:ascii="宋体" w:hAnsi="宋体"/>
          <w:spacing w:val="6"/>
          <w:sz w:val="24"/>
          <w:szCs w:val="24"/>
        </w:rPr>
      </w:pPr>
      <w:r>
        <w:rPr>
          <w:rFonts w:hint="eastAsia" w:ascii="宋体" w:hAnsi="宋体"/>
          <w:spacing w:val="6"/>
          <w:sz w:val="24"/>
          <w:szCs w:val="24"/>
        </w:rPr>
        <w:t>日 期：</w:t>
      </w:r>
    </w:p>
    <w:p>
      <w:pPr>
        <w:adjustRightInd w:val="0"/>
        <w:snapToGrid w:val="0"/>
        <w:spacing w:line="30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说明：</w:t>
      </w:r>
    </w:p>
    <w:p>
      <w:pPr>
        <w:adjustRightInd w:val="0"/>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（1）填报前请认真阅读</w:t>
      </w:r>
      <w:r>
        <w:rPr>
          <w:rFonts w:hint="eastAsia" w:ascii="宋体" w:hAnsi="宋体" w:eastAsia="宋体" w:cs="宋体"/>
          <w:color w:val="auto"/>
          <w:spacing w:val="6"/>
          <w:kern w:val="0"/>
          <w:szCs w:val="21"/>
          <w:highlight w:val="none"/>
        </w:rPr>
        <w:t>《中小企业划型标准规定》（工信部联企业[2011]300号）</w:t>
      </w:r>
      <w:r>
        <w:rPr>
          <w:rFonts w:hint="eastAsia" w:ascii="宋体" w:hAnsi="宋体" w:eastAsia="宋体" w:cs="宋体"/>
          <w:bCs/>
          <w:color w:val="auto"/>
          <w:kern w:val="0"/>
          <w:szCs w:val="21"/>
          <w:highlight w:val="none"/>
        </w:rPr>
        <w:t>和</w:t>
      </w:r>
      <w:r>
        <w:rPr>
          <w:rFonts w:hint="eastAsia" w:ascii="宋体" w:hAnsi="宋体" w:eastAsia="宋体" w:cs="宋体"/>
          <w:color w:val="auto"/>
          <w:spacing w:val="6"/>
          <w:szCs w:val="21"/>
          <w:highlight w:val="none"/>
        </w:rPr>
        <w:t>《</w:t>
      </w:r>
      <w:r>
        <w:rPr>
          <w:rFonts w:hint="eastAsia" w:ascii="宋体" w:hAnsi="宋体" w:eastAsia="宋体" w:cs="宋体"/>
          <w:bCs/>
          <w:color w:val="auto"/>
          <w:szCs w:val="21"/>
          <w:highlight w:val="none"/>
        </w:rPr>
        <w:t>政府采购促进中小企业发展管理办法》(</w:t>
      </w:r>
      <w:r>
        <w:rPr>
          <w:rFonts w:hint="eastAsia" w:ascii="宋体" w:hAnsi="宋体" w:eastAsia="宋体" w:cs="宋体"/>
          <w:color w:val="auto"/>
          <w:szCs w:val="21"/>
          <w:highlight w:val="none"/>
        </w:rPr>
        <w:t>财库[2020]46号)相关规定。</w:t>
      </w:r>
    </w:p>
    <w:p>
      <w:pPr>
        <w:adjustRightInd w:val="0"/>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（2）从业人员、营业收入、资产总额填报上一年度数据，无上一年度数据的新成立企业可不填报。响应文件其他地方与《中小企业声明函》数据不一致的，以《中小企业声明函》为准。</w:t>
      </w:r>
    </w:p>
    <w:p>
      <w:pPr>
        <w:adjustRightInd w:val="0"/>
        <w:snapToGrid w:val="0"/>
        <w:spacing w:line="360" w:lineRule="exact"/>
        <w:ind w:firstLine="420" w:firstLineChars="200"/>
        <w:rPr>
          <w:rFonts w:hint="eastAsia" w:ascii="宋体" w:hAnsi="宋体" w:eastAsia="宋体" w:cs="宋体"/>
          <w:w w:val="95"/>
          <w:sz w:val="21"/>
          <w:szCs w:val="21"/>
          <w:highlight w:val="none"/>
        </w:rPr>
      </w:pPr>
      <w:r>
        <w:rPr>
          <w:rFonts w:hint="eastAsia" w:ascii="宋体" w:hAnsi="宋体" w:eastAsia="宋体" w:cs="宋体"/>
          <w:color w:val="auto"/>
          <w:szCs w:val="21"/>
          <w:highlight w:val="none"/>
        </w:rPr>
        <w:t>（3）供应商符合享受小微企业政府采购优惠政策条件的，必须填报服务商的全部数据，</w:t>
      </w:r>
      <w:r>
        <w:rPr>
          <w:rFonts w:hint="eastAsia" w:ascii="宋体" w:hAnsi="宋体" w:eastAsia="宋体" w:cs="宋体"/>
          <w:bCs/>
          <w:color w:val="auto"/>
          <w:szCs w:val="21"/>
          <w:highlight w:val="none"/>
        </w:rPr>
        <w:t>未按要求提供、</w:t>
      </w:r>
      <w:r>
        <w:rPr>
          <w:rFonts w:hint="eastAsia" w:ascii="宋体" w:hAnsi="宋体" w:eastAsia="宋体" w:cs="宋体"/>
          <w:color w:val="auto"/>
          <w:szCs w:val="21"/>
          <w:highlight w:val="none"/>
        </w:rPr>
        <w:t>填报</w:t>
      </w:r>
      <w:r>
        <w:rPr>
          <w:rFonts w:hint="eastAsia" w:ascii="宋体" w:hAnsi="宋体" w:eastAsia="宋体" w:cs="宋体"/>
          <w:bCs/>
          <w:color w:val="auto"/>
          <w:szCs w:val="21"/>
          <w:highlight w:val="none"/>
        </w:rPr>
        <w:t>的，不享受报价扣除优惠政策。</w:t>
      </w:r>
    </w:p>
    <w:p>
      <w:pPr>
        <w:pStyle w:val="2"/>
        <w:kinsoku w:val="0"/>
        <w:overflowPunct w:val="0"/>
        <w:spacing w:before="133" w:line="356" w:lineRule="auto"/>
        <w:ind w:right="248" w:firstLine="420"/>
        <w:jc w:val="both"/>
        <w:rPr>
          <w:rFonts w:hint="eastAsia" w:ascii="宋体" w:hAnsi="宋体" w:eastAsia="宋体" w:cs="宋体"/>
          <w:b/>
          <w:bCs/>
          <w:highlight w:val="none"/>
        </w:rPr>
      </w:pPr>
      <w:r>
        <w:rPr>
          <w:rFonts w:hint="eastAsia" w:ascii="宋体" w:hAnsi="宋体" w:eastAsia="宋体" w:cs="宋体"/>
          <w:w w:val="95"/>
          <w:sz w:val="21"/>
          <w:szCs w:val="21"/>
          <w:highlight w:val="none"/>
        </w:rPr>
        <w:br w:type="page"/>
      </w:r>
      <w:r>
        <w:rPr>
          <w:rFonts w:hint="eastAsia" w:ascii="宋体" w:hAnsi="宋体" w:eastAsia="宋体" w:cs="宋体"/>
          <w:b/>
          <w:bCs/>
          <w:sz w:val="36"/>
          <w:szCs w:val="36"/>
          <w:highlight w:val="none"/>
        </w:rPr>
        <w:t>十一、残疾人福利性单位声明函（符合本声明函填写）</w:t>
      </w:r>
    </w:p>
    <w:p>
      <w:pPr>
        <w:spacing w:line="360" w:lineRule="auto"/>
        <w:rPr>
          <w:rFonts w:hint="eastAsia" w:ascii="宋体" w:hAnsi="宋体" w:eastAsia="宋体" w:cs="宋体"/>
          <w:b/>
          <w:bCs/>
          <w:sz w:val="32"/>
          <w:szCs w:val="32"/>
          <w:highlight w:val="none"/>
        </w:rPr>
      </w:pPr>
      <w:r>
        <w:rPr>
          <w:rFonts w:hint="eastAsia" w:hAnsi="宋体" w:cs="宋体"/>
          <w:b/>
          <w:bCs/>
          <w:spacing w:val="1"/>
          <w:sz w:val="24"/>
          <w:szCs w:val="24"/>
          <w:highlight w:val="none"/>
          <w:lang w:eastAsia="zh-CN"/>
        </w:rPr>
        <w:t>新疆信尔成工程项目管理有限公司</w:t>
      </w:r>
      <w:r>
        <w:rPr>
          <w:rFonts w:hint="eastAsia" w:ascii="宋体" w:hAnsi="宋体"/>
          <w:b/>
          <w:bCs/>
          <w:spacing w:val="6"/>
          <w:sz w:val="24"/>
          <w:szCs w:val="24"/>
        </w:rPr>
        <w:t>：</w:t>
      </w:r>
    </w:p>
    <w:p>
      <w:pPr>
        <w:pStyle w:val="2"/>
        <w:tabs>
          <w:tab w:val="left" w:pos="3211"/>
          <w:tab w:val="left" w:pos="4651"/>
        </w:tabs>
        <w:kinsoku w:val="0"/>
        <w:overflowPunct w:val="0"/>
        <w:spacing w:before="264" w:line="356" w:lineRule="auto"/>
        <w:ind w:right="118" w:firstLine="480"/>
        <w:rPr>
          <w:rFonts w:hint="eastAsia" w:ascii="宋体" w:hAnsi="宋体" w:eastAsia="宋体" w:cs="宋体"/>
          <w:highlight w:val="none"/>
        </w:rPr>
      </w:pPr>
      <w:r>
        <w:rPr>
          <w:rFonts w:hint="eastAsia" w:ascii="宋体" w:hAnsi="宋体" w:eastAsia="宋体" w:cs="宋体"/>
          <w:highlight w:val="none"/>
        </w:rPr>
        <w:t>本单位郑重声明</w:t>
      </w:r>
      <w:r>
        <w:rPr>
          <w:rFonts w:hint="eastAsia" w:ascii="宋体" w:hAnsi="宋体" w:eastAsia="宋体" w:cs="宋体"/>
          <w:spacing w:val="-27"/>
          <w:highlight w:val="none"/>
        </w:rPr>
        <w:t>，</w:t>
      </w:r>
      <w:r>
        <w:rPr>
          <w:rFonts w:hint="eastAsia" w:ascii="宋体" w:hAnsi="宋体" w:eastAsia="宋体" w:cs="宋体"/>
          <w:highlight w:val="none"/>
        </w:rPr>
        <w:t>根</w:t>
      </w:r>
      <w:r>
        <w:rPr>
          <w:rFonts w:hint="eastAsia" w:ascii="宋体" w:hAnsi="宋体" w:eastAsia="宋体" w:cs="宋体"/>
          <w:spacing w:val="-24"/>
          <w:highlight w:val="none"/>
        </w:rPr>
        <w:t>据</w:t>
      </w:r>
      <w:r>
        <w:rPr>
          <w:rFonts w:hint="eastAsia" w:ascii="宋体" w:hAnsi="宋体" w:eastAsia="宋体" w:cs="宋体"/>
          <w:highlight w:val="none"/>
        </w:rPr>
        <w:t>《财政部 民政部 中国残疾人联合会关于促进残疾人就业政府采购政策的通知》（财库〔2017〕141</w:t>
      </w:r>
      <w:r>
        <w:rPr>
          <w:rFonts w:hint="eastAsia" w:ascii="宋体" w:hAnsi="宋体" w:eastAsia="宋体" w:cs="宋体"/>
          <w:spacing w:val="-58"/>
          <w:highlight w:val="none"/>
        </w:rPr>
        <w:t xml:space="preserve"> </w:t>
      </w:r>
      <w:r>
        <w:rPr>
          <w:rFonts w:hint="eastAsia" w:ascii="宋体" w:hAnsi="宋体" w:eastAsia="宋体" w:cs="宋体"/>
          <w:highlight w:val="none"/>
        </w:rPr>
        <w:t>号）的规定，本单位为符合条件的残疾人福利性单位</w:t>
      </w:r>
      <w:r>
        <w:rPr>
          <w:rFonts w:hint="eastAsia" w:ascii="宋体" w:hAnsi="宋体" w:eastAsia="宋体" w:cs="宋体"/>
          <w:spacing w:val="-27"/>
          <w:highlight w:val="none"/>
        </w:rPr>
        <w:t>，</w:t>
      </w:r>
      <w:r>
        <w:rPr>
          <w:rFonts w:hint="eastAsia" w:ascii="宋体" w:hAnsi="宋体" w:eastAsia="宋体" w:cs="宋体"/>
          <w:highlight w:val="none"/>
        </w:rPr>
        <w:t>且本单位参加</w:t>
      </w:r>
      <w:r>
        <w:rPr>
          <w:rFonts w:hint="eastAsia" w:ascii="宋体" w:hAnsi="宋体" w:eastAsia="宋体" w:cs="宋体"/>
          <w:highlight w:val="none"/>
          <w:u w:val="single"/>
        </w:rPr>
        <w:tab/>
      </w:r>
      <w:r>
        <w:rPr>
          <w:rFonts w:hint="eastAsia" w:ascii="宋体" w:hAnsi="宋体" w:eastAsia="宋体" w:cs="宋体"/>
          <w:highlight w:val="none"/>
        </w:rPr>
        <w:t>单位的</w:t>
      </w:r>
      <w:r>
        <w:rPr>
          <w:rFonts w:hint="eastAsia" w:ascii="宋体" w:hAnsi="宋体" w:eastAsia="宋体" w:cs="宋体"/>
          <w:highlight w:val="none"/>
          <w:u w:val="single"/>
        </w:rPr>
        <w:tab/>
      </w:r>
      <w:r>
        <w:rPr>
          <w:rFonts w:hint="eastAsia" w:ascii="宋体" w:hAnsi="宋体" w:eastAsia="宋体" w:cs="宋体"/>
          <w:highlight w:val="none"/>
        </w:rPr>
        <w:t>项目采购活动提供本单位制造的货</w:t>
      </w:r>
      <w:r>
        <w:rPr>
          <w:rFonts w:hint="eastAsia" w:ascii="宋体" w:hAnsi="宋体" w:eastAsia="宋体" w:cs="宋体"/>
          <w:spacing w:val="-22"/>
          <w:highlight w:val="none"/>
        </w:rPr>
        <w:t>物</w:t>
      </w:r>
      <w:r>
        <w:rPr>
          <w:rFonts w:hint="eastAsia" w:ascii="宋体" w:hAnsi="宋体" w:eastAsia="宋体" w:cs="宋体"/>
          <w:spacing w:val="-3"/>
          <w:highlight w:val="none"/>
        </w:rPr>
        <w:t>（</w:t>
      </w:r>
      <w:r>
        <w:rPr>
          <w:rFonts w:hint="eastAsia" w:ascii="宋体" w:hAnsi="宋体" w:eastAsia="宋体" w:cs="宋体"/>
          <w:highlight w:val="none"/>
        </w:rPr>
        <w:t>由本</w:t>
      </w:r>
      <w:r>
        <w:rPr>
          <w:rFonts w:hint="eastAsia" w:ascii="宋体" w:hAnsi="宋体" w:eastAsia="宋体" w:cs="宋体"/>
          <w:spacing w:val="1"/>
          <w:highlight w:val="none"/>
        </w:rPr>
        <w:t>单位承担工程/提供服务），或者提供其他残疾人福利性单位制造的货物（不包括使用</w:t>
      </w:r>
      <w:r>
        <w:rPr>
          <w:rFonts w:hint="eastAsia" w:ascii="宋体" w:hAnsi="宋体" w:eastAsia="宋体" w:cs="宋体"/>
          <w:highlight w:val="none"/>
        </w:rPr>
        <w:t>非残疾人福利性单位注册商标的货物）。本单位对上述声明的真实性负责，如有虚假，将依法承担相应责任。</w:t>
      </w:r>
    </w:p>
    <w:p>
      <w:pPr>
        <w:pStyle w:val="2"/>
        <w:kinsoku w:val="0"/>
        <w:overflowPunct w:val="0"/>
        <w:spacing w:before="0"/>
        <w:ind w:left="0"/>
        <w:rPr>
          <w:rFonts w:hint="eastAsia" w:ascii="宋体" w:hAnsi="宋体" w:eastAsia="宋体" w:cs="宋体"/>
          <w:highlight w:val="none"/>
        </w:rPr>
      </w:pPr>
    </w:p>
    <w:p>
      <w:pPr>
        <w:pStyle w:val="2"/>
        <w:kinsoku w:val="0"/>
        <w:overflowPunct w:val="0"/>
        <w:spacing w:before="0"/>
        <w:ind w:left="0"/>
        <w:rPr>
          <w:rFonts w:hint="eastAsia" w:ascii="宋体" w:hAnsi="宋体" w:eastAsia="宋体" w:cs="宋体"/>
          <w:highlight w:val="none"/>
        </w:rPr>
      </w:pPr>
    </w:p>
    <w:p>
      <w:pPr>
        <w:pStyle w:val="2"/>
        <w:kinsoku w:val="0"/>
        <w:overflowPunct w:val="0"/>
        <w:spacing w:before="3"/>
        <w:ind w:left="0"/>
        <w:rPr>
          <w:rFonts w:hint="eastAsia" w:ascii="宋体" w:hAnsi="宋体" w:eastAsia="宋体" w:cs="宋体"/>
          <w:sz w:val="26"/>
          <w:szCs w:val="26"/>
          <w:highlight w:val="none"/>
        </w:rPr>
      </w:pPr>
    </w:p>
    <w:p>
      <w:pPr>
        <w:pStyle w:val="2"/>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2"/>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w w:val="95"/>
          <w:highlight w:val="none"/>
        </w:rPr>
        <w:t>（签字）</w:t>
      </w:r>
    </w:p>
    <w:p>
      <w:pPr>
        <w:pStyle w:val="2"/>
        <w:tabs>
          <w:tab w:val="left" w:pos="6187"/>
          <w:tab w:val="left" w:pos="7147"/>
          <w:tab w:val="left" w:pos="7747"/>
          <w:tab w:val="left" w:pos="8347"/>
        </w:tabs>
        <w:kinsoku w:val="0"/>
        <w:overflowPunct w:val="0"/>
        <w:spacing w:before="46"/>
        <w:ind w:left="5468"/>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rPr>
        <w:t>日</w:t>
      </w:r>
    </w:p>
    <w:p>
      <w:pPr>
        <w:pStyle w:val="2"/>
        <w:kinsoku w:val="0"/>
        <w:overflowPunct w:val="0"/>
        <w:spacing w:before="0"/>
        <w:ind w:left="0"/>
        <w:rPr>
          <w:rFonts w:hint="eastAsia" w:ascii="宋体" w:hAnsi="宋体" w:eastAsia="宋体" w:cs="宋体"/>
          <w:highlight w:val="none"/>
        </w:rPr>
      </w:pPr>
    </w:p>
    <w:p>
      <w:pPr>
        <w:pStyle w:val="2"/>
        <w:kinsoku w:val="0"/>
        <w:overflowPunct w:val="0"/>
        <w:spacing w:before="0"/>
        <w:ind w:left="0"/>
        <w:rPr>
          <w:rFonts w:hint="eastAsia" w:ascii="宋体" w:hAnsi="宋体" w:eastAsia="宋体" w:cs="宋体"/>
          <w:highlight w:val="none"/>
        </w:rPr>
      </w:pPr>
    </w:p>
    <w:p>
      <w:pPr>
        <w:pStyle w:val="2"/>
        <w:kinsoku w:val="0"/>
        <w:overflowPunct w:val="0"/>
        <w:spacing w:before="3"/>
        <w:ind w:left="0"/>
        <w:rPr>
          <w:rFonts w:hint="eastAsia" w:ascii="宋体" w:hAnsi="宋体" w:eastAsia="宋体" w:cs="宋体"/>
          <w:sz w:val="26"/>
          <w:szCs w:val="26"/>
          <w:highlight w:val="none"/>
        </w:rPr>
      </w:pPr>
    </w:p>
    <w:p>
      <w:pPr>
        <w:pStyle w:val="2"/>
        <w:kinsoku w:val="0"/>
        <w:overflowPunct w:val="0"/>
        <w:spacing w:before="0" w:line="313" w:lineRule="exact"/>
        <w:rPr>
          <w:rFonts w:hint="eastAsia" w:ascii="宋体" w:hAnsi="宋体" w:eastAsia="宋体" w:cs="宋体"/>
          <w:highlight w:val="none"/>
        </w:rPr>
      </w:pPr>
      <w:r>
        <w:rPr>
          <w:rFonts w:hint="eastAsia" w:ascii="宋体" w:hAnsi="宋体" w:eastAsia="宋体" w:cs="宋体"/>
          <w:highlight w:val="none"/>
        </w:rPr>
        <w:t>说明：</w:t>
      </w:r>
    </w:p>
    <w:p>
      <w:pPr>
        <w:pStyle w:val="2"/>
        <w:numPr>
          <w:ilvl w:val="0"/>
          <w:numId w:val="0"/>
        </w:numPr>
        <w:kinsoku w:val="0"/>
        <w:overflowPunct w:val="0"/>
        <w:spacing w:before="1" w:line="237" w:lineRule="auto"/>
        <w:ind w:right="118" w:rightChars="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填写前请认真阅</w:t>
      </w:r>
      <w:r>
        <w:rPr>
          <w:rFonts w:hint="eastAsia" w:ascii="宋体" w:hAnsi="宋体" w:eastAsia="宋体" w:cs="宋体"/>
          <w:spacing w:val="-51"/>
          <w:highlight w:val="none"/>
        </w:rPr>
        <w:t>读</w:t>
      </w:r>
      <w:r>
        <w:rPr>
          <w:rFonts w:hint="eastAsia" w:ascii="宋体" w:hAnsi="宋体" w:eastAsia="宋体" w:cs="宋体"/>
          <w:highlight w:val="none"/>
        </w:rPr>
        <w:t>《财政部 民政部 中国残疾人联合会关于促进残疾人就业政府采购 政策的通知》（财库〔2017〕141</w:t>
      </w:r>
      <w:r>
        <w:rPr>
          <w:rFonts w:hint="eastAsia" w:ascii="宋体" w:hAnsi="宋体" w:eastAsia="宋体" w:cs="宋体"/>
          <w:spacing w:val="-60"/>
          <w:highlight w:val="none"/>
        </w:rPr>
        <w:t xml:space="preserve"> </w:t>
      </w:r>
      <w:r>
        <w:rPr>
          <w:rFonts w:hint="eastAsia" w:ascii="宋体" w:hAnsi="宋体" w:eastAsia="宋体" w:cs="宋体"/>
          <w:highlight w:val="none"/>
        </w:rPr>
        <w:t>号）相关规定。</w:t>
      </w:r>
    </w:p>
    <w:p>
      <w:pPr>
        <w:pStyle w:val="2"/>
        <w:numPr>
          <w:ilvl w:val="0"/>
          <w:numId w:val="0"/>
        </w:numPr>
        <w:kinsoku w:val="0"/>
        <w:overflowPunct w:val="0"/>
        <w:spacing w:before="1" w:line="237" w:lineRule="auto"/>
        <w:ind w:right="118" w:rightChars="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残疾人福利性单位应在本声明函后提供相关证明材料。</w:t>
      </w:r>
    </w:p>
    <w:p>
      <w:pPr>
        <w:pStyle w:val="2"/>
        <w:kinsoku w:val="0"/>
        <w:overflowPunct w:val="0"/>
        <w:spacing w:before="0" w:line="310" w:lineRule="exact"/>
        <w:ind w:left="0" w:leftChars="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未按上述要求提供、填写的，评审时不予以考虑。</w:t>
      </w:r>
    </w:p>
    <w:p>
      <w:pPr>
        <w:pStyle w:val="2"/>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十二、缴纳招标代理服务费承诺书</w:t>
      </w:r>
    </w:p>
    <w:p>
      <w:pPr>
        <w:pStyle w:val="2"/>
        <w:kinsoku w:val="0"/>
        <w:overflowPunct w:val="0"/>
        <w:spacing w:before="6"/>
        <w:ind w:left="0"/>
        <w:rPr>
          <w:rFonts w:hint="eastAsia" w:ascii="宋体" w:hAnsi="宋体" w:eastAsia="宋体" w:cs="宋体"/>
          <w:b/>
          <w:bCs/>
          <w:sz w:val="26"/>
          <w:szCs w:val="26"/>
          <w:highlight w:val="none"/>
        </w:rPr>
      </w:pPr>
    </w:p>
    <w:p>
      <w:pPr>
        <w:pStyle w:val="32"/>
        <w:kinsoku w:val="0"/>
        <w:overflowPunct w:val="0"/>
        <w:ind w:left="127"/>
        <w:outlineLvl w:val="9"/>
        <w:rPr>
          <w:rFonts w:hint="eastAsia" w:ascii="宋体" w:hAnsi="宋体" w:eastAsia="宋体" w:cs="宋体"/>
          <w:spacing w:val="1"/>
          <w:highlight w:val="none"/>
          <w:lang w:eastAsia="zh-CN"/>
        </w:rPr>
      </w:pPr>
      <w:r>
        <w:rPr>
          <w:rFonts w:hint="eastAsia" w:hAnsi="宋体" w:cs="宋体"/>
          <w:spacing w:val="1"/>
          <w:highlight w:val="none"/>
          <w:lang w:eastAsia="zh-CN"/>
        </w:rPr>
        <w:t>新疆信尔成工程项目管理有限公司：</w:t>
      </w:r>
    </w:p>
    <w:p>
      <w:pPr>
        <w:pStyle w:val="2"/>
        <w:kinsoku w:val="0"/>
        <w:overflowPunct w:val="0"/>
        <w:spacing w:before="10"/>
        <w:ind w:left="0"/>
        <w:rPr>
          <w:rFonts w:hint="eastAsia" w:ascii="宋体" w:hAnsi="宋体" w:eastAsia="宋体" w:cs="宋体"/>
          <w:b/>
          <w:bCs/>
          <w:sz w:val="14"/>
          <w:szCs w:val="14"/>
          <w:highlight w:val="none"/>
        </w:rPr>
      </w:pPr>
    </w:p>
    <w:p>
      <w:pPr>
        <w:pStyle w:val="2"/>
        <w:kinsoku w:val="0"/>
        <w:overflowPunct w:val="0"/>
        <w:spacing w:before="34" w:line="358" w:lineRule="auto"/>
        <w:ind w:left="119" w:right="125" w:firstLine="480" w:firstLineChars="200"/>
        <w:rPr>
          <w:rFonts w:hint="eastAsia" w:ascii="宋体" w:hAnsi="宋体" w:eastAsia="宋体" w:cs="宋体"/>
          <w:highlight w:val="none"/>
        </w:rPr>
      </w:pPr>
      <w:r>
        <w:rPr>
          <w:rFonts w:hint="eastAsia" w:ascii="宋体" w:hAnsi="宋体" w:eastAsia="宋体" w:cs="宋体"/>
          <w:highlight w:val="none"/>
        </w:rPr>
        <w:t>如果我方在贵公司组织的项目名称：</w:t>
      </w:r>
      <w:r>
        <w:rPr>
          <w:rFonts w:hint="eastAsia" w:ascii="宋体" w:hAnsi="宋体" w:eastAsia="宋体" w:cs="宋体"/>
          <w:highlight w:val="none"/>
          <w:u w:val="single"/>
        </w:rPr>
        <w:tab/>
      </w:r>
      <w:r>
        <w:rPr>
          <w:rFonts w:hint="eastAsia" w:ascii="宋体" w:hAnsi="宋体" w:eastAsia="宋体" w:cs="宋体"/>
          <w:highlight w:val="none"/>
          <w:u w:val="single"/>
        </w:rPr>
        <w:t xml:space="preserve">       （项目编号：   </w:t>
      </w:r>
      <w:r>
        <w:rPr>
          <w:rFonts w:hint="eastAsia" w:ascii="宋体" w:hAnsi="宋体" w:eastAsia="宋体" w:cs="宋体"/>
          <w:highlight w:val="none"/>
          <w:u w:val="single"/>
        </w:rPr>
        <w:tab/>
      </w:r>
      <w:r>
        <w:rPr>
          <w:rFonts w:hint="eastAsia" w:ascii="宋体" w:hAnsi="宋体" w:eastAsia="宋体" w:cs="宋体"/>
          <w:highlight w:val="none"/>
          <w:u w:val="single"/>
        </w:rPr>
        <w:t>）</w:t>
      </w:r>
      <w:r>
        <w:rPr>
          <w:rFonts w:hint="eastAsia" w:ascii="宋体" w:hAnsi="宋体" w:eastAsia="宋体" w:cs="宋体"/>
          <w:highlight w:val="none"/>
        </w:rPr>
        <w:t>磋商采购项目中被确定为成交供应商候选人，我方保证在收到《成交通知书》前，按照磋商文件的规定向贵公司</w:t>
      </w:r>
      <w:r>
        <w:rPr>
          <w:rFonts w:hint="eastAsia" w:ascii="宋体" w:hAnsi="宋体" w:eastAsia="宋体" w:cs="宋体"/>
          <w:spacing w:val="4"/>
          <w:highlight w:val="none"/>
        </w:rPr>
        <w:t>缴纳</w:t>
      </w:r>
      <w:r>
        <w:rPr>
          <w:rFonts w:hint="eastAsia" w:ascii="宋体" w:hAnsi="宋体" w:eastAsia="宋体" w:cs="宋体"/>
          <w:highlight w:val="none"/>
        </w:rPr>
        <w:t>招标代理服务费。</w:t>
      </w:r>
    </w:p>
    <w:p>
      <w:pPr>
        <w:pStyle w:val="2"/>
        <w:kinsoku w:val="0"/>
        <w:overflowPunct w:val="0"/>
        <w:spacing w:before="34" w:line="358" w:lineRule="auto"/>
        <w:ind w:left="119" w:right="125" w:firstLine="480" w:firstLineChars="200"/>
        <w:rPr>
          <w:rFonts w:hint="eastAsia" w:ascii="宋体" w:hAnsi="宋体" w:eastAsia="宋体" w:cs="宋体"/>
          <w:highlight w:val="none"/>
        </w:rPr>
      </w:pPr>
      <w:r>
        <w:rPr>
          <w:rFonts w:hint="eastAsia" w:ascii="宋体" w:hAnsi="宋体" w:eastAsia="宋体" w:cs="宋体"/>
          <w:highlight w:val="none"/>
        </w:rPr>
        <w:t>我方如违约，愿凭贵公司开出的违约通知，按上述承诺金额的200％在采购人与我方签订的采购合同款项中扣付，并在此同意和要求采购人（应</w:t>
      </w:r>
      <w:r>
        <w:rPr>
          <w:rFonts w:hint="eastAsia" w:ascii="宋体" w:hAnsi="宋体" w:eastAsia="宋体" w:cs="宋体"/>
          <w:highlight w:val="none"/>
          <w:lang w:eastAsia="zh-CN"/>
        </w:rPr>
        <w:t>新疆信尔成工程项目管理有限公司</w:t>
      </w:r>
      <w:r>
        <w:rPr>
          <w:rFonts w:hint="eastAsia" w:ascii="宋体" w:hAnsi="宋体" w:eastAsia="宋体" w:cs="宋体"/>
          <w:highlight w:val="none"/>
        </w:rPr>
        <w:t>的要求）办理支付手续。</w:t>
      </w:r>
    </w:p>
    <w:p>
      <w:pPr>
        <w:pStyle w:val="2"/>
        <w:kinsoku w:val="0"/>
        <w:overflowPunct w:val="0"/>
        <w:spacing w:before="34" w:line="358" w:lineRule="auto"/>
        <w:ind w:left="119" w:right="125" w:firstLine="480" w:firstLineChars="200"/>
        <w:rPr>
          <w:rFonts w:hint="eastAsia" w:ascii="宋体" w:hAnsi="宋体" w:eastAsia="宋体" w:cs="宋体"/>
          <w:spacing w:val="-1"/>
          <w:w w:val="95"/>
          <w:highlight w:val="none"/>
        </w:rPr>
      </w:pPr>
      <w:r>
        <w:rPr>
          <w:rFonts w:hint="eastAsia" w:ascii="宋体" w:hAnsi="宋体" w:eastAsia="宋体" w:cs="宋体"/>
          <w:highlight w:val="none"/>
        </w:rPr>
        <w:t>特此承诺！</w:t>
      </w:r>
    </w:p>
    <w:p>
      <w:pPr>
        <w:pStyle w:val="2"/>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2"/>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w:t>
      </w:r>
      <w:r>
        <w:rPr>
          <w:rFonts w:hint="eastAsia" w:ascii="宋体" w:hAnsi="宋体" w:eastAsia="宋体" w:cs="宋体"/>
          <w:highlight w:val="none"/>
          <w:u w:val="single"/>
        </w:rPr>
        <w:tab/>
      </w:r>
      <w:r>
        <w:rPr>
          <w:rFonts w:hint="eastAsia" w:ascii="宋体" w:hAnsi="宋体" w:eastAsia="宋体" w:cs="宋体"/>
          <w:highlight w:val="none"/>
        </w:rPr>
        <w:tab/>
      </w:r>
      <w:r>
        <w:rPr>
          <w:rFonts w:hint="eastAsia" w:ascii="宋体" w:hAnsi="宋体" w:eastAsia="宋体" w:cs="宋体"/>
          <w:highlight w:val="none"/>
        </w:rPr>
        <w:t>（签字）</w:t>
      </w:r>
    </w:p>
    <w:p>
      <w:pPr>
        <w:pStyle w:val="2"/>
        <w:kinsoku w:val="0"/>
        <w:wordWrap/>
        <w:overflowPunct w:val="0"/>
        <w:spacing w:before="34" w:line="358" w:lineRule="auto"/>
        <w:ind w:left="119" w:right="125" w:firstLine="5280" w:firstLineChars="2200"/>
        <w:jc w:val="left"/>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lang w:val="en-US" w:eastAsia="zh-CN"/>
        </w:rPr>
        <w:t xml:space="preserve">  </w:t>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 xml:space="preserve">日   </w:t>
      </w:r>
    </w:p>
    <w:p>
      <w:pPr>
        <w:pStyle w:val="2"/>
        <w:kinsoku w:val="0"/>
        <w:overflowPunct w:val="0"/>
        <w:spacing w:before="34" w:line="357" w:lineRule="auto"/>
        <w:ind w:right="126" w:firstLine="480"/>
        <w:jc w:val="center"/>
        <w:rPr>
          <w:rFonts w:hint="eastAsia" w:ascii="宋体" w:hAnsi="宋体" w:eastAsia="宋体" w:cs="宋体"/>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十三、退还保证金说明函</w:t>
      </w:r>
    </w:p>
    <w:p>
      <w:pPr>
        <w:pStyle w:val="2"/>
        <w:kinsoku w:val="0"/>
        <w:overflowPunct w:val="0"/>
        <w:spacing w:before="6"/>
        <w:ind w:left="0"/>
        <w:rPr>
          <w:rFonts w:hint="eastAsia" w:ascii="宋体" w:hAnsi="宋体" w:eastAsia="宋体" w:cs="宋体"/>
          <w:b/>
          <w:bCs/>
          <w:sz w:val="26"/>
          <w:szCs w:val="26"/>
          <w:highlight w:val="none"/>
        </w:rPr>
      </w:pPr>
    </w:p>
    <w:p>
      <w:pPr>
        <w:pStyle w:val="32"/>
        <w:kinsoku w:val="0"/>
        <w:overflowPunct w:val="0"/>
        <w:ind w:left="127"/>
        <w:outlineLvl w:val="9"/>
        <w:rPr>
          <w:rFonts w:hint="eastAsia" w:ascii="宋体" w:hAnsi="宋体" w:eastAsia="宋体" w:cs="宋体"/>
          <w:spacing w:val="1"/>
          <w:highlight w:val="none"/>
          <w:lang w:eastAsia="zh-CN"/>
        </w:rPr>
      </w:pPr>
      <w:r>
        <w:rPr>
          <w:rFonts w:hint="eastAsia" w:hAnsi="宋体" w:cs="宋体"/>
          <w:spacing w:val="1"/>
          <w:highlight w:val="none"/>
          <w:lang w:eastAsia="zh-CN"/>
        </w:rPr>
        <w:t>新疆信尔成工程项目管理有限公司：</w:t>
      </w:r>
    </w:p>
    <w:p>
      <w:pPr>
        <w:spacing w:line="360" w:lineRule="auto"/>
        <w:ind w:firstLine="420"/>
        <w:rPr>
          <w:rFonts w:hint="eastAsia" w:ascii="宋体" w:hAnsi="宋体" w:eastAsia="宋体" w:cs="宋体"/>
          <w:kern w:val="0"/>
          <w:sz w:val="24"/>
          <w:szCs w:val="24"/>
          <w:highlight w:val="none"/>
        </w:rPr>
      </w:pPr>
    </w:p>
    <w:p>
      <w:pPr>
        <w:spacing w:line="360" w:lineRule="auto"/>
        <w:ind w:firstLine="42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我单位已按</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项目（项目编号：</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）的招标文件要求，提交的报价保证金</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大写金额</w:t>
      </w:r>
      <w:r>
        <w:rPr>
          <w:rFonts w:hint="eastAsia" w:ascii="宋体" w:hAnsi="宋体" w:eastAsia="宋体" w:cs="宋体"/>
          <w:kern w:val="0"/>
          <w:sz w:val="24"/>
          <w:szCs w:val="24"/>
          <w:highlight w:val="none"/>
        </w:rPr>
        <w:t>）元，请贵公司退还时划到以下帐户：</w:t>
      </w:r>
    </w:p>
    <w:p>
      <w:pPr>
        <w:tabs>
          <w:tab w:val="left" w:pos="676"/>
          <w:tab w:val="left" w:pos="2330"/>
          <w:tab w:val="left" w:pos="9230"/>
        </w:tabs>
        <w:autoSpaceDE w:val="0"/>
        <w:autoSpaceDN w:val="0"/>
        <w:adjustRightInd w:val="0"/>
        <w:spacing w:before="120" w:line="360" w:lineRule="auto"/>
        <w:rPr>
          <w:rFonts w:hint="eastAsia" w:ascii="宋体" w:hAnsi="宋体" w:eastAsia="宋体" w:cs="宋体"/>
          <w:kern w:val="0"/>
          <w:sz w:val="24"/>
          <w:szCs w:val="24"/>
          <w:highlight w:val="none"/>
        </w:rPr>
      </w:pPr>
    </w:p>
    <w:p>
      <w:pPr>
        <w:pStyle w:val="12"/>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收 款 单 位：</w:t>
      </w:r>
    </w:p>
    <w:p>
      <w:pPr>
        <w:pStyle w:val="12"/>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收款单位地址：</w:t>
      </w:r>
    </w:p>
    <w:p>
      <w:pPr>
        <w:pStyle w:val="12"/>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开 户 银 行：</w:t>
      </w:r>
    </w:p>
    <w:p>
      <w:pPr>
        <w:pStyle w:val="12"/>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帐       号：</w:t>
      </w:r>
    </w:p>
    <w:p>
      <w:pPr>
        <w:pStyle w:val="12"/>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联   系  人：</w:t>
      </w:r>
    </w:p>
    <w:p>
      <w:pPr>
        <w:pStyle w:val="12"/>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联 系 电 话：</w:t>
      </w:r>
    </w:p>
    <w:p>
      <w:pPr>
        <w:pStyle w:val="12"/>
        <w:spacing w:line="360" w:lineRule="auto"/>
        <w:rPr>
          <w:rFonts w:hint="eastAsia" w:ascii="宋体" w:hAnsi="宋体" w:eastAsia="宋体" w:cs="宋体"/>
          <w:kern w:val="0"/>
          <w:sz w:val="24"/>
          <w:highlight w:val="none"/>
        </w:rPr>
      </w:pPr>
    </w:p>
    <w:p>
      <w:pPr>
        <w:pStyle w:val="12"/>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（联系人和电话请填写财务人员，以便我公司财务人员核实退还保证金账户正确性）</w:t>
      </w:r>
    </w:p>
    <w:p>
      <w:pPr>
        <w:pStyle w:val="2"/>
        <w:tabs>
          <w:tab w:val="left" w:pos="8107"/>
          <w:tab w:val="left" w:pos="8227"/>
        </w:tabs>
        <w:kinsoku w:val="0"/>
        <w:overflowPunct w:val="0"/>
        <w:spacing w:before="0" w:line="381" w:lineRule="auto"/>
        <w:ind w:left="4027" w:right="118"/>
        <w:rPr>
          <w:rFonts w:hint="eastAsia" w:ascii="宋体" w:hAnsi="宋体" w:eastAsia="宋体" w:cs="宋体"/>
          <w:highlight w:val="none"/>
        </w:rPr>
      </w:pPr>
    </w:p>
    <w:p>
      <w:pPr>
        <w:pStyle w:val="2"/>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2"/>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rPr>
        <w:t>（签字）</w:t>
      </w:r>
    </w:p>
    <w:p>
      <w:pPr>
        <w:pStyle w:val="2"/>
        <w:kinsoku w:val="0"/>
        <w:wordWrap/>
        <w:overflowPunct w:val="0"/>
        <w:spacing w:before="34" w:line="358" w:lineRule="auto"/>
        <w:ind w:left="119" w:right="125" w:firstLine="5280" w:firstLineChars="2200"/>
        <w:jc w:val="left"/>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lang w:val="en-US" w:eastAsia="zh-CN"/>
        </w:rPr>
        <w:t xml:space="preserve">  </w:t>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 xml:space="preserve">日   </w:t>
      </w:r>
    </w:p>
    <w:p>
      <w:pPr>
        <w:pStyle w:val="33"/>
        <w:tabs>
          <w:tab w:val="left" w:pos="2763"/>
        </w:tabs>
        <w:kinsoku w:val="0"/>
        <w:overflowPunct w:val="0"/>
        <w:spacing w:before="143"/>
        <w:jc w:val="center"/>
        <w:outlineLvl w:val="9"/>
        <w:rPr>
          <w:rFonts w:hint="eastAsia" w:ascii="宋体" w:hAnsi="宋体" w:eastAsia="宋体" w:cs="宋体"/>
          <w:b w:val="0"/>
          <w:bCs w:val="0"/>
          <w:highlight w:val="none"/>
        </w:rPr>
      </w:pPr>
    </w:p>
    <w:p>
      <w:pPr>
        <w:pStyle w:val="2"/>
        <w:kinsoku w:val="0"/>
        <w:overflowPunct w:val="0"/>
        <w:spacing w:before="34" w:line="358" w:lineRule="auto"/>
        <w:ind w:left="119" w:right="125" w:firstLine="480" w:firstLineChars="200"/>
        <w:jc w:val="right"/>
        <w:rPr>
          <w:rFonts w:hint="eastAsia" w:ascii="宋体" w:hAnsi="宋体" w:eastAsia="宋体" w:cs="宋体"/>
          <w:b/>
          <w:bCs/>
          <w:sz w:val="36"/>
          <w:szCs w:val="36"/>
          <w:highlight w:val="none"/>
        </w:rPr>
      </w:pPr>
      <w:r>
        <w:rPr>
          <w:rFonts w:hint="eastAsia" w:ascii="宋体" w:hAnsi="宋体" w:eastAsia="宋体" w:cs="宋体"/>
          <w:highlight w:val="none"/>
        </w:rPr>
        <w:t xml:space="preserve">        </w:t>
      </w:r>
      <w:r>
        <w:rPr>
          <w:rFonts w:hint="eastAsia" w:ascii="宋体" w:hAnsi="宋体" w:eastAsia="宋体" w:cs="宋体"/>
          <w:spacing w:val="-1"/>
          <w:w w:val="95"/>
          <w:highlight w:val="none"/>
        </w:rPr>
        <w:br w:type="page"/>
      </w:r>
    </w:p>
    <w:p>
      <w:pPr>
        <w:pStyle w:val="2"/>
        <w:kinsoku w:val="0"/>
        <w:overflowPunct w:val="0"/>
        <w:spacing w:before="34" w:line="357" w:lineRule="auto"/>
        <w:ind w:right="126" w:firstLine="480"/>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十四、其他商务资格证明资料</w:t>
      </w:r>
    </w:p>
    <w:p>
      <w:pPr>
        <w:pStyle w:val="2"/>
        <w:kinsoku w:val="0"/>
        <w:overflowPunct w:val="0"/>
        <w:spacing w:before="0" w:line="940" w:lineRule="exact"/>
        <w:ind w:left="0"/>
        <w:jc w:val="center"/>
        <w:rPr>
          <w:rFonts w:hint="eastAsia" w:ascii="宋体" w:hAnsi="宋体" w:eastAsia="宋体" w:cs="宋体"/>
          <w:highlight w:val="none"/>
        </w:rPr>
      </w:pPr>
      <w:r>
        <w:rPr>
          <w:rFonts w:hint="eastAsia" w:ascii="宋体" w:hAnsi="宋体" w:eastAsia="宋体" w:cs="宋体"/>
          <w:highlight w:val="none"/>
        </w:rPr>
        <w:br w:type="page"/>
      </w:r>
    </w:p>
    <w:p>
      <w:pPr>
        <w:pStyle w:val="2"/>
        <w:kinsoku w:val="0"/>
        <w:overflowPunct w:val="0"/>
        <w:spacing w:before="0" w:line="940" w:lineRule="exact"/>
        <w:ind w:left="0"/>
        <w:jc w:val="center"/>
        <w:rPr>
          <w:rFonts w:hint="eastAsia" w:ascii="宋体" w:hAnsi="宋体" w:eastAsia="宋体" w:cs="宋体"/>
          <w:highlight w:val="none"/>
        </w:rPr>
      </w:pPr>
    </w:p>
    <w:p>
      <w:pPr>
        <w:pStyle w:val="2"/>
        <w:kinsoku w:val="0"/>
        <w:overflowPunct w:val="0"/>
        <w:spacing w:before="0" w:line="940" w:lineRule="exact"/>
        <w:ind w:left="0"/>
        <w:jc w:val="center"/>
        <w:rPr>
          <w:rFonts w:hint="eastAsia" w:ascii="宋体" w:hAnsi="宋体" w:eastAsia="宋体" w:cs="宋体"/>
          <w:highlight w:val="none"/>
        </w:rPr>
      </w:pPr>
    </w:p>
    <w:p>
      <w:pPr>
        <w:pStyle w:val="2"/>
        <w:kinsoku w:val="0"/>
        <w:overflowPunct w:val="0"/>
        <w:spacing w:before="0" w:line="940" w:lineRule="exact"/>
        <w:ind w:left="0"/>
        <w:jc w:val="center"/>
        <w:rPr>
          <w:rFonts w:hint="eastAsia" w:ascii="宋体" w:hAnsi="宋体" w:eastAsia="宋体" w:cs="宋体"/>
          <w:highlight w:val="none"/>
        </w:rPr>
      </w:pPr>
    </w:p>
    <w:p>
      <w:pPr>
        <w:pStyle w:val="2"/>
        <w:kinsoku w:val="0"/>
        <w:overflowPunct w:val="0"/>
        <w:spacing w:before="0" w:line="940" w:lineRule="exact"/>
        <w:ind w:left="0"/>
        <w:jc w:val="center"/>
        <w:rPr>
          <w:rFonts w:hint="eastAsia" w:ascii="宋体" w:hAnsi="宋体" w:eastAsia="宋体" w:cs="宋体"/>
          <w:highlight w:val="none"/>
        </w:rPr>
      </w:pPr>
    </w:p>
    <w:p>
      <w:pPr>
        <w:pStyle w:val="2"/>
        <w:kinsoku w:val="0"/>
        <w:overflowPunct w:val="0"/>
        <w:spacing w:before="0" w:line="940" w:lineRule="exact"/>
        <w:ind w:left="0"/>
        <w:jc w:val="center"/>
        <w:rPr>
          <w:rFonts w:hint="eastAsia" w:ascii="宋体" w:hAnsi="宋体" w:eastAsia="宋体" w:cs="宋体"/>
          <w:highlight w:val="none"/>
        </w:rPr>
      </w:pPr>
    </w:p>
    <w:p>
      <w:pPr>
        <w:pStyle w:val="2"/>
        <w:kinsoku w:val="0"/>
        <w:overflowPunct w:val="0"/>
        <w:spacing w:before="0" w:line="940" w:lineRule="exact"/>
        <w:ind w:left="0"/>
        <w:jc w:val="center"/>
        <w:rPr>
          <w:rFonts w:hint="eastAsia" w:ascii="宋体" w:hAnsi="宋体" w:eastAsia="宋体" w:cs="宋体"/>
          <w:highlight w:val="none"/>
        </w:rPr>
      </w:pPr>
    </w:p>
    <w:p>
      <w:pPr>
        <w:pStyle w:val="2"/>
        <w:kinsoku w:val="0"/>
        <w:overflowPunct w:val="0"/>
        <w:spacing w:before="0" w:line="940" w:lineRule="exact"/>
        <w:ind w:left="0"/>
        <w:jc w:val="center"/>
        <w:rPr>
          <w:rFonts w:hint="eastAsia" w:ascii="宋体" w:hAnsi="宋体" w:eastAsia="宋体" w:cs="宋体"/>
          <w:sz w:val="96"/>
          <w:szCs w:val="84"/>
          <w:highlight w:val="none"/>
        </w:rPr>
      </w:pPr>
      <w:r>
        <w:rPr>
          <w:rFonts w:hint="eastAsia" w:ascii="宋体" w:hAnsi="宋体" w:eastAsia="宋体" w:cs="宋体"/>
          <w:b/>
          <w:bCs/>
          <w:spacing w:val="2"/>
          <w:sz w:val="96"/>
          <w:szCs w:val="84"/>
          <w:highlight w:val="none"/>
        </w:rPr>
        <w:t>（二）技术部分</w:t>
      </w:r>
    </w:p>
    <w:p>
      <w:pPr>
        <w:pStyle w:val="2"/>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十五、项目实施方案</w:t>
      </w: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技术方案</w:t>
      </w:r>
    </w:p>
    <w:p>
      <w:pPr>
        <w:pStyle w:val="26"/>
        <w:rPr>
          <w:rFonts w:hint="eastAsia"/>
          <w:highlight w:val="none"/>
        </w:rPr>
      </w:pPr>
    </w:p>
    <w:p>
      <w:pPr>
        <w:rPr>
          <w:rFonts w:hint="eastAsia" w:ascii="宋体" w:hAnsi="宋体" w:eastAsia="宋体" w:cs="宋体"/>
          <w:b/>
          <w:kern w:val="0"/>
          <w:sz w:val="24"/>
          <w:szCs w:val="24"/>
          <w:highlight w:val="none"/>
          <w:lang w:eastAsia="zh-CN"/>
        </w:rPr>
      </w:pPr>
      <w:r>
        <w:rPr>
          <w:rFonts w:hint="eastAsia" w:ascii="宋体" w:hAnsi="宋体" w:eastAsia="宋体" w:cs="宋体"/>
          <w:b/>
          <w:kern w:val="0"/>
          <w:sz w:val="24"/>
          <w:szCs w:val="24"/>
          <w:highlight w:val="none"/>
        </w:rPr>
        <w:t>1.1</w:t>
      </w:r>
      <w:r>
        <w:rPr>
          <w:rFonts w:hint="eastAsia" w:ascii="宋体" w:hAnsi="宋体" w:cs="宋体"/>
          <w:b/>
          <w:kern w:val="0"/>
          <w:sz w:val="24"/>
          <w:szCs w:val="24"/>
          <w:highlight w:val="none"/>
          <w:lang w:val="en-US" w:eastAsia="zh-CN"/>
        </w:rPr>
        <w:t xml:space="preserve">  </w:t>
      </w:r>
      <w:r>
        <w:rPr>
          <w:rFonts w:hint="eastAsia" w:ascii="宋体" w:hAnsi="宋体" w:eastAsia="宋体" w:cs="宋体"/>
          <w:b/>
          <w:kern w:val="0"/>
          <w:sz w:val="24"/>
          <w:szCs w:val="24"/>
          <w:highlight w:val="none"/>
        </w:rPr>
        <w:t>项目理解</w:t>
      </w:r>
      <w:r>
        <w:rPr>
          <w:rFonts w:hint="eastAsia" w:ascii="宋体" w:hAnsi="宋体" w:cs="宋体"/>
          <w:b/>
          <w:kern w:val="0"/>
          <w:sz w:val="24"/>
          <w:szCs w:val="24"/>
          <w:highlight w:val="none"/>
          <w:lang w:eastAsia="zh-CN"/>
        </w:rPr>
        <w:t>：</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p>
    <w:p>
      <w:pPr>
        <w:pStyle w:val="26"/>
        <w:rPr>
          <w:rFonts w:hint="eastAsia"/>
          <w:highlight w:val="none"/>
        </w:rPr>
      </w:pP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1.2</w:t>
      </w:r>
      <w:r>
        <w:rPr>
          <w:rFonts w:hint="eastAsia" w:ascii="宋体" w:hAnsi="宋体" w:cs="宋体"/>
          <w:b/>
          <w:kern w:val="0"/>
          <w:sz w:val="24"/>
          <w:szCs w:val="24"/>
          <w:highlight w:val="none"/>
          <w:lang w:val="en-US" w:eastAsia="zh-CN"/>
        </w:rPr>
        <w:t xml:space="preserve">  </w:t>
      </w:r>
      <w:r>
        <w:rPr>
          <w:rFonts w:hint="eastAsia" w:ascii="宋体" w:hAnsi="宋体" w:eastAsia="宋体" w:cs="宋体"/>
          <w:b/>
          <w:kern w:val="0"/>
          <w:sz w:val="24"/>
          <w:szCs w:val="24"/>
          <w:highlight w:val="none"/>
        </w:rPr>
        <w:t>技术参数响应表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87"/>
        <w:gridCol w:w="3438"/>
        <w:gridCol w:w="2197"/>
        <w:gridCol w:w="72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887"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规格/要求</w:t>
            </w:r>
          </w:p>
        </w:tc>
        <w:tc>
          <w:tcPr>
            <w:tcW w:w="343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投标/响应实际参数</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(投标供应商应按响应货物/服务实际数据填写)</w:t>
            </w:r>
          </w:p>
        </w:tc>
        <w:tc>
          <w:tcPr>
            <w:tcW w:w="2197"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是否偏离（无偏离/正偏离/负偏离）</w:t>
            </w:r>
          </w:p>
        </w:tc>
        <w:tc>
          <w:tcPr>
            <w:tcW w:w="727"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偏离简述</w:t>
            </w:r>
          </w:p>
        </w:tc>
        <w:tc>
          <w:tcPr>
            <w:tcW w:w="1260"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887" w:type="dxa"/>
            <w:noWrap w:val="0"/>
            <w:vAlign w:val="center"/>
          </w:tcPr>
          <w:p>
            <w:pPr>
              <w:rPr>
                <w:rFonts w:hint="eastAsia" w:ascii="宋体" w:hAnsi="宋体" w:eastAsia="宋体" w:cs="宋体"/>
                <w:kern w:val="0"/>
                <w:sz w:val="24"/>
                <w:szCs w:val="24"/>
                <w:highlight w:val="none"/>
              </w:rPr>
            </w:pPr>
          </w:p>
        </w:tc>
        <w:tc>
          <w:tcPr>
            <w:tcW w:w="34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887" w:type="dxa"/>
            <w:noWrap w:val="0"/>
            <w:vAlign w:val="center"/>
          </w:tcPr>
          <w:p>
            <w:pPr>
              <w:rPr>
                <w:rFonts w:hint="eastAsia" w:ascii="宋体" w:hAnsi="宋体" w:eastAsia="宋体" w:cs="宋体"/>
                <w:kern w:val="0"/>
                <w:sz w:val="24"/>
                <w:szCs w:val="24"/>
                <w:highlight w:val="none"/>
              </w:rPr>
            </w:pPr>
          </w:p>
        </w:tc>
        <w:tc>
          <w:tcPr>
            <w:tcW w:w="34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887" w:type="dxa"/>
            <w:noWrap w:val="0"/>
            <w:vAlign w:val="center"/>
          </w:tcPr>
          <w:p>
            <w:pPr>
              <w:rPr>
                <w:rFonts w:hint="eastAsia" w:ascii="宋体" w:hAnsi="宋体" w:eastAsia="宋体" w:cs="宋体"/>
                <w:kern w:val="0"/>
                <w:sz w:val="24"/>
                <w:szCs w:val="24"/>
                <w:highlight w:val="none"/>
              </w:rPr>
            </w:pPr>
          </w:p>
        </w:tc>
        <w:tc>
          <w:tcPr>
            <w:tcW w:w="34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887" w:type="dxa"/>
            <w:noWrap w:val="0"/>
            <w:vAlign w:val="center"/>
          </w:tcPr>
          <w:p>
            <w:pPr>
              <w:rPr>
                <w:rFonts w:hint="eastAsia" w:ascii="宋体" w:hAnsi="宋体" w:eastAsia="宋体" w:cs="宋体"/>
                <w:kern w:val="0"/>
                <w:sz w:val="24"/>
                <w:szCs w:val="24"/>
                <w:highlight w:val="none"/>
              </w:rPr>
            </w:pPr>
          </w:p>
        </w:tc>
        <w:tc>
          <w:tcPr>
            <w:tcW w:w="34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c>
          <w:tcPr>
            <w:tcW w:w="887" w:type="dxa"/>
            <w:noWrap w:val="0"/>
            <w:vAlign w:val="center"/>
          </w:tcPr>
          <w:p>
            <w:pPr>
              <w:rPr>
                <w:rFonts w:hint="eastAsia" w:ascii="宋体" w:hAnsi="宋体" w:eastAsia="宋体" w:cs="宋体"/>
                <w:kern w:val="0"/>
                <w:sz w:val="24"/>
                <w:szCs w:val="24"/>
                <w:highlight w:val="none"/>
              </w:rPr>
            </w:pPr>
          </w:p>
        </w:tc>
        <w:tc>
          <w:tcPr>
            <w:tcW w:w="34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w:t>
            </w:r>
          </w:p>
        </w:tc>
        <w:tc>
          <w:tcPr>
            <w:tcW w:w="887" w:type="dxa"/>
            <w:noWrap w:val="0"/>
            <w:vAlign w:val="center"/>
          </w:tcPr>
          <w:p>
            <w:pPr>
              <w:rPr>
                <w:rFonts w:hint="eastAsia" w:ascii="宋体" w:hAnsi="宋体" w:eastAsia="宋体" w:cs="宋体"/>
                <w:kern w:val="0"/>
                <w:sz w:val="24"/>
                <w:szCs w:val="24"/>
                <w:highlight w:val="none"/>
              </w:rPr>
            </w:pPr>
          </w:p>
        </w:tc>
        <w:tc>
          <w:tcPr>
            <w:tcW w:w="34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w:t>
            </w:r>
          </w:p>
        </w:tc>
        <w:tc>
          <w:tcPr>
            <w:tcW w:w="887" w:type="dxa"/>
            <w:noWrap w:val="0"/>
            <w:vAlign w:val="center"/>
          </w:tcPr>
          <w:p>
            <w:pPr>
              <w:rPr>
                <w:rFonts w:hint="eastAsia" w:ascii="宋体" w:hAnsi="宋体" w:eastAsia="宋体" w:cs="宋体"/>
                <w:kern w:val="0"/>
                <w:sz w:val="24"/>
                <w:szCs w:val="24"/>
                <w:highlight w:val="none"/>
              </w:rPr>
            </w:pPr>
          </w:p>
        </w:tc>
        <w:tc>
          <w:tcPr>
            <w:tcW w:w="34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w:t>
            </w:r>
          </w:p>
        </w:tc>
        <w:tc>
          <w:tcPr>
            <w:tcW w:w="887" w:type="dxa"/>
            <w:noWrap w:val="0"/>
            <w:vAlign w:val="center"/>
          </w:tcPr>
          <w:p>
            <w:pPr>
              <w:rPr>
                <w:rFonts w:hint="eastAsia" w:ascii="宋体" w:hAnsi="宋体" w:eastAsia="宋体" w:cs="宋体"/>
                <w:kern w:val="0"/>
                <w:sz w:val="24"/>
                <w:szCs w:val="24"/>
                <w:highlight w:val="none"/>
              </w:rPr>
            </w:pPr>
          </w:p>
        </w:tc>
        <w:tc>
          <w:tcPr>
            <w:tcW w:w="34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887" w:type="dxa"/>
            <w:noWrap w:val="0"/>
            <w:vAlign w:val="center"/>
          </w:tcPr>
          <w:p>
            <w:pPr>
              <w:rPr>
                <w:rFonts w:hint="eastAsia" w:ascii="宋体" w:hAnsi="宋体" w:eastAsia="宋体" w:cs="宋体"/>
                <w:kern w:val="0"/>
                <w:sz w:val="24"/>
                <w:szCs w:val="24"/>
                <w:highlight w:val="none"/>
              </w:rPr>
            </w:pPr>
          </w:p>
        </w:tc>
        <w:tc>
          <w:tcPr>
            <w:tcW w:w="34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p>
        </w:tc>
      </w:tr>
    </w:tbl>
    <w:p>
      <w:pP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注：1.投标供应商必须对应《磋商内容》的内容逐条响应。清单必须与《报价明细表》一致</w:t>
      </w:r>
      <w:r>
        <w:rPr>
          <w:rFonts w:hint="eastAsia" w:ascii="宋体" w:hAnsi="宋体" w:cs="宋体"/>
          <w:kern w:val="0"/>
          <w:sz w:val="24"/>
          <w:szCs w:val="24"/>
          <w:highlight w:val="none"/>
          <w:lang w:eastAsia="zh-CN"/>
        </w:rPr>
        <w:t>；</w:t>
      </w:r>
    </w:p>
    <w:p>
      <w:pP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2.投标供应商响应招标需求应具体、明确，含糊不清、不确切或伪造、变造证明材料的，按照不完全响应或者完全不响应处理。构成提供虚假材料的，移送监管部门查处</w:t>
      </w:r>
      <w:r>
        <w:rPr>
          <w:rFonts w:hint="eastAsia" w:ascii="宋体" w:hAnsi="宋体" w:cs="宋体"/>
          <w:kern w:val="0"/>
          <w:sz w:val="24"/>
          <w:szCs w:val="24"/>
          <w:highlight w:val="none"/>
          <w:lang w:eastAsia="zh-CN"/>
        </w:rPr>
        <w:t>；</w:t>
      </w:r>
    </w:p>
    <w:p>
      <w:pP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3.说明：在偏离项必须注明正偏离、负偏离或无偏离。</w:t>
      </w:r>
    </w:p>
    <w:p>
      <w:pPr>
        <w:rPr>
          <w:rFonts w:hint="eastAsia" w:ascii="宋体" w:hAnsi="宋体" w:eastAsia="宋体" w:cs="宋体"/>
          <w:szCs w:val="21"/>
          <w:highlight w:val="none"/>
          <w:lang w:val="en-GB"/>
        </w:rPr>
      </w:pPr>
    </w:p>
    <w:p>
      <w:pPr>
        <w:rPr>
          <w:rFonts w:hint="eastAsia" w:ascii="宋体" w:hAnsi="宋体" w:eastAsia="宋体" w:cs="宋体"/>
          <w:kern w:val="0"/>
          <w:sz w:val="24"/>
          <w:szCs w:val="24"/>
          <w:highlight w:val="none"/>
        </w:rPr>
      </w:pPr>
      <w:r>
        <w:rPr>
          <w:rFonts w:hint="eastAsia" w:ascii="宋体" w:hAnsi="宋体" w:eastAsia="宋体" w:cs="宋体"/>
          <w:b/>
          <w:kern w:val="0"/>
          <w:sz w:val="24"/>
          <w:szCs w:val="24"/>
          <w:highlight w:val="none"/>
        </w:rPr>
        <w:t>1.3</w:t>
      </w:r>
      <w:r>
        <w:rPr>
          <w:rFonts w:hint="eastAsia" w:ascii="宋体" w:hAnsi="宋体" w:cs="宋体"/>
          <w:b/>
          <w:kern w:val="0"/>
          <w:sz w:val="24"/>
          <w:szCs w:val="24"/>
          <w:highlight w:val="none"/>
          <w:lang w:val="en-US" w:eastAsia="zh-CN"/>
        </w:rPr>
        <w:t xml:space="preserve">  </w:t>
      </w:r>
      <w:r>
        <w:rPr>
          <w:rFonts w:hint="eastAsia" w:ascii="宋体" w:hAnsi="宋体" w:cs="宋体"/>
          <w:b/>
          <w:kern w:val="0"/>
          <w:sz w:val="24"/>
          <w:szCs w:val="24"/>
          <w:highlight w:val="none"/>
          <w:lang w:eastAsia="zh-CN"/>
        </w:rPr>
        <w:t>策划方案：</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rPr>
          <w:rFonts w:hint="eastAsia"/>
          <w:lang w:val="en-US" w:eastAsia="zh-CN"/>
        </w:rPr>
      </w:pPr>
      <w:r>
        <w:rPr>
          <w:rFonts w:hint="eastAsia"/>
          <w:lang w:val="en-US" w:eastAsia="zh-CN"/>
        </w:rPr>
        <w:t>……</w:t>
      </w:r>
    </w:p>
    <w:p>
      <w:pPr>
        <w:rPr>
          <w:rFonts w:hint="eastAsia"/>
          <w:highlight w:val="none"/>
        </w:rPr>
      </w:pPr>
      <w:r>
        <w:rPr>
          <w:rFonts w:hint="eastAsia" w:ascii="宋体" w:hAnsi="宋体" w:eastAsia="宋体" w:cs="宋体"/>
          <w:b/>
          <w:kern w:val="0"/>
          <w:sz w:val="24"/>
          <w:szCs w:val="24"/>
          <w:highlight w:val="none"/>
        </w:rPr>
        <w:t>1.4</w:t>
      </w:r>
      <w:r>
        <w:rPr>
          <w:rFonts w:hint="eastAsia" w:ascii="宋体" w:hAnsi="宋体" w:cs="宋体"/>
          <w:b/>
          <w:kern w:val="0"/>
          <w:sz w:val="24"/>
          <w:szCs w:val="24"/>
          <w:highlight w:val="none"/>
          <w:lang w:val="en-US" w:eastAsia="zh-CN"/>
        </w:rPr>
        <w:t xml:space="preserve">  </w:t>
      </w:r>
      <w:r>
        <w:rPr>
          <w:rFonts w:hint="eastAsia" w:ascii="宋体" w:hAnsi="宋体" w:eastAsia="宋体" w:cs="宋体"/>
          <w:b/>
          <w:bCs/>
          <w:color w:val="auto"/>
          <w:sz w:val="24"/>
          <w:szCs w:val="24"/>
          <w:highlight w:val="none"/>
          <w:lang w:val="zh-CN"/>
        </w:rPr>
        <w:t>质量保障措施</w:t>
      </w:r>
      <w:r>
        <w:rPr>
          <w:rFonts w:hint="eastAsia" w:ascii="宋体" w:hAnsi="宋体" w:cs="宋体"/>
          <w:b/>
          <w:kern w:val="0"/>
          <w:sz w:val="24"/>
          <w:szCs w:val="24"/>
          <w:highlight w:val="none"/>
          <w:lang w:val="en-US" w:eastAsia="zh-CN"/>
        </w:rPr>
        <w:t>：</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pStyle w:val="28"/>
        <w:spacing w:before="4" w:line="360" w:lineRule="exact"/>
        <w:ind w:left="4" w:right="129"/>
        <w:rPr>
          <w:rFonts w:hint="eastAsia" w:ascii="宋体" w:hAnsi="宋体" w:eastAsia="宋体" w:cs="宋体"/>
          <w:kern w:val="0"/>
          <w:sz w:val="24"/>
          <w:szCs w:val="24"/>
          <w:highlight w:val="none"/>
        </w:rPr>
      </w:pPr>
      <w:r>
        <w:rPr>
          <w:rFonts w:hint="eastAsia" w:ascii="宋体" w:hAnsi="宋体" w:eastAsia="宋体" w:cs="宋体"/>
          <w:b/>
          <w:kern w:val="0"/>
          <w:sz w:val="24"/>
          <w:szCs w:val="24"/>
          <w:highlight w:val="none"/>
        </w:rPr>
        <w:t>1.5</w:t>
      </w:r>
      <w:r>
        <w:rPr>
          <w:rFonts w:hint="eastAsia" w:ascii="宋体" w:hAnsi="宋体" w:cs="宋体"/>
          <w:b/>
          <w:kern w:val="0"/>
          <w:sz w:val="24"/>
          <w:szCs w:val="24"/>
          <w:highlight w:val="none"/>
          <w:lang w:val="en-US" w:eastAsia="zh-CN"/>
        </w:rPr>
        <w:t xml:space="preserve">  </w:t>
      </w:r>
      <w:r>
        <w:rPr>
          <w:rFonts w:hint="eastAsia" w:ascii="宋体" w:hAnsi="宋体" w:cs="宋体"/>
          <w:b/>
          <w:kern w:val="0"/>
          <w:sz w:val="24"/>
          <w:szCs w:val="24"/>
          <w:highlight w:val="none"/>
          <w:lang w:eastAsia="zh-CN"/>
        </w:rPr>
        <w:t>工作进度控制措施：</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spacing w:line="440" w:lineRule="exact"/>
        <w:jc w:val="both"/>
        <w:rPr>
          <w:rFonts w:ascii="宋体" w:hAnsi="宋体"/>
          <w:b/>
          <w:color w:val="auto"/>
          <w:sz w:val="32"/>
          <w:szCs w:val="32"/>
        </w:rPr>
      </w:pPr>
      <w:r>
        <w:rPr>
          <w:rFonts w:hint="eastAsia" w:ascii="宋体" w:hAnsi="宋体" w:eastAsia="宋体" w:cs="宋体"/>
          <w:b/>
          <w:kern w:val="0"/>
          <w:sz w:val="24"/>
          <w:szCs w:val="24"/>
          <w:highlight w:val="none"/>
        </w:rPr>
        <w:t>1.</w:t>
      </w:r>
      <w:r>
        <w:rPr>
          <w:rFonts w:hint="eastAsia" w:ascii="宋体" w:hAnsi="宋体" w:cs="宋体"/>
          <w:b/>
          <w:kern w:val="0"/>
          <w:sz w:val="24"/>
          <w:szCs w:val="24"/>
          <w:highlight w:val="none"/>
          <w:lang w:val="en-US" w:eastAsia="zh-CN"/>
        </w:rPr>
        <w:t>6  完成本项目拟投入专业</w:t>
      </w:r>
      <w:r>
        <w:rPr>
          <w:rFonts w:hint="eastAsia" w:ascii="宋体" w:hAnsi="宋体" w:cs="宋体"/>
          <w:b/>
          <w:kern w:val="0"/>
          <w:sz w:val="24"/>
          <w:szCs w:val="24"/>
          <w:highlight w:val="none"/>
          <w:lang w:eastAsia="zh-CN"/>
        </w:rPr>
        <w:t>设备说明一览表：</w:t>
      </w:r>
    </w:p>
    <w:p>
      <w:pPr>
        <w:spacing w:line="440" w:lineRule="exact"/>
        <w:rPr>
          <w:rFonts w:ascii="宋体" w:hAnsi="宋体"/>
          <w:b/>
          <w:color w:val="auto"/>
          <w:sz w:val="24"/>
        </w:rPr>
      </w:pPr>
    </w:p>
    <w:p>
      <w:pPr>
        <w:spacing w:line="440" w:lineRule="exact"/>
        <w:ind w:firstLine="360" w:firstLineChars="150"/>
        <w:rPr>
          <w:rFonts w:ascii="宋体" w:hAnsi="宋体"/>
          <w:color w:val="auto"/>
          <w:sz w:val="24"/>
        </w:rPr>
      </w:pPr>
      <w:r>
        <w:rPr>
          <w:rFonts w:hint="eastAsia" w:ascii="宋体" w:hAnsi="宋体"/>
          <w:color w:val="auto"/>
          <w:sz w:val="24"/>
          <w:lang w:eastAsia="zh-CN"/>
        </w:rPr>
        <w:t>供应商</w:t>
      </w:r>
      <w:r>
        <w:rPr>
          <w:rFonts w:hint="eastAsia" w:ascii="宋体" w:hAnsi="宋体"/>
          <w:color w:val="auto"/>
          <w:sz w:val="24"/>
        </w:rPr>
        <w:t>名称（公章）：</w:t>
      </w:r>
      <w:r>
        <w:rPr>
          <w:rFonts w:hint="eastAsia" w:ascii="宋体" w:hAnsi="宋体"/>
          <w:color w:val="auto"/>
          <w:sz w:val="24"/>
          <w:u w:val="single"/>
        </w:rPr>
        <w:t>　　　　　</w:t>
      </w:r>
      <w:r>
        <w:rPr>
          <w:rFonts w:hint="eastAsia" w:ascii="宋体" w:hAnsi="宋体"/>
          <w:color w:val="auto"/>
          <w:sz w:val="24"/>
          <w:lang w:eastAsia="zh-CN"/>
        </w:rPr>
        <w:t>项目编号</w:t>
      </w:r>
      <w:r>
        <w:rPr>
          <w:rFonts w:hint="eastAsia" w:ascii="宋体" w:hAnsi="宋体"/>
          <w:color w:val="auto"/>
          <w:sz w:val="24"/>
        </w:rPr>
        <w:t>：</w:t>
      </w:r>
      <w:r>
        <w:rPr>
          <w:rFonts w:hint="eastAsia" w:ascii="宋体" w:hAnsi="宋体"/>
          <w:color w:val="auto"/>
          <w:sz w:val="24"/>
          <w:u w:val="single"/>
        </w:rPr>
        <w:t>　　　　　</w:t>
      </w:r>
    </w:p>
    <w:p>
      <w:pPr>
        <w:spacing w:line="440" w:lineRule="exact"/>
        <w:ind w:firstLine="360" w:firstLineChars="150"/>
        <w:rPr>
          <w:rFonts w:ascii="宋体" w:hAnsi="宋体"/>
          <w:color w:val="auto"/>
          <w:sz w:val="24"/>
        </w:rPr>
      </w:pPr>
      <w:r>
        <w:rPr>
          <w:rFonts w:hint="eastAsia"/>
          <w:color w:val="auto"/>
          <w:sz w:val="24"/>
          <w:lang w:val="en-US" w:eastAsia="zh-CN"/>
        </w:rPr>
        <w:t>拟投入设备</w:t>
      </w:r>
      <w:r>
        <w:rPr>
          <w:rFonts w:hint="eastAsia" w:ascii="宋体" w:hAnsi="宋体"/>
          <w:color w:val="auto"/>
          <w:sz w:val="24"/>
        </w:rPr>
        <w:t>内容：</w:t>
      </w:r>
    </w:p>
    <w:tbl>
      <w:tblPr>
        <w:tblStyle w:val="21"/>
        <w:tblW w:w="11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281"/>
        <w:gridCol w:w="1038"/>
        <w:gridCol w:w="3833"/>
        <w:gridCol w:w="2697"/>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827" w:type="dxa"/>
            <w:vAlign w:val="center"/>
          </w:tcPr>
          <w:p>
            <w:pPr>
              <w:spacing w:line="440" w:lineRule="exact"/>
              <w:jc w:val="center"/>
              <w:rPr>
                <w:rFonts w:ascii="宋体" w:hAnsi="宋体"/>
                <w:color w:val="auto"/>
                <w:sz w:val="24"/>
              </w:rPr>
            </w:pPr>
            <w:r>
              <w:rPr>
                <w:rFonts w:hint="eastAsia" w:ascii="宋体" w:hAnsi="宋体"/>
                <w:color w:val="auto"/>
                <w:sz w:val="24"/>
              </w:rPr>
              <w:t>序号</w:t>
            </w:r>
          </w:p>
        </w:tc>
        <w:tc>
          <w:tcPr>
            <w:tcW w:w="1281" w:type="dxa"/>
            <w:vAlign w:val="center"/>
          </w:tcPr>
          <w:p>
            <w:pPr>
              <w:spacing w:line="440" w:lineRule="exact"/>
              <w:jc w:val="center"/>
              <w:rPr>
                <w:rFonts w:ascii="宋体" w:hAnsi="宋体"/>
                <w:color w:val="auto"/>
                <w:sz w:val="24"/>
              </w:rPr>
            </w:pPr>
            <w:r>
              <w:rPr>
                <w:rFonts w:hint="eastAsia" w:ascii="宋体" w:hAnsi="宋体"/>
                <w:color w:val="auto"/>
                <w:sz w:val="24"/>
              </w:rPr>
              <w:t>设备名称</w:t>
            </w:r>
          </w:p>
        </w:tc>
        <w:tc>
          <w:tcPr>
            <w:tcW w:w="1038" w:type="dxa"/>
            <w:vAlign w:val="center"/>
          </w:tcPr>
          <w:p>
            <w:pPr>
              <w:spacing w:line="440" w:lineRule="exact"/>
              <w:jc w:val="center"/>
              <w:rPr>
                <w:rFonts w:hint="eastAsia" w:ascii="宋体" w:hAnsi="宋体" w:eastAsia="宋体"/>
                <w:color w:val="auto"/>
                <w:sz w:val="24"/>
                <w:lang w:val="en-US" w:eastAsia="zh-CN"/>
              </w:rPr>
            </w:pPr>
            <w:r>
              <w:rPr>
                <w:rFonts w:hint="eastAsia"/>
                <w:color w:val="auto"/>
                <w:sz w:val="24"/>
                <w:lang w:val="en-US" w:eastAsia="zh-CN"/>
              </w:rPr>
              <w:t>数量</w:t>
            </w:r>
          </w:p>
        </w:tc>
        <w:tc>
          <w:tcPr>
            <w:tcW w:w="3833" w:type="dxa"/>
            <w:vAlign w:val="center"/>
          </w:tcPr>
          <w:p>
            <w:pPr>
              <w:spacing w:line="440" w:lineRule="exact"/>
              <w:jc w:val="center"/>
              <w:rPr>
                <w:rFonts w:ascii="宋体" w:hAnsi="宋体"/>
                <w:color w:val="auto"/>
                <w:sz w:val="24"/>
              </w:rPr>
            </w:pPr>
            <w:r>
              <w:rPr>
                <w:rFonts w:hint="eastAsia" w:ascii="宋体" w:hAnsi="宋体"/>
                <w:color w:val="auto"/>
                <w:sz w:val="24"/>
              </w:rPr>
              <w:t>规格型号及主要技术参数</w:t>
            </w:r>
          </w:p>
        </w:tc>
        <w:tc>
          <w:tcPr>
            <w:tcW w:w="2697" w:type="dxa"/>
            <w:vAlign w:val="center"/>
          </w:tcPr>
          <w:p>
            <w:pPr>
              <w:spacing w:line="440" w:lineRule="exact"/>
              <w:jc w:val="center"/>
              <w:rPr>
                <w:rFonts w:ascii="宋体" w:hAnsi="宋体"/>
                <w:color w:val="auto"/>
                <w:sz w:val="24"/>
              </w:rPr>
            </w:pPr>
            <w:r>
              <w:rPr>
                <w:rFonts w:hint="eastAsia" w:ascii="宋体" w:hAnsi="宋体"/>
                <w:color w:val="auto"/>
                <w:sz w:val="24"/>
              </w:rPr>
              <w:t>性能说明</w:t>
            </w:r>
          </w:p>
        </w:tc>
        <w:tc>
          <w:tcPr>
            <w:tcW w:w="1381" w:type="dxa"/>
            <w:vAlign w:val="center"/>
          </w:tcPr>
          <w:p>
            <w:pPr>
              <w:spacing w:line="440" w:lineRule="exact"/>
              <w:jc w:val="center"/>
              <w:rPr>
                <w:rFonts w:hint="eastAsia" w:ascii="宋体" w:hAnsi="宋体" w:eastAsia="宋体"/>
                <w:color w:val="auto"/>
                <w:sz w:val="24"/>
                <w:lang w:val="en-US" w:eastAsia="zh-CN"/>
              </w:rPr>
            </w:pPr>
            <w:r>
              <w:rPr>
                <w:rFonts w:hint="eastAsia"/>
                <w:color w:val="auto"/>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827" w:type="dxa"/>
            <w:vAlign w:val="center"/>
          </w:tcPr>
          <w:p>
            <w:pPr>
              <w:spacing w:line="440" w:lineRule="exact"/>
              <w:jc w:val="center"/>
              <w:rPr>
                <w:rFonts w:ascii="宋体" w:hAnsi="宋体"/>
                <w:color w:val="auto"/>
                <w:sz w:val="24"/>
              </w:rPr>
            </w:pPr>
            <w:r>
              <w:rPr>
                <w:rFonts w:ascii="宋体" w:hAnsi="宋体"/>
                <w:color w:val="auto"/>
                <w:sz w:val="24"/>
              </w:rPr>
              <w:t>1</w:t>
            </w:r>
          </w:p>
        </w:tc>
        <w:tc>
          <w:tcPr>
            <w:tcW w:w="1281" w:type="dxa"/>
            <w:vAlign w:val="center"/>
          </w:tcPr>
          <w:p>
            <w:pPr>
              <w:spacing w:line="440" w:lineRule="exact"/>
              <w:jc w:val="center"/>
              <w:rPr>
                <w:rFonts w:ascii="宋体" w:hAnsi="宋体"/>
                <w:color w:val="auto"/>
                <w:sz w:val="24"/>
              </w:rPr>
            </w:pPr>
          </w:p>
        </w:tc>
        <w:tc>
          <w:tcPr>
            <w:tcW w:w="1038" w:type="dxa"/>
            <w:vAlign w:val="center"/>
          </w:tcPr>
          <w:p>
            <w:pPr>
              <w:spacing w:line="440" w:lineRule="exact"/>
              <w:jc w:val="center"/>
              <w:rPr>
                <w:rFonts w:ascii="宋体" w:hAnsi="宋体"/>
                <w:color w:val="auto"/>
                <w:sz w:val="24"/>
              </w:rPr>
            </w:pPr>
          </w:p>
        </w:tc>
        <w:tc>
          <w:tcPr>
            <w:tcW w:w="3833" w:type="dxa"/>
            <w:vAlign w:val="center"/>
          </w:tcPr>
          <w:p>
            <w:pPr>
              <w:spacing w:line="440" w:lineRule="exact"/>
              <w:jc w:val="center"/>
              <w:rPr>
                <w:rFonts w:ascii="宋体" w:hAnsi="宋体"/>
                <w:color w:val="auto"/>
                <w:sz w:val="24"/>
              </w:rPr>
            </w:pPr>
          </w:p>
        </w:tc>
        <w:tc>
          <w:tcPr>
            <w:tcW w:w="2697" w:type="dxa"/>
            <w:vAlign w:val="center"/>
          </w:tcPr>
          <w:p>
            <w:pPr>
              <w:spacing w:line="440" w:lineRule="exact"/>
              <w:jc w:val="center"/>
              <w:rPr>
                <w:rFonts w:ascii="宋体" w:hAnsi="宋体"/>
                <w:color w:val="auto"/>
                <w:sz w:val="24"/>
              </w:rPr>
            </w:pPr>
          </w:p>
        </w:tc>
        <w:tc>
          <w:tcPr>
            <w:tcW w:w="1381" w:type="dxa"/>
            <w:vAlign w:val="center"/>
          </w:tcPr>
          <w:p>
            <w:pPr>
              <w:spacing w:line="44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827" w:type="dxa"/>
            <w:vAlign w:val="center"/>
          </w:tcPr>
          <w:p>
            <w:pPr>
              <w:spacing w:line="440" w:lineRule="exact"/>
              <w:jc w:val="center"/>
              <w:rPr>
                <w:rFonts w:ascii="宋体" w:hAnsi="宋体"/>
                <w:color w:val="auto"/>
                <w:sz w:val="24"/>
              </w:rPr>
            </w:pPr>
            <w:r>
              <w:rPr>
                <w:rFonts w:ascii="宋体" w:hAnsi="宋体"/>
                <w:color w:val="auto"/>
                <w:sz w:val="24"/>
              </w:rPr>
              <w:t>2</w:t>
            </w:r>
          </w:p>
        </w:tc>
        <w:tc>
          <w:tcPr>
            <w:tcW w:w="1281" w:type="dxa"/>
            <w:vAlign w:val="center"/>
          </w:tcPr>
          <w:p>
            <w:pPr>
              <w:spacing w:line="440" w:lineRule="exact"/>
              <w:jc w:val="center"/>
              <w:rPr>
                <w:rFonts w:ascii="宋体" w:hAnsi="宋体"/>
                <w:color w:val="auto"/>
                <w:sz w:val="24"/>
              </w:rPr>
            </w:pPr>
          </w:p>
        </w:tc>
        <w:tc>
          <w:tcPr>
            <w:tcW w:w="1038" w:type="dxa"/>
            <w:vAlign w:val="center"/>
          </w:tcPr>
          <w:p>
            <w:pPr>
              <w:spacing w:line="440" w:lineRule="exact"/>
              <w:jc w:val="center"/>
              <w:rPr>
                <w:rFonts w:ascii="宋体" w:hAnsi="宋体"/>
                <w:color w:val="auto"/>
                <w:sz w:val="24"/>
              </w:rPr>
            </w:pPr>
          </w:p>
        </w:tc>
        <w:tc>
          <w:tcPr>
            <w:tcW w:w="3833" w:type="dxa"/>
            <w:vAlign w:val="center"/>
          </w:tcPr>
          <w:p>
            <w:pPr>
              <w:spacing w:line="440" w:lineRule="exact"/>
              <w:jc w:val="center"/>
              <w:rPr>
                <w:rFonts w:ascii="宋体" w:hAnsi="宋体"/>
                <w:color w:val="auto"/>
                <w:sz w:val="24"/>
              </w:rPr>
            </w:pPr>
          </w:p>
        </w:tc>
        <w:tc>
          <w:tcPr>
            <w:tcW w:w="2697" w:type="dxa"/>
            <w:vAlign w:val="center"/>
          </w:tcPr>
          <w:p>
            <w:pPr>
              <w:spacing w:line="440" w:lineRule="exact"/>
              <w:jc w:val="center"/>
              <w:rPr>
                <w:rFonts w:ascii="宋体" w:hAnsi="宋体"/>
                <w:color w:val="auto"/>
                <w:sz w:val="24"/>
              </w:rPr>
            </w:pPr>
          </w:p>
        </w:tc>
        <w:tc>
          <w:tcPr>
            <w:tcW w:w="1381" w:type="dxa"/>
            <w:vAlign w:val="center"/>
          </w:tcPr>
          <w:p>
            <w:pPr>
              <w:spacing w:line="44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827" w:type="dxa"/>
            <w:vAlign w:val="center"/>
          </w:tcPr>
          <w:p>
            <w:pPr>
              <w:spacing w:line="440" w:lineRule="exact"/>
              <w:jc w:val="center"/>
              <w:rPr>
                <w:rFonts w:ascii="宋体" w:hAnsi="宋体"/>
                <w:color w:val="auto"/>
                <w:sz w:val="24"/>
              </w:rPr>
            </w:pPr>
            <w:r>
              <w:rPr>
                <w:rFonts w:ascii="宋体" w:hAnsi="宋体"/>
                <w:color w:val="auto"/>
                <w:sz w:val="24"/>
              </w:rPr>
              <w:t>3</w:t>
            </w:r>
          </w:p>
        </w:tc>
        <w:tc>
          <w:tcPr>
            <w:tcW w:w="1281" w:type="dxa"/>
            <w:vAlign w:val="center"/>
          </w:tcPr>
          <w:p>
            <w:pPr>
              <w:spacing w:line="440" w:lineRule="exact"/>
              <w:jc w:val="center"/>
              <w:rPr>
                <w:rFonts w:ascii="宋体" w:hAnsi="宋体"/>
                <w:color w:val="auto"/>
                <w:sz w:val="24"/>
              </w:rPr>
            </w:pPr>
          </w:p>
        </w:tc>
        <w:tc>
          <w:tcPr>
            <w:tcW w:w="1038" w:type="dxa"/>
            <w:vAlign w:val="center"/>
          </w:tcPr>
          <w:p>
            <w:pPr>
              <w:spacing w:line="440" w:lineRule="exact"/>
              <w:jc w:val="center"/>
              <w:rPr>
                <w:rFonts w:ascii="宋体" w:hAnsi="宋体"/>
                <w:color w:val="auto"/>
                <w:sz w:val="24"/>
              </w:rPr>
            </w:pPr>
          </w:p>
        </w:tc>
        <w:tc>
          <w:tcPr>
            <w:tcW w:w="3833" w:type="dxa"/>
            <w:vAlign w:val="center"/>
          </w:tcPr>
          <w:p>
            <w:pPr>
              <w:spacing w:line="440" w:lineRule="exact"/>
              <w:jc w:val="center"/>
              <w:rPr>
                <w:rFonts w:ascii="宋体" w:hAnsi="宋体"/>
                <w:color w:val="auto"/>
                <w:sz w:val="24"/>
              </w:rPr>
            </w:pPr>
          </w:p>
        </w:tc>
        <w:tc>
          <w:tcPr>
            <w:tcW w:w="2697" w:type="dxa"/>
            <w:vAlign w:val="center"/>
          </w:tcPr>
          <w:p>
            <w:pPr>
              <w:spacing w:line="440" w:lineRule="exact"/>
              <w:jc w:val="center"/>
              <w:rPr>
                <w:rFonts w:ascii="宋体" w:hAnsi="宋体"/>
                <w:color w:val="auto"/>
                <w:sz w:val="24"/>
              </w:rPr>
            </w:pPr>
          </w:p>
        </w:tc>
        <w:tc>
          <w:tcPr>
            <w:tcW w:w="1381" w:type="dxa"/>
            <w:vAlign w:val="center"/>
          </w:tcPr>
          <w:p>
            <w:pPr>
              <w:spacing w:line="44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827" w:type="dxa"/>
            <w:vAlign w:val="center"/>
          </w:tcPr>
          <w:p>
            <w:pPr>
              <w:spacing w:line="440" w:lineRule="exact"/>
              <w:jc w:val="center"/>
              <w:rPr>
                <w:rFonts w:ascii="宋体" w:hAnsi="宋体"/>
                <w:color w:val="auto"/>
                <w:sz w:val="24"/>
              </w:rPr>
            </w:pPr>
            <w:r>
              <w:rPr>
                <w:rFonts w:ascii="宋体" w:hAnsi="宋体"/>
                <w:color w:val="auto"/>
                <w:sz w:val="24"/>
              </w:rPr>
              <w:t>4</w:t>
            </w:r>
          </w:p>
        </w:tc>
        <w:tc>
          <w:tcPr>
            <w:tcW w:w="1281" w:type="dxa"/>
            <w:vAlign w:val="center"/>
          </w:tcPr>
          <w:p>
            <w:pPr>
              <w:spacing w:line="440" w:lineRule="exact"/>
              <w:jc w:val="center"/>
              <w:rPr>
                <w:rFonts w:ascii="宋体" w:hAnsi="宋体"/>
                <w:color w:val="auto"/>
                <w:sz w:val="24"/>
              </w:rPr>
            </w:pPr>
          </w:p>
        </w:tc>
        <w:tc>
          <w:tcPr>
            <w:tcW w:w="1038" w:type="dxa"/>
            <w:vAlign w:val="center"/>
          </w:tcPr>
          <w:p>
            <w:pPr>
              <w:spacing w:line="440" w:lineRule="exact"/>
              <w:jc w:val="center"/>
              <w:rPr>
                <w:rFonts w:ascii="宋体" w:hAnsi="宋体"/>
                <w:color w:val="auto"/>
                <w:sz w:val="24"/>
              </w:rPr>
            </w:pPr>
          </w:p>
        </w:tc>
        <w:tc>
          <w:tcPr>
            <w:tcW w:w="3833" w:type="dxa"/>
            <w:vAlign w:val="center"/>
          </w:tcPr>
          <w:p>
            <w:pPr>
              <w:spacing w:line="440" w:lineRule="exact"/>
              <w:jc w:val="center"/>
              <w:rPr>
                <w:rFonts w:ascii="宋体" w:hAnsi="宋体"/>
                <w:color w:val="auto"/>
                <w:sz w:val="24"/>
              </w:rPr>
            </w:pPr>
          </w:p>
        </w:tc>
        <w:tc>
          <w:tcPr>
            <w:tcW w:w="2697" w:type="dxa"/>
            <w:vAlign w:val="center"/>
          </w:tcPr>
          <w:p>
            <w:pPr>
              <w:spacing w:line="440" w:lineRule="exact"/>
              <w:jc w:val="center"/>
              <w:rPr>
                <w:rFonts w:ascii="宋体" w:hAnsi="宋体"/>
                <w:color w:val="auto"/>
                <w:sz w:val="24"/>
              </w:rPr>
            </w:pPr>
          </w:p>
        </w:tc>
        <w:tc>
          <w:tcPr>
            <w:tcW w:w="1381" w:type="dxa"/>
            <w:vAlign w:val="center"/>
          </w:tcPr>
          <w:p>
            <w:pPr>
              <w:spacing w:line="44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827" w:type="dxa"/>
            <w:vAlign w:val="center"/>
          </w:tcPr>
          <w:p>
            <w:pPr>
              <w:spacing w:line="440" w:lineRule="exact"/>
              <w:jc w:val="center"/>
              <w:rPr>
                <w:rFonts w:ascii="宋体" w:hAnsi="宋体"/>
                <w:color w:val="auto"/>
                <w:sz w:val="24"/>
              </w:rPr>
            </w:pPr>
            <w:r>
              <w:rPr>
                <w:rFonts w:ascii="宋体" w:hAnsi="宋体"/>
                <w:color w:val="auto"/>
                <w:sz w:val="24"/>
              </w:rPr>
              <w:t>5</w:t>
            </w:r>
          </w:p>
        </w:tc>
        <w:tc>
          <w:tcPr>
            <w:tcW w:w="1281" w:type="dxa"/>
            <w:vAlign w:val="center"/>
          </w:tcPr>
          <w:p>
            <w:pPr>
              <w:spacing w:line="440" w:lineRule="exact"/>
              <w:jc w:val="center"/>
              <w:rPr>
                <w:rFonts w:ascii="宋体" w:hAnsi="宋体"/>
                <w:color w:val="auto"/>
                <w:sz w:val="24"/>
              </w:rPr>
            </w:pPr>
          </w:p>
        </w:tc>
        <w:tc>
          <w:tcPr>
            <w:tcW w:w="1038" w:type="dxa"/>
            <w:vAlign w:val="center"/>
          </w:tcPr>
          <w:p>
            <w:pPr>
              <w:spacing w:line="440" w:lineRule="exact"/>
              <w:jc w:val="center"/>
              <w:rPr>
                <w:rFonts w:ascii="宋体" w:hAnsi="宋体"/>
                <w:color w:val="auto"/>
                <w:sz w:val="24"/>
              </w:rPr>
            </w:pPr>
          </w:p>
        </w:tc>
        <w:tc>
          <w:tcPr>
            <w:tcW w:w="3833" w:type="dxa"/>
            <w:vAlign w:val="center"/>
          </w:tcPr>
          <w:p>
            <w:pPr>
              <w:spacing w:line="440" w:lineRule="exact"/>
              <w:jc w:val="center"/>
              <w:rPr>
                <w:rFonts w:ascii="宋体" w:hAnsi="宋体"/>
                <w:color w:val="auto"/>
                <w:sz w:val="24"/>
              </w:rPr>
            </w:pPr>
          </w:p>
        </w:tc>
        <w:tc>
          <w:tcPr>
            <w:tcW w:w="2697" w:type="dxa"/>
            <w:vAlign w:val="center"/>
          </w:tcPr>
          <w:p>
            <w:pPr>
              <w:spacing w:line="440" w:lineRule="exact"/>
              <w:jc w:val="center"/>
              <w:rPr>
                <w:rFonts w:ascii="宋体" w:hAnsi="宋体"/>
                <w:color w:val="auto"/>
                <w:sz w:val="24"/>
              </w:rPr>
            </w:pPr>
          </w:p>
        </w:tc>
        <w:tc>
          <w:tcPr>
            <w:tcW w:w="1381" w:type="dxa"/>
            <w:vAlign w:val="center"/>
          </w:tcPr>
          <w:p>
            <w:pPr>
              <w:spacing w:line="44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827" w:type="dxa"/>
            <w:vAlign w:val="center"/>
          </w:tcPr>
          <w:p>
            <w:pPr>
              <w:spacing w:line="440" w:lineRule="exact"/>
              <w:jc w:val="center"/>
              <w:rPr>
                <w:rFonts w:ascii="宋体" w:hAnsi="宋体"/>
                <w:color w:val="auto"/>
                <w:sz w:val="24"/>
              </w:rPr>
            </w:pPr>
            <w:r>
              <w:rPr>
                <w:rFonts w:ascii="宋体" w:hAnsi="宋体"/>
                <w:color w:val="auto"/>
                <w:sz w:val="24"/>
              </w:rPr>
              <w:t>6</w:t>
            </w:r>
          </w:p>
        </w:tc>
        <w:tc>
          <w:tcPr>
            <w:tcW w:w="1281" w:type="dxa"/>
            <w:vAlign w:val="center"/>
          </w:tcPr>
          <w:p>
            <w:pPr>
              <w:spacing w:line="440" w:lineRule="exact"/>
              <w:jc w:val="center"/>
              <w:rPr>
                <w:rFonts w:ascii="宋体" w:hAnsi="宋体"/>
                <w:color w:val="auto"/>
                <w:sz w:val="24"/>
              </w:rPr>
            </w:pPr>
          </w:p>
        </w:tc>
        <w:tc>
          <w:tcPr>
            <w:tcW w:w="1038" w:type="dxa"/>
            <w:vAlign w:val="center"/>
          </w:tcPr>
          <w:p>
            <w:pPr>
              <w:spacing w:line="440" w:lineRule="exact"/>
              <w:jc w:val="center"/>
              <w:rPr>
                <w:rFonts w:ascii="宋体" w:hAnsi="宋体"/>
                <w:color w:val="auto"/>
                <w:sz w:val="24"/>
              </w:rPr>
            </w:pPr>
          </w:p>
        </w:tc>
        <w:tc>
          <w:tcPr>
            <w:tcW w:w="3833" w:type="dxa"/>
            <w:vAlign w:val="center"/>
          </w:tcPr>
          <w:p>
            <w:pPr>
              <w:spacing w:line="440" w:lineRule="exact"/>
              <w:jc w:val="center"/>
              <w:rPr>
                <w:rFonts w:ascii="宋体" w:hAnsi="宋体"/>
                <w:color w:val="auto"/>
                <w:sz w:val="24"/>
              </w:rPr>
            </w:pPr>
          </w:p>
        </w:tc>
        <w:tc>
          <w:tcPr>
            <w:tcW w:w="2697" w:type="dxa"/>
            <w:vAlign w:val="center"/>
          </w:tcPr>
          <w:p>
            <w:pPr>
              <w:spacing w:line="440" w:lineRule="exact"/>
              <w:jc w:val="center"/>
              <w:rPr>
                <w:rFonts w:ascii="宋体" w:hAnsi="宋体"/>
                <w:color w:val="auto"/>
                <w:sz w:val="24"/>
              </w:rPr>
            </w:pPr>
          </w:p>
        </w:tc>
        <w:tc>
          <w:tcPr>
            <w:tcW w:w="1381" w:type="dxa"/>
            <w:vAlign w:val="center"/>
          </w:tcPr>
          <w:p>
            <w:pPr>
              <w:spacing w:line="44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827" w:type="dxa"/>
            <w:vAlign w:val="center"/>
          </w:tcPr>
          <w:p>
            <w:pPr>
              <w:spacing w:line="440" w:lineRule="exact"/>
              <w:jc w:val="center"/>
              <w:rPr>
                <w:rFonts w:ascii="宋体" w:hAnsi="宋体"/>
                <w:color w:val="auto"/>
                <w:sz w:val="24"/>
              </w:rPr>
            </w:pPr>
            <w:r>
              <w:rPr>
                <w:rFonts w:hint="eastAsia" w:ascii="宋体" w:hAnsi="宋体"/>
                <w:color w:val="auto"/>
                <w:sz w:val="24"/>
              </w:rPr>
              <w:t>…</w:t>
            </w:r>
          </w:p>
        </w:tc>
        <w:tc>
          <w:tcPr>
            <w:tcW w:w="1281" w:type="dxa"/>
            <w:vAlign w:val="center"/>
          </w:tcPr>
          <w:p>
            <w:pPr>
              <w:spacing w:line="440" w:lineRule="exact"/>
              <w:jc w:val="center"/>
              <w:rPr>
                <w:rFonts w:ascii="宋体" w:hAnsi="宋体"/>
                <w:color w:val="auto"/>
                <w:sz w:val="24"/>
              </w:rPr>
            </w:pPr>
          </w:p>
        </w:tc>
        <w:tc>
          <w:tcPr>
            <w:tcW w:w="1038" w:type="dxa"/>
            <w:vAlign w:val="center"/>
          </w:tcPr>
          <w:p>
            <w:pPr>
              <w:spacing w:line="440" w:lineRule="exact"/>
              <w:jc w:val="center"/>
              <w:rPr>
                <w:rFonts w:ascii="宋体" w:hAnsi="宋体"/>
                <w:color w:val="auto"/>
                <w:sz w:val="24"/>
              </w:rPr>
            </w:pPr>
          </w:p>
        </w:tc>
        <w:tc>
          <w:tcPr>
            <w:tcW w:w="3833" w:type="dxa"/>
            <w:vAlign w:val="center"/>
          </w:tcPr>
          <w:p>
            <w:pPr>
              <w:spacing w:line="440" w:lineRule="exact"/>
              <w:jc w:val="center"/>
              <w:rPr>
                <w:rFonts w:ascii="宋体" w:hAnsi="宋体"/>
                <w:color w:val="auto"/>
                <w:sz w:val="24"/>
              </w:rPr>
            </w:pPr>
          </w:p>
        </w:tc>
        <w:tc>
          <w:tcPr>
            <w:tcW w:w="2697" w:type="dxa"/>
            <w:vAlign w:val="center"/>
          </w:tcPr>
          <w:p>
            <w:pPr>
              <w:spacing w:line="440" w:lineRule="exact"/>
              <w:jc w:val="center"/>
              <w:rPr>
                <w:rFonts w:ascii="宋体" w:hAnsi="宋体"/>
                <w:color w:val="auto"/>
                <w:sz w:val="24"/>
              </w:rPr>
            </w:pPr>
          </w:p>
        </w:tc>
        <w:tc>
          <w:tcPr>
            <w:tcW w:w="1381" w:type="dxa"/>
            <w:vAlign w:val="center"/>
          </w:tcPr>
          <w:p>
            <w:pPr>
              <w:spacing w:line="440" w:lineRule="exact"/>
              <w:jc w:val="center"/>
              <w:rPr>
                <w:rFonts w:ascii="宋体" w:hAnsi="宋体"/>
                <w:color w:val="auto"/>
                <w:sz w:val="24"/>
              </w:rPr>
            </w:pPr>
          </w:p>
        </w:tc>
      </w:tr>
    </w:tbl>
    <w:p>
      <w:pPr>
        <w:spacing w:line="440" w:lineRule="exact"/>
        <w:ind w:firstLine="360" w:firstLineChars="150"/>
        <w:rPr>
          <w:rFonts w:hint="eastAsia" w:asciiTheme="minorEastAsia" w:hAnsiTheme="minorEastAsia" w:eastAsiaTheme="minorEastAsia" w:cstheme="minorEastAsia"/>
          <w:color w:val="auto"/>
        </w:rPr>
      </w:pPr>
      <w:r>
        <w:rPr>
          <w:rFonts w:hint="eastAsia" w:ascii="宋体" w:hAnsi="宋体"/>
          <w:color w:val="auto"/>
          <w:sz w:val="24"/>
        </w:rPr>
        <w:t>注：此表需详列</w:t>
      </w:r>
      <w:r>
        <w:rPr>
          <w:rFonts w:hint="eastAsia"/>
          <w:color w:val="auto"/>
          <w:sz w:val="24"/>
          <w:lang w:val="en-US" w:eastAsia="zh-CN"/>
        </w:rPr>
        <w:t>完成本项目</w:t>
      </w:r>
      <w:r>
        <w:rPr>
          <w:rFonts w:hint="eastAsia" w:ascii="宋体" w:hAnsi="宋体"/>
          <w:color w:val="auto"/>
          <w:sz w:val="24"/>
        </w:rPr>
        <w:t>的每种设备</w:t>
      </w:r>
      <w:r>
        <w:rPr>
          <w:rFonts w:hint="eastAsia" w:ascii="宋体" w:hAnsi="宋体"/>
          <w:color w:val="auto"/>
          <w:sz w:val="24"/>
          <w:lang w:eastAsia="zh-CN"/>
        </w:rPr>
        <w:t>并附响应的图片及证明材料</w:t>
      </w:r>
      <w:r>
        <w:rPr>
          <w:rFonts w:hint="eastAsia" w:ascii="宋体" w:hAnsi="宋体"/>
          <w:color w:val="auto"/>
          <w:sz w:val="24"/>
        </w:rPr>
        <w:t>。</w:t>
      </w:r>
    </w:p>
    <w:p>
      <w:pPr>
        <w:pStyle w:val="28"/>
        <w:spacing w:before="4" w:line="360" w:lineRule="exact"/>
        <w:ind w:left="4" w:right="129"/>
        <w:rPr>
          <w:rFonts w:hint="eastAsia" w:ascii="宋体" w:hAnsi="宋体" w:eastAsia="宋体" w:cs="宋体"/>
          <w:kern w:val="0"/>
          <w:sz w:val="24"/>
          <w:szCs w:val="24"/>
          <w:highlight w:val="none"/>
          <w:lang w:eastAsia="zh-CN"/>
        </w:rPr>
      </w:pPr>
    </w:p>
    <w:p>
      <w:pPr>
        <w:pStyle w:val="28"/>
        <w:spacing w:before="4" w:line="360" w:lineRule="exact"/>
        <w:ind w:left="4" w:right="129"/>
        <w:rPr>
          <w:rFonts w:hint="eastAsia" w:ascii="宋体" w:hAnsi="宋体" w:cs="宋体"/>
          <w:b/>
          <w:kern w:val="0"/>
          <w:sz w:val="24"/>
          <w:szCs w:val="24"/>
          <w:highlight w:val="none"/>
          <w:lang w:val="en-US" w:eastAsia="zh-CN"/>
        </w:rPr>
      </w:pPr>
      <w:r>
        <w:rPr>
          <w:rFonts w:hint="eastAsia" w:ascii="宋体" w:hAnsi="宋体" w:cs="宋体"/>
          <w:b/>
          <w:kern w:val="0"/>
          <w:sz w:val="24"/>
          <w:szCs w:val="24"/>
          <w:highlight w:val="none"/>
          <w:lang w:val="en-US" w:eastAsia="zh-CN"/>
        </w:rPr>
        <w:t>1.7  安全与应急预案：</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rPr>
          <w:rFonts w:hint="eastAsia" w:ascii="宋体" w:hAnsi="宋体" w:eastAsia="宋体" w:cs="宋体"/>
          <w:b/>
          <w:kern w:val="0"/>
          <w:sz w:val="24"/>
          <w:szCs w:val="24"/>
          <w:highlight w:val="none"/>
          <w:lang w:eastAsia="zh-CN"/>
        </w:rPr>
      </w:pPr>
      <w:r>
        <w:rPr>
          <w:rFonts w:hint="eastAsia" w:ascii="宋体" w:hAnsi="宋体" w:cs="宋体"/>
          <w:b/>
          <w:kern w:val="0"/>
          <w:sz w:val="24"/>
          <w:szCs w:val="24"/>
          <w:highlight w:val="none"/>
          <w:lang w:val="en-US" w:eastAsia="zh-CN"/>
        </w:rPr>
        <w:t xml:space="preserve">1.8  </w:t>
      </w:r>
      <w:r>
        <w:rPr>
          <w:rFonts w:hint="eastAsia" w:ascii="宋体" w:hAnsi="宋体" w:eastAsia="宋体" w:cs="宋体"/>
          <w:b/>
          <w:kern w:val="0"/>
          <w:sz w:val="24"/>
          <w:szCs w:val="24"/>
          <w:highlight w:val="none"/>
        </w:rPr>
        <w:t>投标供应商认为必要说明的其他内容</w:t>
      </w:r>
      <w:r>
        <w:rPr>
          <w:rFonts w:hint="eastAsia" w:ascii="宋体" w:hAnsi="宋体" w:cs="宋体"/>
          <w:b w:val="0"/>
          <w:bCs/>
          <w:kern w:val="0"/>
          <w:sz w:val="24"/>
          <w:szCs w:val="24"/>
          <w:highlight w:val="none"/>
          <w:lang w:eastAsia="zh-CN"/>
        </w:rPr>
        <w:t>（根据采购需求和详细评审表</w:t>
      </w:r>
      <w:r>
        <w:rPr>
          <w:rFonts w:hint="eastAsia" w:ascii="宋体" w:hAnsi="宋体" w:cs="宋体"/>
          <w:b w:val="0"/>
          <w:bCs/>
          <w:kern w:val="0"/>
          <w:sz w:val="24"/>
          <w:szCs w:val="24"/>
          <w:highlight w:val="none"/>
          <w:lang w:val="en-US" w:eastAsia="zh-CN"/>
        </w:rPr>
        <w:t>编制</w:t>
      </w:r>
      <w:r>
        <w:rPr>
          <w:rFonts w:hint="eastAsia" w:ascii="宋体" w:hAnsi="宋体" w:cs="宋体"/>
          <w:b w:val="0"/>
          <w:bCs/>
          <w:kern w:val="0"/>
          <w:sz w:val="24"/>
          <w:szCs w:val="24"/>
          <w:highlight w:val="none"/>
          <w:lang w:eastAsia="zh-CN"/>
        </w:rPr>
        <w:t>）</w:t>
      </w:r>
    </w:p>
    <w:p>
      <w:pPr>
        <w:rPr>
          <w:rFonts w:hint="eastAsia" w:ascii="宋体" w:hAnsi="宋体" w:eastAsia="宋体" w:cs="宋体"/>
          <w:szCs w:val="21"/>
          <w:highlight w:val="none"/>
          <w:lang w:val="en-GB"/>
        </w:rPr>
      </w:pPr>
    </w:p>
    <w:p>
      <w:pPr>
        <w:rPr>
          <w:rFonts w:hint="eastAsia" w:ascii="宋体" w:hAnsi="宋体" w:eastAsia="宋体" w:cs="宋体"/>
          <w:b/>
          <w:szCs w:val="21"/>
          <w:highlight w:val="none"/>
          <w:lang w:eastAsia="zh-CN"/>
        </w:rPr>
      </w:pPr>
      <w:r>
        <w:rPr>
          <w:rFonts w:hint="eastAsia" w:ascii="宋体" w:hAnsi="宋体" w:eastAsia="宋体" w:cs="宋体"/>
          <w:b/>
          <w:kern w:val="0"/>
          <w:sz w:val="24"/>
          <w:szCs w:val="24"/>
          <w:highlight w:val="none"/>
        </w:rPr>
        <w:t>2</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拟任执行管理及技术人员情况</w:t>
      </w:r>
      <w:r>
        <w:rPr>
          <w:rFonts w:hint="eastAsia" w:ascii="宋体" w:hAnsi="宋体" w:cs="宋体"/>
          <w:b/>
          <w:kern w:val="0"/>
          <w:sz w:val="24"/>
          <w:szCs w:val="24"/>
          <w:highlight w:val="none"/>
          <w:lang w:eastAsia="zh-CN"/>
        </w:rPr>
        <w:t>（项目团队）</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1040"/>
        <w:gridCol w:w="944"/>
        <w:gridCol w:w="2636"/>
        <w:gridCol w:w="697"/>
        <w:gridCol w:w="69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职责分工</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944"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现职务</w:t>
            </w:r>
          </w:p>
        </w:tc>
        <w:tc>
          <w:tcPr>
            <w:tcW w:w="2636" w:type="dxa"/>
            <w:tcBorders>
              <w:top w:val="single" w:color="auto" w:sz="4" w:space="0"/>
              <w:bottom w:val="single" w:color="auto" w:sz="4" w:space="0"/>
            </w:tcBorders>
            <w:noWrap w:val="0"/>
            <w:vAlign w:val="center"/>
          </w:tcPr>
          <w:p>
            <w:pPr>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曾主持/参与的</w:t>
            </w:r>
          </w:p>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同类项目经历</w:t>
            </w:r>
          </w:p>
        </w:tc>
        <w:tc>
          <w:tcPr>
            <w:tcW w:w="697" w:type="dxa"/>
            <w:tcBorders>
              <w:top w:val="single" w:color="auto" w:sz="4" w:space="0"/>
              <w:bottom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职称</w:t>
            </w:r>
          </w:p>
        </w:tc>
        <w:tc>
          <w:tcPr>
            <w:tcW w:w="697"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专业工龄</w:t>
            </w:r>
          </w:p>
        </w:tc>
        <w:tc>
          <w:tcPr>
            <w:tcW w:w="1567"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jc w:val="center"/>
        </w:trPr>
        <w:tc>
          <w:tcPr>
            <w:tcW w:w="1422"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项目负责人</w:t>
            </w: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44"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636"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restart"/>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其他主要技术人员</w:t>
            </w: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44"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36"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44"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36"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44"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36"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44"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36"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44"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36"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bl>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注：根据评审表的要求</w:t>
      </w:r>
      <w:r>
        <w:rPr>
          <w:rFonts w:hint="eastAsia" w:ascii="宋体" w:hAnsi="宋体" w:cs="宋体"/>
          <w:kern w:val="0"/>
          <w:sz w:val="24"/>
          <w:szCs w:val="24"/>
          <w:highlight w:val="none"/>
          <w:lang w:eastAsia="zh-CN"/>
        </w:rPr>
        <w:t>对</w:t>
      </w:r>
      <w:r>
        <w:rPr>
          <w:rFonts w:hint="eastAsia" w:ascii="宋体" w:hAnsi="宋体" w:eastAsia="宋体" w:cs="宋体"/>
          <w:kern w:val="0"/>
          <w:sz w:val="24"/>
          <w:szCs w:val="24"/>
          <w:highlight w:val="none"/>
        </w:rPr>
        <w:t>项目团队</w:t>
      </w:r>
      <w:r>
        <w:rPr>
          <w:rFonts w:hint="eastAsia" w:ascii="宋体" w:hAnsi="宋体" w:cs="宋体"/>
          <w:kern w:val="0"/>
          <w:sz w:val="24"/>
          <w:szCs w:val="24"/>
          <w:highlight w:val="none"/>
          <w:lang w:eastAsia="zh-CN"/>
        </w:rPr>
        <w:t>人员分别</w:t>
      </w:r>
      <w:r>
        <w:rPr>
          <w:rFonts w:hint="eastAsia" w:ascii="宋体" w:hAnsi="宋体" w:eastAsia="宋体" w:cs="宋体"/>
          <w:kern w:val="0"/>
          <w:sz w:val="24"/>
          <w:szCs w:val="24"/>
          <w:highlight w:val="none"/>
        </w:rPr>
        <w:t>提交相应资料</w:t>
      </w:r>
      <w:r>
        <w:rPr>
          <w:rFonts w:hint="eastAsia" w:ascii="宋体" w:hAnsi="宋体" w:cs="宋体"/>
          <w:kern w:val="0"/>
          <w:sz w:val="24"/>
          <w:szCs w:val="24"/>
          <w:highlight w:val="none"/>
          <w:lang w:eastAsia="zh-CN"/>
        </w:rPr>
        <w:t>（</w:t>
      </w:r>
      <w:r>
        <w:rPr>
          <w:rFonts w:hint="eastAsia" w:asciiTheme="minorEastAsia" w:hAnsiTheme="minorEastAsia" w:eastAsiaTheme="minorEastAsia" w:cstheme="minorEastAsia"/>
          <w:spacing w:val="-8"/>
          <w:sz w:val="21"/>
          <w:szCs w:val="21"/>
          <w:highlight w:val="none"/>
        </w:rPr>
        <w:t>身份证、学历证书、执业证</w:t>
      </w:r>
      <w:r>
        <w:rPr>
          <w:rFonts w:hint="eastAsia" w:asciiTheme="minorEastAsia" w:hAnsiTheme="minorEastAsia" w:eastAsiaTheme="minorEastAsia" w:cstheme="minorEastAsia"/>
          <w:spacing w:val="-8"/>
          <w:sz w:val="21"/>
          <w:szCs w:val="21"/>
          <w:highlight w:val="none"/>
          <w:lang w:eastAsia="zh-CN"/>
        </w:rPr>
        <w:t>、</w:t>
      </w:r>
      <w:r>
        <w:rPr>
          <w:rFonts w:hint="eastAsia" w:asciiTheme="minorEastAsia" w:hAnsiTheme="minorEastAsia" w:eastAsiaTheme="minorEastAsia" w:cstheme="minorEastAsia"/>
          <w:spacing w:val="-8"/>
          <w:sz w:val="21"/>
          <w:szCs w:val="21"/>
          <w:highlight w:val="none"/>
        </w:rPr>
        <w:t>职称证</w:t>
      </w:r>
      <w:r>
        <w:rPr>
          <w:rFonts w:hint="eastAsia" w:asciiTheme="minorEastAsia" w:hAnsiTheme="minorEastAsia" w:eastAsiaTheme="minorEastAsia" w:cstheme="minorEastAsia"/>
          <w:spacing w:val="-8"/>
          <w:sz w:val="21"/>
          <w:szCs w:val="21"/>
          <w:highlight w:val="none"/>
          <w:lang w:eastAsia="zh-CN"/>
        </w:rPr>
        <w:t>等</w:t>
      </w:r>
      <w:r>
        <w:rPr>
          <w:rFonts w:hint="eastAsia" w:asciiTheme="minorEastAsia" w:hAnsiTheme="minorEastAsia" w:eastAsiaTheme="minorEastAsia" w:cstheme="minorEastAsia"/>
          <w:spacing w:val="-8"/>
          <w:sz w:val="21"/>
          <w:szCs w:val="21"/>
          <w:highlight w:val="none"/>
        </w:rPr>
        <w:t>及其</w:t>
      </w:r>
      <w:r>
        <w:rPr>
          <w:rFonts w:hint="eastAsia" w:asciiTheme="minorEastAsia" w:hAnsiTheme="minorEastAsia" w:eastAsiaTheme="minorEastAsia" w:cstheme="minorEastAsia"/>
          <w:spacing w:val="-8"/>
          <w:sz w:val="21"/>
          <w:szCs w:val="21"/>
          <w:highlight w:val="none"/>
          <w:lang w:eastAsia="zh-CN"/>
        </w:rPr>
        <w:t>它必要</w:t>
      </w:r>
      <w:r>
        <w:rPr>
          <w:rFonts w:hint="eastAsia" w:asciiTheme="minorEastAsia" w:hAnsiTheme="minorEastAsia" w:eastAsiaTheme="minorEastAsia" w:cstheme="minorEastAsia"/>
          <w:spacing w:val="-8"/>
          <w:sz w:val="21"/>
          <w:szCs w:val="21"/>
          <w:highlight w:val="none"/>
        </w:rPr>
        <w:t>证明文件</w:t>
      </w: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w:t>
      </w:r>
    </w:p>
    <w:p>
      <w:pPr>
        <w:rPr>
          <w:rFonts w:hint="eastAsia" w:ascii="宋体" w:hAnsi="宋体" w:eastAsia="宋体" w:cs="宋体"/>
          <w:kern w:val="0"/>
          <w:sz w:val="24"/>
          <w:szCs w:val="24"/>
          <w:highlight w:val="none"/>
        </w:rPr>
      </w:pPr>
    </w:p>
    <w:p>
      <w:pPr>
        <w:rPr>
          <w:rFonts w:hint="eastAsia" w:ascii="宋体" w:hAnsi="宋体" w:eastAsia="宋体" w:cs="宋体"/>
          <w:b/>
          <w:kern w:val="0"/>
          <w:sz w:val="24"/>
          <w:szCs w:val="24"/>
          <w:highlight w:val="none"/>
        </w:rPr>
      </w:pPr>
      <w:r>
        <w:rPr>
          <w:rFonts w:hint="eastAsia" w:ascii="宋体" w:hAnsi="宋体" w:cs="宋体"/>
          <w:b/>
          <w:kern w:val="0"/>
          <w:sz w:val="24"/>
          <w:szCs w:val="24"/>
          <w:highlight w:val="none"/>
          <w:lang w:val="en-US" w:eastAsia="zh-CN"/>
        </w:rPr>
        <w:t>3</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需要采购人提供的附加条件</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8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828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投标人需要采购人提供的附加条件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c>
          <w:tcPr>
            <w:tcW w:w="828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c>
          <w:tcPr>
            <w:tcW w:w="828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c>
          <w:tcPr>
            <w:tcW w:w="828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c>
          <w:tcPr>
            <w:tcW w:w="828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bl>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注：投标人完成本项目需要采购人配合或提供的条件必须在上表列出，否则将视为投标人同意按现有条件完成本项目。如上表所列附加条件含有采购人不能接受的，将被视为投标无效。</w:t>
      </w:r>
    </w:p>
    <w:p>
      <w:pPr>
        <w:rPr>
          <w:rFonts w:hint="eastAsia" w:ascii="宋体" w:hAnsi="宋体" w:eastAsia="宋体" w:cs="宋体"/>
          <w:szCs w:val="21"/>
          <w:highlight w:val="none"/>
          <w:lang w:val="en-GB"/>
        </w:rPr>
      </w:pPr>
    </w:p>
    <w:p>
      <w:pPr>
        <w:rPr>
          <w:rFonts w:hint="eastAsia" w:ascii="宋体" w:hAnsi="宋体" w:eastAsia="宋体" w:cs="宋体"/>
          <w:b/>
          <w:kern w:val="0"/>
          <w:sz w:val="24"/>
          <w:szCs w:val="24"/>
          <w:highlight w:val="none"/>
        </w:rPr>
      </w:pPr>
    </w:p>
    <w:p>
      <w:pPr>
        <w:rPr>
          <w:rFonts w:hint="eastAsia" w:ascii="宋体" w:hAnsi="宋体" w:eastAsia="宋体" w:cs="宋体"/>
          <w:b/>
          <w:kern w:val="0"/>
          <w:sz w:val="24"/>
          <w:szCs w:val="24"/>
          <w:highlight w:val="none"/>
        </w:rPr>
      </w:pPr>
      <w:r>
        <w:rPr>
          <w:rFonts w:hint="eastAsia" w:ascii="宋体" w:hAnsi="宋体" w:cs="宋体"/>
          <w:b/>
          <w:kern w:val="0"/>
          <w:sz w:val="24"/>
          <w:szCs w:val="24"/>
          <w:highlight w:val="none"/>
          <w:lang w:val="en-US" w:eastAsia="zh-CN"/>
        </w:rPr>
        <w:t>4</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其它重要事项说明及承诺</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（如有，请扼要叙述）</w:t>
      </w:r>
    </w:p>
    <w:p>
      <w:pPr>
        <w:pStyle w:val="2"/>
        <w:kinsoku w:val="0"/>
        <w:overflowPunct w:val="0"/>
        <w:spacing w:before="34" w:line="357" w:lineRule="auto"/>
        <w:ind w:left="0" w:right="126" w:firstLine="120" w:firstLineChars="50"/>
        <w:jc w:val="center"/>
        <w:rPr>
          <w:rFonts w:hint="eastAsia" w:ascii="宋体" w:hAnsi="宋体" w:eastAsia="宋体" w:cs="宋体"/>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十六、供应商认为需要提交的技术资料</w:t>
      </w:r>
    </w:p>
    <w:p>
      <w:pPr>
        <w:rPr>
          <w:rFonts w:hint="eastAsia" w:ascii="宋体" w:hAnsi="宋体" w:eastAsia="宋体" w:cs="宋体"/>
          <w:highlight w:val="none"/>
        </w:rPr>
      </w:pPr>
    </w:p>
    <w:sectPr>
      <w:footerReference r:id="rId9" w:type="first"/>
      <w:footerReference r:id="rId8" w:type="default"/>
      <w:pgSz w:w="11910" w:h="16840"/>
      <w:pgMar w:top="1040" w:right="1137" w:bottom="960" w:left="1080" w:header="763" w:footer="766" w:gutter="0"/>
      <w:pgBorders>
        <w:top w:val="none" w:sz="0" w:space="0"/>
        <w:left w:val="none" w:sz="0" w:space="0"/>
        <w:bottom w:val="none" w:sz="0" w:space="0"/>
        <w:right w:val="none" w:sz="0" w:space="0"/>
      </w:pgBorders>
      <w:pgNumType w:fmt="numberInDash"/>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4"/>
        <w:szCs w:val="24"/>
      </w:rPr>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tabs>
                              <w:tab w:val="center" w:pos="4140"/>
                              <w:tab w:val="right" w:pos="8300"/>
                              <w:tab w:val="clear" w:pos="4153"/>
                              <w:tab w:val="clear" w:pos="8306"/>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yVJs8oBAACd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nLN5Q4bnHk558/zr8ezw/f&#10;SXaiRH2AGjPvAuam4b0fMH32Azoz80FFm7/IiWAcBT5dBJZDIiI/Wi1XqwpDAmPzBfHZ0/MQIX2Q&#10;3pJsNDTiBIuw/PgJ0pg6p+Rqzt9qY8oUjfvLgZjZw3LvY4/ZSsNumAjtfHtCPj0Ov6EOd50S89Gh&#10;tnlPZiPOxm42DiHqfVcWKdeD8O6QsInSW64wwk6FcWqF3bRheS3+vJesp79q8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hyVJs8oBAACdAwAADgAAAAAAAAABACAAAAAeAQAAZHJzL2Uyb0Rv&#10;Yy54bWxQSwUGAAAAAAYABgBZAQAAWgUAAAAA&#10;">
              <v:fill on="f" focussize="0,0"/>
              <v:stroke on="f"/>
              <v:imagedata o:title=""/>
              <o:lock v:ext="edit" aspectratio="f"/>
              <v:textbox inset="0mm,0mm,0mm,0mm" style="mso-fit-shape-to-text:t;">
                <w:txbxContent>
                  <w:p>
                    <w:pPr>
                      <w:pStyle w:val="13"/>
                      <w:tabs>
                        <w:tab w:val="center" w:pos="4140"/>
                        <w:tab w:val="right" w:pos="8300"/>
                        <w:tab w:val="clear" w:pos="4153"/>
                        <w:tab w:val="clear" w:pos="8306"/>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7 -</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5jDvsoBAACd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nLN5Q4bnHk558/zr8ezw/f&#10;SXaiRH2AGjPvAuam4b0fMH32Azoz80FFm7/IiWAcBT5dBJZDIiI/Wi1XqwpDAmPzBfHZ0/MQIX2Q&#10;3pJsNDTiBIuw/PgJ0pg6p+Rqzt9qY8oUjfvLgZjZw3LvY4/ZSsNumAjtfHtCPj0Ov6EOd50S89Gh&#10;tnlPZiPOxm42DiHqfVcWKdeD8O6QsInSW64wwk6FcWqF3bRheS3+vJesp79q8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5jDvsoBAACdAwAADgAAAAAAAAABACAAAAAeAQAAZHJzL2Uyb0Rv&#10;Yy54bWxQSwUGAAAAAAYABgBZAQAAWgUAAAAA&#10;">
              <v:fill on="f" focussize="0,0"/>
              <v:stroke on="f"/>
              <v:imagedata o:title=""/>
              <o:lock v:ext="edit" aspectratio="f"/>
              <v:textbox inset="0mm,0mm,0mm,0mm" style="mso-fit-shape-to-text:t;">
                <w:txbxContent>
                  <w:p>
                    <w:pPr>
                      <w:pStyle w:val="13"/>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7 -</w:t>
                    </w:r>
                    <w:r>
                      <w:rPr>
                        <w:sz w:val="24"/>
                        <w:szCs w:val="24"/>
                      </w:rPr>
                      <w:fldChar w:fldCharType="end"/>
                    </w:r>
                  </w:p>
                </w:txbxContent>
              </v:textbox>
            </v:shape>
          </w:pict>
        </mc:Fallback>
      </mc:AlternateContent>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2336" behindDoc="0" locked="0" layoutInCell="1" allowOverlap="1">
              <wp:simplePos x="0" y="0"/>
              <wp:positionH relativeFrom="margin">
                <wp:posOffset>2992120</wp:posOffset>
              </wp:positionH>
              <wp:positionV relativeFrom="paragraph">
                <wp:posOffset>-19050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- 0 -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35.6pt;margin-top:-1.5pt;height:144pt;width:144pt;mso-position-horizontal-relative:margin;mso-wrap-style:none;z-index:251662336;mso-width-relative:page;mso-height-relative:page;" filled="f" stroked="f" coordsize="21600,21600" o:gfxdata="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zZbeNcAAAAKAQAADwAAAAAAAAABACAAAAAiAAAAZHJzL2Rv&#10;d25yZXYueG1sUEsBAhQAFAAAAAgAh07iQBRQUArJAQAAnQMAAA4AAAAAAAAAAQAgAAAAJgEAAGRy&#10;cy9lMm9Eb2MueG1sUEsFBgAAAAAGAAYAWQEAAGEFAAAAAA==&#10;">
              <v:fill on="f" focussize="0,0"/>
              <v:stroke on="f"/>
              <v:imagedata o:title=""/>
              <o:lock v:ext="edit" aspectratio="f"/>
              <v:textbox inset="0mm,0mm,0mm,0mm" style="mso-fit-shape-to-text:t;">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- 0 -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before="0" w:line="14" w:lineRule="auto"/>
      <w:ind w:left="0"/>
      <w:rPr>
        <w:rFonts w:ascii="Times New Roman" w:eastAsia="宋体" w:cs="Times New Roman"/>
        <w:sz w:val="20"/>
        <w:szCs w:val="20"/>
      </w:rPr>
    </w:pPr>
    <w:r>
      <w:rPr>
        <w:sz w:val="24"/>
      </w:rPr>
      <w:pict>
        <v:shape id="PowerPlusWaterMarkObject37265" o:spid="_x0000_s2053" o:spt="136" type="#_x0000_t136" style="position:absolute;left:0pt;margin-left:21.5pt;margin-top:295.75pt;height:23pt;width:413.5pt;mso-position-horizontal-relative:margin;mso-position-vertical-relative:margin;rotation:-2949120f;z-index:-251652096;mso-width-relative:page;mso-height-relative:page;" fillcolor="#C0C0C0" filled="t" stroked="f" coordsize="21600,21600" adj="10800">
          <v:path/>
          <v:fill on="t" color2="#FFFFFF" opacity="32768f" focussize="0,0"/>
          <v:stroke on="f"/>
          <v:imagedata o:title=""/>
          <o:lock v:ext="edit" aspectratio="t"/>
          <v:textpath on="t" fitshape="t" fitpath="t" trim="t" xscale="f" string="2022年自治区旅游发展大会专题宣传片采购项目" style="font-family:宋体;font-size:20pt;v-same-letter-heights:f;v-text-align:center;"/>
        </v:shape>
      </w:pict>
    </w:r>
    <w:r>
      <mc:AlternateContent>
        <mc:Choice Requires="wps">
          <w:drawing>
            <wp:anchor distT="0" distB="0" distL="114300" distR="114300" simplePos="0" relativeHeight="251660288" behindDoc="1" locked="0" layoutInCell="0" allowOverlap="1">
              <wp:simplePos x="0" y="0"/>
              <wp:positionH relativeFrom="page">
                <wp:posOffset>900430</wp:posOffset>
              </wp:positionH>
              <wp:positionV relativeFrom="page">
                <wp:posOffset>675640</wp:posOffset>
              </wp:positionV>
              <wp:extent cx="5760085" cy="12700"/>
              <wp:effectExtent l="0" t="0" r="0" b="0"/>
              <wp:wrapNone/>
              <wp:docPr id="121" name="任意多边形 121"/>
              <wp:cNvGraphicFramePr/>
              <a:graphic xmlns:a="http://schemas.openxmlformats.org/drawingml/2006/main">
                <a:graphicData uri="http://schemas.microsoft.com/office/word/2010/wordprocessingShape">
                  <wps:wsp>
                    <wps:cNvSpPr/>
                    <wps:spPr>
                      <a:xfrm>
                        <a:off x="0" y="0"/>
                        <a:ext cx="5760085" cy="12700"/>
                      </a:xfrm>
                      <a:custGeom>
                        <a:avLst/>
                        <a:gdLst/>
                        <a:ahLst/>
                        <a:cxnLst/>
                        <a:pathLst>
                          <a:path w="9071" h="20">
                            <a:moveTo>
                              <a:pt x="0" y="0"/>
                            </a:moveTo>
                            <a:lnTo>
                              <a:pt x="9071" y="0"/>
                            </a:lnTo>
                          </a:path>
                        </a:pathLst>
                      </a:custGeom>
                      <a:noFill/>
                      <a:ln w="10414"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0.9pt;margin-top:53.2pt;height:1pt;width:453.55pt;mso-position-horizontal-relative:page;mso-position-vertical-relative:page;z-index:-251656192;mso-width-relative:page;mso-height-relative:page;" filled="f" stroked="t" coordsize="9071,20" o:allowincell="f" o:gfxdata="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FL2iy2gAAAAwBAAAPAAAAAAAAAAEAIAAAACIAAABkcnMvZG93&#10;bnJldi54bWxQSwECFAAUAAAACACHTuJAMWMQuTcCAACSBAAADgAAAAAAAAABACAAAAApAQAAZHJz&#10;L2Uyb0RvYy54bWxQSwUGAAAAAAYABgBZAQAA0gUAAAAA&#10;" path="m0,0l9071,0e">
              <v:fill on="f" focussize="0,0"/>
              <v:stroke weight="0.82pt"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PowerPlusWaterMarkObject65150" o:spid="_x0000_s2054" o:spt="136" type="#_x0000_t136" style="position:absolute;left:0pt;height:23pt;width:413pt;mso-position-horizontal:center;mso-position-horizontal-relative:margin;mso-position-vertical:center;mso-position-vertical-relative:margin;rotation:-2949120f;z-index:-251651072;mso-width-relative:page;mso-height-relative:page;" fillcolor="#C0C0C0" filled="t" stroked="f" coordsize="21600,21600" adj="10800">
          <v:path/>
          <v:fill on="t" color2="#FFFFFF" opacity="32768f" focussize="0,0"/>
          <v:stroke on="f"/>
          <v:imagedata o:title=""/>
          <o:lock v:ext="edit" aspectratio="t"/>
          <v:textpath on="t" fitshape="t" fitpath="t" trim="t" xscale="f" string="2022年自治区旅游发展大会专题宣传片采购项目" style="font-family:宋体;font-size:20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multilevel"/>
    <w:tmpl w:val="845B5372"/>
    <w:lvl w:ilvl="0" w:tentative="0">
      <w:start w:val="1"/>
      <w:numFmt w:val="decimal"/>
      <w:lvlText w:val="%1."/>
      <w:lvlJc w:val="left"/>
      <w:pPr>
        <w:ind w:left="1518" w:hanging="360"/>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2446" w:hanging="360"/>
      </w:pPr>
      <w:rPr>
        <w:rFonts w:hint="default"/>
        <w:lang w:val="zh-CN" w:eastAsia="zh-CN" w:bidi="zh-CN"/>
      </w:rPr>
    </w:lvl>
    <w:lvl w:ilvl="2" w:tentative="0">
      <w:start w:val="0"/>
      <w:numFmt w:val="bullet"/>
      <w:lvlText w:val="•"/>
      <w:lvlJc w:val="left"/>
      <w:pPr>
        <w:ind w:left="3373" w:hanging="360"/>
      </w:pPr>
      <w:rPr>
        <w:rFonts w:hint="default"/>
        <w:lang w:val="zh-CN" w:eastAsia="zh-CN" w:bidi="zh-CN"/>
      </w:rPr>
    </w:lvl>
    <w:lvl w:ilvl="3" w:tentative="0">
      <w:start w:val="0"/>
      <w:numFmt w:val="bullet"/>
      <w:lvlText w:val="•"/>
      <w:lvlJc w:val="left"/>
      <w:pPr>
        <w:ind w:left="4299" w:hanging="360"/>
      </w:pPr>
      <w:rPr>
        <w:rFonts w:hint="default"/>
        <w:lang w:val="zh-CN" w:eastAsia="zh-CN" w:bidi="zh-CN"/>
      </w:rPr>
    </w:lvl>
    <w:lvl w:ilvl="4" w:tentative="0">
      <w:start w:val="0"/>
      <w:numFmt w:val="bullet"/>
      <w:lvlText w:val="•"/>
      <w:lvlJc w:val="left"/>
      <w:pPr>
        <w:ind w:left="5226" w:hanging="360"/>
      </w:pPr>
      <w:rPr>
        <w:rFonts w:hint="default"/>
        <w:lang w:val="zh-CN" w:eastAsia="zh-CN" w:bidi="zh-CN"/>
      </w:rPr>
    </w:lvl>
    <w:lvl w:ilvl="5" w:tentative="0">
      <w:start w:val="0"/>
      <w:numFmt w:val="bullet"/>
      <w:lvlText w:val="•"/>
      <w:lvlJc w:val="left"/>
      <w:pPr>
        <w:ind w:left="6153" w:hanging="360"/>
      </w:pPr>
      <w:rPr>
        <w:rFonts w:hint="default"/>
        <w:lang w:val="zh-CN" w:eastAsia="zh-CN" w:bidi="zh-CN"/>
      </w:rPr>
    </w:lvl>
    <w:lvl w:ilvl="6" w:tentative="0">
      <w:start w:val="0"/>
      <w:numFmt w:val="bullet"/>
      <w:lvlText w:val="•"/>
      <w:lvlJc w:val="left"/>
      <w:pPr>
        <w:ind w:left="7079" w:hanging="360"/>
      </w:pPr>
      <w:rPr>
        <w:rFonts w:hint="default"/>
        <w:lang w:val="zh-CN" w:eastAsia="zh-CN" w:bidi="zh-CN"/>
      </w:rPr>
    </w:lvl>
    <w:lvl w:ilvl="7" w:tentative="0">
      <w:start w:val="0"/>
      <w:numFmt w:val="bullet"/>
      <w:lvlText w:val="•"/>
      <w:lvlJc w:val="left"/>
      <w:pPr>
        <w:ind w:left="8006" w:hanging="360"/>
      </w:pPr>
      <w:rPr>
        <w:rFonts w:hint="default"/>
        <w:lang w:val="zh-CN" w:eastAsia="zh-CN" w:bidi="zh-CN"/>
      </w:rPr>
    </w:lvl>
    <w:lvl w:ilvl="8" w:tentative="0">
      <w:start w:val="0"/>
      <w:numFmt w:val="bullet"/>
      <w:lvlText w:val="•"/>
      <w:lvlJc w:val="left"/>
      <w:pPr>
        <w:ind w:left="8932" w:hanging="360"/>
      </w:pPr>
      <w:rPr>
        <w:rFonts w:hint="default"/>
        <w:lang w:val="zh-CN" w:eastAsia="zh-CN" w:bidi="zh-CN"/>
      </w:rPr>
    </w:lvl>
  </w:abstractNum>
  <w:abstractNum w:abstractNumId="1">
    <w:nsid w:val="8CAEB125"/>
    <w:multiLevelType w:val="multilevel"/>
    <w:tmpl w:val="8CAEB125"/>
    <w:lvl w:ilvl="0" w:tentative="0">
      <w:start w:val="1"/>
      <w:numFmt w:val="decimal"/>
      <w:lvlText w:val="%1."/>
      <w:lvlJc w:val="left"/>
      <w:pPr>
        <w:ind w:left="678" w:hanging="245"/>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980" w:hanging="245"/>
      </w:pPr>
      <w:rPr>
        <w:rFonts w:hint="default"/>
        <w:lang w:val="zh-CN" w:eastAsia="zh-CN" w:bidi="zh-CN"/>
      </w:rPr>
    </w:lvl>
    <w:lvl w:ilvl="2" w:tentative="0">
      <w:start w:val="0"/>
      <w:numFmt w:val="bullet"/>
      <w:lvlText w:val="•"/>
      <w:lvlJc w:val="left"/>
      <w:pPr>
        <w:ind w:left="4680" w:hanging="245"/>
      </w:pPr>
      <w:rPr>
        <w:rFonts w:hint="default"/>
        <w:lang w:val="zh-CN" w:eastAsia="zh-CN" w:bidi="zh-CN"/>
      </w:rPr>
    </w:lvl>
    <w:lvl w:ilvl="3" w:tentative="0">
      <w:start w:val="0"/>
      <w:numFmt w:val="bullet"/>
      <w:lvlText w:val="•"/>
      <w:lvlJc w:val="left"/>
      <w:pPr>
        <w:ind w:left="5443" w:hanging="245"/>
      </w:pPr>
      <w:rPr>
        <w:rFonts w:hint="default"/>
        <w:lang w:val="zh-CN" w:eastAsia="zh-CN" w:bidi="zh-CN"/>
      </w:rPr>
    </w:lvl>
    <w:lvl w:ilvl="4" w:tentative="0">
      <w:start w:val="0"/>
      <w:numFmt w:val="bullet"/>
      <w:lvlText w:val="•"/>
      <w:lvlJc w:val="left"/>
      <w:pPr>
        <w:ind w:left="6206" w:hanging="245"/>
      </w:pPr>
      <w:rPr>
        <w:rFonts w:hint="default"/>
        <w:lang w:val="zh-CN" w:eastAsia="zh-CN" w:bidi="zh-CN"/>
      </w:rPr>
    </w:lvl>
    <w:lvl w:ilvl="5" w:tentative="0">
      <w:start w:val="0"/>
      <w:numFmt w:val="bullet"/>
      <w:lvlText w:val="•"/>
      <w:lvlJc w:val="left"/>
      <w:pPr>
        <w:ind w:left="6969" w:hanging="245"/>
      </w:pPr>
      <w:rPr>
        <w:rFonts w:hint="default"/>
        <w:lang w:val="zh-CN" w:eastAsia="zh-CN" w:bidi="zh-CN"/>
      </w:rPr>
    </w:lvl>
    <w:lvl w:ilvl="6" w:tentative="0">
      <w:start w:val="0"/>
      <w:numFmt w:val="bullet"/>
      <w:lvlText w:val="•"/>
      <w:lvlJc w:val="left"/>
      <w:pPr>
        <w:ind w:left="7733" w:hanging="245"/>
      </w:pPr>
      <w:rPr>
        <w:rFonts w:hint="default"/>
        <w:lang w:val="zh-CN" w:eastAsia="zh-CN" w:bidi="zh-CN"/>
      </w:rPr>
    </w:lvl>
    <w:lvl w:ilvl="7" w:tentative="0">
      <w:start w:val="0"/>
      <w:numFmt w:val="bullet"/>
      <w:lvlText w:val="•"/>
      <w:lvlJc w:val="left"/>
      <w:pPr>
        <w:ind w:left="8496" w:hanging="245"/>
      </w:pPr>
      <w:rPr>
        <w:rFonts w:hint="default"/>
        <w:lang w:val="zh-CN" w:eastAsia="zh-CN" w:bidi="zh-CN"/>
      </w:rPr>
    </w:lvl>
    <w:lvl w:ilvl="8" w:tentative="0">
      <w:start w:val="0"/>
      <w:numFmt w:val="bullet"/>
      <w:lvlText w:val="•"/>
      <w:lvlJc w:val="left"/>
      <w:pPr>
        <w:ind w:left="9259" w:hanging="245"/>
      </w:pPr>
      <w:rPr>
        <w:rFonts w:hint="default"/>
        <w:lang w:val="zh-CN" w:eastAsia="zh-CN" w:bidi="zh-CN"/>
      </w:rPr>
    </w:lvl>
  </w:abstractNum>
  <w:abstractNum w:abstractNumId="2">
    <w:nsid w:val="D4946A88"/>
    <w:multiLevelType w:val="singleLevel"/>
    <w:tmpl w:val="D4946A88"/>
    <w:lvl w:ilvl="0" w:tentative="0">
      <w:start w:val="10"/>
      <w:numFmt w:val="chineseCounting"/>
      <w:suff w:val="nothing"/>
      <w:lvlText w:val="第%1条、"/>
      <w:lvlJc w:val="left"/>
      <w:rPr>
        <w:rFonts w:hint="eastAsia"/>
      </w:rPr>
    </w:lvl>
  </w:abstractNum>
  <w:abstractNum w:abstractNumId="3">
    <w:nsid w:val="DDD85877"/>
    <w:multiLevelType w:val="singleLevel"/>
    <w:tmpl w:val="DDD85877"/>
    <w:lvl w:ilvl="0" w:tentative="0">
      <w:start w:val="9"/>
      <w:numFmt w:val="chineseCounting"/>
      <w:suff w:val="nothing"/>
      <w:lvlText w:val="%1、"/>
      <w:lvlJc w:val="left"/>
      <w:rPr>
        <w:rFonts w:hint="eastAsia"/>
      </w:rPr>
    </w:lvl>
  </w:abstractNum>
  <w:abstractNum w:abstractNumId="4">
    <w:nsid w:val="1ACDE60F"/>
    <w:multiLevelType w:val="multilevel"/>
    <w:tmpl w:val="1ACDE60F"/>
    <w:lvl w:ilvl="0" w:tentative="0">
      <w:start w:val="1"/>
      <w:numFmt w:val="decimal"/>
      <w:lvlText w:val="（%1）"/>
      <w:lvlJc w:val="left"/>
      <w:pPr>
        <w:ind w:left="1759"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662" w:hanging="601"/>
      </w:pPr>
      <w:rPr>
        <w:rFonts w:hint="default"/>
        <w:lang w:val="zh-CN" w:eastAsia="zh-CN" w:bidi="zh-CN"/>
      </w:rPr>
    </w:lvl>
    <w:lvl w:ilvl="2" w:tentative="0">
      <w:start w:val="0"/>
      <w:numFmt w:val="bullet"/>
      <w:lvlText w:val="•"/>
      <w:lvlJc w:val="left"/>
      <w:pPr>
        <w:ind w:left="3565" w:hanging="601"/>
      </w:pPr>
      <w:rPr>
        <w:rFonts w:hint="default"/>
        <w:lang w:val="zh-CN" w:eastAsia="zh-CN" w:bidi="zh-CN"/>
      </w:rPr>
    </w:lvl>
    <w:lvl w:ilvl="3" w:tentative="0">
      <w:start w:val="0"/>
      <w:numFmt w:val="bullet"/>
      <w:lvlText w:val="•"/>
      <w:lvlJc w:val="left"/>
      <w:pPr>
        <w:ind w:left="4467" w:hanging="601"/>
      </w:pPr>
      <w:rPr>
        <w:rFonts w:hint="default"/>
        <w:lang w:val="zh-CN" w:eastAsia="zh-CN" w:bidi="zh-CN"/>
      </w:rPr>
    </w:lvl>
    <w:lvl w:ilvl="4" w:tentative="0">
      <w:start w:val="0"/>
      <w:numFmt w:val="bullet"/>
      <w:lvlText w:val="•"/>
      <w:lvlJc w:val="left"/>
      <w:pPr>
        <w:ind w:left="5370" w:hanging="601"/>
      </w:pPr>
      <w:rPr>
        <w:rFonts w:hint="default"/>
        <w:lang w:val="zh-CN" w:eastAsia="zh-CN" w:bidi="zh-CN"/>
      </w:rPr>
    </w:lvl>
    <w:lvl w:ilvl="5" w:tentative="0">
      <w:start w:val="0"/>
      <w:numFmt w:val="bullet"/>
      <w:lvlText w:val="•"/>
      <w:lvlJc w:val="left"/>
      <w:pPr>
        <w:ind w:left="6273" w:hanging="601"/>
      </w:pPr>
      <w:rPr>
        <w:rFonts w:hint="default"/>
        <w:lang w:val="zh-CN" w:eastAsia="zh-CN" w:bidi="zh-CN"/>
      </w:rPr>
    </w:lvl>
    <w:lvl w:ilvl="6" w:tentative="0">
      <w:start w:val="0"/>
      <w:numFmt w:val="bullet"/>
      <w:lvlText w:val="•"/>
      <w:lvlJc w:val="left"/>
      <w:pPr>
        <w:ind w:left="7175" w:hanging="601"/>
      </w:pPr>
      <w:rPr>
        <w:rFonts w:hint="default"/>
        <w:lang w:val="zh-CN" w:eastAsia="zh-CN" w:bidi="zh-CN"/>
      </w:rPr>
    </w:lvl>
    <w:lvl w:ilvl="7" w:tentative="0">
      <w:start w:val="0"/>
      <w:numFmt w:val="bullet"/>
      <w:lvlText w:val="•"/>
      <w:lvlJc w:val="left"/>
      <w:pPr>
        <w:ind w:left="8078" w:hanging="601"/>
      </w:pPr>
      <w:rPr>
        <w:rFonts w:hint="default"/>
        <w:lang w:val="zh-CN" w:eastAsia="zh-CN" w:bidi="zh-CN"/>
      </w:rPr>
    </w:lvl>
    <w:lvl w:ilvl="8" w:tentative="0">
      <w:start w:val="0"/>
      <w:numFmt w:val="bullet"/>
      <w:lvlText w:val="•"/>
      <w:lvlJc w:val="left"/>
      <w:pPr>
        <w:ind w:left="8980" w:hanging="601"/>
      </w:pPr>
      <w:rPr>
        <w:rFonts w:hint="default"/>
        <w:lang w:val="zh-CN" w:eastAsia="zh-CN" w:bidi="zh-CN"/>
      </w:rPr>
    </w:lvl>
  </w:abstractNum>
  <w:abstractNum w:abstractNumId="5">
    <w:nsid w:val="7E333B28"/>
    <w:multiLevelType w:val="multilevel"/>
    <w:tmpl w:val="7E333B28"/>
    <w:lvl w:ilvl="0" w:tentative="0">
      <w:start w:val="1"/>
      <w:numFmt w:val="bullet"/>
      <w:pStyle w:val="3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722B9F"/>
    <w:rsid w:val="005B2D18"/>
    <w:rsid w:val="01A641D0"/>
    <w:rsid w:val="01D34DAF"/>
    <w:rsid w:val="02C859F1"/>
    <w:rsid w:val="02D54BBE"/>
    <w:rsid w:val="02F51E6E"/>
    <w:rsid w:val="031C219B"/>
    <w:rsid w:val="03660413"/>
    <w:rsid w:val="037647BE"/>
    <w:rsid w:val="04C156A3"/>
    <w:rsid w:val="04D33A99"/>
    <w:rsid w:val="05024DDA"/>
    <w:rsid w:val="052D54A2"/>
    <w:rsid w:val="05AF18B5"/>
    <w:rsid w:val="065D6CA9"/>
    <w:rsid w:val="06AE1072"/>
    <w:rsid w:val="06C41957"/>
    <w:rsid w:val="07033AF5"/>
    <w:rsid w:val="07294C6A"/>
    <w:rsid w:val="07832581"/>
    <w:rsid w:val="07D171D5"/>
    <w:rsid w:val="08B602A5"/>
    <w:rsid w:val="09AA1EA5"/>
    <w:rsid w:val="0A490BCF"/>
    <w:rsid w:val="0B0D16E9"/>
    <w:rsid w:val="0B6207EB"/>
    <w:rsid w:val="0BCE228A"/>
    <w:rsid w:val="0BE462B0"/>
    <w:rsid w:val="0D260CAE"/>
    <w:rsid w:val="0D30328A"/>
    <w:rsid w:val="0D413693"/>
    <w:rsid w:val="0D722B9F"/>
    <w:rsid w:val="0E3D36FB"/>
    <w:rsid w:val="0F105F11"/>
    <w:rsid w:val="0F353375"/>
    <w:rsid w:val="0FB66088"/>
    <w:rsid w:val="0FD0062A"/>
    <w:rsid w:val="0FDD7132"/>
    <w:rsid w:val="10296D60"/>
    <w:rsid w:val="106E3A04"/>
    <w:rsid w:val="10901B56"/>
    <w:rsid w:val="10B7577E"/>
    <w:rsid w:val="12370660"/>
    <w:rsid w:val="128214B9"/>
    <w:rsid w:val="12A45171"/>
    <w:rsid w:val="12E10314"/>
    <w:rsid w:val="1469427D"/>
    <w:rsid w:val="14EC0895"/>
    <w:rsid w:val="15C94C72"/>
    <w:rsid w:val="16172039"/>
    <w:rsid w:val="16342B61"/>
    <w:rsid w:val="164F5D70"/>
    <w:rsid w:val="16C1237E"/>
    <w:rsid w:val="16D27FFE"/>
    <w:rsid w:val="16E57034"/>
    <w:rsid w:val="17F46788"/>
    <w:rsid w:val="180A0683"/>
    <w:rsid w:val="18AA7D07"/>
    <w:rsid w:val="18F76906"/>
    <w:rsid w:val="19A231E3"/>
    <w:rsid w:val="19CD436B"/>
    <w:rsid w:val="1AA12531"/>
    <w:rsid w:val="1AAB70F6"/>
    <w:rsid w:val="1B293CB2"/>
    <w:rsid w:val="1B3C5EEB"/>
    <w:rsid w:val="1B440995"/>
    <w:rsid w:val="1B7900EB"/>
    <w:rsid w:val="1B81608F"/>
    <w:rsid w:val="1BDB75AB"/>
    <w:rsid w:val="1C0E372A"/>
    <w:rsid w:val="1C2C7A60"/>
    <w:rsid w:val="1D557B0E"/>
    <w:rsid w:val="1E171CEE"/>
    <w:rsid w:val="1F276B0A"/>
    <w:rsid w:val="20412A14"/>
    <w:rsid w:val="204A1F5A"/>
    <w:rsid w:val="20625DAB"/>
    <w:rsid w:val="206B641A"/>
    <w:rsid w:val="20B21509"/>
    <w:rsid w:val="20B71E96"/>
    <w:rsid w:val="20D864B4"/>
    <w:rsid w:val="212C654D"/>
    <w:rsid w:val="21C26E21"/>
    <w:rsid w:val="2203441A"/>
    <w:rsid w:val="228D516B"/>
    <w:rsid w:val="23684ACA"/>
    <w:rsid w:val="237F76D1"/>
    <w:rsid w:val="23983876"/>
    <w:rsid w:val="23B3162D"/>
    <w:rsid w:val="24013373"/>
    <w:rsid w:val="240A19EC"/>
    <w:rsid w:val="24332C5B"/>
    <w:rsid w:val="2443369A"/>
    <w:rsid w:val="247A4E23"/>
    <w:rsid w:val="24D72DED"/>
    <w:rsid w:val="262D1236"/>
    <w:rsid w:val="2737587C"/>
    <w:rsid w:val="27A07FED"/>
    <w:rsid w:val="27F66A6E"/>
    <w:rsid w:val="286E0E16"/>
    <w:rsid w:val="291749B1"/>
    <w:rsid w:val="29BB4774"/>
    <w:rsid w:val="29DE4A09"/>
    <w:rsid w:val="2A1A6222"/>
    <w:rsid w:val="2AA416AC"/>
    <w:rsid w:val="2AA85580"/>
    <w:rsid w:val="2ADF56CA"/>
    <w:rsid w:val="2AFE4DF2"/>
    <w:rsid w:val="2B322628"/>
    <w:rsid w:val="2E432C8D"/>
    <w:rsid w:val="2E7C0ADF"/>
    <w:rsid w:val="2F915AF5"/>
    <w:rsid w:val="30C343DF"/>
    <w:rsid w:val="30DB3D98"/>
    <w:rsid w:val="310778EB"/>
    <w:rsid w:val="317402E2"/>
    <w:rsid w:val="321278B4"/>
    <w:rsid w:val="3261280F"/>
    <w:rsid w:val="329D5129"/>
    <w:rsid w:val="33200116"/>
    <w:rsid w:val="33AF3455"/>
    <w:rsid w:val="33CF656B"/>
    <w:rsid w:val="33DE0756"/>
    <w:rsid w:val="33DF1E85"/>
    <w:rsid w:val="3431484C"/>
    <w:rsid w:val="34A366A9"/>
    <w:rsid w:val="34DB4D3A"/>
    <w:rsid w:val="351D643D"/>
    <w:rsid w:val="358A1FD1"/>
    <w:rsid w:val="36B758CA"/>
    <w:rsid w:val="373B07C5"/>
    <w:rsid w:val="37FB3F4A"/>
    <w:rsid w:val="387C458C"/>
    <w:rsid w:val="38BA029F"/>
    <w:rsid w:val="38EA35B2"/>
    <w:rsid w:val="3A6C05D3"/>
    <w:rsid w:val="3ABA2204"/>
    <w:rsid w:val="3B661F2B"/>
    <w:rsid w:val="3B8906A4"/>
    <w:rsid w:val="3B9629F6"/>
    <w:rsid w:val="3B9901C7"/>
    <w:rsid w:val="3CC25D2D"/>
    <w:rsid w:val="3CE266AB"/>
    <w:rsid w:val="3CF12677"/>
    <w:rsid w:val="3D4F1DCF"/>
    <w:rsid w:val="3DEC5593"/>
    <w:rsid w:val="3E7013C9"/>
    <w:rsid w:val="3ECA42A5"/>
    <w:rsid w:val="3FF67D83"/>
    <w:rsid w:val="40266B78"/>
    <w:rsid w:val="409215D7"/>
    <w:rsid w:val="40D87544"/>
    <w:rsid w:val="40EC0E2B"/>
    <w:rsid w:val="410636DF"/>
    <w:rsid w:val="420F7B33"/>
    <w:rsid w:val="425A634E"/>
    <w:rsid w:val="42605233"/>
    <w:rsid w:val="43316358"/>
    <w:rsid w:val="437B38B5"/>
    <w:rsid w:val="43E25048"/>
    <w:rsid w:val="44F75541"/>
    <w:rsid w:val="461E02FB"/>
    <w:rsid w:val="46640791"/>
    <w:rsid w:val="46CE55C3"/>
    <w:rsid w:val="47BF39D1"/>
    <w:rsid w:val="492A66C2"/>
    <w:rsid w:val="4B017953"/>
    <w:rsid w:val="4B7F667A"/>
    <w:rsid w:val="4B870B30"/>
    <w:rsid w:val="4C0A37FB"/>
    <w:rsid w:val="4CBA1F09"/>
    <w:rsid w:val="4CDC4388"/>
    <w:rsid w:val="4CE80E9B"/>
    <w:rsid w:val="4D812072"/>
    <w:rsid w:val="4DE54EF3"/>
    <w:rsid w:val="4E1B3E09"/>
    <w:rsid w:val="4EC62AC9"/>
    <w:rsid w:val="4F83220F"/>
    <w:rsid w:val="4F9D2711"/>
    <w:rsid w:val="4FC50091"/>
    <w:rsid w:val="50CA2E1D"/>
    <w:rsid w:val="51986815"/>
    <w:rsid w:val="52242F2D"/>
    <w:rsid w:val="52244813"/>
    <w:rsid w:val="54991F3C"/>
    <w:rsid w:val="54BC322C"/>
    <w:rsid w:val="54BD56B4"/>
    <w:rsid w:val="5524024D"/>
    <w:rsid w:val="55C6152F"/>
    <w:rsid w:val="561306A3"/>
    <w:rsid w:val="5617749A"/>
    <w:rsid w:val="56761C3C"/>
    <w:rsid w:val="56A4731B"/>
    <w:rsid w:val="571D7746"/>
    <w:rsid w:val="57477C09"/>
    <w:rsid w:val="57B82AB3"/>
    <w:rsid w:val="586064CE"/>
    <w:rsid w:val="58A45146"/>
    <w:rsid w:val="595249D1"/>
    <w:rsid w:val="59720191"/>
    <w:rsid w:val="5A0356E6"/>
    <w:rsid w:val="5A0F1D95"/>
    <w:rsid w:val="5A2107E0"/>
    <w:rsid w:val="5A2A6A29"/>
    <w:rsid w:val="5AD563E4"/>
    <w:rsid w:val="5BF6333D"/>
    <w:rsid w:val="5C2234CC"/>
    <w:rsid w:val="5C556A6C"/>
    <w:rsid w:val="5C6A74BC"/>
    <w:rsid w:val="5C895F12"/>
    <w:rsid w:val="5C8D30FE"/>
    <w:rsid w:val="5DBA57B6"/>
    <w:rsid w:val="5E1D0ED9"/>
    <w:rsid w:val="5ECD4E4C"/>
    <w:rsid w:val="5FE656F6"/>
    <w:rsid w:val="60A97045"/>
    <w:rsid w:val="60B65262"/>
    <w:rsid w:val="611F0FB1"/>
    <w:rsid w:val="61D16D07"/>
    <w:rsid w:val="61FC658F"/>
    <w:rsid w:val="62F27A68"/>
    <w:rsid w:val="63D03541"/>
    <w:rsid w:val="641F1F24"/>
    <w:rsid w:val="642218CB"/>
    <w:rsid w:val="64390033"/>
    <w:rsid w:val="644E1569"/>
    <w:rsid w:val="64B421DA"/>
    <w:rsid w:val="654B1DF5"/>
    <w:rsid w:val="655C74FB"/>
    <w:rsid w:val="65B633F8"/>
    <w:rsid w:val="65E330FF"/>
    <w:rsid w:val="660640A1"/>
    <w:rsid w:val="66175069"/>
    <w:rsid w:val="6672630C"/>
    <w:rsid w:val="674A28A3"/>
    <w:rsid w:val="67703F3D"/>
    <w:rsid w:val="68D64BC1"/>
    <w:rsid w:val="694737C2"/>
    <w:rsid w:val="69721CA2"/>
    <w:rsid w:val="6A0115D7"/>
    <w:rsid w:val="6B7D52B7"/>
    <w:rsid w:val="6BB55CCA"/>
    <w:rsid w:val="6BDF7A52"/>
    <w:rsid w:val="6CBC2F14"/>
    <w:rsid w:val="6CF43C6B"/>
    <w:rsid w:val="6D32361F"/>
    <w:rsid w:val="6DD67BF8"/>
    <w:rsid w:val="6DF40617"/>
    <w:rsid w:val="6E2A3004"/>
    <w:rsid w:val="6E9E234F"/>
    <w:rsid w:val="6FBE6EFA"/>
    <w:rsid w:val="6FF757B1"/>
    <w:rsid w:val="70042DF6"/>
    <w:rsid w:val="70F91EEA"/>
    <w:rsid w:val="71CF7331"/>
    <w:rsid w:val="7263008B"/>
    <w:rsid w:val="728045E3"/>
    <w:rsid w:val="72B426CE"/>
    <w:rsid w:val="7334147F"/>
    <w:rsid w:val="73AF11A9"/>
    <w:rsid w:val="73DA4E62"/>
    <w:rsid w:val="74525D34"/>
    <w:rsid w:val="748875E0"/>
    <w:rsid w:val="752E52B2"/>
    <w:rsid w:val="752E6E5E"/>
    <w:rsid w:val="75821E12"/>
    <w:rsid w:val="75CE7976"/>
    <w:rsid w:val="75F32C48"/>
    <w:rsid w:val="76666F07"/>
    <w:rsid w:val="76983E4C"/>
    <w:rsid w:val="76FC6368"/>
    <w:rsid w:val="770937CE"/>
    <w:rsid w:val="778417B9"/>
    <w:rsid w:val="779B1E77"/>
    <w:rsid w:val="77B77146"/>
    <w:rsid w:val="784E14AF"/>
    <w:rsid w:val="786617BC"/>
    <w:rsid w:val="787D594C"/>
    <w:rsid w:val="7A323CFA"/>
    <w:rsid w:val="7A783AA1"/>
    <w:rsid w:val="7B7052D7"/>
    <w:rsid w:val="7BA02538"/>
    <w:rsid w:val="7D5B0D49"/>
    <w:rsid w:val="7DB10760"/>
    <w:rsid w:val="7E0C05DA"/>
    <w:rsid w:val="7E1D4F8D"/>
    <w:rsid w:val="7E2A48A3"/>
    <w:rsid w:val="7E536EF9"/>
    <w:rsid w:val="7F5849C8"/>
    <w:rsid w:val="7F636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line="800" w:lineRule="exact"/>
      <w:jc w:val="center"/>
      <w:outlineLvl w:val="0"/>
    </w:pPr>
    <w:rPr>
      <w:rFonts w:eastAsia="仿宋"/>
      <w:b/>
      <w:bCs/>
      <w:kern w:val="44"/>
      <w:sz w:val="32"/>
      <w:szCs w:val="44"/>
    </w:rPr>
  </w:style>
  <w:style w:type="paragraph" w:styleId="4">
    <w:name w:val="heading 2"/>
    <w:basedOn w:val="1"/>
    <w:next w:val="5"/>
    <w:qFormat/>
    <w:uiPriority w:val="9"/>
    <w:pPr>
      <w:keepNext/>
      <w:keepLines/>
      <w:spacing w:line="416" w:lineRule="auto"/>
      <w:jc w:val="center"/>
      <w:outlineLvl w:val="1"/>
    </w:pPr>
    <w:rPr>
      <w:rFonts w:ascii="Cambria" w:hAnsi="Cambria" w:eastAsia="仿宋" w:cs="Times New Roman"/>
      <w:b/>
      <w:bCs/>
      <w:sz w:val="32"/>
      <w:szCs w:val="32"/>
    </w:rPr>
  </w:style>
  <w:style w:type="paragraph" w:styleId="6">
    <w:name w:val="heading 3"/>
    <w:basedOn w:val="1"/>
    <w:next w:val="5"/>
    <w:unhideWhenUsed/>
    <w:qFormat/>
    <w:uiPriority w:val="0"/>
    <w:pPr>
      <w:keepNext/>
      <w:keepLines/>
      <w:spacing w:before="260" w:after="260" w:line="416" w:lineRule="auto"/>
      <w:outlineLvl w:val="2"/>
    </w:pPr>
    <w:rPr>
      <w:rFonts w:eastAsia="黑体"/>
      <w:b/>
      <w:bCs/>
      <w:sz w:val="32"/>
      <w:szCs w:val="32"/>
    </w:rPr>
  </w:style>
  <w:style w:type="paragraph" w:styleId="7">
    <w:name w:val="heading 6"/>
    <w:basedOn w:val="1"/>
    <w:next w:val="1"/>
    <w:qFormat/>
    <w:uiPriority w:val="1"/>
    <w:pPr>
      <w:ind w:left="1158"/>
      <w:outlineLvl w:val="6"/>
    </w:pPr>
    <w:rPr>
      <w:rFonts w:ascii="宋体" w:hAnsi="宋体" w:eastAsia="宋体" w:cs="宋体"/>
      <w:b/>
      <w:bCs/>
      <w:sz w:val="24"/>
      <w:szCs w:val="24"/>
      <w:lang w:val="zh-CN" w:eastAsia="zh-CN" w:bidi="zh-CN"/>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autoSpaceDE w:val="0"/>
      <w:autoSpaceDN w:val="0"/>
      <w:adjustRightInd w:val="0"/>
      <w:spacing w:before="154"/>
      <w:ind w:left="118"/>
      <w:jc w:val="left"/>
    </w:pPr>
    <w:rPr>
      <w:rFonts w:ascii="仿宋" w:hAnsi="Times New Roman" w:eastAsia="仿宋" w:cs="仿宋"/>
      <w:kern w:val="0"/>
      <w:sz w:val="24"/>
      <w:szCs w:val="24"/>
    </w:rPr>
  </w:style>
  <w:style w:type="paragraph" w:styleId="5">
    <w:name w:val="Normal Indent"/>
    <w:basedOn w:val="1"/>
    <w:next w:val="1"/>
    <w:qFormat/>
    <w:uiPriority w:val="0"/>
    <w:pPr>
      <w:ind w:firstLine="420"/>
    </w:pPr>
    <w:rPr>
      <w:szCs w:val="20"/>
    </w:rPr>
  </w:style>
  <w:style w:type="paragraph" w:styleId="8">
    <w:name w:val="table of authorities"/>
    <w:basedOn w:val="1"/>
    <w:next w:val="1"/>
    <w:qFormat/>
    <w:uiPriority w:val="0"/>
    <w:pPr>
      <w:ind w:left="420" w:leftChars="200"/>
    </w:pPr>
  </w:style>
  <w:style w:type="paragraph" w:styleId="9">
    <w:name w:val="index 5"/>
    <w:basedOn w:val="1"/>
    <w:next w:val="1"/>
    <w:qFormat/>
    <w:uiPriority w:val="0"/>
    <w:pPr>
      <w:ind w:left="1680"/>
    </w:pPr>
  </w:style>
  <w:style w:type="paragraph" w:styleId="10">
    <w:name w:val="toa heading"/>
    <w:basedOn w:val="1"/>
    <w:next w:val="1"/>
    <w:qFormat/>
    <w:uiPriority w:val="99"/>
    <w:pPr>
      <w:spacing w:before="120"/>
    </w:pPr>
    <w:rPr>
      <w:rFonts w:ascii="Arial" w:hAnsi="Arial" w:eastAsia="仿宋"/>
      <w:sz w:val="24"/>
    </w:rPr>
  </w:style>
  <w:style w:type="paragraph" w:styleId="11">
    <w:name w:val="toc 3"/>
    <w:basedOn w:val="1"/>
    <w:next w:val="1"/>
    <w:uiPriority w:val="0"/>
    <w:pPr>
      <w:ind w:left="840" w:leftChars="400"/>
    </w:pPr>
  </w:style>
  <w:style w:type="paragraph" w:styleId="12">
    <w:name w:val="Plain Text"/>
    <w:basedOn w:val="1"/>
    <w:qFormat/>
    <w:uiPriority w:val="0"/>
    <w:rPr>
      <w:rFonts w:ascii="宋体" w:hAnsi="Times New Roman"/>
      <w:szCs w:val="24"/>
    </w:rPr>
  </w:style>
  <w:style w:type="paragraph" w:styleId="13">
    <w:name w:val="footer"/>
    <w:basedOn w:val="1"/>
    <w:next w:val="9"/>
    <w:unhideWhenUsed/>
    <w:qFormat/>
    <w:uiPriority w:val="99"/>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unhideWhenUsed/>
    <w:qFormat/>
    <w:uiPriority w:val="39"/>
    <w:pPr>
      <w:tabs>
        <w:tab w:val="right" w:leader="dot" w:pos="9400"/>
      </w:tabs>
      <w:spacing w:line="520" w:lineRule="exact"/>
      <w:jc w:val="left"/>
    </w:pPr>
  </w:style>
  <w:style w:type="paragraph" w:styleId="16">
    <w:name w:val="toc 4"/>
    <w:basedOn w:val="1"/>
    <w:next w:val="1"/>
    <w:unhideWhenUsed/>
    <w:qFormat/>
    <w:uiPriority w:val="39"/>
    <w:pPr>
      <w:ind w:left="1260" w:leftChars="600"/>
    </w:pPr>
  </w:style>
  <w:style w:type="paragraph" w:styleId="17">
    <w:name w:val="List"/>
    <w:basedOn w:val="1"/>
    <w:qFormat/>
    <w:uiPriority w:val="0"/>
    <w:pPr>
      <w:widowControl/>
      <w:adjustRightInd w:val="0"/>
      <w:snapToGrid w:val="0"/>
      <w:spacing w:line="312" w:lineRule="auto"/>
      <w:jc w:val="center"/>
    </w:pPr>
    <w:rPr>
      <w:rFonts w:ascii="黑体" w:hAnsi="宋体" w:eastAsia="黑体" w:cs="宋体"/>
      <w:snapToGrid w:val="0"/>
      <w:kern w:val="0"/>
      <w:sz w:val="24"/>
    </w:rPr>
  </w:style>
  <w:style w:type="paragraph" w:styleId="18">
    <w:name w:val="Body Text Indent 3"/>
    <w:basedOn w:val="1"/>
    <w:qFormat/>
    <w:uiPriority w:val="0"/>
    <w:pPr>
      <w:spacing w:line="410" w:lineRule="exact"/>
      <w:ind w:left="619" w:leftChars="295" w:firstLine="390" w:firstLineChars="179"/>
    </w:pPr>
    <w:rPr>
      <w:rFonts w:ascii="宋体" w:hAnsi="宋体"/>
      <w:spacing w:val="4"/>
    </w:rPr>
  </w:style>
  <w:style w:type="paragraph" w:styleId="19">
    <w:name w:val="toc 2"/>
    <w:basedOn w:val="1"/>
    <w:next w:val="1"/>
    <w:unhideWhenUsed/>
    <w:qFormat/>
    <w:uiPriority w:val="39"/>
    <w:pPr>
      <w:ind w:left="420" w:leftChars="200"/>
    </w:p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23">
    <w:name w:val="Strong"/>
    <w:basedOn w:val="22"/>
    <w:qFormat/>
    <w:uiPriority w:val="0"/>
    <w:rPr>
      <w:b/>
    </w:rPr>
  </w:style>
  <w:style w:type="character" w:styleId="24">
    <w:name w:val="Hyperlink"/>
    <w:unhideWhenUsed/>
    <w:qFormat/>
    <w:uiPriority w:val="99"/>
    <w:rPr>
      <w:color w:val="0000FF"/>
      <w:u w:val="single"/>
    </w:rPr>
  </w:style>
  <w:style w:type="character" w:styleId="25">
    <w:name w:val="HTML Sample"/>
    <w:basedOn w:val="22"/>
    <w:qFormat/>
    <w:uiPriority w:val="0"/>
    <w:rPr>
      <w:rFonts w:ascii="Courier New" w:hAnsi="Courier New"/>
    </w:rPr>
  </w:style>
  <w:style w:type="paragraph" w:customStyle="1" w:styleId="26">
    <w:name w:val="正文缩进1"/>
    <w:basedOn w:val="1"/>
    <w:qFormat/>
    <w:uiPriority w:val="0"/>
    <w:pPr>
      <w:ind w:firstLine="420" w:firstLineChars="200"/>
    </w:pPr>
  </w:style>
  <w:style w:type="character" w:customStyle="1" w:styleId="27">
    <w:name w:val="NormalCharacter"/>
    <w:semiHidden/>
    <w:qFormat/>
    <w:uiPriority w:val="0"/>
  </w:style>
  <w:style w:type="paragraph" w:customStyle="1" w:styleId="28">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paragraph" w:customStyle="1" w:styleId="29">
    <w:name w:val="Heading 6"/>
    <w:basedOn w:val="1"/>
    <w:qFormat/>
    <w:uiPriority w:val="1"/>
    <w:pPr>
      <w:autoSpaceDE w:val="0"/>
      <w:autoSpaceDN w:val="0"/>
      <w:adjustRightInd w:val="0"/>
      <w:ind w:left="1448"/>
      <w:jc w:val="left"/>
      <w:outlineLvl w:val="5"/>
    </w:pPr>
    <w:rPr>
      <w:rFonts w:ascii="仿宋" w:hAnsi="Times New Roman" w:eastAsia="仿宋" w:cs="仿宋"/>
      <w:b/>
      <w:bCs/>
      <w:kern w:val="0"/>
      <w:sz w:val="32"/>
      <w:szCs w:val="32"/>
    </w:rPr>
  </w:style>
  <w:style w:type="paragraph" w:customStyle="1" w:styleId="30">
    <w:name w:val="Heading 8"/>
    <w:basedOn w:val="1"/>
    <w:qFormat/>
    <w:uiPriority w:val="1"/>
    <w:pPr>
      <w:autoSpaceDE w:val="0"/>
      <w:autoSpaceDN w:val="0"/>
      <w:adjustRightInd w:val="0"/>
      <w:spacing w:before="14"/>
      <w:ind w:left="118"/>
      <w:jc w:val="left"/>
      <w:outlineLvl w:val="7"/>
    </w:pPr>
    <w:rPr>
      <w:rFonts w:ascii="仿宋" w:hAnsi="Times New Roman" w:eastAsia="仿宋" w:cs="仿宋"/>
      <w:b/>
      <w:bCs/>
      <w:kern w:val="0"/>
      <w:sz w:val="28"/>
      <w:szCs w:val="28"/>
    </w:rPr>
  </w:style>
  <w:style w:type="paragraph" w:customStyle="1" w:styleId="31">
    <w:name w:val="Heading 1"/>
    <w:basedOn w:val="1"/>
    <w:qFormat/>
    <w:uiPriority w:val="1"/>
    <w:pPr>
      <w:autoSpaceDE w:val="0"/>
      <w:autoSpaceDN w:val="0"/>
      <w:adjustRightInd w:val="0"/>
      <w:ind w:left="82"/>
      <w:jc w:val="left"/>
      <w:outlineLvl w:val="0"/>
    </w:pPr>
    <w:rPr>
      <w:rFonts w:ascii="宋体" w:hAnsi="Times New Roman" w:cs="宋体"/>
      <w:b/>
      <w:bCs/>
      <w:kern w:val="0"/>
      <w:sz w:val="32"/>
      <w:szCs w:val="32"/>
    </w:rPr>
  </w:style>
  <w:style w:type="paragraph" w:customStyle="1" w:styleId="32">
    <w:name w:val="Heading 4"/>
    <w:basedOn w:val="1"/>
    <w:qFormat/>
    <w:uiPriority w:val="1"/>
    <w:pPr>
      <w:autoSpaceDE w:val="0"/>
      <w:autoSpaceDN w:val="0"/>
      <w:adjustRightInd w:val="0"/>
      <w:ind w:left="120"/>
      <w:jc w:val="left"/>
      <w:outlineLvl w:val="3"/>
    </w:pPr>
    <w:rPr>
      <w:rFonts w:ascii="宋体" w:hAnsi="Times New Roman" w:cs="宋体"/>
      <w:b/>
      <w:bCs/>
      <w:kern w:val="0"/>
      <w:szCs w:val="21"/>
    </w:rPr>
  </w:style>
  <w:style w:type="paragraph" w:customStyle="1" w:styleId="33">
    <w:name w:val="Heading 2"/>
    <w:basedOn w:val="1"/>
    <w:qFormat/>
    <w:uiPriority w:val="1"/>
    <w:pPr>
      <w:autoSpaceDE w:val="0"/>
      <w:autoSpaceDN w:val="0"/>
      <w:adjustRightInd w:val="0"/>
      <w:jc w:val="left"/>
      <w:outlineLvl w:val="1"/>
    </w:pPr>
    <w:rPr>
      <w:rFonts w:ascii="仿宋" w:hAnsi="Times New Roman" w:eastAsia="仿宋" w:cs="仿宋"/>
      <w:b/>
      <w:bCs/>
      <w:kern w:val="0"/>
      <w:sz w:val="72"/>
      <w:szCs w:val="72"/>
    </w:rPr>
  </w:style>
  <w:style w:type="paragraph" w:customStyle="1" w:styleId="34">
    <w:name w:val="列表内容"/>
    <w:basedOn w:val="1"/>
    <w:qFormat/>
    <w:uiPriority w:val="0"/>
    <w:pPr>
      <w:numPr>
        <w:ilvl w:val="0"/>
        <w:numId w:val="1"/>
      </w:numPr>
      <w:spacing w:before="46" w:beforeLines="15" w:after="46" w:afterLines="15" w:line="260" w:lineRule="exact"/>
    </w:pPr>
    <w:rPr>
      <w:rFonts w:ascii="Verdana" w:hAnsi="Verdana"/>
      <w:szCs w:val="18"/>
    </w:rPr>
  </w:style>
  <w:style w:type="paragraph" w:customStyle="1" w:styleId="35">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6">
    <w:name w:val="List Paragraph"/>
    <w:basedOn w:val="1"/>
    <w:qFormat/>
    <w:uiPriority w:val="1"/>
    <w:pPr>
      <w:spacing w:before="160"/>
      <w:ind w:left="1180" w:hanging="718"/>
    </w:pPr>
    <w:rPr>
      <w:rFonts w:ascii="宋体" w:hAnsi="宋体" w:eastAsia="宋体" w:cs="宋体"/>
      <w:lang w:val="zh-CN" w:eastAsia="zh-CN" w:bidi="zh-CN"/>
    </w:rPr>
  </w:style>
  <w:style w:type="paragraph" w:customStyle="1" w:styleId="37">
    <w:name w:val="Default"/>
    <w:qFormat/>
    <w:uiPriority w:val="0"/>
    <w:pPr>
      <w:widowControl w:val="0"/>
      <w:autoSpaceDE w:val="0"/>
      <w:autoSpaceDN w:val="0"/>
      <w:adjustRightInd w:val="0"/>
    </w:pPr>
    <w:rPr>
      <w:rFonts w:ascii="Calibri" w:hAnsi="Calibri" w:eastAsia="宋体" w:cs="Times New Roman"/>
      <w:color w:val="000000"/>
      <w:kern w:val="0"/>
      <w:sz w:val="24"/>
      <w:szCs w:val="22"/>
      <w:lang w:val="en-US" w:eastAsia="zh-CN" w:bidi="ar-SA"/>
    </w:rPr>
  </w:style>
  <w:style w:type="character" w:customStyle="1" w:styleId="38">
    <w:name w:val="font41"/>
    <w:basedOn w:val="22"/>
    <w:qFormat/>
    <w:uiPriority w:val="0"/>
    <w:rPr>
      <w:rFonts w:hint="eastAsia" w:ascii="黑体" w:hAnsi="宋体" w:eastAsia="黑体" w:cs="黑体"/>
      <w:b/>
      <w:bCs/>
      <w:color w:val="000000"/>
      <w:sz w:val="18"/>
      <w:szCs w:val="18"/>
      <w:u w:val="none"/>
    </w:rPr>
  </w:style>
  <w:style w:type="character" w:customStyle="1" w:styleId="39">
    <w:name w:val="font01"/>
    <w:basedOn w:val="22"/>
    <w:qFormat/>
    <w:uiPriority w:val="0"/>
    <w:rPr>
      <w:rFonts w:hint="eastAsia" w:ascii="黑体" w:hAnsi="宋体" w:eastAsia="黑体" w:cs="黑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3"/>
    <customShpInfo spid="_x0000_s1026" textRotate="1"/>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36264</Words>
  <Characters>37755</Characters>
  <Lines>0</Lines>
  <Paragraphs>0</Paragraphs>
  <TotalTime>32</TotalTime>
  <ScaleCrop>false</ScaleCrop>
  <LinksUpToDate>false</LinksUpToDate>
  <CharactersWithSpaces>39530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2020-07-11T04:02:00Z</dcterms:created>
  <dc:creator>先生</dc:creator>
  <cp:lastModifiedBy>伟伟</cp:lastModifiedBy>
  <cp:lastPrinted>2021-11-09T02:53:00Z</cp:lastPrinted>
  <dcterms:modified xsi:type="dcterms:W3CDTF">2022-04-28T11:01:09Z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D838E2C9EBCD4D9E83B2A57F876B0076</vt:lpwstr>
  </property>
</Properties>
</file>