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Arial"/>
          <w:b/>
          <w:color w:val="auto"/>
          <w:sz w:val="56"/>
          <w:szCs w:val="52"/>
          <w:highlight w:val="none"/>
        </w:rPr>
      </w:pPr>
      <w:r>
        <w:rPr>
          <w:rFonts w:hint="eastAsia" w:ascii="华文中宋" w:hAnsi="华文中宋" w:eastAsia="华文中宋" w:cs="Arial"/>
          <w:b/>
          <w:color w:val="auto"/>
          <w:sz w:val="56"/>
          <w:szCs w:val="52"/>
          <w:highlight w:val="none"/>
        </w:rPr>
        <w:t xml:space="preserve"> </w:t>
      </w:r>
    </w:p>
    <w:p>
      <w:pPr>
        <w:pStyle w:val="2"/>
        <w:jc w:val="center"/>
        <w:rPr>
          <w:rFonts w:hint="default"/>
          <w:color w:val="auto"/>
          <w:highlight w:val="none"/>
          <w:lang w:val="en-US"/>
        </w:rPr>
      </w:pPr>
      <w:r>
        <w:rPr>
          <w:rFonts w:hint="eastAsia" w:cs="宋体"/>
          <w:b/>
          <w:bCs/>
          <w:color w:val="auto"/>
          <w:sz w:val="44"/>
          <w:szCs w:val="44"/>
          <w:highlight w:val="none"/>
          <w:lang w:eastAsia="zh-CN"/>
        </w:rPr>
        <w:t>乌鲁木齐市某单位2022年度车辆定点维修采购项目（二次）</w:t>
      </w:r>
    </w:p>
    <w:p>
      <w:pPr>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招 标 文 件</w:t>
      </w:r>
    </w:p>
    <w:p>
      <w:pPr>
        <w:rPr>
          <w:rFonts w:hint="eastAsia" w:ascii="宋体" w:hAnsi="宋体" w:cs="宋体"/>
          <w:color w:val="auto"/>
          <w:sz w:val="36"/>
          <w:szCs w:val="36"/>
          <w:highlight w:val="none"/>
        </w:rPr>
      </w:pPr>
    </w:p>
    <w:p>
      <w:pPr>
        <w:pStyle w:val="2"/>
        <w:jc w:val="center"/>
        <w:rPr>
          <w:rFonts w:hint="eastAsia" w:eastAsia="宋体" w:cs="宋体"/>
          <w:b/>
          <w:bCs/>
          <w:color w:val="auto"/>
          <w:sz w:val="28"/>
          <w:szCs w:val="28"/>
          <w:highlight w:val="none"/>
          <w:lang w:eastAsia="zh-CN"/>
        </w:rPr>
      </w:pPr>
      <w:r>
        <w:rPr>
          <w:rFonts w:hint="eastAsia" w:cs="宋体"/>
          <w:b/>
          <w:bCs/>
          <w:color w:val="auto"/>
          <w:sz w:val="32"/>
          <w:szCs w:val="32"/>
          <w:highlight w:val="none"/>
        </w:rPr>
        <w:t>项目编号：</w:t>
      </w:r>
      <w:r>
        <w:rPr>
          <w:rFonts w:hint="eastAsia" w:cs="宋体"/>
          <w:b/>
          <w:bCs/>
          <w:color w:val="auto"/>
          <w:sz w:val="32"/>
          <w:szCs w:val="32"/>
          <w:highlight w:val="none"/>
          <w:lang w:eastAsia="zh-CN"/>
        </w:rPr>
        <w:t>0722-2022FE3316XJF</w:t>
      </w:r>
    </w:p>
    <w:p>
      <w:pPr>
        <w:pStyle w:val="2"/>
        <w:rPr>
          <w:rFonts w:hint="eastAsia" w:cs="宋体"/>
          <w:b/>
          <w:bCs/>
          <w:color w:val="auto"/>
          <w:sz w:val="28"/>
          <w:szCs w:val="28"/>
          <w:highlight w:val="none"/>
        </w:rPr>
      </w:pPr>
      <w:r>
        <w:rPr>
          <w:rFonts w:hint="eastAsia" w:cs="宋体"/>
          <w:b/>
          <w:bCs/>
          <w:color w:val="auto"/>
          <w:sz w:val="28"/>
          <w:szCs w:val="28"/>
          <w:highlight w:val="none"/>
        </w:rPr>
        <w:t>招标人（盖章）：乌鲁木齐市公安局天山区分局</w:t>
      </w:r>
    </w:p>
    <w:p>
      <w:pPr>
        <w:pStyle w:val="2"/>
        <w:rPr>
          <w:rFonts w:hint="eastAsia" w:cs="宋体"/>
          <w:b/>
          <w:bCs/>
          <w:color w:val="auto"/>
          <w:sz w:val="28"/>
          <w:szCs w:val="28"/>
          <w:highlight w:val="none"/>
        </w:rPr>
      </w:pPr>
      <w:r>
        <w:rPr>
          <w:rFonts w:hint="eastAsia" w:cs="宋体"/>
          <w:b/>
          <w:bCs/>
          <w:color w:val="auto"/>
          <w:sz w:val="28"/>
          <w:szCs w:val="28"/>
          <w:highlight w:val="none"/>
        </w:rPr>
        <w:t>联系人：汪斌</w:t>
      </w:r>
    </w:p>
    <w:p>
      <w:pPr>
        <w:pStyle w:val="2"/>
        <w:rPr>
          <w:rFonts w:hint="eastAsia" w:cs="宋体"/>
          <w:b/>
          <w:bCs/>
          <w:color w:val="auto"/>
          <w:sz w:val="28"/>
          <w:szCs w:val="28"/>
          <w:highlight w:val="none"/>
        </w:rPr>
      </w:pPr>
      <w:r>
        <w:rPr>
          <w:rFonts w:hint="eastAsia" w:cs="宋体"/>
          <w:b/>
          <w:bCs/>
          <w:color w:val="auto"/>
          <w:sz w:val="28"/>
          <w:szCs w:val="28"/>
          <w:highlight w:val="none"/>
        </w:rPr>
        <w:t>联系电话：0991-2505071</w:t>
      </w:r>
    </w:p>
    <w:p>
      <w:pPr>
        <w:pStyle w:val="2"/>
        <w:rPr>
          <w:rFonts w:hint="eastAsia" w:cs="宋体"/>
          <w:b/>
          <w:bCs/>
          <w:color w:val="auto"/>
          <w:sz w:val="28"/>
          <w:szCs w:val="28"/>
          <w:highlight w:val="none"/>
        </w:rPr>
      </w:pPr>
    </w:p>
    <w:p>
      <w:pPr>
        <w:pStyle w:val="2"/>
        <w:rPr>
          <w:rFonts w:hint="eastAsia" w:cs="宋体"/>
          <w:b/>
          <w:bCs/>
          <w:color w:val="auto"/>
          <w:sz w:val="28"/>
          <w:szCs w:val="28"/>
          <w:highlight w:val="none"/>
        </w:rPr>
      </w:pPr>
      <w:r>
        <w:rPr>
          <w:rFonts w:hint="eastAsia" w:cs="宋体"/>
          <w:b/>
          <w:bCs/>
          <w:color w:val="auto"/>
          <w:sz w:val="28"/>
          <w:szCs w:val="28"/>
          <w:highlight w:val="none"/>
        </w:rPr>
        <w:t>招标代理机构：中国远东国际招标有限公司新疆分公司（盖章）</w:t>
      </w:r>
    </w:p>
    <w:p>
      <w:pPr>
        <w:pStyle w:val="2"/>
        <w:rPr>
          <w:rFonts w:hint="default" w:eastAsia="宋体" w:cs="宋体"/>
          <w:b/>
          <w:bCs/>
          <w:color w:val="auto"/>
          <w:sz w:val="28"/>
          <w:szCs w:val="28"/>
          <w:highlight w:val="none"/>
          <w:lang w:val="en-US" w:eastAsia="zh-CN"/>
        </w:rPr>
      </w:pPr>
      <w:r>
        <w:rPr>
          <w:rFonts w:hint="eastAsia" w:cs="宋体"/>
          <w:b/>
          <w:bCs/>
          <w:color w:val="auto"/>
          <w:sz w:val="28"/>
          <w:szCs w:val="28"/>
          <w:highlight w:val="none"/>
        </w:rPr>
        <w:t>联系人：李</w:t>
      </w:r>
      <w:r>
        <w:rPr>
          <w:rFonts w:hint="eastAsia" w:cs="宋体"/>
          <w:b/>
          <w:bCs/>
          <w:color w:val="auto"/>
          <w:sz w:val="28"/>
          <w:szCs w:val="28"/>
          <w:highlight w:val="none"/>
          <w:lang w:val="en-US" w:eastAsia="zh-CN"/>
        </w:rPr>
        <w:t>沙沙、於震翱</w:t>
      </w:r>
    </w:p>
    <w:p>
      <w:pPr>
        <w:pStyle w:val="2"/>
        <w:rPr>
          <w:rFonts w:cs="宋体"/>
          <w:b/>
          <w:bCs/>
          <w:color w:val="auto"/>
          <w:sz w:val="28"/>
          <w:szCs w:val="28"/>
          <w:highlight w:val="none"/>
        </w:rPr>
      </w:pPr>
      <w:r>
        <w:rPr>
          <w:rFonts w:hint="eastAsia" w:cs="宋体"/>
          <w:b/>
          <w:bCs/>
          <w:color w:val="auto"/>
          <w:sz w:val="28"/>
          <w:szCs w:val="28"/>
          <w:highlight w:val="none"/>
        </w:rPr>
        <w:t>联系电话：13639931780</w:t>
      </w:r>
    </w:p>
    <w:p>
      <w:pPr>
        <w:rPr>
          <w:rFonts w:hint="eastAsia" w:ascii="宋体" w:hAnsi="宋体" w:cs="宋体"/>
          <w:b/>
          <w:bCs/>
          <w:color w:val="auto"/>
          <w:sz w:val="52"/>
          <w:highlight w:val="none"/>
        </w:rPr>
      </w:pPr>
    </w:p>
    <w:p>
      <w:pPr>
        <w:jc w:val="center"/>
        <w:rPr>
          <w:rFonts w:hint="eastAsia" w:ascii="宋体" w:hAnsi="宋体" w:cs="宋体"/>
          <w:b/>
          <w:bCs/>
          <w:color w:val="auto"/>
          <w:sz w:val="40"/>
          <w:szCs w:val="40"/>
          <w:highlight w:val="none"/>
        </w:rPr>
      </w:pPr>
      <w:r>
        <w:rPr>
          <w:rFonts w:hint="eastAsia" w:ascii="宋体" w:hAnsi="宋体" w:cs="宋体"/>
          <w:b/>
          <w:bCs/>
          <w:color w:val="auto"/>
          <w:sz w:val="40"/>
          <w:szCs w:val="40"/>
          <w:highlight w:val="none"/>
        </w:rPr>
        <w:t>中国远东国际招标有限公司新疆分公司</w:t>
      </w:r>
    </w:p>
    <w:p>
      <w:pPr>
        <w:jc w:val="center"/>
        <w:rPr>
          <w:rFonts w:hint="eastAsia" w:ascii="宋体" w:hAnsi="宋体" w:cs="宋体"/>
          <w:b/>
          <w:bCs/>
          <w:color w:val="auto"/>
          <w:sz w:val="32"/>
          <w:szCs w:val="32"/>
          <w:highlight w:val="none"/>
        </w:rPr>
        <w:sectPr>
          <w:footerReference r:id="rId5" w:type="first"/>
          <w:headerReference r:id="rId3" w:type="default"/>
          <w:headerReference r:id="rId4" w:type="even"/>
          <w:pgSz w:w="11906" w:h="16838"/>
          <w:pgMar w:top="1440" w:right="1797" w:bottom="1440" w:left="1797" w:header="851" w:footer="992" w:gutter="0"/>
          <w:pgNumType w:start="1"/>
          <w:cols w:space="720" w:num="1"/>
          <w:rtlGutter w:val="1"/>
          <w:docGrid w:type="lines" w:linePitch="312" w:charSpace="0"/>
        </w:sectPr>
      </w:pPr>
      <w:r>
        <w:rPr>
          <w:rFonts w:hint="eastAsia" w:ascii="宋体" w:hAnsi="宋体" w:cs="宋体"/>
          <w:b/>
          <w:bCs/>
          <w:color w:val="auto"/>
          <w:sz w:val="32"/>
          <w:szCs w:val="32"/>
          <w:highlight w:val="none"/>
        </w:rPr>
        <w:t>202</w:t>
      </w:r>
      <w:r>
        <w:rPr>
          <w:rFonts w:hint="eastAsia" w:ascii="宋体" w:hAnsi="宋体" w:cs="宋体"/>
          <w:b/>
          <w:bCs/>
          <w:color w:val="auto"/>
          <w:sz w:val="32"/>
          <w:szCs w:val="32"/>
          <w:highlight w:val="none"/>
          <w:lang w:val="en-US" w:eastAsia="zh-CN"/>
        </w:rPr>
        <w:t>2</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lang w:val="en-US" w:eastAsia="zh-CN"/>
        </w:rPr>
        <w:t>4</w:t>
      </w:r>
      <w:r>
        <w:rPr>
          <w:rFonts w:hint="eastAsia" w:ascii="宋体" w:hAnsi="宋体" w:cs="宋体"/>
          <w:b/>
          <w:bCs/>
          <w:color w:val="auto"/>
          <w:sz w:val="32"/>
          <w:szCs w:val="32"/>
          <w:highlight w:val="none"/>
        </w:rPr>
        <w:t>月</w:t>
      </w:r>
    </w:p>
    <w:p>
      <w:pPr>
        <w:jc w:val="center"/>
        <w:rPr>
          <w:rFonts w:ascii="宋体" w:hAnsi="宋体" w:cs="Arial"/>
          <w:b/>
          <w:color w:val="auto"/>
          <w:sz w:val="32"/>
          <w:highlight w:val="none"/>
        </w:rPr>
      </w:pPr>
      <w:r>
        <w:rPr>
          <w:rFonts w:ascii="宋体" w:hAnsi="宋体" w:cs="Arial"/>
          <w:b/>
          <w:color w:val="auto"/>
          <w:szCs w:val="18"/>
          <w:highlight w:val="none"/>
        </w:rPr>
        <w:t>目  录</w:t>
      </w:r>
    </w:p>
    <w:p>
      <w:pPr>
        <w:pStyle w:val="29"/>
        <w:tabs>
          <w:tab w:val="right" w:leader="dot" w:pos="8306"/>
        </w:tabs>
        <w:jc w:val="left"/>
        <w:rPr>
          <w:color w:val="auto"/>
          <w:sz w:val="28"/>
          <w:szCs w:val="28"/>
          <w:highlight w:val="none"/>
        </w:rPr>
      </w:pPr>
      <w:r>
        <w:rPr>
          <w:rFonts w:ascii="宋体" w:hAnsi="宋体" w:cs="Arial"/>
          <w:color w:val="auto"/>
          <w:szCs w:val="21"/>
          <w:highlight w:val="none"/>
        </w:rPr>
        <w:fldChar w:fldCharType="begin"/>
      </w:r>
      <w:r>
        <w:rPr>
          <w:rFonts w:ascii="宋体" w:hAnsi="宋体" w:cs="Arial"/>
          <w:color w:val="auto"/>
          <w:szCs w:val="21"/>
          <w:highlight w:val="none"/>
        </w:rPr>
        <w:instrText xml:space="preserve"> TOC \o "1-3" \h \z \u </w:instrText>
      </w:r>
      <w:r>
        <w:rPr>
          <w:rFonts w:ascii="宋体" w:hAnsi="宋体" w:cs="Arial"/>
          <w:color w:val="auto"/>
          <w:szCs w:val="21"/>
          <w:highlight w:val="none"/>
        </w:rPr>
        <w:fldChar w:fldCharType="separate"/>
      </w:r>
      <w:r>
        <w:rPr>
          <w:rFonts w:ascii="宋体" w:hAnsi="宋体" w:cs="Arial"/>
          <w:color w:val="auto"/>
          <w:sz w:val="28"/>
          <w:szCs w:val="28"/>
          <w:highlight w:val="none"/>
        </w:rPr>
        <w:fldChar w:fldCharType="begin"/>
      </w:r>
      <w:r>
        <w:rPr>
          <w:rFonts w:ascii="宋体" w:hAnsi="宋体" w:cs="Arial"/>
          <w:color w:val="auto"/>
          <w:sz w:val="28"/>
          <w:szCs w:val="28"/>
          <w:highlight w:val="none"/>
        </w:rPr>
        <w:instrText xml:space="preserve"> HYPERLINK \l _Toc6435 </w:instrText>
      </w:r>
      <w:r>
        <w:rPr>
          <w:rFonts w:ascii="宋体" w:hAnsi="宋体" w:cs="Arial"/>
          <w:color w:val="auto"/>
          <w:sz w:val="28"/>
          <w:szCs w:val="28"/>
          <w:highlight w:val="none"/>
        </w:rPr>
        <w:fldChar w:fldCharType="separate"/>
      </w:r>
      <w:r>
        <w:rPr>
          <w:rFonts w:hint="eastAsia" w:ascii="宋体" w:hAnsi="宋体" w:cs="宋体"/>
          <w:color w:val="auto"/>
          <w:sz w:val="28"/>
          <w:szCs w:val="28"/>
          <w:highlight w:val="none"/>
        </w:rPr>
        <w:t>第一章 投标邀请</w:t>
      </w:r>
      <w:r>
        <w:rPr>
          <w:rFonts w:ascii="宋体" w:hAnsi="宋体" w:cs="Arial"/>
          <w:color w:val="auto"/>
          <w:sz w:val="28"/>
          <w:szCs w:val="28"/>
          <w:highlight w:val="none"/>
        </w:rPr>
        <w:fldChar w:fldCharType="end"/>
      </w:r>
    </w:p>
    <w:p>
      <w:pPr>
        <w:pStyle w:val="29"/>
        <w:tabs>
          <w:tab w:val="right" w:leader="dot" w:pos="8306"/>
        </w:tabs>
        <w:jc w:val="left"/>
        <w:rPr>
          <w:color w:val="auto"/>
          <w:sz w:val="28"/>
          <w:szCs w:val="28"/>
          <w:highlight w:val="none"/>
        </w:rPr>
      </w:pPr>
      <w:r>
        <w:rPr>
          <w:rFonts w:ascii="宋体" w:hAnsi="宋体" w:cs="Arial"/>
          <w:color w:val="auto"/>
          <w:sz w:val="28"/>
          <w:szCs w:val="28"/>
          <w:highlight w:val="none"/>
        </w:rPr>
        <w:fldChar w:fldCharType="begin"/>
      </w:r>
      <w:r>
        <w:rPr>
          <w:rFonts w:ascii="宋体" w:hAnsi="宋体" w:cs="Arial"/>
          <w:color w:val="auto"/>
          <w:sz w:val="28"/>
          <w:szCs w:val="28"/>
          <w:highlight w:val="none"/>
        </w:rPr>
        <w:instrText xml:space="preserve"> HYPERLINK \l _Toc31050 </w:instrText>
      </w:r>
      <w:r>
        <w:rPr>
          <w:rFonts w:ascii="宋体" w:hAnsi="宋体" w:cs="Arial"/>
          <w:color w:val="auto"/>
          <w:sz w:val="28"/>
          <w:szCs w:val="28"/>
          <w:highlight w:val="none"/>
        </w:rPr>
        <w:fldChar w:fldCharType="separate"/>
      </w:r>
      <w:r>
        <w:rPr>
          <w:rFonts w:hint="eastAsia" w:ascii="宋体" w:hAnsi="宋体" w:cs="宋体"/>
          <w:color w:val="auto"/>
          <w:sz w:val="28"/>
          <w:szCs w:val="28"/>
          <w:highlight w:val="none"/>
        </w:rPr>
        <w:t>第二章 投标人须知</w:t>
      </w:r>
      <w:r>
        <w:rPr>
          <w:rFonts w:ascii="宋体" w:hAnsi="宋体" w:cs="Arial"/>
          <w:color w:val="auto"/>
          <w:sz w:val="28"/>
          <w:szCs w:val="28"/>
          <w:highlight w:val="none"/>
        </w:rPr>
        <w:fldChar w:fldCharType="end"/>
      </w:r>
    </w:p>
    <w:p>
      <w:pPr>
        <w:pStyle w:val="29"/>
        <w:tabs>
          <w:tab w:val="right" w:leader="dot" w:pos="8306"/>
        </w:tabs>
        <w:jc w:val="left"/>
        <w:rPr>
          <w:color w:val="auto"/>
          <w:sz w:val="28"/>
          <w:szCs w:val="28"/>
          <w:highlight w:val="none"/>
        </w:rPr>
      </w:pPr>
      <w:r>
        <w:rPr>
          <w:rFonts w:ascii="宋体" w:hAnsi="宋体" w:cs="Arial"/>
          <w:color w:val="auto"/>
          <w:sz w:val="28"/>
          <w:szCs w:val="28"/>
          <w:highlight w:val="none"/>
        </w:rPr>
        <w:fldChar w:fldCharType="begin"/>
      </w:r>
      <w:r>
        <w:rPr>
          <w:rFonts w:ascii="宋体" w:hAnsi="宋体" w:cs="Arial"/>
          <w:color w:val="auto"/>
          <w:sz w:val="28"/>
          <w:szCs w:val="28"/>
          <w:highlight w:val="none"/>
        </w:rPr>
        <w:instrText xml:space="preserve"> HYPERLINK \l _Toc4098 </w:instrText>
      </w:r>
      <w:r>
        <w:rPr>
          <w:rFonts w:ascii="宋体" w:hAnsi="宋体" w:cs="Arial"/>
          <w:color w:val="auto"/>
          <w:sz w:val="28"/>
          <w:szCs w:val="28"/>
          <w:highlight w:val="none"/>
        </w:rPr>
        <w:fldChar w:fldCharType="separate"/>
      </w:r>
      <w:r>
        <w:rPr>
          <w:rFonts w:hint="eastAsia" w:ascii="宋体" w:hAnsi="宋体" w:cs="宋体"/>
          <w:color w:val="auto"/>
          <w:sz w:val="28"/>
          <w:szCs w:val="28"/>
          <w:highlight w:val="none"/>
        </w:rPr>
        <w:t>Ⅰ 投标人须知前附表</w:t>
      </w:r>
      <w:r>
        <w:rPr>
          <w:rFonts w:ascii="宋体" w:hAnsi="宋体" w:cs="Arial"/>
          <w:color w:val="auto"/>
          <w:sz w:val="28"/>
          <w:szCs w:val="28"/>
          <w:highlight w:val="none"/>
        </w:rPr>
        <w:fldChar w:fldCharType="end"/>
      </w:r>
    </w:p>
    <w:p>
      <w:pPr>
        <w:pStyle w:val="29"/>
        <w:tabs>
          <w:tab w:val="right" w:leader="dot" w:pos="8306"/>
        </w:tabs>
        <w:jc w:val="left"/>
        <w:rPr>
          <w:color w:val="auto"/>
          <w:sz w:val="28"/>
          <w:szCs w:val="28"/>
          <w:highlight w:val="none"/>
        </w:rPr>
      </w:pPr>
      <w:r>
        <w:rPr>
          <w:rFonts w:ascii="宋体" w:hAnsi="宋体" w:cs="Arial"/>
          <w:color w:val="auto"/>
          <w:sz w:val="28"/>
          <w:szCs w:val="28"/>
          <w:highlight w:val="none"/>
        </w:rPr>
        <w:fldChar w:fldCharType="begin"/>
      </w:r>
      <w:r>
        <w:rPr>
          <w:rFonts w:ascii="宋体" w:hAnsi="宋体" w:cs="Arial"/>
          <w:color w:val="auto"/>
          <w:sz w:val="28"/>
          <w:szCs w:val="28"/>
          <w:highlight w:val="none"/>
        </w:rPr>
        <w:instrText xml:space="preserve"> HYPERLINK \l _Toc9410 </w:instrText>
      </w:r>
      <w:r>
        <w:rPr>
          <w:rFonts w:ascii="宋体" w:hAnsi="宋体" w:cs="Arial"/>
          <w:color w:val="auto"/>
          <w:sz w:val="28"/>
          <w:szCs w:val="28"/>
          <w:highlight w:val="none"/>
        </w:rPr>
        <w:fldChar w:fldCharType="separate"/>
      </w:r>
      <w:r>
        <w:rPr>
          <w:rFonts w:hint="eastAsia" w:ascii="宋体" w:hAnsi="宋体" w:cs="宋体"/>
          <w:color w:val="auto"/>
          <w:sz w:val="28"/>
          <w:szCs w:val="28"/>
          <w:highlight w:val="none"/>
        </w:rPr>
        <w:t>Ⅱ 投标人须知</w:t>
      </w:r>
      <w:r>
        <w:rPr>
          <w:rFonts w:ascii="宋体" w:hAnsi="宋体" w:cs="Arial"/>
          <w:color w:val="auto"/>
          <w:sz w:val="28"/>
          <w:szCs w:val="28"/>
          <w:highlight w:val="none"/>
        </w:rPr>
        <w:fldChar w:fldCharType="end"/>
      </w:r>
    </w:p>
    <w:p>
      <w:pPr>
        <w:pStyle w:val="29"/>
        <w:tabs>
          <w:tab w:val="right" w:leader="dot" w:pos="8306"/>
        </w:tabs>
        <w:jc w:val="left"/>
        <w:rPr>
          <w:color w:val="auto"/>
          <w:sz w:val="28"/>
          <w:szCs w:val="28"/>
          <w:highlight w:val="none"/>
        </w:rPr>
      </w:pPr>
      <w:r>
        <w:rPr>
          <w:rFonts w:ascii="宋体" w:hAnsi="宋体" w:cs="Arial"/>
          <w:color w:val="auto"/>
          <w:sz w:val="28"/>
          <w:szCs w:val="28"/>
          <w:highlight w:val="none"/>
        </w:rPr>
        <w:fldChar w:fldCharType="begin"/>
      </w:r>
      <w:r>
        <w:rPr>
          <w:rFonts w:ascii="宋体" w:hAnsi="宋体" w:cs="Arial"/>
          <w:color w:val="auto"/>
          <w:sz w:val="28"/>
          <w:szCs w:val="28"/>
          <w:highlight w:val="none"/>
        </w:rPr>
        <w:instrText xml:space="preserve"> HYPERLINK \l _Toc8310 </w:instrText>
      </w:r>
      <w:r>
        <w:rPr>
          <w:rFonts w:ascii="宋体" w:hAnsi="宋体" w:cs="Arial"/>
          <w:color w:val="auto"/>
          <w:sz w:val="28"/>
          <w:szCs w:val="28"/>
          <w:highlight w:val="none"/>
        </w:rPr>
        <w:fldChar w:fldCharType="separate"/>
      </w:r>
      <w:r>
        <w:rPr>
          <w:rFonts w:hint="eastAsia" w:ascii="宋体" w:hAnsi="宋体" w:cs="宋体"/>
          <w:color w:val="auto"/>
          <w:sz w:val="28"/>
          <w:szCs w:val="28"/>
          <w:highlight w:val="none"/>
        </w:rPr>
        <w:t>第三章 服务需求及技术规范</w:t>
      </w:r>
      <w:r>
        <w:rPr>
          <w:rFonts w:ascii="宋体" w:hAnsi="宋体" w:cs="Arial"/>
          <w:color w:val="auto"/>
          <w:sz w:val="28"/>
          <w:szCs w:val="28"/>
          <w:highlight w:val="none"/>
        </w:rPr>
        <w:fldChar w:fldCharType="end"/>
      </w:r>
    </w:p>
    <w:p>
      <w:pPr>
        <w:pStyle w:val="29"/>
        <w:tabs>
          <w:tab w:val="right" w:leader="dot" w:pos="8306"/>
        </w:tabs>
        <w:jc w:val="left"/>
        <w:rPr>
          <w:color w:val="auto"/>
          <w:sz w:val="28"/>
          <w:szCs w:val="28"/>
          <w:highlight w:val="none"/>
        </w:rPr>
      </w:pPr>
      <w:r>
        <w:rPr>
          <w:rFonts w:ascii="宋体" w:hAnsi="宋体" w:cs="Arial"/>
          <w:color w:val="auto"/>
          <w:sz w:val="28"/>
          <w:szCs w:val="28"/>
          <w:highlight w:val="none"/>
        </w:rPr>
        <w:fldChar w:fldCharType="begin"/>
      </w:r>
      <w:r>
        <w:rPr>
          <w:rFonts w:ascii="宋体" w:hAnsi="宋体" w:cs="Arial"/>
          <w:color w:val="auto"/>
          <w:sz w:val="28"/>
          <w:szCs w:val="28"/>
          <w:highlight w:val="none"/>
        </w:rPr>
        <w:instrText xml:space="preserve"> HYPERLINK \l _Toc29040 </w:instrText>
      </w:r>
      <w:r>
        <w:rPr>
          <w:rFonts w:ascii="宋体" w:hAnsi="宋体" w:cs="Arial"/>
          <w:color w:val="auto"/>
          <w:sz w:val="28"/>
          <w:szCs w:val="28"/>
          <w:highlight w:val="none"/>
        </w:rPr>
        <w:fldChar w:fldCharType="separate"/>
      </w:r>
      <w:r>
        <w:rPr>
          <w:rFonts w:hint="eastAsia" w:ascii="宋体" w:hAnsi="宋体" w:cs="宋体"/>
          <w:color w:val="auto"/>
          <w:sz w:val="28"/>
          <w:szCs w:val="28"/>
          <w:highlight w:val="none"/>
        </w:rPr>
        <w:t>第四章 采购合同格式</w:t>
      </w:r>
      <w:r>
        <w:rPr>
          <w:rFonts w:ascii="宋体" w:hAnsi="宋体" w:cs="Arial"/>
          <w:color w:val="auto"/>
          <w:sz w:val="28"/>
          <w:szCs w:val="28"/>
          <w:highlight w:val="none"/>
        </w:rPr>
        <w:fldChar w:fldCharType="end"/>
      </w:r>
    </w:p>
    <w:p>
      <w:pPr>
        <w:pStyle w:val="29"/>
        <w:tabs>
          <w:tab w:val="right" w:leader="dot" w:pos="8306"/>
        </w:tabs>
        <w:jc w:val="left"/>
        <w:rPr>
          <w:color w:val="auto"/>
          <w:sz w:val="28"/>
          <w:szCs w:val="28"/>
          <w:highlight w:val="none"/>
        </w:rPr>
      </w:pPr>
      <w:r>
        <w:rPr>
          <w:rFonts w:ascii="宋体" w:hAnsi="宋体" w:cs="Arial"/>
          <w:color w:val="auto"/>
          <w:sz w:val="28"/>
          <w:szCs w:val="28"/>
          <w:highlight w:val="none"/>
        </w:rPr>
        <w:fldChar w:fldCharType="begin"/>
      </w:r>
      <w:r>
        <w:rPr>
          <w:rFonts w:ascii="宋体" w:hAnsi="宋体" w:cs="Arial"/>
          <w:color w:val="auto"/>
          <w:sz w:val="28"/>
          <w:szCs w:val="28"/>
          <w:highlight w:val="none"/>
        </w:rPr>
        <w:instrText xml:space="preserve"> HYPERLINK \l _Toc7283 </w:instrText>
      </w:r>
      <w:r>
        <w:rPr>
          <w:rFonts w:ascii="宋体" w:hAnsi="宋体" w:cs="Arial"/>
          <w:color w:val="auto"/>
          <w:sz w:val="28"/>
          <w:szCs w:val="28"/>
          <w:highlight w:val="none"/>
        </w:rPr>
        <w:fldChar w:fldCharType="separate"/>
      </w:r>
      <w:r>
        <w:rPr>
          <w:rFonts w:hint="eastAsia" w:ascii="宋体" w:hAnsi="宋体" w:cs="宋体"/>
          <w:bCs/>
          <w:color w:val="auto"/>
          <w:sz w:val="28"/>
          <w:szCs w:val="28"/>
          <w:highlight w:val="none"/>
        </w:rPr>
        <w:t>第五章 评分标准</w:t>
      </w:r>
      <w:r>
        <w:rPr>
          <w:rFonts w:ascii="宋体" w:hAnsi="宋体" w:cs="Arial"/>
          <w:color w:val="auto"/>
          <w:sz w:val="28"/>
          <w:szCs w:val="28"/>
          <w:highlight w:val="none"/>
        </w:rPr>
        <w:fldChar w:fldCharType="end"/>
      </w:r>
    </w:p>
    <w:p>
      <w:pPr>
        <w:pStyle w:val="29"/>
        <w:tabs>
          <w:tab w:val="right" w:leader="dot" w:pos="8306"/>
        </w:tabs>
        <w:jc w:val="left"/>
        <w:rPr>
          <w:rFonts w:ascii="宋体" w:hAnsi="宋体" w:cs="Arial"/>
          <w:color w:val="auto"/>
          <w:sz w:val="28"/>
          <w:szCs w:val="28"/>
          <w:highlight w:val="none"/>
        </w:rPr>
      </w:pPr>
      <w:r>
        <w:rPr>
          <w:rFonts w:ascii="宋体" w:hAnsi="宋体" w:cs="Arial"/>
          <w:color w:val="auto"/>
          <w:sz w:val="28"/>
          <w:szCs w:val="28"/>
          <w:highlight w:val="none"/>
        </w:rPr>
        <w:fldChar w:fldCharType="begin"/>
      </w:r>
      <w:r>
        <w:rPr>
          <w:rFonts w:ascii="宋体" w:hAnsi="宋体" w:cs="Arial"/>
          <w:color w:val="auto"/>
          <w:sz w:val="28"/>
          <w:szCs w:val="28"/>
          <w:highlight w:val="none"/>
        </w:rPr>
        <w:instrText xml:space="preserve"> HYPERLINK \l _Toc17157 </w:instrText>
      </w:r>
      <w:r>
        <w:rPr>
          <w:rFonts w:ascii="宋体" w:hAnsi="宋体" w:cs="Arial"/>
          <w:color w:val="auto"/>
          <w:sz w:val="28"/>
          <w:szCs w:val="28"/>
          <w:highlight w:val="none"/>
        </w:rPr>
        <w:fldChar w:fldCharType="separate"/>
      </w:r>
      <w:r>
        <w:rPr>
          <w:rFonts w:hint="eastAsia" w:ascii="宋体" w:hAnsi="宋体" w:cs="宋体"/>
          <w:color w:val="auto"/>
          <w:sz w:val="28"/>
          <w:szCs w:val="28"/>
          <w:highlight w:val="none"/>
        </w:rPr>
        <w:t>第六章 附件：投标文件格式</w:t>
      </w:r>
      <w:r>
        <w:rPr>
          <w:rFonts w:ascii="宋体" w:hAnsi="宋体" w:cs="Arial"/>
          <w:color w:val="auto"/>
          <w:sz w:val="28"/>
          <w:szCs w:val="28"/>
          <w:highlight w:val="none"/>
        </w:rPr>
        <w:fldChar w:fldCharType="end"/>
      </w:r>
    </w:p>
    <w:p>
      <w:pPr>
        <w:rPr>
          <w:rFonts w:ascii="宋体" w:hAnsi="宋体" w:cs="宋体"/>
          <w:color w:val="auto"/>
          <w:sz w:val="28"/>
          <w:szCs w:val="28"/>
          <w:highlight w:val="none"/>
        </w:rPr>
      </w:pPr>
      <w:r>
        <w:rPr>
          <w:rFonts w:hint="eastAsia" w:ascii="宋体" w:hAnsi="宋体" w:cs="宋体"/>
          <w:color w:val="auto"/>
          <w:sz w:val="28"/>
          <w:szCs w:val="28"/>
          <w:highlight w:val="none"/>
        </w:rPr>
        <w:t>第七章  补充条款</w:t>
      </w:r>
    </w:p>
    <w:p>
      <w:pPr>
        <w:pStyle w:val="35"/>
        <w:tabs>
          <w:tab w:val="right" w:leader="dot" w:pos="8306"/>
        </w:tabs>
        <w:rPr>
          <w:color w:val="auto"/>
          <w:highlight w:val="none"/>
        </w:rPr>
      </w:pPr>
    </w:p>
    <w:p>
      <w:pPr>
        <w:rPr>
          <w:rFonts w:ascii="宋体" w:hAnsi="宋体"/>
          <w:color w:val="auto"/>
          <w:sz w:val="28"/>
          <w:szCs w:val="28"/>
          <w:highlight w:val="none"/>
        </w:rPr>
        <w:sectPr>
          <w:footerReference r:id="rId8" w:type="first"/>
          <w:headerReference r:id="rId6" w:type="default"/>
          <w:footerReference r:id="rId7" w:type="default"/>
          <w:pgSz w:w="11906" w:h="16838"/>
          <w:pgMar w:top="1440" w:right="1800" w:bottom="1440" w:left="1800" w:header="851" w:footer="992" w:gutter="0"/>
          <w:pgNumType w:start="1"/>
          <w:cols w:space="720" w:num="1"/>
          <w:titlePg/>
          <w:docGrid w:type="lines" w:linePitch="312" w:charSpace="0"/>
        </w:sectPr>
      </w:pPr>
      <w:r>
        <w:rPr>
          <w:rFonts w:ascii="宋体" w:hAnsi="宋体" w:cs="Arial"/>
          <w:color w:val="auto"/>
          <w:szCs w:val="21"/>
          <w:highlight w:val="none"/>
        </w:rPr>
        <w:fldChar w:fldCharType="end"/>
      </w:r>
    </w:p>
    <w:p>
      <w:pPr>
        <w:pStyle w:val="40"/>
        <w:spacing w:before="0" w:after="0" w:line="440" w:lineRule="exact"/>
        <w:rPr>
          <w:rFonts w:hint="eastAsia" w:ascii="宋体" w:hAnsi="宋体" w:cs="宋体"/>
          <w:color w:val="auto"/>
          <w:sz w:val="21"/>
          <w:szCs w:val="21"/>
          <w:highlight w:val="none"/>
        </w:rPr>
      </w:pPr>
      <w:bookmarkStart w:id="0" w:name="_Toc6435"/>
      <w:r>
        <w:rPr>
          <w:rFonts w:hint="eastAsia" w:ascii="宋体" w:hAnsi="宋体" w:cs="宋体"/>
          <w:color w:val="auto"/>
          <w:sz w:val="21"/>
          <w:szCs w:val="21"/>
          <w:highlight w:val="none"/>
        </w:rPr>
        <w:t>第一章 投标邀请</w:t>
      </w:r>
      <w:bookmarkEnd w:id="0"/>
    </w:p>
    <w:p>
      <w:pPr>
        <w:pStyle w:val="3"/>
        <w:keepNext w:val="0"/>
        <w:keepLines w:val="0"/>
        <w:widowControl/>
        <w:spacing w:line="360" w:lineRule="atLeast"/>
        <w:rPr>
          <w:color w:val="auto"/>
          <w:sz w:val="24"/>
          <w:szCs w:val="24"/>
          <w:highlight w:val="none"/>
        </w:rPr>
      </w:pPr>
      <w:bookmarkStart w:id="1" w:name="_Toc31050"/>
      <w:r>
        <w:rPr>
          <w:rFonts w:hint="eastAsia"/>
          <w:color w:val="auto"/>
          <w:sz w:val="24"/>
          <w:szCs w:val="24"/>
          <w:highlight w:val="none"/>
        </w:rPr>
        <w:t>中国远东国际招标有限公司新疆分公司关</w:t>
      </w:r>
      <w:r>
        <w:rPr>
          <w:color w:val="auto"/>
          <w:sz w:val="24"/>
          <w:szCs w:val="24"/>
          <w:highlight w:val="none"/>
        </w:rPr>
        <w:t>于</w:t>
      </w:r>
      <w:r>
        <w:rPr>
          <w:rFonts w:hint="eastAsia"/>
          <w:color w:val="auto"/>
          <w:sz w:val="24"/>
          <w:szCs w:val="24"/>
          <w:highlight w:val="none"/>
          <w:lang w:eastAsia="zh-CN"/>
        </w:rPr>
        <w:t>乌鲁木齐市某单位2022年度车辆定点维修采购项目（二次）</w:t>
      </w:r>
      <w:r>
        <w:rPr>
          <w:rFonts w:hint="eastAsia"/>
          <w:color w:val="auto"/>
          <w:sz w:val="24"/>
          <w:szCs w:val="24"/>
          <w:highlight w:val="none"/>
        </w:rPr>
        <w:t>采购</w:t>
      </w:r>
      <w:r>
        <w:rPr>
          <w:color w:val="auto"/>
          <w:sz w:val="24"/>
          <w:szCs w:val="24"/>
          <w:highlight w:val="none"/>
        </w:rPr>
        <w:t>的公开招标公告</w:t>
      </w:r>
    </w:p>
    <w:p>
      <w:pPr>
        <w:pStyle w:val="38"/>
        <w:pBdr>
          <w:top w:val="single" w:color="auto" w:sz="4" w:space="0"/>
          <w:left w:val="single" w:color="auto" w:sz="4" w:space="0"/>
          <w:bottom w:val="single" w:color="auto" w:sz="4" w:space="0"/>
          <w:right w:val="single" w:color="auto" w:sz="4" w:space="0"/>
        </w:pBdr>
        <w:spacing w:before="60" w:beforeAutospacing="0" w:after="60" w:afterAutospacing="0"/>
        <w:rPr>
          <w:color w:val="auto"/>
          <w:highlight w:val="none"/>
        </w:rPr>
      </w:pPr>
      <w:r>
        <w:rPr>
          <w:rFonts w:ascii="仿宋" w:hAnsi="仿宋" w:eastAsia="仿宋" w:cs="仿宋"/>
          <w:color w:val="auto"/>
          <w:sz w:val="21"/>
          <w:szCs w:val="21"/>
          <w:highlight w:val="none"/>
        </w:rPr>
        <w:t>项目概况</w:t>
      </w:r>
    </w:p>
    <w:p>
      <w:pPr>
        <w:pStyle w:val="38"/>
        <w:pBdr>
          <w:top w:val="single" w:color="auto" w:sz="4" w:space="0"/>
          <w:left w:val="single" w:color="auto" w:sz="4" w:space="0"/>
          <w:bottom w:val="single" w:color="auto" w:sz="4" w:space="0"/>
          <w:right w:val="single" w:color="auto" w:sz="4" w:space="0"/>
        </w:pBdr>
        <w:spacing w:before="60" w:beforeAutospacing="0" w:after="60" w:afterAutospacing="0"/>
        <w:ind w:firstLine="420" w:firstLineChars="200"/>
        <w:rPr>
          <w:color w:val="auto"/>
          <w:highlight w:val="none"/>
        </w:rPr>
      </w:pPr>
      <w:r>
        <w:rPr>
          <w:rFonts w:hint="eastAsia" w:ascii="仿宋" w:hAnsi="仿宋" w:eastAsia="仿宋" w:cs="仿宋"/>
          <w:color w:val="auto"/>
          <w:sz w:val="21"/>
          <w:szCs w:val="21"/>
          <w:highlight w:val="none"/>
          <w:lang w:eastAsia="zh-CN"/>
        </w:rPr>
        <w:t>乌鲁木齐市某单位2022年度车辆定点维修采购项目（二次）</w:t>
      </w:r>
      <w:r>
        <w:rPr>
          <w:rFonts w:hint="eastAsia" w:ascii="仿宋" w:hAnsi="仿宋" w:eastAsia="仿宋" w:cs="仿宋"/>
          <w:color w:val="auto"/>
          <w:sz w:val="21"/>
          <w:szCs w:val="21"/>
          <w:highlight w:val="none"/>
        </w:rPr>
        <w:t>的潜在投标人应在中国远东国际招标有限公司新疆分公司新疆乌鲁木齐经济技术开发区（头屯河区）喀纳斯湖北路455号新疆软件园创智大厦B座13层1303室）获取招标文件，并于</w:t>
      </w:r>
      <w:r>
        <w:rPr>
          <w:rFonts w:hint="eastAsia" w:ascii="仿宋" w:hAnsi="仿宋" w:eastAsia="仿宋" w:cs="仿宋"/>
          <w:color w:val="auto"/>
          <w:sz w:val="21"/>
          <w:szCs w:val="21"/>
          <w:highlight w:val="none"/>
          <w:lang w:eastAsia="zh-CN"/>
        </w:rPr>
        <w:t>2022年</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月</w:t>
      </w:r>
      <w:r>
        <w:rPr>
          <w:rFonts w:hint="eastAsia" w:ascii="仿宋" w:hAnsi="仿宋" w:eastAsia="仿宋" w:cs="仿宋"/>
          <w:color w:val="auto"/>
          <w:sz w:val="21"/>
          <w:szCs w:val="21"/>
          <w:highlight w:val="none"/>
          <w:lang w:val="en-US" w:eastAsia="zh-CN"/>
        </w:rPr>
        <w:t>11</w:t>
      </w:r>
      <w:r>
        <w:rPr>
          <w:rFonts w:hint="eastAsia" w:ascii="仿宋" w:hAnsi="仿宋" w:eastAsia="仿宋" w:cs="仿宋"/>
          <w:color w:val="auto"/>
          <w:sz w:val="21"/>
          <w:szCs w:val="21"/>
          <w:highlight w:val="none"/>
          <w:lang w:eastAsia="zh-CN"/>
        </w:rPr>
        <w:t>日</w:t>
      </w:r>
      <w:r>
        <w:rPr>
          <w:rFonts w:hint="eastAsia" w:ascii="仿宋" w:hAnsi="仿宋" w:eastAsia="仿宋" w:cs="仿宋"/>
          <w:color w:val="auto"/>
          <w:sz w:val="21"/>
          <w:szCs w:val="21"/>
          <w:highlight w:val="none"/>
          <w:lang w:val="en-US" w:eastAsia="zh-CN"/>
        </w:rPr>
        <w:t>11</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00</w:t>
      </w:r>
      <w:r>
        <w:rPr>
          <w:rFonts w:hint="eastAsia" w:ascii="仿宋" w:hAnsi="仿宋" w:eastAsia="仿宋" w:cs="仿宋"/>
          <w:color w:val="auto"/>
          <w:sz w:val="21"/>
          <w:szCs w:val="21"/>
          <w:highlight w:val="none"/>
        </w:rPr>
        <w:t>（北京时间）前递交投标文件。</w:t>
      </w:r>
    </w:p>
    <w:p>
      <w:pPr>
        <w:pStyle w:val="38"/>
        <w:spacing w:before="204" w:beforeAutospacing="0" w:after="204" w:afterAutospacing="0" w:line="240" w:lineRule="atLeast"/>
        <w:jc w:val="both"/>
        <w:rPr>
          <w:rStyle w:val="47"/>
          <w:rFonts w:hint="eastAsia" w:ascii="黑体" w:hAnsi="Times New Roman" w:eastAsia="黑体" w:cs="黑体"/>
          <w:color w:val="auto"/>
          <w:sz w:val="21"/>
          <w:szCs w:val="21"/>
          <w:highlight w:val="none"/>
        </w:rPr>
      </w:pPr>
      <w:r>
        <w:rPr>
          <w:rStyle w:val="47"/>
          <w:rFonts w:hint="eastAsia" w:ascii="黑体" w:hAnsi="Times New Roman" w:eastAsia="黑体" w:cs="黑体"/>
          <w:color w:val="auto"/>
          <w:sz w:val="21"/>
          <w:szCs w:val="21"/>
          <w:highlight w:val="none"/>
        </w:rPr>
        <w:t>一、项目基本情况</w:t>
      </w:r>
    </w:p>
    <w:p>
      <w:pPr>
        <w:pStyle w:val="38"/>
        <w:spacing w:before="60" w:beforeAutospacing="0" w:after="60" w:afterAutospacing="0" w:line="240" w:lineRule="atLeas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项目编号：0722-2022FE3316XJF（二次）</w:t>
      </w:r>
    </w:p>
    <w:p>
      <w:pPr>
        <w:pStyle w:val="38"/>
        <w:spacing w:before="60" w:beforeAutospacing="0" w:after="60" w:afterAutospacing="0" w:line="240" w:lineRule="atLeas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项目名称：乌鲁木齐市某单位2022年度车辆定点维修采购项目（二次）</w:t>
      </w:r>
    </w:p>
    <w:p>
      <w:pPr>
        <w:pStyle w:val="38"/>
        <w:spacing w:before="60" w:beforeAutospacing="0" w:after="60" w:afterAutospacing="0" w:line="240" w:lineRule="atLeas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采购方式：公开招标</w:t>
      </w:r>
    </w:p>
    <w:p>
      <w:pPr>
        <w:pStyle w:val="38"/>
        <w:spacing w:before="60" w:beforeAutospacing="0" w:after="60" w:afterAutospacing="0" w:line="240" w:lineRule="atLeas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预算金额（元）：624300</w:t>
      </w:r>
    </w:p>
    <w:p>
      <w:pPr>
        <w:pStyle w:val="38"/>
        <w:spacing w:before="60" w:beforeAutospacing="0" w:after="60" w:afterAutospacing="0" w:line="240" w:lineRule="atLeas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最高限价（元）：624300</w:t>
      </w:r>
    </w:p>
    <w:p>
      <w:pPr>
        <w:pStyle w:val="38"/>
        <w:spacing w:before="60" w:beforeAutospacing="0" w:after="60" w:afterAutospacing="0" w:line="240" w:lineRule="atLeas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采购需求：</w:t>
      </w:r>
    </w:p>
    <w:p>
      <w:pPr>
        <w:pStyle w:val="38"/>
        <w:spacing w:before="60" w:beforeAutospacing="0" w:after="60" w:afterAutospacing="0" w:line="240" w:lineRule="atLeast"/>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标项名称:乌鲁木齐市某单位2022年度车辆定点维修采购项目（二次）</w:t>
      </w:r>
    </w:p>
    <w:p>
      <w:pPr>
        <w:pStyle w:val="38"/>
        <w:spacing w:before="60" w:beforeAutospacing="0" w:after="60" w:afterAutospacing="0" w:line="240" w:lineRule="atLeast"/>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数量:不限</w:t>
      </w:r>
    </w:p>
    <w:p>
      <w:pPr>
        <w:pStyle w:val="38"/>
        <w:spacing w:before="60" w:beforeAutospacing="0" w:after="60" w:afterAutospacing="0" w:line="240" w:lineRule="atLeast"/>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预算金额（元）:624300</w:t>
      </w:r>
    </w:p>
    <w:p>
      <w:pPr>
        <w:pStyle w:val="38"/>
        <w:spacing w:before="60" w:beforeAutospacing="0" w:after="60" w:afterAutospacing="0" w:line="240" w:lineRule="atLeast"/>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简要规格描述或项目基本概况介绍、用途：车辆维修保养服务（详见招标文件）。</w:t>
      </w:r>
    </w:p>
    <w:p>
      <w:pPr>
        <w:pStyle w:val="38"/>
        <w:spacing w:before="60" w:beforeAutospacing="0" w:after="60" w:afterAutospacing="0" w:line="240" w:lineRule="atLeast"/>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pPr>
        <w:pStyle w:val="38"/>
        <w:spacing w:before="60" w:beforeAutospacing="0" w:after="60" w:afterAutospacing="0" w:line="240" w:lineRule="atLeast"/>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合同履约期限：标项 1，一年。</w:t>
      </w:r>
    </w:p>
    <w:p>
      <w:pPr>
        <w:pStyle w:val="38"/>
        <w:spacing w:before="60" w:beforeAutospacing="0" w:after="60" w:afterAutospacing="0" w:line="240" w:lineRule="atLeast"/>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本项目（否）接受联合体投标。</w:t>
      </w:r>
    </w:p>
    <w:p>
      <w:pPr>
        <w:pStyle w:val="38"/>
        <w:spacing w:before="204" w:beforeAutospacing="0" w:after="204" w:afterAutospacing="0" w:line="240" w:lineRule="atLeast"/>
        <w:jc w:val="both"/>
        <w:rPr>
          <w:rStyle w:val="47"/>
          <w:rFonts w:hint="eastAsia" w:ascii="黑体" w:eastAsia="黑体" w:cs="黑体"/>
          <w:color w:val="auto"/>
          <w:sz w:val="21"/>
          <w:szCs w:val="21"/>
          <w:highlight w:val="none"/>
        </w:rPr>
      </w:pPr>
      <w:r>
        <w:rPr>
          <w:rStyle w:val="47"/>
          <w:rFonts w:hint="eastAsia" w:ascii="黑体" w:eastAsia="黑体" w:cs="黑体"/>
          <w:color w:val="auto"/>
          <w:sz w:val="21"/>
          <w:szCs w:val="21"/>
          <w:highlight w:val="none"/>
        </w:rPr>
        <w:t>二、申请人的资格要求：</w:t>
      </w:r>
    </w:p>
    <w:p>
      <w:pPr>
        <w:pStyle w:val="38"/>
        <w:spacing w:before="60" w:beforeAutospacing="0" w:after="60" w:afterAutospacing="0" w:line="240" w:lineRule="atLeast"/>
        <w:ind w:left="420" w:left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1.满足《中华人民共和国政府采购法》第二十二条规定；</w:t>
      </w:r>
    </w:p>
    <w:p>
      <w:pPr>
        <w:pStyle w:val="38"/>
        <w:spacing w:before="60" w:beforeAutospacing="0" w:after="60" w:afterAutospacing="0" w:line="240" w:lineRule="atLeast"/>
        <w:ind w:left="420" w:left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2.落实政府采购政策需满足的资格要求：无</w:t>
      </w:r>
    </w:p>
    <w:p>
      <w:pPr>
        <w:pStyle w:val="38"/>
        <w:spacing w:before="60" w:beforeAutospacing="0" w:after="60" w:afterAutospacing="0" w:line="240" w:lineRule="atLeast"/>
        <w:ind w:left="420" w:left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3.本项目的特定资格要求:</w:t>
      </w:r>
    </w:p>
    <w:p>
      <w:pPr>
        <w:pStyle w:val="38"/>
        <w:spacing w:before="60" w:beforeAutospacing="0" w:after="60" w:afterAutospacing="0" w:line="240" w:lineRule="atLeast"/>
        <w:ind w:left="420" w:leftChars="20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p>
    <w:p>
      <w:pPr>
        <w:pStyle w:val="38"/>
        <w:spacing w:before="60" w:beforeAutospacing="0" w:after="60" w:afterAutospacing="0" w:line="240" w:lineRule="atLeast"/>
        <w:ind w:left="420" w:leftChars="200" w:firstLine="420" w:firstLineChars="200"/>
        <w:rPr>
          <w:rFonts w:hint="eastAsia" w:ascii="仿宋" w:hAnsi="仿宋" w:eastAsia="仿宋" w:cs="仿宋"/>
          <w:color w:val="auto"/>
          <w:sz w:val="21"/>
          <w:szCs w:val="21"/>
          <w:highlight w:val="none"/>
          <w:lang w:eastAsia="zh-CN"/>
        </w:rPr>
      </w:pPr>
      <w:bookmarkStart w:id="2" w:name="_Hlk53525254"/>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w:t>
      </w:r>
      <w:bookmarkEnd w:id="2"/>
      <w:r>
        <w:rPr>
          <w:rFonts w:hint="eastAsia" w:ascii="仿宋" w:hAnsi="仿宋" w:eastAsia="仿宋" w:cs="仿宋"/>
          <w:color w:val="auto"/>
          <w:sz w:val="21"/>
          <w:szCs w:val="21"/>
          <w:highlight w:val="none"/>
        </w:rPr>
        <w:t>投标人应为经运输管理部门许可的</w:t>
      </w:r>
      <w:r>
        <w:rPr>
          <w:rFonts w:hint="eastAsia" w:ascii="仿宋" w:hAnsi="仿宋" w:eastAsia="仿宋" w:cs="仿宋"/>
          <w:color w:val="auto"/>
          <w:sz w:val="21"/>
          <w:szCs w:val="21"/>
          <w:highlight w:val="none"/>
          <w:lang w:eastAsia="zh-CN"/>
        </w:rPr>
        <w:t>汽车维修</w:t>
      </w:r>
      <w:r>
        <w:rPr>
          <w:rFonts w:hint="eastAsia" w:ascii="仿宋" w:hAnsi="仿宋" w:eastAsia="仿宋" w:cs="仿宋"/>
          <w:color w:val="auto"/>
          <w:sz w:val="21"/>
          <w:szCs w:val="21"/>
          <w:highlight w:val="none"/>
        </w:rPr>
        <w:t>二类资质及以上资质的汽车维修机构，并提供相关证明材料</w:t>
      </w:r>
      <w:r>
        <w:rPr>
          <w:rFonts w:hint="eastAsia" w:ascii="仿宋" w:hAnsi="仿宋" w:eastAsia="仿宋" w:cs="仿宋"/>
          <w:color w:val="auto"/>
          <w:sz w:val="21"/>
          <w:szCs w:val="21"/>
          <w:highlight w:val="none"/>
          <w:lang w:eastAsia="zh-CN"/>
        </w:rPr>
        <w:t>；</w:t>
      </w:r>
    </w:p>
    <w:p>
      <w:pPr>
        <w:pStyle w:val="38"/>
        <w:spacing w:before="60" w:beforeAutospacing="0" w:after="60" w:afterAutospacing="0" w:line="240" w:lineRule="atLeast"/>
        <w:ind w:left="420" w:leftChars="20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）投标单位须提供法人授权委托书及有效身份证明原件或法人身份证明及有效身份证明原件；</w:t>
      </w:r>
    </w:p>
    <w:p>
      <w:pPr>
        <w:pStyle w:val="38"/>
        <w:spacing w:before="60" w:beforeAutospacing="0" w:after="60" w:afterAutospacing="0" w:line="240" w:lineRule="atLeast"/>
        <w:ind w:left="420" w:leftChars="20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）本项目不接受联合体投标。</w:t>
      </w:r>
    </w:p>
    <w:p>
      <w:pPr>
        <w:pStyle w:val="38"/>
        <w:spacing w:before="204" w:beforeAutospacing="0" w:after="204" w:afterAutospacing="0" w:line="240" w:lineRule="atLeast"/>
        <w:jc w:val="both"/>
        <w:rPr>
          <w:rStyle w:val="47"/>
          <w:rFonts w:hint="eastAsia" w:ascii="黑体" w:eastAsia="黑体" w:cs="黑体"/>
          <w:color w:val="auto"/>
          <w:sz w:val="21"/>
          <w:szCs w:val="21"/>
          <w:highlight w:val="none"/>
        </w:rPr>
      </w:pPr>
      <w:r>
        <w:rPr>
          <w:rStyle w:val="47"/>
          <w:rFonts w:hint="eastAsia" w:ascii="黑体" w:eastAsia="黑体" w:cs="黑体"/>
          <w:color w:val="auto"/>
          <w:sz w:val="21"/>
          <w:szCs w:val="21"/>
          <w:highlight w:val="none"/>
        </w:rPr>
        <w:t>三、获取招标文件</w:t>
      </w:r>
    </w:p>
    <w:p>
      <w:pPr>
        <w:pStyle w:val="38"/>
        <w:spacing w:before="60" w:beforeAutospacing="0" w:after="60" w:afterAutospacing="0" w:line="240" w:lineRule="atLeast"/>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时间：202</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21</w:t>
      </w:r>
      <w:r>
        <w:rPr>
          <w:rFonts w:hint="eastAsia" w:ascii="仿宋" w:hAnsi="仿宋" w:eastAsia="仿宋" w:cs="仿宋"/>
          <w:color w:val="auto"/>
          <w:sz w:val="21"/>
          <w:szCs w:val="21"/>
          <w:highlight w:val="none"/>
        </w:rPr>
        <w:t>日至202</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27</w:t>
      </w:r>
      <w:r>
        <w:rPr>
          <w:rFonts w:hint="eastAsia" w:ascii="仿宋" w:hAnsi="仿宋" w:eastAsia="仿宋" w:cs="仿宋"/>
          <w:color w:val="auto"/>
          <w:sz w:val="21"/>
          <w:szCs w:val="21"/>
          <w:highlight w:val="none"/>
        </w:rPr>
        <w:t>日，每天上午10:30至13:30，下午15:30至18:30（北京时间，法定节假日除外）</w:t>
      </w:r>
    </w:p>
    <w:p>
      <w:pPr>
        <w:pStyle w:val="38"/>
        <w:spacing w:before="60" w:beforeAutospacing="0" w:after="60" w:afterAutospacing="0" w:line="240" w:lineRule="atLeast"/>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地点：中国远东国际招标有限公司新疆分公司（新疆乌鲁木齐经济技术开发区（头屯河区）喀纳斯湖北路455号新疆软件园创智大厦B座13层1303室）</w:t>
      </w:r>
    </w:p>
    <w:p>
      <w:pPr>
        <w:pStyle w:val="38"/>
        <w:spacing w:before="60" w:beforeAutospacing="0" w:after="60" w:afterAutospacing="0" w:line="240" w:lineRule="atLeast"/>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方式：线下获取，获取招标文件时需携带：营业执照复印件加盖公章、</w:t>
      </w:r>
      <w:r>
        <w:rPr>
          <w:rFonts w:hint="eastAsia" w:ascii="仿宋" w:hAnsi="仿宋" w:eastAsia="仿宋" w:cs="仿宋"/>
          <w:color w:val="auto"/>
          <w:sz w:val="21"/>
          <w:szCs w:val="21"/>
          <w:highlight w:val="none"/>
          <w:lang w:val="en-US" w:eastAsia="zh-CN"/>
        </w:rPr>
        <w:t>汽车维修资质证明材料</w:t>
      </w:r>
      <w:r>
        <w:rPr>
          <w:rFonts w:hint="eastAsia" w:ascii="仿宋" w:hAnsi="仿宋" w:eastAsia="仿宋" w:cs="仿宋"/>
          <w:color w:val="auto"/>
          <w:sz w:val="21"/>
          <w:szCs w:val="21"/>
          <w:highlight w:val="none"/>
        </w:rPr>
        <w:t>复印件加盖公章</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法人授权委托书及有效身份证明原件或法人身份证明及有效身份证明</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原件携带备查</w:t>
      </w:r>
      <w:r>
        <w:rPr>
          <w:rFonts w:hint="eastAsia" w:ascii="仿宋" w:hAnsi="仿宋" w:eastAsia="仿宋" w:cs="仿宋"/>
          <w:color w:val="auto"/>
          <w:sz w:val="21"/>
          <w:szCs w:val="21"/>
          <w:highlight w:val="none"/>
        </w:rPr>
        <w:t>；</w:t>
      </w:r>
    </w:p>
    <w:p>
      <w:pPr>
        <w:pStyle w:val="38"/>
        <w:spacing w:before="60" w:beforeAutospacing="0" w:after="60" w:afterAutospacing="0" w:line="240" w:lineRule="atLeast"/>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售价（元）：</w:t>
      </w:r>
      <w:r>
        <w:rPr>
          <w:rFonts w:ascii="仿宋" w:hAnsi="仿宋" w:eastAsia="仿宋" w:cs="仿宋"/>
          <w:color w:val="auto"/>
          <w:sz w:val="21"/>
          <w:szCs w:val="21"/>
          <w:highlight w:val="none"/>
        </w:rPr>
        <w:t>2</w:t>
      </w:r>
      <w:r>
        <w:rPr>
          <w:rFonts w:hint="eastAsia" w:ascii="仿宋" w:hAnsi="仿宋" w:eastAsia="仿宋" w:cs="仿宋"/>
          <w:color w:val="auto"/>
          <w:sz w:val="21"/>
          <w:szCs w:val="21"/>
          <w:highlight w:val="none"/>
        </w:rPr>
        <w:t>00（一经售出，概不退还）</w:t>
      </w:r>
    </w:p>
    <w:p>
      <w:pPr>
        <w:pStyle w:val="38"/>
        <w:spacing w:before="204" w:beforeAutospacing="0" w:after="204" w:afterAutospacing="0" w:line="240" w:lineRule="atLeast"/>
        <w:jc w:val="both"/>
        <w:rPr>
          <w:rStyle w:val="47"/>
          <w:rFonts w:hint="eastAsia" w:ascii="黑体" w:eastAsia="黑体" w:cs="黑体"/>
          <w:color w:val="auto"/>
          <w:sz w:val="21"/>
          <w:szCs w:val="21"/>
          <w:highlight w:val="none"/>
        </w:rPr>
      </w:pPr>
      <w:r>
        <w:rPr>
          <w:rStyle w:val="47"/>
          <w:rFonts w:hint="eastAsia" w:ascii="黑体" w:eastAsia="黑体" w:cs="黑体"/>
          <w:color w:val="auto"/>
          <w:sz w:val="21"/>
          <w:szCs w:val="21"/>
          <w:highlight w:val="none"/>
        </w:rPr>
        <w:t>四、响应文件提交 </w:t>
      </w:r>
    </w:p>
    <w:p>
      <w:pPr>
        <w:pStyle w:val="38"/>
        <w:spacing w:before="60" w:beforeAutospacing="0" w:after="60" w:afterAutospacing="0" w:line="240" w:lineRule="atLeast"/>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截止时间：</w:t>
      </w:r>
      <w:r>
        <w:rPr>
          <w:rFonts w:hint="eastAsia" w:ascii="仿宋" w:hAnsi="仿宋" w:eastAsia="仿宋" w:cs="仿宋"/>
          <w:color w:val="auto"/>
          <w:sz w:val="21"/>
          <w:szCs w:val="21"/>
          <w:highlight w:val="none"/>
          <w:lang w:eastAsia="zh-CN"/>
        </w:rPr>
        <w:t>2022年</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月</w:t>
      </w:r>
      <w:r>
        <w:rPr>
          <w:rFonts w:hint="eastAsia" w:ascii="仿宋" w:hAnsi="仿宋" w:eastAsia="仿宋" w:cs="仿宋"/>
          <w:color w:val="auto"/>
          <w:sz w:val="21"/>
          <w:szCs w:val="21"/>
          <w:highlight w:val="none"/>
          <w:lang w:val="en-US" w:eastAsia="zh-CN"/>
        </w:rPr>
        <w:t>11</w:t>
      </w:r>
      <w:r>
        <w:rPr>
          <w:rFonts w:hint="eastAsia" w:ascii="仿宋" w:hAnsi="仿宋" w:eastAsia="仿宋" w:cs="仿宋"/>
          <w:color w:val="auto"/>
          <w:sz w:val="21"/>
          <w:szCs w:val="21"/>
          <w:highlight w:val="none"/>
          <w:lang w:eastAsia="zh-CN"/>
        </w:rPr>
        <w:t>日</w:t>
      </w:r>
      <w:r>
        <w:rPr>
          <w:rFonts w:hint="eastAsia" w:ascii="仿宋" w:hAnsi="仿宋" w:eastAsia="仿宋" w:cs="仿宋"/>
          <w:color w:val="auto"/>
          <w:sz w:val="21"/>
          <w:szCs w:val="21"/>
          <w:highlight w:val="none"/>
          <w:lang w:val="en-US" w:eastAsia="zh-CN"/>
        </w:rPr>
        <w:t>11</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00</w:t>
      </w:r>
      <w:r>
        <w:rPr>
          <w:rFonts w:hint="eastAsia" w:ascii="仿宋" w:hAnsi="仿宋" w:eastAsia="仿宋" w:cs="仿宋"/>
          <w:color w:val="auto"/>
          <w:sz w:val="21"/>
          <w:szCs w:val="21"/>
          <w:highlight w:val="none"/>
        </w:rPr>
        <w:t>（北京时间）</w:t>
      </w:r>
    </w:p>
    <w:p>
      <w:pPr>
        <w:pStyle w:val="38"/>
        <w:spacing w:before="60" w:beforeAutospacing="0" w:after="60" w:afterAutospacing="0" w:line="240" w:lineRule="atLeast"/>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地点：中国远东国际招标有限公司新疆分公司（新疆乌鲁木齐经济技术开发区（头屯河区）喀纳斯湖北路455号新疆软件园创智大厦B座3层）</w:t>
      </w:r>
    </w:p>
    <w:p>
      <w:pPr>
        <w:pStyle w:val="38"/>
        <w:spacing w:before="204" w:beforeAutospacing="0" w:after="204" w:afterAutospacing="0" w:line="240" w:lineRule="atLeast"/>
        <w:jc w:val="both"/>
        <w:rPr>
          <w:rStyle w:val="47"/>
          <w:rFonts w:hint="eastAsia" w:ascii="黑体" w:eastAsia="黑体" w:cs="黑体"/>
          <w:color w:val="auto"/>
          <w:sz w:val="21"/>
          <w:szCs w:val="21"/>
          <w:highlight w:val="none"/>
        </w:rPr>
      </w:pPr>
      <w:r>
        <w:rPr>
          <w:rStyle w:val="47"/>
          <w:rFonts w:hint="eastAsia" w:ascii="黑体" w:eastAsia="黑体" w:cs="黑体"/>
          <w:color w:val="auto"/>
          <w:sz w:val="21"/>
          <w:szCs w:val="21"/>
          <w:highlight w:val="none"/>
        </w:rPr>
        <w:t>五、响应文件开启 </w:t>
      </w:r>
    </w:p>
    <w:p>
      <w:pPr>
        <w:pStyle w:val="38"/>
        <w:spacing w:before="60" w:beforeAutospacing="0" w:after="60" w:afterAutospacing="0" w:line="240" w:lineRule="atLeast"/>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开启时间：</w:t>
      </w:r>
      <w:r>
        <w:rPr>
          <w:rFonts w:hint="eastAsia" w:ascii="仿宋" w:hAnsi="仿宋" w:eastAsia="仿宋" w:cs="仿宋"/>
          <w:color w:val="auto"/>
          <w:sz w:val="21"/>
          <w:szCs w:val="21"/>
          <w:highlight w:val="none"/>
          <w:lang w:eastAsia="zh-CN"/>
        </w:rPr>
        <w:t>2022年5月11日</w:t>
      </w:r>
      <w:r>
        <w:rPr>
          <w:rFonts w:hint="eastAsia" w:ascii="仿宋" w:hAnsi="仿宋" w:eastAsia="仿宋" w:cs="仿宋"/>
          <w:color w:val="auto"/>
          <w:sz w:val="21"/>
          <w:szCs w:val="21"/>
          <w:highlight w:val="none"/>
          <w:lang w:val="en-US" w:eastAsia="zh-CN"/>
        </w:rPr>
        <w:t>11</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00</w:t>
      </w:r>
      <w:r>
        <w:rPr>
          <w:rFonts w:hint="eastAsia" w:ascii="仿宋" w:hAnsi="仿宋" w:eastAsia="仿宋" w:cs="仿宋"/>
          <w:color w:val="auto"/>
          <w:sz w:val="21"/>
          <w:szCs w:val="21"/>
          <w:highlight w:val="none"/>
        </w:rPr>
        <w:t>（北京时间）</w:t>
      </w:r>
    </w:p>
    <w:p>
      <w:pPr>
        <w:pStyle w:val="38"/>
        <w:spacing w:before="60" w:beforeAutospacing="0" w:after="60" w:afterAutospacing="0" w:line="240" w:lineRule="atLeast"/>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地点：中国远东国际招标有限公司新疆分公司（新疆乌鲁木齐经济技术开发区（头屯河区）喀纳斯湖北路455号新疆软件园创智大厦B座3层）</w:t>
      </w:r>
    </w:p>
    <w:p>
      <w:pPr>
        <w:pStyle w:val="38"/>
        <w:spacing w:before="204" w:beforeAutospacing="0" w:after="204" w:afterAutospacing="0" w:line="240" w:lineRule="atLeast"/>
        <w:jc w:val="both"/>
        <w:rPr>
          <w:rStyle w:val="47"/>
          <w:rFonts w:hint="eastAsia" w:ascii="黑体" w:eastAsia="黑体" w:cs="黑体"/>
          <w:color w:val="auto"/>
          <w:sz w:val="21"/>
          <w:szCs w:val="21"/>
          <w:highlight w:val="none"/>
        </w:rPr>
      </w:pPr>
      <w:r>
        <w:rPr>
          <w:rStyle w:val="47"/>
          <w:rFonts w:hint="eastAsia" w:ascii="黑体" w:eastAsia="黑体" w:cs="黑体"/>
          <w:color w:val="auto"/>
          <w:sz w:val="21"/>
          <w:szCs w:val="21"/>
          <w:highlight w:val="none"/>
        </w:rPr>
        <w:t>六、公告期限</w:t>
      </w:r>
    </w:p>
    <w:p>
      <w:pPr>
        <w:pStyle w:val="38"/>
        <w:spacing w:before="60" w:beforeAutospacing="0" w:after="60" w:afterAutospacing="0" w:line="240" w:lineRule="atLeast"/>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自本公告发布之日起5个工作日。</w:t>
      </w:r>
    </w:p>
    <w:p>
      <w:pPr>
        <w:pStyle w:val="38"/>
        <w:spacing w:before="204" w:beforeAutospacing="0" w:after="204" w:afterAutospacing="0" w:line="240" w:lineRule="atLeast"/>
        <w:jc w:val="both"/>
        <w:rPr>
          <w:rStyle w:val="47"/>
          <w:rFonts w:hint="eastAsia" w:ascii="黑体" w:eastAsia="黑体" w:cs="黑体"/>
          <w:color w:val="auto"/>
          <w:sz w:val="21"/>
          <w:szCs w:val="21"/>
          <w:highlight w:val="none"/>
        </w:rPr>
      </w:pPr>
      <w:r>
        <w:rPr>
          <w:rStyle w:val="47"/>
          <w:rFonts w:hint="eastAsia" w:ascii="黑体" w:eastAsia="黑体" w:cs="黑体"/>
          <w:color w:val="auto"/>
          <w:sz w:val="21"/>
          <w:szCs w:val="21"/>
          <w:highlight w:val="none"/>
        </w:rPr>
        <w:t>七、其他补充事宜 </w:t>
      </w:r>
    </w:p>
    <w:p>
      <w:pPr>
        <w:pStyle w:val="38"/>
        <w:spacing w:before="60" w:beforeAutospacing="0" w:after="60" w:afterAutospacing="0" w:line="240" w:lineRule="atLeast"/>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无</w:t>
      </w:r>
    </w:p>
    <w:p>
      <w:pPr>
        <w:pStyle w:val="38"/>
        <w:spacing w:before="204" w:beforeAutospacing="0" w:after="204" w:afterAutospacing="0" w:line="240" w:lineRule="atLeast"/>
        <w:jc w:val="both"/>
        <w:rPr>
          <w:rStyle w:val="47"/>
          <w:rFonts w:hint="eastAsia" w:ascii="黑体" w:eastAsia="黑体" w:cs="黑体"/>
          <w:color w:val="auto"/>
          <w:sz w:val="21"/>
          <w:szCs w:val="21"/>
          <w:highlight w:val="none"/>
        </w:rPr>
      </w:pPr>
      <w:r>
        <w:rPr>
          <w:rStyle w:val="47"/>
          <w:rFonts w:hint="eastAsia" w:ascii="黑体" w:eastAsia="黑体" w:cs="黑体"/>
          <w:color w:val="auto"/>
          <w:sz w:val="21"/>
          <w:szCs w:val="21"/>
          <w:highlight w:val="none"/>
        </w:rPr>
        <w:t>八、凡对本次招标提出询问，请按以下方式联系</w:t>
      </w:r>
    </w:p>
    <w:p>
      <w:pPr>
        <w:pStyle w:val="38"/>
        <w:spacing w:before="60" w:beforeAutospacing="0" w:after="60" w:afterAutospacing="0" w:line="240" w:lineRule="atLeast"/>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1.采购人信息</w:t>
      </w:r>
    </w:p>
    <w:p>
      <w:pPr>
        <w:pStyle w:val="38"/>
        <w:spacing w:before="60" w:beforeAutospacing="0" w:after="60" w:afterAutospacing="0" w:line="240" w:lineRule="atLeast"/>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名 称：乌鲁木齐市公安局天山区分局</w:t>
      </w:r>
    </w:p>
    <w:p>
      <w:pPr>
        <w:pStyle w:val="38"/>
        <w:spacing w:before="60" w:beforeAutospacing="0" w:after="60" w:afterAutospacing="0" w:line="240" w:lineRule="atLeast"/>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 址：乌鲁木齐市天山区团结路966号</w:t>
      </w:r>
    </w:p>
    <w:p>
      <w:pPr>
        <w:pStyle w:val="38"/>
        <w:spacing w:before="60" w:beforeAutospacing="0" w:after="60" w:afterAutospacing="0" w:line="240" w:lineRule="atLeast"/>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联系方式：0991-2505071</w:t>
      </w:r>
    </w:p>
    <w:p>
      <w:pPr>
        <w:pStyle w:val="38"/>
        <w:spacing w:before="60" w:beforeAutospacing="0" w:after="60" w:afterAutospacing="0" w:line="240" w:lineRule="atLeast"/>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2.采购代理机构信息</w:t>
      </w:r>
    </w:p>
    <w:p>
      <w:pPr>
        <w:pStyle w:val="38"/>
        <w:spacing w:before="60" w:beforeAutospacing="0" w:after="60" w:afterAutospacing="0" w:line="240" w:lineRule="atLeast"/>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名 称：中国远东国际招标有限公司新疆分公司</w:t>
      </w:r>
    </w:p>
    <w:p>
      <w:pPr>
        <w:pStyle w:val="38"/>
        <w:spacing w:before="60" w:beforeAutospacing="0" w:after="60" w:afterAutospacing="0" w:line="240" w:lineRule="atLeast"/>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 址：新疆乌鲁木齐经济技术开发区（头屯河区）喀纳斯湖北路455号新疆软件园创智大厦B座13层1303室</w:t>
      </w:r>
    </w:p>
    <w:p>
      <w:pPr>
        <w:pStyle w:val="38"/>
        <w:spacing w:before="60" w:beforeAutospacing="0" w:after="60" w:afterAutospacing="0" w:line="240" w:lineRule="atLeast"/>
        <w:ind w:firstLine="42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联系方式：</w:t>
      </w:r>
      <w:r>
        <w:rPr>
          <w:rFonts w:ascii="仿宋" w:hAnsi="仿宋" w:eastAsia="仿宋" w:cs="仿宋"/>
          <w:color w:val="auto"/>
          <w:sz w:val="21"/>
          <w:szCs w:val="21"/>
          <w:highlight w:val="none"/>
        </w:rPr>
        <w:t>0991</w:t>
      </w:r>
      <w:r>
        <w:rPr>
          <w:rFonts w:hint="eastAsia" w:ascii="仿宋" w:hAnsi="仿宋" w:eastAsia="仿宋" w:cs="仿宋"/>
          <w:color w:val="auto"/>
          <w:sz w:val="21"/>
          <w:szCs w:val="21"/>
          <w:highlight w:val="none"/>
        </w:rPr>
        <w:t>-</w:t>
      </w:r>
      <w:r>
        <w:rPr>
          <w:rFonts w:ascii="仿宋" w:hAnsi="仿宋" w:eastAsia="仿宋" w:cs="仿宋"/>
          <w:color w:val="auto"/>
          <w:sz w:val="21"/>
          <w:szCs w:val="21"/>
          <w:highlight w:val="none"/>
        </w:rPr>
        <w:t>3708098</w:t>
      </w:r>
    </w:p>
    <w:p>
      <w:pPr>
        <w:pStyle w:val="38"/>
        <w:spacing w:before="60" w:beforeAutospacing="0" w:after="60" w:afterAutospacing="0" w:line="240" w:lineRule="atLeast"/>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3.项目联系方式</w:t>
      </w:r>
    </w:p>
    <w:p>
      <w:pPr>
        <w:pStyle w:val="38"/>
        <w:spacing w:before="60" w:beforeAutospacing="0" w:after="60" w:afterAutospacing="0" w:line="240" w:lineRule="atLeast"/>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项目联系人：</w:t>
      </w:r>
      <w:r>
        <w:rPr>
          <w:rFonts w:hint="eastAsia" w:ascii="仿宋" w:hAnsi="仿宋" w:eastAsia="仿宋" w:cs="仿宋"/>
          <w:color w:val="auto"/>
          <w:sz w:val="21"/>
          <w:szCs w:val="21"/>
          <w:highlight w:val="none"/>
          <w:lang w:val="en-US" w:eastAsia="zh-CN"/>
        </w:rPr>
        <w:t>李沙沙、於震翱</w:t>
      </w:r>
    </w:p>
    <w:p>
      <w:pPr>
        <w:pStyle w:val="38"/>
        <w:spacing w:before="60" w:beforeAutospacing="0" w:after="60" w:afterAutospacing="0" w:line="240" w:lineRule="atLeast"/>
        <w:ind w:firstLine="42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电 话：13639931780</w:t>
      </w:r>
    </w:p>
    <w:p>
      <w:pPr>
        <w:pStyle w:val="40"/>
        <w:spacing w:before="312" w:beforeLines="100" w:after="312" w:afterLines="100"/>
        <w:rPr>
          <w:rFonts w:hint="eastAsia" w:ascii="宋体" w:hAnsi="宋体" w:cs="宋体"/>
          <w:color w:val="auto"/>
          <w:sz w:val="21"/>
          <w:szCs w:val="21"/>
          <w:highlight w:val="none"/>
        </w:rPr>
      </w:pPr>
      <w:bookmarkStart w:id="291" w:name="_GoBack"/>
      <w:bookmarkEnd w:id="291"/>
      <w:r>
        <w:rPr>
          <w:rFonts w:ascii="宋体" w:hAnsi="宋体" w:cs="宋体"/>
          <w:color w:val="auto"/>
          <w:sz w:val="21"/>
          <w:szCs w:val="21"/>
          <w:highlight w:val="none"/>
        </w:rPr>
        <w:br w:type="page"/>
      </w:r>
      <w:r>
        <w:rPr>
          <w:rFonts w:hint="eastAsia" w:ascii="宋体" w:hAnsi="宋体" w:cs="宋体"/>
          <w:color w:val="auto"/>
          <w:sz w:val="21"/>
          <w:szCs w:val="21"/>
          <w:highlight w:val="none"/>
        </w:rPr>
        <w:t>第二章 投标人须知</w:t>
      </w:r>
      <w:bookmarkEnd w:id="1"/>
    </w:p>
    <w:p>
      <w:pPr>
        <w:pStyle w:val="40"/>
        <w:spacing w:before="0" w:after="0" w:line="360" w:lineRule="auto"/>
        <w:rPr>
          <w:rFonts w:hint="eastAsia" w:ascii="宋体" w:hAnsi="宋体" w:cs="宋体"/>
          <w:color w:val="auto"/>
          <w:sz w:val="21"/>
          <w:szCs w:val="21"/>
          <w:highlight w:val="none"/>
        </w:rPr>
      </w:pPr>
      <w:bookmarkStart w:id="3" w:name="_Toc135393289"/>
      <w:bookmarkStart w:id="4" w:name="_Toc4098"/>
      <w:bookmarkStart w:id="5" w:name="_Toc162062857"/>
      <w:r>
        <w:rPr>
          <w:rFonts w:hint="eastAsia" w:ascii="宋体" w:hAnsi="宋体" w:cs="宋体"/>
          <w:color w:val="auto"/>
          <w:sz w:val="21"/>
          <w:szCs w:val="21"/>
          <w:highlight w:val="none"/>
        </w:rPr>
        <w:t>Ⅰ 投标人须知前附表</w:t>
      </w:r>
      <w:bookmarkEnd w:id="3"/>
      <w:bookmarkEnd w:id="4"/>
      <w:bookmarkEnd w:id="5"/>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本表是关于要采购服务的具体资料，是对投标人须知的具体补充和修改，如有矛盾，应以本资料表为准。</w:t>
      </w:r>
    </w:p>
    <w:tbl>
      <w:tblPr>
        <w:tblStyle w:val="44"/>
        <w:tblW w:w="0" w:type="auto"/>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28" w:type="dxa"/>
          <w:bottom w:w="0" w:type="dxa"/>
          <w:right w:w="28" w:type="dxa"/>
        </w:tblCellMar>
      </w:tblPr>
      <w:tblGrid>
        <w:gridCol w:w="819"/>
        <w:gridCol w:w="7543"/>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jc w:val="center"/>
        </w:trPr>
        <w:tc>
          <w:tcPr>
            <w:tcW w:w="81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754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内      容</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jc w:val="center"/>
        </w:trPr>
        <w:tc>
          <w:tcPr>
            <w:tcW w:w="819" w:type="dxa"/>
            <w:noWrap w:val="0"/>
            <w:vAlign w:val="center"/>
          </w:tcPr>
          <w:p>
            <w:pPr>
              <w:keepNext w:val="0"/>
              <w:keepLines w:val="0"/>
              <w:suppressLineNumbers w:val="0"/>
              <w:spacing w:before="0" w:beforeAutospacing="0" w:after="0" w:afterAutospacing="0"/>
              <w:ind w:left="0" w:right="0"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1</w:t>
            </w:r>
          </w:p>
        </w:tc>
        <w:tc>
          <w:tcPr>
            <w:tcW w:w="7543" w:type="dxa"/>
            <w:noWrap w:val="0"/>
            <w:vAlign w:val="center"/>
          </w:tcPr>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 xml:space="preserve">招标采购单位：乌鲁木齐市公安局天山区分局 </w:t>
            </w:r>
          </w:p>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地址：乌鲁木齐市天山区团结路966号</w:t>
            </w:r>
          </w:p>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招标代理机构：中国远东国际招标有限公司新疆分公司</w:t>
            </w:r>
          </w:p>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地址：新疆乌鲁木齐经济技术开发区（头屯河区）喀纳斯湖北路455号新疆软件园创智大厦B座13层1303室</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trHeight w:val="5707" w:hRule="atLeast"/>
          <w:jc w:val="center"/>
        </w:trPr>
        <w:tc>
          <w:tcPr>
            <w:tcW w:w="81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7543" w:type="dxa"/>
            <w:noWrap w:val="0"/>
            <w:vAlign w:val="center"/>
          </w:tcPr>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合格投标人资质要求：</w:t>
            </w:r>
          </w:p>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1）投标人应具有独立承担民事责任的能力的企业法人、事业法人、其他组织或者自然人,企业法人应提供营业执照、组织机构代码证、税务登记证（或统一社会信用代码的营业执照）等证明文件；事业法人应提供事业单位法人证、组织机构代码证等证明文件；其他组织应提供合法证明文件；自然人提供身份证明文件；且为非外资独资或外资控股企业。</w:t>
            </w:r>
          </w:p>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（2）具有良好的商业信誉和健全的财务会计制度（需提供2020年度经会计师事务所出具的财务审计报告或其基本开户银行出具的资信证明）；</w:t>
            </w:r>
          </w:p>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 xml:space="preserve">（3）具有依法缴纳税收和社会保障资金的良好记录（需提供投标截止日前六个月内任一个月的企业纳税证明和社保缴费记录证明）； </w:t>
            </w:r>
          </w:p>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 xml:space="preserve">（4）参加政府采购活动前三年内（成立不足三年的从成立之日起算），在经营活动中没有重大违法记录（需提供加盖公章的声明书）； </w:t>
            </w:r>
          </w:p>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（5）具有履行合同所必需的设备及专业技术能力和供应保障能力（需提供承诺书）；</w:t>
            </w:r>
          </w:p>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6）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p>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eastAsia="宋体" w:cs="宋体"/>
                <w:color w:val="auto"/>
                <w:szCs w:val="21"/>
                <w:highlight w:val="none"/>
              </w:rPr>
              <w:t>投标人应为经运输管理部门许可的汽车维修二类资质及以上资质的汽车维修机构，并提供相关证明材料</w:t>
            </w:r>
            <w:r>
              <w:rPr>
                <w:rFonts w:hint="eastAsia" w:ascii="宋体" w:hAnsi="宋体" w:eastAsia="宋体" w:cs="宋体"/>
                <w:color w:val="auto"/>
                <w:szCs w:val="21"/>
                <w:highlight w:val="none"/>
                <w:lang w:eastAsia="zh-CN"/>
              </w:rPr>
              <w:t>；</w:t>
            </w:r>
          </w:p>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（8）投标单位须提供法人授权委托书及有效身份证明原件或法人身份证明及有效身份证明原件；</w:t>
            </w:r>
          </w:p>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（9）本项目不接受联合体投标。</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jc w:val="center"/>
        </w:trPr>
        <w:tc>
          <w:tcPr>
            <w:tcW w:w="81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543" w:type="dxa"/>
            <w:noWrap w:val="0"/>
            <w:vAlign w:val="center"/>
          </w:tcPr>
          <w:p>
            <w:pPr>
              <w:keepNext w:val="0"/>
              <w:keepLines w:val="0"/>
              <w:numPr>
                <w:ilvl w:val="0"/>
                <w:numId w:val="3"/>
              </w:numPr>
              <w:suppressLineNumbers w:val="0"/>
              <w:spacing w:before="0" w:beforeAutospacing="0" w:after="0" w:afterAutospacing="0"/>
              <w:ind w:left="0" w:right="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投标保证金金额：</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val="en-US" w:eastAsia="zh-CN"/>
              </w:rPr>
              <w:t>11000</w:t>
            </w:r>
            <w:r>
              <w:rPr>
                <w:rFonts w:hint="eastAsia" w:ascii="宋体" w:hAnsi="宋体" w:eastAsia="宋体" w:cs="宋体"/>
                <w:color w:val="auto"/>
                <w:szCs w:val="21"/>
                <w:highlight w:val="none"/>
              </w:rPr>
              <w:t>元（大写：</w:t>
            </w:r>
            <w:r>
              <w:rPr>
                <w:rFonts w:hint="eastAsia" w:ascii="宋体" w:hAnsi="宋体" w:eastAsia="宋体" w:cs="宋体"/>
                <w:color w:val="auto"/>
                <w:szCs w:val="21"/>
                <w:highlight w:val="none"/>
                <w:lang w:val="en-US" w:eastAsia="zh-CN"/>
              </w:rPr>
              <w:t>壹万壹仟</w:t>
            </w:r>
            <w:r>
              <w:rPr>
                <w:rFonts w:hint="eastAsia" w:ascii="宋体" w:hAnsi="宋体" w:eastAsia="宋体" w:cs="宋体"/>
                <w:color w:val="auto"/>
                <w:szCs w:val="21"/>
                <w:highlight w:val="none"/>
              </w:rPr>
              <w:t>元整）</w:t>
            </w:r>
            <w:r>
              <w:rPr>
                <w:rFonts w:hint="eastAsia" w:ascii="宋体" w:hAnsi="宋体" w:eastAsia="宋体" w:cs="宋体"/>
                <w:color w:val="auto"/>
                <w:szCs w:val="21"/>
                <w:highlight w:val="none"/>
                <w:lang w:eastAsia="zh-CN"/>
              </w:rPr>
              <w:t>。</w:t>
            </w:r>
          </w:p>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（2）投标保证金形式：支票、汇票、本票、网上银行支付等形式。</w:t>
            </w:r>
          </w:p>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（3）保证金银行账户</w:t>
            </w:r>
          </w:p>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 xml:space="preserve">收款单位：中国远东国际招标有限公司  </w:t>
            </w:r>
          </w:p>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开户银行：中国建设银行股份有限公司北京玉泉支行</w:t>
            </w:r>
          </w:p>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账</w:t>
            </w:r>
            <w:r>
              <w:rPr>
                <w:rFonts w:hint="eastAsia" w:ascii="宋体" w:hAnsi="宋体" w:cs="宋体"/>
                <w:color w:val="auto"/>
                <w:szCs w:val="21"/>
                <w:highlight w:val="none"/>
              </w:rPr>
              <w:tab/>
            </w:r>
            <w:r>
              <w:rPr>
                <w:rFonts w:hint="eastAsia" w:ascii="宋体" w:hAnsi="宋体" w:cs="宋体"/>
                <w:color w:val="auto"/>
                <w:szCs w:val="21"/>
                <w:highlight w:val="none"/>
              </w:rPr>
              <w:t xml:space="preserve">   号：6232810010000201022</w:t>
            </w:r>
          </w:p>
          <w:p>
            <w:pPr>
              <w:keepNext w:val="0"/>
              <w:keepLines w:val="0"/>
              <w:suppressLineNumbers w:val="0"/>
              <w:spacing w:before="0" w:beforeAutospacing="0" w:after="0" w:afterAutospacing="0"/>
              <w:ind w:left="0" w:right="0"/>
              <w:jc w:val="left"/>
              <w:rPr>
                <w:rFonts w:hint="eastAsia" w:ascii="宋体" w:hAnsi="宋体" w:cs="宋体"/>
                <w:color w:val="auto"/>
                <w:sz w:val="24"/>
                <w:highlight w:val="none"/>
              </w:rPr>
            </w:pPr>
            <w:r>
              <w:rPr>
                <w:rFonts w:hint="eastAsia" w:ascii="宋体" w:hAnsi="宋体" w:cs="宋体"/>
                <w:color w:val="auto"/>
                <w:szCs w:val="21"/>
                <w:highlight w:val="none"/>
              </w:rPr>
              <w:t>投标保证金的缴纳形式：投标保证金于</w:t>
            </w:r>
            <w:r>
              <w:rPr>
                <w:rFonts w:hint="eastAsia" w:ascii="仿宋" w:hAnsi="仿宋" w:eastAsia="仿宋" w:cs="仿宋"/>
                <w:color w:val="auto"/>
                <w:sz w:val="21"/>
                <w:szCs w:val="21"/>
                <w:highlight w:val="none"/>
                <w:lang w:eastAsia="zh-CN"/>
              </w:rPr>
              <w:t>2022年5月11日</w:t>
            </w:r>
            <w:r>
              <w:rPr>
                <w:rFonts w:hint="eastAsia" w:ascii="仿宋" w:hAnsi="仿宋" w:eastAsia="仿宋" w:cs="仿宋"/>
                <w:color w:val="auto"/>
                <w:sz w:val="21"/>
                <w:szCs w:val="21"/>
                <w:highlight w:val="none"/>
                <w:lang w:val="en-US" w:eastAsia="zh-CN"/>
              </w:rPr>
              <w:t>11</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00</w:t>
            </w:r>
            <w:r>
              <w:rPr>
                <w:rFonts w:hint="eastAsia" w:ascii="宋体" w:hAnsi="宋体" w:cs="宋体"/>
                <w:color w:val="auto"/>
                <w:szCs w:val="21"/>
                <w:highlight w:val="none"/>
              </w:rPr>
              <w:t>（北京时间，已到账时间为准）之前</w:t>
            </w:r>
            <w:r>
              <w:rPr>
                <w:rFonts w:hint="default" w:ascii="Times New Roman" w:hAnsi="Times New Roman" w:cs="Times New Roman"/>
                <w:color w:val="auto"/>
                <w:szCs w:val="21"/>
                <w:highlight w:val="none"/>
              </w:rPr>
              <w:t>从</w:t>
            </w:r>
            <w:r>
              <w:rPr>
                <w:rFonts w:hint="eastAsia" w:ascii="Times New Roman" w:hAnsi="Times New Roman" w:cs="Times New Roman"/>
                <w:color w:val="auto"/>
                <w:szCs w:val="21"/>
                <w:highlight w:val="none"/>
              </w:rPr>
              <w:t>投标人</w:t>
            </w:r>
            <w:r>
              <w:rPr>
                <w:rFonts w:hint="default" w:ascii="Times New Roman" w:hAnsi="Times New Roman" w:cs="Times New Roman"/>
                <w:color w:val="auto"/>
                <w:szCs w:val="21"/>
                <w:highlight w:val="none"/>
              </w:rPr>
              <w:t>基本账户以</w:t>
            </w:r>
            <w:r>
              <w:rPr>
                <w:rFonts w:hint="eastAsia" w:ascii="宋体" w:hAnsi="宋体" w:cs="宋体"/>
                <w:color w:val="auto"/>
                <w:szCs w:val="21"/>
                <w:highlight w:val="none"/>
              </w:rPr>
              <w:t>支票、汇票、本票、网上银行支付等</w:t>
            </w:r>
            <w:r>
              <w:rPr>
                <w:rFonts w:hint="default" w:ascii="Times New Roman" w:hAnsi="Times New Roman" w:cs="Times New Roman"/>
                <w:color w:val="auto"/>
                <w:szCs w:val="21"/>
                <w:highlight w:val="none"/>
              </w:rPr>
              <w:t>形式汇至投标保证金账户，</w:t>
            </w:r>
            <w:r>
              <w:rPr>
                <w:rFonts w:hint="eastAsia" w:ascii="Times New Roman" w:hAnsi="Times New Roman" w:cs="Times New Roman"/>
                <w:color w:val="auto"/>
                <w:szCs w:val="21"/>
                <w:highlight w:val="none"/>
              </w:rPr>
              <w:t>投标人</w:t>
            </w:r>
            <w:r>
              <w:rPr>
                <w:rFonts w:hint="default" w:ascii="Times New Roman" w:hAnsi="Times New Roman" w:cs="Times New Roman"/>
                <w:color w:val="auto"/>
                <w:szCs w:val="21"/>
                <w:highlight w:val="none"/>
              </w:rPr>
              <w:t>提交投标保证金应充分考虑资金在途时间，</w:t>
            </w:r>
            <w:r>
              <w:rPr>
                <w:rFonts w:hint="eastAsia" w:ascii="Times New Roman" w:hAnsi="Times New Roman" w:cs="Times New Roman"/>
                <w:color w:val="auto"/>
                <w:szCs w:val="21"/>
                <w:highlight w:val="none"/>
              </w:rPr>
              <w:t>投标人</w:t>
            </w:r>
            <w:r>
              <w:rPr>
                <w:rFonts w:hint="default" w:ascii="Times New Roman" w:hAnsi="Times New Roman" w:cs="Times New Roman"/>
                <w:color w:val="auto"/>
                <w:szCs w:val="21"/>
                <w:highlight w:val="none"/>
              </w:rPr>
              <w:t>缴纳保证金时，采用网银形式提交的，在“用途栏”中只能注明“</w:t>
            </w:r>
            <w:r>
              <w:rPr>
                <w:rFonts w:hint="eastAsia" w:ascii="Times New Roman" w:hAnsi="Times New Roman" w:cs="Times New Roman"/>
                <w:color w:val="auto"/>
                <w:szCs w:val="21"/>
                <w:highlight w:val="none"/>
              </w:rPr>
              <w:t>项目编号的投标保证金</w:t>
            </w:r>
            <w:r>
              <w:rPr>
                <w:rFonts w:hint="default" w:ascii="Times New Roman" w:hAnsi="Times New Roman" w:cs="Times New Roman"/>
                <w:color w:val="auto"/>
                <w:szCs w:val="21"/>
                <w:highlight w:val="none"/>
              </w:rPr>
              <w:t>”字样。否则，会导致投标保证金接收方银行到账信息不准确，从而导致该单位投标保证金被拒绝。投标保证金有效期：投标截止时间后90天。（注：“项目</w:t>
            </w:r>
            <w:r>
              <w:rPr>
                <w:rFonts w:hint="eastAsia" w:ascii="Times New Roman" w:hAnsi="Times New Roman" w:cs="Times New Roman"/>
                <w:color w:val="auto"/>
                <w:szCs w:val="21"/>
                <w:highlight w:val="none"/>
              </w:rPr>
              <w:t>编号</w:t>
            </w:r>
            <w:r>
              <w:rPr>
                <w:rFonts w:hint="default" w:ascii="Times New Roman" w:hAnsi="Times New Roman" w:cs="Times New Roman"/>
                <w:color w:val="auto"/>
                <w:szCs w:val="21"/>
                <w:highlight w:val="none"/>
              </w:rPr>
              <w:t>”为所投标段的项目</w:t>
            </w:r>
            <w:r>
              <w:rPr>
                <w:rFonts w:hint="eastAsia" w:ascii="Times New Roman" w:hAnsi="Times New Roman" w:cs="Times New Roman"/>
                <w:color w:val="auto"/>
                <w:szCs w:val="21"/>
                <w:highlight w:val="none"/>
              </w:rPr>
              <w:t>编号</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rPr>
              <w:br w:type="textWrapping"/>
            </w:r>
            <w:r>
              <w:rPr>
                <w:rFonts w:hint="default" w:ascii="Times New Roman" w:hAnsi="Times New Roman" w:cs="Times New Roman"/>
                <w:color w:val="auto"/>
                <w:szCs w:val="21"/>
                <w:highlight w:val="none"/>
              </w:rPr>
              <w:t>若</w:t>
            </w:r>
            <w:r>
              <w:rPr>
                <w:rFonts w:hint="eastAsia" w:ascii="Times New Roman" w:hAnsi="Times New Roman" w:cs="Times New Roman"/>
                <w:color w:val="auto"/>
                <w:szCs w:val="21"/>
                <w:highlight w:val="none"/>
              </w:rPr>
              <w:t>投标人</w:t>
            </w:r>
            <w:r>
              <w:rPr>
                <w:rFonts w:hint="default" w:ascii="Times New Roman" w:hAnsi="Times New Roman" w:cs="Times New Roman"/>
                <w:color w:val="auto"/>
                <w:szCs w:val="21"/>
                <w:highlight w:val="none"/>
              </w:rPr>
              <w:t>未按照上述规定缴纳投标保证金</w:t>
            </w:r>
            <w:r>
              <w:rPr>
                <w:rFonts w:hint="eastAsia" w:ascii="Times New Roman" w:hAnsi="Times New Roman" w:cs="Times New Roman"/>
                <w:color w:val="auto"/>
                <w:szCs w:val="21"/>
                <w:highlight w:val="none"/>
              </w:rPr>
              <w:t>，</w:t>
            </w:r>
            <w:r>
              <w:rPr>
                <w:rFonts w:hint="default" w:ascii="Times New Roman" w:hAnsi="Times New Roman" w:cs="Times New Roman"/>
                <w:color w:val="auto"/>
                <w:szCs w:val="21"/>
                <w:highlight w:val="none"/>
              </w:rPr>
              <w:t>投标文件将被拒绝评审。</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jc w:val="center"/>
        </w:trPr>
        <w:tc>
          <w:tcPr>
            <w:tcW w:w="819"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宋体"/>
                <w:bCs/>
                <w:color w:val="auto"/>
                <w:szCs w:val="21"/>
                <w:highlight w:val="none"/>
              </w:rPr>
            </w:pPr>
            <w:r>
              <w:rPr>
                <w:rFonts w:hint="eastAsia" w:ascii="宋体" w:hAnsi="宋体" w:eastAsia="宋体" w:cs="宋体"/>
                <w:color w:val="auto"/>
                <w:szCs w:val="21"/>
                <w:highlight w:val="none"/>
              </w:rPr>
              <w:t>4</w:t>
            </w:r>
          </w:p>
        </w:tc>
        <w:tc>
          <w:tcPr>
            <w:tcW w:w="7543" w:type="dxa"/>
            <w:noWrap w:val="0"/>
            <w:vAlign w:val="center"/>
          </w:tcPr>
          <w:p>
            <w:pPr>
              <w:keepNext w:val="0"/>
              <w:keepLines w:val="0"/>
              <w:suppressLineNumbers w:val="0"/>
              <w:spacing w:before="0" w:beforeAutospacing="0" w:after="0" w:afterAutospacing="0"/>
              <w:ind w:left="0" w:right="0"/>
              <w:rPr>
                <w:rFonts w:hint="eastAsia" w:ascii="Times New Roman" w:hAnsi="Times New Roman" w:eastAsia="宋体" w:cs="宋体"/>
                <w:bCs/>
                <w:color w:val="auto"/>
                <w:szCs w:val="21"/>
                <w:highlight w:val="none"/>
              </w:rPr>
            </w:pPr>
            <w:r>
              <w:rPr>
                <w:rFonts w:hint="eastAsia" w:ascii="Times New Roman" w:hAnsi="Times New Roman" w:eastAsia="宋体" w:cs="宋体"/>
                <w:bCs/>
                <w:color w:val="auto"/>
                <w:szCs w:val="21"/>
                <w:highlight w:val="none"/>
              </w:rPr>
              <w:t>中标服务费依据国家计委印发的《招标代理服务收费管理暂行办法》（计价格[2002]1980号）和国家发展改革委员会印发的《国家发展改革委办公厅关于招标代理服务收费有关问题的通知》（发改办[2003]857号）的标准取费，由中标人支付。</w:t>
            </w:r>
          </w:p>
          <w:p>
            <w:pPr>
              <w:keepNext w:val="0"/>
              <w:keepLines w:val="0"/>
              <w:suppressLineNumbers w:val="0"/>
              <w:spacing w:before="0" w:beforeAutospacing="0" w:after="0" w:afterAutospacing="0"/>
              <w:ind w:left="0" w:right="0"/>
              <w:rPr>
                <w:rFonts w:hint="eastAsia" w:ascii="Times New Roman" w:hAnsi="Times New Roman" w:eastAsia="宋体" w:cs="宋体"/>
                <w:bCs/>
                <w:color w:val="auto"/>
                <w:szCs w:val="21"/>
                <w:highlight w:val="none"/>
              </w:rPr>
            </w:pPr>
            <w:r>
              <w:rPr>
                <w:rFonts w:hint="eastAsia" w:ascii="Times New Roman" w:hAnsi="Times New Roman" w:eastAsia="宋体" w:cs="宋体"/>
                <w:bCs/>
                <w:color w:val="auto"/>
                <w:szCs w:val="21"/>
                <w:highlight w:val="none"/>
              </w:rPr>
              <w:t>中标服务费缴费银行账号：</w:t>
            </w:r>
          </w:p>
          <w:p>
            <w:pPr>
              <w:keepNext w:val="0"/>
              <w:keepLines w:val="0"/>
              <w:suppressLineNumbers w:val="0"/>
              <w:spacing w:before="0" w:beforeAutospacing="0" w:after="0" w:afterAutospacing="0"/>
              <w:ind w:left="0" w:right="0"/>
              <w:rPr>
                <w:rFonts w:hint="eastAsia" w:ascii="Times New Roman" w:hAnsi="Times New Roman" w:eastAsia="宋体" w:cs="宋体"/>
                <w:bCs/>
                <w:color w:val="auto"/>
                <w:szCs w:val="21"/>
                <w:highlight w:val="none"/>
              </w:rPr>
            </w:pPr>
            <w:r>
              <w:rPr>
                <w:rFonts w:hint="eastAsia" w:ascii="Times New Roman" w:hAnsi="Times New Roman" w:eastAsia="宋体" w:cs="宋体"/>
                <w:bCs/>
                <w:color w:val="auto"/>
                <w:szCs w:val="21"/>
                <w:highlight w:val="none"/>
              </w:rPr>
              <w:t xml:space="preserve">收款单位：中国远东国际招标有限公司新疆分公司  </w:t>
            </w:r>
          </w:p>
          <w:p>
            <w:pPr>
              <w:keepNext w:val="0"/>
              <w:keepLines w:val="0"/>
              <w:suppressLineNumbers w:val="0"/>
              <w:spacing w:before="0" w:beforeAutospacing="0" w:after="0" w:afterAutospacing="0"/>
              <w:ind w:left="0" w:right="0"/>
              <w:rPr>
                <w:rFonts w:hint="eastAsia" w:ascii="Times New Roman" w:hAnsi="Times New Roman" w:eastAsia="宋体" w:cs="宋体"/>
                <w:bCs/>
                <w:color w:val="auto"/>
                <w:szCs w:val="21"/>
                <w:highlight w:val="none"/>
              </w:rPr>
            </w:pPr>
            <w:r>
              <w:rPr>
                <w:rFonts w:hint="eastAsia" w:ascii="Times New Roman" w:hAnsi="Times New Roman" w:eastAsia="宋体" w:cs="宋体"/>
                <w:bCs/>
                <w:color w:val="auto"/>
                <w:szCs w:val="21"/>
                <w:highlight w:val="none"/>
              </w:rPr>
              <w:t>开户银行：中国工商银行股份有限公司乌鲁木齐澎湖路科技支行</w:t>
            </w:r>
          </w:p>
          <w:p>
            <w:pPr>
              <w:keepNext w:val="0"/>
              <w:keepLines w:val="0"/>
              <w:suppressLineNumbers w:val="0"/>
              <w:spacing w:before="0" w:beforeAutospacing="0" w:after="0" w:afterAutospacing="0"/>
              <w:ind w:left="0" w:right="0"/>
              <w:rPr>
                <w:rFonts w:hint="eastAsia" w:ascii="Times New Roman" w:hAnsi="Times New Roman" w:eastAsia="宋体" w:cs="宋体"/>
                <w:bCs/>
                <w:color w:val="auto"/>
                <w:szCs w:val="21"/>
                <w:highlight w:val="none"/>
              </w:rPr>
            </w:pPr>
            <w:r>
              <w:rPr>
                <w:rFonts w:hint="eastAsia" w:ascii="Times New Roman" w:hAnsi="Times New Roman" w:eastAsia="宋体" w:cs="宋体"/>
                <w:bCs/>
                <w:color w:val="auto"/>
                <w:szCs w:val="21"/>
                <w:highlight w:val="none"/>
              </w:rPr>
              <w:t>账</w:t>
            </w:r>
            <w:r>
              <w:rPr>
                <w:rFonts w:hint="eastAsia" w:ascii="Times New Roman" w:hAnsi="Times New Roman" w:eastAsia="宋体" w:cs="宋体"/>
                <w:bCs/>
                <w:color w:val="auto"/>
                <w:szCs w:val="21"/>
                <w:highlight w:val="none"/>
              </w:rPr>
              <w:tab/>
            </w:r>
            <w:r>
              <w:rPr>
                <w:rFonts w:hint="eastAsia" w:ascii="Times New Roman" w:hAnsi="Times New Roman" w:eastAsia="宋体" w:cs="宋体"/>
                <w:bCs/>
                <w:color w:val="auto"/>
                <w:szCs w:val="21"/>
                <w:highlight w:val="none"/>
              </w:rPr>
              <w:t xml:space="preserve">   号：3002019209200069062</w:t>
            </w:r>
          </w:p>
          <w:p>
            <w:pPr>
              <w:keepNext w:val="0"/>
              <w:keepLines w:val="0"/>
              <w:suppressLineNumbers w:val="0"/>
              <w:spacing w:before="0" w:beforeAutospacing="0" w:after="0" w:afterAutospacing="0"/>
              <w:ind w:left="0" w:right="0"/>
              <w:rPr>
                <w:rFonts w:hint="eastAsia" w:ascii="Times New Roman" w:hAnsi="Times New Roman" w:eastAsia="宋体" w:cs="宋体"/>
                <w:bCs/>
                <w:color w:val="auto"/>
                <w:szCs w:val="21"/>
                <w:highlight w:val="none"/>
              </w:rPr>
            </w:pPr>
            <w:r>
              <w:rPr>
                <w:rFonts w:hint="eastAsia" w:ascii="Times New Roman" w:hAnsi="Times New Roman" w:eastAsia="宋体" w:cs="宋体"/>
                <w:bCs/>
                <w:color w:val="auto"/>
                <w:szCs w:val="21"/>
                <w:highlight w:val="none"/>
                <w:lang w:val="zh-CN"/>
              </w:rPr>
              <w:t>如需我司开具“增值税专用发票”的，在投标时须同时提交开具“增值税专用发票”的相关财务信息材料（在税务部门备案的信息）并加盖公章，包括：单位名称、纳税人识别号、营业地址及联系电话、开户银行及账号，以及一般纳税人证明，否则将开具“增值税普通发票”；由于投标人没有及时提交上述资料而导致无法开具“增值税专用发票”的，后果由投标人自行承担。</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jc w:val="center"/>
        </w:trPr>
        <w:tc>
          <w:tcPr>
            <w:tcW w:w="81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7543" w:type="dxa"/>
            <w:noWrap w:val="0"/>
            <w:vAlign w:val="center"/>
          </w:tcPr>
          <w:p>
            <w:pPr>
              <w:keepNext w:val="0"/>
              <w:keepLines w:val="0"/>
              <w:suppressLineNumbers w:val="0"/>
              <w:spacing w:before="0" w:beforeAutospacing="0" w:after="0" w:afterAutospacing="0"/>
              <w:ind w:left="1592" w:right="0" w:hanging="1592"/>
              <w:jc w:val="left"/>
              <w:rPr>
                <w:rFonts w:hint="eastAsia" w:ascii="宋体" w:hAnsi="宋体" w:cs="宋体"/>
                <w:color w:val="auto"/>
                <w:szCs w:val="21"/>
                <w:highlight w:val="none"/>
                <w:u w:val="single"/>
              </w:rPr>
            </w:pPr>
            <w:r>
              <w:rPr>
                <w:rFonts w:hint="eastAsia" w:ascii="宋体" w:hAnsi="宋体" w:cs="宋体"/>
                <w:color w:val="auto"/>
                <w:szCs w:val="21"/>
                <w:highlight w:val="none"/>
              </w:rPr>
              <w:t>投标有效期：90个日历天。</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jc w:val="center"/>
        </w:trPr>
        <w:tc>
          <w:tcPr>
            <w:tcW w:w="81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7543" w:type="dxa"/>
            <w:noWrap w:val="0"/>
            <w:vAlign w:val="top"/>
          </w:tcPr>
          <w:p>
            <w:pPr>
              <w:keepNext w:val="0"/>
              <w:keepLines w:val="0"/>
              <w:suppressLineNumbers w:val="0"/>
              <w:spacing w:before="0" w:beforeAutospacing="0" w:after="0" w:afterAutospacing="0"/>
              <w:ind w:left="0" w:right="0"/>
              <w:rPr>
                <w:rFonts w:hint="eastAsia" w:ascii="Times New Roman" w:hAnsi="Times New Roman" w:eastAsia="宋体" w:cs="宋体"/>
                <w:bCs/>
                <w:color w:val="auto"/>
                <w:szCs w:val="21"/>
                <w:highlight w:val="none"/>
              </w:rPr>
            </w:pPr>
            <w:r>
              <w:rPr>
                <w:rFonts w:hint="eastAsia" w:ascii="Times New Roman" w:hAnsi="Times New Roman" w:eastAsia="宋体" w:cs="宋体"/>
                <w:bCs/>
                <w:color w:val="auto"/>
                <w:szCs w:val="21"/>
                <w:highlight w:val="none"/>
              </w:rPr>
              <w:t>投标文件：正本：1份、副本：</w:t>
            </w:r>
            <w:r>
              <w:rPr>
                <w:rFonts w:hint="eastAsia" w:ascii="Times New Roman" w:hAnsi="Times New Roman" w:eastAsia="宋体" w:cs="宋体"/>
                <w:bCs/>
                <w:color w:val="auto"/>
                <w:szCs w:val="21"/>
                <w:highlight w:val="none"/>
                <w:lang w:val="en-US" w:eastAsia="zh-CN"/>
              </w:rPr>
              <w:t>3</w:t>
            </w:r>
            <w:r>
              <w:rPr>
                <w:rFonts w:hint="eastAsia" w:ascii="Times New Roman" w:hAnsi="Times New Roman" w:eastAsia="宋体" w:cs="宋体"/>
                <w:bCs/>
                <w:color w:val="auto"/>
                <w:szCs w:val="21"/>
                <w:highlight w:val="none"/>
              </w:rPr>
              <w:t>份、电子版1份（须为正本签字盖章后的扫描件并单独密封递交，载体须为U盘，投标人应对此承担全部法律责任。）</w:t>
            </w:r>
          </w:p>
          <w:p>
            <w:pPr>
              <w:keepNext w:val="0"/>
              <w:keepLines w:val="0"/>
              <w:suppressLineNumbers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eastAsia" w:ascii="Times New Roman" w:hAnsi="Times New Roman" w:eastAsia="宋体" w:cs="宋体"/>
                <w:bCs/>
                <w:color w:val="auto"/>
                <w:szCs w:val="21"/>
                <w:highlight w:val="none"/>
                <w:lang w:val="en-US" w:eastAsia="zh-CN"/>
              </w:rPr>
              <w:t>注：各包分别制作，并在封皮上写明包号。</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trHeight w:val="1610" w:hRule="atLeast"/>
          <w:jc w:val="center"/>
        </w:trPr>
        <w:tc>
          <w:tcPr>
            <w:tcW w:w="81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7543" w:type="dxa"/>
            <w:noWrap w:val="0"/>
            <w:vAlign w:val="top"/>
          </w:tcPr>
          <w:p>
            <w:pPr>
              <w:keepNext w:val="0"/>
              <w:keepLines w:val="0"/>
              <w:suppressLineNumbers w:val="0"/>
              <w:spacing w:before="0" w:beforeAutospacing="0" w:after="0" w:afterAutospacing="0"/>
              <w:ind w:left="0" w:right="0"/>
              <w:rPr>
                <w:rFonts w:hint="eastAsia" w:ascii="宋体" w:hAnsi="Times New Roman" w:cs="宋体"/>
                <w:bCs/>
                <w:color w:val="auto"/>
                <w:szCs w:val="21"/>
                <w:highlight w:val="none"/>
                <w:lang w:val="zh-CN"/>
              </w:rPr>
            </w:pPr>
            <w:r>
              <w:rPr>
                <w:rFonts w:hint="eastAsia" w:ascii="Times New Roman" w:hAnsi="Times New Roman" w:cs="宋体"/>
                <w:bCs/>
                <w:color w:val="auto"/>
                <w:szCs w:val="21"/>
                <w:highlight w:val="none"/>
              </w:rPr>
              <w:t>1）开标审查内容：</w:t>
            </w:r>
            <w:r>
              <w:rPr>
                <w:rFonts w:hint="eastAsia" w:ascii="Times New Roman" w:hAnsi="Times New Roman" w:cs="宋体"/>
                <w:bCs/>
                <w:color w:val="auto"/>
                <w:szCs w:val="21"/>
                <w:highlight w:val="none"/>
                <w:lang w:val="zh-CN"/>
              </w:rPr>
              <w:t>营业执照原件（或复印件加盖公章）、</w:t>
            </w:r>
            <w:r>
              <w:rPr>
                <w:rFonts w:hint="eastAsia" w:ascii="Times New Roman" w:hAnsi="Times New Roman" w:cs="宋体"/>
                <w:bCs/>
                <w:color w:val="auto"/>
                <w:szCs w:val="21"/>
                <w:highlight w:val="none"/>
                <w:lang w:val="en-US" w:eastAsia="zh-CN"/>
              </w:rPr>
              <w:t>资质证书</w:t>
            </w:r>
            <w:r>
              <w:rPr>
                <w:rFonts w:hint="eastAsia" w:ascii="Times New Roman" w:hAnsi="Times New Roman" w:cs="宋体"/>
                <w:bCs/>
                <w:color w:val="auto"/>
                <w:szCs w:val="21"/>
                <w:highlight w:val="none"/>
                <w:lang w:val="zh-CN"/>
              </w:rPr>
              <w:t>原件（或复印件加盖公章）、</w:t>
            </w:r>
            <w:r>
              <w:rPr>
                <w:rFonts w:hint="eastAsia" w:ascii="宋体" w:hAnsi="Times New Roman" w:cs="宋体"/>
                <w:bCs/>
                <w:color w:val="auto"/>
                <w:szCs w:val="21"/>
                <w:highlight w:val="none"/>
                <w:lang w:val="zh-CN"/>
              </w:rPr>
              <w:t>法人代表证明或法人授权委托书</w:t>
            </w:r>
            <w:r>
              <w:rPr>
                <w:rFonts w:hint="eastAsia" w:ascii="Times New Roman" w:hAnsi="Times New Roman" w:cs="宋体"/>
                <w:bCs/>
                <w:color w:val="auto"/>
                <w:szCs w:val="21"/>
                <w:highlight w:val="none"/>
                <w:lang w:val="zh-CN"/>
              </w:rPr>
              <w:t>原件</w:t>
            </w:r>
            <w:r>
              <w:rPr>
                <w:rFonts w:hint="eastAsia" w:ascii="宋体" w:hAnsi="Times New Roman" w:cs="宋体"/>
                <w:bCs/>
                <w:color w:val="auto"/>
                <w:szCs w:val="21"/>
                <w:highlight w:val="none"/>
                <w:lang w:val="zh-CN"/>
              </w:rPr>
              <w:t>（需按招标文件格式提供）</w:t>
            </w:r>
            <w:r>
              <w:rPr>
                <w:rFonts w:hint="eastAsia" w:ascii="Times New Roman" w:hAnsi="Times New Roman" w:cs="宋体"/>
                <w:bCs/>
                <w:color w:val="auto"/>
                <w:szCs w:val="21"/>
                <w:highlight w:val="none"/>
                <w:lang w:val="zh-CN"/>
              </w:rPr>
              <w:t>、</w:t>
            </w:r>
            <w:r>
              <w:rPr>
                <w:rFonts w:hint="eastAsia" w:ascii="宋体" w:hAnsi="Times New Roman" w:cs="宋体"/>
                <w:bCs/>
                <w:color w:val="auto"/>
                <w:szCs w:val="21"/>
                <w:highlight w:val="none"/>
                <w:lang w:val="zh-CN"/>
              </w:rPr>
              <w:t>身份证原件</w:t>
            </w:r>
            <w:r>
              <w:rPr>
                <w:rFonts w:hint="eastAsia" w:ascii="Times New Roman" w:hAnsi="Times New Roman" w:cs="宋体"/>
                <w:bCs/>
                <w:color w:val="auto"/>
                <w:szCs w:val="21"/>
                <w:highlight w:val="none"/>
                <w:lang w:val="zh-CN"/>
              </w:rPr>
              <w:t>必须</w:t>
            </w:r>
            <w:r>
              <w:rPr>
                <w:rFonts w:hint="eastAsia" w:ascii="宋体" w:hAnsi="Times New Roman" w:cs="宋体"/>
                <w:bCs/>
                <w:color w:val="auto"/>
                <w:szCs w:val="21"/>
                <w:highlight w:val="none"/>
                <w:lang w:val="zh-CN"/>
              </w:rPr>
              <w:t>随身携带，以上资质证件供监督人或招标人查验；若以上原件不齐全或不满足招标文件要求，其投标文件将被拒绝评审。</w:t>
            </w:r>
          </w:p>
          <w:p>
            <w:pPr>
              <w:keepNext w:val="0"/>
              <w:keepLines w:val="0"/>
              <w:suppressLineNumbers w:val="0"/>
              <w:spacing w:before="0" w:beforeAutospacing="0" w:after="0" w:afterAutospacing="0"/>
              <w:ind w:left="0" w:right="0"/>
              <w:rPr>
                <w:rFonts w:hint="eastAsia" w:ascii="宋体" w:hAnsi="Times New Roman" w:cs="宋体"/>
                <w:bCs/>
                <w:color w:val="auto"/>
                <w:szCs w:val="21"/>
                <w:highlight w:val="none"/>
                <w:lang w:val="zh-CN"/>
              </w:rPr>
            </w:pPr>
            <w:r>
              <w:rPr>
                <w:rFonts w:hint="eastAsia" w:ascii="Times New Roman" w:hAnsi="Times New Roman" w:cs="宋体"/>
                <w:bCs/>
                <w:color w:val="auto"/>
                <w:szCs w:val="21"/>
                <w:highlight w:val="none"/>
              </w:rPr>
              <w:t>2）</w:t>
            </w:r>
            <w:r>
              <w:rPr>
                <w:rFonts w:hint="eastAsia" w:ascii="宋体" w:hAnsi="Times New Roman" w:cs="宋体"/>
                <w:bCs/>
                <w:color w:val="auto"/>
                <w:szCs w:val="21"/>
                <w:highlight w:val="none"/>
                <w:lang w:val="zh-CN"/>
              </w:rPr>
              <w:t>本项目招标代理费由中标单位支付，投标人在投标报价时应充分考虑此笔费用。</w:t>
            </w:r>
          </w:p>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Times New Roman" w:hAnsi="Times New Roman" w:cs="宋体"/>
                <w:bCs/>
                <w:color w:val="auto"/>
                <w:szCs w:val="21"/>
                <w:highlight w:val="none"/>
              </w:rPr>
              <w:t>3）</w:t>
            </w:r>
            <w:r>
              <w:rPr>
                <w:rFonts w:hint="eastAsia" w:ascii="宋体" w:hAnsi="Times New Roman" w:cs="宋体"/>
                <w:bCs/>
                <w:color w:val="auto"/>
                <w:szCs w:val="21"/>
                <w:highlight w:val="none"/>
                <w:lang w:val="zh-CN"/>
              </w:rPr>
              <w:t>本次招标项目，公证件不予认可。</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jc w:val="center"/>
        </w:trPr>
        <w:tc>
          <w:tcPr>
            <w:tcW w:w="81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7543" w:type="dxa"/>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投标截止期：</w:t>
            </w:r>
            <w:r>
              <w:rPr>
                <w:rFonts w:hint="eastAsia" w:ascii="仿宋" w:hAnsi="仿宋" w:eastAsia="仿宋" w:cs="仿宋"/>
                <w:color w:val="auto"/>
                <w:sz w:val="21"/>
                <w:szCs w:val="21"/>
                <w:highlight w:val="none"/>
                <w:lang w:eastAsia="zh-CN"/>
              </w:rPr>
              <w:t>2022年5月11日</w:t>
            </w:r>
            <w:r>
              <w:rPr>
                <w:rFonts w:hint="eastAsia" w:ascii="仿宋" w:hAnsi="仿宋" w:eastAsia="仿宋" w:cs="仿宋"/>
                <w:color w:val="auto"/>
                <w:sz w:val="21"/>
                <w:szCs w:val="21"/>
                <w:highlight w:val="none"/>
                <w:lang w:val="en-US" w:eastAsia="zh-CN"/>
              </w:rPr>
              <w:t>11</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00</w:t>
            </w:r>
            <w:r>
              <w:rPr>
                <w:rFonts w:hint="eastAsia" w:ascii="宋体" w:hAnsi="宋体" w:cs="宋体"/>
                <w:color w:val="auto"/>
                <w:szCs w:val="21"/>
                <w:highlight w:val="none"/>
              </w:rPr>
              <w:t>（北京时间），逾期收到或不符合规定的投标文件恕不接受。</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投标地点：新疆乌鲁木齐经济技术开发区（头屯河区）喀纳斯湖北路455号新疆软件园创智大厦B座3层</w:t>
            </w:r>
            <w:r>
              <w:rPr>
                <w:rFonts w:hint="eastAsia" w:ascii="宋体" w:hAnsi="宋体" w:cs="宋体"/>
                <w:color w:val="auto"/>
                <w:szCs w:val="21"/>
                <w:highlight w:val="none"/>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trHeight w:val="809" w:hRule="atLeast"/>
          <w:jc w:val="center"/>
        </w:trPr>
        <w:tc>
          <w:tcPr>
            <w:tcW w:w="81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7543" w:type="dxa"/>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开标时间：</w:t>
            </w:r>
            <w:r>
              <w:rPr>
                <w:rFonts w:hint="eastAsia" w:ascii="仿宋" w:hAnsi="仿宋" w:eastAsia="仿宋" w:cs="仿宋"/>
                <w:color w:val="auto"/>
                <w:sz w:val="21"/>
                <w:szCs w:val="21"/>
                <w:highlight w:val="none"/>
                <w:lang w:eastAsia="zh-CN"/>
              </w:rPr>
              <w:t>2022年5月11日</w:t>
            </w:r>
            <w:r>
              <w:rPr>
                <w:rFonts w:hint="eastAsia" w:ascii="仿宋" w:hAnsi="仿宋" w:eastAsia="仿宋" w:cs="仿宋"/>
                <w:color w:val="auto"/>
                <w:sz w:val="21"/>
                <w:szCs w:val="21"/>
                <w:highlight w:val="none"/>
                <w:lang w:val="en-US" w:eastAsia="zh-CN"/>
              </w:rPr>
              <w:t>11</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00</w:t>
            </w:r>
            <w:r>
              <w:rPr>
                <w:rFonts w:hint="eastAsia" w:ascii="宋体" w:hAnsi="宋体" w:cs="宋体"/>
                <w:color w:val="auto"/>
                <w:szCs w:val="21"/>
                <w:highlight w:val="none"/>
              </w:rPr>
              <w:t>（北京时间）</w:t>
            </w:r>
          </w:p>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开标地点：新疆乌鲁木齐经济技术开发区（头屯河区）喀纳斯湖北路455号新疆软件园创智大厦B座3层</w:t>
            </w:r>
            <w:r>
              <w:rPr>
                <w:rFonts w:hint="eastAsia" w:ascii="宋体" w:hAnsi="宋体" w:cs="宋体"/>
                <w:color w:val="auto"/>
                <w:szCs w:val="21"/>
                <w:highlight w:val="none"/>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PrEx>
        <w:trPr>
          <w:jc w:val="center"/>
        </w:trPr>
        <w:tc>
          <w:tcPr>
            <w:tcW w:w="81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7543" w:type="dxa"/>
            <w:noWrap w:val="0"/>
            <w:vAlign w:val="center"/>
          </w:tcPr>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评标方法：综合评分法。共分为三个部分：商务得分（1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分）、技术得分（</w:t>
            </w:r>
            <w:r>
              <w:rPr>
                <w:rFonts w:hint="eastAsia" w:ascii="宋体" w:hAnsi="宋体" w:cs="宋体"/>
                <w:color w:val="auto"/>
                <w:szCs w:val="21"/>
                <w:highlight w:val="none"/>
                <w:lang w:val="en-US" w:eastAsia="zh-CN"/>
              </w:rPr>
              <w:t>58</w:t>
            </w:r>
            <w:r>
              <w:rPr>
                <w:rFonts w:hint="eastAsia" w:ascii="宋体" w:hAnsi="宋体" w:cs="宋体"/>
                <w:color w:val="auto"/>
                <w:szCs w:val="21"/>
                <w:highlight w:val="none"/>
              </w:rPr>
              <w:t>分）和价格得分（</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分）。详见《第五章 评分标准》</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jc w:val="center"/>
        </w:trPr>
        <w:tc>
          <w:tcPr>
            <w:tcW w:w="81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7543" w:type="dxa"/>
            <w:noWrap w:val="0"/>
            <w:vAlign w:val="top"/>
          </w:tcPr>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中标候选人：综合评分法，按评审后得分由高到低顺序排列。得分相同的，按投标报价由低到高顺序排列，得分与投标报价均相同的，按技术指标优劣排列。并且：</w:t>
            </w:r>
          </w:p>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（1）最低价格不作为中标的唯一因素</w:t>
            </w:r>
          </w:p>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（2）综合得分排名第一的投标人为中标候选人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jc w:val="center"/>
        </w:trPr>
        <w:tc>
          <w:tcPr>
            <w:tcW w:w="81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7543" w:type="dxa"/>
            <w:noWrap w:val="0"/>
            <w:vAlign w:val="center"/>
          </w:tcPr>
          <w:p>
            <w:pPr>
              <w:keepNext w:val="0"/>
              <w:keepLines w:val="0"/>
              <w:suppressLineNumbers w:val="0"/>
              <w:spacing w:before="0" w:beforeAutospacing="0" w:after="0" w:afterAutospacing="0"/>
              <w:ind w:left="0" w:right="0"/>
              <w:jc w:val="left"/>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项目依据《关于印发&lt;政府采购促进中小企业发展暂行办法&gt;的通知》（财库[2020]46号） 对小型、微型企业联合协议中约定，小型、微型企业的协议合同金额占到联合体协议总金额30%以上的，给予联合体2%的价格扣除。</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PrEx>
        <w:trPr>
          <w:jc w:val="center"/>
        </w:trPr>
        <w:tc>
          <w:tcPr>
            <w:tcW w:w="81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7543" w:type="dxa"/>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本项目依据《财政部、司法部关于政府采购支持监狱企业发展有关问题的通知》（财库【2014】68号），监狱企业视同小型、微型企业，对监狱企业的价格给予6%的扣除，联合协议中约定，监狱企业的协议合同金额占到联合体协议总金额30%以上的，给予联合体2%的价格扣除</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不属于的无须提供</w:t>
            </w:r>
            <w:r>
              <w:rPr>
                <w:rFonts w:hint="eastAsia" w:ascii="宋体" w:hAnsi="宋体" w:cs="宋体"/>
                <w:color w:val="auto"/>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jc w:val="center"/>
        </w:trPr>
        <w:tc>
          <w:tcPr>
            <w:tcW w:w="81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7543" w:type="dxa"/>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根据财政部、民政部、中国残疾人联合会《关于促进残疾人就业政府采购政策的通知》（财库〔2017〕141号），在政府采购活动中，残疾人福利性单位视同小型、微型企业。报价人属于残疾人福利性单位的，提供《残疾人福利性单位声明函》，不属于的无须提供。残疾人福利性单位视同小型、微型企业，享受同等价格扣除，但同时属于残疾人福利性单位和小微企业的，不重复价格扣除。</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jc w:val="center"/>
        </w:trPr>
        <w:tc>
          <w:tcPr>
            <w:tcW w:w="8362" w:type="dxa"/>
            <w:gridSpan w:val="2"/>
            <w:noWrap w:val="0"/>
            <w:vAlign w:val="center"/>
          </w:tcPr>
          <w:p>
            <w:pPr>
              <w:keepNext w:val="0"/>
              <w:keepLines w:val="0"/>
              <w:suppressLineNumbers w:val="0"/>
              <w:spacing w:before="0" w:beforeAutospacing="0" w:after="0" w:afterAutospacing="0"/>
              <w:ind w:left="0" w:right="0"/>
              <w:rPr>
                <w:rFonts w:hint="eastAsia" w:ascii="宋体" w:hAnsi="宋体" w:cs="宋体"/>
                <w:b/>
                <w:color w:val="auto"/>
                <w:szCs w:val="21"/>
                <w:highlight w:val="none"/>
              </w:rPr>
            </w:pPr>
            <w:r>
              <w:rPr>
                <w:rFonts w:hint="eastAsia" w:ascii="宋体" w:hAnsi="宋体" w:cs="宋体"/>
                <w:b/>
                <w:color w:val="auto"/>
                <w:szCs w:val="21"/>
                <w:highlight w:val="none"/>
              </w:rPr>
              <w:t>适用于本投标人须知的额外增加的变动，不符合下列要求的投标将被视为无效投标：</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jc w:val="center"/>
        </w:trPr>
        <w:tc>
          <w:tcPr>
            <w:tcW w:w="81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43" w:type="dxa"/>
            <w:noWrap w:val="0"/>
            <w:vAlign w:val="center"/>
          </w:tcPr>
          <w:p>
            <w:pPr>
              <w:keepNext w:val="0"/>
              <w:keepLines w:val="0"/>
              <w:suppressLineNumbers w:val="0"/>
              <w:spacing w:before="0" w:beforeAutospacing="0" w:after="0" w:afterAutospacing="0"/>
              <w:ind w:left="0" w:right="0"/>
              <w:rPr>
                <w:rFonts w:hint="eastAsia" w:ascii="宋体" w:hAnsi="宋体" w:cs="宋体"/>
                <w:b/>
                <w:color w:val="auto"/>
                <w:szCs w:val="21"/>
                <w:highlight w:val="none"/>
              </w:rPr>
            </w:pPr>
            <w:r>
              <w:rPr>
                <w:rFonts w:hint="eastAsia" w:ascii="宋体" w:hAnsi="宋体" w:cs="宋体"/>
                <w:b/>
                <w:color w:val="auto"/>
                <w:szCs w:val="21"/>
                <w:highlight w:val="none"/>
              </w:rPr>
              <w:t>符合国家和地方相关法律法规的规定</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jc w:val="center"/>
        </w:trPr>
        <w:tc>
          <w:tcPr>
            <w:tcW w:w="81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43" w:type="dxa"/>
            <w:noWrap w:val="0"/>
            <w:vAlign w:val="center"/>
          </w:tcPr>
          <w:p>
            <w:pPr>
              <w:keepNext w:val="0"/>
              <w:keepLines w:val="0"/>
              <w:suppressLineNumbers w:val="0"/>
              <w:spacing w:before="0" w:beforeAutospacing="0" w:after="0" w:afterAutospacing="0"/>
              <w:ind w:left="0" w:right="0"/>
              <w:rPr>
                <w:rFonts w:hint="eastAsia" w:ascii="宋体" w:hAnsi="宋体" w:cs="宋体"/>
                <w:b/>
                <w:color w:val="auto"/>
                <w:szCs w:val="21"/>
                <w:highlight w:val="none"/>
              </w:rPr>
            </w:pPr>
            <w:r>
              <w:rPr>
                <w:rFonts w:hint="eastAsia" w:ascii="宋体" w:hAnsi="宋体" w:cs="宋体"/>
                <w:b/>
                <w:color w:val="auto"/>
                <w:szCs w:val="21"/>
                <w:highlight w:val="none"/>
              </w:rPr>
              <w:t>第二章投标人须知1.2－1.6款</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jc w:val="center"/>
        </w:trPr>
        <w:tc>
          <w:tcPr>
            <w:tcW w:w="81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43" w:type="dxa"/>
            <w:noWrap w:val="0"/>
            <w:vAlign w:val="center"/>
          </w:tcPr>
          <w:p>
            <w:pPr>
              <w:keepNext w:val="0"/>
              <w:keepLines w:val="0"/>
              <w:suppressLineNumbers w:val="0"/>
              <w:spacing w:before="0" w:beforeAutospacing="0" w:after="0" w:afterAutospacing="0"/>
              <w:ind w:left="0" w:right="0"/>
              <w:rPr>
                <w:rFonts w:hint="eastAsia" w:ascii="宋体" w:hAnsi="宋体" w:cs="宋体"/>
                <w:b/>
                <w:color w:val="auto"/>
                <w:szCs w:val="21"/>
                <w:highlight w:val="none"/>
              </w:rPr>
            </w:pPr>
            <w:r>
              <w:rPr>
                <w:rFonts w:hint="eastAsia" w:ascii="宋体" w:hAnsi="宋体" w:cs="宋体"/>
                <w:b/>
                <w:color w:val="auto"/>
                <w:szCs w:val="21"/>
                <w:highlight w:val="none"/>
              </w:rPr>
              <w:t>第二章投标人须知4.2款</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jc w:val="center"/>
        </w:trPr>
        <w:tc>
          <w:tcPr>
            <w:tcW w:w="81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43" w:type="dxa"/>
            <w:noWrap w:val="0"/>
            <w:vAlign w:val="center"/>
          </w:tcPr>
          <w:p>
            <w:pPr>
              <w:keepNext w:val="0"/>
              <w:keepLines w:val="0"/>
              <w:suppressLineNumbers w:val="0"/>
              <w:spacing w:before="0" w:beforeAutospacing="0" w:after="0" w:afterAutospacing="0"/>
              <w:ind w:left="0" w:right="0"/>
              <w:rPr>
                <w:rFonts w:hint="eastAsia" w:ascii="宋体" w:hAnsi="宋体" w:cs="宋体"/>
                <w:b/>
                <w:color w:val="auto"/>
                <w:szCs w:val="21"/>
                <w:highlight w:val="none"/>
              </w:rPr>
            </w:pPr>
            <w:r>
              <w:rPr>
                <w:rFonts w:hint="eastAsia" w:ascii="宋体" w:hAnsi="宋体" w:cs="宋体"/>
                <w:b/>
                <w:color w:val="auto"/>
                <w:szCs w:val="21"/>
                <w:highlight w:val="none"/>
              </w:rPr>
              <w:t>第二章投标人须知7.4款</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jc w:val="center"/>
        </w:trPr>
        <w:tc>
          <w:tcPr>
            <w:tcW w:w="81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43" w:type="dxa"/>
            <w:noWrap w:val="0"/>
            <w:vAlign w:val="center"/>
          </w:tcPr>
          <w:p>
            <w:pPr>
              <w:keepNext w:val="0"/>
              <w:keepLines w:val="0"/>
              <w:suppressLineNumbers w:val="0"/>
              <w:spacing w:before="0" w:beforeAutospacing="0" w:after="0" w:afterAutospacing="0"/>
              <w:ind w:left="0" w:right="0"/>
              <w:rPr>
                <w:rFonts w:hint="eastAsia" w:ascii="宋体" w:hAnsi="宋体" w:cs="宋体"/>
                <w:b/>
                <w:color w:val="auto"/>
                <w:szCs w:val="21"/>
                <w:highlight w:val="none"/>
              </w:rPr>
            </w:pPr>
            <w:r>
              <w:rPr>
                <w:rFonts w:hint="eastAsia" w:ascii="宋体" w:hAnsi="宋体" w:cs="宋体"/>
                <w:b/>
                <w:color w:val="auto"/>
                <w:szCs w:val="21"/>
                <w:highlight w:val="none"/>
              </w:rPr>
              <w:t>第二章投标人须知13.2款</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jc w:val="center"/>
        </w:trPr>
        <w:tc>
          <w:tcPr>
            <w:tcW w:w="81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43" w:type="dxa"/>
            <w:noWrap w:val="0"/>
            <w:vAlign w:val="center"/>
          </w:tcPr>
          <w:p>
            <w:pPr>
              <w:keepNext w:val="0"/>
              <w:keepLines w:val="0"/>
              <w:suppressLineNumbers w:val="0"/>
              <w:spacing w:before="0" w:beforeAutospacing="0" w:after="0" w:afterAutospacing="0"/>
              <w:ind w:left="0" w:right="0"/>
              <w:rPr>
                <w:rFonts w:hint="eastAsia" w:ascii="宋体" w:hAnsi="宋体" w:cs="宋体"/>
                <w:b/>
                <w:color w:val="auto"/>
                <w:szCs w:val="21"/>
                <w:highlight w:val="none"/>
              </w:rPr>
            </w:pPr>
            <w:r>
              <w:rPr>
                <w:rFonts w:hint="eastAsia" w:ascii="宋体" w:hAnsi="宋体" w:cs="宋体"/>
                <w:b/>
                <w:color w:val="auto"/>
                <w:szCs w:val="21"/>
                <w:highlight w:val="none"/>
              </w:rPr>
              <w:t>第二章投标人须知14.1－14.5款</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jc w:val="center"/>
        </w:trPr>
        <w:tc>
          <w:tcPr>
            <w:tcW w:w="81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43" w:type="dxa"/>
            <w:noWrap w:val="0"/>
            <w:vAlign w:val="center"/>
          </w:tcPr>
          <w:p>
            <w:pPr>
              <w:keepNext w:val="0"/>
              <w:keepLines w:val="0"/>
              <w:suppressLineNumbers w:val="0"/>
              <w:spacing w:before="0" w:beforeAutospacing="0" w:after="0" w:afterAutospacing="0"/>
              <w:ind w:left="0" w:right="0"/>
              <w:rPr>
                <w:rFonts w:hint="eastAsia" w:ascii="宋体" w:hAnsi="宋体" w:cs="宋体"/>
                <w:b/>
                <w:color w:val="auto"/>
                <w:szCs w:val="21"/>
                <w:highlight w:val="none"/>
              </w:rPr>
            </w:pPr>
            <w:r>
              <w:rPr>
                <w:rFonts w:hint="eastAsia" w:ascii="宋体" w:hAnsi="宋体" w:cs="宋体"/>
                <w:b/>
                <w:color w:val="auto"/>
                <w:szCs w:val="21"/>
                <w:highlight w:val="none"/>
              </w:rPr>
              <w:t>第二章投标人须知15.3款</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trHeight w:val="90" w:hRule="atLeast"/>
          <w:jc w:val="center"/>
        </w:trPr>
        <w:tc>
          <w:tcPr>
            <w:tcW w:w="81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43" w:type="dxa"/>
            <w:noWrap w:val="0"/>
            <w:vAlign w:val="center"/>
          </w:tcPr>
          <w:p>
            <w:pPr>
              <w:keepNext w:val="0"/>
              <w:keepLines w:val="0"/>
              <w:suppressLineNumbers w:val="0"/>
              <w:spacing w:before="0" w:beforeAutospacing="0" w:after="0" w:afterAutospacing="0"/>
              <w:ind w:left="0" w:right="0"/>
              <w:rPr>
                <w:rFonts w:hint="eastAsia" w:ascii="宋体" w:hAnsi="宋体" w:cs="宋体"/>
                <w:b/>
                <w:color w:val="auto"/>
                <w:szCs w:val="21"/>
                <w:highlight w:val="none"/>
              </w:rPr>
            </w:pPr>
            <w:r>
              <w:rPr>
                <w:rFonts w:hint="eastAsia" w:ascii="宋体" w:hAnsi="宋体" w:cs="宋体"/>
                <w:b/>
                <w:color w:val="auto"/>
                <w:szCs w:val="21"/>
                <w:highlight w:val="none"/>
              </w:rPr>
              <w:t>第二章投标人须知17.1款</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jc w:val="center"/>
        </w:trPr>
        <w:tc>
          <w:tcPr>
            <w:tcW w:w="81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43" w:type="dxa"/>
            <w:noWrap w:val="0"/>
            <w:vAlign w:val="center"/>
          </w:tcPr>
          <w:p>
            <w:pPr>
              <w:keepNext w:val="0"/>
              <w:keepLines w:val="0"/>
              <w:suppressLineNumbers w:val="0"/>
              <w:spacing w:before="0" w:beforeAutospacing="0" w:after="0" w:afterAutospacing="0"/>
              <w:ind w:left="0" w:right="0"/>
              <w:rPr>
                <w:rFonts w:hint="eastAsia" w:ascii="宋体" w:hAnsi="宋体" w:cs="宋体"/>
                <w:b/>
                <w:color w:val="auto"/>
                <w:szCs w:val="21"/>
                <w:highlight w:val="none"/>
              </w:rPr>
            </w:pPr>
            <w:r>
              <w:rPr>
                <w:rFonts w:hint="eastAsia" w:ascii="宋体" w:hAnsi="宋体" w:cs="宋体"/>
                <w:b/>
                <w:color w:val="auto"/>
                <w:szCs w:val="21"/>
                <w:highlight w:val="none"/>
              </w:rPr>
              <w:t>第二章投标人须知19.2.3款</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PrEx>
        <w:trPr>
          <w:jc w:val="center"/>
        </w:trPr>
        <w:tc>
          <w:tcPr>
            <w:tcW w:w="81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43" w:type="dxa"/>
            <w:noWrap w:val="0"/>
            <w:vAlign w:val="center"/>
          </w:tcPr>
          <w:p>
            <w:pPr>
              <w:keepNext w:val="0"/>
              <w:keepLines w:val="0"/>
              <w:suppressLineNumbers w:val="0"/>
              <w:spacing w:before="0" w:beforeAutospacing="0" w:after="0" w:afterAutospacing="0"/>
              <w:ind w:left="0" w:right="0"/>
              <w:rPr>
                <w:rFonts w:hint="eastAsia" w:ascii="宋体" w:hAnsi="宋体" w:cs="宋体"/>
                <w:b/>
                <w:color w:val="auto"/>
                <w:szCs w:val="21"/>
                <w:highlight w:val="none"/>
              </w:rPr>
            </w:pPr>
            <w:r>
              <w:rPr>
                <w:rFonts w:hint="eastAsia" w:ascii="宋体" w:hAnsi="宋体" w:cs="宋体"/>
                <w:b/>
                <w:color w:val="auto"/>
                <w:szCs w:val="21"/>
                <w:highlight w:val="none"/>
              </w:rPr>
              <w:t>第二章投标人须知20.3款</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jc w:val="center"/>
        </w:trPr>
        <w:tc>
          <w:tcPr>
            <w:tcW w:w="81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43" w:type="dxa"/>
            <w:noWrap w:val="0"/>
            <w:vAlign w:val="center"/>
          </w:tcPr>
          <w:p>
            <w:pPr>
              <w:keepNext w:val="0"/>
              <w:keepLines w:val="0"/>
              <w:suppressLineNumbers w:val="0"/>
              <w:spacing w:before="0" w:beforeAutospacing="0" w:after="0" w:afterAutospacing="0"/>
              <w:ind w:left="0" w:right="0"/>
              <w:rPr>
                <w:rFonts w:hint="eastAsia" w:ascii="宋体" w:hAnsi="宋体" w:cs="宋体"/>
                <w:b/>
                <w:color w:val="auto"/>
                <w:szCs w:val="21"/>
                <w:highlight w:val="none"/>
              </w:rPr>
            </w:pPr>
            <w:r>
              <w:rPr>
                <w:rFonts w:hint="eastAsia" w:ascii="宋体" w:hAnsi="宋体" w:cs="宋体"/>
                <w:b/>
                <w:color w:val="auto"/>
                <w:szCs w:val="21"/>
                <w:highlight w:val="none"/>
              </w:rPr>
              <w:t>第二章投标人须知22.2款</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jc w:val="center"/>
        </w:trPr>
        <w:tc>
          <w:tcPr>
            <w:tcW w:w="81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43" w:type="dxa"/>
            <w:noWrap w:val="0"/>
            <w:vAlign w:val="center"/>
          </w:tcPr>
          <w:p>
            <w:pPr>
              <w:keepNext w:val="0"/>
              <w:keepLines w:val="0"/>
              <w:suppressLineNumbers w:val="0"/>
              <w:spacing w:before="0" w:beforeAutospacing="0" w:after="0" w:afterAutospacing="0"/>
              <w:ind w:left="0" w:right="0"/>
              <w:rPr>
                <w:rFonts w:hint="eastAsia" w:ascii="宋体" w:hAnsi="宋体" w:cs="宋体"/>
                <w:b/>
                <w:color w:val="auto"/>
                <w:szCs w:val="21"/>
                <w:highlight w:val="none"/>
              </w:rPr>
            </w:pPr>
            <w:r>
              <w:rPr>
                <w:rFonts w:hint="eastAsia" w:ascii="宋体" w:hAnsi="宋体" w:cs="宋体"/>
                <w:b/>
                <w:color w:val="auto"/>
                <w:szCs w:val="21"/>
                <w:highlight w:val="none"/>
              </w:rPr>
              <w:t>第二章投标人须知26.1款</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jc w:val="center"/>
        </w:trPr>
        <w:tc>
          <w:tcPr>
            <w:tcW w:w="81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43" w:type="dxa"/>
            <w:noWrap w:val="0"/>
            <w:vAlign w:val="center"/>
          </w:tcPr>
          <w:p>
            <w:pPr>
              <w:keepNext w:val="0"/>
              <w:keepLines w:val="0"/>
              <w:suppressLineNumbers w:val="0"/>
              <w:spacing w:before="0" w:beforeAutospacing="0" w:after="0" w:afterAutospacing="0"/>
              <w:ind w:left="0" w:right="0"/>
              <w:rPr>
                <w:rFonts w:hint="eastAsia" w:ascii="宋体" w:hAnsi="宋体" w:cs="宋体"/>
                <w:b/>
                <w:color w:val="auto"/>
                <w:szCs w:val="21"/>
                <w:highlight w:val="none"/>
              </w:rPr>
            </w:pPr>
            <w:r>
              <w:rPr>
                <w:rFonts w:hint="eastAsia" w:ascii="宋体" w:hAnsi="宋体" w:cs="宋体"/>
                <w:b/>
                <w:color w:val="auto"/>
                <w:szCs w:val="21"/>
                <w:highlight w:val="none"/>
              </w:rPr>
              <w:t>投标文件必须按招标文件要求密封</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jc w:val="center"/>
        </w:trPr>
        <w:tc>
          <w:tcPr>
            <w:tcW w:w="81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43" w:type="dxa"/>
            <w:noWrap w:val="0"/>
            <w:vAlign w:val="center"/>
          </w:tcPr>
          <w:p>
            <w:pPr>
              <w:keepNext w:val="0"/>
              <w:keepLines w:val="0"/>
              <w:suppressLineNumbers w:val="0"/>
              <w:spacing w:before="0" w:beforeAutospacing="0" w:after="0" w:afterAutospacing="0"/>
              <w:ind w:left="0" w:right="0"/>
              <w:rPr>
                <w:rFonts w:hint="eastAsia" w:ascii="宋体" w:hAnsi="宋体" w:cs="宋体"/>
                <w:b/>
                <w:color w:val="auto"/>
                <w:szCs w:val="21"/>
                <w:highlight w:val="none"/>
              </w:rPr>
            </w:pPr>
            <w:r>
              <w:rPr>
                <w:rFonts w:hint="eastAsia" w:ascii="宋体" w:hAnsi="宋体" w:cs="宋体"/>
                <w:b/>
                <w:color w:val="auto"/>
                <w:szCs w:val="21"/>
                <w:highlight w:val="none"/>
              </w:rPr>
              <w:t>附件7的内容</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PrEx>
        <w:trPr>
          <w:jc w:val="center"/>
        </w:trPr>
        <w:tc>
          <w:tcPr>
            <w:tcW w:w="81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shd w:val="pct10" w:color="auto" w:fill="FFFFFF"/>
              </w:rPr>
            </w:pPr>
          </w:p>
        </w:tc>
        <w:tc>
          <w:tcPr>
            <w:tcW w:w="7543" w:type="dxa"/>
            <w:noWrap w:val="0"/>
            <w:vAlign w:val="center"/>
          </w:tcPr>
          <w:p>
            <w:pPr>
              <w:keepNext w:val="0"/>
              <w:keepLines w:val="0"/>
              <w:suppressLineNumbers w:val="0"/>
              <w:tabs>
                <w:tab w:val="left" w:pos="5580"/>
              </w:tabs>
              <w:spacing w:before="0" w:beforeAutospacing="0" w:after="0" w:afterAutospacing="0"/>
              <w:ind w:left="0" w:right="0"/>
              <w:rPr>
                <w:rFonts w:hint="eastAsia" w:ascii="宋体" w:hAnsi="宋体" w:cs="宋体"/>
                <w:b/>
                <w:bCs/>
                <w:color w:val="auto"/>
                <w:szCs w:val="21"/>
                <w:highlight w:val="none"/>
              </w:rPr>
            </w:pPr>
            <w:r>
              <w:rPr>
                <w:rFonts w:hint="eastAsia" w:ascii="宋体" w:hAnsi="宋体" w:cs="宋体"/>
                <w:b/>
                <w:color w:val="auto"/>
                <w:szCs w:val="21"/>
                <w:highlight w:val="none"/>
              </w:rPr>
              <w:t>投标人需提供以下文件：</w:t>
            </w:r>
          </w:p>
          <w:p>
            <w:pPr>
              <w:keepNext w:val="0"/>
              <w:keepLines w:val="0"/>
              <w:suppressLineNumbers w:val="0"/>
              <w:tabs>
                <w:tab w:val="left" w:pos="5580"/>
              </w:tabs>
              <w:spacing w:before="0" w:beforeAutospacing="0" w:after="0" w:afterAutospacing="0"/>
              <w:ind w:left="0" w:right="0"/>
              <w:rPr>
                <w:rFonts w:hint="eastAsia" w:ascii="宋体" w:hAnsi="宋体" w:cs="宋体"/>
                <w:b/>
                <w:color w:val="auto"/>
                <w:szCs w:val="21"/>
                <w:highlight w:val="none"/>
              </w:rPr>
            </w:pPr>
            <w:r>
              <w:rPr>
                <w:rFonts w:hint="eastAsia" w:ascii="宋体" w:hAnsi="宋体" w:cs="宋体"/>
                <w:b/>
                <w:color w:val="auto"/>
                <w:szCs w:val="21"/>
                <w:highlight w:val="none"/>
              </w:rPr>
              <w:t>1.营业执照副本复印件</w:t>
            </w:r>
          </w:p>
          <w:p>
            <w:pPr>
              <w:keepNext w:val="0"/>
              <w:keepLines w:val="0"/>
              <w:suppressLineNumbers w:val="0"/>
              <w:tabs>
                <w:tab w:val="left" w:pos="5580"/>
              </w:tabs>
              <w:spacing w:before="0" w:beforeAutospacing="0" w:after="0" w:afterAutospacing="0"/>
              <w:ind w:left="0" w:right="0"/>
              <w:rPr>
                <w:rFonts w:hint="eastAsia" w:ascii="宋体" w:hAnsi="宋体" w:cs="宋体"/>
                <w:b/>
                <w:color w:val="auto"/>
                <w:szCs w:val="21"/>
                <w:highlight w:val="none"/>
              </w:rPr>
            </w:pPr>
            <w:r>
              <w:rPr>
                <w:rFonts w:hint="eastAsia" w:ascii="宋体" w:hAnsi="宋体" w:cs="宋体"/>
                <w:b/>
                <w:color w:val="auto"/>
                <w:szCs w:val="21"/>
                <w:highlight w:val="none"/>
              </w:rPr>
              <w:t>2.税务登记证书复印件(如三证合一可不提供)</w:t>
            </w:r>
          </w:p>
          <w:p>
            <w:pPr>
              <w:keepNext w:val="0"/>
              <w:keepLines w:val="0"/>
              <w:suppressLineNumbers w:val="0"/>
              <w:tabs>
                <w:tab w:val="left" w:pos="5580"/>
              </w:tabs>
              <w:spacing w:before="0" w:beforeAutospacing="0" w:after="0" w:afterAutospacing="0"/>
              <w:ind w:left="0" w:right="0"/>
              <w:rPr>
                <w:rFonts w:hint="eastAsia" w:ascii="宋体" w:hAnsi="宋体" w:cs="宋体"/>
                <w:b/>
                <w:color w:val="auto"/>
                <w:szCs w:val="21"/>
                <w:highlight w:val="none"/>
              </w:rPr>
            </w:pPr>
            <w:r>
              <w:rPr>
                <w:rFonts w:hint="eastAsia" w:ascii="宋体" w:hAnsi="宋体" w:cs="宋体"/>
                <w:b/>
                <w:color w:val="auto"/>
                <w:szCs w:val="21"/>
                <w:highlight w:val="none"/>
              </w:rPr>
              <w:t>3.法定代表人授权书</w:t>
            </w:r>
          </w:p>
          <w:p>
            <w:pPr>
              <w:keepNext w:val="0"/>
              <w:keepLines w:val="0"/>
              <w:suppressLineNumbers w:val="0"/>
              <w:tabs>
                <w:tab w:val="left" w:pos="5580"/>
              </w:tabs>
              <w:spacing w:before="0" w:beforeAutospacing="0" w:after="0" w:afterAutospacing="0"/>
              <w:ind w:left="0" w:right="0"/>
              <w:rPr>
                <w:rFonts w:hint="eastAsia" w:ascii="宋体" w:hAnsi="宋体" w:cs="宋体"/>
                <w:b/>
                <w:color w:val="auto"/>
                <w:szCs w:val="21"/>
                <w:highlight w:val="none"/>
              </w:rPr>
            </w:pPr>
            <w:r>
              <w:rPr>
                <w:rFonts w:hint="eastAsia" w:ascii="宋体" w:hAnsi="宋体" w:cs="宋体"/>
                <w:b/>
                <w:color w:val="auto"/>
                <w:szCs w:val="21"/>
                <w:highlight w:val="none"/>
              </w:rPr>
              <w:t>4.投标人的资格声明</w:t>
            </w:r>
          </w:p>
          <w:p>
            <w:pPr>
              <w:keepNext w:val="0"/>
              <w:keepLines w:val="0"/>
              <w:suppressLineNumbers w:val="0"/>
              <w:tabs>
                <w:tab w:val="left" w:pos="5580"/>
              </w:tabs>
              <w:spacing w:before="0" w:beforeAutospacing="0" w:after="0" w:afterAutospacing="0"/>
              <w:ind w:left="0" w:right="0"/>
              <w:rPr>
                <w:rFonts w:hint="eastAsia" w:ascii="宋体" w:hAnsi="宋体" w:cs="宋体"/>
                <w:b/>
                <w:color w:val="auto"/>
                <w:szCs w:val="21"/>
                <w:highlight w:val="none"/>
              </w:rPr>
            </w:pPr>
            <w:r>
              <w:rPr>
                <w:rFonts w:hint="eastAsia" w:ascii="宋体" w:hAnsi="宋体" w:cs="宋体"/>
                <w:b/>
                <w:color w:val="auto"/>
                <w:szCs w:val="21"/>
                <w:highlight w:val="none"/>
              </w:rPr>
              <w:t>5.投标人具有良好的商业信誉和健全的财务会计制度（需提供2020年度经会计师事务所出具的财务审计报告或其基本开户银行出具的资信证明）；</w:t>
            </w:r>
          </w:p>
          <w:p>
            <w:pPr>
              <w:keepNext w:val="0"/>
              <w:keepLines w:val="0"/>
              <w:suppressLineNumbers w:val="0"/>
              <w:tabs>
                <w:tab w:val="left" w:pos="5580"/>
              </w:tabs>
              <w:spacing w:before="0" w:beforeAutospacing="0" w:after="0" w:afterAutospacing="0"/>
              <w:ind w:left="0" w:right="0"/>
              <w:rPr>
                <w:rFonts w:hint="eastAsia" w:ascii="宋体" w:hAnsi="宋体" w:cs="宋体"/>
                <w:b/>
                <w:color w:val="auto"/>
                <w:szCs w:val="21"/>
                <w:highlight w:val="none"/>
              </w:rPr>
            </w:pPr>
            <w:r>
              <w:rPr>
                <w:rFonts w:hint="eastAsia" w:ascii="宋体" w:hAnsi="宋体" w:cs="宋体"/>
                <w:b/>
                <w:color w:val="auto"/>
                <w:szCs w:val="21"/>
                <w:highlight w:val="none"/>
              </w:rPr>
              <w:t>6.投标人具有依法缴纳税收和社会保障资金的良好记录（需提供投标截止日前六个月内任一个月的企业纳税证明和社保缴费记录证明）</w:t>
            </w:r>
          </w:p>
          <w:p>
            <w:pPr>
              <w:keepNext w:val="0"/>
              <w:keepLines w:val="0"/>
              <w:suppressLineNumbers w:val="0"/>
              <w:tabs>
                <w:tab w:val="left" w:pos="5580"/>
              </w:tabs>
              <w:spacing w:before="0" w:beforeAutospacing="0" w:after="0" w:afterAutospacing="0"/>
              <w:ind w:left="0" w:right="0"/>
              <w:rPr>
                <w:rFonts w:hint="eastAsia" w:ascii="宋体" w:hAnsi="宋体" w:cs="宋体"/>
                <w:b/>
                <w:color w:val="auto"/>
                <w:szCs w:val="21"/>
                <w:highlight w:val="none"/>
              </w:rPr>
            </w:pPr>
            <w:r>
              <w:rPr>
                <w:rFonts w:hint="eastAsia" w:ascii="宋体" w:hAnsi="宋体" w:cs="宋体"/>
                <w:b/>
                <w:color w:val="auto"/>
                <w:szCs w:val="21"/>
                <w:highlight w:val="none"/>
              </w:rPr>
              <w:t>7.投标人参加政府采购活动前三年内（成立不足三年的从成立之日起算），在经营活动中没有重大违法记录（需提供加盖公章的声明书）</w:t>
            </w:r>
          </w:p>
          <w:p>
            <w:pPr>
              <w:keepNext w:val="0"/>
              <w:keepLines w:val="0"/>
              <w:suppressLineNumbers w:val="0"/>
              <w:tabs>
                <w:tab w:val="left" w:pos="5580"/>
              </w:tabs>
              <w:spacing w:before="0" w:beforeAutospacing="0" w:after="0" w:afterAutospacing="0"/>
              <w:ind w:left="0" w:right="0"/>
              <w:rPr>
                <w:rFonts w:hint="default" w:ascii="宋体" w:hAnsi="宋体" w:cs="宋体"/>
                <w:b/>
                <w:color w:val="auto"/>
                <w:szCs w:val="21"/>
                <w:highlight w:val="none"/>
              </w:rPr>
            </w:pPr>
            <w:r>
              <w:rPr>
                <w:rFonts w:hint="eastAsia" w:ascii="宋体" w:hAnsi="宋体" w:cs="宋体"/>
                <w:b/>
                <w:color w:val="auto"/>
                <w:szCs w:val="21"/>
                <w:highlight w:val="none"/>
              </w:rPr>
              <w:t>8.投标人具有履行合同所必需的设备及专业技术能力（需提供承诺书）</w:t>
            </w:r>
          </w:p>
          <w:p>
            <w:pPr>
              <w:keepNext w:val="0"/>
              <w:keepLines w:val="0"/>
              <w:suppressLineNumbers w:val="0"/>
              <w:tabs>
                <w:tab w:val="left" w:pos="5580"/>
              </w:tabs>
              <w:spacing w:before="0" w:beforeAutospacing="0" w:after="0" w:afterAutospacing="0"/>
              <w:ind w:left="0" w:right="0"/>
              <w:rPr>
                <w:rFonts w:hint="default" w:ascii="宋体" w:hAnsi="宋体" w:cs="宋体"/>
                <w:b/>
                <w:color w:val="auto"/>
                <w:szCs w:val="21"/>
                <w:highlight w:val="none"/>
              </w:rPr>
            </w:pPr>
            <w:r>
              <w:rPr>
                <w:rFonts w:hint="eastAsia" w:ascii="宋体" w:hAnsi="宋体" w:cs="宋体"/>
                <w:b/>
                <w:color w:val="auto"/>
                <w:szCs w:val="21"/>
                <w:highlight w:val="none"/>
              </w:rPr>
              <w:t xml:space="preserve">9.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 </w:t>
            </w:r>
            <w:r>
              <w:rPr>
                <w:rFonts w:hint="eastAsia" w:ascii="宋体" w:hAnsi="宋体" w:cs="宋体"/>
                <w:b/>
                <w:color w:val="auto"/>
                <w:szCs w:val="21"/>
                <w:highlight w:val="none"/>
              </w:rPr>
              <w:fldChar w:fldCharType="begin"/>
            </w:r>
            <w:r>
              <w:rPr>
                <w:rFonts w:hint="eastAsia" w:ascii="宋体" w:hAnsi="宋体" w:cs="宋体"/>
                <w:b/>
                <w:color w:val="auto"/>
                <w:szCs w:val="21"/>
                <w:highlight w:val="none"/>
              </w:rPr>
              <w:instrText xml:space="preserve"> HYPERLINK "http://www.creditchina.gov.cn）和\“中国政府采购网\”（www.ccgp.gov.cn）网站查询的投标单位信用记录的查询结果无不良记录(查询日期自招标公告发布之日后，提供网页打印件加盖公章)" </w:instrText>
            </w:r>
            <w:r>
              <w:rPr>
                <w:rFonts w:hint="eastAsia" w:ascii="宋体" w:hAnsi="宋体" w:cs="宋体"/>
                <w:b/>
                <w:color w:val="auto"/>
                <w:szCs w:val="21"/>
                <w:highlight w:val="none"/>
              </w:rPr>
              <w:fldChar w:fldCharType="separate"/>
            </w:r>
            <w:r>
              <w:rPr>
                <w:rFonts w:hint="eastAsia" w:ascii="宋体" w:hAnsi="宋体" w:cs="宋体"/>
                <w:b/>
                <w:color w:val="auto"/>
                <w:szCs w:val="21"/>
                <w:highlight w:val="none"/>
              </w:rPr>
              <w:t>(查询日期自招标公告发布之日后，提供网页打印件加盖公章)</w:t>
            </w:r>
            <w:r>
              <w:rPr>
                <w:rFonts w:hint="eastAsia" w:ascii="宋体" w:hAnsi="宋体" w:cs="宋体"/>
                <w:b/>
                <w:color w:val="auto"/>
                <w:szCs w:val="21"/>
                <w:highlight w:val="none"/>
              </w:rPr>
              <w:fldChar w:fldCharType="end"/>
            </w:r>
          </w:p>
          <w:p>
            <w:pPr>
              <w:keepNext w:val="0"/>
              <w:keepLines w:val="0"/>
              <w:suppressLineNumbers w:val="0"/>
              <w:tabs>
                <w:tab w:val="left" w:pos="5580"/>
              </w:tabs>
              <w:spacing w:before="0" w:beforeAutospacing="0" w:after="0" w:afterAutospacing="0"/>
              <w:ind w:left="0" w:right="0"/>
              <w:rPr>
                <w:rFonts w:hint="eastAsia" w:ascii="宋体" w:hAnsi="宋体" w:cs="宋体"/>
                <w:b/>
                <w:color w:val="auto"/>
                <w:szCs w:val="21"/>
                <w:highlight w:val="none"/>
              </w:rPr>
            </w:pPr>
            <w:r>
              <w:rPr>
                <w:rFonts w:hint="default" w:ascii="Times New Roman" w:hAnsi="Times New Roman" w:cs="宋体"/>
                <w:b/>
                <w:color w:val="auto"/>
                <w:szCs w:val="21"/>
                <w:highlight w:val="none"/>
              </w:rPr>
              <w:t>1</w:t>
            </w:r>
            <w:r>
              <w:rPr>
                <w:rFonts w:hint="default" w:ascii="宋体" w:hAnsi="宋体" w:cs="宋体"/>
                <w:b/>
                <w:color w:val="auto"/>
                <w:szCs w:val="21"/>
                <w:highlight w:val="none"/>
              </w:rPr>
              <w:t>0.</w:t>
            </w:r>
            <w:r>
              <w:rPr>
                <w:rFonts w:hint="eastAsia" w:ascii="宋体" w:hAnsi="宋体" w:cs="宋体"/>
                <w:b/>
                <w:color w:val="auto"/>
                <w:szCs w:val="21"/>
                <w:highlight w:val="none"/>
                <w:lang w:eastAsia="zh-CN"/>
              </w:rPr>
              <w:t>汽车维修二类资质</w:t>
            </w:r>
            <w:r>
              <w:rPr>
                <w:rFonts w:hint="eastAsia" w:ascii="宋体" w:hAnsi="宋体" w:cs="宋体"/>
                <w:b/>
                <w:color w:val="auto"/>
                <w:szCs w:val="21"/>
                <w:highlight w:val="none"/>
              </w:rPr>
              <w:t>及以上资质。</w:t>
            </w:r>
          </w:p>
          <w:p>
            <w:pPr>
              <w:keepNext w:val="0"/>
              <w:keepLines w:val="0"/>
              <w:suppressLineNumbers w:val="0"/>
              <w:tabs>
                <w:tab w:val="left" w:pos="5580"/>
              </w:tabs>
              <w:spacing w:before="0" w:beforeAutospacing="0" w:after="0" w:afterAutospacing="0"/>
              <w:ind w:left="0" w:right="0"/>
              <w:rPr>
                <w:rFonts w:hint="eastAsia" w:ascii="宋体" w:hAnsi="宋体" w:cs="宋体"/>
                <w:b/>
                <w:color w:val="auto"/>
                <w:szCs w:val="21"/>
                <w:highlight w:val="none"/>
              </w:rPr>
            </w:pPr>
            <w:r>
              <w:rPr>
                <w:rFonts w:hint="eastAsia" w:ascii="宋体" w:hAnsi="宋体" w:cs="宋体"/>
                <w:b/>
                <w:color w:val="auto"/>
                <w:szCs w:val="21"/>
                <w:highlight w:val="none"/>
              </w:rPr>
              <w:t>1</w:t>
            </w:r>
            <w:r>
              <w:rPr>
                <w:rFonts w:hint="default" w:ascii="宋体" w:hAnsi="宋体" w:cs="宋体"/>
                <w:b/>
                <w:color w:val="auto"/>
                <w:szCs w:val="21"/>
                <w:highlight w:val="none"/>
              </w:rPr>
              <w:t>1.</w:t>
            </w:r>
            <w:r>
              <w:rPr>
                <w:rFonts w:hint="eastAsia" w:ascii="宋体" w:hAnsi="宋体" w:cs="宋体"/>
                <w:b/>
                <w:color w:val="auto"/>
                <w:szCs w:val="21"/>
                <w:highlight w:val="none"/>
              </w:rPr>
              <w:t>投标单位须提供法人授权委托书及有效身份证明原件或法人身份证明及有效身份证明原件；</w:t>
            </w:r>
          </w:p>
          <w:p>
            <w:pPr>
              <w:keepNext w:val="0"/>
              <w:keepLines w:val="0"/>
              <w:suppressLineNumbers w:val="0"/>
              <w:tabs>
                <w:tab w:val="left" w:pos="5580"/>
              </w:tabs>
              <w:spacing w:before="0" w:beforeAutospacing="0" w:after="0" w:afterAutospacing="0"/>
              <w:ind w:left="0" w:right="0"/>
              <w:rPr>
                <w:rFonts w:hint="eastAsia" w:ascii="宋体" w:hAnsi="宋体" w:cs="宋体"/>
                <w:b/>
                <w:color w:val="auto"/>
                <w:szCs w:val="21"/>
                <w:highlight w:val="none"/>
              </w:rPr>
            </w:pPr>
            <w:r>
              <w:rPr>
                <w:rFonts w:hint="eastAsia" w:ascii="宋体" w:hAnsi="宋体" w:cs="宋体"/>
                <w:b/>
                <w:color w:val="auto"/>
                <w:szCs w:val="21"/>
                <w:highlight w:val="none"/>
              </w:rPr>
              <w:t>1</w:t>
            </w:r>
            <w:r>
              <w:rPr>
                <w:rFonts w:hint="default" w:ascii="宋体" w:hAnsi="宋体" w:cs="宋体"/>
                <w:b/>
                <w:color w:val="auto"/>
                <w:szCs w:val="21"/>
                <w:highlight w:val="none"/>
              </w:rPr>
              <w:t>2.</w:t>
            </w:r>
            <w:r>
              <w:rPr>
                <w:rFonts w:hint="eastAsia" w:ascii="宋体" w:hAnsi="宋体" w:cs="宋体"/>
                <w:b/>
                <w:color w:val="auto"/>
                <w:szCs w:val="21"/>
                <w:highlight w:val="none"/>
              </w:rPr>
              <w:t>非联合体投标。</w:t>
            </w:r>
          </w:p>
          <w:p>
            <w:pPr>
              <w:keepNext w:val="0"/>
              <w:keepLines w:val="0"/>
              <w:suppressLineNumbers w:val="0"/>
              <w:tabs>
                <w:tab w:val="left" w:pos="5580"/>
              </w:tabs>
              <w:spacing w:before="0" w:beforeAutospacing="0" w:after="0" w:afterAutospacing="0"/>
              <w:ind w:left="0" w:right="0"/>
              <w:rPr>
                <w:rFonts w:hint="eastAsia" w:ascii="宋体" w:hAnsi="宋体" w:cs="宋体"/>
                <w:b/>
                <w:color w:val="auto"/>
                <w:szCs w:val="21"/>
                <w:highlight w:val="none"/>
              </w:rPr>
            </w:pPr>
            <w:r>
              <w:rPr>
                <w:rFonts w:hint="eastAsia" w:ascii="宋体" w:hAnsi="宋体" w:cs="宋体"/>
                <w:b/>
                <w:color w:val="auto"/>
                <w:szCs w:val="21"/>
                <w:highlight w:val="none"/>
              </w:rPr>
              <w:t>1</w:t>
            </w:r>
            <w:r>
              <w:rPr>
                <w:rFonts w:hint="default" w:ascii="宋体" w:hAnsi="宋体" w:cs="宋体"/>
                <w:b/>
                <w:color w:val="auto"/>
                <w:szCs w:val="21"/>
                <w:highlight w:val="none"/>
              </w:rPr>
              <w:t>3</w:t>
            </w:r>
            <w:r>
              <w:rPr>
                <w:rFonts w:hint="eastAsia" w:ascii="宋体" w:hAnsi="宋体" w:cs="宋体"/>
                <w:b/>
                <w:color w:val="auto"/>
                <w:szCs w:val="21"/>
                <w:highlight w:val="none"/>
              </w:rPr>
              <w:t xml:space="preserve">.单位负责人为同一人或者存在直接控股、管理关系的不同供应商，不得参加同一合同项下的政府采购活动 </w:t>
            </w:r>
          </w:p>
          <w:p>
            <w:pPr>
              <w:keepNext w:val="0"/>
              <w:keepLines w:val="0"/>
              <w:suppressLineNumbers w:val="0"/>
              <w:tabs>
                <w:tab w:val="left" w:pos="5580"/>
              </w:tabs>
              <w:spacing w:before="0" w:beforeAutospacing="0" w:after="0" w:afterAutospacing="0"/>
              <w:ind w:left="0" w:right="0"/>
              <w:rPr>
                <w:rFonts w:hint="eastAsia" w:ascii="宋体" w:hAnsi="宋体" w:cs="宋体"/>
                <w:b/>
                <w:color w:val="auto"/>
                <w:szCs w:val="21"/>
                <w:highlight w:val="none"/>
              </w:rPr>
            </w:pPr>
            <w:r>
              <w:rPr>
                <w:rFonts w:hint="eastAsia" w:ascii="宋体" w:hAnsi="宋体" w:cs="宋体"/>
                <w:b/>
                <w:color w:val="auto"/>
                <w:szCs w:val="21"/>
                <w:highlight w:val="none"/>
              </w:rPr>
              <w:t>1</w:t>
            </w:r>
            <w:r>
              <w:rPr>
                <w:rFonts w:hint="default" w:ascii="宋体" w:hAnsi="宋体" w:cs="宋体"/>
                <w:b/>
                <w:color w:val="auto"/>
                <w:szCs w:val="21"/>
                <w:highlight w:val="none"/>
              </w:rPr>
              <w:t>4</w:t>
            </w:r>
            <w:r>
              <w:rPr>
                <w:rFonts w:hint="eastAsia" w:ascii="宋体" w:hAnsi="宋体" w:cs="宋体"/>
                <w:b/>
                <w:color w:val="auto"/>
                <w:szCs w:val="21"/>
                <w:highlight w:val="none"/>
              </w:rPr>
              <w:t>.中标服务费承诺书</w:t>
            </w:r>
          </w:p>
          <w:p>
            <w:pPr>
              <w:keepNext w:val="0"/>
              <w:keepLines w:val="0"/>
              <w:suppressLineNumbers w:val="0"/>
              <w:tabs>
                <w:tab w:val="left" w:pos="5580"/>
              </w:tabs>
              <w:spacing w:before="0" w:beforeAutospacing="0" w:after="0" w:afterAutospacing="0"/>
              <w:ind w:left="0" w:right="0"/>
              <w:rPr>
                <w:rFonts w:hint="eastAsia" w:ascii="宋体" w:hAnsi="宋体" w:cs="宋体"/>
                <w:b/>
                <w:color w:val="auto"/>
                <w:szCs w:val="21"/>
                <w:highlight w:val="none"/>
              </w:rPr>
            </w:pPr>
            <w:r>
              <w:rPr>
                <w:rFonts w:hint="eastAsia" w:ascii="宋体" w:hAnsi="宋体" w:cs="宋体"/>
                <w:b/>
                <w:color w:val="auto"/>
                <w:szCs w:val="21"/>
                <w:highlight w:val="none"/>
              </w:rPr>
              <w:t>注：(1)具有独立承担民事责任的能力，须提供相关证明材料，其中：</w:t>
            </w:r>
          </w:p>
          <w:p>
            <w:pPr>
              <w:keepNext w:val="0"/>
              <w:keepLines w:val="0"/>
              <w:suppressLineNumbers w:val="0"/>
              <w:tabs>
                <w:tab w:val="left" w:pos="5580"/>
              </w:tabs>
              <w:spacing w:before="0" w:beforeAutospacing="0" w:after="0" w:afterAutospacing="0"/>
              <w:ind w:left="0" w:right="0"/>
              <w:rPr>
                <w:rFonts w:hint="eastAsia" w:ascii="宋体" w:hAnsi="宋体" w:cs="宋体"/>
                <w:b/>
                <w:color w:val="auto"/>
                <w:szCs w:val="21"/>
                <w:highlight w:val="none"/>
              </w:rPr>
            </w:pPr>
            <w:r>
              <w:rPr>
                <w:rFonts w:hint="eastAsia" w:ascii="宋体" w:hAnsi="宋体" w:cs="宋体"/>
                <w:b/>
                <w:color w:val="auto"/>
                <w:szCs w:val="21"/>
                <w:highlight w:val="none"/>
              </w:rPr>
              <w:t>供应商是企业（包括合伙企业）的，应提供其在工商部门注册的有效“企业法人营业执照”或“营业执照”的复印件；</w:t>
            </w:r>
          </w:p>
          <w:p>
            <w:pPr>
              <w:keepNext w:val="0"/>
              <w:keepLines w:val="0"/>
              <w:suppressLineNumbers w:val="0"/>
              <w:tabs>
                <w:tab w:val="left" w:pos="5580"/>
              </w:tabs>
              <w:spacing w:before="0" w:beforeAutospacing="0" w:after="0" w:afterAutospacing="0"/>
              <w:ind w:left="0" w:right="0"/>
              <w:rPr>
                <w:rFonts w:hint="eastAsia" w:ascii="宋体" w:hAnsi="宋体" w:cs="宋体"/>
                <w:b/>
                <w:color w:val="auto"/>
                <w:szCs w:val="21"/>
                <w:highlight w:val="none"/>
              </w:rPr>
            </w:pPr>
            <w:r>
              <w:rPr>
                <w:rFonts w:hint="eastAsia" w:ascii="宋体" w:hAnsi="宋体" w:cs="宋体"/>
                <w:b/>
                <w:color w:val="auto"/>
                <w:szCs w:val="21"/>
                <w:highlight w:val="none"/>
              </w:rPr>
              <w:t>供应商是事业单位的，应提供其有效的“事业单位法人证书”复印件；</w:t>
            </w:r>
          </w:p>
          <w:p>
            <w:pPr>
              <w:keepNext w:val="0"/>
              <w:keepLines w:val="0"/>
              <w:suppressLineNumbers w:val="0"/>
              <w:tabs>
                <w:tab w:val="left" w:pos="5580"/>
              </w:tabs>
              <w:spacing w:before="0" w:beforeAutospacing="0" w:after="0" w:afterAutospacing="0"/>
              <w:ind w:left="0" w:right="0"/>
              <w:rPr>
                <w:rFonts w:hint="eastAsia" w:ascii="宋体" w:hAnsi="宋体" w:cs="宋体"/>
                <w:b/>
                <w:color w:val="auto"/>
                <w:szCs w:val="21"/>
                <w:highlight w:val="none"/>
              </w:rPr>
            </w:pPr>
            <w:r>
              <w:rPr>
                <w:rFonts w:hint="eastAsia" w:ascii="宋体" w:hAnsi="宋体" w:cs="宋体"/>
                <w:b/>
                <w:color w:val="auto"/>
                <w:szCs w:val="21"/>
                <w:highlight w:val="none"/>
              </w:rPr>
              <w:t>供应商是非企业专业服务机构的，应提供其有效的“执业许可证”复印件；</w:t>
            </w:r>
          </w:p>
          <w:p>
            <w:pPr>
              <w:keepNext w:val="0"/>
              <w:keepLines w:val="0"/>
              <w:suppressLineNumbers w:val="0"/>
              <w:tabs>
                <w:tab w:val="left" w:pos="5580"/>
              </w:tabs>
              <w:spacing w:before="0" w:beforeAutospacing="0" w:after="0" w:afterAutospacing="0"/>
              <w:ind w:left="0" w:right="0"/>
              <w:rPr>
                <w:rFonts w:hint="eastAsia" w:ascii="宋体" w:hAnsi="宋体" w:cs="宋体"/>
                <w:b/>
                <w:color w:val="auto"/>
                <w:szCs w:val="21"/>
                <w:highlight w:val="none"/>
              </w:rPr>
            </w:pPr>
            <w:r>
              <w:rPr>
                <w:rFonts w:hint="eastAsia" w:ascii="宋体" w:hAnsi="宋体" w:cs="宋体"/>
                <w:b/>
                <w:color w:val="auto"/>
                <w:szCs w:val="21"/>
                <w:highlight w:val="none"/>
              </w:rPr>
              <w:t>供应商是个体工商户的，应提供其有效的“个体工商户营业执照”复印件；</w:t>
            </w:r>
          </w:p>
          <w:p>
            <w:pPr>
              <w:keepNext w:val="0"/>
              <w:keepLines w:val="0"/>
              <w:suppressLineNumbers w:val="0"/>
              <w:tabs>
                <w:tab w:val="left" w:pos="5580"/>
              </w:tabs>
              <w:spacing w:before="0" w:beforeAutospacing="0" w:after="0" w:afterAutospacing="0"/>
              <w:ind w:left="0" w:right="0"/>
              <w:rPr>
                <w:rFonts w:hint="eastAsia" w:ascii="宋体" w:hAnsi="宋体" w:cs="宋体"/>
                <w:b/>
                <w:color w:val="auto"/>
                <w:szCs w:val="21"/>
                <w:highlight w:val="none"/>
              </w:rPr>
            </w:pPr>
            <w:r>
              <w:rPr>
                <w:rFonts w:hint="eastAsia" w:ascii="宋体" w:hAnsi="宋体" w:cs="宋体"/>
                <w:b/>
                <w:color w:val="auto"/>
                <w:szCs w:val="21"/>
                <w:highlight w:val="none"/>
              </w:rPr>
              <w:t>供应商是自然人的，应提供其有效的自然人身份证明；</w:t>
            </w:r>
          </w:p>
          <w:p>
            <w:pPr>
              <w:keepNext w:val="0"/>
              <w:keepLines w:val="0"/>
              <w:suppressLineNumbers w:val="0"/>
              <w:tabs>
                <w:tab w:val="left" w:pos="5580"/>
              </w:tabs>
              <w:spacing w:before="0" w:beforeAutospacing="0" w:after="0" w:afterAutospacing="0"/>
              <w:ind w:left="0" w:right="0"/>
              <w:rPr>
                <w:rFonts w:hint="eastAsia" w:ascii="宋体" w:hAnsi="宋体" w:cs="宋体"/>
                <w:b/>
                <w:color w:val="auto"/>
                <w:szCs w:val="21"/>
                <w:highlight w:val="none"/>
              </w:rPr>
            </w:pPr>
            <w:r>
              <w:rPr>
                <w:rFonts w:hint="eastAsia" w:ascii="宋体" w:hAnsi="宋体" w:cs="宋体"/>
                <w:b/>
                <w:color w:val="auto"/>
                <w:szCs w:val="21"/>
                <w:highlight w:val="none"/>
              </w:rPr>
              <w:t>(2)依法免税或不需要缴纳社会保障资金的供应商，须提供相应文件证明其依法免税或不需要缴纳社会保障资金。</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jc w:val="center"/>
        </w:trPr>
        <w:tc>
          <w:tcPr>
            <w:tcW w:w="81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43" w:type="dxa"/>
            <w:noWrap w:val="0"/>
            <w:vAlign w:val="center"/>
          </w:tcPr>
          <w:p>
            <w:pPr>
              <w:keepNext w:val="0"/>
              <w:keepLines w:val="0"/>
              <w:suppressLineNumbers w:val="0"/>
              <w:spacing w:before="0" w:beforeAutospacing="0" w:after="0" w:afterAutospacing="0"/>
              <w:ind w:left="0" w:right="0"/>
              <w:rPr>
                <w:rFonts w:hint="eastAsia" w:ascii="宋体" w:hAnsi="宋体" w:cs="宋体"/>
                <w:b/>
                <w:color w:val="auto"/>
                <w:szCs w:val="21"/>
                <w:highlight w:val="none"/>
              </w:rPr>
            </w:pPr>
            <w:r>
              <w:rPr>
                <w:rFonts w:hint="eastAsia" w:ascii="宋体" w:hAnsi="宋体" w:cs="宋体"/>
                <w:b/>
                <w:color w:val="auto"/>
                <w:szCs w:val="21"/>
                <w:highlight w:val="none"/>
              </w:rPr>
              <w:t>投标文件必须满足招标文件技术规格部分所有</w:t>
            </w:r>
            <w:r>
              <w:rPr>
                <w:rFonts w:hint="eastAsia" w:ascii="宋体" w:hAnsi="宋体" w:cs="宋体"/>
                <w:b/>
                <w:bCs/>
                <w:color w:val="auto"/>
                <w:kern w:val="0"/>
                <w:szCs w:val="21"/>
                <w:highlight w:val="none"/>
              </w:rPr>
              <w:t>★</w:t>
            </w:r>
            <w:r>
              <w:rPr>
                <w:rFonts w:hint="eastAsia" w:ascii="宋体" w:hAnsi="宋体" w:cs="宋体"/>
                <w:b/>
                <w:color w:val="auto"/>
                <w:szCs w:val="21"/>
                <w:highlight w:val="none"/>
              </w:rPr>
              <w:t>号条款。</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jc w:val="center"/>
        </w:trPr>
        <w:tc>
          <w:tcPr>
            <w:tcW w:w="81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43" w:type="dxa"/>
            <w:noWrap w:val="0"/>
            <w:vAlign w:val="center"/>
          </w:tcPr>
          <w:p>
            <w:pPr>
              <w:keepNext w:val="0"/>
              <w:keepLines w:val="0"/>
              <w:suppressLineNumbers w:val="0"/>
              <w:spacing w:before="0" w:beforeAutospacing="0" w:after="0" w:afterAutospacing="0"/>
              <w:ind w:left="0" w:right="0"/>
              <w:rPr>
                <w:rFonts w:hint="eastAsia" w:ascii="宋体" w:hAnsi="宋体" w:cs="宋体"/>
                <w:b/>
                <w:color w:val="auto"/>
                <w:szCs w:val="21"/>
                <w:highlight w:val="none"/>
              </w:rPr>
            </w:pPr>
            <w:r>
              <w:rPr>
                <w:rFonts w:hint="eastAsia" w:ascii="宋体" w:hAnsi="宋体" w:cs="宋体"/>
                <w:b/>
                <w:color w:val="auto"/>
                <w:szCs w:val="21"/>
                <w:highlight w:val="none"/>
              </w:rPr>
              <w:t>投标文件、投标一览表按招标文件要求有效签署盖章。</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jc w:val="center"/>
        </w:trPr>
        <w:tc>
          <w:tcPr>
            <w:tcW w:w="81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43" w:type="dxa"/>
            <w:noWrap w:val="0"/>
            <w:vAlign w:val="center"/>
          </w:tcPr>
          <w:p>
            <w:pPr>
              <w:keepNext w:val="0"/>
              <w:keepLines w:val="0"/>
              <w:suppressLineNumbers w:val="0"/>
              <w:spacing w:before="0" w:beforeAutospacing="0" w:after="0" w:afterAutospacing="0"/>
              <w:ind w:left="0" w:right="0"/>
              <w:rPr>
                <w:rFonts w:hint="eastAsia" w:ascii="宋体" w:hAnsi="宋体" w:cs="宋体"/>
                <w:b/>
                <w:color w:val="auto"/>
                <w:szCs w:val="21"/>
                <w:highlight w:val="none"/>
              </w:rPr>
            </w:pPr>
            <w:r>
              <w:rPr>
                <w:rFonts w:hint="eastAsia" w:ascii="宋体" w:hAnsi="宋体" w:cs="宋体"/>
                <w:b/>
                <w:color w:val="auto"/>
                <w:szCs w:val="21"/>
                <w:highlight w:val="none"/>
              </w:rPr>
              <w:t>投标报价超过本项目财政预算金额。</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trHeight w:val="331" w:hRule="atLeast"/>
          <w:jc w:val="center"/>
        </w:trPr>
        <w:tc>
          <w:tcPr>
            <w:tcW w:w="819"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15</w:t>
            </w:r>
          </w:p>
        </w:tc>
        <w:tc>
          <w:tcPr>
            <w:tcW w:w="7543" w:type="dxa"/>
            <w:noWrap w:val="0"/>
            <w:vAlign w:val="center"/>
          </w:tcPr>
          <w:p>
            <w:pPr>
              <w:keepNext w:val="0"/>
              <w:keepLines w:val="0"/>
              <w:suppressLineNumbers w:val="0"/>
              <w:spacing w:before="0" w:beforeAutospacing="0" w:after="0" w:afterAutospacing="0"/>
              <w:ind w:left="0" w:right="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服务</w:t>
            </w:r>
            <w:r>
              <w:rPr>
                <w:rFonts w:hint="eastAsia" w:ascii="宋体" w:hAnsi="宋体" w:cs="宋体"/>
                <w:bCs/>
                <w:color w:val="auto"/>
                <w:szCs w:val="21"/>
                <w:highlight w:val="none"/>
              </w:rPr>
              <w:t xml:space="preserve">周期：一年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jc w:val="center"/>
        </w:trPr>
        <w:tc>
          <w:tcPr>
            <w:tcW w:w="819"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16</w:t>
            </w:r>
          </w:p>
        </w:tc>
        <w:tc>
          <w:tcPr>
            <w:tcW w:w="7543" w:type="dxa"/>
            <w:noWrap w:val="0"/>
            <w:vAlign w:val="center"/>
          </w:tcPr>
          <w:p>
            <w:pPr>
              <w:keepNext w:val="0"/>
              <w:keepLines w:val="0"/>
              <w:suppressLineNumbers w:val="0"/>
              <w:spacing w:before="0" w:beforeAutospacing="0" w:after="0" w:afterAutospacing="0"/>
              <w:ind w:left="0" w:right="0"/>
              <w:rPr>
                <w:rFonts w:hint="eastAsia" w:ascii="宋体" w:hAnsi="宋体" w:cs="宋体"/>
                <w:bCs/>
                <w:color w:val="auto"/>
                <w:szCs w:val="21"/>
                <w:highlight w:val="none"/>
              </w:rPr>
            </w:pPr>
            <w:r>
              <w:rPr>
                <w:rFonts w:hint="eastAsia" w:ascii="宋体" w:hAnsi="宋体" w:cs="宋体"/>
                <w:bCs/>
                <w:color w:val="auto"/>
                <w:szCs w:val="21"/>
                <w:highlight w:val="none"/>
              </w:rPr>
              <w:t>质量要求：合格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PrEx>
        <w:trPr>
          <w:jc w:val="center"/>
        </w:trPr>
        <w:tc>
          <w:tcPr>
            <w:tcW w:w="819"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17</w:t>
            </w:r>
          </w:p>
        </w:tc>
        <w:tc>
          <w:tcPr>
            <w:tcW w:w="7543" w:type="dxa"/>
            <w:noWrap w:val="0"/>
            <w:vAlign w:val="center"/>
          </w:tcPr>
          <w:p>
            <w:pPr>
              <w:keepNext w:val="0"/>
              <w:keepLines w:val="0"/>
              <w:suppressLineNumbers w:val="0"/>
              <w:spacing w:before="0" w:beforeAutospacing="0" w:after="0" w:afterAutospacing="0"/>
              <w:ind w:left="0" w:right="0"/>
              <w:rPr>
                <w:rFonts w:hint="eastAsia" w:ascii="宋体" w:hAnsi="宋体" w:cs="宋体"/>
                <w:bCs/>
                <w:color w:val="auto"/>
                <w:szCs w:val="21"/>
                <w:highlight w:val="none"/>
              </w:rPr>
            </w:pPr>
            <w:r>
              <w:rPr>
                <w:rFonts w:hint="eastAsia" w:ascii="宋体" w:hAnsi="宋体" w:cs="宋体"/>
                <w:bCs/>
                <w:color w:val="auto"/>
                <w:szCs w:val="21"/>
                <w:highlight w:val="none"/>
              </w:rPr>
              <w:t>服务地点：甲方指定地点</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jc w:val="center"/>
        </w:trPr>
        <w:tc>
          <w:tcPr>
            <w:tcW w:w="819"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18</w:t>
            </w:r>
          </w:p>
        </w:tc>
        <w:tc>
          <w:tcPr>
            <w:tcW w:w="7543"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rPr>
              <w:t>资金来源：财政</w:t>
            </w:r>
            <w:r>
              <w:rPr>
                <w:rFonts w:hint="eastAsia" w:ascii="宋体" w:hAnsi="宋体" w:cs="宋体"/>
                <w:bCs/>
                <w:color w:val="auto"/>
                <w:szCs w:val="21"/>
                <w:highlight w:val="none"/>
                <w:lang w:val="en-US" w:eastAsia="zh-CN"/>
              </w:rPr>
              <w:t>资金</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jc w:val="center"/>
        </w:trPr>
        <w:tc>
          <w:tcPr>
            <w:tcW w:w="819"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19</w:t>
            </w:r>
          </w:p>
        </w:tc>
        <w:tc>
          <w:tcPr>
            <w:tcW w:w="7543" w:type="dxa"/>
            <w:noWrap w:val="0"/>
            <w:vAlign w:val="center"/>
          </w:tcPr>
          <w:p>
            <w:pPr>
              <w:keepNext w:val="0"/>
              <w:keepLines w:val="0"/>
              <w:suppressLineNumbers w:val="0"/>
              <w:spacing w:before="0" w:beforeAutospacing="0" w:after="0" w:afterAutospacing="0"/>
              <w:ind w:left="0" w:right="0"/>
              <w:rPr>
                <w:rFonts w:hint="eastAsia" w:ascii="宋体" w:hAnsi="宋体" w:cs="宋体"/>
                <w:bCs/>
                <w:color w:val="auto"/>
                <w:szCs w:val="21"/>
                <w:highlight w:val="none"/>
              </w:rPr>
            </w:pPr>
            <w:r>
              <w:rPr>
                <w:rFonts w:hint="eastAsia" w:ascii="宋体" w:hAnsi="宋体" w:cs="宋体"/>
                <w:bCs/>
                <w:color w:val="auto"/>
                <w:szCs w:val="21"/>
                <w:highlight w:val="none"/>
              </w:rPr>
              <w:t>招标方式：公开招标</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jc w:val="center"/>
        </w:trPr>
        <w:tc>
          <w:tcPr>
            <w:tcW w:w="819"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20</w:t>
            </w:r>
          </w:p>
        </w:tc>
        <w:tc>
          <w:tcPr>
            <w:tcW w:w="7543"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付款方式: 按月实际维修明细</w:t>
            </w:r>
            <w:r>
              <w:rPr>
                <w:rFonts w:hint="eastAsia" w:ascii="宋体" w:hAnsi="宋体" w:cs="宋体"/>
                <w:bCs/>
                <w:color w:val="auto"/>
                <w:szCs w:val="21"/>
                <w:highlight w:val="none"/>
                <w:lang w:val="en-US" w:eastAsia="zh-CN"/>
              </w:rPr>
              <w:t>进行</w:t>
            </w:r>
            <w:r>
              <w:rPr>
                <w:rFonts w:hint="eastAsia" w:ascii="宋体" w:hAnsi="宋体" w:cs="宋体"/>
                <w:bCs/>
                <w:color w:val="auto"/>
                <w:szCs w:val="21"/>
                <w:highlight w:val="none"/>
              </w:rPr>
              <w:t>结算</w:t>
            </w:r>
            <w:r>
              <w:rPr>
                <w:rFonts w:hint="eastAsia" w:ascii="宋体" w:hAnsi="宋体" w:cs="宋体"/>
                <w:bCs/>
                <w:color w:val="auto"/>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jc w:val="center"/>
        </w:trPr>
        <w:tc>
          <w:tcPr>
            <w:tcW w:w="81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hint="default" w:ascii="宋体" w:hAnsi="宋体" w:cs="宋体"/>
                <w:color w:val="auto"/>
                <w:szCs w:val="21"/>
                <w:highlight w:val="none"/>
              </w:rPr>
              <w:t>1</w:t>
            </w:r>
          </w:p>
        </w:tc>
        <w:tc>
          <w:tcPr>
            <w:tcW w:w="7543" w:type="dxa"/>
            <w:noWrap w:val="0"/>
            <w:vAlign w:val="center"/>
          </w:tcPr>
          <w:p>
            <w:pPr>
              <w:keepNext w:val="0"/>
              <w:keepLines w:val="0"/>
              <w:suppressLineNumbers w:val="0"/>
              <w:spacing w:before="0" w:beforeAutospacing="0" w:after="0" w:afterAutospacing="0"/>
              <w:ind w:left="0" w:right="0"/>
              <w:rPr>
                <w:rFonts w:hint="eastAsia" w:ascii="宋体" w:hAnsi="宋体" w:cs="宋体"/>
                <w:bCs/>
                <w:color w:val="auto"/>
                <w:szCs w:val="21"/>
                <w:highlight w:val="none"/>
              </w:rPr>
            </w:pPr>
            <w:r>
              <w:rPr>
                <w:rFonts w:hint="eastAsia" w:ascii="宋体" w:hAnsi="宋体" w:cs="宋体"/>
                <w:bCs/>
                <w:color w:val="auto"/>
                <w:szCs w:val="21"/>
                <w:highlight w:val="none"/>
              </w:rPr>
              <w:t>履约保证金：无</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PrEx>
        <w:trPr>
          <w:jc w:val="center"/>
        </w:trPr>
        <w:tc>
          <w:tcPr>
            <w:tcW w:w="819"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22</w:t>
            </w:r>
          </w:p>
        </w:tc>
        <w:tc>
          <w:tcPr>
            <w:tcW w:w="7543" w:type="dxa"/>
            <w:noWrap w:val="0"/>
            <w:vAlign w:val="center"/>
          </w:tcPr>
          <w:p>
            <w:pPr>
              <w:keepNext w:val="0"/>
              <w:keepLines w:val="0"/>
              <w:suppressLineNumbers w:val="0"/>
              <w:spacing w:before="0" w:beforeAutospacing="0" w:after="0" w:afterAutospacing="0"/>
              <w:ind w:left="0" w:right="0"/>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公告发布媒体：新疆政府采购网</w:t>
            </w:r>
          </w:p>
          <w:p>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http://www.ccgp-xinjiang.gov.cn/home.html</w:t>
            </w:r>
          </w:p>
        </w:tc>
      </w:tr>
    </w:tbl>
    <w:p>
      <w:pPr>
        <w:rPr>
          <w:rFonts w:hint="eastAsia" w:ascii="宋体" w:hAnsi="宋体" w:cs="宋体"/>
          <w:color w:val="auto"/>
          <w:szCs w:val="21"/>
          <w:highlight w:val="none"/>
        </w:rPr>
      </w:pPr>
    </w:p>
    <w:p>
      <w:pPr>
        <w:jc w:val="center"/>
        <w:rPr>
          <w:rFonts w:hint="eastAsia" w:ascii="宋体" w:hAnsi="宋体" w:cs="宋体"/>
          <w:color w:val="auto"/>
          <w:szCs w:val="21"/>
          <w:highlight w:val="none"/>
        </w:rPr>
        <w:sectPr>
          <w:footerReference r:id="rId9" w:type="default"/>
          <w:pgSz w:w="11906" w:h="16838"/>
          <w:pgMar w:top="1440" w:right="1800" w:bottom="1440" w:left="1800" w:header="851" w:footer="992" w:gutter="0"/>
          <w:cols w:space="720" w:num="1"/>
          <w:docGrid w:type="lines" w:linePitch="312" w:charSpace="0"/>
        </w:sectPr>
      </w:pPr>
      <w:r>
        <w:rPr>
          <w:rFonts w:hint="eastAsia" w:ascii="宋体" w:hAnsi="宋体" w:cs="宋体"/>
          <w:color w:val="auto"/>
          <w:szCs w:val="21"/>
          <w:highlight w:val="none"/>
        </w:rPr>
        <w:t xml:space="preserve"> </w:t>
      </w:r>
    </w:p>
    <w:p>
      <w:pPr>
        <w:pStyle w:val="40"/>
        <w:spacing w:before="0" w:after="0" w:line="360" w:lineRule="auto"/>
        <w:rPr>
          <w:rFonts w:hint="eastAsia" w:ascii="宋体" w:hAnsi="宋体" w:cs="宋体"/>
          <w:color w:val="auto"/>
          <w:sz w:val="21"/>
          <w:szCs w:val="21"/>
          <w:highlight w:val="none"/>
        </w:rPr>
      </w:pPr>
      <w:bookmarkStart w:id="6" w:name="_Toc162062858"/>
      <w:bookmarkStart w:id="7" w:name="_Toc9410"/>
      <w:bookmarkStart w:id="8" w:name="_Toc91319135"/>
      <w:r>
        <w:rPr>
          <w:rFonts w:hint="eastAsia" w:ascii="宋体" w:hAnsi="宋体" w:cs="宋体"/>
          <w:color w:val="auto"/>
          <w:sz w:val="21"/>
          <w:szCs w:val="21"/>
          <w:highlight w:val="none"/>
        </w:rPr>
        <w:t>Ⅱ 投标人须知</w:t>
      </w:r>
      <w:bookmarkEnd w:id="6"/>
      <w:bookmarkEnd w:id="7"/>
      <w:bookmarkEnd w:id="8"/>
    </w:p>
    <w:p>
      <w:pPr>
        <w:spacing w:before="156" w:beforeLines="50" w:after="156" w:afterLines="50"/>
        <w:jc w:val="center"/>
        <w:rPr>
          <w:rFonts w:hint="eastAsia" w:ascii="宋体" w:hAnsi="宋体" w:cs="宋体"/>
          <w:b/>
          <w:color w:val="auto"/>
          <w:szCs w:val="21"/>
          <w:highlight w:val="none"/>
        </w:rPr>
      </w:pPr>
      <w:bookmarkStart w:id="9" w:name="_Toc91319136"/>
      <w:bookmarkStart w:id="10" w:name="_Toc162062859"/>
      <w:bookmarkStart w:id="11" w:name="_Toc175062576"/>
      <w:bookmarkStart w:id="12" w:name="_Toc520356143"/>
      <w:r>
        <w:rPr>
          <w:rFonts w:hint="eastAsia" w:ascii="宋体" w:hAnsi="宋体" w:cs="宋体"/>
          <w:b/>
          <w:color w:val="auto"/>
          <w:szCs w:val="21"/>
          <w:highlight w:val="none"/>
        </w:rPr>
        <w:t>一、说  明</w:t>
      </w:r>
      <w:bookmarkEnd w:id="9"/>
      <w:bookmarkEnd w:id="10"/>
      <w:bookmarkEnd w:id="11"/>
      <w:bookmarkEnd w:id="12"/>
      <w:bookmarkStart w:id="13" w:name="_Toc91319137"/>
      <w:bookmarkStart w:id="14" w:name="_Toc162062860"/>
      <w:bookmarkStart w:id="15" w:name="_Toc175062577"/>
      <w:bookmarkStart w:id="16" w:name="_Toc520356144"/>
    </w:p>
    <w:p>
      <w:pPr>
        <w:spacing w:before="156" w:beforeLines="50" w:after="156" w:afterLines="50"/>
        <w:rPr>
          <w:rFonts w:hint="eastAsia" w:ascii="宋体" w:hAnsi="宋体" w:cs="宋体"/>
          <w:b/>
          <w:color w:val="auto"/>
          <w:szCs w:val="21"/>
          <w:highlight w:val="none"/>
        </w:rPr>
      </w:pPr>
      <w:r>
        <w:rPr>
          <w:rFonts w:hint="eastAsia" w:ascii="宋体" w:hAnsi="宋体" w:cs="宋体"/>
          <w:b/>
          <w:color w:val="auto"/>
          <w:szCs w:val="21"/>
          <w:highlight w:val="none"/>
        </w:rPr>
        <w:t>1．招标采购单位及合格的投标人</w:t>
      </w:r>
      <w:bookmarkEnd w:id="13"/>
      <w:bookmarkEnd w:id="14"/>
      <w:bookmarkEnd w:id="15"/>
      <w:bookmarkEnd w:id="16"/>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color w:val="auto"/>
          <w:szCs w:val="21"/>
          <w:highlight w:val="none"/>
        </w:rPr>
        <w:tab/>
      </w:r>
      <w:r>
        <w:rPr>
          <w:rFonts w:hint="eastAsia" w:ascii="宋体" w:hAnsi="宋体" w:cs="宋体"/>
          <w:color w:val="auto"/>
          <w:szCs w:val="21"/>
          <w:highlight w:val="none"/>
        </w:rPr>
        <w:t>招标采购单位：系指招标人及其委托的采购代理机构。采购代理机构包括集中采购机构和依法经财政部门认定资格的其他采购代理机构。</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zCs w:val="21"/>
          <w:highlight w:val="none"/>
        </w:rPr>
        <w:tab/>
      </w:r>
      <w:r>
        <w:rPr>
          <w:rFonts w:hint="eastAsia" w:ascii="宋体" w:hAnsi="宋体" w:cs="宋体"/>
          <w:color w:val="auto"/>
          <w:szCs w:val="21"/>
          <w:highlight w:val="none"/>
        </w:rPr>
        <w:t>满足以下条件的投标人是合格的投标人，可以参加本次投标：详见投标人须知前附表</w:t>
      </w:r>
      <w:r>
        <w:rPr>
          <w:rFonts w:hint="eastAsia" w:ascii="宋体" w:hAnsi="宋体" w:cs="宋体"/>
          <w:color w:val="auto"/>
          <w:szCs w:val="21"/>
          <w:highlight w:val="none"/>
          <w:u w:val="single"/>
        </w:rPr>
        <w:t>2</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rPr>
        <w:tab/>
      </w:r>
      <w:r>
        <w:rPr>
          <w:rFonts w:hint="eastAsia" w:ascii="宋体" w:hAnsi="宋体" w:cs="宋体"/>
          <w:color w:val="auto"/>
          <w:szCs w:val="21"/>
          <w:highlight w:val="none"/>
        </w:rPr>
        <w:t>凡受托为采购本次招标的服务进行设计、编制规范和其他文件的咨询公司，及相关联的附属机构，不得参加投标。</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1.4</w:t>
      </w:r>
      <w:r>
        <w:rPr>
          <w:rFonts w:hint="eastAsia" w:ascii="宋体" w:hAnsi="宋体" w:cs="宋体"/>
          <w:color w:val="auto"/>
          <w:szCs w:val="21"/>
          <w:highlight w:val="none"/>
        </w:rPr>
        <w:tab/>
      </w:r>
      <w:r>
        <w:rPr>
          <w:rFonts w:hint="eastAsia" w:ascii="宋体" w:hAnsi="宋体" w:cs="宋体"/>
          <w:color w:val="auto"/>
          <w:szCs w:val="21"/>
          <w:highlight w:val="none"/>
        </w:rPr>
        <w:t>投标人在投标过程中不得向招标采购单位提供、给予任何有价值的物品，影响其正常决策行为。一经发现，其投标人资格将被取消。</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color w:val="auto"/>
          <w:szCs w:val="21"/>
          <w:highlight w:val="none"/>
        </w:rPr>
        <w:tab/>
      </w:r>
      <w:r>
        <w:rPr>
          <w:rFonts w:hint="eastAsia" w:ascii="宋体" w:hAnsi="宋体" w:cs="宋体"/>
          <w:color w:val="auto"/>
          <w:szCs w:val="21"/>
          <w:highlight w:val="none"/>
        </w:rPr>
        <w:t>招标采购单位在任何时候发现投标人提交的投标文件内容有下列情形之一时，有权依法追究投标人的责任：</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1.5.1</w:t>
      </w:r>
      <w:r>
        <w:rPr>
          <w:rFonts w:hint="eastAsia" w:ascii="宋体" w:hAnsi="宋体" w:cs="宋体"/>
          <w:color w:val="auto"/>
          <w:szCs w:val="21"/>
          <w:highlight w:val="none"/>
        </w:rPr>
        <w:tab/>
      </w:r>
      <w:r>
        <w:rPr>
          <w:rFonts w:hint="eastAsia" w:ascii="宋体" w:hAnsi="宋体" w:cs="宋体"/>
          <w:color w:val="auto"/>
          <w:szCs w:val="21"/>
          <w:highlight w:val="none"/>
        </w:rPr>
        <w:t>提供虚假的资料。</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1.5.2</w:t>
      </w:r>
      <w:r>
        <w:rPr>
          <w:rFonts w:hint="eastAsia" w:ascii="宋体" w:hAnsi="宋体" w:cs="宋体"/>
          <w:color w:val="auto"/>
          <w:szCs w:val="21"/>
          <w:highlight w:val="none"/>
        </w:rPr>
        <w:tab/>
      </w:r>
      <w:r>
        <w:rPr>
          <w:rFonts w:hint="eastAsia" w:ascii="宋体" w:hAnsi="宋体" w:cs="宋体"/>
          <w:color w:val="auto"/>
          <w:szCs w:val="21"/>
          <w:highlight w:val="none"/>
        </w:rPr>
        <w:t>在实质性方面失实。</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1.6</w:t>
      </w:r>
      <w:r>
        <w:rPr>
          <w:rFonts w:hint="eastAsia" w:ascii="宋体" w:hAnsi="宋体" w:cs="宋体"/>
          <w:color w:val="auto"/>
          <w:szCs w:val="21"/>
          <w:highlight w:val="none"/>
        </w:rPr>
        <w:tab/>
      </w:r>
      <w:r>
        <w:rPr>
          <w:rFonts w:hint="eastAsia" w:ascii="宋体" w:hAnsi="宋体" w:cs="宋体"/>
          <w:color w:val="auto"/>
          <w:szCs w:val="21"/>
          <w:highlight w:val="none"/>
        </w:rPr>
        <w:t>政府采购当事人之间不得相互串通投标。</w:t>
      </w:r>
      <w:bookmarkStart w:id="17" w:name="_Toc162062861"/>
      <w:bookmarkStart w:id="18" w:name="_Toc91319138"/>
      <w:bookmarkStart w:id="19" w:name="_Toc175062578"/>
    </w:p>
    <w:p>
      <w:pPr>
        <w:spacing w:before="156" w:beforeLines="50" w:after="156" w:afterLines="50"/>
        <w:rPr>
          <w:rFonts w:hint="eastAsia" w:ascii="宋体" w:hAnsi="宋体" w:cs="宋体"/>
          <w:b/>
          <w:color w:val="auto"/>
          <w:szCs w:val="21"/>
          <w:highlight w:val="none"/>
        </w:rPr>
      </w:pPr>
      <w:r>
        <w:rPr>
          <w:rFonts w:hint="eastAsia" w:ascii="宋体" w:hAnsi="宋体" w:cs="宋体"/>
          <w:b/>
          <w:color w:val="auto"/>
          <w:szCs w:val="21"/>
          <w:highlight w:val="none"/>
        </w:rPr>
        <w:t>2．资金来源</w:t>
      </w:r>
      <w:bookmarkEnd w:id="17"/>
      <w:bookmarkEnd w:id="18"/>
      <w:bookmarkEnd w:id="19"/>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rPr>
        <w:tab/>
      </w:r>
      <w:r>
        <w:rPr>
          <w:rFonts w:hint="eastAsia" w:ascii="宋体" w:hAnsi="宋体" w:cs="宋体"/>
          <w:color w:val="auto"/>
          <w:szCs w:val="21"/>
          <w:highlight w:val="none"/>
        </w:rPr>
        <w:t>招标公告或投标邀请书中所述的招标人必须获得足以支付本次招标后所签订的合同项下的款项（包括财政性资金和自筹资金）。</w:t>
      </w:r>
    </w:p>
    <w:p>
      <w:pPr>
        <w:spacing w:before="156" w:beforeLines="50" w:after="156" w:afterLines="50"/>
        <w:rPr>
          <w:rFonts w:hint="eastAsia" w:ascii="宋体" w:hAnsi="宋体" w:cs="宋体"/>
          <w:b/>
          <w:color w:val="auto"/>
          <w:szCs w:val="21"/>
          <w:highlight w:val="none"/>
        </w:rPr>
      </w:pPr>
      <w:bookmarkStart w:id="20" w:name="_Toc91319139"/>
      <w:bookmarkStart w:id="21" w:name="_Toc162062862"/>
      <w:bookmarkStart w:id="22" w:name="_Toc520356145"/>
      <w:bookmarkStart w:id="23" w:name="_Toc175062579"/>
      <w:r>
        <w:rPr>
          <w:rFonts w:hint="eastAsia" w:ascii="宋体" w:hAnsi="宋体" w:cs="宋体"/>
          <w:b/>
          <w:color w:val="auto"/>
          <w:szCs w:val="21"/>
          <w:highlight w:val="none"/>
        </w:rPr>
        <w:t>3．投标费用</w:t>
      </w:r>
      <w:bookmarkEnd w:id="20"/>
      <w:bookmarkEnd w:id="21"/>
      <w:bookmarkEnd w:id="22"/>
      <w:bookmarkEnd w:id="23"/>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3.1</w:t>
      </w:r>
      <w:r>
        <w:rPr>
          <w:rFonts w:hint="eastAsia" w:ascii="宋体" w:hAnsi="宋体" w:cs="宋体"/>
          <w:color w:val="auto"/>
          <w:szCs w:val="21"/>
          <w:highlight w:val="none"/>
        </w:rPr>
        <w:tab/>
      </w:r>
      <w:r>
        <w:rPr>
          <w:rFonts w:hint="eastAsia" w:ascii="宋体" w:hAnsi="宋体" w:cs="宋体"/>
          <w:color w:val="auto"/>
          <w:szCs w:val="21"/>
          <w:highlight w:val="none"/>
        </w:rPr>
        <w:t>投标人应承担所有与准备和参加投标有关的费用，不论投标的结果如何，招标采购单位均无承担的义务和责任。</w:t>
      </w:r>
    </w:p>
    <w:p>
      <w:pPr>
        <w:spacing w:before="156" w:beforeLines="50" w:after="156" w:afterLines="50"/>
        <w:jc w:val="center"/>
        <w:rPr>
          <w:rFonts w:hint="eastAsia" w:ascii="宋体" w:hAnsi="宋体" w:cs="宋体"/>
          <w:b/>
          <w:color w:val="auto"/>
          <w:szCs w:val="21"/>
          <w:highlight w:val="none"/>
        </w:rPr>
      </w:pPr>
      <w:bookmarkStart w:id="24" w:name="_Toc162062863"/>
      <w:bookmarkStart w:id="25" w:name="_Toc91319140"/>
      <w:bookmarkStart w:id="26" w:name="_Toc520356146"/>
      <w:bookmarkStart w:id="27" w:name="_Toc175062580"/>
      <w:r>
        <w:rPr>
          <w:rFonts w:hint="eastAsia" w:ascii="宋体" w:hAnsi="宋体" w:cs="宋体"/>
          <w:b/>
          <w:color w:val="auto"/>
          <w:szCs w:val="21"/>
          <w:highlight w:val="none"/>
        </w:rPr>
        <w:t>二、招标文件</w:t>
      </w:r>
      <w:bookmarkEnd w:id="24"/>
      <w:bookmarkEnd w:id="25"/>
      <w:bookmarkEnd w:id="26"/>
      <w:bookmarkEnd w:id="27"/>
    </w:p>
    <w:p>
      <w:pPr>
        <w:spacing w:before="156" w:beforeLines="50" w:after="156" w:afterLines="50"/>
        <w:rPr>
          <w:rFonts w:hint="eastAsia" w:ascii="宋体" w:hAnsi="宋体" w:cs="宋体"/>
          <w:b/>
          <w:color w:val="auto"/>
          <w:szCs w:val="21"/>
          <w:highlight w:val="none"/>
        </w:rPr>
      </w:pPr>
      <w:bookmarkStart w:id="28" w:name="_Toc520356147"/>
      <w:bookmarkStart w:id="29" w:name="_Toc162062864"/>
      <w:bookmarkStart w:id="30" w:name="_Toc175062581"/>
      <w:bookmarkStart w:id="31" w:name="_Toc91319141"/>
      <w:r>
        <w:rPr>
          <w:rFonts w:hint="eastAsia" w:ascii="宋体" w:hAnsi="宋体" w:cs="宋体"/>
          <w:b/>
          <w:color w:val="auto"/>
          <w:szCs w:val="21"/>
          <w:highlight w:val="none"/>
        </w:rPr>
        <w:t>4．招标文件构成</w:t>
      </w:r>
      <w:bookmarkEnd w:id="28"/>
      <w:bookmarkEnd w:id="29"/>
      <w:bookmarkEnd w:id="30"/>
      <w:bookmarkEnd w:id="31"/>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4.1</w:t>
      </w:r>
      <w:r>
        <w:rPr>
          <w:rFonts w:hint="eastAsia" w:ascii="宋体" w:hAnsi="宋体" w:cs="宋体"/>
          <w:color w:val="auto"/>
          <w:szCs w:val="21"/>
          <w:highlight w:val="none"/>
        </w:rPr>
        <w:tab/>
      </w:r>
      <w:r>
        <w:rPr>
          <w:rFonts w:hint="eastAsia" w:ascii="宋体" w:hAnsi="宋体" w:cs="宋体"/>
          <w:color w:val="auto"/>
          <w:szCs w:val="21"/>
          <w:highlight w:val="none"/>
        </w:rPr>
        <w:t>要求提供服务的内容及详细技术需求、投标须知和合同条件等在招标文件中均有说明。</w:t>
      </w:r>
    </w:p>
    <w:p>
      <w:pPr>
        <w:ind w:left="199" w:firstLine="420"/>
        <w:rPr>
          <w:rFonts w:hint="eastAsia" w:ascii="宋体" w:hAnsi="宋体" w:cs="宋体"/>
          <w:color w:val="auto"/>
          <w:szCs w:val="21"/>
          <w:highlight w:val="none"/>
        </w:rPr>
      </w:pPr>
      <w:r>
        <w:rPr>
          <w:rFonts w:hint="eastAsia" w:ascii="宋体" w:hAnsi="宋体" w:cs="宋体"/>
          <w:color w:val="auto"/>
          <w:szCs w:val="21"/>
          <w:highlight w:val="none"/>
        </w:rPr>
        <w:t>招标文件共七章，内容如下：</w:t>
      </w:r>
    </w:p>
    <w:p>
      <w:pPr>
        <w:ind w:left="199" w:firstLine="420"/>
        <w:rPr>
          <w:rFonts w:hint="eastAsia" w:ascii="宋体" w:hAnsi="宋体" w:cs="宋体"/>
          <w:color w:val="auto"/>
          <w:szCs w:val="21"/>
          <w:highlight w:val="none"/>
        </w:rPr>
      </w:pPr>
      <w:r>
        <w:rPr>
          <w:rFonts w:hint="eastAsia" w:ascii="宋体" w:hAnsi="宋体" w:cs="宋体"/>
          <w:color w:val="auto"/>
          <w:szCs w:val="21"/>
          <w:highlight w:val="none"/>
        </w:rPr>
        <w:t>第一章</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投标邀请</w:t>
      </w:r>
    </w:p>
    <w:p>
      <w:pPr>
        <w:ind w:left="199" w:firstLine="420"/>
        <w:rPr>
          <w:rFonts w:hint="eastAsia" w:ascii="宋体" w:hAnsi="宋体" w:cs="宋体"/>
          <w:color w:val="auto"/>
          <w:szCs w:val="21"/>
          <w:highlight w:val="none"/>
        </w:rPr>
      </w:pPr>
      <w:r>
        <w:rPr>
          <w:rFonts w:hint="eastAsia" w:ascii="宋体" w:hAnsi="宋体" w:cs="宋体"/>
          <w:color w:val="auto"/>
          <w:szCs w:val="21"/>
          <w:highlight w:val="none"/>
        </w:rPr>
        <w:t>第二章</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投标人须知</w:t>
      </w:r>
    </w:p>
    <w:p>
      <w:pPr>
        <w:ind w:left="199" w:firstLine="420"/>
        <w:rPr>
          <w:rFonts w:hint="eastAsia" w:ascii="宋体" w:hAnsi="宋体" w:cs="宋体"/>
          <w:color w:val="auto"/>
          <w:szCs w:val="21"/>
          <w:highlight w:val="none"/>
        </w:rPr>
      </w:pPr>
      <w:r>
        <w:rPr>
          <w:rFonts w:hint="eastAsia" w:ascii="宋体" w:hAnsi="宋体" w:cs="宋体"/>
          <w:color w:val="auto"/>
          <w:szCs w:val="21"/>
          <w:highlight w:val="none"/>
        </w:rPr>
        <w:t>第三章</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服务需求及技术规范</w:t>
      </w:r>
    </w:p>
    <w:p>
      <w:pPr>
        <w:ind w:left="199" w:firstLine="420"/>
        <w:rPr>
          <w:rFonts w:hint="eastAsia" w:ascii="宋体" w:hAnsi="宋体" w:cs="宋体"/>
          <w:color w:val="auto"/>
          <w:szCs w:val="21"/>
          <w:highlight w:val="none"/>
        </w:rPr>
      </w:pPr>
      <w:r>
        <w:rPr>
          <w:rFonts w:hint="eastAsia" w:ascii="宋体" w:hAnsi="宋体" w:cs="宋体"/>
          <w:color w:val="auto"/>
          <w:szCs w:val="21"/>
          <w:highlight w:val="none"/>
        </w:rPr>
        <w:t>第四章</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采购合同格式</w:t>
      </w:r>
    </w:p>
    <w:p>
      <w:pPr>
        <w:ind w:left="199" w:firstLine="420"/>
        <w:rPr>
          <w:rFonts w:hint="eastAsia" w:ascii="宋体" w:hAnsi="宋体" w:cs="宋体"/>
          <w:color w:val="auto"/>
          <w:szCs w:val="21"/>
          <w:highlight w:val="none"/>
        </w:rPr>
      </w:pPr>
      <w:r>
        <w:rPr>
          <w:rFonts w:hint="eastAsia" w:ascii="宋体" w:hAnsi="宋体" w:cs="宋体"/>
          <w:color w:val="auto"/>
          <w:szCs w:val="21"/>
          <w:highlight w:val="none"/>
        </w:rPr>
        <w:t xml:space="preserve">第五章  </w:t>
      </w:r>
      <w:r>
        <w:rPr>
          <w:rFonts w:hint="eastAsia" w:ascii="宋体" w:hAnsi="宋体" w:cs="宋体"/>
          <w:color w:val="auto"/>
          <w:szCs w:val="21"/>
          <w:highlight w:val="none"/>
        </w:rPr>
        <w:tab/>
      </w:r>
      <w:r>
        <w:rPr>
          <w:rFonts w:hint="eastAsia" w:ascii="宋体" w:hAnsi="宋体" w:cs="宋体"/>
          <w:color w:val="auto"/>
          <w:szCs w:val="21"/>
          <w:highlight w:val="none"/>
        </w:rPr>
        <w:t>评分标准</w:t>
      </w:r>
    </w:p>
    <w:p>
      <w:pPr>
        <w:ind w:left="199" w:firstLine="420"/>
        <w:rPr>
          <w:rFonts w:hint="eastAsia" w:ascii="宋体" w:hAnsi="宋体" w:cs="宋体"/>
          <w:color w:val="auto"/>
          <w:szCs w:val="21"/>
          <w:highlight w:val="none"/>
        </w:rPr>
      </w:pPr>
      <w:r>
        <w:rPr>
          <w:rFonts w:hint="eastAsia" w:ascii="宋体" w:hAnsi="宋体" w:cs="宋体"/>
          <w:color w:val="auto"/>
          <w:szCs w:val="21"/>
          <w:highlight w:val="none"/>
        </w:rPr>
        <w:t>第六章</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附件—投标文件格式</w:t>
      </w:r>
    </w:p>
    <w:p>
      <w:pPr>
        <w:ind w:left="199" w:firstLine="420"/>
        <w:rPr>
          <w:rFonts w:hint="eastAsia"/>
          <w:color w:val="auto"/>
          <w:highlight w:val="none"/>
        </w:rPr>
      </w:pPr>
      <w:r>
        <w:rPr>
          <w:rFonts w:hint="eastAsia" w:ascii="宋体" w:hAnsi="宋体" w:cs="宋体"/>
          <w:color w:val="auto"/>
          <w:szCs w:val="21"/>
          <w:highlight w:val="none"/>
        </w:rPr>
        <w:t>第七章</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补充条款</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4.2</w:t>
      </w:r>
      <w:r>
        <w:rPr>
          <w:rFonts w:hint="eastAsia" w:ascii="宋体" w:hAnsi="宋体" w:cs="宋体"/>
          <w:color w:val="auto"/>
          <w:szCs w:val="21"/>
          <w:highlight w:val="none"/>
        </w:rPr>
        <w:tab/>
      </w:r>
      <w:r>
        <w:rPr>
          <w:rFonts w:hint="eastAsia" w:ascii="宋体" w:hAnsi="宋体" w:cs="宋体"/>
          <w:color w:val="auto"/>
          <w:szCs w:val="21"/>
          <w:highlight w:val="none"/>
        </w:rPr>
        <w:t>投标人应认真阅读招标文件所有的事项、格式、条款和技术规范等。如投标人没有按照招标文件要求提交全部资料，或者投标文件没有对招标文件在各方面都做出实质性响应是投标人的风险，并可能导致其投标将被视为无效投标。</w:t>
      </w:r>
    </w:p>
    <w:p>
      <w:pPr>
        <w:spacing w:before="156" w:beforeLines="50" w:after="156" w:afterLines="50"/>
        <w:rPr>
          <w:rFonts w:hint="eastAsia" w:ascii="宋体" w:hAnsi="宋体" w:cs="宋体"/>
          <w:b/>
          <w:color w:val="auto"/>
          <w:szCs w:val="21"/>
          <w:highlight w:val="none"/>
        </w:rPr>
      </w:pPr>
      <w:bookmarkStart w:id="32" w:name="_Toc91319142"/>
      <w:bookmarkStart w:id="33" w:name="_Toc175062582"/>
      <w:bookmarkStart w:id="34" w:name="_Toc520356148"/>
      <w:bookmarkStart w:id="35" w:name="_Toc162062865"/>
      <w:r>
        <w:rPr>
          <w:rFonts w:hint="eastAsia" w:ascii="宋体" w:hAnsi="宋体" w:cs="宋体"/>
          <w:b/>
          <w:color w:val="auto"/>
          <w:szCs w:val="21"/>
          <w:highlight w:val="none"/>
        </w:rPr>
        <w:t>5．招标文件的澄清</w:t>
      </w:r>
      <w:bookmarkEnd w:id="32"/>
      <w:bookmarkEnd w:id="33"/>
      <w:bookmarkEnd w:id="34"/>
      <w:bookmarkEnd w:id="35"/>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5.1</w:t>
      </w:r>
      <w:r>
        <w:rPr>
          <w:rFonts w:hint="eastAsia" w:ascii="宋体" w:hAnsi="宋体" w:cs="宋体"/>
          <w:color w:val="auto"/>
          <w:szCs w:val="21"/>
          <w:highlight w:val="none"/>
        </w:rPr>
        <w:tab/>
      </w:r>
      <w:r>
        <w:rPr>
          <w:rFonts w:hint="eastAsia" w:ascii="宋体" w:hAnsi="宋体" w:cs="宋体"/>
          <w:color w:val="auto"/>
          <w:szCs w:val="21"/>
          <w:highlight w:val="none"/>
        </w:rPr>
        <w:t>任何要求对招标文件进行澄清的投标人，均应以书面形式通知招标采购单位。招标采购单位对在投标截止期十五日以前收到的澄清要求应以书面形式予以答复，并将书面答复发给每个购买招标文件的投标人（答复中不包括问题的来源）。</w:t>
      </w:r>
    </w:p>
    <w:p>
      <w:pPr>
        <w:spacing w:before="156" w:beforeLines="50" w:after="156" w:afterLines="50"/>
        <w:rPr>
          <w:rFonts w:hint="eastAsia" w:ascii="宋体" w:hAnsi="宋体" w:cs="宋体"/>
          <w:b/>
          <w:color w:val="auto"/>
          <w:szCs w:val="21"/>
          <w:highlight w:val="none"/>
        </w:rPr>
      </w:pPr>
      <w:bookmarkStart w:id="36" w:name="_Toc175062583"/>
      <w:bookmarkStart w:id="37" w:name="_Toc162062866"/>
      <w:bookmarkStart w:id="38" w:name="_Toc91319143"/>
      <w:bookmarkStart w:id="39" w:name="_Ref467378678"/>
      <w:bookmarkStart w:id="40" w:name="_Toc520356149"/>
      <w:r>
        <w:rPr>
          <w:rFonts w:hint="eastAsia" w:ascii="宋体" w:hAnsi="宋体" w:cs="宋体"/>
          <w:b/>
          <w:color w:val="auto"/>
          <w:szCs w:val="21"/>
          <w:highlight w:val="none"/>
        </w:rPr>
        <w:t>6．招标文件的修改</w:t>
      </w:r>
      <w:bookmarkEnd w:id="36"/>
      <w:bookmarkEnd w:id="37"/>
      <w:bookmarkEnd w:id="38"/>
      <w:bookmarkEnd w:id="39"/>
      <w:bookmarkEnd w:id="40"/>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6.1</w:t>
      </w:r>
      <w:r>
        <w:rPr>
          <w:rFonts w:hint="eastAsia" w:ascii="宋体" w:hAnsi="宋体" w:cs="宋体"/>
          <w:color w:val="auto"/>
          <w:szCs w:val="21"/>
          <w:highlight w:val="none"/>
        </w:rPr>
        <w:tab/>
      </w:r>
      <w:r>
        <w:rPr>
          <w:rFonts w:hint="eastAsia" w:ascii="宋体" w:hAnsi="宋体" w:cs="宋体"/>
          <w:color w:val="auto"/>
          <w:szCs w:val="21"/>
          <w:highlight w:val="none"/>
        </w:rPr>
        <w:t>在投标截止期十五日前，招标采购单位可主动地或在解答投标人提出的澄清问题时对招标文件进行修改。</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6.2</w:t>
      </w:r>
      <w:r>
        <w:rPr>
          <w:rFonts w:hint="eastAsia" w:ascii="宋体" w:hAnsi="宋体" w:cs="宋体"/>
          <w:color w:val="auto"/>
          <w:szCs w:val="21"/>
          <w:highlight w:val="none"/>
        </w:rPr>
        <w:tab/>
      </w:r>
      <w:r>
        <w:rPr>
          <w:rFonts w:hint="eastAsia" w:ascii="宋体" w:hAnsi="宋体" w:cs="宋体"/>
          <w:color w:val="auto"/>
          <w:szCs w:val="21"/>
          <w:highlight w:val="none"/>
        </w:rPr>
        <w:t>招标文件的修改应以书面形式通知所有购买招标文件的投标人，并对其具有约束力。投标人在收到上述通知后，应立即向招标采购单位回函确认。</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6.3</w:t>
      </w:r>
      <w:r>
        <w:rPr>
          <w:rFonts w:hint="eastAsia" w:ascii="宋体" w:hAnsi="宋体" w:cs="宋体"/>
          <w:color w:val="auto"/>
          <w:szCs w:val="21"/>
          <w:highlight w:val="none"/>
        </w:rPr>
        <w:tab/>
      </w:r>
      <w:r>
        <w:rPr>
          <w:rFonts w:hint="eastAsia" w:ascii="宋体" w:hAnsi="宋体" w:cs="宋体"/>
          <w:color w:val="auto"/>
          <w:szCs w:val="21"/>
          <w:highlight w:val="none"/>
        </w:rPr>
        <w:t>为使投标人准备投标时有足够的时间对招标文件的修改部分进行研究，招标采购单位有权决定是否延长投标截止期。</w:t>
      </w:r>
    </w:p>
    <w:p>
      <w:pPr>
        <w:spacing w:before="156" w:beforeLines="50" w:after="156" w:afterLines="50"/>
        <w:jc w:val="center"/>
        <w:rPr>
          <w:rFonts w:hint="eastAsia" w:ascii="宋体" w:hAnsi="宋体" w:cs="宋体"/>
          <w:b/>
          <w:color w:val="auto"/>
          <w:szCs w:val="21"/>
          <w:highlight w:val="none"/>
        </w:rPr>
      </w:pPr>
      <w:bookmarkStart w:id="41" w:name="_Toc516367020"/>
      <w:bookmarkStart w:id="42" w:name="_Toc520356150"/>
      <w:bookmarkStart w:id="43" w:name="_Toc91319144"/>
      <w:bookmarkStart w:id="44" w:name="_Toc175062584"/>
      <w:bookmarkStart w:id="45" w:name="_Toc162062867"/>
      <w:r>
        <w:rPr>
          <w:rFonts w:hint="eastAsia" w:ascii="宋体" w:hAnsi="宋体" w:cs="宋体"/>
          <w:b/>
          <w:color w:val="auto"/>
          <w:szCs w:val="21"/>
          <w:highlight w:val="none"/>
        </w:rPr>
        <w:t>三、投标文件</w:t>
      </w:r>
      <w:bookmarkEnd w:id="41"/>
      <w:r>
        <w:rPr>
          <w:rFonts w:hint="eastAsia" w:ascii="宋体" w:hAnsi="宋体" w:cs="宋体"/>
          <w:b/>
          <w:color w:val="auto"/>
          <w:szCs w:val="21"/>
          <w:highlight w:val="none"/>
        </w:rPr>
        <w:t>的编制</w:t>
      </w:r>
      <w:bookmarkEnd w:id="42"/>
      <w:bookmarkEnd w:id="43"/>
      <w:bookmarkEnd w:id="44"/>
      <w:bookmarkEnd w:id="45"/>
    </w:p>
    <w:p>
      <w:pPr>
        <w:spacing w:before="156" w:beforeLines="50" w:after="156" w:afterLines="50"/>
        <w:rPr>
          <w:rFonts w:hint="eastAsia" w:ascii="宋体" w:hAnsi="宋体" w:cs="宋体"/>
          <w:b/>
          <w:color w:val="auto"/>
          <w:szCs w:val="21"/>
          <w:highlight w:val="none"/>
        </w:rPr>
      </w:pPr>
      <w:bookmarkStart w:id="46" w:name="_Toc91319145"/>
      <w:bookmarkStart w:id="47" w:name="_Toc516367021"/>
      <w:bookmarkStart w:id="48" w:name="_Toc162062868"/>
      <w:bookmarkStart w:id="49" w:name="_Toc520356151"/>
      <w:bookmarkStart w:id="50" w:name="_Toc175062585"/>
      <w:r>
        <w:rPr>
          <w:rFonts w:hint="eastAsia" w:ascii="宋体" w:hAnsi="宋体" w:cs="宋体"/>
          <w:b/>
          <w:color w:val="auto"/>
          <w:szCs w:val="21"/>
          <w:highlight w:val="none"/>
        </w:rPr>
        <w:t>7．投标范围及投标文件中计量单位的使用</w:t>
      </w:r>
      <w:bookmarkEnd w:id="46"/>
      <w:bookmarkEnd w:id="47"/>
      <w:bookmarkEnd w:id="48"/>
      <w:bookmarkEnd w:id="49"/>
      <w:bookmarkEnd w:id="50"/>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7.1</w:t>
      </w:r>
      <w:r>
        <w:rPr>
          <w:rFonts w:hint="eastAsia" w:ascii="宋体" w:hAnsi="宋体" w:cs="宋体"/>
          <w:color w:val="auto"/>
          <w:szCs w:val="21"/>
          <w:highlight w:val="none"/>
        </w:rPr>
        <w:tab/>
      </w:r>
      <w:r>
        <w:rPr>
          <w:rFonts w:hint="eastAsia" w:ascii="宋体" w:hAnsi="宋体" w:cs="宋体"/>
          <w:color w:val="auto"/>
          <w:szCs w:val="21"/>
          <w:highlight w:val="none"/>
        </w:rPr>
        <w:t>投标人应对招标文件中“服务需求及技术规范”所列的所有服务进行投标。</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7.2</w:t>
      </w:r>
      <w:r>
        <w:rPr>
          <w:rFonts w:hint="eastAsia" w:ascii="宋体" w:hAnsi="宋体" w:cs="宋体"/>
          <w:color w:val="auto"/>
          <w:szCs w:val="21"/>
          <w:highlight w:val="none"/>
        </w:rPr>
        <w:tab/>
      </w:r>
      <w:r>
        <w:rPr>
          <w:rFonts w:hint="eastAsia" w:ascii="宋体" w:hAnsi="宋体" w:cs="宋体"/>
          <w:color w:val="auto"/>
          <w:szCs w:val="21"/>
          <w:highlight w:val="none"/>
        </w:rPr>
        <w:t>投标文件中所使用的计量单位，除招标文件中有特殊要求外，应采用中华人民共和国法定计量单位。</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7.3</w:t>
      </w:r>
      <w:r>
        <w:rPr>
          <w:rFonts w:hint="eastAsia" w:ascii="宋体" w:hAnsi="宋体" w:cs="宋体"/>
          <w:color w:val="auto"/>
          <w:szCs w:val="21"/>
          <w:highlight w:val="none"/>
        </w:rPr>
        <w:tab/>
      </w:r>
      <w:r>
        <w:rPr>
          <w:rFonts w:hint="eastAsia" w:ascii="宋体" w:hAnsi="宋体" w:cs="宋体"/>
          <w:color w:val="auto"/>
          <w:szCs w:val="21"/>
          <w:highlight w:val="none"/>
        </w:rPr>
        <w:t>投标文件以中文形式提交。</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7.4</w:t>
      </w:r>
      <w:r>
        <w:rPr>
          <w:rFonts w:hint="eastAsia" w:ascii="宋体" w:hAnsi="宋体" w:cs="宋体"/>
          <w:color w:val="auto"/>
          <w:szCs w:val="21"/>
          <w:highlight w:val="none"/>
        </w:rPr>
        <w:tab/>
      </w:r>
      <w:r>
        <w:rPr>
          <w:rFonts w:hint="eastAsia" w:ascii="宋体" w:hAnsi="宋体" w:cs="宋体"/>
          <w:color w:val="auto"/>
          <w:szCs w:val="21"/>
          <w:highlight w:val="none"/>
        </w:rPr>
        <w:t>本次招标项目只允许提供一种投标方案，备选方案不予考虑。</w:t>
      </w:r>
    </w:p>
    <w:p>
      <w:pPr>
        <w:spacing w:before="156" w:beforeLines="50" w:after="156" w:afterLines="50"/>
        <w:rPr>
          <w:rFonts w:hint="eastAsia" w:ascii="宋体" w:hAnsi="宋体" w:cs="宋体"/>
          <w:b/>
          <w:color w:val="auto"/>
          <w:szCs w:val="21"/>
          <w:highlight w:val="none"/>
        </w:rPr>
      </w:pPr>
      <w:bookmarkStart w:id="51" w:name="_Ref467306195"/>
      <w:bookmarkStart w:id="52" w:name="_Ref467306676"/>
      <w:bookmarkStart w:id="53" w:name="_Toc516367022"/>
      <w:bookmarkStart w:id="54" w:name="_Toc91319146"/>
      <w:bookmarkStart w:id="55" w:name="_Toc175062586"/>
      <w:bookmarkStart w:id="56" w:name="_Toc520356152"/>
      <w:bookmarkStart w:id="57" w:name="_Toc162062869"/>
      <w:r>
        <w:rPr>
          <w:rFonts w:hint="eastAsia" w:ascii="宋体" w:hAnsi="宋体" w:cs="宋体"/>
          <w:b/>
          <w:color w:val="auto"/>
          <w:szCs w:val="21"/>
          <w:highlight w:val="none"/>
        </w:rPr>
        <w:t>8．投标文件</w:t>
      </w:r>
      <w:bookmarkEnd w:id="51"/>
      <w:bookmarkEnd w:id="52"/>
      <w:bookmarkEnd w:id="53"/>
      <w:r>
        <w:rPr>
          <w:rFonts w:hint="eastAsia" w:ascii="宋体" w:hAnsi="宋体" w:cs="宋体"/>
          <w:b/>
          <w:color w:val="auto"/>
          <w:szCs w:val="21"/>
          <w:highlight w:val="none"/>
        </w:rPr>
        <w:t>构成</w:t>
      </w:r>
      <w:bookmarkEnd w:id="54"/>
      <w:bookmarkEnd w:id="55"/>
      <w:bookmarkEnd w:id="56"/>
      <w:bookmarkEnd w:id="57"/>
    </w:p>
    <w:p>
      <w:pPr>
        <w:ind w:left="619" w:hanging="619" w:hangingChars="295"/>
        <w:rPr>
          <w:rFonts w:hint="eastAsia" w:ascii="宋体" w:hAnsi="宋体" w:cs="宋体"/>
          <w:color w:val="auto"/>
          <w:szCs w:val="21"/>
          <w:highlight w:val="none"/>
        </w:rPr>
      </w:pPr>
      <w:bookmarkStart w:id="58" w:name="_Ref467052588"/>
      <w:r>
        <w:rPr>
          <w:rFonts w:hint="eastAsia" w:ascii="宋体" w:hAnsi="宋体" w:cs="宋体"/>
          <w:color w:val="auto"/>
          <w:szCs w:val="21"/>
          <w:highlight w:val="none"/>
        </w:rPr>
        <w:t>8.1</w:t>
      </w:r>
      <w:r>
        <w:rPr>
          <w:rFonts w:hint="eastAsia" w:ascii="宋体" w:hAnsi="宋体" w:cs="宋体"/>
          <w:color w:val="auto"/>
          <w:szCs w:val="21"/>
          <w:highlight w:val="none"/>
        </w:rPr>
        <w:tab/>
      </w:r>
      <w:r>
        <w:rPr>
          <w:rFonts w:hint="eastAsia" w:ascii="宋体" w:hAnsi="宋体" w:cs="宋体"/>
          <w:color w:val="auto"/>
          <w:szCs w:val="21"/>
          <w:highlight w:val="none"/>
        </w:rPr>
        <w:t>投标人应完整地按招标文件提供的投标文件格式填写投标文件，投标文件应包括以下内容</w:t>
      </w:r>
      <w:bookmarkEnd w:id="58"/>
      <w:r>
        <w:rPr>
          <w:rFonts w:hint="eastAsia" w:ascii="宋体" w:hAnsi="宋体" w:cs="宋体"/>
          <w:color w:val="auto"/>
          <w:szCs w:val="21"/>
          <w:highlight w:val="none"/>
        </w:rPr>
        <w:t>：</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附件1   投标书（格式）</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附件2   投标一览表（格式）</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附件3   车辆常规保养维修项目价格明细表（格式）</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附件4   技术规格偏离表（格式）</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附件5   商务条款偏离表（格式）</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附件6   资格证明文件</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包括：</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附件6-1   法人营业执照副本复印件</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附件6-2   税务登记证书复印件</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附件6-3   法定代表人授权书（格式）</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附件6-4   投标人的资格声明（格式）</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附件6-5   具有良好的商业信誉和健全的财务会计制度（需提供2020年度经会计师事务所出具的财务审计报告或其基本开户银行出具的资信证明）</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附件6-6   具有依法缴纳税收和社会保障资金的良好记录（需提供投标截止日前六个月内任一个月的企业纳税证明和社保缴费记录证明）</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附件6-7  参加政府采购活动前三年内（成立不足三年的从成立之日起算），在经营活动中没有重大违法记录（需提供加盖公章的声明书）</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附件6-8   具有履行合同所必需的设备及专业技术能力和供应保障能力（需提供承诺书）</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附件6-9   投标人近三年的同类项目情况表</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附件6-10 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,同时对不良信用信息查询记录截图存档；(查询日期自招标公告发布之日后，提供网页打印件加盖公章)</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 xml:space="preserve">附件6-11  </w:t>
      </w:r>
      <w:r>
        <w:rPr>
          <w:rFonts w:hint="eastAsia" w:cs="宋体"/>
          <w:color w:val="auto"/>
          <w:sz w:val="21"/>
          <w:szCs w:val="21"/>
          <w:highlight w:val="none"/>
        </w:rPr>
        <w:t>投标人应为经运输管理部门许可的汽车</w:t>
      </w:r>
      <w:r>
        <w:rPr>
          <w:rFonts w:hint="eastAsia" w:cs="宋体"/>
          <w:color w:val="auto"/>
          <w:sz w:val="21"/>
          <w:szCs w:val="21"/>
          <w:highlight w:val="none"/>
          <w:lang w:eastAsia="zh-CN"/>
        </w:rPr>
        <w:t>维修二类资质</w:t>
      </w:r>
      <w:r>
        <w:rPr>
          <w:rFonts w:hint="eastAsia" w:cs="宋体"/>
          <w:color w:val="auto"/>
          <w:sz w:val="21"/>
          <w:szCs w:val="21"/>
          <w:highlight w:val="none"/>
        </w:rPr>
        <w:t>及以上资质的汽车维修机构，并提供相关证明材料</w:t>
      </w:r>
      <w:r>
        <w:rPr>
          <w:rFonts w:hint="eastAsia" w:ascii="宋体" w:hAnsi="宋体" w:cs="宋体"/>
          <w:color w:val="auto"/>
          <w:szCs w:val="21"/>
          <w:highlight w:val="none"/>
        </w:rPr>
        <w:t>。</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 xml:space="preserve">附件6-12  单位负责人为同一人或者存在直接控股、管理关系的不同供应商，不得参加同一合同项下的政府采购活动 </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附件6-13  招标文件要求的其他资格证明文件</w:t>
      </w:r>
    </w:p>
    <w:p>
      <w:pPr>
        <w:rPr>
          <w:rFonts w:hint="eastAsia" w:ascii="宋体" w:hAnsi="宋体" w:cs="宋体"/>
          <w:color w:val="auto"/>
          <w:szCs w:val="21"/>
          <w:highlight w:val="none"/>
        </w:rPr>
      </w:pPr>
      <w:r>
        <w:rPr>
          <w:rFonts w:hint="eastAsia" w:ascii="宋体" w:hAnsi="宋体" w:cs="宋体"/>
          <w:color w:val="auto"/>
          <w:szCs w:val="21"/>
          <w:highlight w:val="none"/>
        </w:rPr>
        <w:t>附件7-1   拟投入本项目人员情况表</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 xml:space="preserve">附件7-2   </w:t>
      </w:r>
      <w:r>
        <w:rPr>
          <w:rFonts w:hint="eastAsia" w:ascii="宋体" w:hAnsi="宋体" w:cs="宋体"/>
          <w:color w:val="auto"/>
          <w:kern w:val="2"/>
          <w:sz w:val="21"/>
          <w:szCs w:val="21"/>
          <w:highlight w:val="none"/>
        </w:rPr>
        <w:t>拟投入汽车维修设备明细表</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附件7-3   项目实施方案及服务承诺（格式自拟）</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附件7-4   投标保证金缴纳凭证</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附件8-1   中标服务费承诺书（格式）</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附件8-2   关于投标保证金的声明</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附件8-3   开票账户信息</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附件9  中小企业声明函（格式）</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附件10  监狱企业声明函（格式）</w:t>
      </w:r>
    </w:p>
    <w:p>
      <w:pPr>
        <w:ind w:left="619" w:hanging="619" w:hangingChars="295"/>
        <w:rPr>
          <w:rFonts w:ascii="宋体" w:hAnsi="宋体" w:cs="宋体"/>
          <w:color w:val="auto"/>
          <w:szCs w:val="21"/>
          <w:highlight w:val="none"/>
        </w:rPr>
      </w:pPr>
      <w:r>
        <w:rPr>
          <w:rFonts w:hint="eastAsia" w:ascii="宋体" w:hAnsi="宋体" w:cs="宋体"/>
          <w:color w:val="auto"/>
          <w:szCs w:val="21"/>
          <w:highlight w:val="none"/>
        </w:rPr>
        <w:t>附件11  其他有利于投标的资料（包括但不仅限于相关证书、相关获奖情况等资料）</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8.2</w:t>
      </w:r>
      <w:r>
        <w:rPr>
          <w:rFonts w:hint="eastAsia" w:ascii="宋体" w:hAnsi="宋体" w:cs="宋体"/>
          <w:color w:val="auto"/>
          <w:szCs w:val="21"/>
          <w:highlight w:val="none"/>
        </w:rPr>
        <w:tab/>
      </w:r>
      <w:r>
        <w:rPr>
          <w:rFonts w:hint="eastAsia" w:ascii="宋体" w:hAnsi="宋体" w:cs="宋体"/>
          <w:color w:val="auto"/>
          <w:szCs w:val="21"/>
          <w:highlight w:val="none"/>
        </w:rPr>
        <w:t>除上述8.1条外，投标文件还应包括本须知第9条的所有文件。</w:t>
      </w:r>
    </w:p>
    <w:p>
      <w:pPr>
        <w:spacing w:before="156" w:beforeLines="50" w:after="156" w:afterLines="50"/>
        <w:rPr>
          <w:rFonts w:hint="eastAsia" w:ascii="宋体" w:hAnsi="宋体" w:cs="宋体"/>
          <w:b/>
          <w:color w:val="auto"/>
          <w:szCs w:val="21"/>
          <w:highlight w:val="none"/>
        </w:rPr>
      </w:pPr>
      <w:bookmarkStart w:id="59" w:name="_Toc520356153"/>
      <w:bookmarkStart w:id="60" w:name="_Toc175062587"/>
      <w:bookmarkStart w:id="61" w:name="_Toc516367023"/>
      <w:bookmarkStart w:id="62" w:name="_Toc162062870"/>
      <w:bookmarkStart w:id="63" w:name="_Toc91319147"/>
      <w:r>
        <w:rPr>
          <w:rFonts w:hint="eastAsia" w:ascii="宋体" w:hAnsi="宋体" w:cs="宋体"/>
          <w:b/>
          <w:color w:val="auto"/>
          <w:szCs w:val="21"/>
          <w:highlight w:val="none"/>
        </w:rPr>
        <w:t>9．证明服务的合格性和符合招标文件规定的文件</w:t>
      </w:r>
      <w:bookmarkEnd w:id="59"/>
      <w:bookmarkEnd w:id="60"/>
      <w:bookmarkEnd w:id="61"/>
      <w:bookmarkEnd w:id="62"/>
      <w:bookmarkEnd w:id="63"/>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9.1</w:t>
      </w:r>
      <w:r>
        <w:rPr>
          <w:rFonts w:hint="eastAsia" w:ascii="宋体" w:hAnsi="宋体" w:cs="宋体"/>
          <w:color w:val="auto"/>
          <w:szCs w:val="21"/>
          <w:highlight w:val="none"/>
        </w:rPr>
        <w:tab/>
      </w:r>
      <w:r>
        <w:rPr>
          <w:rFonts w:hint="eastAsia" w:ascii="宋体" w:hAnsi="宋体" w:cs="宋体"/>
          <w:color w:val="auto"/>
          <w:szCs w:val="21"/>
          <w:highlight w:val="none"/>
        </w:rPr>
        <w:t>投标人应提交证明文件，证明其拟供的合同项下的服务的合格性符合招标文件规定。该证明文件是投标文件的一部分。</w:t>
      </w:r>
    </w:p>
    <w:p>
      <w:pPr>
        <w:ind w:left="619" w:hanging="619" w:hangingChars="295"/>
        <w:rPr>
          <w:rFonts w:hint="eastAsia" w:ascii="宋体" w:hAnsi="宋体" w:cs="宋体"/>
          <w:color w:val="auto"/>
          <w:szCs w:val="21"/>
          <w:highlight w:val="none"/>
        </w:rPr>
      </w:pPr>
      <w:bookmarkStart w:id="64" w:name="_Ref467306244"/>
      <w:r>
        <w:rPr>
          <w:rFonts w:hint="eastAsia" w:ascii="宋体" w:hAnsi="宋体" w:cs="宋体"/>
          <w:color w:val="auto"/>
          <w:szCs w:val="21"/>
          <w:highlight w:val="none"/>
        </w:rPr>
        <w:t>9.2</w:t>
      </w:r>
      <w:r>
        <w:rPr>
          <w:rFonts w:hint="eastAsia" w:ascii="宋体" w:hAnsi="宋体" w:cs="宋体"/>
          <w:color w:val="auto"/>
          <w:szCs w:val="21"/>
          <w:highlight w:val="none"/>
        </w:rPr>
        <w:tab/>
      </w:r>
      <w:r>
        <w:rPr>
          <w:rFonts w:hint="eastAsia" w:ascii="宋体" w:hAnsi="宋体" w:cs="宋体"/>
          <w:color w:val="auto"/>
          <w:szCs w:val="21"/>
          <w:highlight w:val="none"/>
        </w:rPr>
        <w:t>上款所述的证明文件，可以是文字资料、图纸和数据，</w:t>
      </w:r>
      <w:bookmarkEnd w:id="64"/>
      <w:r>
        <w:rPr>
          <w:rFonts w:hint="eastAsia" w:ascii="宋体" w:hAnsi="宋体" w:cs="宋体"/>
          <w:color w:val="auto"/>
          <w:szCs w:val="21"/>
          <w:highlight w:val="none"/>
        </w:rPr>
        <w:t>它包括：</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9.2.1</w:t>
      </w:r>
      <w:r>
        <w:rPr>
          <w:rFonts w:hint="eastAsia" w:ascii="宋体" w:hAnsi="宋体" w:cs="宋体"/>
          <w:color w:val="auto"/>
          <w:szCs w:val="21"/>
          <w:highlight w:val="none"/>
        </w:rPr>
        <w:tab/>
      </w:r>
      <w:r>
        <w:rPr>
          <w:rFonts w:hint="eastAsia" w:ascii="宋体" w:hAnsi="宋体" w:cs="宋体"/>
          <w:color w:val="auto"/>
          <w:szCs w:val="21"/>
          <w:highlight w:val="none"/>
        </w:rPr>
        <w:t>项目方案的详细说明。</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9.2.2</w:t>
      </w:r>
      <w:r>
        <w:rPr>
          <w:rFonts w:hint="eastAsia" w:ascii="宋体" w:hAnsi="宋体" w:cs="宋体"/>
          <w:color w:val="auto"/>
          <w:szCs w:val="21"/>
          <w:highlight w:val="none"/>
        </w:rPr>
        <w:tab/>
      </w:r>
      <w:r>
        <w:rPr>
          <w:rFonts w:hint="eastAsia" w:ascii="宋体" w:hAnsi="宋体" w:cs="宋体"/>
          <w:color w:val="auto"/>
          <w:szCs w:val="21"/>
          <w:highlight w:val="none"/>
        </w:rPr>
        <w:t>项目实施人员情况。</w:t>
      </w:r>
    </w:p>
    <w:p>
      <w:pPr>
        <w:spacing w:before="156" w:beforeLines="50" w:after="156" w:afterLines="50"/>
        <w:rPr>
          <w:rFonts w:hint="eastAsia" w:ascii="宋体" w:hAnsi="宋体" w:cs="宋体"/>
          <w:b/>
          <w:color w:val="auto"/>
          <w:szCs w:val="21"/>
          <w:highlight w:val="none"/>
        </w:rPr>
      </w:pPr>
      <w:bookmarkStart w:id="65" w:name="_Toc162062871"/>
      <w:bookmarkStart w:id="66" w:name="_Toc520356155"/>
      <w:bookmarkStart w:id="67" w:name="_Toc175062588"/>
      <w:bookmarkStart w:id="68" w:name="_Toc91319148"/>
      <w:r>
        <w:rPr>
          <w:rFonts w:hint="eastAsia" w:ascii="宋体" w:hAnsi="宋体" w:cs="宋体"/>
          <w:b/>
          <w:color w:val="auto"/>
          <w:szCs w:val="21"/>
          <w:highlight w:val="none"/>
        </w:rPr>
        <w:t>10.</w:t>
      </w:r>
      <w:r>
        <w:rPr>
          <w:rFonts w:hint="eastAsia" w:ascii="宋体" w:hAnsi="宋体" w:cs="宋体"/>
          <w:b/>
          <w:color w:val="auto"/>
          <w:szCs w:val="21"/>
          <w:highlight w:val="none"/>
        </w:rPr>
        <w:tab/>
      </w:r>
      <w:r>
        <w:rPr>
          <w:rFonts w:hint="eastAsia" w:ascii="宋体" w:hAnsi="宋体" w:cs="宋体"/>
          <w:b/>
          <w:color w:val="auto"/>
          <w:szCs w:val="21"/>
          <w:highlight w:val="none"/>
        </w:rPr>
        <w:t>投标报价</w:t>
      </w:r>
      <w:bookmarkEnd w:id="65"/>
      <w:bookmarkEnd w:id="66"/>
      <w:bookmarkEnd w:id="67"/>
      <w:bookmarkEnd w:id="68"/>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10.1</w:t>
      </w:r>
      <w:r>
        <w:rPr>
          <w:rFonts w:hint="eastAsia" w:ascii="宋体" w:hAnsi="宋体" w:cs="宋体"/>
          <w:color w:val="auto"/>
          <w:szCs w:val="21"/>
          <w:highlight w:val="none"/>
        </w:rPr>
        <w:tab/>
      </w:r>
      <w:r>
        <w:rPr>
          <w:rFonts w:hint="eastAsia" w:ascii="宋体" w:hAnsi="宋体" w:cs="宋体"/>
          <w:color w:val="auto"/>
          <w:szCs w:val="21"/>
          <w:highlight w:val="none"/>
        </w:rPr>
        <w:t>所有投标均以人民币报价。投标人的投标报价应遵守 “中华人民共和国价格法”。</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10.2</w:t>
      </w:r>
      <w:r>
        <w:rPr>
          <w:rFonts w:hint="eastAsia" w:ascii="宋体" w:hAnsi="宋体" w:cs="宋体"/>
          <w:color w:val="auto"/>
          <w:szCs w:val="21"/>
          <w:highlight w:val="none"/>
        </w:rPr>
        <w:tab/>
      </w:r>
      <w:r>
        <w:rPr>
          <w:rFonts w:hint="eastAsia" w:ascii="宋体" w:hAnsi="宋体" w:cs="宋体"/>
          <w:color w:val="auto"/>
          <w:szCs w:val="21"/>
          <w:highlight w:val="none"/>
        </w:rPr>
        <w:t>投标人应在投标分项报价表（附件三）上标明投标服务的单价（如适用）和总价，并由法定代表人或其授权代表签署。</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10.3</w:t>
      </w:r>
      <w:r>
        <w:rPr>
          <w:rFonts w:hint="eastAsia" w:ascii="宋体" w:hAnsi="宋体" w:cs="宋体"/>
          <w:color w:val="auto"/>
          <w:szCs w:val="21"/>
          <w:highlight w:val="none"/>
        </w:rPr>
        <w:tab/>
      </w:r>
      <w:r>
        <w:rPr>
          <w:rFonts w:hint="eastAsia" w:ascii="宋体" w:hAnsi="宋体" w:cs="宋体"/>
          <w:color w:val="auto"/>
          <w:szCs w:val="21"/>
          <w:highlight w:val="none"/>
        </w:rPr>
        <w:t>投标分项报价表上的价格应按下列方式填写：</w:t>
      </w:r>
    </w:p>
    <w:p>
      <w:pPr>
        <w:ind w:left="619" w:hanging="619" w:hangingChars="295"/>
        <w:rPr>
          <w:rFonts w:ascii="宋体" w:hAnsi="宋体" w:cs="宋体"/>
          <w:color w:val="auto"/>
          <w:szCs w:val="21"/>
          <w:highlight w:val="none"/>
        </w:rPr>
      </w:pPr>
      <w:r>
        <w:rPr>
          <w:rFonts w:hint="eastAsia" w:ascii="宋体" w:hAnsi="宋体" w:cs="宋体"/>
          <w:color w:val="auto"/>
          <w:szCs w:val="21"/>
          <w:highlight w:val="none"/>
        </w:rPr>
        <w:t>10.3.1投标报价应包括所需服务价格、技术服务和其他服务以及招标需求中的其他服务内容及与所有招标需求相关发生的所有税费的总价。</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10.4</w:t>
      </w:r>
      <w:r>
        <w:rPr>
          <w:rFonts w:hint="eastAsia" w:ascii="宋体" w:hAnsi="宋体" w:cs="宋体"/>
          <w:color w:val="auto"/>
          <w:szCs w:val="21"/>
          <w:highlight w:val="none"/>
        </w:rPr>
        <w:tab/>
      </w:r>
      <w:r>
        <w:rPr>
          <w:rFonts w:hint="eastAsia" w:ascii="宋体" w:hAnsi="宋体" w:cs="宋体"/>
          <w:color w:val="auto"/>
          <w:szCs w:val="21"/>
          <w:highlight w:val="none"/>
        </w:rPr>
        <w:t>为了方便评标委员会对投标文件进行比较，投标人可根据本须知10.3条的规定将投标价分成几部分，并不限制买方以上述任何条件订立合同的权利。</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10.5</w:t>
      </w:r>
      <w:r>
        <w:rPr>
          <w:rFonts w:hint="eastAsia" w:ascii="宋体" w:hAnsi="宋体" w:cs="宋体"/>
          <w:color w:val="auto"/>
          <w:szCs w:val="21"/>
          <w:highlight w:val="none"/>
        </w:rPr>
        <w:tab/>
      </w:r>
      <w:r>
        <w:rPr>
          <w:rFonts w:hint="eastAsia" w:ascii="宋体" w:hAnsi="宋体" w:cs="宋体"/>
          <w:color w:val="auto"/>
          <w:szCs w:val="21"/>
          <w:highlight w:val="none"/>
        </w:rPr>
        <w:t>任何包含价格调整要求的投标，依据本须知第20.3条规定，将被认为是非响应性投标而予以拒绝。</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10.6</w:t>
      </w:r>
      <w:r>
        <w:rPr>
          <w:rFonts w:hint="eastAsia" w:ascii="宋体" w:hAnsi="宋体" w:cs="宋体"/>
          <w:color w:val="auto"/>
          <w:szCs w:val="21"/>
          <w:highlight w:val="none"/>
        </w:rPr>
        <w:tab/>
      </w:r>
      <w:r>
        <w:rPr>
          <w:rFonts w:hint="eastAsia" w:ascii="宋体" w:hAnsi="宋体" w:cs="宋体"/>
          <w:color w:val="auto"/>
          <w:szCs w:val="21"/>
          <w:highlight w:val="none"/>
        </w:rPr>
        <w:t>投标人可提出合理化建议(如对招标服务要求提出更为合理的替代方案等)，引起价格变动时，应加以详细说明。买方不接受任何选择报价，对每一种服务只允许有一个报价，加盖投标人公章或由法定代表人（授权代表）签署。</w:t>
      </w:r>
    </w:p>
    <w:p>
      <w:pPr>
        <w:spacing w:before="156" w:beforeLines="50" w:after="156" w:afterLines="50"/>
        <w:rPr>
          <w:rFonts w:hint="eastAsia" w:ascii="宋体" w:hAnsi="宋体" w:cs="宋体"/>
          <w:b/>
          <w:color w:val="auto"/>
          <w:szCs w:val="21"/>
          <w:highlight w:val="none"/>
        </w:rPr>
      </w:pPr>
      <w:bookmarkStart w:id="69" w:name="_Toc162062872"/>
      <w:bookmarkStart w:id="70" w:name="_Toc91319149"/>
      <w:bookmarkStart w:id="71" w:name="_Ref467306513"/>
      <w:bookmarkStart w:id="72" w:name="_Toc520356156"/>
      <w:bookmarkStart w:id="73" w:name="_Toc175062589"/>
      <w:r>
        <w:rPr>
          <w:rFonts w:hint="eastAsia" w:ascii="宋体" w:hAnsi="宋体" w:cs="宋体"/>
          <w:b/>
          <w:color w:val="auto"/>
          <w:szCs w:val="21"/>
          <w:highlight w:val="none"/>
        </w:rPr>
        <w:t>11.</w:t>
      </w:r>
      <w:r>
        <w:rPr>
          <w:rFonts w:hint="eastAsia" w:ascii="宋体" w:hAnsi="宋体" w:cs="宋体"/>
          <w:b/>
          <w:color w:val="auto"/>
          <w:szCs w:val="21"/>
          <w:highlight w:val="none"/>
        </w:rPr>
        <w:tab/>
      </w:r>
      <w:r>
        <w:rPr>
          <w:rFonts w:hint="eastAsia" w:ascii="宋体" w:hAnsi="宋体" w:cs="宋体"/>
          <w:b/>
          <w:color w:val="auto"/>
          <w:szCs w:val="21"/>
          <w:highlight w:val="none"/>
        </w:rPr>
        <w:t>投标保证金</w:t>
      </w:r>
      <w:bookmarkEnd w:id="69"/>
      <w:bookmarkEnd w:id="70"/>
      <w:bookmarkEnd w:id="71"/>
      <w:bookmarkEnd w:id="72"/>
      <w:bookmarkEnd w:id="73"/>
    </w:p>
    <w:p>
      <w:pPr>
        <w:ind w:left="619" w:hanging="619" w:hangingChars="295"/>
        <w:rPr>
          <w:rFonts w:hint="eastAsia" w:ascii="宋体" w:hAnsi="宋体" w:cs="宋体"/>
          <w:color w:val="auto"/>
          <w:szCs w:val="21"/>
          <w:highlight w:val="none"/>
        </w:rPr>
      </w:pPr>
      <w:bookmarkStart w:id="74" w:name="_Ref467306302"/>
      <w:r>
        <w:rPr>
          <w:rFonts w:hint="eastAsia" w:ascii="宋体" w:hAnsi="宋体" w:cs="宋体"/>
          <w:color w:val="auto"/>
          <w:szCs w:val="21"/>
          <w:highlight w:val="none"/>
        </w:rPr>
        <w:t>11.1</w:t>
      </w:r>
      <w:r>
        <w:rPr>
          <w:rFonts w:hint="eastAsia" w:ascii="宋体" w:hAnsi="宋体" w:cs="宋体"/>
          <w:color w:val="auto"/>
          <w:szCs w:val="21"/>
          <w:highlight w:val="none"/>
        </w:rPr>
        <w:tab/>
      </w:r>
      <w:r>
        <w:rPr>
          <w:rFonts w:hint="eastAsia" w:ascii="宋体" w:hAnsi="宋体" w:cs="宋体"/>
          <w:color w:val="auto"/>
          <w:szCs w:val="21"/>
          <w:highlight w:val="none"/>
        </w:rPr>
        <w:t>投标人须在投标截止时间前提供项目分包预算金额2％的投标保证金</w:t>
      </w:r>
      <w:bookmarkEnd w:id="74"/>
      <w:r>
        <w:rPr>
          <w:rFonts w:hint="eastAsia" w:ascii="宋体" w:hAnsi="宋体" w:cs="宋体"/>
          <w:color w:val="auto"/>
          <w:szCs w:val="21"/>
          <w:highlight w:val="none"/>
        </w:rPr>
        <w:t>，并作为其投标的一部分。</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11.2</w:t>
      </w:r>
      <w:r>
        <w:rPr>
          <w:rFonts w:hint="eastAsia" w:ascii="宋体" w:hAnsi="宋体" w:cs="宋体"/>
          <w:color w:val="auto"/>
          <w:szCs w:val="21"/>
          <w:highlight w:val="none"/>
        </w:rPr>
        <w:tab/>
      </w:r>
      <w:r>
        <w:rPr>
          <w:rFonts w:hint="eastAsia" w:ascii="宋体" w:hAnsi="宋体" w:cs="宋体"/>
          <w:color w:val="auto"/>
          <w:szCs w:val="21"/>
          <w:highlight w:val="none"/>
        </w:rPr>
        <w:t>投标保证金是为了保护招标采购单位免遭因投标人的行为蒙受损失而要求的。</w:t>
      </w:r>
    </w:p>
    <w:p>
      <w:pPr>
        <w:ind w:left="199" w:firstLine="420"/>
        <w:rPr>
          <w:rFonts w:hint="eastAsia" w:ascii="宋体" w:hAnsi="宋体" w:cs="宋体"/>
          <w:color w:val="auto"/>
          <w:szCs w:val="21"/>
          <w:highlight w:val="none"/>
        </w:rPr>
      </w:pPr>
      <w:r>
        <w:rPr>
          <w:rFonts w:hint="eastAsia" w:ascii="宋体" w:hAnsi="宋体" w:cs="宋体"/>
          <w:color w:val="auto"/>
          <w:szCs w:val="21"/>
          <w:highlight w:val="none"/>
        </w:rPr>
        <w:t>下列任何情况发生，投标保证金将被没收：</w:t>
      </w:r>
    </w:p>
    <w:p>
      <w:pPr>
        <w:ind w:left="1276" w:hanging="567"/>
        <w:rPr>
          <w:rFonts w:hint="eastAsia" w:ascii="宋体" w:hAnsi="宋体" w:cs="宋体"/>
          <w:color w:val="auto"/>
          <w:szCs w:val="21"/>
          <w:highlight w:val="none"/>
        </w:rPr>
      </w:pPr>
      <w:r>
        <w:rPr>
          <w:rFonts w:hint="eastAsia" w:ascii="宋体" w:hAnsi="宋体" w:cs="宋体"/>
          <w:color w:val="auto"/>
          <w:szCs w:val="21"/>
          <w:highlight w:val="none"/>
        </w:rPr>
        <w:t>（1）在开标之日后到投标有效期满前，投标人擅自撤回投标的；</w:t>
      </w:r>
    </w:p>
    <w:p>
      <w:pPr>
        <w:ind w:left="1276" w:hanging="567"/>
        <w:rPr>
          <w:rFonts w:hint="eastAsia" w:ascii="宋体" w:hAnsi="宋体" w:cs="宋体"/>
          <w:color w:val="auto"/>
          <w:szCs w:val="21"/>
          <w:highlight w:val="none"/>
        </w:rPr>
      </w:pPr>
      <w:r>
        <w:rPr>
          <w:rFonts w:hint="eastAsia" w:ascii="宋体" w:hAnsi="宋体" w:cs="宋体"/>
          <w:color w:val="auto"/>
          <w:szCs w:val="21"/>
          <w:highlight w:val="none"/>
        </w:rPr>
        <w:t>（2）中标人不按本须知第27条的规定与买方签订合同的；</w:t>
      </w:r>
    </w:p>
    <w:p>
      <w:pPr>
        <w:ind w:left="578" w:firstLine="131"/>
        <w:rPr>
          <w:rFonts w:hint="eastAsia" w:ascii="宋体" w:hAnsi="宋体" w:cs="宋体"/>
          <w:color w:val="auto"/>
          <w:szCs w:val="21"/>
          <w:highlight w:val="none"/>
        </w:rPr>
      </w:pPr>
      <w:r>
        <w:rPr>
          <w:rFonts w:hint="eastAsia" w:ascii="宋体" w:hAnsi="宋体" w:cs="宋体"/>
          <w:color w:val="auto"/>
          <w:szCs w:val="21"/>
          <w:highlight w:val="none"/>
        </w:rPr>
        <w:t>（3）投标文件中提供虚假文件骗取中标的；</w:t>
      </w:r>
    </w:p>
    <w:p>
      <w:pPr>
        <w:ind w:left="1276" w:hanging="567"/>
        <w:rPr>
          <w:rFonts w:hint="eastAsia" w:ascii="宋体" w:hAnsi="宋体" w:cs="宋体"/>
          <w:color w:val="auto"/>
          <w:szCs w:val="21"/>
          <w:highlight w:val="none"/>
        </w:rPr>
      </w:pPr>
      <w:r>
        <w:rPr>
          <w:rFonts w:hint="eastAsia" w:ascii="宋体" w:hAnsi="宋体" w:cs="宋体"/>
          <w:color w:val="auto"/>
          <w:szCs w:val="21"/>
          <w:highlight w:val="none"/>
        </w:rPr>
        <w:t>（4）投标人以他人名义投标、相互串通投标或者以其他方式弄虚作假的。</w:t>
      </w:r>
    </w:p>
    <w:p>
      <w:pPr>
        <w:ind w:left="619" w:hanging="619" w:hangingChars="295"/>
        <w:rPr>
          <w:rFonts w:hint="eastAsia" w:ascii="宋体" w:hAnsi="宋体" w:cs="宋体"/>
          <w:color w:val="auto"/>
          <w:szCs w:val="21"/>
          <w:highlight w:val="none"/>
        </w:rPr>
      </w:pPr>
      <w:bookmarkStart w:id="75" w:name="_Ref467306336"/>
      <w:r>
        <w:rPr>
          <w:rFonts w:hint="eastAsia" w:ascii="宋体" w:hAnsi="宋体" w:cs="宋体"/>
          <w:color w:val="auto"/>
          <w:szCs w:val="21"/>
          <w:highlight w:val="none"/>
        </w:rPr>
        <w:t>11.3</w:t>
      </w:r>
      <w:r>
        <w:rPr>
          <w:rFonts w:hint="eastAsia" w:ascii="宋体" w:hAnsi="宋体" w:cs="宋体"/>
          <w:color w:val="auto"/>
          <w:szCs w:val="21"/>
          <w:highlight w:val="none"/>
        </w:rPr>
        <w:tab/>
      </w:r>
      <w:r>
        <w:rPr>
          <w:rFonts w:hint="eastAsia" w:ascii="宋体" w:hAnsi="宋体" w:cs="宋体"/>
          <w:color w:val="auto"/>
          <w:szCs w:val="21"/>
          <w:highlight w:val="none"/>
        </w:rPr>
        <w:t>投标保证金可采用下列形式之一：</w:t>
      </w:r>
      <w:bookmarkEnd w:id="75"/>
    </w:p>
    <w:p>
      <w:pPr>
        <w:ind w:left="199" w:firstLine="420"/>
        <w:rPr>
          <w:rFonts w:hint="eastAsia" w:ascii="宋体" w:hAnsi="宋体" w:cs="宋体"/>
          <w:color w:val="auto"/>
          <w:szCs w:val="21"/>
          <w:highlight w:val="none"/>
        </w:rPr>
      </w:pPr>
      <w:r>
        <w:rPr>
          <w:rFonts w:hint="eastAsia" w:ascii="宋体" w:hAnsi="宋体" w:cs="宋体"/>
          <w:color w:val="auto"/>
          <w:szCs w:val="21"/>
          <w:highlight w:val="none"/>
        </w:rPr>
        <w:t>支票、汇票、电汇等形式。</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11.4</w:t>
      </w:r>
      <w:r>
        <w:rPr>
          <w:rFonts w:hint="eastAsia" w:ascii="宋体" w:hAnsi="宋体" w:cs="宋体"/>
          <w:color w:val="auto"/>
          <w:szCs w:val="21"/>
          <w:highlight w:val="none"/>
        </w:rPr>
        <w:tab/>
      </w:r>
      <w:r>
        <w:rPr>
          <w:rFonts w:hint="eastAsia" w:ascii="宋体" w:hAnsi="宋体" w:cs="宋体"/>
          <w:color w:val="auto"/>
          <w:szCs w:val="21"/>
          <w:highlight w:val="none"/>
        </w:rPr>
        <w:t>凡没有根据本须知11.1和第11.3条的规定，随附投标保证金的投标，将被视为非响应性投标而予以拒绝。</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11.5</w:t>
      </w:r>
      <w:r>
        <w:rPr>
          <w:rFonts w:hint="eastAsia" w:ascii="宋体" w:hAnsi="宋体" w:cs="宋体"/>
          <w:color w:val="auto"/>
          <w:szCs w:val="21"/>
          <w:highlight w:val="none"/>
        </w:rPr>
        <w:tab/>
      </w:r>
      <w:r>
        <w:rPr>
          <w:rFonts w:hint="eastAsia" w:ascii="宋体" w:hAnsi="宋体" w:cs="宋体"/>
          <w:color w:val="auto"/>
          <w:szCs w:val="21"/>
          <w:highlight w:val="none"/>
        </w:rPr>
        <w:t>投标人的投标保证金，须在投标截止时间前汇入中国远东国际招标有限公司新疆分公司指定账户，并在投标时提供汇票回执复印件核查。</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11.6</w:t>
      </w:r>
      <w:r>
        <w:rPr>
          <w:rFonts w:hint="eastAsia" w:ascii="宋体" w:hAnsi="宋体" w:cs="宋体"/>
          <w:color w:val="auto"/>
          <w:szCs w:val="21"/>
          <w:highlight w:val="none"/>
        </w:rPr>
        <w:tab/>
      </w:r>
      <w:r>
        <w:rPr>
          <w:rFonts w:hint="eastAsia" w:ascii="宋体" w:hAnsi="宋体" w:cs="宋体"/>
          <w:color w:val="auto"/>
          <w:szCs w:val="21"/>
          <w:highlight w:val="none"/>
        </w:rPr>
        <w:t>中标人的投标保证金，在与买方签订合同后5个工作日内办理退还手续。未中标的投标人的投标保证金将于中标通知书发出之日起5个工作日内退还投标人（以汇款形式，届时请投标人与招标代理机构联系办理退回投标保证金手续）。</w:t>
      </w:r>
    </w:p>
    <w:p>
      <w:pPr>
        <w:spacing w:before="156" w:beforeLines="50" w:after="156" w:afterLines="50"/>
        <w:rPr>
          <w:rFonts w:hint="eastAsia" w:ascii="宋体" w:hAnsi="宋体" w:cs="宋体"/>
          <w:b/>
          <w:color w:val="auto"/>
          <w:szCs w:val="21"/>
          <w:highlight w:val="none"/>
        </w:rPr>
      </w:pPr>
      <w:bookmarkStart w:id="76" w:name="_Toc175062590"/>
      <w:bookmarkStart w:id="77" w:name="_Toc162062873"/>
      <w:bookmarkStart w:id="78" w:name="_Toc520356157"/>
      <w:bookmarkStart w:id="79" w:name="_Toc91319150"/>
      <w:r>
        <w:rPr>
          <w:rFonts w:hint="eastAsia" w:ascii="宋体" w:hAnsi="宋体" w:cs="宋体"/>
          <w:b/>
          <w:color w:val="auto"/>
          <w:szCs w:val="21"/>
          <w:highlight w:val="none"/>
        </w:rPr>
        <w:t>12.</w:t>
      </w:r>
      <w:r>
        <w:rPr>
          <w:rFonts w:hint="eastAsia" w:ascii="宋体" w:hAnsi="宋体" w:cs="宋体"/>
          <w:b/>
          <w:color w:val="auto"/>
          <w:szCs w:val="21"/>
          <w:highlight w:val="none"/>
        </w:rPr>
        <w:tab/>
      </w:r>
      <w:r>
        <w:rPr>
          <w:rFonts w:hint="eastAsia" w:ascii="宋体" w:hAnsi="宋体" w:cs="宋体"/>
          <w:b/>
          <w:color w:val="auto"/>
          <w:szCs w:val="21"/>
          <w:highlight w:val="none"/>
        </w:rPr>
        <w:t>投标有效期</w:t>
      </w:r>
      <w:bookmarkEnd w:id="76"/>
      <w:bookmarkEnd w:id="77"/>
      <w:bookmarkEnd w:id="78"/>
      <w:bookmarkEnd w:id="79"/>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12.1</w:t>
      </w:r>
      <w:r>
        <w:rPr>
          <w:rFonts w:hint="eastAsia" w:ascii="宋体" w:hAnsi="宋体" w:cs="宋体"/>
          <w:color w:val="auto"/>
          <w:szCs w:val="21"/>
          <w:highlight w:val="none"/>
        </w:rPr>
        <w:tab/>
      </w:r>
      <w:r>
        <w:rPr>
          <w:rFonts w:hint="eastAsia" w:ascii="宋体" w:hAnsi="宋体" w:cs="宋体"/>
          <w:color w:val="auto"/>
          <w:szCs w:val="21"/>
          <w:highlight w:val="none"/>
        </w:rPr>
        <w:t>投标应在规定的开标日后的90天内保持有效，</w:t>
      </w:r>
      <w:r>
        <w:rPr>
          <w:rFonts w:hint="eastAsia" w:ascii="宋体" w:hAnsi="宋体" w:cs="宋体"/>
          <w:b/>
          <w:bCs/>
          <w:color w:val="auto"/>
          <w:szCs w:val="21"/>
          <w:highlight w:val="none"/>
        </w:rPr>
        <w:t>投标有效期不满足要求的投标将被视为非响应性投标而予以拒绝。</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12.2</w:t>
      </w:r>
      <w:r>
        <w:rPr>
          <w:rFonts w:hint="eastAsia" w:ascii="宋体" w:hAnsi="宋体" w:cs="宋体"/>
          <w:color w:val="auto"/>
          <w:szCs w:val="21"/>
          <w:highlight w:val="none"/>
        </w:rPr>
        <w:tab/>
      </w:r>
      <w:r>
        <w:rPr>
          <w:rFonts w:hint="eastAsia" w:ascii="宋体" w:hAnsi="宋体" w:cs="宋体"/>
          <w:color w:val="auto"/>
          <w:szCs w:val="21"/>
          <w:highlight w:val="none"/>
        </w:rPr>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不会被没收。上述要求和答复都应以书面形式提交。</w:t>
      </w:r>
    </w:p>
    <w:p>
      <w:pPr>
        <w:spacing w:before="156" w:beforeLines="50" w:after="156" w:afterLines="50"/>
        <w:rPr>
          <w:rFonts w:hint="eastAsia" w:ascii="宋体" w:hAnsi="宋体" w:cs="宋体"/>
          <w:b/>
          <w:color w:val="auto"/>
          <w:szCs w:val="21"/>
          <w:highlight w:val="none"/>
        </w:rPr>
      </w:pPr>
      <w:bookmarkStart w:id="80" w:name="_Toc520356158"/>
      <w:bookmarkStart w:id="81" w:name="_Toc91319151"/>
      <w:bookmarkStart w:id="82" w:name="_Toc162062874"/>
      <w:bookmarkStart w:id="83" w:name="_Toc175062591"/>
      <w:r>
        <w:rPr>
          <w:rFonts w:hint="eastAsia" w:ascii="宋体" w:hAnsi="宋体" w:cs="宋体"/>
          <w:b/>
          <w:color w:val="auto"/>
          <w:szCs w:val="21"/>
          <w:highlight w:val="none"/>
        </w:rPr>
        <w:t>13.</w:t>
      </w:r>
      <w:r>
        <w:rPr>
          <w:rFonts w:hint="eastAsia" w:ascii="宋体" w:hAnsi="宋体" w:cs="宋体"/>
          <w:b/>
          <w:color w:val="auto"/>
          <w:szCs w:val="21"/>
          <w:highlight w:val="none"/>
        </w:rPr>
        <w:tab/>
      </w:r>
      <w:r>
        <w:rPr>
          <w:rFonts w:hint="eastAsia" w:ascii="宋体" w:hAnsi="宋体" w:cs="宋体"/>
          <w:b/>
          <w:color w:val="auto"/>
          <w:szCs w:val="21"/>
          <w:highlight w:val="none"/>
        </w:rPr>
        <w:t>投标文件的签署</w:t>
      </w:r>
      <w:bookmarkEnd w:id="80"/>
      <w:r>
        <w:rPr>
          <w:rFonts w:hint="eastAsia" w:ascii="宋体" w:hAnsi="宋体" w:cs="宋体"/>
          <w:b/>
          <w:color w:val="auto"/>
          <w:szCs w:val="21"/>
          <w:highlight w:val="none"/>
        </w:rPr>
        <w:t>及规定</w:t>
      </w:r>
      <w:bookmarkEnd w:id="81"/>
      <w:bookmarkEnd w:id="82"/>
      <w:bookmarkEnd w:id="83"/>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13.1</w:t>
      </w:r>
      <w:r>
        <w:rPr>
          <w:rFonts w:hint="eastAsia" w:ascii="宋体" w:hAnsi="宋体" w:cs="宋体"/>
          <w:color w:val="auto"/>
          <w:szCs w:val="21"/>
          <w:highlight w:val="none"/>
        </w:rPr>
        <w:tab/>
      </w:r>
      <w:r>
        <w:rPr>
          <w:rFonts w:hint="eastAsia" w:ascii="宋体" w:hAnsi="宋体" w:cs="宋体"/>
          <w:color w:val="auto"/>
          <w:szCs w:val="21"/>
          <w:highlight w:val="none"/>
        </w:rPr>
        <w:t>投标人应准备投标文件正本壹份和副本</w:t>
      </w:r>
      <w:r>
        <w:rPr>
          <w:rFonts w:hint="eastAsia" w:ascii="宋体" w:hAnsi="宋体" w:cs="宋体"/>
          <w:color w:val="auto"/>
          <w:szCs w:val="21"/>
          <w:highlight w:val="none"/>
          <w:lang w:val="en-US" w:eastAsia="zh-CN"/>
        </w:rPr>
        <w:t>叁</w:t>
      </w:r>
      <w:r>
        <w:rPr>
          <w:rFonts w:hint="eastAsia" w:ascii="宋体" w:hAnsi="宋体" w:cs="宋体"/>
          <w:color w:val="auto"/>
          <w:szCs w:val="21"/>
          <w:highlight w:val="none"/>
        </w:rPr>
        <w:t>份，每份投标文件须清楚地标明“正本”或“副本”。若正本和副本不符，以正本为准。</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13.2</w:t>
      </w:r>
      <w:r>
        <w:rPr>
          <w:rFonts w:hint="eastAsia" w:ascii="宋体" w:hAnsi="宋体" w:cs="宋体"/>
          <w:color w:val="auto"/>
          <w:szCs w:val="21"/>
          <w:highlight w:val="none"/>
        </w:rPr>
        <w:tab/>
      </w:r>
      <w:r>
        <w:rPr>
          <w:rFonts w:hint="eastAsia" w:ascii="宋体" w:hAnsi="宋体" w:cs="宋体"/>
          <w:color w:val="auto"/>
          <w:szCs w:val="21"/>
          <w:highlight w:val="none"/>
        </w:rPr>
        <w:t>投标文件的正本需打印或用不退色墨水书写，并由投标人的法定代表人或经其正式授权的代表在投标文件上签字并加盖单位印章。递交投标文件时授权代表须持有身份证原件备查。授权代表须持有书面的“法定代表人授权书”（格式参见附件），并同时将其附在投标文件中。如对投标文件进行了修改，则应由投标人的法定代表人或经其正式授权的代表在修改的每一页上签字。投标文件的副本可采用正本的复印件。</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13.3</w:t>
      </w:r>
      <w:r>
        <w:rPr>
          <w:rFonts w:hint="eastAsia" w:ascii="宋体" w:hAnsi="宋体" w:cs="宋体"/>
          <w:color w:val="auto"/>
          <w:szCs w:val="21"/>
          <w:highlight w:val="none"/>
        </w:rPr>
        <w:tab/>
      </w:r>
      <w:r>
        <w:rPr>
          <w:rFonts w:hint="eastAsia" w:ascii="宋体" w:hAnsi="宋体" w:cs="宋体"/>
          <w:color w:val="auto"/>
          <w:szCs w:val="21"/>
          <w:highlight w:val="none"/>
        </w:rPr>
        <w:t>任何行间插字、涂改和增删，必须由投标文件签字人签字或盖章后才有效。</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13.4</w:t>
      </w:r>
      <w:r>
        <w:rPr>
          <w:rFonts w:hint="eastAsia" w:ascii="宋体" w:hAnsi="宋体" w:cs="宋体"/>
          <w:color w:val="auto"/>
          <w:szCs w:val="21"/>
          <w:highlight w:val="none"/>
        </w:rPr>
        <w:tab/>
      </w:r>
      <w:r>
        <w:rPr>
          <w:rFonts w:hint="eastAsia" w:ascii="宋体" w:hAnsi="宋体" w:cs="宋体"/>
          <w:color w:val="auto"/>
          <w:szCs w:val="21"/>
          <w:highlight w:val="none"/>
        </w:rPr>
        <w:t>投标文件因字迹潦草或表达不清所引起的后果由投标人负责。</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13.5</w:t>
      </w:r>
      <w:r>
        <w:rPr>
          <w:rFonts w:hint="eastAsia" w:ascii="宋体" w:hAnsi="宋体" w:cs="宋体"/>
          <w:color w:val="auto"/>
          <w:szCs w:val="21"/>
          <w:highlight w:val="none"/>
        </w:rPr>
        <w:tab/>
      </w:r>
      <w:r>
        <w:rPr>
          <w:rFonts w:hint="eastAsia" w:ascii="宋体" w:hAnsi="宋体" w:cs="宋体"/>
          <w:color w:val="auto"/>
          <w:szCs w:val="21"/>
          <w:highlight w:val="none"/>
        </w:rPr>
        <w:t>投标文件建议胶装成册，避免使用中出现开装情况。</w:t>
      </w:r>
    </w:p>
    <w:p>
      <w:pPr>
        <w:spacing w:before="156" w:beforeLines="50" w:after="156" w:afterLines="50"/>
        <w:jc w:val="center"/>
        <w:rPr>
          <w:rFonts w:hint="eastAsia" w:ascii="宋体" w:hAnsi="宋体" w:cs="宋体"/>
          <w:b/>
          <w:color w:val="auto"/>
          <w:szCs w:val="21"/>
          <w:highlight w:val="none"/>
        </w:rPr>
      </w:pPr>
      <w:bookmarkStart w:id="84" w:name="_Toc162062875"/>
      <w:bookmarkStart w:id="85" w:name="_Toc175062592"/>
      <w:bookmarkStart w:id="86" w:name="_Toc91319152"/>
      <w:bookmarkStart w:id="87" w:name="_Toc520356159"/>
      <w:r>
        <w:rPr>
          <w:rFonts w:hint="eastAsia" w:ascii="宋体" w:hAnsi="宋体" w:cs="宋体"/>
          <w:b/>
          <w:color w:val="auto"/>
          <w:szCs w:val="21"/>
          <w:highlight w:val="none"/>
        </w:rPr>
        <w:t>四、投标文件的递交</w:t>
      </w:r>
      <w:bookmarkEnd w:id="84"/>
      <w:bookmarkEnd w:id="85"/>
      <w:bookmarkEnd w:id="86"/>
      <w:bookmarkEnd w:id="87"/>
    </w:p>
    <w:p>
      <w:pPr>
        <w:spacing w:before="156" w:beforeLines="50" w:after="156" w:afterLines="50"/>
        <w:rPr>
          <w:rFonts w:hint="eastAsia" w:ascii="宋体" w:hAnsi="宋体" w:cs="宋体"/>
          <w:b/>
          <w:color w:val="auto"/>
          <w:szCs w:val="21"/>
          <w:highlight w:val="none"/>
        </w:rPr>
      </w:pPr>
      <w:bookmarkStart w:id="88" w:name="_Toc520356160"/>
      <w:bookmarkStart w:id="89" w:name="_Toc175062593"/>
      <w:bookmarkStart w:id="90" w:name="_Toc91319153"/>
      <w:bookmarkStart w:id="91" w:name="_Toc162062876"/>
      <w:r>
        <w:rPr>
          <w:rFonts w:hint="eastAsia" w:ascii="宋体" w:hAnsi="宋体" w:cs="宋体"/>
          <w:b/>
          <w:color w:val="auto"/>
          <w:szCs w:val="21"/>
          <w:highlight w:val="none"/>
        </w:rPr>
        <w:t>14.</w:t>
      </w:r>
      <w:r>
        <w:rPr>
          <w:rFonts w:hint="eastAsia" w:ascii="宋体" w:hAnsi="宋体" w:cs="宋体"/>
          <w:b/>
          <w:color w:val="auto"/>
          <w:szCs w:val="21"/>
          <w:highlight w:val="none"/>
        </w:rPr>
        <w:tab/>
      </w:r>
      <w:r>
        <w:rPr>
          <w:rFonts w:hint="eastAsia" w:ascii="宋体" w:hAnsi="宋体" w:cs="宋体"/>
          <w:b/>
          <w:color w:val="auto"/>
          <w:szCs w:val="21"/>
          <w:highlight w:val="none"/>
        </w:rPr>
        <w:t>投标文件的密封和标记</w:t>
      </w:r>
      <w:bookmarkEnd w:id="88"/>
      <w:bookmarkEnd w:id="89"/>
      <w:bookmarkEnd w:id="90"/>
      <w:bookmarkEnd w:id="91"/>
    </w:p>
    <w:p>
      <w:pPr>
        <w:ind w:left="619" w:hanging="619" w:hangingChars="295"/>
        <w:rPr>
          <w:rFonts w:hint="eastAsia" w:ascii="宋体" w:hAnsi="宋体" w:cs="宋体"/>
          <w:color w:val="auto"/>
          <w:szCs w:val="21"/>
          <w:highlight w:val="none"/>
        </w:rPr>
      </w:pPr>
      <w:bookmarkStart w:id="92" w:name="_Toc520356161"/>
      <w:bookmarkStart w:id="93" w:name="_Toc162062877"/>
      <w:bookmarkStart w:id="94" w:name="_Toc175062594"/>
      <w:bookmarkStart w:id="95" w:name="_Toc91319154"/>
      <w:r>
        <w:rPr>
          <w:rFonts w:hint="eastAsia" w:ascii="宋体" w:hAnsi="宋体" w:cs="宋体"/>
          <w:color w:val="auto"/>
          <w:szCs w:val="21"/>
          <w:highlight w:val="none"/>
        </w:rPr>
        <w:t>14.1</w:t>
      </w:r>
      <w:r>
        <w:rPr>
          <w:rFonts w:hint="eastAsia" w:ascii="宋体" w:hAnsi="宋体" w:cs="宋体"/>
          <w:color w:val="auto"/>
          <w:szCs w:val="21"/>
          <w:highlight w:val="none"/>
        </w:rPr>
        <w:tab/>
      </w:r>
      <w:r>
        <w:rPr>
          <w:rFonts w:hint="eastAsia" w:ascii="宋体" w:hAnsi="宋体" w:cs="宋体"/>
          <w:color w:val="auto"/>
          <w:szCs w:val="21"/>
          <w:highlight w:val="none"/>
        </w:rPr>
        <w:t>投标时，供应商应将响应文件正本和副本分开密封装在单独的信封中，且在信封正面标明“正本”“副本”字样。</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14.2</w:t>
      </w:r>
      <w:r>
        <w:rPr>
          <w:rFonts w:hint="eastAsia" w:ascii="宋体" w:hAnsi="宋体" w:cs="宋体"/>
          <w:color w:val="auto"/>
          <w:szCs w:val="21"/>
          <w:highlight w:val="none"/>
        </w:rPr>
        <w:tab/>
      </w:r>
      <w:r>
        <w:rPr>
          <w:rFonts w:hint="eastAsia" w:ascii="宋体" w:hAnsi="宋体" w:cs="宋体"/>
          <w:color w:val="auto"/>
          <w:szCs w:val="21"/>
          <w:highlight w:val="none"/>
        </w:rPr>
        <w:t>为方便唱标，供应商应将 “报价一览表”单独密封，并在信封上标明“报价一览表”字样，在投标时单独递交。</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14.3</w:t>
      </w:r>
      <w:r>
        <w:rPr>
          <w:rFonts w:hint="eastAsia" w:ascii="宋体" w:hAnsi="宋体" w:cs="宋体"/>
          <w:color w:val="auto"/>
          <w:szCs w:val="21"/>
          <w:highlight w:val="none"/>
        </w:rPr>
        <w:tab/>
      </w:r>
      <w:r>
        <w:rPr>
          <w:rFonts w:hint="eastAsia" w:ascii="宋体" w:hAnsi="宋体" w:cs="宋体"/>
          <w:color w:val="auto"/>
          <w:szCs w:val="21"/>
          <w:highlight w:val="none"/>
        </w:rPr>
        <w:t>为方便核查投标文件电子版，供应商应将“投标文件电子版”单独密封，并在信封上“投标文件电子版”字样，在投标时单独递交。</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14.4</w:t>
      </w:r>
      <w:r>
        <w:rPr>
          <w:rFonts w:hint="eastAsia" w:ascii="宋体" w:hAnsi="宋体" w:cs="宋体"/>
          <w:color w:val="auto"/>
          <w:szCs w:val="21"/>
          <w:highlight w:val="none"/>
        </w:rPr>
        <w:tab/>
      </w:r>
      <w:r>
        <w:rPr>
          <w:rFonts w:hint="eastAsia" w:ascii="宋体" w:hAnsi="宋体" w:cs="宋体"/>
          <w:color w:val="auto"/>
          <w:szCs w:val="21"/>
          <w:highlight w:val="none"/>
        </w:rPr>
        <w:t>为方便核查投标保证金，供应商应将“投标保证金缴款凭证/投标保证金保函/政府采购投标担保函”单独密封，并在信封上标明 “投标保证金”字样，在投标时单独递交。</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14.5  为方便退还投标保证金，供应商应将“关于投标保证金的声明”和“开票账户信息”单独密封，并在信封上标明 “投标保证金的声明”字样，在投标时单独递交。</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14.6 所有信封上均应：</w:t>
      </w:r>
    </w:p>
    <w:p>
      <w:pPr>
        <w:pStyle w:val="21"/>
        <w:tabs>
          <w:tab w:val="left" w:pos="630"/>
          <w:tab w:val="left" w:pos="1365"/>
        </w:tabs>
        <w:rPr>
          <w:rFonts w:hint="eastAsia" w:hAnsi="宋体" w:cs="宋体"/>
          <w:color w:val="auto"/>
          <w:szCs w:val="21"/>
          <w:highlight w:val="none"/>
        </w:rPr>
      </w:pPr>
      <w:r>
        <w:rPr>
          <w:rFonts w:hint="eastAsia" w:hAnsi="宋体" w:cs="宋体"/>
          <w:color w:val="auto"/>
          <w:szCs w:val="21"/>
          <w:highlight w:val="none"/>
        </w:rPr>
        <w:tab/>
      </w:r>
      <w:r>
        <w:rPr>
          <w:rFonts w:hint="eastAsia" w:hAnsi="宋体" w:cs="宋体"/>
          <w:color w:val="auto"/>
          <w:szCs w:val="21"/>
          <w:highlight w:val="none"/>
        </w:rPr>
        <w:t>（1）清楚标明递交至招标公告或投标邀请书中指明的地址。</w:t>
      </w:r>
    </w:p>
    <w:p>
      <w:pPr>
        <w:pStyle w:val="21"/>
        <w:tabs>
          <w:tab w:val="left" w:pos="630"/>
          <w:tab w:val="left" w:pos="1365"/>
        </w:tabs>
        <w:ind w:left="420"/>
        <w:rPr>
          <w:rFonts w:hint="eastAsia" w:hAnsi="宋体" w:cs="宋体"/>
          <w:color w:val="auto"/>
          <w:szCs w:val="21"/>
          <w:highlight w:val="none"/>
        </w:rPr>
      </w:pPr>
      <w:r>
        <w:rPr>
          <w:rFonts w:hint="eastAsia" w:hAnsi="宋体" w:cs="宋体"/>
          <w:color w:val="auto"/>
          <w:szCs w:val="21"/>
          <w:highlight w:val="none"/>
        </w:rPr>
        <w:tab/>
      </w:r>
      <w:r>
        <w:rPr>
          <w:rFonts w:hint="eastAsia" w:hAnsi="宋体" w:cs="宋体"/>
          <w:color w:val="auto"/>
          <w:szCs w:val="21"/>
          <w:highlight w:val="none"/>
        </w:rPr>
        <w:t xml:space="preserve">（2）注明招标公告或投标邀请书中指明的项目名称、项目编号和“在 （开    </w:t>
      </w:r>
    </w:p>
    <w:p>
      <w:pPr>
        <w:pStyle w:val="21"/>
        <w:tabs>
          <w:tab w:val="left" w:pos="630"/>
          <w:tab w:val="left" w:pos="1365"/>
        </w:tabs>
        <w:ind w:left="420"/>
        <w:rPr>
          <w:rFonts w:hint="eastAsia" w:hAnsi="宋体" w:cs="宋体"/>
          <w:color w:val="auto"/>
          <w:szCs w:val="21"/>
          <w:highlight w:val="none"/>
        </w:rPr>
      </w:pPr>
      <w:r>
        <w:rPr>
          <w:rFonts w:hint="eastAsia" w:hAnsi="宋体" w:cs="宋体"/>
          <w:color w:val="auto"/>
          <w:szCs w:val="21"/>
          <w:highlight w:val="none"/>
        </w:rPr>
        <w:tab/>
      </w:r>
      <w:r>
        <w:rPr>
          <w:rFonts w:hint="eastAsia" w:hAnsi="宋体" w:cs="宋体"/>
          <w:color w:val="auto"/>
          <w:szCs w:val="21"/>
          <w:highlight w:val="none"/>
        </w:rPr>
        <w:t xml:space="preserve">     标日期、时间）之前不得启封”的字样。</w:t>
      </w:r>
    </w:p>
    <w:p>
      <w:pPr>
        <w:pStyle w:val="21"/>
        <w:tabs>
          <w:tab w:val="left" w:pos="630"/>
          <w:tab w:val="left" w:pos="1365"/>
        </w:tabs>
        <w:ind w:left="420"/>
        <w:rPr>
          <w:rFonts w:hint="eastAsia" w:hAnsi="宋体" w:cs="宋体"/>
          <w:color w:val="auto"/>
          <w:szCs w:val="21"/>
          <w:highlight w:val="none"/>
        </w:rPr>
      </w:pPr>
      <w:r>
        <w:rPr>
          <w:rFonts w:hint="eastAsia" w:hAnsi="宋体" w:cs="宋体"/>
          <w:color w:val="auto"/>
          <w:szCs w:val="21"/>
          <w:highlight w:val="none"/>
        </w:rPr>
        <w:tab/>
      </w:r>
      <w:r>
        <w:rPr>
          <w:rFonts w:hint="eastAsia" w:hAnsi="宋体" w:cs="宋体"/>
          <w:color w:val="auto"/>
          <w:szCs w:val="21"/>
          <w:highlight w:val="none"/>
        </w:rPr>
        <w:t>（3）在信封的封装处加盖供应商公章。</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14.7</w:t>
      </w:r>
      <w:r>
        <w:rPr>
          <w:rFonts w:hint="eastAsia" w:ascii="宋体" w:hAnsi="宋体" w:cs="宋体"/>
          <w:color w:val="auto"/>
          <w:szCs w:val="21"/>
          <w:highlight w:val="none"/>
        </w:rPr>
        <w:tab/>
      </w:r>
      <w:r>
        <w:rPr>
          <w:rFonts w:hint="eastAsia" w:ascii="宋体" w:hAnsi="宋体" w:cs="宋体"/>
          <w:color w:val="auto"/>
          <w:szCs w:val="21"/>
          <w:highlight w:val="none"/>
        </w:rPr>
        <w:t>所有信封上还应写明投标人名称和地址，以便若其投标被宣布为“迟到”投标时，能原封退回。</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14.8如果投标人未按上述要求密封及加写标记，包括未单独提交投标保证金及开标一览表的，其投标将被视为无效投标，并且招标采购单位对投标文件的误投或过早启封概不负责。</w:t>
      </w:r>
    </w:p>
    <w:p>
      <w:pPr>
        <w:spacing w:before="156" w:beforeLines="50" w:after="156" w:afterLines="50"/>
        <w:rPr>
          <w:rFonts w:hint="eastAsia" w:ascii="宋体" w:hAnsi="宋体" w:cs="宋体"/>
          <w:b/>
          <w:color w:val="auto"/>
          <w:szCs w:val="21"/>
          <w:highlight w:val="none"/>
        </w:rPr>
      </w:pPr>
      <w:r>
        <w:rPr>
          <w:rFonts w:hint="eastAsia" w:ascii="宋体" w:hAnsi="宋体" w:cs="宋体"/>
          <w:b/>
          <w:color w:val="auto"/>
          <w:szCs w:val="21"/>
          <w:highlight w:val="none"/>
        </w:rPr>
        <w:t>15.</w:t>
      </w:r>
      <w:r>
        <w:rPr>
          <w:rFonts w:hint="eastAsia" w:ascii="宋体" w:hAnsi="宋体" w:cs="宋体"/>
          <w:b/>
          <w:color w:val="auto"/>
          <w:szCs w:val="21"/>
          <w:highlight w:val="none"/>
        </w:rPr>
        <w:tab/>
      </w:r>
      <w:r>
        <w:rPr>
          <w:rFonts w:hint="eastAsia" w:ascii="宋体" w:hAnsi="宋体" w:cs="宋体"/>
          <w:b/>
          <w:color w:val="auto"/>
          <w:szCs w:val="21"/>
          <w:highlight w:val="none"/>
        </w:rPr>
        <w:t>投标截止期</w:t>
      </w:r>
      <w:bookmarkEnd w:id="92"/>
      <w:bookmarkEnd w:id="93"/>
      <w:bookmarkEnd w:id="94"/>
      <w:bookmarkEnd w:id="95"/>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15.1</w:t>
      </w:r>
      <w:r>
        <w:rPr>
          <w:rFonts w:hint="eastAsia" w:ascii="宋体" w:hAnsi="宋体" w:cs="宋体"/>
          <w:color w:val="auto"/>
          <w:szCs w:val="21"/>
          <w:highlight w:val="none"/>
        </w:rPr>
        <w:tab/>
      </w:r>
      <w:r>
        <w:rPr>
          <w:rFonts w:hint="eastAsia" w:ascii="宋体" w:hAnsi="宋体" w:cs="宋体"/>
          <w:color w:val="auto"/>
          <w:szCs w:val="21"/>
          <w:highlight w:val="none"/>
        </w:rPr>
        <w:t>投标人应在招标公告或投标邀请书中规定的截止日期和时间内，将投标文件递交招标采购单位，递交地点应是招标公告或投标邀请书中规定的地址。</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15.2</w:t>
      </w:r>
      <w:r>
        <w:rPr>
          <w:rFonts w:hint="eastAsia" w:ascii="宋体" w:hAnsi="宋体" w:cs="宋体"/>
          <w:color w:val="auto"/>
          <w:szCs w:val="21"/>
          <w:highlight w:val="none"/>
        </w:rPr>
        <w:tab/>
      </w:r>
      <w:r>
        <w:rPr>
          <w:rFonts w:hint="eastAsia" w:ascii="宋体" w:hAnsi="宋体" w:cs="宋体"/>
          <w:color w:val="auto"/>
          <w:szCs w:val="21"/>
          <w:highlight w:val="none"/>
        </w:rPr>
        <w:t>招标采购单位有权按本须知的规定，通过修改招标文件延长投标截止期。在此情况下，招标采购单位和投标人受投标截止期制约的所有权利和义务均应延长至新的截止期。</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15.3</w:t>
      </w:r>
      <w:r>
        <w:rPr>
          <w:rFonts w:hint="eastAsia" w:ascii="宋体" w:hAnsi="宋体" w:cs="宋体"/>
          <w:color w:val="auto"/>
          <w:szCs w:val="21"/>
          <w:highlight w:val="none"/>
        </w:rPr>
        <w:tab/>
      </w:r>
      <w:r>
        <w:rPr>
          <w:rFonts w:hint="eastAsia" w:ascii="宋体" w:hAnsi="宋体" w:cs="宋体"/>
          <w:color w:val="auto"/>
          <w:szCs w:val="21"/>
          <w:highlight w:val="none"/>
        </w:rPr>
        <w:t>招标采购单位将拒绝并原封退回在本须知规定的投标截止期后收到的任何投标文件。</w:t>
      </w:r>
    </w:p>
    <w:p>
      <w:pPr>
        <w:spacing w:before="156" w:beforeLines="50" w:after="156" w:afterLines="50"/>
        <w:rPr>
          <w:rFonts w:hint="eastAsia" w:ascii="宋体" w:hAnsi="宋体" w:cs="宋体"/>
          <w:b/>
          <w:color w:val="auto"/>
          <w:szCs w:val="21"/>
          <w:highlight w:val="none"/>
        </w:rPr>
      </w:pPr>
      <w:bookmarkStart w:id="96" w:name="_Toc162062878"/>
      <w:bookmarkStart w:id="97" w:name="_Toc175062595"/>
      <w:bookmarkStart w:id="98" w:name="_Toc520356162"/>
      <w:bookmarkStart w:id="99" w:name="_Toc91319155"/>
      <w:r>
        <w:rPr>
          <w:rFonts w:hint="eastAsia" w:ascii="宋体" w:hAnsi="宋体" w:cs="宋体"/>
          <w:b/>
          <w:color w:val="auto"/>
          <w:szCs w:val="21"/>
          <w:highlight w:val="none"/>
        </w:rPr>
        <w:t>16．投标文件的修改与撤回</w:t>
      </w:r>
      <w:bookmarkEnd w:id="96"/>
      <w:bookmarkEnd w:id="97"/>
      <w:bookmarkEnd w:id="98"/>
      <w:bookmarkEnd w:id="99"/>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16.1</w:t>
      </w:r>
      <w:r>
        <w:rPr>
          <w:rFonts w:hint="eastAsia" w:ascii="宋体" w:hAnsi="宋体" w:cs="宋体"/>
          <w:color w:val="auto"/>
          <w:szCs w:val="21"/>
          <w:highlight w:val="none"/>
        </w:rPr>
        <w:tab/>
      </w:r>
      <w:r>
        <w:rPr>
          <w:rFonts w:hint="eastAsia" w:ascii="宋体" w:hAnsi="宋体" w:cs="宋体"/>
          <w:color w:val="auto"/>
          <w:szCs w:val="21"/>
          <w:highlight w:val="none"/>
        </w:rPr>
        <w:t>投标以后，如果投标人提出书面修改或撤标要求，在投标截止时间前送达招标采购单位者，招标采购单位将予以接受。</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16.2</w:t>
      </w:r>
      <w:r>
        <w:rPr>
          <w:rFonts w:hint="eastAsia" w:ascii="宋体" w:hAnsi="宋体" w:cs="宋体"/>
          <w:color w:val="auto"/>
          <w:szCs w:val="21"/>
          <w:highlight w:val="none"/>
        </w:rPr>
        <w:tab/>
      </w:r>
      <w:r>
        <w:rPr>
          <w:rFonts w:hint="eastAsia" w:ascii="宋体" w:hAnsi="宋体" w:cs="宋体"/>
          <w:color w:val="auto"/>
          <w:szCs w:val="21"/>
          <w:highlight w:val="none"/>
        </w:rPr>
        <w:t>投标人对投标文件的修改或撤回通知应按本须知规定编制、密封、标记和发送。</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16.3</w:t>
      </w:r>
      <w:r>
        <w:rPr>
          <w:rFonts w:hint="eastAsia" w:ascii="宋体" w:hAnsi="宋体" w:cs="宋体"/>
          <w:color w:val="auto"/>
          <w:szCs w:val="21"/>
          <w:highlight w:val="none"/>
        </w:rPr>
        <w:tab/>
      </w:r>
      <w:r>
        <w:rPr>
          <w:rFonts w:hint="eastAsia" w:ascii="宋体" w:hAnsi="宋体" w:cs="宋体"/>
          <w:color w:val="auto"/>
          <w:szCs w:val="21"/>
          <w:highlight w:val="none"/>
        </w:rPr>
        <w:t>在投标截止期之后，投标人不得对其投标文件做任何修改。</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16.4</w:t>
      </w:r>
      <w:r>
        <w:rPr>
          <w:rFonts w:hint="eastAsia" w:ascii="宋体" w:hAnsi="宋体" w:cs="宋体"/>
          <w:color w:val="auto"/>
          <w:szCs w:val="21"/>
          <w:highlight w:val="none"/>
        </w:rPr>
        <w:tab/>
      </w:r>
      <w:r>
        <w:rPr>
          <w:rFonts w:hint="eastAsia" w:ascii="宋体" w:hAnsi="宋体" w:cs="宋体"/>
          <w:color w:val="auto"/>
          <w:szCs w:val="21"/>
          <w:highlight w:val="none"/>
        </w:rPr>
        <w:t>从投标截止期至投标人在投标文件格式中确定的投标有效期之间，投标人不得撤回其投标，否则其投标保证金将按照本须知的规定不予退回。</w:t>
      </w:r>
    </w:p>
    <w:p>
      <w:pPr>
        <w:spacing w:before="156" w:beforeLines="50" w:after="156" w:afterLines="50"/>
        <w:jc w:val="center"/>
        <w:rPr>
          <w:rFonts w:hint="eastAsia" w:ascii="宋体" w:hAnsi="宋体" w:cs="宋体"/>
          <w:b/>
          <w:color w:val="auto"/>
          <w:szCs w:val="21"/>
          <w:highlight w:val="none"/>
        </w:rPr>
      </w:pPr>
      <w:bookmarkStart w:id="100" w:name="_Toc175062596"/>
      <w:bookmarkStart w:id="101" w:name="_Toc520356163"/>
      <w:bookmarkStart w:id="102" w:name="_Toc91319156"/>
      <w:bookmarkStart w:id="103" w:name="_Toc162062879"/>
      <w:r>
        <w:rPr>
          <w:rFonts w:hint="eastAsia" w:ascii="宋体" w:hAnsi="宋体" w:cs="宋体"/>
          <w:b/>
          <w:color w:val="auto"/>
          <w:szCs w:val="21"/>
          <w:highlight w:val="none"/>
        </w:rPr>
        <w:t>五、开标及评标</w:t>
      </w:r>
      <w:bookmarkEnd w:id="100"/>
      <w:bookmarkEnd w:id="101"/>
      <w:bookmarkEnd w:id="102"/>
      <w:bookmarkEnd w:id="103"/>
    </w:p>
    <w:p>
      <w:pPr>
        <w:spacing w:before="156" w:beforeLines="50" w:after="156" w:afterLines="50"/>
        <w:rPr>
          <w:rFonts w:hint="eastAsia" w:ascii="宋体" w:hAnsi="宋体" w:cs="宋体"/>
          <w:b/>
          <w:color w:val="auto"/>
          <w:szCs w:val="21"/>
          <w:highlight w:val="none"/>
        </w:rPr>
      </w:pPr>
      <w:bookmarkStart w:id="104" w:name="_Toc175062597"/>
      <w:bookmarkStart w:id="105" w:name="_Toc162062880"/>
      <w:bookmarkStart w:id="106" w:name="_Toc91319157"/>
      <w:bookmarkStart w:id="107" w:name="_Toc520356164"/>
      <w:r>
        <w:rPr>
          <w:rFonts w:hint="eastAsia" w:ascii="宋体" w:hAnsi="宋体" w:cs="宋体"/>
          <w:b/>
          <w:color w:val="auto"/>
          <w:szCs w:val="21"/>
          <w:highlight w:val="none"/>
        </w:rPr>
        <w:t>17.</w:t>
      </w:r>
      <w:r>
        <w:rPr>
          <w:rFonts w:hint="eastAsia" w:ascii="宋体" w:hAnsi="宋体" w:cs="宋体"/>
          <w:b/>
          <w:color w:val="auto"/>
          <w:szCs w:val="21"/>
          <w:highlight w:val="none"/>
        </w:rPr>
        <w:tab/>
      </w:r>
      <w:r>
        <w:rPr>
          <w:rFonts w:hint="eastAsia" w:ascii="宋体" w:hAnsi="宋体" w:cs="宋体"/>
          <w:b/>
          <w:color w:val="auto"/>
          <w:szCs w:val="21"/>
          <w:highlight w:val="none"/>
        </w:rPr>
        <w:t>开标</w:t>
      </w:r>
      <w:bookmarkEnd w:id="104"/>
      <w:bookmarkEnd w:id="105"/>
      <w:bookmarkEnd w:id="106"/>
      <w:bookmarkEnd w:id="107"/>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17.1</w:t>
      </w:r>
      <w:r>
        <w:rPr>
          <w:rFonts w:hint="eastAsia" w:ascii="宋体" w:hAnsi="宋体" w:cs="宋体"/>
          <w:color w:val="auto"/>
          <w:szCs w:val="21"/>
          <w:highlight w:val="none"/>
        </w:rPr>
        <w:tab/>
      </w:r>
      <w:r>
        <w:rPr>
          <w:rFonts w:hint="eastAsia" w:ascii="宋体" w:hAnsi="宋体" w:cs="宋体"/>
          <w:color w:val="auto"/>
          <w:szCs w:val="21"/>
          <w:highlight w:val="none"/>
        </w:rPr>
        <w:t>招标采购单位应当按招标公告或投标邀请书的规定，在投标截止时间的同一时间和招标公告或投标邀请书预先确定的地点组织公开开标。开标时邀请所有投标人代表、招标人和有关方面代表参加。参加开标大会的代表应按照到场时间签名报到，</w:t>
      </w:r>
      <w:r>
        <w:rPr>
          <w:rFonts w:hint="eastAsia" w:cs="宋体"/>
          <w:bCs/>
          <w:color w:val="auto"/>
          <w:szCs w:val="21"/>
          <w:highlight w:val="none"/>
          <w:lang w:val="zh-CN"/>
        </w:rPr>
        <w:t>营业执照原件（或复印件加盖公章）、</w:t>
      </w:r>
      <w:r>
        <w:rPr>
          <w:rFonts w:hint="eastAsia" w:ascii="宋体" w:cs="宋体"/>
          <w:bCs/>
          <w:color w:val="auto"/>
          <w:szCs w:val="21"/>
          <w:highlight w:val="none"/>
          <w:lang w:val="zh-CN"/>
        </w:rPr>
        <w:t>法人代表证明或法人授权委托书</w:t>
      </w:r>
      <w:r>
        <w:rPr>
          <w:rFonts w:hint="eastAsia" w:cs="宋体"/>
          <w:bCs/>
          <w:color w:val="auto"/>
          <w:szCs w:val="21"/>
          <w:highlight w:val="none"/>
          <w:lang w:val="zh-CN"/>
        </w:rPr>
        <w:t>原件</w:t>
      </w:r>
      <w:r>
        <w:rPr>
          <w:rFonts w:hint="eastAsia" w:ascii="宋体" w:cs="宋体"/>
          <w:bCs/>
          <w:color w:val="auto"/>
          <w:szCs w:val="21"/>
          <w:highlight w:val="none"/>
          <w:lang w:val="zh-CN"/>
        </w:rPr>
        <w:t>（需按招标文件格式提供）</w:t>
      </w:r>
      <w:r>
        <w:rPr>
          <w:rFonts w:hint="eastAsia" w:cs="宋体"/>
          <w:bCs/>
          <w:color w:val="auto"/>
          <w:szCs w:val="21"/>
          <w:highlight w:val="none"/>
          <w:lang w:val="zh-CN"/>
        </w:rPr>
        <w:t>、</w:t>
      </w:r>
      <w:r>
        <w:rPr>
          <w:rFonts w:hint="eastAsia" w:ascii="宋体" w:cs="宋体"/>
          <w:bCs/>
          <w:color w:val="auto"/>
          <w:szCs w:val="21"/>
          <w:highlight w:val="none"/>
          <w:lang w:val="zh-CN"/>
        </w:rPr>
        <w:t>身份证原件</w:t>
      </w:r>
      <w:r>
        <w:rPr>
          <w:rFonts w:hint="eastAsia" w:cs="宋体"/>
          <w:bCs/>
          <w:color w:val="auto"/>
          <w:szCs w:val="21"/>
          <w:highlight w:val="none"/>
          <w:lang w:val="zh-CN"/>
        </w:rPr>
        <w:t>必须</w:t>
      </w:r>
      <w:r>
        <w:rPr>
          <w:rFonts w:hint="eastAsia" w:ascii="宋体" w:cs="宋体"/>
          <w:bCs/>
          <w:color w:val="auto"/>
          <w:szCs w:val="21"/>
          <w:highlight w:val="none"/>
          <w:lang w:val="zh-CN"/>
        </w:rPr>
        <w:t>随身携带</w:t>
      </w:r>
      <w:r>
        <w:rPr>
          <w:rFonts w:hint="eastAsia" w:ascii="宋体" w:hAnsi="宋体" w:cs="宋体"/>
          <w:color w:val="auto"/>
          <w:szCs w:val="21"/>
          <w:highlight w:val="none"/>
        </w:rPr>
        <w:t>。投标人法定代表人和授权代表均未出席开标大会的投标将被视为无效投标。</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17.2</w:t>
      </w:r>
      <w:r>
        <w:rPr>
          <w:rFonts w:hint="eastAsia" w:ascii="宋体" w:hAnsi="宋体" w:cs="宋体"/>
          <w:color w:val="auto"/>
          <w:szCs w:val="21"/>
          <w:highlight w:val="none"/>
        </w:rPr>
        <w:tab/>
      </w:r>
      <w:r>
        <w:rPr>
          <w:rFonts w:hint="eastAsia" w:ascii="宋体" w:hAnsi="宋体" w:cs="宋体"/>
          <w:color w:val="auto"/>
          <w:szCs w:val="21"/>
          <w:highlight w:val="none"/>
        </w:rPr>
        <w:t>开标时，由监标人或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未宣读的投标价格、价格折扣等实质内容，评标时不予承认。</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17.3</w:t>
      </w:r>
      <w:r>
        <w:rPr>
          <w:rFonts w:hint="eastAsia" w:ascii="宋体" w:hAnsi="宋体" w:cs="宋体"/>
          <w:color w:val="auto"/>
          <w:szCs w:val="21"/>
          <w:highlight w:val="none"/>
        </w:rPr>
        <w:tab/>
      </w:r>
      <w:r>
        <w:rPr>
          <w:rFonts w:hint="eastAsia" w:ascii="宋体" w:hAnsi="宋体" w:cs="宋体"/>
          <w:color w:val="auto"/>
          <w:szCs w:val="21"/>
          <w:highlight w:val="none"/>
        </w:rPr>
        <w:t>招标采购单位将对唱标内容做开标记录，由投标人代表签字确认。</w:t>
      </w:r>
    </w:p>
    <w:p>
      <w:pPr>
        <w:spacing w:before="156" w:beforeLines="50" w:after="156" w:afterLines="50"/>
        <w:rPr>
          <w:rFonts w:hint="eastAsia" w:ascii="宋体" w:hAnsi="宋体" w:cs="宋体"/>
          <w:b/>
          <w:color w:val="auto"/>
          <w:szCs w:val="21"/>
          <w:highlight w:val="none"/>
        </w:rPr>
      </w:pPr>
      <w:bookmarkStart w:id="108" w:name="_Toc91319158"/>
      <w:bookmarkStart w:id="109" w:name="_Toc175062598"/>
      <w:bookmarkStart w:id="110" w:name="_Toc162062881"/>
      <w:r>
        <w:rPr>
          <w:rFonts w:hint="eastAsia" w:ascii="宋体" w:hAnsi="宋体" w:cs="宋体"/>
          <w:b/>
          <w:color w:val="auto"/>
          <w:szCs w:val="21"/>
          <w:highlight w:val="none"/>
        </w:rPr>
        <w:t>18．组建评标委员会</w:t>
      </w:r>
      <w:bookmarkEnd w:id="108"/>
      <w:bookmarkEnd w:id="109"/>
      <w:bookmarkEnd w:id="110"/>
    </w:p>
    <w:p>
      <w:pPr>
        <w:rPr>
          <w:rFonts w:hint="eastAsia" w:ascii="宋体" w:hAnsi="宋体" w:cs="宋体"/>
          <w:color w:val="auto"/>
          <w:szCs w:val="21"/>
          <w:highlight w:val="none"/>
        </w:rPr>
      </w:pPr>
      <w:r>
        <w:rPr>
          <w:rFonts w:hint="eastAsia" w:ascii="宋体" w:hAnsi="宋体" w:cs="宋体"/>
          <w:color w:val="auto"/>
          <w:szCs w:val="21"/>
          <w:highlight w:val="none"/>
        </w:rPr>
        <w:t xml:space="preserve">      评标委员会根据招标采购服务的特点进行组建，按照国家有关法律、法规组建评标委员会，并负责评标工作。</w:t>
      </w:r>
    </w:p>
    <w:p>
      <w:pPr>
        <w:spacing w:before="156" w:beforeLines="50" w:after="156" w:afterLines="50"/>
        <w:rPr>
          <w:rFonts w:hint="eastAsia" w:ascii="宋体" w:hAnsi="宋体" w:cs="宋体"/>
          <w:b/>
          <w:color w:val="auto"/>
          <w:szCs w:val="21"/>
          <w:highlight w:val="none"/>
        </w:rPr>
      </w:pPr>
      <w:bookmarkStart w:id="111" w:name="_Toc91319159"/>
      <w:bookmarkStart w:id="112" w:name="_Toc175062599"/>
      <w:bookmarkStart w:id="113" w:name="_Toc162062882"/>
      <w:r>
        <w:rPr>
          <w:rFonts w:hint="eastAsia" w:ascii="宋体" w:hAnsi="宋体" w:cs="宋体"/>
          <w:b/>
          <w:color w:val="auto"/>
          <w:szCs w:val="21"/>
          <w:highlight w:val="none"/>
        </w:rPr>
        <w:t>19．投标文件的初审与澄清</w:t>
      </w:r>
      <w:bookmarkEnd w:id="111"/>
      <w:bookmarkEnd w:id="112"/>
      <w:bookmarkEnd w:id="113"/>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19.1  投标文件的初审分为资格性检查和符合性检查。</w:t>
      </w:r>
    </w:p>
    <w:p>
      <w:pPr>
        <w:ind w:left="743" w:hanging="743" w:hangingChars="354"/>
        <w:rPr>
          <w:rFonts w:hint="eastAsia" w:ascii="宋体" w:hAnsi="宋体" w:cs="宋体"/>
          <w:color w:val="auto"/>
          <w:szCs w:val="21"/>
          <w:highlight w:val="none"/>
        </w:rPr>
      </w:pPr>
      <w:r>
        <w:rPr>
          <w:rFonts w:hint="eastAsia" w:ascii="宋体" w:hAnsi="宋体" w:cs="宋体"/>
          <w:color w:val="auto"/>
          <w:szCs w:val="21"/>
          <w:highlight w:val="none"/>
        </w:rPr>
        <w:t>19.1.1</w:t>
      </w:r>
      <w:r>
        <w:rPr>
          <w:rFonts w:hint="eastAsia" w:ascii="宋体" w:hAnsi="宋体" w:cs="宋体"/>
          <w:color w:val="auto"/>
          <w:szCs w:val="21"/>
          <w:highlight w:val="none"/>
        </w:rPr>
        <w:tab/>
      </w:r>
      <w:r>
        <w:rPr>
          <w:rFonts w:hint="eastAsia" w:ascii="宋体" w:hAnsi="宋体" w:cs="宋体"/>
          <w:color w:val="auto"/>
          <w:szCs w:val="21"/>
          <w:highlight w:val="none"/>
        </w:rPr>
        <w:t>资格性检查  指依据法律、法规和招标文件的规定，对投标文件中的资格证明、投标保证金等进行审查，以确定投标供应商是否具备投标资格。</w:t>
      </w:r>
    </w:p>
    <w:p>
      <w:pPr>
        <w:ind w:left="743" w:hanging="743" w:hangingChars="354"/>
        <w:rPr>
          <w:rFonts w:hint="eastAsia" w:ascii="宋体" w:hAnsi="宋体" w:cs="宋体"/>
          <w:color w:val="auto"/>
          <w:szCs w:val="21"/>
          <w:highlight w:val="none"/>
        </w:rPr>
      </w:pPr>
      <w:r>
        <w:rPr>
          <w:rFonts w:hint="eastAsia" w:ascii="宋体" w:hAnsi="宋体" w:cs="宋体"/>
          <w:color w:val="auto"/>
          <w:szCs w:val="21"/>
          <w:highlight w:val="none"/>
        </w:rPr>
        <w:t>19.1.2</w:t>
      </w:r>
      <w:r>
        <w:rPr>
          <w:rFonts w:hint="eastAsia" w:ascii="宋体" w:hAnsi="宋体" w:cs="宋体"/>
          <w:color w:val="auto"/>
          <w:szCs w:val="21"/>
          <w:highlight w:val="none"/>
        </w:rPr>
        <w:tab/>
      </w:r>
      <w:r>
        <w:rPr>
          <w:rFonts w:hint="eastAsia" w:ascii="宋体" w:hAnsi="宋体" w:cs="宋体"/>
          <w:color w:val="auto"/>
          <w:szCs w:val="21"/>
          <w:highlight w:val="none"/>
        </w:rPr>
        <w:t>符合性检查  依据招标文件的规定，从投标文件的有效性、完整性和对招标文件的响应程度进行审查，以确定是否对招标文件的实质性要求做出响应。</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19.2</w:t>
      </w:r>
      <w:r>
        <w:rPr>
          <w:rFonts w:hint="eastAsia" w:ascii="宋体" w:hAnsi="宋体" w:cs="宋体"/>
          <w:color w:val="auto"/>
          <w:szCs w:val="21"/>
          <w:highlight w:val="none"/>
        </w:rPr>
        <w:tab/>
      </w:r>
      <w:r>
        <w:rPr>
          <w:rFonts w:hint="eastAsia" w:ascii="宋体" w:hAnsi="宋体" w:cs="宋体"/>
          <w:color w:val="auto"/>
          <w:szCs w:val="21"/>
          <w:highlight w:val="none"/>
        </w:rPr>
        <w:t>投标文件的澄清</w:t>
      </w:r>
    </w:p>
    <w:p>
      <w:pPr>
        <w:ind w:left="743" w:hanging="743" w:hangingChars="354"/>
        <w:rPr>
          <w:rFonts w:hint="eastAsia" w:ascii="宋体" w:hAnsi="宋体" w:cs="宋体"/>
          <w:color w:val="auto"/>
          <w:szCs w:val="21"/>
          <w:highlight w:val="none"/>
        </w:rPr>
      </w:pPr>
      <w:r>
        <w:rPr>
          <w:rFonts w:hint="eastAsia" w:ascii="宋体" w:hAnsi="宋体" w:cs="宋体"/>
          <w:color w:val="auto"/>
          <w:szCs w:val="21"/>
          <w:highlight w:val="none"/>
        </w:rPr>
        <w:t>19.2.1</w:t>
      </w:r>
      <w:r>
        <w:rPr>
          <w:rFonts w:hint="eastAsia" w:ascii="宋体" w:hAnsi="宋体" w:cs="宋体"/>
          <w:color w:val="auto"/>
          <w:szCs w:val="21"/>
          <w:highlight w:val="none"/>
        </w:rPr>
        <w:tab/>
      </w:r>
      <w:r>
        <w:rPr>
          <w:rFonts w:hint="eastAsia" w:ascii="宋体" w:hAnsi="宋体" w:cs="宋体"/>
          <w:color w:val="auto"/>
          <w:szCs w:val="21"/>
          <w:highlight w:val="none"/>
        </w:rPr>
        <w:t>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ind w:left="743" w:hanging="743" w:hangingChars="354"/>
        <w:rPr>
          <w:rFonts w:hint="eastAsia" w:ascii="宋体" w:hAnsi="宋体" w:cs="宋体"/>
          <w:color w:val="auto"/>
          <w:szCs w:val="21"/>
          <w:highlight w:val="none"/>
        </w:rPr>
      </w:pPr>
      <w:r>
        <w:rPr>
          <w:rFonts w:hint="eastAsia" w:ascii="宋体" w:hAnsi="宋体" w:cs="宋体"/>
          <w:color w:val="auto"/>
          <w:szCs w:val="21"/>
          <w:highlight w:val="none"/>
        </w:rPr>
        <w:t>19.2.2</w:t>
      </w:r>
      <w:r>
        <w:rPr>
          <w:rFonts w:hint="eastAsia" w:ascii="宋体" w:hAnsi="宋体" w:cs="宋体"/>
          <w:color w:val="auto"/>
          <w:szCs w:val="21"/>
          <w:highlight w:val="none"/>
        </w:rPr>
        <w:tab/>
      </w:r>
      <w:r>
        <w:rPr>
          <w:rFonts w:hint="eastAsia" w:ascii="宋体" w:hAnsi="宋体" w:cs="宋体"/>
          <w:color w:val="auto"/>
          <w:szCs w:val="21"/>
          <w:highlight w:val="none"/>
        </w:rPr>
        <w:t>澄清文件将作为投标文件内容的一部分。</w:t>
      </w:r>
    </w:p>
    <w:p>
      <w:pPr>
        <w:ind w:left="743" w:hanging="743" w:hangingChars="354"/>
        <w:rPr>
          <w:rFonts w:hint="eastAsia" w:ascii="宋体" w:hAnsi="宋体" w:cs="宋体"/>
          <w:color w:val="auto"/>
          <w:szCs w:val="21"/>
          <w:highlight w:val="none"/>
        </w:rPr>
      </w:pPr>
      <w:r>
        <w:rPr>
          <w:rFonts w:hint="eastAsia" w:ascii="宋体" w:hAnsi="宋体" w:cs="宋体"/>
          <w:color w:val="auto"/>
          <w:szCs w:val="21"/>
          <w:highlight w:val="none"/>
        </w:rPr>
        <w:t>19.2.3</w:t>
      </w:r>
      <w:r>
        <w:rPr>
          <w:rFonts w:hint="eastAsia" w:ascii="宋体" w:hAnsi="宋体" w:cs="宋体"/>
          <w:color w:val="auto"/>
          <w:szCs w:val="21"/>
          <w:highlight w:val="none"/>
        </w:rPr>
        <w:tab/>
      </w:r>
      <w:r>
        <w:rPr>
          <w:rFonts w:hint="eastAsia" w:ascii="宋体" w:hAnsi="宋体" w:cs="宋体"/>
          <w:color w:val="auto"/>
          <w:szCs w:val="21"/>
          <w:highlight w:val="none"/>
        </w:rPr>
        <w:t>算术错误将按以下方法更正：开标时，投标文件中“开标一览表”（报价表）内容与投标文件中明细表内容不一致的，以“开标一览表” （报价表）为准；若单价计算的结果与总价不一致，以单价为准修改总价；若用文字表示的数值与数字表示的数值不一致，以文字表示的数值为准。对不同文字文本投标文件的解释发生异议的，以中文文本为准。如果投标人不接受对其错误的更改，其投标将被视为无效投标。</w:t>
      </w:r>
    </w:p>
    <w:p>
      <w:pPr>
        <w:ind w:left="743" w:hanging="743" w:hangingChars="354"/>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19.2.4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eastAsia="宋体" w:cs="宋体"/>
          <w:color w:val="auto"/>
          <w:szCs w:val="21"/>
          <w:highlight w:val="none"/>
          <w:lang w:eastAsia="zh-CN"/>
        </w:rPr>
        <w:t>。</w:t>
      </w:r>
    </w:p>
    <w:p>
      <w:pPr>
        <w:spacing w:before="156" w:beforeLines="50" w:after="156" w:afterLines="50"/>
        <w:rPr>
          <w:rFonts w:hint="eastAsia" w:ascii="宋体" w:hAnsi="宋体" w:cs="宋体"/>
          <w:b/>
          <w:color w:val="auto"/>
          <w:szCs w:val="21"/>
          <w:highlight w:val="none"/>
        </w:rPr>
      </w:pPr>
      <w:bookmarkStart w:id="114" w:name="_Toc91319160"/>
      <w:bookmarkStart w:id="115" w:name="_Toc175062600"/>
      <w:bookmarkStart w:id="116" w:name="_Toc162062883"/>
      <w:r>
        <w:rPr>
          <w:rFonts w:hint="eastAsia" w:ascii="宋体" w:hAnsi="宋体" w:cs="宋体"/>
          <w:b/>
          <w:color w:val="auto"/>
          <w:szCs w:val="21"/>
          <w:highlight w:val="none"/>
        </w:rPr>
        <w:t>20．投标偏离与非实质性响应</w:t>
      </w:r>
      <w:bookmarkEnd w:id="114"/>
      <w:bookmarkEnd w:id="115"/>
      <w:bookmarkEnd w:id="116"/>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20.1  对于投标文件中不构成实质性偏差的不正规、不一致或不规则，评标委员会可以接受，但这种接受不能损坏或影响任何投标人的相对排序。</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20.2  在比较与评价之前，根据本须知的规定，评标委员会要审查每份投标文件是否实质上响应了招标文件的要求。实质上响应的投标应该是与招标文件要求的全部条款、条件和规格相符，没有重大偏离的投标。对关键条款，例如关于投标保证金、适用法律、缴税等内容的偏离、保留和反对，将被认为是实质上的偏离。评标委员会决定投标的响应性只根据投标文件本身的内容，而不寻求外部的证据。</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20.3</w:t>
      </w:r>
      <w:r>
        <w:rPr>
          <w:rFonts w:hint="eastAsia" w:ascii="宋体" w:hAnsi="宋体" w:cs="宋体"/>
          <w:color w:val="auto"/>
          <w:szCs w:val="21"/>
          <w:highlight w:val="none"/>
        </w:rPr>
        <w:tab/>
      </w:r>
      <w:r>
        <w:rPr>
          <w:rFonts w:hint="eastAsia" w:ascii="宋体" w:hAnsi="宋体" w:cs="宋体"/>
          <w:color w:val="auto"/>
          <w:szCs w:val="21"/>
          <w:highlight w:val="none"/>
        </w:rPr>
        <w:t>实质上没有响应招标文件要求的投标将被视为无效投标。投标人不得通过修正或撤销不符合要求的偏离或保留从而使其投标成为实质上响应的投标。如发现下列情况之一的，其投标将被视为无效投标：</w:t>
      </w:r>
    </w:p>
    <w:p>
      <w:pPr>
        <w:ind w:left="1276" w:hanging="567"/>
        <w:rPr>
          <w:rFonts w:hint="eastAsia" w:ascii="宋体" w:hAnsi="宋体" w:cs="宋体"/>
          <w:color w:val="auto"/>
          <w:szCs w:val="21"/>
          <w:highlight w:val="none"/>
        </w:rPr>
      </w:pPr>
      <w:r>
        <w:rPr>
          <w:rFonts w:hint="eastAsia" w:ascii="宋体" w:hAnsi="宋体" w:cs="宋体"/>
          <w:color w:val="auto"/>
          <w:szCs w:val="21"/>
          <w:highlight w:val="none"/>
        </w:rPr>
        <w:t>（1）应交未交或未足额交纳投标保证金的；</w:t>
      </w:r>
    </w:p>
    <w:p>
      <w:pPr>
        <w:ind w:left="1276" w:hanging="567"/>
        <w:rPr>
          <w:rFonts w:hint="eastAsia" w:ascii="宋体" w:hAnsi="宋体" w:cs="宋体"/>
          <w:color w:val="auto"/>
          <w:szCs w:val="21"/>
          <w:highlight w:val="none"/>
        </w:rPr>
      </w:pPr>
      <w:r>
        <w:rPr>
          <w:rFonts w:hint="eastAsia" w:ascii="宋体" w:hAnsi="宋体" w:cs="宋体"/>
          <w:color w:val="auto"/>
          <w:szCs w:val="21"/>
          <w:highlight w:val="none"/>
        </w:rPr>
        <w:t>（2）投标总价超出采购预算，买方无能力支付的；</w:t>
      </w:r>
    </w:p>
    <w:p>
      <w:pPr>
        <w:ind w:left="1276" w:hanging="567"/>
        <w:rPr>
          <w:rFonts w:hint="eastAsia" w:ascii="宋体" w:hAnsi="宋体" w:cs="宋体"/>
          <w:color w:val="auto"/>
          <w:szCs w:val="21"/>
          <w:highlight w:val="none"/>
        </w:rPr>
      </w:pPr>
      <w:r>
        <w:rPr>
          <w:rFonts w:hint="eastAsia" w:ascii="宋体" w:hAnsi="宋体" w:cs="宋体"/>
          <w:color w:val="auto"/>
          <w:szCs w:val="21"/>
          <w:highlight w:val="none"/>
        </w:rPr>
        <w:t>（3）投标有效期不足的；</w:t>
      </w:r>
    </w:p>
    <w:p>
      <w:pPr>
        <w:ind w:left="1276" w:hanging="567"/>
        <w:rPr>
          <w:rFonts w:hint="eastAsia" w:ascii="宋体" w:hAnsi="宋体" w:cs="宋体"/>
          <w:color w:val="auto"/>
          <w:szCs w:val="21"/>
          <w:highlight w:val="none"/>
        </w:rPr>
      </w:pPr>
      <w:r>
        <w:rPr>
          <w:rFonts w:hint="eastAsia" w:ascii="宋体" w:hAnsi="宋体" w:cs="宋体"/>
          <w:color w:val="auto"/>
          <w:szCs w:val="21"/>
          <w:highlight w:val="none"/>
        </w:rPr>
        <w:t>（4）未按照招标文件规定要求密封、签署、盖章的；</w:t>
      </w:r>
    </w:p>
    <w:p>
      <w:pPr>
        <w:ind w:left="1276" w:hanging="567"/>
        <w:rPr>
          <w:rFonts w:hint="eastAsia" w:ascii="宋体" w:hAnsi="宋体" w:cs="宋体"/>
          <w:color w:val="auto"/>
          <w:szCs w:val="21"/>
          <w:highlight w:val="none"/>
        </w:rPr>
      </w:pPr>
      <w:r>
        <w:rPr>
          <w:rFonts w:hint="eastAsia" w:ascii="宋体" w:hAnsi="宋体" w:cs="宋体"/>
          <w:color w:val="auto"/>
          <w:szCs w:val="21"/>
          <w:highlight w:val="none"/>
        </w:rPr>
        <w:t xml:space="preserve">（5）不具备招标文件中规定资格要求的； </w:t>
      </w:r>
    </w:p>
    <w:p>
      <w:pPr>
        <w:ind w:left="1276" w:hanging="567"/>
        <w:rPr>
          <w:rFonts w:hint="eastAsia" w:ascii="宋体" w:hAnsi="宋体" w:cs="宋体"/>
          <w:color w:val="auto"/>
          <w:szCs w:val="21"/>
          <w:highlight w:val="none"/>
        </w:rPr>
      </w:pPr>
      <w:r>
        <w:rPr>
          <w:rFonts w:hint="eastAsia" w:ascii="宋体" w:hAnsi="宋体" w:cs="宋体"/>
          <w:color w:val="auto"/>
          <w:szCs w:val="21"/>
          <w:highlight w:val="none"/>
        </w:rPr>
        <w:t>（6）不符合法律、法规和招标文件中规定的其他实质性要求的。</w:t>
      </w:r>
    </w:p>
    <w:p>
      <w:pPr>
        <w:spacing w:before="156" w:beforeLines="50" w:after="156" w:afterLines="50"/>
        <w:rPr>
          <w:rFonts w:hint="eastAsia" w:ascii="宋体" w:hAnsi="宋体" w:cs="宋体"/>
          <w:b/>
          <w:color w:val="auto"/>
          <w:szCs w:val="21"/>
          <w:highlight w:val="none"/>
        </w:rPr>
      </w:pPr>
      <w:bookmarkStart w:id="117" w:name="_Toc91319161"/>
      <w:bookmarkStart w:id="118" w:name="_Toc162062884"/>
      <w:bookmarkStart w:id="119" w:name="_Toc175062601"/>
      <w:r>
        <w:rPr>
          <w:rFonts w:hint="eastAsia" w:ascii="宋体" w:hAnsi="宋体" w:cs="宋体"/>
          <w:b/>
          <w:color w:val="auto"/>
          <w:szCs w:val="21"/>
          <w:highlight w:val="none"/>
        </w:rPr>
        <w:t>21．比较与评价</w:t>
      </w:r>
      <w:bookmarkEnd w:id="117"/>
      <w:bookmarkEnd w:id="118"/>
      <w:bookmarkEnd w:id="119"/>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rPr>
        <w:tab/>
      </w:r>
      <w:r>
        <w:rPr>
          <w:rFonts w:hint="eastAsia" w:ascii="宋体" w:hAnsi="宋体" w:cs="宋体"/>
          <w:color w:val="auto"/>
          <w:szCs w:val="21"/>
          <w:highlight w:val="none"/>
        </w:rPr>
        <w:t>经初审合格的投标文件，评标委员会将根据招标文件确定的评标标准和方法，对其技术部分和商务部分作进一步的比较和评价。</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21.2</w:t>
      </w:r>
      <w:r>
        <w:rPr>
          <w:rFonts w:hint="eastAsia" w:ascii="宋体" w:hAnsi="宋体" w:cs="宋体"/>
          <w:color w:val="auto"/>
          <w:szCs w:val="21"/>
          <w:highlight w:val="none"/>
        </w:rPr>
        <w:tab/>
      </w:r>
      <w:r>
        <w:rPr>
          <w:rFonts w:hint="eastAsia" w:ascii="宋体" w:hAnsi="宋体" w:cs="宋体"/>
          <w:color w:val="auto"/>
          <w:szCs w:val="21"/>
          <w:highlight w:val="none"/>
        </w:rPr>
        <w:t>评标严格按照招标文件的要求和条件进行。比较报价，同时考虑以下因素：</w:t>
      </w:r>
    </w:p>
    <w:p>
      <w:pPr>
        <w:ind w:left="1276" w:hanging="567"/>
        <w:rPr>
          <w:rFonts w:hint="eastAsia" w:ascii="宋体" w:hAnsi="宋体" w:cs="宋体"/>
          <w:color w:val="auto"/>
          <w:szCs w:val="21"/>
          <w:highlight w:val="none"/>
        </w:rPr>
      </w:pPr>
      <w:r>
        <w:rPr>
          <w:rFonts w:hint="eastAsia" w:ascii="宋体" w:hAnsi="宋体" w:cs="宋体"/>
          <w:color w:val="auto"/>
          <w:szCs w:val="21"/>
          <w:highlight w:val="none"/>
        </w:rPr>
        <w:t>（1）商务条款有无偏离；</w:t>
      </w:r>
    </w:p>
    <w:p>
      <w:pPr>
        <w:ind w:left="1276" w:hanging="567"/>
        <w:rPr>
          <w:rFonts w:hint="eastAsia" w:ascii="宋体" w:hAnsi="宋体" w:cs="宋体"/>
          <w:color w:val="auto"/>
          <w:szCs w:val="21"/>
          <w:highlight w:val="none"/>
        </w:rPr>
      </w:pPr>
      <w:r>
        <w:rPr>
          <w:rFonts w:hint="eastAsia" w:ascii="宋体" w:hAnsi="宋体" w:cs="宋体"/>
          <w:color w:val="auto"/>
          <w:szCs w:val="21"/>
          <w:highlight w:val="none"/>
        </w:rPr>
        <w:t>（2）技术规格有无偏离；</w:t>
      </w:r>
    </w:p>
    <w:p>
      <w:pPr>
        <w:ind w:left="1276" w:hanging="567"/>
        <w:rPr>
          <w:rFonts w:hint="eastAsia" w:ascii="宋体" w:hAnsi="宋体" w:cs="宋体"/>
          <w:color w:val="auto"/>
          <w:szCs w:val="21"/>
          <w:highlight w:val="none"/>
        </w:rPr>
      </w:pPr>
      <w:r>
        <w:rPr>
          <w:rFonts w:hint="eastAsia" w:ascii="宋体" w:hAnsi="宋体" w:cs="宋体"/>
          <w:color w:val="auto"/>
          <w:szCs w:val="21"/>
          <w:highlight w:val="none"/>
        </w:rPr>
        <w:t>（3）服务方案先进、合理；</w:t>
      </w:r>
    </w:p>
    <w:p>
      <w:pPr>
        <w:ind w:left="1276" w:hanging="567"/>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）服务时间；</w:t>
      </w:r>
    </w:p>
    <w:p>
      <w:pPr>
        <w:ind w:left="1276" w:hanging="567"/>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）经营信誉等；</w:t>
      </w:r>
    </w:p>
    <w:p>
      <w:pPr>
        <w:ind w:left="1276" w:hanging="567"/>
        <w:rPr>
          <w:rFonts w:hint="eastAsia" w:ascii="宋体" w:hAnsi="宋体" w:cs="宋体"/>
          <w:color w:val="auto"/>
          <w:szCs w:val="21"/>
          <w:highlight w:val="none"/>
        </w:rPr>
      </w:pPr>
      <w:r>
        <w:rPr>
          <w:rFonts w:hint="eastAsia" w:ascii="宋体" w:hAnsi="宋体" w:cs="宋体"/>
          <w:color w:val="auto"/>
          <w:szCs w:val="21"/>
          <w:highlight w:val="none"/>
        </w:rPr>
        <w:t>（6）相关领域内的成功案例；</w:t>
      </w:r>
    </w:p>
    <w:p>
      <w:pPr>
        <w:ind w:left="1276" w:hanging="567"/>
        <w:rPr>
          <w:rFonts w:hint="eastAsia" w:ascii="宋体" w:hAnsi="宋体" w:cs="宋体"/>
          <w:color w:val="auto"/>
          <w:szCs w:val="21"/>
          <w:highlight w:val="none"/>
        </w:rPr>
      </w:pP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21.3</w:t>
      </w:r>
      <w:r>
        <w:rPr>
          <w:rFonts w:hint="eastAsia" w:ascii="宋体" w:hAnsi="宋体" w:cs="宋体"/>
          <w:color w:val="auto"/>
          <w:szCs w:val="21"/>
          <w:highlight w:val="none"/>
        </w:rPr>
        <w:tab/>
      </w:r>
      <w:r>
        <w:rPr>
          <w:rFonts w:hint="eastAsia" w:ascii="宋体" w:hAnsi="宋体" w:cs="宋体"/>
          <w:color w:val="auto"/>
          <w:szCs w:val="21"/>
          <w:highlight w:val="none"/>
        </w:rPr>
        <w:t>本项目采用综合评分法：</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 xml:space="preserve">      综合评分法。即指在最大限度地满足招标文件实质性要求的前提下，按照招标文件中规定的各项因素进行综合评审后，以评标总得分最高的投标人作为中标候选供应商或中标供应商的评标方法。</w:t>
      </w:r>
    </w:p>
    <w:p>
      <w:pPr>
        <w:spacing w:before="156" w:beforeLines="50" w:after="156" w:afterLines="50"/>
        <w:rPr>
          <w:rFonts w:hint="eastAsia" w:ascii="宋体" w:hAnsi="宋体" w:cs="宋体"/>
          <w:b/>
          <w:color w:val="auto"/>
          <w:szCs w:val="21"/>
          <w:highlight w:val="none"/>
        </w:rPr>
      </w:pPr>
      <w:bookmarkStart w:id="120" w:name="_Toc520356168"/>
      <w:bookmarkStart w:id="121" w:name="_Toc91319162"/>
      <w:bookmarkStart w:id="122" w:name="_Toc162062885"/>
      <w:bookmarkStart w:id="123" w:name="_Toc175062602"/>
      <w:r>
        <w:rPr>
          <w:rFonts w:hint="eastAsia" w:ascii="宋体" w:hAnsi="宋体" w:cs="宋体"/>
          <w:b/>
          <w:color w:val="auto"/>
          <w:szCs w:val="21"/>
          <w:highlight w:val="none"/>
        </w:rPr>
        <w:t>22．</w:t>
      </w:r>
      <w:bookmarkEnd w:id="120"/>
      <w:r>
        <w:rPr>
          <w:rFonts w:hint="eastAsia" w:ascii="宋体" w:hAnsi="宋体" w:cs="宋体"/>
          <w:b/>
          <w:color w:val="auto"/>
          <w:szCs w:val="21"/>
          <w:highlight w:val="none"/>
        </w:rPr>
        <w:t>评标过程及保密原则</w:t>
      </w:r>
      <w:bookmarkEnd w:id="121"/>
      <w:bookmarkEnd w:id="122"/>
      <w:bookmarkEnd w:id="123"/>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22.1</w:t>
      </w:r>
      <w:r>
        <w:rPr>
          <w:rFonts w:hint="eastAsia" w:ascii="宋体" w:hAnsi="宋体" w:cs="宋体"/>
          <w:color w:val="auto"/>
          <w:szCs w:val="21"/>
          <w:highlight w:val="none"/>
        </w:rPr>
        <w:tab/>
      </w:r>
      <w:r>
        <w:rPr>
          <w:rFonts w:hint="eastAsia" w:ascii="宋体" w:hAnsi="宋体" w:cs="宋体"/>
          <w:color w:val="auto"/>
          <w:szCs w:val="21"/>
          <w:highlight w:val="none"/>
        </w:rPr>
        <w:t>开标之后，直到授予中标人合同止，凡与本次招标有关人员对属于审查、澄清、评价和比较投标的有关资料以及授标意向等，均不得向投标人或其他无关的人员透露。</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22.2  在评标期间，投标人试图影响招标采购单位和评标委员会的任何活动，将导致其投标被视为无效投标，并承担相应的法律责任。</w:t>
      </w:r>
      <w:bookmarkStart w:id="124" w:name="_Toc162062886"/>
      <w:bookmarkStart w:id="125" w:name="_Toc175062603"/>
      <w:bookmarkStart w:id="126" w:name="_Toc91319163"/>
    </w:p>
    <w:p>
      <w:pPr>
        <w:spacing w:before="156" w:beforeLines="50" w:after="156" w:afterLines="50"/>
        <w:rPr>
          <w:rFonts w:hint="eastAsia" w:ascii="宋体" w:hAnsi="宋体" w:cs="宋体"/>
          <w:b/>
          <w:color w:val="auto"/>
          <w:szCs w:val="21"/>
          <w:highlight w:val="none"/>
        </w:rPr>
      </w:pPr>
      <w:bookmarkStart w:id="127" w:name="_Toc289861042"/>
      <w:r>
        <w:rPr>
          <w:rFonts w:hint="eastAsia" w:ascii="宋体" w:hAnsi="宋体" w:cs="宋体"/>
          <w:b/>
          <w:color w:val="auto"/>
          <w:szCs w:val="21"/>
          <w:highlight w:val="none"/>
        </w:rPr>
        <w:t>23.  废标</w:t>
      </w:r>
      <w:bookmarkEnd w:id="127"/>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23.1  在招标采购中出现下列情形之一的应予废标：</w:t>
      </w:r>
    </w:p>
    <w:p>
      <w:pPr>
        <w:ind w:left="1276" w:hanging="567"/>
        <w:rPr>
          <w:rFonts w:hint="eastAsia" w:ascii="宋体" w:hAnsi="宋体" w:cs="宋体"/>
          <w:color w:val="auto"/>
          <w:szCs w:val="21"/>
          <w:highlight w:val="none"/>
        </w:rPr>
      </w:pPr>
      <w:r>
        <w:rPr>
          <w:rFonts w:hint="eastAsia" w:ascii="宋体" w:hAnsi="宋体" w:cs="宋体"/>
          <w:color w:val="auto"/>
          <w:szCs w:val="21"/>
          <w:highlight w:val="none"/>
        </w:rPr>
        <w:t>（1）符合专业条件的供应商或对招标文件做出实质响应的供应商不足三家的；</w:t>
      </w:r>
    </w:p>
    <w:p>
      <w:pPr>
        <w:ind w:left="1276" w:hanging="567"/>
        <w:rPr>
          <w:rFonts w:hint="eastAsia"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pPr>
        <w:ind w:left="1276" w:hanging="567"/>
        <w:rPr>
          <w:rFonts w:hint="eastAsia" w:ascii="宋体" w:hAnsi="宋体" w:cs="宋体"/>
          <w:color w:val="auto"/>
          <w:szCs w:val="21"/>
          <w:highlight w:val="none"/>
        </w:rPr>
      </w:pPr>
      <w:r>
        <w:rPr>
          <w:rFonts w:hint="eastAsia" w:ascii="宋体" w:hAnsi="宋体" w:cs="宋体"/>
          <w:color w:val="auto"/>
          <w:szCs w:val="21"/>
          <w:highlight w:val="none"/>
        </w:rPr>
        <w:t>（3）投标人的报价均超过采购预算，买方不能支付的；</w:t>
      </w:r>
    </w:p>
    <w:p>
      <w:pPr>
        <w:ind w:left="1276" w:hanging="567"/>
        <w:rPr>
          <w:rFonts w:hint="eastAsia" w:ascii="宋体" w:hAnsi="宋体" w:cs="宋体"/>
          <w:color w:val="auto"/>
          <w:szCs w:val="21"/>
          <w:highlight w:val="none"/>
        </w:rPr>
      </w:pPr>
      <w:r>
        <w:rPr>
          <w:rFonts w:hint="eastAsia" w:ascii="宋体" w:hAnsi="宋体" w:cs="宋体"/>
          <w:color w:val="auto"/>
          <w:szCs w:val="21"/>
          <w:highlight w:val="none"/>
        </w:rPr>
        <w:t>（4）因重大变故，采购任务取消的。</w:t>
      </w:r>
    </w:p>
    <w:p>
      <w:pPr>
        <w:ind w:left="1276" w:hanging="567"/>
        <w:rPr>
          <w:rFonts w:hint="eastAsia" w:ascii="宋体" w:hAnsi="宋体" w:cs="宋体"/>
          <w:color w:val="auto"/>
          <w:szCs w:val="21"/>
          <w:highlight w:val="none"/>
        </w:rPr>
      </w:pPr>
      <w:r>
        <w:rPr>
          <w:rFonts w:hint="eastAsia" w:ascii="宋体" w:hAnsi="宋体" w:cs="宋体"/>
          <w:color w:val="auto"/>
          <w:szCs w:val="21"/>
          <w:highlight w:val="none"/>
        </w:rPr>
        <w:t>（5）法律法规规定的其他情形。</w:t>
      </w:r>
    </w:p>
    <w:p>
      <w:pPr>
        <w:spacing w:before="156" w:beforeLines="50" w:after="156" w:afterLines="50"/>
        <w:jc w:val="center"/>
        <w:rPr>
          <w:rFonts w:hint="eastAsia" w:ascii="宋体" w:hAnsi="宋体" w:cs="宋体"/>
          <w:b/>
          <w:color w:val="auto"/>
          <w:szCs w:val="21"/>
          <w:highlight w:val="none"/>
        </w:rPr>
      </w:pPr>
      <w:r>
        <w:rPr>
          <w:rFonts w:hint="eastAsia" w:ascii="宋体" w:hAnsi="宋体" w:cs="宋体"/>
          <w:b/>
          <w:color w:val="auto"/>
          <w:szCs w:val="21"/>
          <w:highlight w:val="none"/>
        </w:rPr>
        <w:t>六、确定中标</w:t>
      </w:r>
      <w:bookmarkEnd w:id="124"/>
      <w:bookmarkEnd w:id="125"/>
      <w:bookmarkEnd w:id="126"/>
    </w:p>
    <w:p>
      <w:pPr>
        <w:spacing w:before="156" w:beforeLines="50" w:after="156" w:afterLines="50"/>
        <w:rPr>
          <w:rFonts w:hint="eastAsia" w:ascii="宋体" w:hAnsi="宋体" w:cs="宋体"/>
          <w:b/>
          <w:color w:val="auto"/>
          <w:szCs w:val="21"/>
          <w:highlight w:val="none"/>
        </w:rPr>
      </w:pPr>
      <w:bookmarkStart w:id="128" w:name="_Toc520356170"/>
      <w:bookmarkStart w:id="129" w:name="_Toc91319164"/>
      <w:bookmarkStart w:id="130" w:name="_Toc175062604"/>
      <w:bookmarkStart w:id="131" w:name="_Toc162062887"/>
      <w:bookmarkStart w:id="132" w:name="_Ref467307010"/>
      <w:r>
        <w:rPr>
          <w:rFonts w:hint="eastAsia" w:ascii="宋体" w:hAnsi="宋体" w:cs="宋体"/>
          <w:b/>
          <w:color w:val="auto"/>
          <w:szCs w:val="21"/>
          <w:highlight w:val="none"/>
        </w:rPr>
        <w:t>24．中标候选人的确定原则及标准</w:t>
      </w:r>
      <w:bookmarkEnd w:id="128"/>
      <w:bookmarkEnd w:id="129"/>
      <w:bookmarkEnd w:id="130"/>
      <w:bookmarkEnd w:id="131"/>
      <w:bookmarkEnd w:id="132"/>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24.1</w:t>
      </w:r>
      <w:r>
        <w:rPr>
          <w:rFonts w:hint="eastAsia" w:ascii="宋体" w:hAnsi="宋体" w:cs="宋体"/>
          <w:color w:val="auto"/>
          <w:szCs w:val="21"/>
          <w:highlight w:val="none"/>
        </w:rPr>
        <w:tab/>
      </w:r>
      <w:r>
        <w:rPr>
          <w:rFonts w:hint="eastAsia" w:ascii="宋体" w:hAnsi="宋体" w:cs="宋体"/>
          <w:color w:val="auto"/>
          <w:szCs w:val="21"/>
          <w:highlight w:val="none"/>
        </w:rPr>
        <w:t>除第26条规定外，确定实质上响应招标文件且满足下列条件者为中标候选人。</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 xml:space="preserve">      按评审后得分由高到低顺序排列。得分相同的，按投标报价由低到高顺序排列，得分与投标报价均相同的，按技术指标优劣排列。</w:t>
      </w:r>
    </w:p>
    <w:p>
      <w:pPr>
        <w:spacing w:before="156" w:beforeLines="50" w:after="156" w:afterLines="50"/>
        <w:rPr>
          <w:rFonts w:hint="eastAsia" w:ascii="宋体" w:hAnsi="宋体" w:cs="宋体"/>
          <w:b/>
          <w:color w:val="auto"/>
          <w:szCs w:val="21"/>
          <w:highlight w:val="none"/>
        </w:rPr>
      </w:pPr>
      <w:bookmarkStart w:id="133" w:name="_Toc520356171"/>
      <w:bookmarkStart w:id="134" w:name="_Toc162062888"/>
      <w:bookmarkStart w:id="135" w:name="_Toc175062605"/>
      <w:bookmarkStart w:id="136" w:name="_Toc91319165"/>
      <w:r>
        <w:rPr>
          <w:rFonts w:hint="eastAsia" w:ascii="宋体" w:hAnsi="宋体" w:cs="宋体"/>
          <w:b/>
          <w:color w:val="auto"/>
          <w:szCs w:val="21"/>
          <w:highlight w:val="none"/>
        </w:rPr>
        <w:t>25．</w:t>
      </w:r>
      <w:bookmarkEnd w:id="133"/>
      <w:r>
        <w:rPr>
          <w:rFonts w:hint="eastAsia" w:ascii="宋体" w:hAnsi="宋体" w:cs="宋体"/>
          <w:b/>
          <w:color w:val="auto"/>
          <w:szCs w:val="21"/>
          <w:highlight w:val="none"/>
        </w:rPr>
        <w:t>确定中标人</w:t>
      </w:r>
      <w:bookmarkEnd w:id="134"/>
      <w:bookmarkEnd w:id="135"/>
      <w:bookmarkEnd w:id="136"/>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25.1</w:t>
      </w:r>
      <w:r>
        <w:rPr>
          <w:rFonts w:hint="eastAsia" w:ascii="宋体" w:hAnsi="宋体" w:cs="宋体"/>
          <w:color w:val="auto"/>
          <w:szCs w:val="21"/>
          <w:highlight w:val="none"/>
        </w:rPr>
        <w:tab/>
      </w:r>
      <w:r>
        <w:rPr>
          <w:rFonts w:hint="eastAsia" w:ascii="宋体" w:hAnsi="宋体" w:cs="宋体"/>
          <w:color w:val="auto"/>
          <w:szCs w:val="21"/>
          <w:highlight w:val="none"/>
        </w:rPr>
        <w:t>评标委员会将根据评标标准，推荐评标排序，或根据招标人的委托，直接确定中标供应商。</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25.2</w:t>
      </w:r>
      <w:r>
        <w:rPr>
          <w:rFonts w:hint="eastAsia" w:ascii="宋体" w:hAnsi="宋体" w:cs="宋体"/>
          <w:color w:val="auto"/>
          <w:szCs w:val="21"/>
          <w:highlight w:val="none"/>
        </w:rPr>
        <w:tab/>
      </w:r>
      <w:r>
        <w:rPr>
          <w:rFonts w:hint="eastAsia" w:ascii="宋体" w:hAnsi="宋体" w:cs="宋体"/>
          <w:color w:val="auto"/>
          <w:szCs w:val="21"/>
          <w:highlight w:val="none"/>
        </w:rPr>
        <w:t>审查将根据投标人按照本须知规定递交的资格证明文件和评标委员会认为其它必要的、合适的资料，对投标人的财务、技术和生产能力等进行审查。</w:t>
      </w:r>
    </w:p>
    <w:p>
      <w:pPr>
        <w:spacing w:before="156" w:beforeLines="50" w:after="156" w:afterLines="50"/>
        <w:rPr>
          <w:rFonts w:hint="eastAsia" w:ascii="宋体" w:hAnsi="宋体" w:cs="宋体"/>
          <w:b/>
          <w:color w:val="auto"/>
          <w:szCs w:val="21"/>
          <w:highlight w:val="none"/>
        </w:rPr>
      </w:pPr>
      <w:bookmarkStart w:id="137" w:name="_Ref467306874"/>
      <w:bookmarkStart w:id="138" w:name="_Toc175062606"/>
      <w:bookmarkStart w:id="139" w:name="_Toc162062889"/>
      <w:bookmarkStart w:id="140" w:name="_Toc91319166"/>
      <w:bookmarkStart w:id="141" w:name="_Toc520356173"/>
      <w:r>
        <w:rPr>
          <w:rFonts w:hint="eastAsia" w:ascii="宋体" w:hAnsi="宋体" w:cs="宋体"/>
          <w:b/>
          <w:color w:val="auto"/>
          <w:szCs w:val="21"/>
          <w:highlight w:val="none"/>
        </w:rPr>
        <w:t>26．接受和拒绝任何或所有投标的权利</w:t>
      </w:r>
      <w:bookmarkEnd w:id="137"/>
      <w:bookmarkEnd w:id="138"/>
      <w:bookmarkEnd w:id="139"/>
      <w:bookmarkEnd w:id="140"/>
      <w:bookmarkEnd w:id="141"/>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26.1  因不可抗力或中标供应商不能履约等情形，招标人保留与其他候选供应商签订合同的权利。</w:t>
      </w:r>
    </w:p>
    <w:p>
      <w:pPr>
        <w:spacing w:before="156" w:beforeLines="50" w:after="156" w:afterLines="50"/>
        <w:rPr>
          <w:rFonts w:hint="eastAsia" w:ascii="宋体" w:hAnsi="宋体" w:cs="宋体"/>
          <w:b/>
          <w:color w:val="auto"/>
          <w:szCs w:val="21"/>
          <w:highlight w:val="none"/>
        </w:rPr>
      </w:pPr>
      <w:bookmarkStart w:id="142" w:name="_Toc162062890"/>
      <w:bookmarkStart w:id="143" w:name="_Toc91319167"/>
      <w:bookmarkStart w:id="144" w:name="_Toc175062607"/>
      <w:r>
        <w:rPr>
          <w:rFonts w:hint="eastAsia" w:ascii="宋体" w:hAnsi="宋体" w:cs="宋体"/>
          <w:b/>
          <w:color w:val="auto"/>
          <w:szCs w:val="21"/>
          <w:highlight w:val="none"/>
        </w:rPr>
        <w:t>27．中标通知书</w:t>
      </w:r>
      <w:bookmarkEnd w:id="142"/>
      <w:bookmarkEnd w:id="143"/>
      <w:bookmarkEnd w:id="144"/>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27.1</w:t>
      </w:r>
      <w:r>
        <w:rPr>
          <w:rFonts w:hint="eastAsia" w:ascii="宋体" w:hAnsi="宋体" w:cs="宋体"/>
          <w:color w:val="auto"/>
          <w:szCs w:val="21"/>
          <w:highlight w:val="none"/>
        </w:rPr>
        <w:tab/>
      </w:r>
      <w:r>
        <w:rPr>
          <w:rFonts w:hint="eastAsia" w:ascii="宋体" w:hAnsi="宋体" w:cs="宋体"/>
          <w:color w:val="auto"/>
          <w:szCs w:val="21"/>
          <w:highlight w:val="none"/>
        </w:rPr>
        <w:t>在投标有效期内，中标人确定后，招标采购单位以书面形式向中标人发出中标通知书。</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27.2</w:t>
      </w:r>
      <w:r>
        <w:rPr>
          <w:rFonts w:hint="eastAsia" w:ascii="宋体" w:hAnsi="宋体" w:cs="宋体"/>
          <w:color w:val="auto"/>
          <w:szCs w:val="21"/>
          <w:highlight w:val="none"/>
        </w:rPr>
        <w:tab/>
      </w:r>
      <w:r>
        <w:rPr>
          <w:rFonts w:hint="eastAsia" w:ascii="宋体" w:hAnsi="宋体" w:cs="宋体"/>
          <w:color w:val="auto"/>
          <w:szCs w:val="21"/>
          <w:highlight w:val="none"/>
        </w:rPr>
        <w:t>中标通知书是合同的组成部分。</w:t>
      </w:r>
    </w:p>
    <w:p>
      <w:pPr>
        <w:spacing w:before="156" w:beforeLines="50" w:after="156" w:afterLines="50"/>
        <w:rPr>
          <w:rFonts w:hint="eastAsia" w:ascii="宋体" w:hAnsi="宋体" w:cs="宋体"/>
          <w:b/>
          <w:color w:val="auto"/>
          <w:szCs w:val="21"/>
          <w:highlight w:val="none"/>
        </w:rPr>
      </w:pPr>
      <w:bookmarkStart w:id="145" w:name="_Toc175062608"/>
      <w:bookmarkStart w:id="146" w:name="_Ref467307062"/>
      <w:bookmarkStart w:id="147" w:name="_Toc520356175"/>
      <w:bookmarkStart w:id="148" w:name="_Ref467306377"/>
      <w:bookmarkStart w:id="149" w:name="_Toc162062891"/>
      <w:bookmarkStart w:id="150" w:name="_Ref467306978"/>
      <w:bookmarkStart w:id="151" w:name="_Toc91319168"/>
      <w:bookmarkStart w:id="152" w:name="_Ref467307204"/>
      <w:r>
        <w:rPr>
          <w:rFonts w:hint="eastAsia" w:ascii="宋体" w:hAnsi="宋体" w:cs="宋体"/>
          <w:b/>
          <w:color w:val="auto"/>
          <w:szCs w:val="21"/>
          <w:highlight w:val="none"/>
        </w:rPr>
        <w:t>28.</w:t>
      </w:r>
      <w:r>
        <w:rPr>
          <w:rFonts w:hint="eastAsia" w:ascii="宋体" w:hAnsi="宋体" w:cs="宋体"/>
          <w:b/>
          <w:color w:val="auto"/>
          <w:szCs w:val="21"/>
          <w:highlight w:val="none"/>
        </w:rPr>
        <w:tab/>
      </w:r>
      <w:r>
        <w:rPr>
          <w:rFonts w:hint="eastAsia" w:ascii="宋体" w:hAnsi="宋体" w:cs="宋体"/>
          <w:b/>
          <w:color w:val="auto"/>
          <w:szCs w:val="21"/>
          <w:highlight w:val="none"/>
        </w:rPr>
        <w:t>签订合同</w:t>
      </w:r>
      <w:bookmarkEnd w:id="145"/>
      <w:bookmarkEnd w:id="146"/>
      <w:bookmarkEnd w:id="147"/>
      <w:bookmarkEnd w:id="148"/>
      <w:bookmarkEnd w:id="149"/>
      <w:bookmarkEnd w:id="150"/>
      <w:bookmarkEnd w:id="151"/>
      <w:bookmarkEnd w:id="152"/>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28.1</w:t>
      </w:r>
      <w:r>
        <w:rPr>
          <w:rFonts w:hint="eastAsia" w:ascii="宋体" w:hAnsi="宋体" w:cs="宋体"/>
          <w:color w:val="auto"/>
          <w:szCs w:val="21"/>
          <w:highlight w:val="none"/>
        </w:rPr>
        <w:tab/>
      </w:r>
      <w:r>
        <w:rPr>
          <w:rFonts w:hint="eastAsia" w:ascii="宋体" w:hAnsi="宋体" w:cs="宋体"/>
          <w:color w:val="auto"/>
          <w:szCs w:val="21"/>
          <w:highlight w:val="none"/>
        </w:rPr>
        <w:t>中标人应当自发出中标通知书之日起30日内，与买方签订合同，否则按开标后撤回投标处理。</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28.2</w:t>
      </w:r>
      <w:r>
        <w:rPr>
          <w:rFonts w:hint="eastAsia" w:ascii="宋体" w:hAnsi="宋体" w:cs="宋体"/>
          <w:color w:val="auto"/>
          <w:szCs w:val="21"/>
          <w:highlight w:val="none"/>
        </w:rPr>
        <w:tab/>
      </w:r>
      <w:r>
        <w:rPr>
          <w:rFonts w:hint="eastAsia" w:ascii="宋体" w:hAnsi="宋体" w:cs="宋体"/>
          <w:color w:val="auto"/>
          <w:szCs w:val="21"/>
          <w:highlight w:val="none"/>
        </w:rPr>
        <w:t>招标文件、中标人的投标文件及其澄清文件等， 均为签订合同的依据。</w:t>
      </w:r>
    </w:p>
    <w:p>
      <w:pPr>
        <w:spacing w:before="156" w:beforeLines="50" w:after="156" w:afterLines="50"/>
        <w:jc w:val="center"/>
        <w:rPr>
          <w:rFonts w:hint="eastAsia" w:ascii="宋体" w:hAnsi="宋体" w:cs="宋体"/>
          <w:b/>
          <w:color w:val="auto"/>
          <w:szCs w:val="21"/>
          <w:highlight w:val="none"/>
        </w:rPr>
      </w:pPr>
      <w:bookmarkStart w:id="153" w:name="_Toc162062893"/>
      <w:bookmarkStart w:id="154" w:name="_Toc91319170"/>
      <w:bookmarkStart w:id="155" w:name="_Toc175062610"/>
      <w:bookmarkStart w:id="156" w:name="_Toc520647611"/>
      <w:bookmarkStart w:id="157" w:name="_Toc520424502"/>
      <w:bookmarkStart w:id="158" w:name="_Toc518803443"/>
      <w:r>
        <w:rPr>
          <w:rFonts w:hint="eastAsia" w:ascii="宋体" w:hAnsi="宋体" w:cs="宋体"/>
          <w:b/>
          <w:color w:val="auto"/>
          <w:szCs w:val="21"/>
          <w:highlight w:val="none"/>
        </w:rPr>
        <w:t>七、中标服务费</w:t>
      </w:r>
      <w:bookmarkEnd w:id="153"/>
      <w:bookmarkEnd w:id="154"/>
      <w:bookmarkEnd w:id="155"/>
      <w:bookmarkEnd w:id="156"/>
      <w:bookmarkEnd w:id="157"/>
      <w:bookmarkEnd w:id="158"/>
    </w:p>
    <w:p>
      <w:pPr>
        <w:spacing w:before="156" w:beforeLines="50" w:after="156" w:afterLines="50"/>
        <w:rPr>
          <w:rFonts w:hint="eastAsia" w:ascii="宋体" w:hAnsi="宋体" w:cs="宋体"/>
          <w:b/>
          <w:color w:val="auto"/>
          <w:szCs w:val="21"/>
          <w:highlight w:val="none"/>
        </w:rPr>
      </w:pPr>
      <w:bookmarkStart w:id="159" w:name="_Ref467306463"/>
      <w:bookmarkStart w:id="160" w:name="_Toc520647612"/>
      <w:bookmarkStart w:id="161" w:name="_Toc520424503"/>
      <w:bookmarkStart w:id="162" w:name="_Toc518803444"/>
      <w:bookmarkStart w:id="163" w:name="_Toc175062611"/>
      <w:bookmarkStart w:id="164" w:name="_Toc162062894"/>
      <w:bookmarkStart w:id="165" w:name="_Toc91319171"/>
      <w:r>
        <w:rPr>
          <w:rFonts w:hint="eastAsia" w:ascii="宋体" w:hAnsi="宋体" w:cs="宋体"/>
          <w:b/>
          <w:color w:val="auto"/>
          <w:szCs w:val="21"/>
          <w:highlight w:val="none"/>
        </w:rPr>
        <w:t>29. 中标服务费</w:t>
      </w:r>
      <w:bookmarkEnd w:id="159"/>
      <w:bookmarkEnd w:id="160"/>
      <w:bookmarkEnd w:id="161"/>
      <w:bookmarkEnd w:id="162"/>
      <w:r>
        <w:rPr>
          <w:rFonts w:hint="eastAsia" w:ascii="宋体" w:hAnsi="宋体" w:cs="宋体"/>
          <w:b/>
          <w:color w:val="auto"/>
          <w:szCs w:val="21"/>
          <w:highlight w:val="none"/>
        </w:rPr>
        <w:t>的收取</w:t>
      </w:r>
      <w:bookmarkEnd w:id="163"/>
      <w:bookmarkEnd w:id="164"/>
      <w:bookmarkEnd w:id="165"/>
    </w:p>
    <w:p>
      <w:pPr>
        <w:ind w:left="619" w:hanging="619" w:hangingChars="295"/>
        <w:rPr>
          <w:rFonts w:hint="eastAsia" w:ascii="宋体" w:hAnsi="宋体" w:cs="宋体"/>
          <w:color w:val="auto"/>
          <w:szCs w:val="21"/>
          <w:highlight w:val="none"/>
        </w:rPr>
      </w:pPr>
      <w:bookmarkStart w:id="166" w:name="_Ref467307288"/>
      <w:r>
        <w:rPr>
          <w:rFonts w:hint="eastAsia" w:ascii="宋体" w:hAnsi="宋体" w:cs="宋体"/>
          <w:color w:val="auto"/>
          <w:szCs w:val="21"/>
          <w:highlight w:val="none"/>
        </w:rPr>
        <w:t>29.1</w:t>
      </w:r>
      <w:r>
        <w:rPr>
          <w:rFonts w:hint="eastAsia" w:ascii="宋体" w:hAnsi="宋体" w:cs="宋体"/>
          <w:color w:val="auto"/>
          <w:szCs w:val="21"/>
          <w:highlight w:val="none"/>
        </w:rPr>
        <w:tab/>
      </w:r>
      <w:bookmarkEnd w:id="166"/>
      <w:r>
        <w:rPr>
          <w:rFonts w:hint="eastAsia" w:ascii="宋体" w:hAnsi="宋体" w:cs="宋体"/>
          <w:color w:val="auto"/>
          <w:szCs w:val="21"/>
          <w:highlight w:val="none"/>
        </w:rPr>
        <w:t>中标人领取中标通知书时，招标代理机构将根据国家有关规定向中标人收取中标服务费，中标服务费中标服务费依据国家计委印发的 《招标代理服务收费管理暂行办法》（计价格[2002]1980号）和国家发展改革委员会印发的《国家发展改革委办公厅关于招标代理服务收费有关问题的通知》（发改办[2003]857号）的标准取费，由中标人支付。</w:t>
      </w:r>
    </w:p>
    <w:p>
      <w:pPr>
        <w:ind w:left="619" w:hanging="619" w:hangingChars="295"/>
        <w:rPr>
          <w:rFonts w:hint="eastAsia" w:ascii="宋体" w:hAnsi="宋体" w:cs="宋体"/>
          <w:color w:val="auto"/>
          <w:szCs w:val="21"/>
          <w:highlight w:val="none"/>
        </w:rPr>
      </w:pPr>
      <w:bookmarkStart w:id="167" w:name="_Ref467307311"/>
      <w:r>
        <w:rPr>
          <w:rFonts w:hint="eastAsia" w:ascii="宋体" w:hAnsi="宋体" w:cs="宋体"/>
          <w:color w:val="auto"/>
          <w:szCs w:val="21"/>
          <w:highlight w:val="none"/>
        </w:rPr>
        <w:t>29.2</w:t>
      </w:r>
      <w:bookmarkEnd w:id="167"/>
      <w:r>
        <w:rPr>
          <w:rFonts w:hint="eastAsia" w:ascii="宋体" w:hAnsi="宋体" w:cs="宋体"/>
          <w:color w:val="auto"/>
          <w:szCs w:val="21"/>
          <w:highlight w:val="none"/>
        </w:rPr>
        <w:tab/>
      </w:r>
      <w:r>
        <w:rPr>
          <w:rFonts w:hint="eastAsia" w:ascii="宋体" w:hAnsi="宋体" w:cs="宋体"/>
          <w:color w:val="auto"/>
          <w:szCs w:val="21"/>
          <w:highlight w:val="none"/>
        </w:rPr>
        <w:t>中标服务费将以现金、支票或汇票的方式进行收取。中标人如未按30.1条规定办理，招标采购单位将没收其投标保证金，并按照相关规定上报至有关部门。</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29.3  在投标时，投标人应提供中标服务费承诺书（承诺书格式见附件）。</w:t>
      </w:r>
    </w:p>
    <w:p>
      <w:pPr>
        <w:jc w:val="center"/>
        <w:rPr>
          <w:rFonts w:hint="eastAsia" w:ascii="宋体" w:hAnsi="宋体" w:cs="宋体"/>
          <w:color w:val="auto"/>
          <w:szCs w:val="21"/>
          <w:highlight w:val="none"/>
        </w:rPr>
      </w:pPr>
    </w:p>
    <w:p>
      <w:pPr>
        <w:jc w:val="center"/>
        <w:rPr>
          <w:rFonts w:hint="eastAsia" w:ascii="宋体" w:hAnsi="宋体" w:cs="宋体"/>
          <w:b/>
          <w:color w:val="auto"/>
          <w:szCs w:val="21"/>
          <w:highlight w:val="none"/>
        </w:rPr>
      </w:pPr>
      <w:r>
        <w:rPr>
          <w:rFonts w:hint="eastAsia" w:ascii="宋体" w:hAnsi="宋体" w:cs="宋体"/>
          <w:b/>
          <w:color w:val="auto"/>
          <w:szCs w:val="21"/>
          <w:highlight w:val="none"/>
        </w:rPr>
        <w:t>八、质疑</w:t>
      </w:r>
    </w:p>
    <w:p>
      <w:pPr>
        <w:rPr>
          <w:rFonts w:hint="eastAsia" w:ascii="宋体" w:hAnsi="宋体" w:cs="宋体"/>
          <w:b/>
          <w:color w:val="auto"/>
          <w:szCs w:val="21"/>
          <w:highlight w:val="none"/>
        </w:rPr>
      </w:pPr>
      <w:r>
        <w:rPr>
          <w:rFonts w:hint="eastAsia" w:ascii="宋体" w:hAnsi="宋体" w:cs="宋体"/>
          <w:b/>
          <w:color w:val="auto"/>
          <w:szCs w:val="21"/>
          <w:highlight w:val="none"/>
        </w:rPr>
        <w:t>30.质疑应当遵守如下条款：</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30.1质疑应当在供应商知道或应当知道自己的权益受到损害之日起七个工作日内以书面形式提出是指；</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（1）对采购文件提出质疑的，为收到采购文件之日或者采购文件公告期限届满之日；</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（2）对采购过程提出质疑的，为各采购程序环节结束之日；</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（3）对中标或者成交结果提出质疑的，为中标或者成交结果公告期限届满之日；</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（4）政府采购过程中除上述三项之外的其他事项。</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（5）供应商须在法定质疑期内一次性提出针对同一采购程序环节的质疑。</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 xml:space="preserve">（6）法律法规规定的其他条件。 </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30.2 投标人质疑、投诉应当有明确的请求和事实依据及法律依据；</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30.3书面质疑应当署名并当面递交，质疑供应商为法人或者其他组织的，应由法定代表人（其他组织的为主要负责人）或者经授权的投标代表签字并加盖公章；投标人为自然人的，应当在质疑书上签字并同时提供投标人身份证复印件；</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30.4投标人委托代理人办理质疑事务的，代理人应当同时提交供应商的授权委托书。</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30.5投标人如果在质疑过程中，有采取不正当手段诋毁、排挤其他投标人的情形的，提供虚假材料的，可能受到处以采购金额千分之五以上千分之十以下的罚款，列入不良行为记录名单，在一至三年内禁止参加政府采购活动等处罚，情节严重的，吊销营业执照，构成犯罪的，依法追究刑事责任。</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30.6如果投标人在政府采购活动中知其权益受到损害，持有疑义，应当向买方或中国远东国际招标有限公司新疆分公司提出询问或者质疑。联系电话：0991-3708098。</w:t>
      </w:r>
    </w:p>
    <w:p>
      <w:pPr>
        <w:ind w:left="619" w:hanging="619" w:hangingChars="295"/>
        <w:rPr>
          <w:rFonts w:hint="eastAsia" w:ascii="宋体" w:hAnsi="宋体" w:cs="宋体"/>
          <w:color w:val="auto"/>
          <w:szCs w:val="21"/>
          <w:highlight w:val="none"/>
        </w:rPr>
      </w:pPr>
      <w:r>
        <w:rPr>
          <w:rFonts w:hint="eastAsia" w:ascii="宋体" w:hAnsi="宋体" w:cs="宋体"/>
          <w:color w:val="auto"/>
          <w:szCs w:val="21"/>
          <w:highlight w:val="none"/>
        </w:rPr>
        <w:t>（1）买方或者采购代理机构应当在3个工作日内对投标人依法提出的询问作出答复。</w:t>
      </w:r>
    </w:p>
    <w:p>
      <w:pPr>
        <w:jc w:val="center"/>
        <w:rPr>
          <w:rFonts w:hint="eastAsia" w:ascii="宋体" w:hAnsi="宋体" w:cs="宋体"/>
          <w:color w:val="auto"/>
          <w:szCs w:val="21"/>
          <w:highlight w:val="none"/>
        </w:rPr>
        <w:sectPr>
          <w:pgSz w:w="11906" w:h="16838"/>
          <w:pgMar w:top="1440" w:right="1800" w:bottom="1440" w:left="1800" w:header="851" w:footer="992" w:gutter="0"/>
          <w:cols w:space="720" w:num="1"/>
          <w:docGrid w:type="lines" w:linePitch="312" w:charSpace="0"/>
        </w:sectPr>
      </w:pPr>
      <w:r>
        <w:rPr>
          <w:rFonts w:hint="eastAsia" w:ascii="宋体" w:hAnsi="宋体" w:cs="宋体"/>
          <w:color w:val="auto"/>
          <w:szCs w:val="21"/>
          <w:highlight w:val="none"/>
        </w:rPr>
        <w:t>（2）买方或者采购代理机构应当在7个工作日内对投标人依法提出的书面质疑作出答复。</w:t>
      </w:r>
    </w:p>
    <w:p>
      <w:pPr>
        <w:pStyle w:val="40"/>
        <w:spacing w:before="312" w:beforeLines="100" w:after="312" w:afterLines="100"/>
        <w:rPr>
          <w:rFonts w:hint="eastAsia" w:ascii="宋体" w:hAnsi="宋体" w:cs="宋体"/>
          <w:color w:val="auto"/>
          <w:szCs w:val="21"/>
          <w:highlight w:val="none"/>
        </w:rPr>
      </w:pPr>
      <w:bookmarkStart w:id="168" w:name="_Toc8310"/>
      <w:r>
        <w:rPr>
          <w:rFonts w:hint="eastAsia" w:ascii="宋体" w:hAnsi="宋体" w:cs="宋体"/>
          <w:color w:val="auto"/>
          <w:sz w:val="21"/>
          <w:szCs w:val="21"/>
          <w:highlight w:val="none"/>
        </w:rPr>
        <w:t>第三章 服务需求及技术</w:t>
      </w:r>
      <w:bookmarkEnd w:id="168"/>
      <w:r>
        <w:rPr>
          <w:rFonts w:hint="eastAsia" w:ascii="宋体" w:hAnsi="宋体" w:cs="宋体"/>
          <w:color w:val="auto"/>
          <w:sz w:val="21"/>
          <w:szCs w:val="21"/>
          <w:highlight w:val="none"/>
        </w:rPr>
        <w:t>规范</w:t>
      </w:r>
    </w:p>
    <w:p>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b w:val="0"/>
          <w:bCs/>
          <w:color w:val="auto"/>
          <w:sz w:val="21"/>
          <w:szCs w:val="21"/>
          <w:highlight w:val="none"/>
        </w:rPr>
      </w:pPr>
      <w:bookmarkStart w:id="169" w:name="_Toc19327"/>
      <w:r>
        <w:rPr>
          <w:rFonts w:hint="eastAsia" w:ascii="宋体" w:hAnsi="宋体"/>
          <w:b w:val="0"/>
          <w:bCs/>
          <w:color w:val="auto"/>
          <w:sz w:val="21"/>
          <w:szCs w:val="21"/>
          <w:highlight w:val="none"/>
        </w:rPr>
        <w:t>天山区公安分局车辆维修保养需求</w:t>
      </w:r>
      <w:bookmarkEnd w:id="169"/>
    </w:p>
    <w:tbl>
      <w:tblPr>
        <w:tblStyle w:val="44"/>
        <w:tblpPr w:leftFromText="180" w:rightFromText="180" w:vertAnchor="text" w:horzAnchor="page" w:tblpX="1393" w:tblpY="73"/>
        <w:tblOverlap w:val="never"/>
        <w:tblW w:w="5229" w:type="pct"/>
        <w:tblInd w:w="0" w:type="dxa"/>
        <w:tblLayout w:type="autofit"/>
        <w:tblCellMar>
          <w:top w:w="0" w:type="dxa"/>
          <w:left w:w="0" w:type="dxa"/>
          <w:bottom w:w="0" w:type="dxa"/>
          <w:right w:w="0" w:type="dxa"/>
        </w:tblCellMar>
      </w:tblPr>
      <w:tblGrid>
        <w:gridCol w:w="719"/>
        <w:gridCol w:w="4417"/>
        <w:gridCol w:w="973"/>
        <w:gridCol w:w="1141"/>
        <w:gridCol w:w="1468"/>
      </w:tblGrid>
      <w:tr>
        <w:tblPrEx>
          <w:tblCellMar>
            <w:top w:w="0" w:type="dxa"/>
            <w:left w:w="0" w:type="dxa"/>
            <w:bottom w:w="0" w:type="dxa"/>
            <w:right w:w="0" w:type="dxa"/>
          </w:tblCellMar>
        </w:tblPrEx>
        <w:trPr>
          <w:trHeight w:val="603" w:hRule="atLeast"/>
        </w:trPr>
        <w:tc>
          <w:tcPr>
            <w:tcW w:w="41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right="0"/>
              <w:jc w:val="center"/>
              <w:outlineLvl w:val="9"/>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序号</w:t>
            </w:r>
          </w:p>
        </w:tc>
        <w:tc>
          <w:tcPr>
            <w:tcW w:w="253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right="0"/>
              <w:jc w:val="center"/>
              <w:outlineLvl w:val="9"/>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标项名称</w:t>
            </w:r>
          </w:p>
        </w:tc>
        <w:tc>
          <w:tcPr>
            <w:tcW w:w="55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right="0"/>
              <w:jc w:val="center"/>
              <w:outlineLvl w:val="9"/>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数量</w:t>
            </w:r>
          </w:p>
        </w:tc>
        <w:tc>
          <w:tcPr>
            <w:tcW w:w="6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right="0"/>
              <w:jc w:val="center"/>
              <w:outlineLvl w:val="9"/>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单位</w:t>
            </w:r>
          </w:p>
        </w:tc>
        <w:tc>
          <w:tcPr>
            <w:tcW w:w="84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right="0"/>
              <w:jc w:val="center"/>
              <w:outlineLvl w:val="9"/>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预算金额（元）</w:t>
            </w:r>
          </w:p>
        </w:tc>
      </w:tr>
      <w:tr>
        <w:tblPrEx>
          <w:tblCellMar>
            <w:top w:w="0" w:type="dxa"/>
            <w:left w:w="0" w:type="dxa"/>
            <w:bottom w:w="0" w:type="dxa"/>
            <w:right w:w="0" w:type="dxa"/>
          </w:tblCellMar>
        </w:tblPrEx>
        <w:trPr>
          <w:trHeight w:val="675" w:hRule="atLeast"/>
        </w:trPr>
        <w:tc>
          <w:tcPr>
            <w:tcW w:w="41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right="0"/>
              <w:jc w:val="center"/>
              <w:outlineLvl w:val="9"/>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标项1</w:t>
            </w:r>
          </w:p>
        </w:tc>
        <w:tc>
          <w:tcPr>
            <w:tcW w:w="253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outlineLvl w:val="9"/>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选取一家大通牌、依维柯等柴油车型定点维修保养服务商</w:t>
            </w:r>
          </w:p>
        </w:tc>
        <w:tc>
          <w:tcPr>
            <w:tcW w:w="55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outlineLvl w:val="9"/>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81</w:t>
            </w:r>
          </w:p>
        </w:tc>
        <w:tc>
          <w:tcPr>
            <w:tcW w:w="6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outlineLvl w:val="9"/>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辆</w:t>
            </w:r>
          </w:p>
        </w:tc>
        <w:tc>
          <w:tcPr>
            <w:tcW w:w="84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21"/>
                <w:szCs w:val="21"/>
                <w:highlight w:val="none"/>
                <w:lang w:val="en-US"/>
              </w:rPr>
            </w:pPr>
            <w:r>
              <w:rPr>
                <w:rFonts w:hint="eastAsia" w:ascii="宋体" w:hAnsi="宋体" w:eastAsia="宋体" w:cs="宋体"/>
                <w:i w:val="0"/>
                <w:iCs w:val="0"/>
                <w:color w:val="auto"/>
                <w:kern w:val="0"/>
                <w:sz w:val="22"/>
                <w:szCs w:val="22"/>
                <w:highlight w:val="none"/>
                <w:u w:val="none"/>
                <w:lang w:val="en-US" w:eastAsia="zh-CN" w:bidi="ar"/>
              </w:rPr>
              <w:t>624300</w:t>
            </w:r>
          </w:p>
        </w:tc>
      </w:tr>
    </w:tbl>
    <w:p>
      <w:pPr>
        <w:keepNext w:val="0"/>
        <w:keepLines w:val="0"/>
        <w:pageBreakBefore w:val="0"/>
        <w:kinsoku/>
        <w:wordWrap/>
        <w:overflowPunct/>
        <w:topLinePunct w:val="0"/>
        <w:autoSpaceDE/>
        <w:autoSpaceDN/>
        <w:bidi w:val="0"/>
        <w:adjustRightInd/>
        <w:snapToGrid/>
        <w:spacing w:line="440" w:lineRule="exact"/>
        <w:outlineLvl w:val="9"/>
        <w:rPr>
          <w:rFonts w:hint="eastAsia" w:ascii="宋体" w:hAnsi="宋体"/>
          <w:b w:val="0"/>
          <w:bCs/>
          <w:color w:val="auto"/>
          <w:sz w:val="21"/>
          <w:szCs w:val="21"/>
          <w:highlight w:val="none"/>
        </w:rPr>
      </w:pPr>
      <w:bookmarkStart w:id="170" w:name="_Toc24093"/>
      <w:r>
        <w:rPr>
          <w:rFonts w:hint="eastAsia" w:ascii="宋体" w:hAnsi="宋体"/>
          <w:b w:val="0"/>
          <w:bCs/>
          <w:color w:val="auto"/>
          <w:sz w:val="21"/>
          <w:szCs w:val="21"/>
          <w:highlight w:val="none"/>
        </w:rPr>
        <w:t>一、企业要求及汽车维修类型；</w:t>
      </w:r>
      <w:bookmarkEnd w:id="170"/>
    </w:p>
    <w:p>
      <w:pPr>
        <w:keepNext w:val="0"/>
        <w:keepLines w:val="0"/>
        <w:pageBreakBefore w:val="0"/>
        <w:kinsoku/>
        <w:wordWrap/>
        <w:overflowPunct/>
        <w:topLinePunct w:val="0"/>
        <w:autoSpaceDE/>
        <w:autoSpaceDN/>
        <w:bidi w:val="0"/>
        <w:adjustRightInd/>
        <w:snapToGrid/>
        <w:spacing w:line="440" w:lineRule="exact"/>
        <w:ind w:firstLine="420" w:firstLineChars="200"/>
        <w:outlineLvl w:val="9"/>
        <w:rPr>
          <w:rFonts w:hint="eastAsia" w:ascii="宋体" w:hAnsi="宋体"/>
          <w:b w:val="0"/>
          <w:bCs/>
          <w:color w:val="auto"/>
          <w:sz w:val="21"/>
          <w:szCs w:val="21"/>
          <w:highlight w:val="none"/>
        </w:rPr>
      </w:pPr>
      <w:bookmarkStart w:id="171" w:name="_Toc12909"/>
      <w:r>
        <w:rPr>
          <w:rFonts w:hint="eastAsia" w:ascii="宋体" w:hAnsi="宋体"/>
          <w:b w:val="0"/>
          <w:bCs/>
          <w:color w:val="auto"/>
          <w:sz w:val="21"/>
          <w:szCs w:val="21"/>
          <w:highlight w:val="none"/>
        </w:rPr>
        <w:t>具备二类车辆维修资质的修理厂，能够提供上门维修及技术鉴定；提供郊区40公里以内免费拖车救援（每车每年6次）；维修经费实行一车一核算；车辆到位后安排绿色通道优先维修；提供维修配件为原厂纯正零配件；对配件及维修质量实施相应时间的质保；该店提供可享受的其它免费项目。</w:t>
      </w:r>
      <w:bookmarkEnd w:id="171"/>
    </w:p>
    <w:p>
      <w:pPr>
        <w:keepNext w:val="0"/>
        <w:keepLines w:val="0"/>
        <w:pageBreakBefore w:val="0"/>
        <w:kinsoku/>
        <w:wordWrap/>
        <w:overflowPunct/>
        <w:topLinePunct w:val="0"/>
        <w:autoSpaceDE/>
        <w:autoSpaceDN/>
        <w:bidi w:val="0"/>
        <w:adjustRightInd/>
        <w:snapToGrid/>
        <w:spacing w:line="440" w:lineRule="exact"/>
        <w:outlineLvl w:val="9"/>
        <w:rPr>
          <w:rFonts w:hint="eastAsia" w:ascii="宋体" w:hAnsi="宋体"/>
          <w:b w:val="0"/>
          <w:bCs/>
          <w:color w:val="auto"/>
          <w:sz w:val="21"/>
          <w:szCs w:val="21"/>
          <w:highlight w:val="none"/>
        </w:rPr>
      </w:pPr>
      <w:bookmarkStart w:id="172" w:name="_Toc31983"/>
      <w:r>
        <w:rPr>
          <w:rFonts w:hint="eastAsia" w:ascii="宋体" w:hAnsi="宋体"/>
          <w:b w:val="0"/>
          <w:bCs/>
          <w:color w:val="auto"/>
          <w:sz w:val="21"/>
          <w:szCs w:val="21"/>
          <w:highlight w:val="none"/>
        </w:rPr>
        <w:t>二、商务服务要求；</w:t>
      </w:r>
      <w:bookmarkEnd w:id="172"/>
    </w:p>
    <w:p>
      <w:pPr>
        <w:keepNext w:val="0"/>
        <w:keepLines w:val="0"/>
        <w:pageBreakBefore w:val="0"/>
        <w:kinsoku/>
        <w:wordWrap/>
        <w:overflowPunct/>
        <w:topLinePunct w:val="0"/>
        <w:autoSpaceDE/>
        <w:autoSpaceDN/>
        <w:bidi w:val="0"/>
        <w:adjustRightInd/>
        <w:snapToGrid/>
        <w:spacing w:line="440" w:lineRule="exact"/>
        <w:ind w:firstLine="420" w:firstLineChars="200"/>
        <w:outlineLvl w:val="9"/>
        <w:rPr>
          <w:rFonts w:hint="eastAsia" w:ascii="宋体" w:hAnsi="宋体"/>
          <w:b w:val="0"/>
          <w:bCs/>
          <w:color w:val="auto"/>
          <w:sz w:val="21"/>
          <w:szCs w:val="21"/>
          <w:highlight w:val="none"/>
        </w:rPr>
      </w:pPr>
      <w:bookmarkStart w:id="173" w:name="_Toc17221"/>
      <w:r>
        <w:rPr>
          <w:rFonts w:hint="eastAsia" w:ascii="宋体" w:hAnsi="宋体"/>
          <w:b w:val="0"/>
          <w:bCs/>
          <w:color w:val="auto"/>
          <w:sz w:val="21"/>
          <w:szCs w:val="21"/>
          <w:highlight w:val="none"/>
        </w:rPr>
        <w:t>1、热情承接区单位公务用车维修任务， 认真做到“ 四优”：时间优先、质量优先、服务优秀、价格优惠。</w:t>
      </w:r>
      <w:bookmarkEnd w:id="173"/>
    </w:p>
    <w:p>
      <w:pPr>
        <w:keepNext w:val="0"/>
        <w:keepLines w:val="0"/>
        <w:pageBreakBefore w:val="0"/>
        <w:kinsoku/>
        <w:wordWrap/>
        <w:overflowPunct/>
        <w:topLinePunct w:val="0"/>
        <w:autoSpaceDE/>
        <w:autoSpaceDN/>
        <w:bidi w:val="0"/>
        <w:adjustRightInd/>
        <w:snapToGrid/>
        <w:spacing w:line="440" w:lineRule="exact"/>
        <w:ind w:firstLine="420" w:firstLineChars="200"/>
        <w:outlineLvl w:val="9"/>
        <w:rPr>
          <w:rFonts w:hint="eastAsia" w:ascii="宋体" w:hAnsi="宋体"/>
          <w:b w:val="0"/>
          <w:bCs/>
          <w:color w:val="auto"/>
          <w:sz w:val="21"/>
          <w:szCs w:val="21"/>
          <w:highlight w:val="none"/>
        </w:rPr>
      </w:pPr>
      <w:bookmarkStart w:id="174" w:name="_Toc18976"/>
      <w:r>
        <w:rPr>
          <w:rFonts w:hint="eastAsia" w:ascii="宋体" w:hAnsi="宋体"/>
          <w:b w:val="0"/>
          <w:bCs/>
          <w:color w:val="auto"/>
          <w:sz w:val="21"/>
          <w:szCs w:val="21"/>
          <w:highlight w:val="none"/>
        </w:rPr>
        <w:t>2、平时车辆维修保养。招标人单位车辆前往修理厂维修保养时，享受优先待遇；需要时，必须派技术人员前往招标人单位现场维修、保养、鉴定，车辆在外出现故障时，市内1小时响应，2小时到位，立即派员抢修。</w:t>
      </w:r>
      <w:bookmarkEnd w:id="174"/>
    </w:p>
    <w:p>
      <w:pPr>
        <w:keepNext w:val="0"/>
        <w:keepLines w:val="0"/>
        <w:pageBreakBefore w:val="0"/>
        <w:kinsoku/>
        <w:wordWrap/>
        <w:overflowPunct/>
        <w:topLinePunct w:val="0"/>
        <w:autoSpaceDE/>
        <w:autoSpaceDN/>
        <w:bidi w:val="0"/>
        <w:adjustRightInd/>
        <w:snapToGrid/>
        <w:spacing w:line="440" w:lineRule="exact"/>
        <w:outlineLvl w:val="9"/>
        <w:rPr>
          <w:rFonts w:hint="eastAsia" w:ascii="宋体" w:hAnsi="宋体"/>
          <w:b w:val="0"/>
          <w:bCs/>
          <w:color w:val="auto"/>
          <w:sz w:val="21"/>
          <w:szCs w:val="21"/>
          <w:highlight w:val="none"/>
        </w:rPr>
      </w:pPr>
      <w:r>
        <w:rPr>
          <w:rFonts w:hint="eastAsia" w:ascii="宋体" w:hAnsi="宋体"/>
          <w:b w:val="0"/>
          <w:bCs/>
          <w:color w:val="auto"/>
          <w:sz w:val="21"/>
          <w:szCs w:val="21"/>
          <w:highlight w:val="none"/>
        </w:rPr>
        <w:t xml:space="preserve">     </w:t>
      </w:r>
      <w:bookmarkStart w:id="175" w:name="_Toc1452"/>
      <w:r>
        <w:rPr>
          <w:rFonts w:hint="eastAsia" w:ascii="宋体" w:hAnsi="宋体"/>
          <w:b w:val="0"/>
          <w:bCs/>
          <w:color w:val="auto"/>
          <w:sz w:val="21"/>
          <w:szCs w:val="21"/>
          <w:highlight w:val="none"/>
        </w:rPr>
        <w:t>3、车辆进行维修时，所用材料必须为正规厂家出厂的配件，如因使用材料不符合要求导致车辆损坏或不能正常使用的，一切后果由维修厂承担。</w:t>
      </w:r>
      <w:bookmarkEnd w:id="175"/>
    </w:p>
    <w:p>
      <w:pPr>
        <w:keepNext w:val="0"/>
        <w:keepLines w:val="0"/>
        <w:pageBreakBefore w:val="0"/>
        <w:kinsoku/>
        <w:wordWrap/>
        <w:overflowPunct/>
        <w:topLinePunct w:val="0"/>
        <w:autoSpaceDE/>
        <w:autoSpaceDN/>
        <w:bidi w:val="0"/>
        <w:adjustRightInd/>
        <w:snapToGrid/>
        <w:spacing w:line="440" w:lineRule="exact"/>
        <w:ind w:firstLine="420" w:firstLineChars="200"/>
        <w:outlineLvl w:val="9"/>
        <w:rPr>
          <w:rFonts w:hint="eastAsia" w:ascii="宋体" w:hAnsi="宋体"/>
          <w:b w:val="0"/>
          <w:bCs/>
          <w:color w:val="auto"/>
          <w:sz w:val="21"/>
          <w:szCs w:val="21"/>
          <w:highlight w:val="none"/>
        </w:rPr>
      </w:pPr>
      <w:bookmarkStart w:id="176" w:name="_Toc2465"/>
      <w:r>
        <w:rPr>
          <w:rFonts w:hint="eastAsia" w:ascii="宋体" w:hAnsi="宋体"/>
          <w:b w:val="0"/>
          <w:bCs/>
          <w:color w:val="auto"/>
          <w:sz w:val="21"/>
          <w:szCs w:val="21"/>
          <w:highlight w:val="none"/>
        </w:rPr>
        <w:t>4、维修更换下来的旧件要退还修车单位，并在维修单上认真填写车辆维修的具体部位和消耗材料、部件及计价情况（表述为标准的名称）， 注明优惠事宜。严格执行汽车维修技术控验制度，车辆返修率要控制在 2%以内。易损件1个月内包修包换；部件3个月，总成半年以上。</w:t>
      </w:r>
      <w:bookmarkEnd w:id="176"/>
    </w:p>
    <w:p>
      <w:pPr>
        <w:keepNext w:val="0"/>
        <w:keepLines w:val="0"/>
        <w:pageBreakBefore w:val="0"/>
        <w:kinsoku/>
        <w:wordWrap/>
        <w:overflowPunct/>
        <w:topLinePunct w:val="0"/>
        <w:autoSpaceDE/>
        <w:autoSpaceDN/>
        <w:bidi w:val="0"/>
        <w:adjustRightInd/>
        <w:snapToGrid/>
        <w:spacing w:line="440" w:lineRule="exact"/>
        <w:outlineLvl w:val="9"/>
        <w:rPr>
          <w:rFonts w:hint="eastAsia" w:ascii="宋体" w:hAnsi="宋体"/>
          <w:b w:val="0"/>
          <w:bCs/>
          <w:color w:val="auto"/>
          <w:sz w:val="21"/>
          <w:szCs w:val="21"/>
          <w:highlight w:val="none"/>
        </w:rPr>
      </w:pPr>
      <w:r>
        <w:rPr>
          <w:rFonts w:hint="eastAsia" w:ascii="宋体" w:hAnsi="宋体"/>
          <w:b w:val="0"/>
          <w:bCs/>
          <w:color w:val="auto"/>
          <w:sz w:val="21"/>
          <w:szCs w:val="21"/>
          <w:highlight w:val="none"/>
        </w:rPr>
        <w:t xml:space="preserve">    </w:t>
      </w:r>
      <w:bookmarkStart w:id="177" w:name="_Toc9510"/>
      <w:r>
        <w:rPr>
          <w:rFonts w:hint="eastAsia" w:ascii="宋体" w:hAnsi="宋体"/>
          <w:b w:val="0"/>
          <w:bCs/>
          <w:color w:val="auto"/>
          <w:sz w:val="21"/>
          <w:szCs w:val="21"/>
          <w:highlight w:val="none"/>
        </w:rPr>
        <w:t>5、车辆进行维修后，如在维修保质期内出现同样的故障，维修厂将无偿进行更换维修。</w:t>
      </w:r>
      <w:bookmarkEnd w:id="177"/>
    </w:p>
    <w:p>
      <w:pPr>
        <w:keepNext w:val="0"/>
        <w:keepLines w:val="0"/>
        <w:pageBreakBefore w:val="0"/>
        <w:kinsoku/>
        <w:wordWrap/>
        <w:overflowPunct/>
        <w:topLinePunct w:val="0"/>
        <w:autoSpaceDE/>
        <w:autoSpaceDN/>
        <w:bidi w:val="0"/>
        <w:adjustRightInd/>
        <w:snapToGrid/>
        <w:spacing w:line="440" w:lineRule="exact"/>
        <w:ind w:firstLine="420" w:firstLineChars="200"/>
        <w:outlineLvl w:val="9"/>
        <w:rPr>
          <w:rFonts w:hint="eastAsia" w:ascii="宋体" w:hAnsi="宋体"/>
          <w:b w:val="0"/>
          <w:bCs/>
          <w:color w:val="auto"/>
          <w:sz w:val="21"/>
          <w:szCs w:val="21"/>
          <w:highlight w:val="none"/>
        </w:rPr>
      </w:pPr>
      <w:bookmarkStart w:id="178" w:name="_Toc15066"/>
      <w:r>
        <w:rPr>
          <w:rFonts w:hint="eastAsia" w:ascii="宋体" w:hAnsi="宋体"/>
          <w:b w:val="0"/>
          <w:bCs/>
          <w:color w:val="auto"/>
          <w:sz w:val="21"/>
          <w:szCs w:val="21"/>
          <w:highlight w:val="none"/>
        </w:rPr>
        <w:t>6、提供24小时紧急救援服务，并提供每辆车每年免费救援不少于6次，在接到送修方报修电话后2小时内予以响应。</w:t>
      </w:r>
      <w:bookmarkEnd w:id="178"/>
    </w:p>
    <w:p>
      <w:pPr>
        <w:keepNext w:val="0"/>
        <w:keepLines w:val="0"/>
        <w:pageBreakBefore w:val="0"/>
        <w:kinsoku/>
        <w:wordWrap/>
        <w:overflowPunct/>
        <w:topLinePunct w:val="0"/>
        <w:autoSpaceDE/>
        <w:autoSpaceDN/>
        <w:bidi w:val="0"/>
        <w:adjustRightInd/>
        <w:snapToGrid/>
        <w:spacing w:line="440" w:lineRule="exact"/>
        <w:ind w:firstLine="420" w:firstLineChars="200"/>
        <w:outlineLvl w:val="9"/>
        <w:rPr>
          <w:rFonts w:hint="eastAsia" w:ascii="宋体" w:hAnsi="宋体"/>
          <w:b w:val="0"/>
          <w:bCs/>
          <w:color w:val="auto"/>
          <w:sz w:val="21"/>
          <w:szCs w:val="21"/>
          <w:highlight w:val="none"/>
        </w:rPr>
      </w:pPr>
      <w:bookmarkStart w:id="179" w:name="_Toc26025"/>
      <w:r>
        <w:rPr>
          <w:rFonts w:hint="eastAsia" w:ascii="宋体" w:hAnsi="宋体"/>
          <w:b w:val="0"/>
          <w:bCs/>
          <w:color w:val="auto"/>
          <w:sz w:val="21"/>
          <w:szCs w:val="21"/>
          <w:highlight w:val="none"/>
        </w:rPr>
        <w:t>7、建立汽车维修档案，认真记录车辆维修情况。维修车辆进厂维修，详细登录进厂时间，车辆所在单位，车辆车型，车牌号，车辆装备等，并有双方经手人员共同签字，办理车辆移交手续。认真做好进出厂检验，检验合格后做好移交登记手续，严把进厂检验、过程检验、出厂检验，确保所修车辆故障返修率在 2%以下。检验严格按照《汽车维护检测诊断技术规范》《营运车辆综合性能要求和检验方法》《车辆运行安全技术条件》规定标准执行。</w:t>
      </w:r>
      <w:bookmarkEnd w:id="179"/>
    </w:p>
    <w:p>
      <w:pPr>
        <w:keepNext w:val="0"/>
        <w:keepLines w:val="0"/>
        <w:pageBreakBefore w:val="0"/>
        <w:kinsoku/>
        <w:wordWrap/>
        <w:overflowPunct/>
        <w:topLinePunct w:val="0"/>
        <w:autoSpaceDE/>
        <w:autoSpaceDN/>
        <w:bidi w:val="0"/>
        <w:adjustRightInd/>
        <w:snapToGrid/>
        <w:spacing w:line="440" w:lineRule="exact"/>
        <w:outlineLvl w:val="9"/>
        <w:rPr>
          <w:rFonts w:hint="eastAsia" w:ascii="宋体" w:hAnsi="宋体"/>
          <w:b w:val="0"/>
          <w:bCs/>
          <w:color w:val="auto"/>
          <w:sz w:val="21"/>
          <w:szCs w:val="21"/>
          <w:highlight w:val="none"/>
        </w:rPr>
      </w:pPr>
      <w:bookmarkStart w:id="180" w:name="_Toc29544"/>
      <w:r>
        <w:rPr>
          <w:rFonts w:hint="eastAsia" w:ascii="宋体" w:hAnsi="宋体"/>
          <w:b w:val="0"/>
          <w:bCs/>
          <w:color w:val="auto"/>
          <w:sz w:val="21"/>
          <w:szCs w:val="21"/>
          <w:highlight w:val="none"/>
        </w:rPr>
        <w:t>三、企业选定数量及及服务周期</w:t>
      </w:r>
      <w:bookmarkEnd w:id="180"/>
    </w:p>
    <w:p>
      <w:pPr>
        <w:keepNext w:val="0"/>
        <w:keepLines w:val="0"/>
        <w:pageBreakBefore w:val="0"/>
        <w:kinsoku/>
        <w:wordWrap/>
        <w:overflowPunct/>
        <w:topLinePunct w:val="0"/>
        <w:autoSpaceDE/>
        <w:autoSpaceDN/>
        <w:bidi w:val="0"/>
        <w:adjustRightInd/>
        <w:snapToGrid/>
        <w:spacing w:line="440" w:lineRule="exact"/>
        <w:ind w:firstLine="420" w:firstLineChars="200"/>
        <w:outlineLvl w:val="9"/>
        <w:rPr>
          <w:rFonts w:hint="eastAsia" w:ascii="宋体" w:hAnsi="宋体"/>
          <w:b w:val="0"/>
          <w:bCs/>
          <w:color w:val="auto"/>
          <w:sz w:val="21"/>
          <w:szCs w:val="21"/>
          <w:highlight w:val="none"/>
        </w:rPr>
      </w:pPr>
      <w:bookmarkStart w:id="181" w:name="_Toc27092"/>
      <w:r>
        <w:rPr>
          <w:rFonts w:hint="eastAsia" w:ascii="宋体" w:hAnsi="宋体"/>
          <w:b w:val="0"/>
          <w:bCs/>
          <w:color w:val="auto"/>
          <w:sz w:val="21"/>
          <w:szCs w:val="21"/>
          <w:highlight w:val="none"/>
          <w:lang w:eastAsia="zh-CN"/>
        </w:rPr>
        <w:t>每包选取一家定点维修保养服务商。</w:t>
      </w:r>
      <w:r>
        <w:rPr>
          <w:rFonts w:hint="eastAsia" w:ascii="宋体" w:hAnsi="宋体"/>
          <w:b w:val="0"/>
          <w:bCs/>
          <w:color w:val="auto"/>
          <w:sz w:val="21"/>
          <w:szCs w:val="21"/>
          <w:highlight w:val="none"/>
        </w:rPr>
        <w:t>（开瑞优优车型178辆，大通牌、依维柯等柴油车型81辆，一般通用轿车越野车型366辆），参与天山区公安分局公务用车定点修理及保养，维修期为1年。</w:t>
      </w:r>
      <w:bookmarkEnd w:id="181"/>
    </w:p>
    <w:p>
      <w:pPr>
        <w:keepNext w:val="0"/>
        <w:keepLines w:val="0"/>
        <w:pageBreakBefore w:val="0"/>
        <w:kinsoku/>
        <w:wordWrap/>
        <w:overflowPunct/>
        <w:topLinePunct w:val="0"/>
        <w:autoSpaceDE/>
        <w:autoSpaceDN/>
        <w:bidi w:val="0"/>
        <w:adjustRightInd/>
        <w:snapToGrid/>
        <w:spacing w:line="440" w:lineRule="exact"/>
        <w:ind w:firstLine="480" w:firstLineChars="200"/>
        <w:outlineLvl w:val="9"/>
        <w:rPr>
          <w:rFonts w:hint="default" w:ascii="宋体" w:hAnsi="宋体" w:eastAsia="宋体" w:cs="Times New Roman"/>
          <w:b w:val="0"/>
          <w:bCs/>
          <w:color w:val="auto"/>
          <w:sz w:val="24"/>
          <w:szCs w:val="24"/>
          <w:highlight w:val="none"/>
          <w:lang w:val="en-US" w:eastAsia="zh-CN"/>
        </w:rPr>
      </w:pPr>
    </w:p>
    <w:p>
      <w:pPr>
        <w:pStyle w:val="2"/>
        <w:rPr>
          <w:rFonts w:hint="eastAsia"/>
          <w:color w:val="auto"/>
          <w:highlight w:val="none"/>
          <w:lang w:val="en-US" w:eastAsia="zh-CN"/>
        </w:rPr>
      </w:pPr>
    </w:p>
    <w:p>
      <w:pPr>
        <w:spacing w:line="360" w:lineRule="auto"/>
        <w:ind w:right="560"/>
        <w:rPr>
          <w:rFonts w:hint="eastAsia" w:ascii="宋体" w:hAnsi="宋体"/>
          <w:color w:val="auto"/>
          <w:sz w:val="24"/>
          <w:highlight w:val="none"/>
        </w:rPr>
      </w:pPr>
    </w:p>
    <w:p>
      <w:pPr>
        <w:spacing w:line="360" w:lineRule="auto"/>
        <w:jc w:val="left"/>
        <w:rPr>
          <w:rFonts w:hint="eastAsia" w:ascii="宋体" w:hAnsi="宋体" w:cs="宋体"/>
          <w:b/>
          <w:color w:val="auto"/>
          <w:sz w:val="22"/>
          <w:szCs w:val="22"/>
          <w:highlight w:val="none"/>
        </w:rPr>
      </w:pPr>
    </w:p>
    <w:p>
      <w:pPr>
        <w:spacing w:line="360" w:lineRule="auto"/>
        <w:jc w:val="left"/>
        <w:rPr>
          <w:rFonts w:hint="eastAsia" w:ascii="宋体" w:hAnsi="宋体" w:cs="宋体"/>
          <w:b/>
          <w:color w:val="auto"/>
          <w:szCs w:val="21"/>
          <w:highlight w:val="none"/>
        </w:rPr>
      </w:pPr>
    </w:p>
    <w:p>
      <w:pPr>
        <w:spacing w:line="360" w:lineRule="auto"/>
        <w:jc w:val="left"/>
        <w:rPr>
          <w:rFonts w:hint="eastAsia" w:ascii="宋体" w:hAnsi="宋体" w:cs="宋体"/>
          <w:b/>
          <w:color w:val="auto"/>
          <w:szCs w:val="21"/>
          <w:highlight w:val="none"/>
        </w:rPr>
      </w:pPr>
    </w:p>
    <w:p>
      <w:pPr>
        <w:spacing w:line="360" w:lineRule="auto"/>
        <w:rPr>
          <w:rFonts w:hint="eastAsia" w:ascii="宋体" w:hAnsi="宋体" w:cs="宋体"/>
          <w:color w:val="auto"/>
          <w:szCs w:val="21"/>
          <w:highlight w:val="none"/>
          <w:lang w:bidi="ar"/>
        </w:rPr>
      </w:pPr>
    </w:p>
    <w:p>
      <w:pPr>
        <w:spacing w:line="360" w:lineRule="auto"/>
        <w:rPr>
          <w:rFonts w:hint="eastAsia" w:ascii="宋体" w:hAnsi="宋体" w:cs="宋体"/>
          <w:color w:val="auto"/>
          <w:szCs w:val="21"/>
          <w:highlight w:val="none"/>
          <w:lang w:bidi="ar"/>
        </w:rPr>
      </w:pPr>
    </w:p>
    <w:p>
      <w:pPr>
        <w:spacing w:line="360" w:lineRule="auto"/>
        <w:rPr>
          <w:rFonts w:hint="eastAsia" w:ascii="宋体" w:hAnsi="宋体" w:cs="宋体"/>
          <w:bCs/>
          <w:color w:val="auto"/>
          <w:szCs w:val="21"/>
          <w:highlight w:val="none"/>
        </w:rPr>
      </w:pPr>
    </w:p>
    <w:p>
      <w:pPr>
        <w:pStyle w:val="2"/>
        <w:rPr>
          <w:rFonts w:hint="eastAsia"/>
          <w:color w:val="auto"/>
          <w:highlight w:val="none"/>
        </w:rPr>
      </w:pPr>
    </w:p>
    <w:p>
      <w:pPr>
        <w:pStyle w:val="40"/>
        <w:spacing w:before="312" w:beforeLines="100" w:after="312" w:afterLines="100"/>
        <w:rPr>
          <w:rFonts w:hint="eastAsia" w:ascii="宋体" w:hAnsi="宋体" w:cs="宋体"/>
          <w:color w:val="auto"/>
          <w:sz w:val="21"/>
          <w:szCs w:val="21"/>
          <w:highlight w:val="none"/>
        </w:rPr>
      </w:pPr>
      <w:bookmarkStart w:id="182" w:name="_Toc29040"/>
      <w:r>
        <w:rPr>
          <w:rFonts w:ascii="宋体" w:hAnsi="宋体" w:cs="宋体"/>
          <w:color w:val="auto"/>
          <w:sz w:val="21"/>
          <w:szCs w:val="21"/>
          <w:highlight w:val="none"/>
        </w:rPr>
        <w:br w:type="page"/>
      </w:r>
      <w:r>
        <w:rPr>
          <w:rFonts w:hint="eastAsia" w:ascii="宋体" w:hAnsi="宋体" w:cs="宋体"/>
          <w:color w:val="auto"/>
          <w:sz w:val="28"/>
          <w:szCs w:val="28"/>
          <w:highlight w:val="none"/>
        </w:rPr>
        <w:t>第四章 采购合同格式</w:t>
      </w:r>
      <w:bookmarkEnd w:id="182"/>
    </w:p>
    <w:p>
      <w:pPr>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（最终以实际签订合同为准）</w:t>
      </w:r>
    </w:p>
    <w:p>
      <w:pPr>
        <w:spacing w:line="400" w:lineRule="exact"/>
        <w:jc w:val="center"/>
        <w:rPr>
          <w:rFonts w:hint="eastAsia" w:ascii="宋体" w:hAnsi="宋体"/>
          <w:b/>
          <w:bCs/>
          <w:color w:val="auto"/>
          <w:sz w:val="24"/>
          <w:szCs w:val="24"/>
          <w:highlight w:val="none"/>
        </w:rPr>
      </w:pPr>
      <w:bookmarkStart w:id="183" w:name="_Toc7283"/>
      <w:r>
        <w:rPr>
          <w:rFonts w:hint="eastAsia" w:ascii="宋体" w:hAnsi="宋体"/>
          <w:b/>
          <w:bCs/>
          <w:color w:val="auto"/>
          <w:sz w:val="24"/>
          <w:szCs w:val="24"/>
          <w:highlight w:val="none"/>
        </w:rPr>
        <w:t>车辆定点维修服务合同</w:t>
      </w:r>
    </w:p>
    <w:p>
      <w:pPr>
        <w:spacing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w:t>
      </w:r>
      <w:r>
        <w:rPr>
          <w:rFonts w:hint="eastAsia" w:ascii="宋体" w:hAnsi="宋体"/>
          <w:color w:val="auto"/>
          <w:sz w:val="21"/>
          <w:szCs w:val="21"/>
          <w:highlight w:val="none"/>
        </w:rPr>
        <w:t>本格式条款仅作为双方签订合同时的参考</w:t>
      </w:r>
      <w:r>
        <w:rPr>
          <w:rFonts w:hint="eastAsia" w:ascii="宋体" w:hAnsi="宋体"/>
          <w:bCs/>
          <w:color w:val="auto"/>
          <w:sz w:val="21"/>
          <w:szCs w:val="21"/>
          <w:highlight w:val="none"/>
        </w:rPr>
        <w:t>）</w:t>
      </w:r>
    </w:p>
    <w:p>
      <w:pPr>
        <w:spacing w:line="440" w:lineRule="exact"/>
        <w:rPr>
          <w:rFonts w:hint="eastAsia" w:ascii="宋体" w:hAnsi="宋体"/>
          <w:color w:val="auto"/>
          <w:sz w:val="21"/>
          <w:szCs w:val="21"/>
          <w:highlight w:val="none"/>
        </w:rPr>
      </w:pPr>
      <w:r>
        <w:rPr>
          <w:rFonts w:hint="eastAsia" w:ascii="宋体" w:hAnsi="宋体"/>
          <w:color w:val="auto"/>
          <w:sz w:val="21"/>
          <w:szCs w:val="21"/>
          <w:highlight w:val="none"/>
        </w:rPr>
        <w:t>甲方：</w:t>
      </w:r>
    </w:p>
    <w:p>
      <w:pPr>
        <w:spacing w:line="440" w:lineRule="exact"/>
        <w:rPr>
          <w:rFonts w:hint="eastAsia" w:ascii="宋体" w:hAnsi="宋体"/>
          <w:color w:val="auto"/>
          <w:sz w:val="21"/>
          <w:szCs w:val="21"/>
          <w:highlight w:val="none"/>
        </w:rPr>
      </w:pPr>
      <w:r>
        <w:rPr>
          <w:rFonts w:hint="eastAsia" w:ascii="宋体" w:hAnsi="宋体"/>
          <w:color w:val="auto"/>
          <w:sz w:val="21"/>
          <w:szCs w:val="21"/>
          <w:highlight w:val="none"/>
        </w:rPr>
        <w:t>乙方：（定点维修机构）</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甲方与乙方根据“</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定点维修”项目的招标结果和招投标文件(招标编号:</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)的内容，签订以下车辆维修服务合同：</w:t>
      </w:r>
    </w:p>
    <w:p>
      <w:pPr>
        <w:numPr>
          <w:ilvl w:val="0"/>
          <w:numId w:val="4"/>
        </w:numPr>
        <w:tabs>
          <w:tab w:val="left" w:pos="180"/>
          <w:tab w:val="left" w:pos="540"/>
          <w:tab w:val="left" w:pos="900"/>
          <w:tab w:val="left" w:pos="1080"/>
          <w:tab w:val="clear" w:pos="420"/>
        </w:tabs>
        <w:spacing w:line="440" w:lineRule="exact"/>
        <w:ind w:left="0" w:firstLine="472" w:firstLineChars="224"/>
        <w:rPr>
          <w:rFonts w:hint="eastAsia" w:ascii="宋体" w:hAnsi="宋体"/>
          <w:b/>
          <w:color w:val="auto"/>
          <w:sz w:val="21"/>
          <w:szCs w:val="21"/>
          <w:highlight w:val="none"/>
        </w:rPr>
      </w:pPr>
      <w:r>
        <w:rPr>
          <w:rFonts w:hint="eastAsia" w:ascii="宋体" w:hAnsi="宋体"/>
          <w:b/>
          <w:color w:val="auto"/>
          <w:sz w:val="21"/>
          <w:szCs w:val="21"/>
          <w:highlight w:val="none"/>
        </w:rPr>
        <w:t>乙方在本招标项目中中标，获得本期定点维修资格，可维修车辆的品牌和车型是：</w:t>
      </w:r>
      <w:r>
        <w:rPr>
          <w:rFonts w:hint="eastAsia" w:ascii="宋体" w:hAnsi="宋体"/>
          <w:b/>
          <w:color w:val="auto"/>
          <w:sz w:val="21"/>
          <w:szCs w:val="21"/>
          <w:highlight w:val="none"/>
          <w:u w:val="single"/>
          <w:lang w:val="en-US" w:eastAsia="zh-CN"/>
        </w:rPr>
        <w:t xml:space="preserve"> </w:t>
      </w:r>
    </w:p>
    <w:p>
      <w:pPr>
        <w:numPr>
          <w:ilvl w:val="0"/>
          <w:numId w:val="0"/>
        </w:numPr>
        <w:tabs>
          <w:tab w:val="left" w:pos="180"/>
          <w:tab w:val="left" w:pos="540"/>
          <w:tab w:val="left" w:pos="900"/>
          <w:tab w:val="left" w:pos="1080"/>
        </w:tabs>
        <w:spacing w:line="440" w:lineRule="exact"/>
        <w:ind w:leftChars="224"/>
        <w:rPr>
          <w:rFonts w:hint="eastAsia" w:ascii="宋体" w:hAnsi="宋体"/>
          <w:b/>
          <w:color w:val="auto"/>
          <w:sz w:val="21"/>
          <w:szCs w:val="21"/>
          <w:highlight w:val="none"/>
        </w:rPr>
      </w:pPr>
      <w:r>
        <w:rPr>
          <w:rFonts w:hint="eastAsia" w:ascii="宋体" w:hAnsi="宋体"/>
          <w:b/>
          <w:color w:val="auto"/>
          <w:sz w:val="21"/>
          <w:szCs w:val="21"/>
          <w:highlight w:val="none"/>
          <w:u w:val="single"/>
          <w:lang w:val="en-US" w:eastAsia="zh-CN"/>
        </w:rPr>
        <w:t xml:space="preserve">                  </w:t>
      </w:r>
      <w:r>
        <w:rPr>
          <w:rFonts w:hint="eastAsia" w:ascii="宋体" w:hAnsi="宋体"/>
          <w:b/>
          <w:color w:val="auto"/>
          <w:sz w:val="21"/>
          <w:szCs w:val="21"/>
          <w:highlight w:val="none"/>
          <w:lang w:val="en-US" w:eastAsia="zh-CN"/>
        </w:rPr>
        <w:t>合同总金额：</w:t>
      </w:r>
      <w:r>
        <w:rPr>
          <w:rFonts w:hint="eastAsia" w:ascii="宋体" w:hAnsi="宋体"/>
          <w:b/>
          <w:color w:val="auto"/>
          <w:sz w:val="21"/>
          <w:szCs w:val="21"/>
          <w:highlight w:val="none"/>
          <w:u w:val="single"/>
        </w:rPr>
        <w:t xml:space="preserve">                  </w:t>
      </w:r>
      <w:r>
        <w:rPr>
          <w:rFonts w:hint="eastAsia" w:ascii="宋体" w:hAnsi="宋体"/>
          <w:b/>
          <w:color w:val="auto"/>
          <w:sz w:val="21"/>
          <w:szCs w:val="21"/>
          <w:highlight w:val="none"/>
          <w:u w:val="single"/>
          <w:lang w:eastAsia="zh-CN"/>
        </w:rPr>
        <w:t>。</w:t>
      </w:r>
      <w:r>
        <w:rPr>
          <w:rFonts w:hint="eastAsia" w:ascii="宋体" w:hAnsi="宋体"/>
          <w:b/>
          <w:color w:val="auto"/>
          <w:sz w:val="21"/>
          <w:szCs w:val="21"/>
          <w:highlight w:val="none"/>
          <w:u w:val="none"/>
        </w:rPr>
        <w:t xml:space="preserve">                                              </w:t>
      </w:r>
      <w:r>
        <w:rPr>
          <w:rFonts w:hint="eastAsia" w:ascii="宋体" w:hAnsi="宋体"/>
          <w:b/>
          <w:color w:val="auto"/>
          <w:sz w:val="21"/>
          <w:szCs w:val="21"/>
          <w:highlight w:val="none"/>
          <w:u w:val="single"/>
        </w:rPr>
        <w:t xml:space="preserve">         </w:t>
      </w:r>
    </w:p>
    <w:p>
      <w:pPr>
        <w:numPr>
          <w:ilvl w:val="0"/>
          <w:numId w:val="4"/>
        </w:numPr>
        <w:tabs>
          <w:tab w:val="left" w:pos="180"/>
          <w:tab w:val="left" w:pos="900"/>
          <w:tab w:val="left" w:pos="1080"/>
          <w:tab w:val="clear" w:pos="420"/>
        </w:tabs>
        <w:spacing w:line="440" w:lineRule="exact"/>
        <w:ind w:left="0" w:firstLine="472" w:firstLineChars="224"/>
        <w:rPr>
          <w:rFonts w:hint="eastAsia" w:ascii="宋体" w:hAnsi="宋体"/>
          <w:color w:val="auto"/>
          <w:sz w:val="21"/>
          <w:szCs w:val="21"/>
          <w:highlight w:val="none"/>
        </w:rPr>
      </w:pPr>
      <w:r>
        <w:rPr>
          <w:rFonts w:hint="eastAsia" w:ascii="宋体" w:hAnsi="宋体"/>
          <w:b/>
          <w:color w:val="auto"/>
          <w:sz w:val="21"/>
          <w:szCs w:val="21"/>
          <w:highlight w:val="none"/>
        </w:rPr>
        <w:t>车辆维修服务项目：</w:t>
      </w:r>
      <w:r>
        <w:rPr>
          <w:rFonts w:hint="eastAsia" w:ascii="宋体" w:hAnsi="宋体"/>
          <w:color w:val="auto"/>
          <w:sz w:val="21"/>
          <w:szCs w:val="21"/>
          <w:highlight w:val="none"/>
        </w:rPr>
        <w:t>包括整车修理、总成修理、整车各级维护、小修、维修救援和专项修理工作（不包含车辆装潢）。</w:t>
      </w:r>
    </w:p>
    <w:p>
      <w:pPr>
        <w:numPr>
          <w:ilvl w:val="0"/>
          <w:numId w:val="4"/>
        </w:numPr>
        <w:tabs>
          <w:tab w:val="left" w:pos="180"/>
          <w:tab w:val="left" w:pos="900"/>
          <w:tab w:val="left" w:pos="1080"/>
          <w:tab w:val="clear" w:pos="420"/>
        </w:tabs>
        <w:spacing w:line="440" w:lineRule="exact"/>
        <w:ind w:left="0" w:firstLine="472" w:firstLineChars="224"/>
        <w:rPr>
          <w:rFonts w:hint="eastAsia" w:ascii="宋体" w:hAnsi="宋体"/>
          <w:b/>
          <w:color w:val="auto"/>
          <w:sz w:val="21"/>
          <w:szCs w:val="21"/>
          <w:highlight w:val="none"/>
        </w:rPr>
      </w:pPr>
      <w:r>
        <w:rPr>
          <w:rFonts w:hint="eastAsia" w:ascii="宋体" w:hAnsi="宋体"/>
          <w:b/>
          <w:color w:val="auto"/>
          <w:sz w:val="21"/>
          <w:szCs w:val="21"/>
          <w:highlight w:val="none"/>
        </w:rPr>
        <w:t>送修手续：</w:t>
      </w:r>
    </w:p>
    <w:p>
      <w:pPr>
        <w:spacing w:line="440" w:lineRule="exact"/>
        <w:ind w:firstLine="480"/>
        <w:rPr>
          <w:rFonts w:hint="eastAsia" w:ascii="宋体" w:hAnsi="宋体"/>
          <w:color w:val="auto"/>
          <w:sz w:val="21"/>
          <w:szCs w:val="21"/>
          <w:highlight w:val="none"/>
        </w:rPr>
      </w:pPr>
      <w:r>
        <w:rPr>
          <w:rFonts w:hint="eastAsia" w:ascii="宋体" w:hAnsi="宋体"/>
          <w:color w:val="auto"/>
          <w:sz w:val="21"/>
          <w:szCs w:val="21"/>
          <w:highlight w:val="none"/>
        </w:rPr>
        <w:t>1、甲方须按要求填写《车辆送修单》。并经单位法人或经法人授权的管理人员签字认可加盖公章后送乙方。</w:t>
      </w:r>
    </w:p>
    <w:p>
      <w:pPr>
        <w:spacing w:line="440" w:lineRule="exact"/>
        <w:ind w:firstLine="480"/>
        <w:rPr>
          <w:rFonts w:hint="eastAsia" w:ascii="宋体" w:hAnsi="宋体"/>
          <w:color w:val="auto"/>
          <w:sz w:val="21"/>
          <w:szCs w:val="21"/>
          <w:highlight w:val="none"/>
        </w:rPr>
      </w:pPr>
      <w:r>
        <w:rPr>
          <w:rFonts w:hint="eastAsia" w:ascii="宋体" w:hAnsi="宋体"/>
          <w:color w:val="auto"/>
          <w:sz w:val="21"/>
          <w:szCs w:val="21"/>
          <w:highlight w:val="none"/>
        </w:rPr>
        <w:t>2、乙方根据“车辆送修单”的要求对送修车辆进行细致检查，并在《送修单》上注明完成维修的时间；并报甲方，经甲方认可同意办理车辆的交接手续后进行维修。</w:t>
      </w:r>
    </w:p>
    <w:p>
      <w:pPr>
        <w:spacing w:line="440" w:lineRule="exact"/>
        <w:ind w:firstLine="480"/>
        <w:rPr>
          <w:rFonts w:hint="eastAsia" w:ascii="宋体" w:hAnsi="宋体"/>
          <w:color w:val="auto"/>
          <w:sz w:val="21"/>
          <w:szCs w:val="21"/>
          <w:highlight w:val="none"/>
        </w:rPr>
      </w:pPr>
      <w:r>
        <w:rPr>
          <w:rFonts w:hint="eastAsia" w:ascii="宋体" w:hAnsi="宋体"/>
          <w:color w:val="auto"/>
          <w:sz w:val="21"/>
          <w:szCs w:val="21"/>
          <w:highlight w:val="none"/>
        </w:rPr>
        <w:t>3、在维修过程中，乙方如发现其它故障需增加维修项目或延长维修时间，应及时通知甲方。甲方接到通知后应及时给予答复。</w:t>
      </w:r>
    </w:p>
    <w:p>
      <w:pPr>
        <w:spacing w:line="440" w:lineRule="exact"/>
        <w:ind w:firstLine="480"/>
        <w:rPr>
          <w:rFonts w:hint="eastAsia" w:ascii="宋体" w:hAnsi="宋体"/>
          <w:color w:val="auto"/>
          <w:sz w:val="21"/>
          <w:szCs w:val="21"/>
          <w:highlight w:val="none"/>
        </w:rPr>
      </w:pPr>
      <w:r>
        <w:rPr>
          <w:rFonts w:hint="eastAsia" w:ascii="宋体" w:hAnsi="宋体"/>
          <w:color w:val="auto"/>
          <w:sz w:val="21"/>
          <w:szCs w:val="21"/>
          <w:highlight w:val="none"/>
        </w:rPr>
        <w:t>4、车辆修复后，乙方应当通过电脑认真填写并打印《工时费用清单》和《配件材料结算清单》；接车人应对修复车辆认真检查、试车，符合要求后在结算单上签字认可，之后乙方才能将车辆交给甲方。</w:t>
      </w:r>
    </w:p>
    <w:p>
      <w:pPr>
        <w:spacing w:line="440" w:lineRule="exact"/>
        <w:ind w:firstLine="480"/>
        <w:rPr>
          <w:rFonts w:hint="eastAsia" w:ascii="宋体" w:hAnsi="宋体"/>
          <w:color w:val="auto"/>
          <w:sz w:val="21"/>
          <w:szCs w:val="21"/>
          <w:highlight w:val="none"/>
        </w:rPr>
      </w:pPr>
      <w:r>
        <w:rPr>
          <w:rFonts w:hint="eastAsia" w:ascii="宋体" w:hAnsi="宋体"/>
          <w:color w:val="auto"/>
          <w:sz w:val="21"/>
          <w:szCs w:val="21"/>
          <w:highlight w:val="none"/>
        </w:rPr>
        <w:t>5、《送修单》、《工时费用清单》和《配件材料结算清单》一式三份，并输入电脑，托修方、承修方、招标人各持一份。送修单、工时费用清单、配件材料结算清单、发票作为报销必须凭证。</w:t>
      </w:r>
    </w:p>
    <w:p>
      <w:pPr>
        <w:numPr>
          <w:ilvl w:val="0"/>
          <w:numId w:val="4"/>
        </w:numPr>
        <w:tabs>
          <w:tab w:val="left" w:pos="180"/>
          <w:tab w:val="left" w:pos="900"/>
          <w:tab w:val="left" w:pos="1080"/>
          <w:tab w:val="clear" w:pos="420"/>
        </w:tabs>
        <w:spacing w:line="440" w:lineRule="exact"/>
        <w:ind w:left="0" w:firstLine="472" w:firstLineChars="224"/>
        <w:rPr>
          <w:rFonts w:hint="eastAsia" w:ascii="宋体" w:hAnsi="宋体"/>
          <w:b/>
          <w:color w:val="auto"/>
          <w:sz w:val="21"/>
          <w:szCs w:val="21"/>
          <w:highlight w:val="none"/>
        </w:rPr>
      </w:pPr>
      <w:r>
        <w:rPr>
          <w:rFonts w:hint="eastAsia" w:ascii="宋体" w:hAnsi="宋体"/>
          <w:b/>
          <w:color w:val="auto"/>
          <w:sz w:val="21"/>
          <w:szCs w:val="21"/>
          <w:highlight w:val="none"/>
        </w:rPr>
        <w:t>维修费用</w:t>
      </w:r>
    </w:p>
    <w:p>
      <w:pPr>
        <w:numPr>
          <w:ilvl w:val="0"/>
          <w:numId w:val="5"/>
        </w:numPr>
        <w:tabs>
          <w:tab w:val="left" w:pos="0"/>
          <w:tab w:val="left" w:pos="1080"/>
          <w:tab w:val="clear" w:pos="840"/>
        </w:tabs>
        <w:spacing w:line="440" w:lineRule="exact"/>
        <w:ind w:left="90" w:leftChars="0" w:firstLine="540" w:firstLineChars="0"/>
        <w:rPr>
          <w:rFonts w:hint="eastAsia" w:ascii="宋体" w:hAnsi="宋体"/>
          <w:color w:val="auto"/>
          <w:sz w:val="21"/>
          <w:szCs w:val="21"/>
          <w:highlight w:val="none"/>
        </w:rPr>
      </w:pPr>
      <w:r>
        <w:rPr>
          <w:rFonts w:hint="eastAsia" w:ascii="宋体" w:hAnsi="宋体"/>
          <w:color w:val="auto"/>
          <w:sz w:val="21"/>
          <w:szCs w:val="21"/>
          <w:highlight w:val="none"/>
        </w:rPr>
        <w:t>维修费用包括：工时费、材料费。</w:t>
      </w:r>
    </w:p>
    <w:p>
      <w:pPr>
        <w:numPr>
          <w:ilvl w:val="0"/>
          <w:numId w:val="5"/>
        </w:numPr>
        <w:tabs>
          <w:tab w:val="left" w:pos="0"/>
          <w:tab w:val="left" w:pos="1080"/>
          <w:tab w:val="clear" w:pos="840"/>
        </w:tabs>
        <w:spacing w:line="440" w:lineRule="exact"/>
        <w:ind w:left="0" w:firstLine="540"/>
        <w:rPr>
          <w:rFonts w:hint="eastAsia" w:ascii="宋体" w:hAnsi="宋体"/>
          <w:color w:val="auto"/>
          <w:sz w:val="21"/>
          <w:szCs w:val="21"/>
          <w:highlight w:val="none"/>
        </w:rPr>
      </w:pPr>
      <w:r>
        <w:rPr>
          <w:rFonts w:hint="eastAsia" w:ascii="宋体" w:hAnsi="宋体"/>
          <w:color w:val="auto"/>
          <w:sz w:val="21"/>
          <w:szCs w:val="21"/>
          <w:highlight w:val="none"/>
        </w:rPr>
        <w:t>材料</w:t>
      </w:r>
      <w:r>
        <w:rPr>
          <w:rFonts w:hint="eastAsia" w:ascii="宋体" w:hAnsi="宋体"/>
          <w:color w:val="auto"/>
          <w:sz w:val="21"/>
          <w:szCs w:val="21"/>
          <w:highlight w:val="none"/>
          <w:lang w:val="en-US" w:eastAsia="zh-CN"/>
        </w:rPr>
        <w:t>费下浮率</w:t>
      </w:r>
      <w:r>
        <w:rPr>
          <w:rFonts w:hint="eastAsia" w:ascii="宋体" w:hAnsi="宋体"/>
          <w:color w:val="auto"/>
          <w:sz w:val="21"/>
          <w:szCs w:val="21"/>
          <w:highlight w:val="none"/>
        </w:rPr>
        <w:t>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％，乙方的材料进货价不得高于同期市场价格。</w:t>
      </w:r>
    </w:p>
    <w:p>
      <w:pPr>
        <w:numPr>
          <w:ilvl w:val="0"/>
          <w:numId w:val="5"/>
        </w:numPr>
        <w:tabs>
          <w:tab w:val="left" w:pos="0"/>
          <w:tab w:val="left" w:pos="1080"/>
          <w:tab w:val="clear" w:pos="840"/>
        </w:tabs>
        <w:spacing w:line="440" w:lineRule="exact"/>
        <w:ind w:left="0" w:firstLine="540"/>
        <w:rPr>
          <w:rFonts w:hint="eastAsia" w:ascii="宋体" w:hAnsi="宋体"/>
          <w:color w:val="auto"/>
          <w:sz w:val="21"/>
          <w:szCs w:val="21"/>
          <w:highlight w:val="none"/>
        </w:rPr>
      </w:pPr>
      <w:r>
        <w:rPr>
          <w:rFonts w:hint="eastAsia" w:ascii="宋体" w:hAnsi="宋体"/>
          <w:color w:val="auto"/>
          <w:sz w:val="21"/>
          <w:szCs w:val="21"/>
          <w:highlight w:val="none"/>
        </w:rPr>
        <w:t>工时单价</w:t>
      </w:r>
      <w:r>
        <w:rPr>
          <w:rFonts w:hint="eastAsia" w:ascii="宋体" w:hAnsi="宋体"/>
          <w:color w:val="auto"/>
          <w:sz w:val="21"/>
          <w:szCs w:val="21"/>
          <w:highlight w:val="none"/>
          <w:lang w:val="en-US" w:eastAsia="zh-CN"/>
        </w:rPr>
        <w:t>下浮率</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％。乙方实际维修时所产生的各项维修的工时数量不得高于市场价。</w:t>
      </w:r>
    </w:p>
    <w:p>
      <w:pPr>
        <w:numPr>
          <w:ilvl w:val="0"/>
          <w:numId w:val="5"/>
        </w:numPr>
        <w:tabs>
          <w:tab w:val="left" w:pos="0"/>
          <w:tab w:val="left" w:pos="540"/>
          <w:tab w:val="left" w:pos="1080"/>
          <w:tab w:val="clear" w:pos="840"/>
        </w:tabs>
        <w:spacing w:line="440" w:lineRule="exact"/>
        <w:ind w:left="90" w:leftChars="0" w:firstLine="540" w:firstLineChars="0"/>
        <w:rPr>
          <w:rFonts w:hint="eastAsia" w:ascii="宋体" w:hAnsi="宋体"/>
          <w:color w:val="auto"/>
          <w:sz w:val="21"/>
          <w:szCs w:val="21"/>
          <w:highlight w:val="none"/>
        </w:rPr>
      </w:pPr>
      <w:r>
        <w:rPr>
          <w:rFonts w:hint="eastAsia" w:ascii="宋体" w:hAnsi="宋体"/>
          <w:color w:val="auto"/>
          <w:sz w:val="21"/>
          <w:szCs w:val="21"/>
          <w:highlight w:val="none"/>
        </w:rPr>
        <w:t>针对事故车辆，经交警部门认定的保险公司不能全赔支付的事故车辆，维修费用中除去保险公司应负责的理赔金额之外，维修差额部分按本项目规定价格计算办法进行最终结</w:t>
      </w:r>
      <w:r>
        <w:rPr>
          <w:rFonts w:hint="eastAsia" w:ascii="宋体" w:hAnsi="宋体"/>
          <w:bCs/>
          <w:color w:val="auto"/>
          <w:sz w:val="21"/>
          <w:szCs w:val="21"/>
          <w:highlight w:val="none"/>
        </w:rPr>
        <w:t>算。</w:t>
      </w:r>
    </w:p>
    <w:p>
      <w:pPr>
        <w:numPr>
          <w:ilvl w:val="0"/>
          <w:numId w:val="4"/>
        </w:numPr>
        <w:tabs>
          <w:tab w:val="left" w:pos="180"/>
          <w:tab w:val="left" w:pos="900"/>
          <w:tab w:val="left" w:pos="1080"/>
          <w:tab w:val="clear" w:pos="420"/>
        </w:tabs>
        <w:spacing w:line="440" w:lineRule="exact"/>
        <w:ind w:left="0" w:firstLine="472" w:firstLineChars="224"/>
        <w:rPr>
          <w:rFonts w:hint="eastAsia" w:ascii="宋体" w:hAnsi="宋体"/>
          <w:b/>
          <w:color w:val="auto"/>
          <w:sz w:val="21"/>
          <w:szCs w:val="21"/>
          <w:highlight w:val="none"/>
        </w:rPr>
      </w:pPr>
      <w:r>
        <w:rPr>
          <w:rFonts w:hint="eastAsia" w:ascii="宋体" w:hAnsi="宋体"/>
          <w:b/>
          <w:color w:val="auto"/>
          <w:sz w:val="21"/>
          <w:szCs w:val="21"/>
          <w:highlight w:val="none"/>
        </w:rPr>
        <w:t>质量保证</w:t>
      </w:r>
    </w:p>
    <w:p>
      <w:pPr>
        <w:numPr>
          <w:ilvl w:val="0"/>
          <w:numId w:val="6"/>
        </w:numPr>
        <w:tabs>
          <w:tab w:val="left" w:pos="-360"/>
          <w:tab w:val="left" w:pos="540"/>
          <w:tab w:val="left" w:pos="1080"/>
          <w:tab w:val="clear" w:pos="840"/>
        </w:tabs>
        <w:spacing w:line="440" w:lineRule="exact"/>
        <w:ind w:left="0" w:firstLine="540"/>
        <w:rPr>
          <w:rFonts w:hint="eastAsia" w:ascii="宋体" w:hAnsi="宋体"/>
          <w:color w:val="auto"/>
          <w:sz w:val="21"/>
          <w:szCs w:val="21"/>
          <w:highlight w:val="none"/>
        </w:rPr>
      </w:pPr>
      <w:r>
        <w:rPr>
          <w:rFonts w:hint="eastAsia" w:ascii="宋体" w:hAnsi="宋体"/>
          <w:color w:val="auto"/>
          <w:sz w:val="21"/>
          <w:szCs w:val="21"/>
          <w:highlight w:val="none"/>
        </w:rPr>
        <w:t>乙方为甲方所购买和更换的所有配件材料必须是符合国家标准的合格产品，严禁使用假冒伪劣产品。</w:t>
      </w:r>
    </w:p>
    <w:p>
      <w:pPr>
        <w:numPr>
          <w:ilvl w:val="0"/>
          <w:numId w:val="6"/>
        </w:numPr>
        <w:tabs>
          <w:tab w:val="left" w:pos="-360"/>
          <w:tab w:val="left" w:pos="540"/>
          <w:tab w:val="left" w:pos="1080"/>
          <w:tab w:val="clear" w:pos="840"/>
        </w:tabs>
        <w:spacing w:line="440" w:lineRule="exact"/>
        <w:ind w:left="0" w:firstLine="540"/>
        <w:rPr>
          <w:rFonts w:hint="eastAsia" w:ascii="宋体" w:hAnsi="宋体"/>
          <w:color w:val="auto"/>
          <w:sz w:val="21"/>
          <w:szCs w:val="21"/>
          <w:highlight w:val="none"/>
        </w:rPr>
      </w:pPr>
      <w:r>
        <w:rPr>
          <w:rFonts w:hint="eastAsia" w:ascii="宋体" w:hAnsi="宋体"/>
          <w:color w:val="auto"/>
          <w:sz w:val="21"/>
          <w:szCs w:val="21"/>
          <w:highlight w:val="none"/>
        </w:rPr>
        <w:t>乙方必须严格遵守</w:t>
      </w:r>
      <w:r>
        <w:rPr>
          <w:rFonts w:hint="eastAsia" w:ascii="宋体" w:hAnsi="宋体" w:cs="宋体"/>
          <w:color w:val="auto"/>
          <w:kern w:val="0"/>
          <w:sz w:val="21"/>
          <w:szCs w:val="21"/>
          <w:highlight w:val="none"/>
        </w:rPr>
        <w:t>《机动车维修管理规定》等</w:t>
      </w:r>
      <w:r>
        <w:rPr>
          <w:rFonts w:hint="eastAsia" w:ascii="宋体" w:hAnsi="宋体"/>
          <w:color w:val="auto"/>
          <w:sz w:val="21"/>
          <w:szCs w:val="21"/>
          <w:highlight w:val="none"/>
        </w:rPr>
        <w:t>国家法律法规的规定保证维修质量。</w:t>
      </w:r>
    </w:p>
    <w:p>
      <w:pPr>
        <w:numPr>
          <w:ilvl w:val="0"/>
          <w:numId w:val="7"/>
        </w:numPr>
        <w:tabs>
          <w:tab w:val="left" w:pos="540"/>
          <w:tab w:val="left" w:pos="1080"/>
        </w:tabs>
        <w:spacing w:line="440" w:lineRule="exact"/>
        <w:rPr>
          <w:rFonts w:hint="eastAsia" w:ascii="宋体" w:hAnsi="宋体"/>
          <w:color w:val="auto"/>
          <w:sz w:val="21"/>
          <w:szCs w:val="21"/>
          <w:highlight w:val="none"/>
        </w:rPr>
      </w:pPr>
      <w:r>
        <w:rPr>
          <w:rFonts w:hint="eastAsia" w:ascii="宋体" w:hAnsi="宋体"/>
          <w:color w:val="auto"/>
          <w:sz w:val="21"/>
          <w:szCs w:val="21"/>
          <w:highlight w:val="none"/>
        </w:rPr>
        <w:t>汽车和危险货物运输车辆整车修理或总成修理质量保证期为车辆行驶20000公里或者100日；二级维护质量保证期为车辆行驶5000公里或者30日；一级维护、小修及专项修理质量保证期为车辆行驶2000公里或者10日。</w:t>
      </w:r>
    </w:p>
    <w:p>
      <w:pPr>
        <w:numPr>
          <w:ilvl w:val="0"/>
          <w:numId w:val="7"/>
        </w:numPr>
        <w:tabs>
          <w:tab w:val="left" w:pos="540"/>
          <w:tab w:val="left" w:pos="1080"/>
        </w:tabs>
        <w:spacing w:line="440" w:lineRule="exact"/>
        <w:rPr>
          <w:rFonts w:hint="eastAsia" w:ascii="宋体" w:hAnsi="宋体"/>
          <w:color w:val="auto"/>
          <w:sz w:val="21"/>
          <w:szCs w:val="21"/>
          <w:highlight w:val="none"/>
        </w:rPr>
      </w:pPr>
      <w:r>
        <w:rPr>
          <w:rFonts w:hint="eastAsia" w:ascii="宋体" w:hAnsi="宋体"/>
          <w:color w:val="auto"/>
          <w:sz w:val="21"/>
          <w:szCs w:val="21"/>
          <w:highlight w:val="none"/>
        </w:rPr>
        <w:t>质量保证期中行驶里程和日期指标，以先达到者为准。</w:t>
      </w:r>
    </w:p>
    <w:p>
      <w:pPr>
        <w:numPr>
          <w:ilvl w:val="0"/>
          <w:numId w:val="7"/>
        </w:numPr>
        <w:tabs>
          <w:tab w:val="left" w:pos="540"/>
          <w:tab w:val="left" w:pos="1080"/>
        </w:tabs>
        <w:spacing w:line="440" w:lineRule="exact"/>
        <w:rPr>
          <w:rFonts w:hint="eastAsia" w:ascii="宋体" w:hAnsi="宋体"/>
          <w:color w:val="auto"/>
          <w:sz w:val="21"/>
          <w:szCs w:val="21"/>
          <w:highlight w:val="none"/>
        </w:rPr>
      </w:pPr>
      <w:r>
        <w:rPr>
          <w:rFonts w:hint="eastAsia" w:ascii="宋体" w:hAnsi="宋体"/>
          <w:color w:val="auto"/>
          <w:sz w:val="21"/>
          <w:szCs w:val="21"/>
          <w:highlight w:val="none"/>
        </w:rPr>
        <w:t>机动车维修质量保证期，从维修竣工出厂之日起计算。</w:t>
      </w:r>
    </w:p>
    <w:p>
      <w:pPr>
        <w:numPr>
          <w:ilvl w:val="0"/>
          <w:numId w:val="6"/>
        </w:numPr>
        <w:tabs>
          <w:tab w:val="left" w:pos="-360"/>
          <w:tab w:val="left" w:pos="540"/>
          <w:tab w:val="left" w:pos="1080"/>
          <w:tab w:val="clear" w:pos="840"/>
        </w:tabs>
        <w:spacing w:line="440" w:lineRule="exact"/>
        <w:ind w:left="0" w:firstLine="540"/>
        <w:rPr>
          <w:rFonts w:hint="eastAsia" w:ascii="宋体" w:hAnsi="宋体"/>
          <w:color w:val="auto"/>
          <w:sz w:val="21"/>
          <w:szCs w:val="21"/>
          <w:highlight w:val="none"/>
        </w:rPr>
      </w:pPr>
      <w:r>
        <w:rPr>
          <w:rFonts w:hint="eastAsia" w:ascii="宋体" w:hAnsi="宋体"/>
          <w:color w:val="auto"/>
          <w:sz w:val="21"/>
          <w:szCs w:val="21"/>
          <w:highlight w:val="none"/>
        </w:rPr>
        <w:t>定点维修机构对定点维修车辆进行二级维护、总成修理、整车修理的，应当实行维修前诊断检验、维修过程检验和竣工质量检验制度。</w:t>
      </w:r>
    </w:p>
    <w:p>
      <w:pPr>
        <w:numPr>
          <w:ilvl w:val="0"/>
          <w:numId w:val="6"/>
        </w:numPr>
        <w:tabs>
          <w:tab w:val="left" w:pos="-360"/>
          <w:tab w:val="left" w:pos="540"/>
          <w:tab w:val="left" w:pos="1080"/>
          <w:tab w:val="clear" w:pos="840"/>
        </w:tabs>
        <w:spacing w:line="440" w:lineRule="exact"/>
        <w:ind w:left="0" w:firstLine="540"/>
        <w:rPr>
          <w:rFonts w:hint="eastAsia" w:ascii="宋体" w:hAnsi="宋体"/>
          <w:color w:val="auto"/>
          <w:sz w:val="21"/>
          <w:szCs w:val="21"/>
          <w:highlight w:val="none"/>
        </w:rPr>
      </w:pPr>
      <w:r>
        <w:rPr>
          <w:rFonts w:hint="eastAsia" w:ascii="宋体" w:hAnsi="宋体"/>
          <w:color w:val="auto"/>
          <w:sz w:val="21"/>
          <w:szCs w:val="21"/>
          <w:highlight w:val="none"/>
        </w:rPr>
        <w:t>乙方有更优的质量保证按投标时的承诺执行。</w:t>
      </w:r>
    </w:p>
    <w:p>
      <w:pPr>
        <w:numPr>
          <w:ilvl w:val="0"/>
          <w:numId w:val="4"/>
        </w:numPr>
        <w:tabs>
          <w:tab w:val="left" w:pos="180"/>
          <w:tab w:val="left" w:pos="900"/>
          <w:tab w:val="left" w:pos="1080"/>
          <w:tab w:val="clear" w:pos="420"/>
        </w:tabs>
        <w:spacing w:line="440" w:lineRule="exact"/>
        <w:ind w:left="0" w:firstLine="472" w:firstLineChars="224"/>
        <w:rPr>
          <w:rFonts w:hint="eastAsia" w:ascii="宋体" w:hAnsi="宋体"/>
          <w:b/>
          <w:color w:val="auto"/>
          <w:sz w:val="21"/>
          <w:szCs w:val="21"/>
          <w:highlight w:val="none"/>
        </w:rPr>
      </w:pPr>
      <w:r>
        <w:rPr>
          <w:rFonts w:hint="eastAsia" w:ascii="宋体" w:hAnsi="宋体"/>
          <w:b/>
          <w:color w:val="auto"/>
          <w:sz w:val="21"/>
          <w:szCs w:val="21"/>
          <w:highlight w:val="none"/>
        </w:rPr>
        <w:t>结算方式：</w:t>
      </w:r>
    </w:p>
    <w:p>
      <w:pPr>
        <w:numPr>
          <w:ilvl w:val="1"/>
          <w:numId w:val="4"/>
        </w:numPr>
        <w:tabs>
          <w:tab w:val="left" w:pos="540"/>
          <w:tab w:val="left" w:pos="1260"/>
          <w:tab w:val="left" w:pos="1440"/>
        </w:tabs>
        <w:spacing w:line="360" w:lineRule="auto"/>
        <w:rPr>
          <w:rFonts w:hint="eastAsia" w:ascii="宋体" w:hAnsi="宋体"/>
          <w:color w:val="auto"/>
          <w:sz w:val="21"/>
          <w:szCs w:val="21"/>
          <w:highlight w:val="none"/>
        </w:rPr>
      </w:pPr>
      <w:r>
        <w:rPr>
          <w:rFonts w:hint="eastAsia" w:ascii="宋体" w:hAnsi="宋体"/>
          <w:color w:val="auto"/>
          <w:sz w:val="21"/>
          <w:szCs w:val="21"/>
          <w:highlight w:val="none"/>
        </w:rPr>
        <w:t>结算方式按月实际维修明细进行结算。各托修方车辆维修完结后，定点维修机构必须持税务发票、《送修单》、《维修费用结算清单》等资料办理结算手续。</w:t>
      </w:r>
    </w:p>
    <w:p>
      <w:pPr>
        <w:numPr>
          <w:ilvl w:val="1"/>
          <w:numId w:val="4"/>
        </w:numPr>
        <w:tabs>
          <w:tab w:val="left" w:pos="540"/>
          <w:tab w:val="left" w:pos="1260"/>
          <w:tab w:val="left" w:pos="1440"/>
        </w:tabs>
        <w:spacing w:line="360" w:lineRule="auto"/>
        <w:rPr>
          <w:rFonts w:hint="eastAsia" w:ascii="宋体" w:hAnsi="宋体"/>
          <w:color w:val="auto"/>
          <w:sz w:val="21"/>
          <w:szCs w:val="21"/>
          <w:highlight w:val="none"/>
        </w:rPr>
      </w:pPr>
      <w:r>
        <w:rPr>
          <w:rFonts w:hint="eastAsia" w:ascii="宋体" w:hAnsi="宋体"/>
          <w:color w:val="auto"/>
          <w:sz w:val="21"/>
          <w:szCs w:val="21"/>
          <w:highlight w:val="none"/>
        </w:rPr>
        <w:t>车辆维修费用的结算一律采用转账方式办理，不使用现金。</w:t>
      </w:r>
    </w:p>
    <w:p>
      <w:pPr>
        <w:numPr>
          <w:ilvl w:val="0"/>
          <w:numId w:val="4"/>
        </w:numPr>
        <w:tabs>
          <w:tab w:val="left" w:pos="180"/>
          <w:tab w:val="left" w:pos="900"/>
          <w:tab w:val="left" w:pos="1080"/>
          <w:tab w:val="clear" w:pos="420"/>
        </w:tabs>
        <w:spacing w:line="440" w:lineRule="exact"/>
        <w:ind w:left="0" w:firstLine="472" w:firstLineChars="224"/>
        <w:rPr>
          <w:rFonts w:hint="eastAsia" w:ascii="宋体" w:hAnsi="宋体"/>
          <w:b/>
          <w:color w:val="auto"/>
          <w:sz w:val="21"/>
          <w:szCs w:val="21"/>
          <w:highlight w:val="none"/>
        </w:rPr>
      </w:pPr>
      <w:r>
        <w:rPr>
          <w:rFonts w:hint="eastAsia" w:ascii="宋体" w:hAnsi="宋体"/>
          <w:b/>
          <w:color w:val="auto"/>
          <w:sz w:val="21"/>
          <w:szCs w:val="21"/>
          <w:highlight w:val="none"/>
        </w:rPr>
        <w:t>甲方的权利：</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1、有权获得优先服务；</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2、对已完工车辆，如质量保证期内发现不合格或与《送修单》不符，有权要求乙方无偿返工，直至符合要求。在质保期内，按乙方在投标时承诺的车辆保证期限或质量保证里程执行；</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3、有权向有关部门投诉乙方违约行为；</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4、有权根据维修厂技术、服务和价格等方面的情况变化，在定点维修机构中自主择厂修理车辆。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5、招标文件规定的其他权利。</w:t>
      </w:r>
    </w:p>
    <w:p>
      <w:pPr>
        <w:numPr>
          <w:ilvl w:val="0"/>
          <w:numId w:val="4"/>
        </w:numPr>
        <w:tabs>
          <w:tab w:val="left" w:pos="180"/>
          <w:tab w:val="left" w:pos="900"/>
          <w:tab w:val="left" w:pos="1080"/>
          <w:tab w:val="clear" w:pos="420"/>
        </w:tabs>
        <w:spacing w:line="440" w:lineRule="exact"/>
        <w:ind w:left="0" w:firstLine="472" w:firstLineChars="224"/>
        <w:rPr>
          <w:rFonts w:hint="eastAsia" w:ascii="宋体" w:hAnsi="宋体"/>
          <w:b/>
          <w:color w:val="auto"/>
          <w:sz w:val="21"/>
          <w:szCs w:val="21"/>
          <w:highlight w:val="none"/>
        </w:rPr>
      </w:pPr>
      <w:r>
        <w:rPr>
          <w:rFonts w:hint="eastAsia" w:ascii="宋体" w:hAnsi="宋体"/>
          <w:b/>
          <w:color w:val="auto"/>
          <w:sz w:val="21"/>
          <w:szCs w:val="21"/>
          <w:highlight w:val="none"/>
        </w:rPr>
        <w:t>甲方的义务：</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1、甲方必须将待修车辆送到乙方维修场所维修；(拖车)</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2、必须及时接收已完工车辆；</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3、必须按时与乙方结算车辆维修费用；</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4、不得向乙方提出除修车以外的其它要求；</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5、甲方应妥善保管好所有的维修单据资料，随时接受有关部门的检查。</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6、招标文件规定的其他义务。</w:t>
      </w:r>
    </w:p>
    <w:p>
      <w:pPr>
        <w:numPr>
          <w:ilvl w:val="0"/>
          <w:numId w:val="4"/>
        </w:numPr>
        <w:tabs>
          <w:tab w:val="left" w:pos="180"/>
          <w:tab w:val="left" w:pos="900"/>
          <w:tab w:val="left" w:pos="1080"/>
          <w:tab w:val="clear" w:pos="420"/>
        </w:tabs>
        <w:spacing w:line="440" w:lineRule="exact"/>
        <w:ind w:left="0" w:firstLine="472" w:firstLineChars="224"/>
        <w:rPr>
          <w:rFonts w:hint="eastAsia" w:ascii="宋体" w:hAnsi="宋体"/>
          <w:b/>
          <w:color w:val="auto"/>
          <w:sz w:val="21"/>
          <w:szCs w:val="21"/>
          <w:highlight w:val="none"/>
        </w:rPr>
      </w:pPr>
      <w:r>
        <w:rPr>
          <w:rFonts w:hint="eastAsia" w:ascii="宋体" w:hAnsi="宋体"/>
          <w:b/>
          <w:color w:val="auto"/>
          <w:sz w:val="21"/>
          <w:szCs w:val="21"/>
          <w:highlight w:val="none"/>
        </w:rPr>
        <w:t>乙方的权利：</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1、有权要求甲方签订《送修单》；</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2、有权要求甲方按时结清车辆维修费用；</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3、有权拒绝甲方提出的除维修服务以外的其它要求；</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4、有权向有关部门投诉甲方的违约行为。</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5、招标文件规定的其他权利。</w:t>
      </w:r>
    </w:p>
    <w:p>
      <w:pPr>
        <w:numPr>
          <w:ilvl w:val="0"/>
          <w:numId w:val="4"/>
        </w:numPr>
        <w:tabs>
          <w:tab w:val="left" w:pos="180"/>
          <w:tab w:val="left" w:pos="900"/>
          <w:tab w:val="left" w:pos="1080"/>
          <w:tab w:val="clear" w:pos="420"/>
        </w:tabs>
        <w:spacing w:line="440" w:lineRule="exact"/>
        <w:ind w:left="0" w:firstLine="472" w:firstLineChars="224"/>
        <w:rPr>
          <w:rFonts w:hint="eastAsia" w:ascii="宋体" w:hAnsi="宋体"/>
          <w:b/>
          <w:color w:val="auto"/>
          <w:sz w:val="21"/>
          <w:szCs w:val="21"/>
          <w:highlight w:val="none"/>
        </w:rPr>
      </w:pPr>
      <w:r>
        <w:rPr>
          <w:rFonts w:hint="eastAsia" w:ascii="宋体" w:hAnsi="宋体"/>
          <w:b/>
          <w:color w:val="auto"/>
          <w:sz w:val="21"/>
          <w:szCs w:val="21"/>
          <w:highlight w:val="none"/>
        </w:rPr>
        <w:t>乙方的义务：</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1、优先为甲方的送修车辆提供维修服务；</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2、乙方不得将送修车辆擅自转厂维修；</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3、必须按《送修单》上的规定按时完成维修工作；</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4、保证送修车辆的安全；</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5、保证维修质量，并为每部定点维修车辆建立维修档案；</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6、保证所用配件是符合国家质量标准的全新配件，不得以次充好或随意更换汽车配件；</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7、已完工车辆，乙方应使用电脑打印“工时费用清单”和“配件材料结算清单”，注明完工时间、维修项目、工时费、维修材料配件项目及其进货价格和管理费；</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8、所有更换的维修旧材料，由甲方自行带回单位处理，同时乙方必须做好登记；若甲方没有拿走维修旧材料，乙方必须严格保存，一一记录，随时接受监督部门的检查及回收。</w:t>
      </w:r>
    </w:p>
    <w:p>
      <w:pPr>
        <w:numPr>
          <w:ilvl w:val="0"/>
          <w:numId w:val="4"/>
        </w:numPr>
        <w:tabs>
          <w:tab w:val="left" w:pos="180"/>
          <w:tab w:val="left" w:pos="900"/>
          <w:tab w:val="left" w:pos="1080"/>
          <w:tab w:val="left" w:pos="1260"/>
          <w:tab w:val="left" w:pos="1440"/>
          <w:tab w:val="clear" w:pos="420"/>
        </w:tabs>
        <w:spacing w:line="440" w:lineRule="exact"/>
        <w:ind w:left="0" w:firstLine="472" w:firstLineChars="224"/>
        <w:rPr>
          <w:rFonts w:hint="eastAsia" w:ascii="宋体" w:hAnsi="宋体"/>
          <w:b/>
          <w:color w:val="auto"/>
          <w:sz w:val="21"/>
          <w:szCs w:val="21"/>
          <w:highlight w:val="none"/>
        </w:rPr>
      </w:pPr>
      <w:r>
        <w:rPr>
          <w:rFonts w:hint="eastAsia" w:ascii="宋体" w:hAnsi="宋体"/>
          <w:b/>
          <w:color w:val="auto"/>
          <w:sz w:val="21"/>
          <w:szCs w:val="21"/>
          <w:highlight w:val="none"/>
        </w:rPr>
        <w:t>违约责任：</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1、甲方应按《送修单》规定的时间及时接收每一完工车辆，逾期40日仍不接收，乙方经有关部门批准后有权处置该车辆；</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2、乙方应按《送修单》规定的期限完成维修工作，如逾期未能完成，则乙方应向甲方每日交付该车辆维修费的5%作为违约金，该违约金托修方可从应支付给乙方的维修费中扣减；</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3、如甲方送修车辆在乙方维修期间出现丢失或损毁，乙方应承担全部赔偿责任；</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4、如因乙方维修质量问题造成甲方损失，乙方应承担赔偿责任。</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5、如有下列任何一种情况出现，将没收乙方的履约保证金（没收后乙方还应补足</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万元的保证金，否则立即取消其定点维修资格），情节严重的将取消定点维修资格，若给甲方造成损失的将向乙方追究经济赔偿。</w:t>
      </w:r>
    </w:p>
    <w:p>
      <w:pPr>
        <w:numPr>
          <w:ilvl w:val="0"/>
          <w:numId w:val="8"/>
        </w:numPr>
        <w:spacing w:line="440" w:lineRule="exact"/>
        <w:rPr>
          <w:rFonts w:hint="eastAsia" w:ascii="宋体" w:hAnsi="宋体"/>
          <w:color w:val="auto"/>
          <w:sz w:val="21"/>
          <w:szCs w:val="21"/>
          <w:highlight w:val="none"/>
        </w:rPr>
      </w:pPr>
      <w:r>
        <w:rPr>
          <w:rFonts w:hint="eastAsia" w:ascii="宋体" w:hAnsi="宋体"/>
          <w:color w:val="auto"/>
          <w:sz w:val="21"/>
          <w:szCs w:val="21"/>
          <w:highlight w:val="none"/>
        </w:rPr>
        <w:t>没有按照价格优惠要求，擅自抬高收费价格，经查实的；</w:t>
      </w:r>
    </w:p>
    <w:p>
      <w:pPr>
        <w:numPr>
          <w:ilvl w:val="0"/>
          <w:numId w:val="8"/>
        </w:numPr>
        <w:spacing w:line="440" w:lineRule="exact"/>
        <w:rPr>
          <w:rFonts w:hint="eastAsia" w:ascii="宋体" w:hAnsi="宋体"/>
          <w:color w:val="auto"/>
          <w:sz w:val="21"/>
          <w:szCs w:val="21"/>
          <w:highlight w:val="none"/>
        </w:rPr>
      </w:pPr>
      <w:r>
        <w:rPr>
          <w:rFonts w:hint="eastAsia" w:ascii="宋体" w:hAnsi="宋体"/>
          <w:color w:val="auto"/>
          <w:sz w:val="21"/>
          <w:szCs w:val="21"/>
          <w:highlight w:val="none"/>
        </w:rPr>
        <w:t>因质量、服务问题被投诉3次以上，经查实的；</w:t>
      </w:r>
    </w:p>
    <w:p>
      <w:pPr>
        <w:numPr>
          <w:ilvl w:val="0"/>
          <w:numId w:val="8"/>
        </w:numPr>
        <w:spacing w:line="440" w:lineRule="exact"/>
        <w:rPr>
          <w:rFonts w:hint="eastAsia" w:ascii="宋体" w:hAnsi="宋体"/>
          <w:color w:val="auto"/>
          <w:sz w:val="21"/>
          <w:szCs w:val="21"/>
          <w:highlight w:val="none"/>
        </w:rPr>
      </w:pPr>
      <w:r>
        <w:rPr>
          <w:rFonts w:hint="eastAsia" w:ascii="宋体" w:hAnsi="宋体"/>
          <w:color w:val="auto"/>
          <w:sz w:val="21"/>
          <w:szCs w:val="21"/>
          <w:highlight w:val="none"/>
        </w:rPr>
        <w:t>未经甲方同意，乙方将送修车辆交由他厂维修；</w:t>
      </w:r>
    </w:p>
    <w:p>
      <w:pPr>
        <w:numPr>
          <w:ilvl w:val="0"/>
          <w:numId w:val="8"/>
        </w:numPr>
        <w:spacing w:line="440" w:lineRule="exact"/>
        <w:rPr>
          <w:rFonts w:hint="eastAsia" w:ascii="宋体" w:hAnsi="宋体"/>
          <w:color w:val="auto"/>
          <w:sz w:val="21"/>
          <w:szCs w:val="21"/>
          <w:highlight w:val="none"/>
        </w:rPr>
      </w:pPr>
      <w:r>
        <w:rPr>
          <w:rFonts w:hint="eastAsia" w:ascii="宋体" w:hAnsi="宋体"/>
          <w:color w:val="auto"/>
          <w:sz w:val="21"/>
          <w:szCs w:val="21"/>
          <w:highlight w:val="none"/>
        </w:rPr>
        <w:t>通过给回扣或变相给回扣的方式招揽生意，经查实的；</w:t>
      </w:r>
    </w:p>
    <w:p>
      <w:pPr>
        <w:numPr>
          <w:ilvl w:val="0"/>
          <w:numId w:val="8"/>
        </w:numPr>
        <w:spacing w:line="440" w:lineRule="exact"/>
        <w:rPr>
          <w:rFonts w:hint="eastAsia" w:ascii="宋体" w:hAnsi="宋体"/>
          <w:color w:val="auto"/>
          <w:sz w:val="21"/>
          <w:szCs w:val="21"/>
          <w:highlight w:val="none"/>
        </w:rPr>
      </w:pPr>
      <w:r>
        <w:rPr>
          <w:rFonts w:hint="eastAsia" w:ascii="宋体" w:hAnsi="宋体"/>
          <w:color w:val="auto"/>
          <w:sz w:val="21"/>
          <w:szCs w:val="21"/>
          <w:highlight w:val="none"/>
        </w:rPr>
        <w:t>因乙方维修质量问题，导致托修方车辆出现事故造成损失的；</w:t>
      </w:r>
    </w:p>
    <w:p>
      <w:pPr>
        <w:numPr>
          <w:ilvl w:val="0"/>
          <w:numId w:val="8"/>
        </w:numPr>
        <w:spacing w:line="440" w:lineRule="exact"/>
        <w:rPr>
          <w:rFonts w:hint="eastAsia" w:ascii="宋体" w:hAnsi="宋体"/>
          <w:color w:val="auto"/>
          <w:sz w:val="21"/>
          <w:szCs w:val="21"/>
          <w:highlight w:val="none"/>
        </w:rPr>
      </w:pPr>
      <w:r>
        <w:rPr>
          <w:rFonts w:hint="eastAsia" w:ascii="宋体" w:hAnsi="宋体"/>
          <w:color w:val="auto"/>
          <w:sz w:val="21"/>
          <w:szCs w:val="21"/>
          <w:highlight w:val="none"/>
        </w:rPr>
        <w:t>本项目招标文件规定的其他情况。</w:t>
      </w:r>
    </w:p>
    <w:p>
      <w:pPr>
        <w:numPr>
          <w:ilvl w:val="0"/>
          <w:numId w:val="4"/>
        </w:numPr>
        <w:tabs>
          <w:tab w:val="left" w:pos="180"/>
          <w:tab w:val="left" w:pos="900"/>
          <w:tab w:val="left" w:pos="1080"/>
          <w:tab w:val="left" w:pos="1260"/>
          <w:tab w:val="left" w:pos="1440"/>
          <w:tab w:val="clear" w:pos="420"/>
        </w:tabs>
        <w:spacing w:line="440" w:lineRule="exact"/>
        <w:ind w:left="0" w:firstLine="472" w:firstLineChars="224"/>
        <w:rPr>
          <w:rFonts w:hint="eastAsia" w:ascii="宋体" w:hAnsi="宋体"/>
          <w:b/>
          <w:color w:val="auto"/>
          <w:sz w:val="21"/>
          <w:szCs w:val="21"/>
          <w:highlight w:val="none"/>
        </w:rPr>
      </w:pPr>
      <w:r>
        <w:rPr>
          <w:rFonts w:hint="eastAsia" w:ascii="宋体" w:hAnsi="宋体"/>
          <w:b/>
          <w:color w:val="auto"/>
          <w:sz w:val="21"/>
          <w:szCs w:val="21"/>
          <w:highlight w:val="none"/>
        </w:rPr>
        <w:t>投诉：</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为了保障双方的权益，本合同建立投诉监督管理制度，其具体方式为：</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1、甲方方可就乙方的维修质量或服务问题向招标人投诉。</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2、经核查，如情况属实则该投诉有效，将记录在案并按有关规定处理。</w:t>
      </w:r>
    </w:p>
    <w:p>
      <w:pPr>
        <w:numPr>
          <w:ilvl w:val="0"/>
          <w:numId w:val="4"/>
        </w:numPr>
        <w:tabs>
          <w:tab w:val="left" w:pos="180"/>
          <w:tab w:val="left" w:pos="900"/>
          <w:tab w:val="left" w:pos="1080"/>
          <w:tab w:val="left" w:pos="1260"/>
          <w:tab w:val="left" w:pos="1440"/>
          <w:tab w:val="clear" w:pos="420"/>
        </w:tabs>
        <w:spacing w:line="440" w:lineRule="exact"/>
        <w:ind w:left="0" w:firstLine="472" w:firstLineChars="224"/>
        <w:rPr>
          <w:rFonts w:hint="eastAsia" w:ascii="宋体" w:hAnsi="宋体"/>
          <w:color w:val="auto"/>
          <w:sz w:val="21"/>
          <w:szCs w:val="21"/>
          <w:highlight w:val="none"/>
        </w:rPr>
      </w:pPr>
      <w:r>
        <w:rPr>
          <w:rFonts w:hint="eastAsia" w:ascii="宋体" w:hAnsi="宋体"/>
          <w:b/>
          <w:color w:val="auto"/>
          <w:sz w:val="21"/>
          <w:szCs w:val="21"/>
          <w:highlight w:val="none"/>
        </w:rPr>
        <w:t>合同期限：</w:t>
      </w:r>
      <w:r>
        <w:rPr>
          <w:rFonts w:hint="eastAsia" w:ascii="宋体" w:hAnsi="宋体"/>
          <w:color w:val="auto"/>
          <w:sz w:val="21"/>
          <w:szCs w:val="21"/>
          <w:highlight w:val="none"/>
        </w:rPr>
        <w:t>本合同有效期自</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日至</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日，到期后招标人将视情况决定是否延长期限。若有延长的履约保证金的有效期将延长之相应期限。</w:t>
      </w:r>
    </w:p>
    <w:p>
      <w:pPr>
        <w:numPr>
          <w:ilvl w:val="0"/>
          <w:numId w:val="4"/>
        </w:numPr>
        <w:tabs>
          <w:tab w:val="left" w:pos="180"/>
          <w:tab w:val="left" w:pos="900"/>
          <w:tab w:val="left" w:pos="1080"/>
          <w:tab w:val="left" w:pos="1260"/>
          <w:tab w:val="left" w:pos="1440"/>
          <w:tab w:val="clear" w:pos="420"/>
        </w:tabs>
        <w:spacing w:line="440" w:lineRule="exact"/>
        <w:ind w:left="0" w:firstLine="472" w:firstLineChars="224"/>
        <w:rPr>
          <w:rFonts w:hint="eastAsia" w:ascii="宋体" w:hAnsi="宋体"/>
          <w:b/>
          <w:color w:val="auto"/>
          <w:sz w:val="21"/>
          <w:szCs w:val="21"/>
          <w:highlight w:val="none"/>
        </w:rPr>
      </w:pPr>
      <w:r>
        <w:rPr>
          <w:rFonts w:hint="eastAsia" w:ascii="宋体" w:hAnsi="宋体"/>
          <w:b/>
          <w:color w:val="auto"/>
          <w:sz w:val="21"/>
          <w:szCs w:val="21"/>
          <w:highlight w:val="none"/>
        </w:rPr>
        <w:t>争议及解决</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如双方在履行合同时发生纠纷，应尽量协商解决，协商不成，任何一方可到有权部门申请仲裁。</w:t>
      </w:r>
    </w:p>
    <w:p>
      <w:pPr>
        <w:numPr>
          <w:ilvl w:val="0"/>
          <w:numId w:val="4"/>
        </w:numPr>
        <w:tabs>
          <w:tab w:val="left" w:pos="180"/>
          <w:tab w:val="left" w:pos="900"/>
          <w:tab w:val="left" w:pos="1080"/>
          <w:tab w:val="left" w:pos="1260"/>
          <w:tab w:val="left" w:pos="1440"/>
          <w:tab w:val="clear" w:pos="420"/>
        </w:tabs>
        <w:spacing w:line="440" w:lineRule="exact"/>
        <w:ind w:left="0" w:firstLine="472" w:firstLineChars="224"/>
        <w:rPr>
          <w:rFonts w:hint="eastAsia" w:ascii="宋体" w:hAnsi="宋体"/>
          <w:b/>
          <w:color w:val="auto"/>
          <w:sz w:val="21"/>
          <w:szCs w:val="21"/>
          <w:highlight w:val="none"/>
        </w:rPr>
      </w:pPr>
      <w:r>
        <w:rPr>
          <w:rFonts w:hint="eastAsia" w:ascii="宋体" w:hAnsi="宋体"/>
          <w:b/>
          <w:color w:val="auto"/>
          <w:sz w:val="21"/>
          <w:szCs w:val="21"/>
          <w:highlight w:val="none"/>
        </w:rPr>
        <w:t>其它：</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1、招标文件、投标文件及澄清函等均作为本合同的重要组成部分，甲、乙双方应共同遵守。</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2、本项目未尽事宜，可以补充合同或协议的形式加以补充。补充合同或协议与本合同具有同样的法律效力。</w:t>
      </w:r>
    </w:p>
    <w:p>
      <w:pPr>
        <w:numPr>
          <w:ilvl w:val="0"/>
          <w:numId w:val="4"/>
        </w:numPr>
        <w:tabs>
          <w:tab w:val="left" w:pos="180"/>
          <w:tab w:val="left" w:pos="900"/>
          <w:tab w:val="left" w:pos="1080"/>
          <w:tab w:val="left" w:pos="1260"/>
          <w:tab w:val="left" w:pos="1440"/>
          <w:tab w:val="clear" w:pos="420"/>
        </w:tabs>
        <w:spacing w:line="440" w:lineRule="exact"/>
        <w:ind w:left="0" w:firstLine="470" w:firstLineChars="224"/>
        <w:rPr>
          <w:rFonts w:hint="eastAsia" w:ascii="宋体" w:hAnsi="宋体"/>
          <w:color w:val="auto"/>
          <w:sz w:val="21"/>
          <w:szCs w:val="21"/>
          <w:highlight w:val="none"/>
        </w:rPr>
      </w:pPr>
      <w:r>
        <w:rPr>
          <w:rFonts w:hint="eastAsia" w:ascii="宋体" w:hAnsi="宋体"/>
          <w:color w:val="auto"/>
          <w:sz w:val="21"/>
          <w:szCs w:val="21"/>
          <w:highlight w:val="none"/>
        </w:rPr>
        <w:t>本合同一式三份，甲、乙双方各持一份。送招标代理人备案一份。</w:t>
      </w:r>
    </w:p>
    <w:p>
      <w:pPr>
        <w:numPr>
          <w:ilvl w:val="0"/>
          <w:numId w:val="4"/>
        </w:numPr>
        <w:tabs>
          <w:tab w:val="left" w:pos="180"/>
          <w:tab w:val="left" w:pos="900"/>
          <w:tab w:val="left" w:pos="1080"/>
          <w:tab w:val="left" w:pos="1260"/>
          <w:tab w:val="left" w:pos="1440"/>
          <w:tab w:val="clear" w:pos="420"/>
        </w:tabs>
        <w:spacing w:line="440" w:lineRule="exact"/>
        <w:ind w:left="0" w:firstLine="470" w:firstLineChars="224"/>
        <w:rPr>
          <w:rFonts w:hint="eastAsia" w:ascii="宋体" w:hAnsi="宋体"/>
          <w:color w:val="auto"/>
          <w:sz w:val="21"/>
          <w:szCs w:val="21"/>
          <w:highlight w:val="none"/>
        </w:rPr>
      </w:pPr>
      <w:r>
        <w:rPr>
          <w:rFonts w:hint="eastAsia" w:ascii="宋体" w:hAnsi="宋体"/>
          <w:color w:val="auto"/>
          <w:sz w:val="21"/>
          <w:szCs w:val="21"/>
          <w:highlight w:val="none"/>
        </w:rPr>
        <w:t>本合同经双方签字、盖章后立即生效。</w:t>
      </w:r>
    </w:p>
    <w:p>
      <w:pPr>
        <w:spacing w:line="440" w:lineRule="exact"/>
        <w:rPr>
          <w:rFonts w:hint="eastAsia" w:ascii="宋体" w:hAnsi="宋体"/>
          <w:color w:val="auto"/>
          <w:sz w:val="21"/>
          <w:szCs w:val="21"/>
          <w:highlight w:val="none"/>
        </w:rPr>
      </w:pPr>
      <w:r>
        <w:rPr>
          <w:rFonts w:hint="eastAsia" w:ascii="宋体" w:hAnsi="宋体"/>
          <w:color w:val="auto"/>
          <w:sz w:val="21"/>
          <w:szCs w:val="21"/>
          <w:highlight w:val="none"/>
        </w:rPr>
        <w:t>甲方：　　　　　　　　　　　　　　       　乙方：</w:t>
      </w:r>
    </w:p>
    <w:p>
      <w:pPr>
        <w:spacing w:line="440" w:lineRule="exact"/>
        <w:rPr>
          <w:rFonts w:hint="eastAsia" w:ascii="宋体" w:hAnsi="宋体"/>
          <w:color w:val="auto"/>
          <w:sz w:val="21"/>
          <w:szCs w:val="21"/>
          <w:highlight w:val="none"/>
        </w:rPr>
      </w:pPr>
      <w:r>
        <w:rPr>
          <w:rFonts w:hint="eastAsia" w:ascii="宋体" w:hAnsi="宋体"/>
          <w:color w:val="auto"/>
          <w:sz w:val="21"/>
          <w:szCs w:val="21"/>
          <w:highlight w:val="none"/>
        </w:rPr>
        <w:t>地址：                                     地址：</w:t>
      </w:r>
    </w:p>
    <w:p>
      <w:pPr>
        <w:spacing w:line="440" w:lineRule="exact"/>
        <w:rPr>
          <w:rFonts w:hint="eastAsia" w:ascii="宋体" w:hAnsi="宋体"/>
          <w:color w:val="auto"/>
          <w:sz w:val="21"/>
          <w:szCs w:val="21"/>
          <w:highlight w:val="none"/>
        </w:rPr>
      </w:pPr>
      <w:r>
        <w:rPr>
          <w:rFonts w:hint="eastAsia" w:ascii="宋体" w:hAnsi="宋体"/>
          <w:color w:val="auto"/>
          <w:sz w:val="21"/>
          <w:szCs w:val="21"/>
          <w:highlight w:val="none"/>
        </w:rPr>
        <w:t>法定代表人：　　　　　　　　　　 　　　　　法定代表人（或负责人）：</w:t>
      </w:r>
    </w:p>
    <w:p>
      <w:pPr>
        <w:spacing w:line="440" w:lineRule="exact"/>
        <w:rPr>
          <w:rFonts w:hint="eastAsia" w:ascii="宋体" w:hAnsi="宋体"/>
          <w:color w:val="auto"/>
          <w:sz w:val="21"/>
          <w:szCs w:val="21"/>
          <w:highlight w:val="none"/>
        </w:rPr>
      </w:pPr>
      <w:r>
        <w:rPr>
          <w:rFonts w:hint="eastAsia" w:ascii="宋体" w:hAnsi="宋体"/>
          <w:color w:val="auto"/>
          <w:sz w:val="21"/>
          <w:szCs w:val="21"/>
          <w:highlight w:val="none"/>
        </w:rPr>
        <w:t>委托代理人：　　　　　　　　　　 　　　　　委托代理人：</w:t>
      </w:r>
    </w:p>
    <w:p>
      <w:pPr>
        <w:spacing w:line="440" w:lineRule="exact"/>
        <w:rPr>
          <w:rFonts w:hint="eastAsia" w:ascii="宋体" w:hAnsi="宋体"/>
          <w:color w:val="auto"/>
          <w:sz w:val="21"/>
          <w:szCs w:val="21"/>
          <w:highlight w:val="none"/>
        </w:rPr>
      </w:pPr>
      <w:r>
        <w:rPr>
          <w:rFonts w:hint="eastAsia" w:ascii="宋体" w:hAnsi="宋体"/>
          <w:color w:val="auto"/>
          <w:sz w:val="21"/>
          <w:szCs w:val="21"/>
          <w:highlight w:val="none"/>
        </w:rPr>
        <w:t>电话：                                     电话：</w:t>
      </w:r>
    </w:p>
    <w:p>
      <w:pPr>
        <w:spacing w:line="440" w:lineRule="exact"/>
        <w:rPr>
          <w:rFonts w:hint="eastAsia" w:ascii="宋体" w:hAnsi="宋体"/>
          <w:color w:val="auto"/>
          <w:sz w:val="21"/>
          <w:szCs w:val="21"/>
          <w:highlight w:val="none"/>
        </w:rPr>
      </w:pPr>
      <w:r>
        <w:rPr>
          <w:rFonts w:hint="eastAsia" w:ascii="宋体" w:hAnsi="宋体"/>
          <w:color w:val="auto"/>
          <w:sz w:val="21"/>
          <w:szCs w:val="21"/>
          <w:highlight w:val="none"/>
        </w:rPr>
        <w:t>开户银行：                                 开户银行：</w:t>
      </w:r>
    </w:p>
    <w:p>
      <w:pPr>
        <w:spacing w:line="440" w:lineRule="exact"/>
        <w:rPr>
          <w:rFonts w:hint="eastAsia" w:ascii="宋体" w:hAnsi="宋体"/>
          <w:color w:val="auto"/>
          <w:sz w:val="21"/>
          <w:szCs w:val="21"/>
          <w:highlight w:val="none"/>
        </w:rPr>
      </w:pPr>
      <w:r>
        <w:rPr>
          <w:rFonts w:hint="eastAsia" w:ascii="宋体" w:hAnsi="宋体"/>
          <w:color w:val="auto"/>
          <w:sz w:val="21"/>
          <w:szCs w:val="21"/>
          <w:highlight w:val="none"/>
        </w:rPr>
        <w:t>帐号：                                     帐号：</w:t>
      </w:r>
    </w:p>
    <w:p>
      <w:pPr>
        <w:spacing w:line="440" w:lineRule="exact"/>
        <w:rPr>
          <w:rFonts w:hint="eastAsia" w:ascii="宋体" w:hAnsi="宋体"/>
          <w:color w:val="auto"/>
          <w:sz w:val="21"/>
          <w:szCs w:val="21"/>
          <w:highlight w:val="none"/>
        </w:rPr>
      </w:pPr>
      <w:r>
        <w:rPr>
          <w:rFonts w:hint="eastAsia" w:ascii="宋体" w:hAnsi="宋体"/>
          <w:color w:val="auto"/>
          <w:sz w:val="21"/>
          <w:szCs w:val="21"/>
          <w:highlight w:val="none"/>
        </w:rPr>
        <w:t>年    月    日                             年    月    日</w:t>
      </w:r>
    </w:p>
    <w:p>
      <w:pPr>
        <w:spacing w:line="440" w:lineRule="exact"/>
        <w:rPr>
          <w:rFonts w:hint="eastAsia" w:ascii="宋体" w:hAnsi="宋体"/>
          <w:b/>
          <w:color w:val="auto"/>
          <w:sz w:val="21"/>
          <w:szCs w:val="21"/>
          <w:highlight w:val="none"/>
        </w:rPr>
      </w:pPr>
      <w:r>
        <w:rPr>
          <w:rFonts w:hint="eastAsia" w:ascii="宋体" w:hAnsi="宋体"/>
          <w:b/>
          <w:color w:val="auto"/>
          <w:sz w:val="21"/>
          <w:szCs w:val="21"/>
          <w:highlight w:val="none"/>
        </w:rPr>
        <w:t>备注：最终签订合同以与甲方签订合同为准。</w:t>
      </w:r>
    </w:p>
    <w:p>
      <w:pPr>
        <w:spacing w:line="440" w:lineRule="exact"/>
        <w:jc w:val="center"/>
        <w:outlineLvl w:val="1"/>
        <w:rPr>
          <w:rFonts w:hint="eastAsia" w:ascii="宋体" w:hAnsi="宋体"/>
          <w:b/>
          <w:color w:val="auto"/>
          <w:sz w:val="21"/>
          <w:szCs w:val="21"/>
          <w:highlight w:val="none"/>
        </w:rPr>
      </w:pPr>
      <w:r>
        <w:rPr>
          <w:rFonts w:hint="eastAsia" w:ascii="宋体" w:hAnsi="宋体"/>
          <w:b/>
          <w:color w:val="auto"/>
          <w:sz w:val="21"/>
          <w:szCs w:val="21"/>
          <w:highlight w:val="none"/>
        </w:rPr>
        <w:br w:type="page"/>
      </w:r>
      <w:bookmarkStart w:id="184" w:name="_Toc380404622"/>
      <w:bookmarkStart w:id="185" w:name="_Toc16331"/>
      <w:r>
        <w:rPr>
          <w:rFonts w:hint="eastAsia" w:ascii="宋体" w:hAnsi="宋体"/>
          <w:b/>
          <w:color w:val="auto"/>
          <w:sz w:val="21"/>
          <w:szCs w:val="21"/>
          <w:highlight w:val="none"/>
        </w:rPr>
        <w:t>第一章 合同一般条款</w:t>
      </w:r>
      <w:bookmarkEnd w:id="184"/>
      <w:bookmarkEnd w:id="185"/>
    </w:p>
    <w:p>
      <w:pPr>
        <w:spacing w:line="440" w:lineRule="exact"/>
        <w:ind w:firstLine="422" w:firstLineChars="200"/>
        <w:rPr>
          <w:rFonts w:hint="eastAsia" w:ascii="宋体" w:hAnsi="宋体"/>
          <w:b/>
          <w:color w:val="auto"/>
          <w:sz w:val="21"/>
          <w:szCs w:val="21"/>
          <w:highlight w:val="none"/>
        </w:rPr>
      </w:pPr>
      <w:r>
        <w:rPr>
          <w:rFonts w:hint="eastAsia" w:ascii="宋体" w:hAnsi="宋体"/>
          <w:b/>
          <w:color w:val="auto"/>
          <w:sz w:val="21"/>
          <w:szCs w:val="21"/>
          <w:highlight w:val="none"/>
        </w:rPr>
        <w:t>1. 定义</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1.1　“合同”系指甲方和乙方(以下简称合同双方)已达成的协议，即由双方签订的合同格式文件，包括所有的招标文件、投标文件、招标答疑记录、澄清说明、附件、附录和组成合同的所有其他文件。</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1.2　“合同价格”系指根据合同规定，在乙方全面正确地履行合同义务时，甲方应支付给乙方的款项。</w:t>
      </w:r>
    </w:p>
    <w:p>
      <w:pPr>
        <w:spacing w:before="120" w:beforeLines="50" w:after="120" w:afterLines="50" w:line="440" w:lineRule="exact"/>
        <w:ind w:left="-105" w:leftChars="-50" w:firstLine="525" w:firstLineChars="250"/>
        <w:rPr>
          <w:rFonts w:hint="eastAsia" w:ascii="宋体" w:hAnsi="宋体"/>
          <w:color w:val="auto"/>
          <w:sz w:val="21"/>
          <w:szCs w:val="21"/>
          <w:highlight w:val="none"/>
        </w:rPr>
      </w:pPr>
      <w:r>
        <w:rPr>
          <w:rFonts w:hint="eastAsia" w:ascii="宋体" w:hAnsi="宋体"/>
          <w:color w:val="auto"/>
          <w:sz w:val="21"/>
          <w:szCs w:val="21"/>
          <w:highlight w:val="none"/>
        </w:rPr>
        <w:t>1.3　“货物”系指乙方按合同要求，须向</w:t>
      </w:r>
      <w:r>
        <w:rPr>
          <w:rFonts w:hint="eastAsia" w:ascii="宋体" w:hAnsi="宋体"/>
          <w:color w:val="auto"/>
          <w:sz w:val="21"/>
          <w:szCs w:val="21"/>
          <w:highlight w:val="none"/>
          <w:lang w:eastAsia="zh-CN"/>
        </w:rPr>
        <w:t>乌鲁木齐市公安局天山区分局</w:t>
      </w:r>
      <w:r>
        <w:rPr>
          <w:rFonts w:hint="eastAsia" w:ascii="宋体" w:hAnsi="宋体"/>
          <w:color w:val="auto"/>
          <w:sz w:val="21"/>
          <w:szCs w:val="21"/>
          <w:highlight w:val="none"/>
        </w:rPr>
        <w:t>提供的本次采购涉及的维修材料（本文简称：材料），包括：配件、漆料、油料等</w:t>
      </w:r>
      <w:r>
        <w:rPr>
          <w:rFonts w:hint="eastAsia" w:ascii="宋体" w:hAnsi="宋体" w:cs="宋体"/>
          <w:color w:val="auto"/>
          <w:kern w:val="0"/>
          <w:sz w:val="21"/>
          <w:szCs w:val="21"/>
          <w:highlight w:val="none"/>
        </w:rPr>
        <w:t>。</w:t>
      </w:r>
    </w:p>
    <w:p>
      <w:pPr>
        <w:spacing w:line="440" w:lineRule="exact"/>
        <w:ind w:left="479" w:leftChars="228"/>
        <w:rPr>
          <w:rFonts w:hint="eastAsia" w:ascii="宋体" w:hAnsi="宋体"/>
          <w:color w:val="auto"/>
          <w:sz w:val="21"/>
          <w:szCs w:val="21"/>
          <w:highlight w:val="none"/>
        </w:rPr>
      </w:pPr>
      <w:r>
        <w:rPr>
          <w:rFonts w:hint="eastAsia" w:ascii="宋体" w:hAnsi="宋体"/>
          <w:color w:val="auto"/>
          <w:sz w:val="21"/>
          <w:szCs w:val="21"/>
          <w:highlight w:val="none"/>
        </w:rPr>
        <w:t>1.4　“服务”系指招标文件规定卖方须承担的整车修理、总成修理、整车各级维护、小修、维修救援、专项修理（不包含车辆装潢）和维修竣工检验工作和义务。</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1.5　“甲方”、“买方”、“招标方”均系指通过招标采购，接受合同货物及服务的各行政事业单位、社会团体等采购单位及社会代理公司。</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1.6　“乙方”、“卖方”系指购买了招标文件且提交投标文件的车辆维修单位（也称卖方或乙方）。</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1.7　“现场”系指将要进行整车修理、总成修理、整车各级维护、小修、维修救援、专项修理（不包含车辆装潢）和维修竣工检验的地点。</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1.8　“验收”系指甲方依据国家技术规范及本合同的约定，对技术规格规定接受合同货物所依据的程序和条件。</w:t>
      </w:r>
    </w:p>
    <w:p>
      <w:pPr>
        <w:spacing w:line="440" w:lineRule="exact"/>
        <w:ind w:firstLine="422" w:firstLineChars="200"/>
        <w:rPr>
          <w:rFonts w:hint="eastAsia" w:ascii="宋体" w:hAnsi="宋体"/>
          <w:b/>
          <w:color w:val="auto"/>
          <w:sz w:val="21"/>
          <w:szCs w:val="21"/>
          <w:highlight w:val="none"/>
        </w:rPr>
      </w:pPr>
      <w:r>
        <w:rPr>
          <w:rFonts w:hint="eastAsia" w:ascii="宋体" w:hAnsi="宋体"/>
          <w:b/>
          <w:color w:val="auto"/>
          <w:sz w:val="21"/>
          <w:szCs w:val="21"/>
          <w:highlight w:val="none"/>
        </w:rPr>
        <w:t>2. 适用范围</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2.1　本合同条款仅适用于本次招标活动。</w:t>
      </w:r>
    </w:p>
    <w:p>
      <w:pPr>
        <w:spacing w:line="440" w:lineRule="exact"/>
        <w:ind w:firstLine="422" w:firstLineChars="200"/>
        <w:rPr>
          <w:rFonts w:hint="eastAsia" w:ascii="宋体" w:hAnsi="宋体"/>
          <w:b/>
          <w:color w:val="auto"/>
          <w:sz w:val="21"/>
          <w:szCs w:val="21"/>
          <w:highlight w:val="none"/>
        </w:rPr>
      </w:pPr>
      <w:r>
        <w:rPr>
          <w:rFonts w:hint="eastAsia" w:ascii="宋体" w:hAnsi="宋体"/>
          <w:b/>
          <w:color w:val="auto"/>
          <w:sz w:val="21"/>
          <w:szCs w:val="21"/>
          <w:highlight w:val="none"/>
        </w:rPr>
        <w:t>3. 原产地</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3.1　原产地系指货物的生产地，或提供辅助服务的来源地。</w:t>
      </w:r>
    </w:p>
    <w:p>
      <w:pPr>
        <w:spacing w:line="440" w:lineRule="exact"/>
        <w:ind w:firstLine="422" w:firstLineChars="200"/>
        <w:rPr>
          <w:rFonts w:hint="eastAsia" w:ascii="宋体" w:hAnsi="宋体"/>
          <w:b/>
          <w:color w:val="auto"/>
          <w:sz w:val="21"/>
          <w:szCs w:val="21"/>
          <w:highlight w:val="none"/>
        </w:rPr>
      </w:pPr>
      <w:r>
        <w:rPr>
          <w:rFonts w:hint="eastAsia" w:ascii="宋体" w:hAnsi="宋体"/>
          <w:b/>
          <w:color w:val="auto"/>
          <w:sz w:val="21"/>
          <w:szCs w:val="21"/>
          <w:highlight w:val="none"/>
        </w:rPr>
        <w:t>4. 技术规格和标准</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4.1　本合同项下所供货物的技术规格应与本招标文件技术规格规定的标准相一致。若技术规格中无相应规定，货物则应符合相应的国家标准或有关权威部门最新颁布的相应的正式标准。</w:t>
      </w:r>
    </w:p>
    <w:p>
      <w:pPr>
        <w:spacing w:line="440" w:lineRule="exact"/>
        <w:ind w:firstLine="422" w:firstLineChars="200"/>
        <w:rPr>
          <w:rFonts w:hint="eastAsia" w:ascii="宋体" w:hAnsi="宋体"/>
          <w:b/>
          <w:color w:val="auto"/>
          <w:sz w:val="21"/>
          <w:szCs w:val="21"/>
          <w:highlight w:val="none"/>
        </w:rPr>
      </w:pPr>
      <w:r>
        <w:rPr>
          <w:rFonts w:hint="eastAsia" w:ascii="宋体" w:hAnsi="宋体"/>
          <w:b/>
          <w:color w:val="auto"/>
          <w:sz w:val="21"/>
          <w:szCs w:val="21"/>
          <w:highlight w:val="none"/>
        </w:rPr>
        <w:t>5. 专利权</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5.1　乙方须保障甲方在使用其提供的货物、服务及其任何部分时不受到第三方关于侵犯专利权、商标权或工业设计权的指控。任何第三方如果提出侵权指控，乙方须与第三方交涉并承担由此而引起的一切法律责任和费用。</w:t>
      </w:r>
    </w:p>
    <w:p>
      <w:pPr>
        <w:spacing w:line="440" w:lineRule="exact"/>
        <w:ind w:firstLine="422" w:firstLineChars="200"/>
        <w:rPr>
          <w:rFonts w:hint="eastAsia" w:ascii="宋体" w:hAnsi="宋体"/>
          <w:b/>
          <w:color w:val="auto"/>
          <w:sz w:val="21"/>
          <w:szCs w:val="21"/>
          <w:highlight w:val="none"/>
        </w:rPr>
      </w:pPr>
      <w:r>
        <w:rPr>
          <w:rFonts w:hint="eastAsia" w:ascii="宋体" w:hAnsi="宋体"/>
          <w:b/>
          <w:color w:val="auto"/>
          <w:sz w:val="21"/>
          <w:szCs w:val="21"/>
          <w:highlight w:val="none"/>
        </w:rPr>
        <w:t>6. 包装</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6.1　除本合同另有规定之外，提供的全部货物须采用相应标准的保护措施进行包装。这种包装应适于空运和内陆运输，并有良好的防潮、防震、防锈和防野蛮装卸等保护措施，以确保货物安全运抵现场。乙方应承担由于其包装或其防护措施不妥而引起货物锈蚀、损坏和丢失造成的任何损失或费用。</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6.2　每件包装应附有详细装箱单和质量证书各两套，一套在包装箱里，一套在包装箱外。</w:t>
      </w:r>
    </w:p>
    <w:p>
      <w:pPr>
        <w:spacing w:line="440" w:lineRule="exact"/>
        <w:ind w:firstLine="210" w:firstLineChars="100"/>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b/>
          <w:color w:val="auto"/>
          <w:sz w:val="21"/>
          <w:szCs w:val="21"/>
          <w:highlight w:val="none"/>
        </w:rPr>
        <w:t>7. 运输标记</w:t>
      </w:r>
      <w:r>
        <w:rPr>
          <w:rFonts w:hint="eastAsia" w:ascii="宋体" w:hAnsi="宋体"/>
          <w:b/>
          <w:color w:val="auto"/>
          <w:sz w:val="21"/>
          <w:szCs w:val="21"/>
          <w:highlight w:val="none"/>
        </w:rPr>
        <w:cr/>
      </w:r>
      <w:r>
        <w:rPr>
          <w:rFonts w:hint="eastAsia" w:ascii="宋体" w:hAnsi="宋体"/>
          <w:color w:val="auto"/>
          <w:sz w:val="21"/>
          <w:szCs w:val="21"/>
          <w:highlight w:val="none"/>
        </w:rPr>
        <w:t xml:space="preserve">    7.1　乙方应在每一包装箱邻接的四个侧面用不易褪色的油漆以醒目的中文印刷字体标明以下各项：</w:t>
      </w:r>
      <w:r>
        <w:rPr>
          <w:rFonts w:hint="eastAsia" w:ascii="宋体" w:hAnsi="宋体"/>
          <w:color w:val="auto"/>
          <w:sz w:val="21"/>
          <w:szCs w:val="21"/>
          <w:highlight w:val="none"/>
        </w:rPr>
        <w:cr/>
      </w:r>
      <w:r>
        <w:rPr>
          <w:rFonts w:hint="eastAsia" w:ascii="宋体" w:hAnsi="宋体"/>
          <w:color w:val="auto"/>
          <w:sz w:val="21"/>
          <w:szCs w:val="21"/>
          <w:highlight w:val="none"/>
        </w:rPr>
        <w:t xml:space="preserve">  　(1) 收货人；</w:t>
      </w:r>
    </w:p>
    <w:p>
      <w:pPr>
        <w:spacing w:line="440" w:lineRule="exact"/>
        <w:rPr>
          <w:rFonts w:hint="eastAsia" w:ascii="宋体" w:hAnsi="宋体"/>
          <w:color w:val="auto"/>
          <w:sz w:val="21"/>
          <w:szCs w:val="21"/>
          <w:highlight w:val="none"/>
        </w:rPr>
      </w:pPr>
      <w:r>
        <w:rPr>
          <w:rFonts w:hint="eastAsia" w:ascii="宋体" w:hAnsi="宋体"/>
          <w:color w:val="auto"/>
          <w:sz w:val="21"/>
          <w:szCs w:val="21"/>
          <w:highlight w:val="none"/>
        </w:rPr>
        <w:t xml:space="preserve">  　(2) 合同号；</w:t>
      </w:r>
      <w:r>
        <w:rPr>
          <w:rFonts w:hint="eastAsia" w:ascii="宋体" w:hAnsi="宋体"/>
          <w:color w:val="auto"/>
          <w:sz w:val="21"/>
          <w:szCs w:val="21"/>
          <w:highlight w:val="none"/>
        </w:rPr>
        <w:cr/>
      </w:r>
      <w:r>
        <w:rPr>
          <w:rFonts w:hint="eastAsia" w:ascii="宋体" w:hAnsi="宋体"/>
          <w:color w:val="auto"/>
          <w:sz w:val="21"/>
          <w:szCs w:val="21"/>
          <w:highlight w:val="none"/>
        </w:rPr>
        <w:t xml:space="preserve">  　(3) 收货人代号；</w:t>
      </w:r>
      <w:r>
        <w:rPr>
          <w:rFonts w:hint="eastAsia" w:ascii="宋体" w:hAnsi="宋体"/>
          <w:color w:val="auto"/>
          <w:sz w:val="21"/>
          <w:szCs w:val="21"/>
          <w:highlight w:val="none"/>
        </w:rPr>
        <w:cr/>
      </w:r>
      <w:r>
        <w:rPr>
          <w:rFonts w:hint="eastAsia" w:ascii="宋体" w:hAnsi="宋体"/>
          <w:color w:val="auto"/>
          <w:sz w:val="21"/>
          <w:szCs w:val="21"/>
          <w:highlight w:val="none"/>
        </w:rPr>
        <w:t xml:space="preserve">  　(4) 目的地；</w:t>
      </w:r>
    </w:p>
    <w:p>
      <w:pPr>
        <w:spacing w:line="440" w:lineRule="exact"/>
        <w:rPr>
          <w:rFonts w:hint="eastAsia" w:ascii="宋体" w:hAnsi="宋体"/>
          <w:color w:val="auto"/>
          <w:sz w:val="21"/>
          <w:szCs w:val="21"/>
          <w:highlight w:val="none"/>
        </w:rPr>
      </w:pPr>
      <w:r>
        <w:rPr>
          <w:rFonts w:hint="eastAsia" w:ascii="宋体" w:hAnsi="宋体"/>
          <w:color w:val="auto"/>
          <w:sz w:val="21"/>
          <w:szCs w:val="21"/>
          <w:highlight w:val="none"/>
        </w:rPr>
        <w:t xml:space="preserve">  　(5) 货物的名称、品目号、箱号；</w:t>
      </w:r>
    </w:p>
    <w:p>
      <w:pPr>
        <w:spacing w:line="440" w:lineRule="exact"/>
        <w:rPr>
          <w:rFonts w:hint="eastAsia" w:ascii="宋体" w:hAnsi="宋体"/>
          <w:color w:val="auto"/>
          <w:sz w:val="21"/>
          <w:szCs w:val="21"/>
          <w:highlight w:val="none"/>
        </w:rPr>
      </w:pPr>
      <w:r>
        <w:rPr>
          <w:rFonts w:hint="eastAsia" w:ascii="宋体" w:hAnsi="宋体"/>
          <w:color w:val="auto"/>
          <w:sz w:val="21"/>
          <w:szCs w:val="21"/>
          <w:highlight w:val="none"/>
        </w:rPr>
        <w:t xml:space="preserve">  　(6) 毛重／净重(公斤) ；</w:t>
      </w:r>
    </w:p>
    <w:p>
      <w:pPr>
        <w:spacing w:line="440" w:lineRule="exact"/>
        <w:ind w:firstLine="480"/>
        <w:rPr>
          <w:rFonts w:hint="eastAsia" w:ascii="宋体" w:hAnsi="宋体"/>
          <w:color w:val="auto"/>
          <w:sz w:val="21"/>
          <w:szCs w:val="21"/>
          <w:highlight w:val="none"/>
        </w:rPr>
      </w:pPr>
      <w:r>
        <w:rPr>
          <w:rFonts w:hint="eastAsia" w:ascii="宋体" w:hAnsi="宋体"/>
          <w:color w:val="auto"/>
          <w:sz w:val="21"/>
          <w:szCs w:val="21"/>
          <w:highlight w:val="none"/>
        </w:rPr>
        <w:t>(7) 尺寸(长x宽x高，以厘米计)。</w:t>
      </w:r>
    </w:p>
    <w:p>
      <w:pPr>
        <w:spacing w:line="440" w:lineRule="exact"/>
        <w:ind w:firstLine="480"/>
        <w:rPr>
          <w:rFonts w:hint="eastAsia" w:ascii="宋体" w:hAnsi="宋体"/>
          <w:b/>
          <w:color w:val="auto"/>
          <w:sz w:val="21"/>
          <w:szCs w:val="21"/>
          <w:highlight w:val="none"/>
        </w:rPr>
      </w:pPr>
      <w:r>
        <w:rPr>
          <w:rFonts w:hint="eastAsia" w:ascii="宋体" w:hAnsi="宋体"/>
          <w:b/>
          <w:color w:val="auto"/>
          <w:sz w:val="21"/>
          <w:szCs w:val="21"/>
          <w:highlight w:val="none"/>
        </w:rPr>
        <w:t>8. 乙方的交货价</w:t>
      </w:r>
    </w:p>
    <w:p>
      <w:pPr>
        <w:spacing w:line="440" w:lineRule="exact"/>
        <w:ind w:firstLine="480"/>
        <w:rPr>
          <w:rFonts w:hint="eastAsia" w:ascii="宋体" w:hAnsi="宋体"/>
          <w:color w:val="auto"/>
          <w:sz w:val="21"/>
          <w:szCs w:val="21"/>
          <w:highlight w:val="none"/>
        </w:rPr>
      </w:pPr>
      <w:r>
        <w:rPr>
          <w:rFonts w:hint="eastAsia" w:ascii="宋体" w:hAnsi="宋体"/>
          <w:color w:val="auto"/>
          <w:sz w:val="21"/>
          <w:szCs w:val="21"/>
          <w:highlight w:val="none"/>
        </w:rPr>
        <w:t>8.1　乙方负责安排自发运地至甲方现场的运输，费用包含在合同总价中。</w:t>
      </w:r>
    </w:p>
    <w:p>
      <w:pPr>
        <w:spacing w:line="440" w:lineRule="exact"/>
        <w:ind w:firstLine="480"/>
        <w:rPr>
          <w:rFonts w:hint="eastAsia" w:ascii="宋体" w:hAnsi="宋体"/>
          <w:color w:val="auto"/>
          <w:sz w:val="21"/>
          <w:szCs w:val="21"/>
          <w:highlight w:val="none"/>
        </w:rPr>
      </w:pPr>
      <w:r>
        <w:rPr>
          <w:rFonts w:hint="eastAsia" w:ascii="宋体" w:hAnsi="宋体"/>
          <w:color w:val="auto"/>
          <w:sz w:val="21"/>
          <w:szCs w:val="21"/>
          <w:highlight w:val="none"/>
        </w:rPr>
        <w:t>8.2　交货日期以货物到达甲方现场为准。</w:t>
      </w:r>
    </w:p>
    <w:p>
      <w:pPr>
        <w:spacing w:line="440" w:lineRule="exact"/>
        <w:ind w:firstLine="480"/>
        <w:rPr>
          <w:rFonts w:hint="eastAsia" w:ascii="宋体" w:hAnsi="宋体"/>
          <w:color w:val="auto"/>
          <w:sz w:val="21"/>
          <w:szCs w:val="21"/>
          <w:highlight w:val="none"/>
        </w:rPr>
      </w:pPr>
      <w:r>
        <w:rPr>
          <w:rFonts w:hint="eastAsia" w:ascii="宋体" w:hAnsi="宋体"/>
          <w:color w:val="auto"/>
          <w:sz w:val="21"/>
          <w:szCs w:val="21"/>
          <w:highlight w:val="none"/>
        </w:rPr>
        <w:t>8.3　乙方装运的货物必须符合合同规定的货物名称、型号规格、数量或重量，否则，一切后果均由乙方承担。</w:t>
      </w:r>
    </w:p>
    <w:p>
      <w:pPr>
        <w:spacing w:line="440" w:lineRule="exact"/>
        <w:ind w:firstLine="480"/>
        <w:rPr>
          <w:rFonts w:hint="eastAsia" w:ascii="宋体" w:hAnsi="宋体"/>
          <w:b/>
          <w:color w:val="auto"/>
          <w:sz w:val="21"/>
          <w:szCs w:val="21"/>
          <w:highlight w:val="none"/>
        </w:rPr>
      </w:pPr>
      <w:r>
        <w:rPr>
          <w:rFonts w:hint="eastAsia" w:ascii="宋体" w:hAnsi="宋体"/>
          <w:b/>
          <w:color w:val="auto"/>
          <w:sz w:val="21"/>
          <w:szCs w:val="21"/>
          <w:highlight w:val="none"/>
        </w:rPr>
        <w:t>9. 合同价款的支付方式</w:t>
      </w:r>
    </w:p>
    <w:p>
      <w:pPr>
        <w:spacing w:line="440" w:lineRule="exact"/>
        <w:ind w:firstLine="480"/>
        <w:rPr>
          <w:rFonts w:hint="eastAsia" w:ascii="宋体" w:hAnsi="宋体"/>
          <w:color w:val="auto"/>
          <w:sz w:val="21"/>
          <w:szCs w:val="21"/>
          <w:highlight w:val="none"/>
        </w:rPr>
      </w:pPr>
      <w:r>
        <w:rPr>
          <w:rFonts w:hint="eastAsia" w:ascii="宋体" w:hAnsi="宋体"/>
          <w:color w:val="auto"/>
          <w:sz w:val="21"/>
          <w:szCs w:val="21"/>
          <w:highlight w:val="none"/>
        </w:rPr>
        <w:t>9.1  除另有规定者外，本合同价款将由采购人直接向乙方支付。</w:t>
      </w:r>
    </w:p>
    <w:p>
      <w:pPr>
        <w:spacing w:line="440" w:lineRule="exact"/>
        <w:ind w:firstLine="422" w:firstLineChars="200"/>
        <w:rPr>
          <w:rFonts w:hint="eastAsia" w:ascii="宋体" w:hAnsi="宋体"/>
          <w:b/>
          <w:color w:val="auto"/>
          <w:sz w:val="21"/>
          <w:szCs w:val="21"/>
          <w:highlight w:val="none"/>
        </w:rPr>
      </w:pPr>
      <w:r>
        <w:rPr>
          <w:rFonts w:hint="eastAsia" w:ascii="宋体" w:hAnsi="宋体"/>
          <w:b/>
          <w:color w:val="auto"/>
          <w:sz w:val="21"/>
          <w:szCs w:val="21"/>
          <w:highlight w:val="none"/>
        </w:rPr>
        <w:t>10. 技术资料</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10.1　除招标文件中另有规定的外，乙方应准备与合同设备或仪器相符的中文技术资料，并于合同生效后十五日内寄送到甲方，如样本、图纸、操作手册、使用说明、维修指南或服务手册等。如本条款所述资料寄送不完整或丢失，乙方应在收到甲方通知后立即免费另寄。</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10.2　上述一套完整的资料应包装好随每批货物一起发运。</w:t>
      </w:r>
    </w:p>
    <w:p>
      <w:pPr>
        <w:spacing w:line="440" w:lineRule="exact"/>
        <w:ind w:firstLine="422" w:firstLineChars="200"/>
        <w:rPr>
          <w:rFonts w:hint="eastAsia" w:ascii="宋体" w:hAnsi="宋体"/>
          <w:b/>
          <w:color w:val="auto"/>
          <w:sz w:val="21"/>
          <w:szCs w:val="21"/>
          <w:highlight w:val="none"/>
        </w:rPr>
      </w:pPr>
      <w:r>
        <w:rPr>
          <w:rFonts w:hint="eastAsia" w:ascii="宋体" w:hAnsi="宋体"/>
          <w:b/>
          <w:color w:val="auto"/>
          <w:sz w:val="21"/>
          <w:szCs w:val="21"/>
          <w:highlight w:val="none"/>
        </w:rPr>
        <w:t>11. 价格</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11.1　除合同中另有规定者外，乙方所供整车修理、总成修理、整车各级维护、小修、维修救援、专项修理（不包含车辆装潢）和维修竣工检验及相关服务而要求甲方支付的金额应与其投标报价单价一致。　</w:t>
      </w:r>
    </w:p>
    <w:p>
      <w:pPr>
        <w:spacing w:line="440" w:lineRule="exact"/>
        <w:ind w:firstLine="422" w:firstLineChars="200"/>
        <w:rPr>
          <w:rFonts w:hint="eastAsia" w:ascii="宋体" w:hAnsi="宋体"/>
          <w:b/>
          <w:color w:val="auto"/>
          <w:sz w:val="21"/>
          <w:szCs w:val="21"/>
          <w:highlight w:val="none"/>
        </w:rPr>
      </w:pPr>
      <w:r>
        <w:rPr>
          <w:rFonts w:hint="eastAsia" w:ascii="宋体" w:hAnsi="宋体"/>
          <w:b/>
          <w:color w:val="auto"/>
          <w:sz w:val="21"/>
          <w:szCs w:val="21"/>
          <w:highlight w:val="none"/>
        </w:rPr>
        <w:t>12. 质量保证</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12.1 在货物最终验收后的质量保证期之内，乙方应对由于设计、工艺或材料等的缺陷而产生的任何不足或故障负责，费用由乙方负担。</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12.2如乙方提供的货物出现质量问题或故障，乙方在接到通知后24小时内应免费维修或更换有缺陷的部件。</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12.3如果乙方在收到通知后24小时内，没有维修或弥补缺陷，使用单位可采取必要的补救措施，但风险和费用将由乙方承担。</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12.4上述内容以外的保修和售后服务内容为乙方在投标文件中所承诺的内容。</w:t>
      </w:r>
    </w:p>
    <w:p>
      <w:pPr>
        <w:spacing w:line="440" w:lineRule="exact"/>
        <w:ind w:firstLine="422" w:firstLineChars="200"/>
        <w:rPr>
          <w:rFonts w:hint="eastAsia" w:ascii="宋体" w:hAnsi="宋体"/>
          <w:b/>
          <w:color w:val="auto"/>
          <w:sz w:val="21"/>
          <w:szCs w:val="21"/>
          <w:highlight w:val="none"/>
        </w:rPr>
      </w:pPr>
      <w:r>
        <w:rPr>
          <w:rFonts w:hint="eastAsia" w:ascii="宋体" w:hAnsi="宋体"/>
          <w:b/>
          <w:color w:val="auto"/>
          <w:sz w:val="21"/>
          <w:szCs w:val="21"/>
          <w:highlight w:val="none"/>
        </w:rPr>
        <w:t>13. 检验</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13.1  乙方应在发货之前，对货物的有关内在和外观质量、规格、性能、数量和重量进行准确和全面的检验，并出具其货物符合合同规定的质量证书。该证书将作为提交付款单据的组成部分，但不应视为是对质量、规格、性能、数量或重量的最终定论。质量证书应附有写明制造商检验的细节和结果的说明。</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13.2  在合同规定的质量保证期内，如果发现货物的质量或规格与招标文件不符，或证明货物有缺陷，包括潜在的缺陷或使用不合适的原材料等，甲方应申请质检部门进行检验，并有权根据检验证书及质量保证条款立即向乙方提出索赔。</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13.3设备抵达到站后，甲乙双方应共同派员及本次项目评审专家共同参加验收。如乙方在接到甲方通知七日内无法派员抵达现场，则视为同意甲方自行验收的结果。</w:t>
      </w:r>
    </w:p>
    <w:p>
      <w:pPr>
        <w:spacing w:line="440" w:lineRule="exact"/>
        <w:ind w:firstLine="422" w:firstLineChars="200"/>
        <w:rPr>
          <w:rFonts w:hint="eastAsia" w:ascii="宋体" w:hAnsi="宋体"/>
          <w:b/>
          <w:color w:val="auto"/>
          <w:sz w:val="21"/>
          <w:szCs w:val="21"/>
          <w:highlight w:val="none"/>
        </w:rPr>
      </w:pPr>
      <w:r>
        <w:rPr>
          <w:rFonts w:hint="eastAsia" w:ascii="宋体" w:hAnsi="宋体"/>
          <w:b/>
          <w:color w:val="auto"/>
          <w:sz w:val="21"/>
          <w:szCs w:val="21"/>
          <w:highlight w:val="none"/>
        </w:rPr>
        <w:t>14. 索赔</w:t>
      </w:r>
    </w:p>
    <w:p>
      <w:pPr>
        <w:spacing w:line="440" w:lineRule="exact"/>
        <w:ind w:firstLine="210" w:firstLineChars="100"/>
        <w:rPr>
          <w:rFonts w:hint="eastAsia" w:ascii="宋体" w:hAnsi="宋体"/>
          <w:color w:val="auto"/>
          <w:sz w:val="21"/>
          <w:szCs w:val="21"/>
          <w:highlight w:val="none"/>
        </w:rPr>
      </w:pPr>
      <w:r>
        <w:rPr>
          <w:rFonts w:hint="eastAsia" w:ascii="宋体" w:hAnsi="宋体"/>
          <w:color w:val="auto"/>
          <w:sz w:val="21"/>
          <w:szCs w:val="21"/>
          <w:highlight w:val="none"/>
        </w:rPr>
        <w:t xml:space="preserve">  14.1  乙方对所供货物与合同约定相一致负完全责任。在甲方已于规定的检验、安装、调试和验收测试期限内和质量保证期内提出索赔时，乙方应按甲方同意的下述一种或多种方法解决索赔事宜：</w:t>
      </w:r>
    </w:p>
    <w:p>
      <w:pPr>
        <w:spacing w:line="440" w:lineRule="exact"/>
        <w:ind w:firstLine="412" w:firstLineChars="200"/>
        <w:rPr>
          <w:rFonts w:hint="eastAsia" w:ascii="宋体" w:hAnsi="宋体"/>
          <w:color w:val="auto"/>
          <w:sz w:val="21"/>
          <w:szCs w:val="21"/>
          <w:highlight w:val="none"/>
        </w:rPr>
      </w:pPr>
      <w:r>
        <w:rPr>
          <w:rFonts w:hint="eastAsia" w:ascii="宋体" w:hAnsi="宋体"/>
          <w:color w:val="auto"/>
          <w:spacing w:val="-2"/>
          <w:sz w:val="21"/>
          <w:szCs w:val="21"/>
          <w:highlight w:val="none"/>
        </w:rPr>
        <w:t>（1）</w:t>
      </w:r>
      <w:r>
        <w:rPr>
          <w:rFonts w:hint="eastAsia" w:ascii="宋体" w:hAnsi="宋体"/>
          <w:color w:val="auto"/>
          <w:sz w:val="21"/>
          <w:szCs w:val="21"/>
          <w:highlight w:val="none"/>
        </w:rPr>
        <w:t xml:space="preserve"> 乙方同意甲方拒收货物并把被拒收货物的金额以合同规定的同类货币还付给甲方，乙方负担发生的一切损失和费用，包括利息、银行费用、运输和保险费、检验费、仓储和装卸费以及为保管和保护被拒绝货物所需的其它必要费用；</w:t>
      </w:r>
    </w:p>
    <w:p>
      <w:pPr>
        <w:spacing w:line="440" w:lineRule="exact"/>
        <w:ind w:firstLine="412" w:firstLineChars="200"/>
        <w:rPr>
          <w:rFonts w:hint="eastAsia" w:ascii="宋体" w:hAnsi="宋体"/>
          <w:color w:val="auto"/>
          <w:sz w:val="21"/>
          <w:szCs w:val="21"/>
          <w:highlight w:val="none"/>
        </w:rPr>
      </w:pPr>
      <w:r>
        <w:rPr>
          <w:rFonts w:hint="eastAsia" w:ascii="宋体" w:hAnsi="宋体"/>
          <w:color w:val="auto"/>
          <w:spacing w:val="-2"/>
          <w:sz w:val="21"/>
          <w:szCs w:val="21"/>
          <w:highlight w:val="none"/>
        </w:rPr>
        <w:t xml:space="preserve">（2） </w:t>
      </w:r>
      <w:r>
        <w:rPr>
          <w:rFonts w:hint="eastAsia" w:ascii="宋体" w:hAnsi="宋体"/>
          <w:color w:val="auto"/>
          <w:sz w:val="21"/>
          <w:szCs w:val="21"/>
          <w:highlight w:val="none"/>
        </w:rPr>
        <w:t>更换有缺陷的零件、部件和设备，或修理缺陷部分，以达到合同规定的规格、质量和性能，乙方承担一切费用和风险并负担甲方遭受的一切直接费用。同时乙方应相应延长被更换货物的质量保证期。</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14.2　如果甲方提出索赔通知后三十日内乙方未能予以答复，该索赔应视为已被乙方接受。若乙方未能在甲方提出索赔通知的三十日内或甲方同意的更长时间内，按甲方同意的上述任何一种方式处理索赔事宜，甲方将从未付款或乙方提供的履约保证金中扣回索赔金额，同时保留进一步要求赔偿的权利。</w:t>
      </w:r>
    </w:p>
    <w:p>
      <w:pPr>
        <w:spacing w:line="440" w:lineRule="exact"/>
        <w:ind w:firstLine="422" w:firstLineChars="200"/>
        <w:rPr>
          <w:rFonts w:hint="eastAsia" w:ascii="宋体" w:hAnsi="宋体"/>
          <w:b/>
          <w:color w:val="auto"/>
          <w:sz w:val="21"/>
          <w:szCs w:val="21"/>
          <w:highlight w:val="none"/>
        </w:rPr>
      </w:pPr>
      <w:r>
        <w:rPr>
          <w:rFonts w:hint="eastAsia" w:ascii="宋体" w:hAnsi="宋体"/>
          <w:b/>
          <w:color w:val="auto"/>
          <w:sz w:val="21"/>
          <w:szCs w:val="21"/>
          <w:highlight w:val="none"/>
        </w:rPr>
        <w:t>15. 延期交货与核定损失额</w:t>
      </w:r>
    </w:p>
    <w:p>
      <w:pPr>
        <w:spacing w:line="440" w:lineRule="exact"/>
        <w:ind w:firstLine="411" w:firstLineChars="196"/>
        <w:rPr>
          <w:rFonts w:hint="eastAsia" w:ascii="宋体" w:hAnsi="宋体"/>
          <w:color w:val="auto"/>
          <w:sz w:val="21"/>
          <w:szCs w:val="21"/>
          <w:highlight w:val="none"/>
        </w:rPr>
      </w:pPr>
      <w:r>
        <w:rPr>
          <w:rFonts w:hint="eastAsia" w:ascii="宋体" w:hAnsi="宋体"/>
          <w:color w:val="auto"/>
          <w:sz w:val="21"/>
          <w:szCs w:val="21"/>
          <w:highlight w:val="none"/>
        </w:rPr>
        <w:t>15.1  乙方应按照“开标一览表”中规定的交货期交货和提供服务，并交付甲方验收使用。</w:t>
      </w:r>
    </w:p>
    <w:p>
      <w:pPr>
        <w:spacing w:line="440" w:lineRule="exact"/>
        <w:rPr>
          <w:rFonts w:hint="eastAsia" w:ascii="宋体" w:hAnsi="宋体"/>
          <w:color w:val="auto"/>
          <w:sz w:val="21"/>
          <w:szCs w:val="21"/>
          <w:highlight w:val="none"/>
        </w:rPr>
      </w:pPr>
      <w:r>
        <w:rPr>
          <w:rFonts w:hint="eastAsia" w:ascii="宋体" w:hAnsi="宋体"/>
          <w:color w:val="auto"/>
          <w:sz w:val="21"/>
          <w:szCs w:val="21"/>
          <w:highlight w:val="none"/>
        </w:rPr>
        <w:t xml:space="preserve">    15.2  如果乙方无正当理由拖延交货，将受到以下制裁：</w:t>
      </w:r>
      <w:r>
        <w:rPr>
          <w:rFonts w:hint="eastAsia" w:ascii="宋体" w:hAnsi="宋体"/>
          <w:b/>
          <w:bCs/>
          <w:color w:val="auto"/>
          <w:sz w:val="21"/>
          <w:szCs w:val="21"/>
          <w:highlight w:val="none"/>
        </w:rPr>
        <w:t>不予退还履约保证金，加收误期赔偿或终止合同</w:t>
      </w:r>
      <w:r>
        <w:rPr>
          <w:rFonts w:hint="eastAsia" w:ascii="宋体" w:hAnsi="宋体"/>
          <w:color w:val="auto"/>
          <w:sz w:val="21"/>
          <w:szCs w:val="21"/>
          <w:highlight w:val="none"/>
        </w:rPr>
        <w:t>。</w:t>
      </w:r>
    </w:p>
    <w:p>
      <w:pPr>
        <w:spacing w:line="440" w:lineRule="exact"/>
        <w:rPr>
          <w:rFonts w:hint="eastAsia" w:ascii="宋体" w:hAnsi="宋体"/>
          <w:color w:val="auto"/>
          <w:sz w:val="21"/>
          <w:szCs w:val="21"/>
          <w:highlight w:val="none"/>
        </w:rPr>
      </w:pPr>
      <w:r>
        <w:rPr>
          <w:rFonts w:hint="eastAsia" w:ascii="宋体" w:hAnsi="宋体"/>
          <w:color w:val="auto"/>
          <w:sz w:val="21"/>
          <w:szCs w:val="21"/>
          <w:highlight w:val="none"/>
        </w:rPr>
        <w:t xml:space="preserve">    15.3  在履行合同过程中，如果乙方遇到不能按时交货和提供服务的情况，应及时以书面形式将不能按时交货的理由、可能延误的时间同时通知甲方。甲方在收到乙方通知后，应对情况进行分析，决定是否修改合同、酌情延长交货时间或终止合同；同时保留按第17.2条规定对乙方进行制裁的权力。</w:t>
      </w:r>
    </w:p>
    <w:p>
      <w:pPr>
        <w:spacing w:line="440" w:lineRule="exact"/>
        <w:ind w:firstLine="422" w:firstLineChars="200"/>
        <w:rPr>
          <w:rFonts w:hint="eastAsia" w:ascii="宋体" w:hAnsi="宋体"/>
          <w:color w:val="auto"/>
          <w:sz w:val="21"/>
          <w:szCs w:val="21"/>
          <w:highlight w:val="none"/>
        </w:rPr>
      </w:pPr>
      <w:r>
        <w:rPr>
          <w:rFonts w:hint="eastAsia" w:ascii="宋体" w:hAnsi="宋体"/>
          <w:b/>
          <w:color w:val="auto"/>
          <w:sz w:val="21"/>
          <w:szCs w:val="21"/>
          <w:highlight w:val="none"/>
        </w:rPr>
        <w:t>16. 不可抗力</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16.1　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16.2  受阻一方应在不可抗力事故发生后尽快用电报、传真或电传通知对方，并于事故发生后15天内将有关部门出具的证明文件用特快专递或挂号信等形式寄给对方审阅确认。一旦不可抗力事故的影响持续一百二十日以上，双方应通过友好协商在合理的时间内达成进一步履行合同的协议。</w:t>
      </w:r>
    </w:p>
    <w:p>
      <w:pPr>
        <w:spacing w:line="440" w:lineRule="exact"/>
        <w:ind w:firstLine="422" w:firstLineChars="200"/>
        <w:rPr>
          <w:rFonts w:hint="eastAsia" w:ascii="宋体" w:hAnsi="宋体"/>
          <w:b/>
          <w:color w:val="auto"/>
          <w:sz w:val="21"/>
          <w:szCs w:val="21"/>
          <w:highlight w:val="none"/>
        </w:rPr>
      </w:pPr>
      <w:r>
        <w:rPr>
          <w:rFonts w:hint="eastAsia" w:ascii="宋体" w:hAnsi="宋体"/>
          <w:b/>
          <w:color w:val="auto"/>
          <w:sz w:val="21"/>
          <w:szCs w:val="21"/>
          <w:highlight w:val="none"/>
        </w:rPr>
        <w:t>17. 纠纷处理方式</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17.1　双方发生纠纷，向招标方所在地有管辖权的人民法院进行诉讼。</w:t>
      </w:r>
    </w:p>
    <w:p>
      <w:pPr>
        <w:spacing w:line="440" w:lineRule="exact"/>
        <w:ind w:firstLine="422" w:firstLineChars="200"/>
        <w:rPr>
          <w:rFonts w:hint="eastAsia" w:ascii="宋体" w:hAnsi="宋体"/>
          <w:b/>
          <w:color w:val="auto"/>
          <w:sz w:val="21"/>
          <w:szCs w:val="21"/>
          <w:highlight w:val="none"/>
        </w:rPr>
      </w:pPr>
      <w:r>
        <w:rPr>
          <w:rFonts w:hint="eastAsia" w:ascii="宋体" w:hAnsi="宋体"/>
          <w:b/>
          <w:color w:val="auto"/>
          <w:sz w:val="21"/>
          <w:szCs w:val="21"/>
          <w:highlight w:val="none"/>
        </w:rPr>
        <w:t>18. 违约终止合同</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18.1　在补救违约而采取的任何其他措施未能实现的情况下，即在乙方收到甲方发出的违约通知后三十日内(或经甲方书面确认的更长时间内)仍未纠正其下述任何一种违约行为，甲方可向乙方发出书面违约通知，终止部分或全部合同：</w:t>
      </w:r>
    </w:p>
    <w:p>
      <w:pPr>
        <w:spacing w:line="440" w:lineRule="exact"/>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color w:val="auto"/>
          <w:spacing w:val="-2"/>
          <w:sz w:val="21"/>
          <w:szCs w:val="21"/>
          <w:highlight w:val="none"/>
        </w:rPr>
        <w:t xml:space="preserve">（1） </w:t>
      </w:r>
      <w:r>
        <w:rPr>
          <w:rFonts w:hint="eastAsia" w:ascii="宋体" w:hAnsi="宋体"/>
          <w:color w:val="auto"/>
          <w:sz w:val="21"/>
          <w:szCs w:val="21"/>
          <w:highlight w:val="none"/>
        </w:rPr>
        <w:t>如果乙方未能在合同规定的期限内或甲方准许的任何延期内交付部分或全部货物。</w:t>
      </w:r>
    </w:p>
    <w:p>
      <w:pPr>
        <w:spacing w:line="440" w:lineRule="exact"/>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color w:val="auto"/>
          <w:spacing w:val="-2"/>
          <w:sz w:val="21"/>
          <w:szCs w:val="21"/>
          <w:highlight w:val="none"/>
        </w:rPr>
        <w:t xml:space="preserve">（2） </w:t>
      </w:r>
      <w:r>
        <w:rPr>
          <w:rFonts w:hint="eastAsia" w:ascii="宋体" w:hAnsi="宋体"/>
          <w:color w:val="auto"/>
          <w:sz w:val="21"/>
          <w:szCs w:val="21"/>
          <w:highlight w:val="none"/>
        </w:rPr>
        <w:t>乙方未能履行合同项下的其它义务。</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19.2　一旦甲方根据第19.1款终止合同，甲方可以按其认为适当的条件和方式采购类似未交付部分的货物。乙方应承担甲方购买类似货物的价格差及额外费用。但是，乙方应继续履行合同中未终止的部分。</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19.3 乙方按照《中华人民共和国政府采购法》第七十七条规定，承担相应的法律责任。</w:t>
      </w:r>
    </w:p>
    <w:p>
      <w:pPr>
        <w:spacing w:line="440" w:lineRule="exact"/>
        <w:ind w:firstLine="422" w:firstLineChars="200"/>
        <w:rPr>
          <w:rFonts w:hint="eastAsia" w:ascii="宋体" w:hAnsi="宋体"/>
          <w:b/>
          <w:color w:val="auto"/>
          <w:sz w:val="21"/>
          <w:szCs w:val="21"/>
          <w:highlight w:val="none"/>
        </w:rPr>
      </w:pPr>
      <w:r>
        <w:rPr>
          <w:rFonts w:hint="eastAsia" w:ascii="宋体" w:hAnsi="宋体"/>
          <w:b/>
          <w:color w:val="auto"/>
          <w:sz w:val="21"/>
          <w:szCs w:val="21"/>
          <w:highlight w:val="none"/>
        </w:rPr>
        <w:t>20. 变更指示</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20.1　甲方可以随时向乙方发出书面指示，在合同总体范围内对如下一点或几点提出变更：</w:t>
      </w:r>
    </w:p>
    <w:p>
      <w:pPr>
        <w:spacing w:line="440" w:lineRule="exact"/>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color w:val="auto"/>
          <w:spacing w:val="-2"/>
          <w:sz w:val="21"/>
          <w:szCs w:val="21"/>
          <w:highlight w:val="none"/>
        </w:rPr>
        <w:t xml:space="preserve">（1） </w:t>
      </w:r>
      <w:r>
        <w:rPr>
          <w:rFonts w:hint="eastAsia" w:ascii="宋体" w:hAnsi="宋体"/>
          <w:color w:val="auto"/>
          <w:sz w:val="21"/>
          <w:szCs w:val="21"/>
          <w:highlight w:val="none"/>
        </w:rPr>
        <w:t>合同项下需为甲方特殊制造货物的图纸、设计或规格；</w:t>
      </w:r>
    </w:p>
    <w:p>
      <w:pPr>
        <w:spacing w:line="440" w:lineRule="exact"/>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color w:val="auto"/>
          <w:spacing w:val="-2"/>
          <w:sz w:val="21"/>
          <w:szCs w:val="21"/>
          <w:highlight w:val="none"/>
        </w:rPr>
        <w:t xml:space="preserve">（2） </w:t>
      </w:r>
      <w:r>
        <w:rPr>
          <w:rFonts w:hint="eastAsia" w:ascii="宋体" w:hAnsi="宋体"/>
          <w:color w:val="auto"/>
          <w:sz w:val="21"/>
          <w:szCs w:val="21"/>
          <w:highlight w:val="none"/>
        </w:rPr>
        <w:t>装运方式和包装方式；</w:t>
      </w:r>
    </w:p>
    <w:p>
      <w:pPr>
        <w:spacing w:line="440" w:lineRule="exact"/>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color w:val="auto"/>
          <w:spacing w:val="-2"/>
          <w:sz w:val="21"/>
          <w:szCs w:val="21"/>
          <w:highlight w:val="none"/>
        </w:rPr>
        <w:t xml:space="preserve">（3） </w:t>
      </w:r>
      <w:r>
        <w:rPr>
          <w:rFonts w:hint="eastAsia" w:ascii="宋体" w:hAnsi="宋体"/>
          <w:color w:val="auto"/>
          <w:sz w:val="21"/>
          <w:szCs w:val="21"/>
          <w:highlight w:val="none"/>
        </w:rPr>
        <w:t>交货地点；</w:t>
      </w:r>
    </w:p>
    <w:p>
      <w:pPr>
        <w:spacing w:line="440" w:lineRule="exact"/>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color w:val="auto"/>
          <w:spacing w:val="-2"/>
          <w:sz w:val="21"/>
          <w:szCs w:val="21"/>
          <w:highlight w:val="none"/>
        </w:rPr>
        <w:t xml:space="preserve">（4） </w:t>
      </w:r>
      <w:r>
        <w:rPr>
          <w:rFonts w:hint="eastAsia" w:ascii="宋体" w:hAnsi="宋体"/>
          <w:color w:val="auto"/>
          <w:sz w:val="21"/>
          <w:szCs w:val="21"/>
          <w:highlight w:val="none"/>
        </w:rPr>
        <w:t>乙方须提供的服务。</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20.2　若上述变更导致了乙方履行合同项下任何部分义务的费用或所需时间的增减，应对合同价格或交货进度进行合理的调整，同时相应地修改合同。乙方必须在接到甲方的变更指示后30天内根据本款提出调整的实施意见。</w:t>
      </w:r>
    </w:p>
    <w:p>
      <w:pPr>
        <w:spacing w:line="440" w:lineRule="exact"/>
        <w:ind w:firstLine="422" w:firstLineChars="200"/>
        <w:rPr>
          <w:rFonts w:hint="eastAsia" w:ascii="宋体" w:hAnsi="宋体"/>
          <w:b/>
          <w:color w:val="auto"/>
          <w:sz w:val="21"/>
          <w:szCs w:val="21"/>
          <w:highlight w:val="none"/>
        </w:rPr>
      </w:pPr>
      <w:r>
        <w:rPr>
          <w:rFonts w:hint="eastAsia" w:ascii="宋体" w:hAnsi="宋体"/>
          <w:b/>
          <w:color w:val="auto"/>
          <w:sz w:val="21"/>
          <w:szCs w:val="21"/>
          <w:highlight w:val="none"/>
        </w:rPr>
        <w:t>21. 合同修改</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21.1　欲对合同条款做出任何改动或偏离，均须由买卖双方签署书面的合同修改书。</w:t>
      </w:r>
    </w:p>
    <w:p>
      <w:pPr>
        <w:spacing w:line="440" w:lineRule="exact"/>
        <w:ind w:firstLine="422" w:firstLineChars="200"/>
        <w:rPr>
          <w:rFonts w:hint="eastAsia" w:ascii="宋体" w:hAnsi="宋体"/>
          <w:b/>
          <w:color w:val="auto"/>
          <w:sz w:val="21"/>
          <w:szCs w:val="21"/>
          <w:highlight w:val="none"/>
        </w:rPr>
      </w:pPr>
      <w:r>
        <w:rPr>
          <w:rFonts w:hint="eastAsia" w:ascii="宋体" w:hAnsi="宋体"/>
          <w:b/>
          <w:color w:val="auto"/>
          <w:sz w:val="21"/>
          <w:szCs w:val="21"/>
          <w:highlight w:val="none"/>
        </w:rPr>
        <w:t>22. 转让与分包</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22.1　除甲方事先同意外，乙方不得部分转让或全部转让其应履行的合同项下的义务。</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22.2　甲方应书面通知乙方本合同项下所授予的所有分包合同。但该通知不解除乙方承担的本合同项下的任何责任或义务。</w:t>
      </w:r>
    </w:p>
    <w:p>
      <w:pPr>
        <w:spacing w:line="440" w:lineRule="exact"/>
        <w:ind w:firstLine="422" w:firstLineChars="200"/>
        <w:rPr>
          <w:rFonts w:hint="eastAsia" w:ascii="宋体" w:hAnsi="宋体"/>
          <w:b/>
          <w:color w:val="auto"/>
          <w:sz w:val="21"/>
          <w:szCs w:val="21"/>
          <w:highlight w:val="none"/>
        </w:rPr>
      </w:pPr>
      <w:r>
        <w:rPr>
          <w:rFonts w:hint="eastAsia" w:ascii="宋体" w:hAnsi="宋体"/>
          <w:b/>
          <w:color w:val="auto"/>
          <w:sz w:val="21"/>
          <w:szCs w:val="21"/>
          <w:highlight w:val="none"/>
        </w:rPr>
        <w:t>23. 适用法律</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23.1　本合同应按中华人民共和国的相关法律解释。</w:t>
      </w:r>
    </w:p>
    <w:p>
      <w:pPr>
        <w:spacing w:line="440" w:lineRule="exact"/>
        <w:ind w:firstLine="422" w:firstLineChars="200"/>
        <w:rPr>
          <w:rFonts w:hint="eastAsia" w:ascii="宋体" w:hAnsi="宋体"/>
          <w:b/>
          <w:color w:val="auto"/>
          <w:sz w:val="21"/>
          <w:szCs w:val="21"/>
          <w:highlight w:val="none"/>
        </w:rPr>
      </w:pPr>
      <w:r>
        <w:rPr>
          <w:rFonts w:hint="eastAsia" w:ascii="宋体" w:hAnsi="宋体"/>
          <w:b/>
          <w:color w:val="auto"/>
          <w:sz w:val="21"/>
          <w:szCs w:val="21"/>
          <w:highlight w:val="none"/>
        </w:rPr>
        <w:t>24. 通知</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24.1　本合同任何一方给另一方的通知都应以书面或电传、电报、传真的形式发送，而另一方应以书面形式确认并发送到对方明确的地址。</w:t>
      </w:r>
    </w:p>
    <w:p>
      <w:pPr>
        <w:spacing w:line="440" w:lineRule="exact"/>
        <w:ind w:firstLine="422" w:firstLineChars="200"/>
        <w:rPr>
          <w:rFonts w:hint="eastAsia" w:ascii="宋体" w:hAnsi="宋体"/>
          <w:b/>
          <w:color w:val="auto"/>
          <w:sz w:val="21"/>
          <w:szCs w:val="21"/>
          <w:highlight w:val="none"/>
        </w:rPr>
      </w:pPr>
      <w:r>
        <w:rPr>
          <w:rFonts w:hint="eastAsia" w:ascii="宋体" w:hAnsi="宋体"/>
          <w:b/>
          <w:color w:val="auto"/>
          <w:sz w:val="21"/>
          <w:szCs w:val="21"/>
          <w:highlight w:val="none"/>
        </w:rPr>
        <w:t>25. 合同文件及资料的使用</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25.1　除了乙方为执行合同所雇人员外，在未经甲方同意的情况下，乙方不得将合同、合同中的规定、有关规格、计划、图纸、式样、样本或甲方为上述内容向乙方提供的资料透露给任何人。乙方须在对外保密的前提下，对其雇用人员提供有关情况，所提供的情况仅限于执行本合同必不可少的范围内。</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25.2　除非执行合同需要，在事先未得到甲方同意的情况下，乙方不得将与本合同有关的任何文件和资料给第三方使用。</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25.3　除合同本身以外，若甲方要求，乙方应于其合同义务履行完毕以后将这些资料(包括所有副本)退还甲方。</w:t>
      </w:r>
    </w:p>
    <w:p>
      <w:pPr>
        <w:spacing w:line="440" w:lineRule="exact"/>
        <w:ind w:firstLine="422" w:firstLineChars="200"/>
        <w:rPr>
          <w:rFonts w:hint="eastAsia" w:ascii="宋体" w:hAnsi="宋体"/>
          <w:b/>
          <w:color w:val="auto"/>
          <w:sz w:val="21"/>
          <w:szCs w:val="21"/>
          <w:highlight w:val="none"/>
        </w:rPr>
      </w:pPr>
      <w:r>
        <w:rPr>
          <w:rFonts w:hint="eastAsia" w:ascii="宋体" w:hAnsi="宋体"/>
          <w:b/>
          <w:color w:val="auto"/>
          <w:sz w:val="21"/>
          <w:szCs w:val="21"/>
          <w:highlight w:val="none"/>
        </w:rPr>
        <w:t>26. 合同生效及其他</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26.1本合同未涉及的内容或与招标文件相矛盾的内容以招标文件为准。</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26.2　在乙方缴纳履约保证金后方可与甲方签订合同，并加盖鉴证章后生效。</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26.3　乙方须按招标文件的规定，向甲方提供与合同项下货物有关的现场安装调试、技术服务、培训等其他相关服务。</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26.4　 商务合同应包括甲方最后确认的价格条款和付款方式。</w:t>
      </w:r>
    </w:p>
    <w:p>
      <w:pPr>
        <w:spacing w:line="440" w:lineRule="exact"/>
        <w:ind w:firstLine="420" w:firstLineChars="200"/>
        <w:rPr>
          <w:rFonts w:hint="eastAsia" w:ascii="宋体" w:hAnsi="宋体"/>
          <w:color w:val="auto"/>
          <w:spacing w:val="-6"/>
          <w:sz w:val="21"/>
          <w:szCs w:val="21"/>
          <w:highlight w:val="none"/>
        </w:rPr>
      </w:pPr>
      <w:r>
        <w:rPr>
          <w:rFonts w:hint="eastAsia" w:ascii="宋体" w:hAnsi="宋体"/>
          <w:color w:val="auto"/>
          <w:sz w:val="21"/>
          <w:szCs w:val="21"/>
          <w:highlight w:val="none"/>
        </w:rPr>
        <w:t>26.5　</w:t>
      </w:r>
      <w:r>
        <w:rPr>
          <w:rFonts w:hint="eastAsia" w:ascii="宋体" w:hAnsi="宋体"/>
          <w:color w:val="auto"/>
          <w:spacing w:val="-6"/>
          <w:sz w:val="21"/>
          <w:szCs w:val="21"/>
          <w:highlight w:val="none"/>
        </w:rPr>
        <w:t>下述文件将作为合同附件，为本合同不可分割的组成部分，并与本合同具有同等效力；</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 招标文件；</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 中标通知书；</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 中标方的投标文件及其澄清文件和询标过程中的书面答疑记录。</w:t>
      </w:r>
    </w:p>
    <w:p>
      <w:pPr>
        <w:spacing w:line="440" w:lineRule="exact"/>
        <w:rPr>
          <w:rFonts w:hint="eastAsia" w:ascii="宋体" w:hAnsi="宋体"/>
          <w:color w:val="auto"/>
          <w:sz w:val="21"/>
          <w:szCs w:val="21"/>
          <w:highlight w:val="none"/>
        </w:rPr>
      </w:pPr>
    </w:p>
    <w:p>
      <w:pPr>
        <w:spacing w:line="440" w:lineRule="exact"/>
        <w:jc w:val="center"/>
        <w:outlineLvl w:val="1"/>
        <w:rPr>
          <w:rFonts w:hint="eastAsia" w:ascii="宋体" w:hAnsi="宋体"/>
          <w:b/>
          <w:color w:val="auto"/>
          <w:sz w:val="21"/>
          <w:szCs w:val="21"/>
          <w:highlight w:val="none"/>
        </w:rPr>
      </w:pPr>
      <w:bookmarkStart w:id="186" w:name="_Toc380404623"/>
    </w:p>
    <w:p>
      <w:pPr>
        <w:spacing w:line="440" w:lineRule="exact"/>
        <w:jc w:val="center"/>
        <w:outlineLvl w:val="1"/>
        <w:rPr>
          <w:rFonts w:hint="eastAsia" w:ascii="宋体" w:hAnsi="宋体"/>
          <w:b/>
          <w:color w:val="auto"/>
          <w:sz w:val="21"/>
          <w:szCs w:val="21"/>
          <w:highlight w:val="none"/>
        </w:rPr>
      </w:pPr>
      <w:bookmarkStart w:id="187" w:name="_Toc19298"/>
      <w:r>
        <w:rPr>
          <w:rFonts w:hint="eastAsia" w:ascii="宋体" w:hAnsi="宋体"/>
          <w:b/>
          <w:color w:val="auto"/>
          <w:sz w:val="21"/>
          <w:szCs w:val="21"/>
          <w:highlight w:val="none"/>
        </w:rPr>
        <w:t>第二章 合同特殊条款</w:t>
      </w:r>
      <w:bookmarkEnd w:id="186"/>
      <w:bookmarkEnd w:id="187"/>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合同特殊条款是对合同一般条款的补充和修改，如果两者之间有不一致之处时，应以特殊条款为准。</w:t>
      </w:r>
    </w:p>
    <w:p>
      <w:pPr>
        <w:spacing w:line="440" w:lineRule="exact"/>
        <w:ind w:firstLine="422" w:firstLineChars="200"/>
        <w:rPr>
          <w:rFonts w:hint="eastAsia" w:ascii="宋体" w:hAnsi="宋体"/>
          <w:b/>
          <w:color w:val="auto"/>
          <w:sz w:val="21"/>
          <w:szCs w:val="21"/>
          <w:highlight w:val="none"/>
        </w:rPr>
      </w:pPr>
      <w:r>
        <w:rPr>
          <w:rFonts w:hint="eastAsia" w:ascii="宋体" w:hAnsi="宋体"/>
          <w:b/>
          <w:color w:val="auto"/>
          <w:sz w:val="21"/>
          <w:szCs w:val="21"/>
          <w:highlight w:val="none"/>
        </w:rPr>
        <w:t>1. 培训</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1.1  乙方的安装调试人员有义务对甲方的设备维修人员及使用人员进行培训，使维修人员能对设备进行日常维护和一般性故障的查找及故障的排除，使用人员能够熟练掌握设备的各项功能和操作。</w:t>
      </w:r>
    </w:p>
    <w:p>
      <w:pPr>
        <w:spacing w:line="440" w:lineRule="exact"/>
        <w:ind w:firstLine="422" w:firstLineChars="200"/>
        <w:rPr>
          <w:rFonts w:hint="eastAsia" w:ascii="宋体" w:hAnsi="宋体"/>
          <w:b/>
          <w:color w:val="auto"/>
          <w:sz w:val="21"/>
          <w:szCs w:val="21"/>
          <w:highlight w:val="none"/>
        </w:rPr>
      </w:pPr>
      <w:r>
        <w:rPr>
          <w:rFonts w:hint="eastAsia" w:ascii="宋体" w:hAnsi="宋体"/>
          <w:b/>
          <w:color w:val="auto"/>
          <w:sz w:val="21"/>
          <w:szCs w:val="21"/>
          <w:highlight w:val="none"/>
        </w:rPr>
        <w:t>2. 检验</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2.1 乙方提供的所有货物应符合国际及国内通行的标准，并应附有相应的测试报告和合同证书。</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2.2 对于乙方提供的所有货物, 甲方可按货物的一定比例委托自治区质量监督部门进行抽检，验收合格后，所产生的费用由甲方承担，经检验不合格时，所产生的费用由乙方承担。</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2.3 具体的国际或国内检验标准按乙方在投标文件中承诺的并经甲方确认的规定执行。</w:t>
      </w:r>
    </w:p>
    <w:p>
      <w:pPr>
        <w:spacing w:line="440" w:lineRule="exact"/>
        <w:ind w:firstLine="422" w:firstLineChars="200"/>
        <w:rPr>
          <w:rFonts w:hint="eastAsia" w:ascii="宋体" w:hAnsi="宋体"/>
          <w:b/>
          <w:color w:val="auto"/>
          <w:sz w:val="21"/>
          <w:szCs w:val="21"/>
          <w:highlight w:val="none"/>
        </w:rPr>
      </w:pPr>
      <w:r>
        <w:rPr>
          <w:rFonts w:hint="eastAsia" w:ascii="宋体" w:hAnsi="宋体"/>
          <w:b/>
          <w:color w:val="auto"/>
          <w:sz w:val="21"/>
          <w:szCs w:val="21"/>
          <w:highlight w:val="none"/>
        </w:rPr>
        <w:t>3. 安装调试</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3.1 乙方必须在合同签订后将所有的安装调试条件、需甲方配合的事项以书面方式通知用户。</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3.2 乙方免费负责设备在甲方的安装、调试，甲方协助开展工作。</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3.3 乙方安装调试专家人员应及时到达甲方现场，直至安装调试结束、通过验收。</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3.4 乙方负责安装调试期间（包括错发或运输中）可能损坏的元器件、测试材料的准备，如因时间关系，甲方可以考虑使用随机的易损件进行更换，但乙方应及时给甲方补齐（中间产生的任何费用，均由乙方承担）。</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3.5上述安装调试完成后，甲方按相应的乙方在投标文件中所提供的技术指标进行验收。</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3.6 乙方如不能按时完成安装、调试工作，应赔偿由此甲方造成的所有损失。</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3.7 最终的测试验收报告由甲乙双方代表签字认可后生效。</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3.8 如甲方需要，乙方应按甲方要求进行分批供货。</w:t>
      </w:r>
    </w:p>
    <w:p>
      <w:pPr>
        <w:spacing w:line="440" w:lineRule="exact"/>
        <w:ind w:firstLine="422" w:firstLineChars="200"/>
        <w:rPr>
          <w:rFonts w:hint="eastAsia" w:ascii="宋体" w:hAnsi="宋体"/>
          <w:b/>
          <w:color w:val="auto"/>
          <w:sz w:val="21"/>
          <w:szCs w:val="21"/>
          <w:highlight w:val="none"/>
        </w:rPr>
      </w:pPr>
      <w:r>
        <w:rPr>
          <w:rFonts w:hint="eastAsia" w:ascii="宋体" w:hAnsi="宋体"/>
          <w:b/>
          <w:color w:val="auto"/>
          <w:sz w:val="21"/>
          <w:szCs w:val="21"/>
          <w:highlight w:val="none"/>
        </w:rPr>
        <w:t>4. 质量保证</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4.1因乙方原因造成甲方不能按时使用（根据合同有关条款）所购买货物（设备）时，卖方应根据合同规定向甲方做出赔偿。</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4.2 乙方对合同项下设备提供招标文件中规定的保修服务，保修期自验收合格双方签字时算起。在保修期内，乙方需提供免费的维修零配件。</w:t>
      </w:r>
    </w:p>
    <w:p>
      <w:pPr>
        <w:spacing w:line="440" w:lineRule="exact"/>
        <w:ind w:firstLine="422" w:firstLineChars="200"/>
        <w:rPr>
          <w:rFonts w:hint="eastAsia" w:ascii="宋体" w:hAnsi="宋体"/>
          <w:b/>
          <w:color w:val="auto"/>
          <w:sz w:val="21"/>
          <w:szCs w:val="21"/>
          <w:highlight w:val="none"/>
        </w:rPr>
      </w:pPr>
      <w:r>
        <w:rPr>
          <w:rFonts w:hint="eastAsia" w:ascii="宋体" w:hAnsi="宋体"/>
          <w:b/>
          <w:color w:val="auto"/>
          <w:sz w:val="21"/>
          <w:szCs w:val="21"/>
          <w:highlight w:val="none"/>
        </w:rPr>
        <w:t>5. 售后服务</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5.1 提供给甲方详细的设备清单及相应的使用、维修、故障查询手册。</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5.2 在甲方发出要求服务通知的24小时内，乙方指派的服务人员必须到达甲方现场，对设备出现的较大问题，解决时间不应超过五个日历日。</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5.3 在保修期内，如仪器设备出现故障，必须在三个日历日内完成维修工作，否则更换新仪器设备。</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5.4 提供相应的售后服务承诺（需要设备生产企业协助的部分，须由该生产企业做出相应的服务承诺），并附在投标文件中。</w:t>
      </w:r>
    </w:p>
    <w:p>
      <w:pPr>
        <w:spacing w:line="440" w:lineRule="exact"/>
        <w:ind w:firstLine="422" w:firstLineChars="200"/>
        <w:rPr>
          <w:rFonts w:hint="eastAsia" w:ascii="宋体" w:hAnsi="宋体"/>
          <w:b/>
          <w:color w:val="auto"/>
          <w:sz w:val="21"/>
          <w:szCs w:val="21"/>
          <w:highlight w:val="none"/>
        </w:rPr>
      </w:pPr>
      <w:r>
        <w:rPr>
          <w:rFonts w:hint="eastAsia" w:ascii="宋体" w:hAnsi="宋体"/>
          <w:b/>
          <w:color w:val="auto"/>
          <w:sz w:val="21"/>
          <w:szCs w:val="21"/>
          <w:highlight w:val="none"/>
        </w:rPr>
        <w:t xml:space="preserve">6. 其他  </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6.1　投标报价：设备使用地安装调试完成、且验收合格后的交货价</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6.2　投标货币：人民币</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6.3 　列出详细的易损件、专用工具的清单，并分项报价（应包括在总价内）。清单内容应包括：名称、数量、单价、总价。</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6.4　付款币种及方式（见第三章）</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6.5  交货日期：响应甲方要求。</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6.6　交货地点：甲方单位指定地点</w:t>
      </w:r>
    </w:p>
    <w:p>
      <w:pPr>
        <w:tabs>
          <w:tab w:val="left" w:pos="2880"/>
        </w:tabs>
        <w:spacing w:line="440" w:lineRule="exact"/>
        <w:outlineLvl w:val="1"/>
        <w:rPr>
          <w:rFonts w:hint="eastAsia" w:ascii="宋体" w:hAnsi="宋体"/>
          <w:b/>
          <w:color w:val="auto"/>
          <w:sz w:val="21"/>
          <w:szCs w:val="21"/>
          <w:highlight w:val="none"/>
        </w:rPr>
      </w:pPr>
    </w:p>
    <w:p>
      <w:pPr>
        <w:tabs>
          <w:tab w:val="left" w:pos="2880"/>
        </w:tabs>
        <w:spacing w:line="440" w:lineRule="exact"/>
        <w:jc w:val="center"/>
        <w:outlineLvl w:val="1"/>
        <w:rPr>
          <w:rFonts w:hint="eastAsia" w:ascii="宋体" w:hAnsi="宋体"/>
          <w:b/>
          <w:color w:val="auto"/>
          <w:sz w:val="21"/>
          <w:szCs w:val="21"/>
          <w:highlight w:val="none"/>
        </w:rPr>
      </w:pPr>
      <w:bookmarkStart w:id="188" w:name="_Toc4615"/>
      <w:bookmarkStart w:id="189" w:name="_Toc380404624"/>
      <w:r>
        <w:rPr>
          <w:rFonts w:hint="eastAsia" w:ascii="宋体" w:hAnsi="宋体"/>
          <w:b/>
          <w:color w:val="auto"/>
          <w:sz w:val="21"/>
          <w:szCs w:val="21"/>
          <w:highlight w:val="none"/>
        </w:rPr>
        <w:t>第三章 付款币种及方式</w:t>
      </w:r>
      <w:bookmarkEnd w:id="188"/>
      <w:bookmarkEnd w:id="189"/>
    </w:p>
    <w:p>
      <w:pPr>
        <w:spacing w:line="440" w:lineRule="exact"/>
        <w:ind w:firstLine="211" w:firstLineChars="100"/>
        <w:rPr>
          <w:rFonts w:hint="eastAsia" w:ascii="宋体" w:hAnsi="宋体"/>
          <w:b/>
          <w:color w:val="auto"/>
          <w:sz w:val="21"/>
          <w:szCs w:val="21"/>
          <w:highlight w:val="none"/>
        </w:rPr>
      </w:pPr>
      <w:r>
        <w:rPr>
          <w:rFonts w:hint="eastAsia" w:ascii="宋体" w:hAnsi="宋体"/>
          <w:b/>
          <w:color w:val="auto"/>
          <w:sz w:val="21"/>
          <w:szCs w:val="21"/>
          <w:highlight w:val="none"/>
        </w:rPr>
        <w:t>1. 付款币种</w:t>
      </w:r>
    </w:p>
    <w:p>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本次招标所述的项目资金均以人民币支付。</w:t>
      </w:r>
    </w:p>
    <w:p>
      <w:pPr>
        <w:spacing w:line="440" w:lineRule="exact"/>
        <w:ind w:firstLine="211" w:firstLineChars="100"/>
        <w:rPr>
          <w:rFonts w:hint="eastAsia" w:ascii="宋体" w:hAnsi="宋体"/>
          <w:b/>
          <w:color w:val="auto"/>
          <w:sz w:val="21"/>
          <w:szCs w:val="21"/>
          <w:highlight w:val="none"/>
        </w:rPr>
      </w:pPr>
      <w:r>
        <w:rPr>
          <w:rFonts w:hint="eastAsia" w:ascii="宋体" w:hAnsi="宋体"/>
          <w:b/>
          <w:color w:val="auto"/>
          <w:sz w:val="21"/>
          <w:szCs w:val="21"/>
          <w:highlight w:val="none"/>
        </w:rPr>
        <w:t>2. 付款方式：</w:t>
      </w:r>
    </w:p>
    <w:p>
      <w:pPr>
        <w:spacing w:line="440" w:lineRule="exact"/>
        <w:ind w:firstLine="411" w:firstLineChars="195"/>
        <w:rPr>
          <w:rFonts w:hint="eastAsia" w:ascii="宋体" w:hAnsi="宋体"/>
          <w:b/>
          <w:color w:val="auto"/>
          <w:sz w:val="21"/>
          <w:szCs w:val="21"/>
          <w:highlight w:val="none"/>
        </w:rPr>
      </w:pPr>
      <w:r>
        <w:rPr>
          <w:rFonts w:hint="eastAsia" w:ascii="宋体" w:hAnsi="宋体"/>
          <w:b/>
          <w:color w:val="auto"/>
          <w:sz w:val="21"/>
          <w:szCs w:val="21"/>
          <w:highlight w:val="none"/>
        </w:rPr>
        <w:t>备注：最终付款方式以中标方和甲方单位签订的合同为主。</w:t>
      </w:r>
    </w:p>
    <w:p>
      <w:pPr>
        <w:spacing w:line="440" w:lineRule="exact"/>
        <w:jc w:val="left"/>
        <w:outlineLvl w:val="0"/>
        <w:rPr>
          <w:rFonts w:ascii="宋体" w:hAnsi="宋体"/>
          <w:b/>
          <w:color w:val="auto"/>
          <w:sz w:val="36"/>
          <w:highlight w:val="none"/>
        </w:rPr>
      </w:pPr>
    </w:p>
    <w:p>
      <w:pPr>
        <w:spacing w:line="440" w:lineRule="exact"/>
        <w:rPr>
          <w:rFonts w:hint="eastAsia" w:ascii="宋体" w:hAnsi="宋体"/>
          <w:b/>
          <w:color w:val="auto"/>
          <w:sz w:val="24"/>
          <w:highlight w:val="none"/>
        </w:rPr>
      </w:pPr>
    </w:p>
    <w:p>
      <w:pPr>
        <w:spacing w:line="360" w:lineRule="auto"/>
        <w:rPr>
          <w:rFonts w:hint="eastAsia" w:ascii="宋体" w:hAnsi="宋体"/>
          <w:color w:val="auto"/>
          <w:sz w:val="24"/>
          <w:highlight w:val="none"/>
        </w:rPr>
      </w:pPr>
    </w:p>
    <w:p>
      <w:pPr>
        <w:rPr>
          <w:color w:val="auto"/>
          <w:highlight w:val="none"/>
        </w:rPr>
      </w:pPr>
    </w:p>
    <w:p>
      <w:pPr>
        <w:jc w:val="center"/>
        <w:outlineLvl w:val="0"/>
        <w:rPr>
          <w:rFonts w:hint="eastAsia" w:ascii="宋体" w:hAnsi="宋体" w:cs="宋体"/>
          <w:b/>
          <w:bCs/>
          <w:color w:val="auto"/>
          <w:szCs w:val="21"/>
          <w:highlight w:val="none"/>
        </w:rPr>
      </w:pPr>
      <w:r>
        <w:rPr>
          <w:rFonts w:hint="eastAsia" w:ascii="宋体" w:hAnsi="宋体" w:cs="宋体"/>
          <w:b/>
          <w:bCs/>
          <w:color w:val="auto"/>
          <w:szCs w:val="21"/>
          <w:highlight w:val="none"/>
        </w:rPr>
        <w:br w:type="page"/>
      </w:r>
      <w:r>
        <w:rPr>
          <w:rFonts w:hint="eastAsia" w:ascii="宋体" w:hAnsi="宋体" w:cs="宋体"/>
          <w:b/>
          <w:bCs/>
          <w:color w:val="auto"/>
          <w:szCs w:val="21"/>
          <w:highlight w:val="none"/>
        </w:rPr>
        <w:t>第五章 评分标准</w:t>
      </w:r>
      <w:bookmarkEnd w:id="183"/>
    </w:p>
    <w:p>
      <w:pPr>
        <w:spacing w:line="360" w:lineRule="auto"/>
        <w:ind w:left="420" w:hanging="420" w:hangingChars="200"/>
        <w:rPr>
          <w:rFonts w:hint="eastAsia" w:ascii="宋体" w:hAnsi="宋体" w:cs="宋体"/>
          <w:color w:val="auto"/>
          <w:szCs w:val="21"/>
          <w:highlight w:val="none"/>
        </w:rPr>
      </w:pPr>
    </w:p>
    <w:p>
      <w:pPr>
        <w:spacing w:line="360" w:lineRule="auto"/>
        <w:ind w:left="420" w:hanging="420" w:hangingChars="200"/>
        <w:rPr>
          <w:rFonts w:hint="eastAsia" w:ascii="宋体" w:hAnsi="宋体" w:cs="宋体"/>
          <w:color w:val="auto"/>
          <w:szCs w:val="21"/>
          <w:highlight w:val="none"/>
        </w:rPr>
      </w:pPr>
      <w:r>
        <w:rPr>
          <w:rFonts w:hint="eastAsia" w:ascii="宋体" w:hAnsi="宋体" w:cs="宋体"/>
          <w:color w:val="auto"/>
          <w:szCs w:val="21"/>
          <w:highlight w:val="none"/>
        </w:rPr>
        <w:t>一、评标办法：本次招标采用综合评分法，综合评分法是指在最大限度地满足招标文件实质性要求前提下，按照招标文件中规定的各项因素进行综合评审后，以评标总得分最高的投标人作为中标候选供应商或者中标供应商的评标方法。</w:t>
      </w:r>
    </w:p>
    <w:p>
      <w:pPr>
        <w:spacing w:line="360" w:lineRule="auto"/>
        <w:ind w:left="420" w:hanging="420" w:hangingChars="200"/>
        <w:rPr>
          <w:rFonts w:hint="eastAsia" w:ascii="宋体" w:hAnsi="宋体" w:cs="宋体"/>
          <w:color w:val="auto"/>
          <w:szCs w:val="21"/>
          <w:highlight w:val="none"/>
        </w:rPr>
      </w:pPr>
      <w:r>
        <w:rPr>
          <w:rFonts w:hint="eastAsia" w:ascii="宋体" w:hAnsi="宋体" w:cs="宋体"/>
          <w:color w:val="auto"/>
          <w:szCs w:val="21"/>
          <w:highlight w:val="none"/>
        </w:rPr>
        <w:t>二、综合评分的主要因素是：价格、技术、业绩、服务、对招标文件的响应程度，以及相应的比重或者权值等。</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三、评分因素所占权重：</w:t>
      </w:r>
    </w:p>
    <w:p>
      <w:pPr>
        <w:spacing w:line="360" w:lineRule="auto"/>
        <w:ind w:left="838" w:leftChars="399"/>
        <w:rPr>
          <w:rFonts w:hint="eastAsia" w:ascii="宋体" w:hAnsi="宋体" w:cs="宋体"/>
          <w:color w:val="auto"/>
          <w:szCs w:val="21"/>
          <w:highlight w:val="none"/>
        </w:rPr>
      </w:pPr>
      <w:r>
        <w:rPr>
          <w:rFonts w:hint="eastAsia" w:ascii="宋体" w:hAnsi="宋体" w:cs="宋体"/>
          <w:color w:val="auto"/>
          <w:szCs w:val="21"/>
          <w:highlight w:val="none"/>
        </w:rPr>
        <w:t>1、投标人商务状况（</w:t>
      </w:r>
      <w:r>
        <w:rPr>
          <w:rFonts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pPr>
        <w:spacing w:line="360" w:lineRule="auto"/>
        <w:ind w:left="838" w:leftChars="399"/>
        <w:rPr>
          <w:rFonts w:hint="eastAsia" w:ascii="宋体" w:hAnsi="宋体" w:cs="宋体"/>
          <w:color w:val="auto"/>
          <w:szCs w:val="21"/>
          <w:highlight w:val="none"/>
        </w:rPr>
      </w:pPr>
      <w:r>
        <w:rPr>
          <w:rFonts w:hint="eastAsia" w:ascii="宋体" w:hAnsi="宋体" w:cs="宋体"/>
          <w:color w:val="auto"/>
          <w:szCs w:val="21"/>
          <w:highlight w:val="none"/>
        </w:rPr>
        <w:t>2、投标人服务方案、人员配备等（</w:t>
      </w:r>
      <w:r>
        <w:rPr>
          <w:rFonts w:hint="eastAsia" w:ascii="宋体" w:hAnsi="宋体" w:cs="宋体"/>
          <w:color w:val="auto"/>
          <w:szCs w:val="21"/>
          <w:highlight w:val="none"/>
          <w:lang w:val="en-US" w:eastAsia="zh-CN"/>
        </w:rPr>
        <w:t>58</w:t>
      </w:r>
      <w:r>
        <w:rPr>
          <w:rFonts w:hint="eastAsia" w:ascii="宋体" w:hAnsi="宋体" w:cs="宋体"/>
          <w:color w:val="auto"/>
          <w:szCs w:val="21"/>
          <w:highlight w:val="none"/>
        </w:rPr>
        <w:t>分）；</w:t>
      </w:r>
    </w:p>
    <w:p>
      <w:pPr>
        <w:spacing w:line="360" w:lineRule="auto"/>
        <w:ind w:left="838" w:leftChars="399"/>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3、投标价格的合理性（</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p>
      <w:pPr>
        <w:spacing w:line="360" w:lineRule="auto"/>
        <w:ind w:left="838" w:leftChars="399"/>
        <w:rPr>
          <w:rFonts w:hint="eastAsia" w:ascii="宋体" w:hAnsi="宋体" w:cs="宋体"/>
          <w:color w:val="auto"/>
          <w:szCs w:val="21"/>
          <w:highlight w:val="none"/>
        </w:rPr>
      </w:pPr>
      <w:r>
        <w:rPr>
          <w:rFonts w:hint="eastAsia" w:ascii="宋体" w:hAnsi="宋体" w:cs="宋体"/>
          <w:color w:val="auto"/>
          <w:szCs w:val="21"/>
          <w:highlight w:val="none"/>
        </w:rPr>
        <w:t>评标基准价=满足招标文件资格要求且投标价格最低的投标报价，其价格分为满分。</w:t>
      </w:r>
    </w:p>
    <w:p>
      <w:pPr>
        <w:spacing w:line="360" w:lineRule="auto"/>
        <w:ind w:left="838" w:leftChars="399"/>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投标价格得分=（评标基准价/投标报价）×</w:t>
      </w:r>
      <w:r>
        <w:rPr>
          <w:rFonts w:hint="eastAsia" w:ascii="宋体" w:hAnsi="宋体" w:cs="宋体"/>
          <w:color w:val="auto"/>
          <w:szCs w:val="21"/>
          <w:highlight w:val="none"/>
          <w:lang w:val="en-US" w:eastAsia="zh-CN"/>
        </w:rPr>
        <w:t>30</w:t>
      </w:r>
    </w:p>
    <w:p>
      <w:pPr>
        <w:spacing w:line="360" w:lineRule="auto"/>
        <w:ind w:left="838" w:leftChars="399"/>
        <w:rPr>
          <w:rFonts w:hint="eastAsia" w:ascii="宋体" w:hAnsi="宋体" w:cs="宋体"/>
          <w:color w:val="auto"/>
          <w:szCs w:val="21"/>
          <w:highlight w:val="none"/>
        </w:rPr>
      </w:pPr>
      <w:r>
        <w:rPr>
          <w:rFonts w:hint="eastAsia" w:ascii="宋体" w:hAnsi="宋体" w:cs="宋体"/>
          <w:color w:val="auto"/>
          <w:szCs w:val="21"/>
          <w:highlight w:val="none"/>
        </w:rPr>
        <w:t>如投标人的投标报价超出采购预算，为无效投标。</w:t>
      </w:r>
    </w:p>
    <w:p>
      <w:pPr>
        <w:widowControl/>
        <w:numPr>
          <w:ilvl w:val="0"/>
          <w:numId w:val="9"/>
        </w:numPr>
        <w:spacing w:line="360" w:lineRule="auto"/>
        <w:ind w:firstLine="840" w:firstLineChars="400"/>
        <w:jc w:val="left"/>
        <w:rPr>
          <w:rFonts w:hint="eastAsia" w:ascii="宋体" w:hAnsi="宋体" w:cs="宋体"/>
          <w:color w:val="auto"/>
          <w:szCs w:val="21"/>
          <w:highlight w:val="none"/>
        </w:rPr>
      </w:pPr>
      <w:r>
        <w:rPr>
          <w:rFonts w:hint="eastAsia" w:ascii="宋体" w:hAnsi="宋体" w:cs="宋体"/>
          <w:color w:val="auto"/>
          <w:szCs w:val="21"/>
          <w:highlight w:val="none"/>
        </w:rPr>
        <w:t>最低投标价不是中标唯一条件。</w:t>
      </w:r>
    </w:p>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资格性检查表</w:t>
      </w:r>
    </w:p>
    <w:tbl>
      <w:tblPr>
        <w:tblStyle w:val="44"/>
        <w:tblpPr w:leftFromText="180" w:rightFromText="180" w:vertAnchor="text" w:horzAnchor="page" w:tblpX="1812" w:tblpY="88"/>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39"/>
        <w:gridCol w:w="77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00" w:hRule="atLeast"/>
        </w:trPr>
        <w:tc>
          <w:tcPr>
            <w:tcW w:w="539"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7744" w:type="dxa"/>
            <w:tcBorders>
              <w:lef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eastAsia" w:ascii="宋体" w:hAnsi="宋体" w:cs="宋体"/>
                <w:b/>
                <w:bCs/>
                <w:color w:val="auto"/>
                <w:szCs w:val="21"/>
                <w:highlight w:val="none"/>
              </w:rPr>
            </w:pPr>
            <w:r>
              <w:rPr>
                <w:rFonts w:hint="eastAsia" w:ascii="宋体" w:hAnsi="宋体" w:cs="宋体"/>
                <w:b/>
                <w:bCs/>
                <w:color w:val="auto"/>
                <w:szCs w:val="21"/>
                <w:highlight w:val="none"/>
              </w:rPr>
              <w:t>审查内容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435" w:hRule="atLeast"/>
        </w:trPr>
        <w:tc>
          <w:tcPr>
            <w:tcW w:w="539"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7744" w:type="dxa"/>
            <w:tcBorders>
              <w:left w:val="single" w:color="auto" w:sz="4" w:space="0"/>
            </w:tcBorders>
            <w:noWrap w:val="0"/>
            <w:vAlign w:val="center"/>
          </w:tcPr>
          <w:p>
            <w:pPr>
              <w:keepNext w:val="0"/>
              <w:keepLines w:val="0"/>
              <w:suppressLineNumbers w:val="0"/>
              <w:spacing w:before="0" w:beforeAutospacing="0" w:after="0" w:afterAutospacing="0" w:line="26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投标人应具有独立承担民事责任的能力的企业法人、事业法人、其他组织或者自然人,企业法人应提供营业执照、组织机构代码证、税务登记证（或统一社会信用代码的营业执照）等证明文件；事业法人应提供事业单位法人证、组织机构代码证等证明文件；其他组织应提供合法证明文件；自然人提供身份证明文件；且为非外资独资或外资控股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56" w:hRule="atLeast"/>
        </w:trPr>
        <w:tc>
          <w:tcPr>
            <w:tcW w:w="539"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7744" w:type="dxa"/>
            <w:tcBorders>
              <w:left w:val="single" w:color="auto" w:sz="4" w:space="0"/>
            </w:tcBorders>
            <w:noWrap w:val="0"/>
            <w:vAlign w:val="center"/>
          </w:tcPr>
          <w:p>
            <w:pPr>
              <w:keepNext w:val="0"/>
              <w:keepLines w:val="0"/>
              <w:suppressLineNumbers w:val="0"/>
              <w:spacing w:before="0" w:beforeAutospacing="0" w:after="0" w:afterAutospacing="0" w:line="26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具有良好的商业信誉和健全的财务会计制度（需提供2020年度经会计师事务所出具的财务审计报告或其基本开户银行出具的资信证明）；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00" w:hRule="atLeast"/>
        </w:trPr>
        <w:tc>
          <w:tcPr>
            <w:tcW w:w="539"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744" w:type="dxa"/>
            <w:tcBorders>
              <w:left w:val="single" w:color="auto" w:sz="4" w:space="0"/>
            </w:tcBorders>
            <w:noWrap w:val="0"/>
            <w:vAlign w:val="center"/>
          </w:tcPr>
          <w:p>
            <w:pPr>
              <w:keepNext w:val="0"/>
              <w:keepLines w:val="0"/>
              <w:suppressLineNumbers w:val="0"/>
              <w:spacing w:before="0" w:beforeAutospacing="0" w:after="0" w:afterAutospacing="0" w:line="26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 xml:space="preserve">具有依法缴纳税收和社会保障资金的良好记录（需提供投标截止日前六个月内任一个月的企业纳税证明和社保缴费记录证明）；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5" w:hRule="atLeast"/>
        </w:trPr>
        <w:tc>
          <w:tcPr>
            <w:tcW w:w="539"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7744" w:type="dxa"/>
            <w:tcBorders>
              <w:left w:val="single" w:color="auto" w:sz="4" w:space="0"/>
            </w:tcBorders>
            <w:noWrap w:val="0"/>
            <w:vAlign w:val="center"/>
          </w:tcPr>
          <w:p>
            <w:pPr>
              <w:keepNext w:val="0"/>
              <w:keepLines w:val="0"/>
              <w:suppressLineNumbers w:val="0"/>
              <w:spacing w:before="0" w:beforeAutospacing="0" w:after="0" w:afterAutospacing="0" w:line="26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参加政府采购活动前三年内（成立不足三年的从成立之日起算），在经营活动中没有重大违法记录（需提供加盖公章的声明书）；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2" w:hRule="atLeast"/>
        </w:trPr>
        <w:tc>
          <w:tcPr>
            <w:tcW w:w="539"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7744" w:type="dxa"/>
            <w:tcBorders>
              <w:left w:val="single" w:color="auto" w:sz="4" w:space="0"/>
            </w:tcBorders>
            <w:noWrap w:val="0"/>
            <w:vAlign w:val="center"/>
          </w:tcPr>
          <w:p>
            <w:pPr>
              <w:keepNext w:val="0"/>
              <w:keepLines w:val="0"/>
              <w:suppressLineNumbers w:val="0"/>
              <w:spacing w:before="0" w:beforeAutospacing="0" w:after="0" w:afterAutospacing="0" w:line="26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具有履行合同所必需的设备及专业技术能力（需提供承诺书）；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815" w:hRule="atLeast"/>
        </w:trPr>
        <w:tc>
          <w:tcPr>
            <w:tcW w:w="539"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7744" w:type="dxa"/>
            <w:tcBorders>
              <w:left w:val="single" w:color="auto" w:sz="4" w:space="0"/>
            </w:tcBorders>
            <w:noWrap w:val="0"/>
            <w:vAlign w:val="center"/>
          </w:tcPr>
          <w:p>
            <w:pPr>
              <w:keepNext w:val="0"/>
              <w:keepLines w:val="0"/>
              <w:suppressLineNumbers w:val="0"/>
              <w:spacing w:before="0" w:beforeAutospacing="0" w:after="0" w:afterAutospacing="0" w:line="26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94" w:hRule="atLeast"/>
        </w:trPr>
        <w:tc>
          <w:tcPr>
            <w:tcW w:w="539"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7744" w:type="dxa"/>
            <w:tcBorders>
              <w:left w:val="single" w:color="auto" w:sz="4" w:space="0"/>
            </w:tcBorders>
            <w:noWrap w:val="0"/>
            <w:vAlign w:val="center"/>
          </w:tcPr>
          <w:p>
            <w:pPr>
              <w:keepNext w:val="0"/>
              <w:keepLines w:val="0"/>
              <w:suppressLineNumbers w:val="0"/>
              <w:spacing w:before="0" w:beforeAutospacing="0" w:after="0" w:afterAutospacing="0" w:line="26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投标人应为经运输管理部门许可的</w:t>
            </w:r>
            <w:r>
              <w:rPr>
                <w:rFonts w:hint="eastAsia" w:ascii="宋体" w:hAnsi="宋体" w:cs="宋体"/>
                <w:color w:val="auto"/>
                <w:szCs w:val="21"/>
                <w:highlight w:val="none"/>
                <w:lang w:eastAsia="zh-CN"/>
              </w:rPr>
              <w:t>汽车维修二类资质</w:t>
            </w:r>
            <w:r>
              <w:rPr>
                <w:rFonts w:hint="eastAsia" w:ascii="宋体" w:hAnsi="宋体" w:cs="宋体"/>
                <w:color w:val="auto"/>
                <w:szCs w:val="21"/>
                <w:highlight w:val="none"/>
              </w:rPr>
              <w:t>及以上资质的汽车维修机构，并提供相关证明材料；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26" w:hRule="atLeast"/>
        </w:trPr>
        <w:tc>
          <w:tcPr>
            <w:tcW w:w="539"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7744" w:type="dxa"/>
            <w:tcBorders>
              <w:left w:val="single" w:color="auto" w:sz="4" w:space="0"/>
            </w:tcBorders>
            <w:noWrap w:val="0"/>
            <w:vAlign w:val="center"/>
          </w:tcPr>
          <w:p>
            <w:pPr>
              <w:keepNext w:val="0"/>
              <w:keepLines w:val="0"/>
              <w:suppressLineNumbers w:val="0"/>
              <w:spacing w:before="0" w:beforeAutospacing="0" w:after="0" w:afterAutospacing="0" w:line="26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本项目不接受联合体投标。</w:t>
            </w:r>
          </w:p>
        </w:tc>
      </w:tr>
    </w:tbl>
    <w:p>
      <w:pPr>
        <w:spacing w:line="260" w:lineRule="exact"/>
        <w:rPr>
          <w:rFonts w:hint="eastAsia" w:ascii="宋体" w:hAnsi="宋体" w:cs="宋体"/>
          <w:color w:val="auto"/>
          <w:szCs w:val="21"/>
          <w:highlight w:val="none"/>
        </w:rPr>
      </w:pPr>
      <w:r>
        <w:rPr>
          <w:rFonts w:hint="eastAsia" w:ascii="宋体" w:hAnsi="宋体" w:cs="宋体"/>
          <w:color w:val="auto"/>
          <w:szCs w:val="21"/>
          <w:highlight w:val="none"/>
        </w:rPr>
        <w:t>注: 1. 供应商须按此表的内容提供相关证明文件，且证明文件须真实有效，否则，其竞争性磋商响应文件将会被、评定为无效。</w:t>
      </w:r>
    </w:p>
    <w:p>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2．不通过“资格性检查”的供应商，不得参加以后阶段的评审。</w:t>
      </w:r>
    </w:p>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符合性检查表</w:t>
      </w:r>
    </w:p>
    <w:tbl>
      <w:tblPr>
        <w:tblStyle w:val="44"/>
        <w:tblpPr w:leftFromText="180" w:rightFromText="180" w:vertAnchor="text" w:horzAnchor="page" w:tblpX="1798" w:tblpY="208"/>
        <w:tblOverlap w:val="never"/>
        <w:tblW w:w="849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70"/>
        <w:gridCol w:w="78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5" w:hRule="atLeast"/>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7825"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cs="宋体"/>
                <w:b/>
                <w:bCs/>
                <w:color w:val="auto"/>
                <w:szCs w:val="21"/>
                <w:highlight w:val="none"/>
              </w:rPr>
            </w:pPr>
            <w:r>
              <w:rPr>
                <w:rFonts w:hint="eastAsia" w:ascii="宋体" w:hAnsi="宋体" w:cs="宋体"/>
                <w:b/>
                <w:bCs/>
                <w:color w:val="auto"/>
                <w:szCs w:val="21"/>
                <w:highlight w:val="none"/>
              </w:rPr>
              <w:t>审查内容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50" w:hRule="atLeast"/>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7825"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28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按照招标文件规定要求密封、签署、盖章的。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5" w:hRule="atLeast"/>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7825"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28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按照招标文件要求递交完整的响应文件。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5" w:hRule="atLeast"/>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825"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28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投标文件已按招标文件要求作出有效签署。</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6" w:hRule="atLeast"/>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7825"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28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有法定代表人(负责人)签字或盖章或签字人已有法定代表人(负责人)有效授权。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6" w:hRule="atLeast"/>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7825"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28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按照招标文件规定要求交投标保证金的。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6" w:hRule="atLeast"/>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7825"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28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投标文件针对同一种服务出现了两个或两个以上的报价。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5" w:hRule="atLeast"/>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7825"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28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没有出现串通投标的情况。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05" w:hRule="atLeast"/>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7825"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28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实质性响应招标文件标示“★”符号的条款。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05" w:hRule="atLeast"/>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7825"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28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投标报价没有缺漏项目。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05" w:hRule="atLeast"/>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7825"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28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投标报价未超过预算价或最高限价。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05" w:hRule="atLeast"/>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11</w:t>
            </w:r>
          </w:p>
        </w:tc>
        <w:tc>
          <w:tcPr>
            <w:tcW w:w="7825"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28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无明显不符合招标文件关于对招标服务技术规格和标准的要求。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05" w:hRule="atLeast"/>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7825"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28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投标报价有效期为90个日历日。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75" w:hRule="atLeast"/>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13</w:t>
            </w:r>
          </w:p>
        </w:tc>
        <w:tc>
          <w:tcPr>
            <w:tcW w:w="7825"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28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技术商务条款上没有存在重大偏离。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75" w:hRule="atLeast"/>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7825"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28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不符合法律、法规和招标文件中规定的其他实质性要求。</w:t>
            </w:r>
          </w:p>
        </w:tc>
      </w:tr>
    </w:tbl>
    <w:p>
      <w:pPr>
        <w:spacing w:line="260" w:lineRule="exact"/>
        <w:rPr>
          <w:rFonts w:hint="eastAsia" w:ascii="宋体" w:hAnsi="宋体" w:cs="宋体"/>
          <w:color w:val="auto"/>
          <w:szCs w:val="21"/>
          <w:highlight w:val="none"/>
        </w:rPr>
      </w:pPr>
    </w:p>
    <w:p>
      <w:pPr>
        <w:spacing w:line="2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p>
    <w:p>
      <w:pPr>
        <w:spacing w:line="260" w:lineRule="exact"/>
        <w:ind w:left="735" w:leftChars="200" w:hanging="315" w:hangingChars="150"/>
        <w:rPr>
          <w:rFonts w:hint="eastAsia" w:ascii="宋体" w:hAnsi="宋体" w:cs="宋体"/>
          <w:color w:val="auto"/>
          <w:szCs w:val="21"/>
          <w:highlight w:val="none"/>
        </w:rPr>
      </w:pPr>
      <w:r>
        <w:rPr>
          <w:rFonts w:hint="eastAsia" w:ascii="宋体" w:hAnsi="宋体" w:cs="宋体"/>
          <w:color w:val="auto"/>
          <w:szCs w:val="21"/>
          <w:highlight w:val="none"/>
        </w:rPr>
        <w:t>1．投标人须按此表的内容提供相关证明文件，且证明文件须真实有效，否则，其投标文件将会被评定为无效。</w:t>
      </w:r>
    </w:p>
    <w:p>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2．不通过“符合性检查”的投标人，不得参加以后阶段的评审。</w:t>
      </w:r>
    </w:p>
    <w:tbl>
      <w:tblPr>
        <w:tblStyle w:val="44"/>
        <w:tblpPr w:leftFromText="180" w:rightFromText="180" w:vertAnchor="text" w:horzAnchor="margin" w:tblpX="1" w:tblpY="2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25"/>
        <w:gridCol w:w="1269"/>
        <w:gridCol w:w="526"/>
        <w:gridCol w:w="4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评分因素</w:t>
            </w:r>
          </w:p>
        </w:tc>
        <w:tc>
          <w:tcPr>
            <w:tcW w:w="670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评价指标和分值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vMerge w:val="restar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25" w:type="dxa"/>
            <w:vMerge w:val="restar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商务得分</w:t>
            </w:r>
          </w:p>
          <w:p>
            <w:pPr>
              <w:keepNext w:val="0"/>
              <w:keepLines w:val="0"/>
              <w:suppressLineNumbers w:val="0"/>
              <w:spacing w:before="0" w:beforeAutospacing="0" w:after="0" w:afterAutospacing="0"/>
              <w:ind w:left="0" w:right="0"/>
              <w:jc w:val="center"/>
              <w:rPr>
                <w:rFonts w:hint="eastAsia" w:ascii="Times New Roman" w:hAnsi="Times New Roman" w:cs="Times New Roman"/>
                <w:color w:val="auto"/>
                <w:highlight w:val="none"/>
              </w:rPr>
            </w:pPr>
            <w:r>
              <w:rPr>
                <w:rFonts w:hint="eastAsia" w:ascii="宋体" w:hAnsi="宋体" w:cs="宋体"/>
                <w:color w:val="auto"/>
                <w:szCs w:val="21"/>
                <w:highlight w:val="none"/>
              </w:rPr>
              <w:t>（</w:t>
            </w:r>
            <w:r>
              <w:rPr>
                <w:rFonts w:hint="default"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同类项目实施业绩</w:t>
            </w:r>
          </w:p>
        </w:tc>
        <w:tc>
          <w:tcPr>
            <w:tcW w:w="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49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1</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根据投标人</w:t>
            </w:r>
            <w:r>
              <w:rPr>
                <w:rFonts w:hint="eastAsia" w:ascii="Times New Roman" w:hAnsi="Times New Roman" w:cs="Times New Roman"/>
                <w:color w:val="auto"/>
                <w:highlight w:val="none"/>
                <w:lang w:val="en-US" w:eastAsia="zh-CN"/>
              </w:rPr>
              <w:t>2019年1月1日至今</w:t>
            </w:r>
            <w:r>
              <w:rPr>
                <w:rFonts w:hint="eastAsia" w:ascii="Times New Roman" w:hAnsi="Times New Roman" w:cs="Times New Roman"/>
                <w:color w:val="auto"/>
                <w:highlight w:val="none"/>
              </w:rPr>
              <w:t>类似项目业绩情况进行评定，每提供一项得</w:t>
            </w:r>
            <w:r>
              <w:rPr>
                <w:rFonts w:hint="eastAsia" w:ascii="Times New Roman" w:hAnsi="Times New Roman" w:cs="Times New Roman"/>
                <w:color w:val="auto"/>
                <w:highlight w:val="none"/>
                <w:lang w:val="en-US" w:eastAsia="zh-CN"/>
              </w:rPr>
              <w:t>1.5</w:t>
            </w:r>
            <w:r>
              <w:rPr>
                <w:rFonts w:hint="eastAsia" w:ascii="Times New Roman" w:hAnsi="Times New Roman" w:cs="Times New Roman"/>
                <w:color w:val="auto"/>
                <w:highlight w:val="none"/>
              </w:rPr>
              <w:t>分，最多得</w:t>
            </w: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rPr>
              <w:t>分。</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auto"/>
                <w:highlight w:val="none"/>
              </w:rPr>
            </w:pPr>
            <w:r>
              <w:rPr>
                <w:rFonts w:hint="eastAsia" w:ascii="Times New Roman" w:hAnsi="Times New Roman" w:cs="Times New Roman"/>
                <w:color w:val="auto"/>
                <w:highlight w:val="none"/>
              </w:rPr>
              <w:t>注：1</w:t>
            </w:r>
            <w:r>
              <w:rPr>
                <w:rFonts w:hint="default" w:ascii="Times New Roman" w:hAnsi="Times New Roman" w:cs="Times New Roman"/>
                <w:color w:val="auto"/>
                <w:highlight w:val="none"/>
              </w:rPr>
              <w:t>.</w:t>
            </w:r>
            <w:r>
              <w:rPr>
                <w:rFonts w:hint="eastAsia" w:ascii="Times New Roman" w:hAnsi="Times New Roman" w:cs="Times New Roman"/>
                <w:color w:val="auto"/>
                <w:highlight w:val="none"/>
              </w:rPr>
              <w:t>提供的业绩证明文件应包括：合同，中标通知书</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合同应包含合同首页、签字盖章页和主要内容页。</w:t>
            </w:r>
            <w:r>
              <w:rPr>
                <w:rFonts w:hint="eastAsia" w:ascii="Times New Roman" w:hAnsi="Times New Roman" w:eastAsia="宋体" w:cs="Times New Roman"/>
                <w:color w:val="auto"/>
                <w:highlight w:val="none"/>
              </w:rPr>
              <w:t>2.复印件装订在标书中并加盖单位公章。</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2019年1月1日至今</w:t>
            </w:r>
            <w:r>
              <w:rPr>
                <w:rFonts w:hint="eastAsia" w:ascii="Times New Roman" w:hAnsi="Times New Roman" w:eastAsia="宋体" w:cs="Times New Roman"/>
                <w:color w:val="auto"/>
                <w:highlight w:val="none"/>
                <w:lang w:eastAsia="zh-CN"/>
              </w:rPr>
              <w:t>业主对投标人承担的同类服务工作反馈意见良好，每提供一份得1分，最高得</w:t>
            </w: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lang w:eastAsia="zh-CN"/>
              </w:rPr>
              <w:t>分。附相关证明材料加盖公章，同一项目一年只限提供一份。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70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25"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企业实力及信誉</w:t>
            </w:r>
          </w:p>
        </w:tc>
        <w:tc>
          <w:tcPr>
            <w:tcW w:w="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w:t>
            </w:r>
          </w:p>
        </w:tc>
        <w:tc>
          <w:tcPr>
            <w:tcW w:w="49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Times New Roman" w:hAnsi="Times New Roman" w:cs="Times New Roman"/>
                <w:color w:val="auto"/>
                <w:highlight w:val="none"/>
              </w:rPr>
            </w:pPr>
            <w:r>
              <w:rPr>
                <w:rFonts w:hint="eastAsia" w:ascii="Times New Roman" w:hAnsi="Times New Roman" w:cs="Times New Roman"/>
                <w:color w:val="auto"/>
                <w:highlight w:val="none"/>
                <w:lang w:val="zh-CN"/>
              </w:rPr>
              <w:t>企业</w:t>
            </w:r>
            <w:r>
              <w:rPr>
                <w:rFonts w:hint="eastAsia" w:ascii="Times New Roman" w:hAnsi="Times New Roman" w:cs="Times New Roman"/>
                <w:color w:val="auto"/>
                <w:highlight w:val="none"/>
                <w:lang w:val="en-US" w:eastAsia="zh-CN"/>
              </w:rPr>
              <w:t>综合实力（</w:t>
            </w:r>
            <w:r>
              <w:rPr>
                <w:rFonts w:hint="eastAsia" w:ascii="Times New Roman" w:hAnsi="Times New Roman" w:cs="Times New Roman"/>
                <w:color w:val="auto"/>
                <w:highlight w:val="none"/>
                <w:lang w:val="zh-CN"/>
              </w:rPr>
              <w:t>经营实力、管理</w:t>
            </w:r>
            <w:r>
              <w:rPr>
                <w:rFonts w:hint="eastAsia" w:ascii="Times New Roman" w:hAnsi="Times New Roman" w:cs="Times New Roman"/>
                <w:color w:val="auto"/>
                <w:highlight w:val="none"/>
                <w:lang w:val="en-US" w:eastAsia="zh-CN"/>
              </w:rPr>
              <w:t>及规章制度</w:t>
            </w:r>
            <w:r>
              <w:rPr>
                <w:rFonts w:hint="eastAsia" w:ascii="Times New Roman" w:hAnsi="Times New Roman" w:cs="Times New Roman"/>
                <w:color w:val="auto"/>
                <w:highlight w:val="none"/>
                <w:lang w:val="zh-CN"/>
              </w:rPr>
              <w:t>、技术人员、行业口碑）</w:t>
            </w:r>
            <w:r>
              <w:rPr>
                <w:rFonts w:hint="eastAsia" w:ascii="Times New Roman" w:hAnsi="Times New Roman" w:cs="Times New Roman"/>
                <w:color w:val="auto"/>
                <w:highlight w:val="none"/>
                <w:lang w:val="en-US" w:eastAsia="zh-CN"/>
              </w:rPr>
              <w:t>较强、</w:t>
            </w:r>
            <w:r>
              <w:rPr>
                <w:rFonts w:hint="eastAsia" w:ascii="Times New Roman" w:hAnsi="Times New Roman" w:cs="Times New Roman"/>
                <w:color w:val="auto"/>
                <w:highlight w:val="none"/>
              </w:rPr>
              <w:t>信誉较好，制度完善</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得</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rPr>
              <w:t>分；</w:t>
            </w:r>
          </w:p>
          <w:p>
            <w:pPr>
              <w:keepNext w:val="0"/>
              <w:keepLines w:val="0"/>
              <w:suppressLineNumbers w:val="0"/>
              <w:spacing w:before="0" w:beforeAutospacing="0" w:after="0" w:afterAutospacing="0"/>
              <w:ind w:left="0" w:right="0"/>
              <w:jc w:val="left"/>
              <w:rPr>
                <w:rFonts w:hint="eastAsia" w:ascii="Times New Roman" w:hAnsi="Times New Roman" w:cs="Times New Roman"/>
                <w:color w:val="auto"/>
                <w:highlight w:val="none"/>
              </w:rPr>
            </w:pPr>
            <w:r>
              <w:rPr>
                <w:rFonts w:hint="eastAsia" w:ascii="Times New Roman" w:hAnsi="Times New Roman" w:cs="Times New Roman"/>
                <w:color w:val="auto"/>
                <w:highlight w:val="none"/>
                <w:lang w:val="zh-CN"/>
              </w:rPr>
              <w:t>企业</w:t>
            </w:r>
            <w:r>
              <w:rPr>
                <w:rFonts w:hint="eastAsia" w:ascii="Times New Roman" w:hAnsi="Times New Roman" w:cs="Times New Roman"/>
                <w:color w:val="auto"/>
                <w:highlight w:val="none"/>
                <w:lang w:val="en-US" w:eastAsia="zh-CN"/>
              </w:rPr>
              <w:t>综合实力（</w:t>
            </w:r>
            <w:r>
              <w:rPr>
                <w:rFonts w:hint="eastAsia" w:ascii="Times New Roman" w:hAnsi="Times New Roman" w:cs="Times New Roman"/>
                <w:color w:val="auto"/>
                <w:highlight w:val="none"/>
                <w:lang w:val="zh-CN"/>
              </w:rPr>
              <w:t>经营实力、管理</w:t>
            </w:r>
            <w:r>
              <w:rPr>
                <w:rFonts w:hint="eastAsia" w:ascii="Times New Roman" w:hAnsi="Times New Roman" w:cs="Times New Roman"/>
                <w:color w:val="auto"/>
                <w:highlight w:val="none"/>
                <w:lang w:val="en-US" w:eastAsia="zh-CN"/>
              </w:rPr>
              <w:t>及规章制度</w:t>
            </w:r>
            <w:r>
              <w:rPr>
                <w:rFonts w:hint="eastAsia" w:ascii="Times New Roman" w:hAnsi="Times New Roman" w:cs="Times New Roman"/>
                <w:color w:val="auto"/>
                <w:highlight w:val="none"/>
                <w:lang w:val="zh-CN"/>
              </w:rPr>
              <w:t>、技术人员、行业口碑）</w:t>
            </w:r>
            <w:r>
              <w:rPr>
                <w:rFonts w:hint="eastAsia" w:ascii="Times New Roman" w:hAnsi="Times New Roman" w:cs="Times New Roman"/>
                <w:color w:val="auto"/>
                <w:highlight w:val="none"/>
                <w:lang w:val="en-US" w:eastAsia="zh-CN"/>
              </w:rPr>
              <w:t>一般、</w:t>
            </w:r>
            <w:r>
              <w:rPr>
                <w:rFonts w:hint="eastAsia" w:ascii="Times New Roman" w:hAnsi="Times New Roman" w:cs="Times New Roman"/>
                <w:color w:val="auto"/>
                <w:highlight w:val="none"/>
              </w:rPr>
              <w:t>信誉</w:t>
            </w:r>
            <w:r>
              <w:rPr>
                <w:rFonts w:hint="eastAsia" w:ascii="Times New Roman" w:hAnsi="Times New Roman" w:cs="Times New Roman"/>
                <w:color w:val="auto"/>
                <w:highlight w:val="none"/>
                <w:lang w:val="en-US" w:eastAsia="zh-CN"/>
              </w:rPr>
              <w:t>良好</w:t>
            </w:r>
            <w:r>
              <w:rPr>
                <w:rFonts w:hint="eastAsia" w:ascii="Times New Roman" w:hAnsi="Times New Roman" w:cs="Times New Roman"/>
                <w:color w:val="auto"/>
                <w:highlight w:val="none"/>
              </w:rPr>
              <w:t>，制度</w:t>
            </w:r>
            <w:r>
              <w:rPr>
                <w:rFonts w:hint="eastAsia" w:ascii="Times New Roman" w:hAnsi="Times New Roman" w:cs="Times New Roman"/>
                <w:color w:val="auto"/>
                <w:highlight w:val="none"/>
                <w:lang w:val="en-US" w:eastAsia="zh-CN"/>
              </w:rPr>
              <w:t>基本</w:t>
            </w:r>
            <w:r>
              <w:rPr>
                <w:rFonts w:hint="eastAsia" w:ascii="Times New Roman" w:hAnsi="Times New Roman" w:cs="Times New Roman"/>
                <w:color w:val="auto"/>
                <w:highlight w:val="none"/>
              </w:rPr>
              <w:t>完善</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得</w:t>
            </w: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rPr>
              <w:t>分；</w:t>
            </w:r>
          </w:p>
          <w:p>
            <w:pPr>
              <w:keepNext w:val="0"/>
              <w:keepLines w:val="0"/>
              <w:suppressLineNumbers w:val="0"/>
              <w:spacing w:before="0" w:beforeAutospacing="0" w:after="0" w:afterAutospacing="0"/>
              <w:ind w:left="0" w:right="0"/>
              <w:jc w:val="lef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zh-CN"/>
              </w:rPr>
              <w:t>企业</w:t>
            </w:r>
            <w:r>
              <w:rPr>
                <w:rFonts w:hint="eastAsia" w:ascii="Times New Roman" w:hAnsi="Times New Roman" w:cs="Times New Roman"/>
                <w:color w:val="auto"/>
                <w:highlight w:val="none"/>
                <w:lang w:val="en-US" w:eastAsia="zh-CN"/>
              </w:rPr>
              <w:t>综合实力（</w:t>
            </w:r>
            <w:r>
              <w:rPr>
                <w:rFonts w:hint="eastAsia" w:ascii="Times New Roman" w:hAnsi="Times New Roman" w:cs="Times New Roman"/>
                <w:color w:val="auto"/>
                <w:highlight w:val="none"/>
                <w:lang w:val="zh-CN"/>
              </w:rPr>
              <w:t>经营实力、管理</w:t>
            </w:r>
            <w:r>
              <w:rPr>
                <w:rFonts w:hint="eastAsia" w:ascii="Times New Roman" w:hAnsi="Times New Roman" w:cs="Times New Roman"/>
                <w:color w:val="auto"/>
                <w:highlight w:val="none"/>
                <w:lang w:val="en-US" w:eastAsia="zh-CN"/>
              </w:rPr>
              <w:t>及规章制度</w:t>
            </w:r>
            <w:r>
              <w:rPr>
                <w:rFonts w:hint="eastAsia" w:ascii="Times New Roman" w:hAnsi="Times New Roman" w:cs="Times New Roman"/>
                <w:color w:val="auto"/>
                <w:highlight w:val="none"/>
                <w:lang w:val="zh-CN"/>
              </w:rPr>
              <w:t>、技术人员、行业口碑）</w:t>
            </w:r>
            <w:r>
              <w:rPr>
                <w:rFonts w:hint="eastAsia" w:ascii="Times New Roman" w:hAnsi="Times New Roman" w:cs="Times New Roman"/>
                <w:color w:val="auto"/>
                <w:highlight w:val="none"/>
                <w:lang w:val="en-US" w:eastAsia="zh-CN"/>
              </w:rPr>
              <w:t>、</w:t>
            </w:r>
            <w:r>
              <w:rPr>
                <w:rFonts w:hint="eastAsia" w:ascii="Times New Roman" w:hAnsi="Times New Roman" w:cs="Times New Roman"/>
                <w:color w:val="auto"/>
                <w:highlight w:val="none"/>
              </w:rPr>
              <w:t>信誉</w:t>
            </w:r>
            <w:r>
              <w:rPr>
                <w:rFonts w:hint="eastAsia" w:ascii="Times New Roman" w:hAnsi="Times New Roman" w:cs="Times New Roman"/>
                <w:color w:val="auto"/>
                <w:highlight w:val="none"/>
                <w:lang w:val="en-US" w:eastAsia="zh-CN"/>
              </w:rPr>
              <w:t>较差</w:t>
            </w:r>
            <w:r>
              <w:rPr>
                <w:rFonts w:hint="eastAsia" w:ascii="Times New Roman" w:hAnsi="Times New Roman" w:cs="Times New Roman"/>
                <w:color w:val="auto"/>
                <w:highlight w:val="none"/>
              </w:rPr>
              <w:t>，制度</w:t>
            </w:r>
            <w:r>
              <w:rPr>
                <w:rFonts w:hint="eastAsia" w:ascii="Times New Roman" w:hAnsi="Times New Roman" w:cs="Times New Roman"/>
                <w:color w:val="auto"/>
                <w:highlight w:val="none"/>
                <w:lang w:val="en-US" w:eastAsia="zh-CN"/>
              </w:rPr>
              <w:t>较不</w:t>
            </w:r>
            <w:r>
              <w:rPr>
                <w:rFonts w:hint="eastAsia" w:ascii="Times New Roman" w:hAnsi="Times New Roman" w:cs="Times New Roman"/>
                <w:color w:val="auto"/>
                <w:highlight w:val="none"/>
              </w:rPr>
              <w:t>完善</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得</w:t>
            </w:r>
            <w:r>
              <w:rPr>
                <w:rFonts w:hint="eastAsia" w:ascii="Times New Roman" w:hAnsi="Times New Roman" w:cs="Times New Roman"/>
                <w:color w:val="auto"/>
                <w:highlight w:val="none"/>
                <w:lang w:val="en-US" w:eastAsia="zh-CN"/>
              </w:rPr>
              <w:t>1</w:t>
            </w:r>
            <w:r>
              <w:rPr>
                <w:rFonts w:hint="eastAsia" w:ascii="Times New Roman" w:hAnsi="Times New Roman" w:cs="Times New Roman"/>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0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12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技术得分</w:t>
            </w:r>
          </w:p>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58</w:t>
            </w:r>
            <w:r>
              <w:rPr>
                <w:rFonts w:hint="eastAsia" w:ascii="宋体" w:hAnsi="宋体" w:cs="宋体"/>
                <w:color w:val="auto"/>
                <w:szCs w:val="21"/>
                <w:highlight w:val="none"/>
              </w:rPr>
              <w:t>分）</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kern w:val="0"/>
                <w:sz w:val="22"/>
                <w:highlight w:val="none"/>
              </w:rPr>
              <w:t>车辆维修保养方案</w:t>
            </w:r>
          </w:p>
        </w:tc>
        <w:tc>
          <w:tcPr>
            <w:tcW w:w="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p>
        </w:tc>
        <w:tc>
          <w:tcPr>
            <w:tcW w:w="49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Times New Roman" w:hAnsi="Times New Roman" w:cs="Times New Roman"/>
                <w:color w:val="auto"/>
                <w:highlight w:val="none"/>
              </w:rPr>
            </w:pPr>
            <w:r>
              <w:rPr>
                <w:rFonts w:hint="eastAsia" w:ascii="Times New Roman" w:hAnsi="Times New Roman" w:cs="Times New Roman"/>
                <w:color w:val="auto"/>
                <w:highlight w:val="none"/>
              </w:rPr>
              <w:t>对全部车辆的维修保养检测服务提供相应的服务方案：</w:t>
            </w:r>
          </w:p>
          <w:p>
            <w:pPr>
              <w:pStyle w:val="5"/>
              <w:keepNext w:val="0"/>
              <w:keepLines w:val="0"/>
              <w:numPr>
                <w:ilvl w:val="0"/>
                <w:numId w:val="10"/>
              </w:numPr>
              <w:suppressLineNumbers w:val="0"/>
              <w:spacing w:before="0" w:beforeAutospacing="0" w:after="0" w:afterAutospacing="0"/>
              <w:ind w:left="0" w:right="0" w:firstLine="0"/>
              <w:rPr>
                <w:rFonts w:hint="eastAsia" w:hAnsi="宋体" w:cs="宋体"/>
                <w:color w:val="auto"/>
                <w:sz w:val="22"/>
                <w:highlight w:val="none"/>
              </w:rPr>
            </w:pPr>
            <w:r>
              <w:rPr>
                <w:rFonts w:hint="eastAsia" w:hAnsi="宋体" w:cs="宋体"/>
                <w:color w:val="auto"/>
                <w:sz w:val="22"/>
                <w:highlight w:val="none"/>
              </w:rPr>
              <w:t>维修保养方案合理，设备及技术能兼顾到所需全部车型的维修，重点难点车辆有相应的特殊维修方案得</w:t>
            </w:r>
            <w:r>
              <w:rPr>
                <w:rFonts w:hint="eastAsia" w:hAnsi="宋体" w:cs="宋体"/>
                <w:color w:val="auto"/>
                <w:sz w:val="22"/>
                <w:highlight w:val="none"/>
                <w:lang w:val="en-US" w:eastAsia="zh-CN"/>
              </w:rPr>
              <w:t>5</w:t>
            </w:r>
            <w:r>
              <w:rPr>
                <w:rFonts w:hint="eastAsia" w:hAnsi="宋体" w:cs="宋体"/>
                <w:color w:val="auto"/>
                <w:sz w:val="22"/>
                <w:highlight w:val="none"/>
              </w:rPr>
              <w:t>-</w:t>
            </w:r>
            <w:r>
              <w:rPr>
                <w:rFonts w:hint="eastAsia" w:hAnsi="宋体" w:cs="宋体"/>
                <w:color w:val="auto"/>
                <w:sz w:val="22"/>
                <w:highlight w:val="none"/>
                <w:lang w:val="en-US" w:eastAsia="zh-CN"/>
              </w:rPr>
              <w:t>6</w:t>
            </w:r>
            <w:r>
              <w:rPr>
                <w:rFonts w:hint="eastAsia" w:hAnsi="宋体" w:cs="宋体"/>
                <w:color w:val="auto"/>
                <w:sz w:val="22"/>
                <w:highlight w:val="none"/>
              </w:rPr>
              <w:t>分。</w:t>
            </w:r>
          </w:p>
          <w:p>
            <w:pPr>
              <w:pStyle w:val="5"/>
              <w:keepNext w:val="0"/>
              <w:keepLines w:val="0"/>
              <w:numPr>
                <w:ilvl w:val="0"/>
                <w:numId w:val="10"/>
              </w:numPr>
              <w:suppressLineNumbers w:val="0"/>
              <w:spacing w:before="0" w:beforeAutospacing="0" w:after="0" w:afterAutospacing="0"/>
              <w:ind w:left="0" w:right="0" w:firstLine="0"/>
              <w:rPr>
                <w:rFonts w:hint="eastAsia" w:hAnsi="宋体" w:cs="宋体"/>
                <w:color w:val="auto"/>
                <w:sz w:val="22"/>
                <w:highlight w:val="none"/>
              </w:rPr>
            </w:pPr>
            <w:r>
              <w:rPr>
                <w:rFonts w:hint="eastAsia" w:hAnsi="宋体" w:cs="宋体"/>
                <w:color w:val="auto"/>
                <w:sz w:val="22"/>
                <w:highlight w:val="none"/>
              </w:rPr>
              <w:t>维修保养方案较为合理，设备及技术能兼顾到所需大部分车型的维修，重点难点车辆有部分的特殊维修方案的得</w:t>
            </w:r>
            <w:r>
              <w:rPr>
                <w:rFonts w:hint="eastAsia" w:hAnsi="宋体" w:cs="宋体"/>
                <w:color w:val="auto"/>
                <w:sz w:val="22"/>
                <w:highlight w:val="none"/>
                <w:lang w:val="en-US" w:eastAsia="zh-CN"/>
              </w:rPr>
              <w:t>3</w:t>
            </w:r>
            <w:r>
              <w:rPr>
                <w:rFonts w:hint="eastAsia" w:hAnsi="宋体" w:cs="宋体"/>
                <w:color w:val="auto"/>
                <w:sz w:val="22"/>
                <w:highlight w:val="none"/>
              </w:rPr>
              <w:t>-</w:t>
            </w:r>
            <w:r>
              <w:rPr>
                <w:rFonts w:hint="eastAsia" w:hAnsi="宋体" w:cs="宋体"/>
                <w:color w:val="auto"/>
                <w:sz w:val="22"/>
                <w:highlight w:val="none"/>
                <w:lang w:val="en-US" w:eastAsia="zh-CN"/>
              </w:rPr>
              <w:t>4</w:t>
            </w:r>
            <w:r>
              <w:rPr>
                <w:rFonts w:hint="eastAsia" w:hAnsi="宋体" w:cs="宋体"/>
                <w:color w:val="auto"/>
                <w:sz w:val="22"/>
                <w:highlight w:val="none"/>
              </w:rPr>
              <w:t>分。</w:t>
            </w:r>
          </w:p>
          <w:p>
            <w:pPr>
              <w:pStyle w:val="5"/>
              <w:keepNext w:val="0"/>
              <w:keepLines w:val="0"/>
              <w:numPr>
                <w:ilvl w:val="0"/>
                <w:numId w:val="10"/>
              </w:numPr>
              <w:suppressLineNumbers w:val="0"/>
              <w:spacing w:before="0" w:beforeAutospacing="0" w:after="0" w:afterAutospacing="0"/>
              <w:ind w:left="0" w:right="0" w:firstLine="0"/>
              <w:rPr>
                <w:rFonts w:hint="default" w:hAnsi="宋体" w:cs="宋体"/>
                <w:color w:val="auto"/>
                <w:sz w:val="22"/>
                <w:highlight w:val="none"/>
              </w:rPr>
            </w:pPr>
            <w:r>
              <w:rPr>
                <w:rFonts w:hint="eastAsia" w:hAnsi="宋体" w:cs="宋体"/>
                <w:color w:val="auto"/>
                <w:sz w:val="22"/>
                <w:highlight w:val="none"/>
              </w:rPr>
              <w:t>维修保养方案较为可行的得</w:t>
            </w:r>
            <w:r>
              <w:rPr>
                <w:rFonts w:hint="eastAsia" w:hAnsi="宋体" w:cs="宋体"/>
                <w:color w:val="auto"/>
                <w:sz w:val="22"/>
                <w:highlight w:val="none"/>
                <w:lang w:val="en-US" w:eastAsia="zh-CN"/>
              </w:rPr>
              <w:t>1</w:t>
            </w:r>
            <w:r>
              <w:rPr>
                <w:rFonts w:hint="eastAsia" w:hAnsi="宋体" w:cs="宋体"/>
                <w:color w:val="auto"/>
                <w:sz w:val="22"/>
                <w:highlight w:val="none"/>
              </w:rPr>
              <w:t>-</w:t>
            </w:r>
            <w:r>
              <w:rPr>
                <w:rFonts w:hint="eastAsia" w:hAnsi="宋体" w:cs="宋体"/>
                <w:color w:val="auto"/>
                <w:sz w:val="22"/>
                <w:highlight w:val="none"/>
                <w:lang w:val="en-US" w:eastAsia="zh-CN"/>
              </w:rPr>
              <w:t>2</w:t>
            </w:r>
            <w:r>
              <w:rPr>
                <w:rFonts w:hint="eastAsia" w:hAnsi="宋体" w:cs="宋体"/>
                <w:color w:val="auto"/>
                <w:sz w:val="22"/>
                <w:highlight w:val="none"/>
              </w:rPr>
              <w:t>分。</w:t>
            </w:r>
          </w:p>
          <w:p>
            <w:pPr>
              <w:keepNext w:val="0"/>
              <w:keepLines w:val="0"/>
              <w:suppressLineNumbers w:val="0"/>
              <w:spacing w:before="0" w:beforeAutospacing="0" w:after="0" w:afterAutospacing="0"/>
              <w:ind w:left="0" w:right="0"/>
              <w:jc w:val="left"/>
              <w:rPr>
                <w:rFonts w:hint="default" w:ascii="Times New Roman" w:hAnsi="Times New Roman" w:cs="Times New Roman"/>
                <w:color w:val="auto"/>
                <w:highlight w:val="none"/>
              </w:rPr>
            </w:pPr>
            <w:r>
              <w:rPr>
                <w:rFonts w:hint="eastAsia" w:ascii="Times New Roman" w:hAnsi="宋体" w:cs="宋体"/>
                <w:color w:val="auto"/>
                <w:sz w:val="22"/>
                <w:highlight w:val="none"/>
              </w:rPr>
              <w:t>没有相应方案的不得分。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0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25"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专业技术人员配备</w:t>
            </w:r>
          </w:p>
        </w:tc>
        <w:tc>
          <w:tcPr>
            <w:tcW w:w="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12</w:t>
            </w:r>
          </w:p>
        </w:tc>
        <w:tc>
          <w:tcPr>
            <w:tcW w:w="49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0"/>
              </w:numPr>
              <w:suppressLineNumbers w:val="0"/>
              <w:spacing w:before="0" w:beforeAutospacing="0" w:after="0" w:afterAutospacing="0"/>
              <w:ind w:left="0" w:right="0"/>
              <w:jc w:val="left"/>
              <w:rPr>
                <w:rFonts w:hint="eastAsia" w:ascii="Times New Roman" w:hAnsi="Times New Roman" w:eastAsia="宋体" w:cs="Times New Roman"/>
                <w:color w:val="auto"/>
                <w:highlight w:val="none"/>
              </w:rPr>
            </w:pPr>
            <w:r>
              <w:rPr>
                <w:rFonts w:hint="eastAsia" w:ascii="Times New Roman" w:hAnsi="Times New Roman" w:cs="Times New Roman"/>
                <w:color w:val="auto"/>
                <w:highlight w:val="none"/>
              </w:rPr>
              <w:t>在职人员中有高级汽修技工1名，中级汽修技工1名，中级汽车维修电工技工1名，中级汽车维修喷漆技工1名，质量检验员</w:t>
            </w:r>
            <w:r>
              <w:rPr>
                <w:rFonts w:hint="eastAsia" w:ascii="Times New Roman" w:hAnsi="Times New Roman" w:cs="Times New Roman"/>
                <w:color w:val="auto"/>
                <w:highlight w:val="none"/>
                <w:lang w:val="en-US" w:eastAsia="zh-CN"/>
              </w:rPr>
              <w:t>1名，以上人员</w:t>
            </w:r>
            <w:r>
              <w:rPr>
                <w:rFonts w:hint="eastAsia" w:ascii="Times New Roman" w:hAnsi="Times New Roman" w:cs="Times New Roman"/>
                <w:color w:val="auto"/>
                <w:highlight w:val="none"/>
              </w:rPr>
              <w:t>都有的得基本分</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rPr>
              <w:t>分，每增加一个中级技工的加0.5分，每增加一个高级技工的加1分，</w:t>
            </w:r>
            <w:r>
              <w:rPr>
                <w:rFonts w:hint="eastAsia" w:ascii="Times New Roman" w:hAnsi="Times New Roman" w:cs="Times New Roman"/>
                <w:color w:val="auto"/>
                <w:highlight w:val="none"/>
                <w:lang w:val="en-US" w:eastAsia="zh-CN"/>
              </w:rPr>
              <w:t>加至满分为止</w:t>
            </w:r>
            <w:r>
              <w:rPr>
                <w:rFonts w:hint="eastAsia" w:ascii="Times New Roman" w:hAnsi="Times New Roman" w:cs="Times New Roman"/>
                <w:color w:val="auto"/>
                <w:highlight w:val="none"/>
              </w:rPr>
              <w:t>；得0分者</w:t>
            </w:r>
            <w:r>
              <w:rPr>
                <w:rFonts w:hint="eastAsia" w:ascii="Times New Roman" w:hAnsi="Times New Roman" w:eastAsia="宋体" w:cs="Times New Roman"/>
                <w:color w:val="auto"/>
                <w:highlight w:val="none"/>
              </w:rPr>
              <w:t>为无此项说明。</w:t>
            </w:r>
          </w:p>
          <w:p>
            <w:pPr>
              <w:keepNext w:val="0"/>
              <w:keepLines w:val="0"/>
              <w:numPr>
                <w:ilvl w:val="0"/>
                <w:numId w:val="0"/>
              </w:numPr>
              <w:suppressLineNumbers w:val="0"/>
              <w:spacing w:before="0" w:beforeAutospacing="0" w:after="0" w:afterAutospacing="0"/>
              <w:ind w:left="0" w:right="0"/>
              <w:jc w:val="left"/>
              <w:rPr>
                <w:rFonts w:hint="eastAsia" w:ascii="Times New Roman" w:hAnsi="Times New Roman" w:eastAsia="宋体" w:cs="宋体"/>
                <w:color w:val="auto"/>
                <w:sz w:val="20"/>
                <w:szCs w:val="20"/>
                <w:highlight w:val="none"/>
                <w:lang w:val="en-US" w:eastAsia="zh-CN"/>
              </w:rPr>
            </w:pPr>
            <w:r>
              <w:rPr>
                <w:rFonts w:hint="eastAsia" w:ascii="Times New Roman" w:hAnsi="Times New Roman" w:eastAsia="宋体" w:cs="Times New Roman"/>
                <w:color w:val="auto"/>
                <w:highlight w:val="none"/>
              </w:rPr>
              <w:t>以投标人在投标文件中提供的技工、质检员证书和劳动合同为准</w:t>
            </w:r>
            <w:r>
              <w:rPr>
                <w:rFonts w:hint="eastAsia" w:ascii="Times New Roman" w:hAnsi="Times New Roman" w:eastAsia="宋体" w:cs="Times New Roman"/>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0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25"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场地设施与甲方的距离</w:t>
            </w:r>
          </w:p>
        </w:tc>
        <w:tc>
          <w:tcPr>
            <w:tcW w:w="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8</w:t>
            </w:r>
          </w:p>
        </w:tc>
        <w:tc>
          <w:tcPr>
            <w:tcW w:w="49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根据投标人经营场所所在地给甲方提供的便捷性、经济性进行评分。</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距甲方≤</w:t>
            </w:r>
            <w:r>
              <w:rPr>
                <w:rFonts w:hint="eastAsia" w:ascii="Times New Roman" w:hAnsi="Times New Roman" w:eastAsia="宋体" w:cs="Times New Roman"/>
                <w:color w:val="auto"/>
                <w:highlight w:val="none"/>
                <w:lang w:val="en-US" w:eastAsia="zh-CN"/>
              </w:rPr>
              <w:t>8</w:t>
            </w:r>
            <w:r>
              <w:rPr>
                <w:rFonts w:hint="eastAsia" w:ascii="Times New Roman" w:hAnsi="Times New Roman" w:eastAsia="宋体" w:cs="Times New Roman"/>
                <w:color w:val="auto"/>
                <w:highlight w:val="none"/>
              </w:rPr>
              <w:t>公里范围内，可得</w:t>
            </w:r>
            <w:r>
              <w:rPr>
                <w:rFonts w:hint="eastAsia" w:ascii="Times New Roman" w:hAnsi="Times New Roman" w:eastAsia="宋体" w:cs="Times New Roman"/>
                <w:color w:val="auto"/>
                <w:highlight w:val="none"/>
                <w:lang w:val="en-US" w:eastAsia="zh-CN"/>
              </w:rPr>
              <w:t>7</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8</w:t>
            </w:r>
            <w:r>
              <w:rPr>
                <w:rFonts w:hint="eastAsia" w:ascii="Times New Roman" w:hAnsi="Times New Roman" w:eastAsia="宋体" w:cs="Times New Roman"/>
                <w:color w:val="auto"/>
                <w:highlight w:val="none"/>
              </w:rPr>
              <w:t>分</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距甲方＞</w:t>
            </w:r>
            <w:r>
              <w:rPr>
                <w:rFonts w:hint="eastAsia" w:ascii="Times New Roman" w:hAnsi="Times New Roman" w:eastAsia="宋体" w:cs="Times New Roman"/>
                <w:color w:val="auto"/>
                <w:highlight w:val="none"/>
                <w:lang w:val="en-US" w:eastAsia="zh-CN"/>
              </w:rPr>
              <w:t>8</w:t>
            </w:r>
            <w:r>
              <w:rPr>
                <w:rFonts w:hint="eastAsia" w:ascii="Times New Roman" w:hAnsi="Times New Roman" w:eastAsia="宋体" w:cs="Times New Roman"/>
                <w:color w:val="auto"/>
                <w:highlight w:val="none"/>
              </w:rPr>
              <w:t>公里，≤</w:t>
            </w:r>
            <w:r>
              <w:rPr>
                <w:rFonts w:hint="eastAsia" w:ascii="Times New Roman" w:hAnsi="Times New Roman" w:eastAsia="宋体" w:cs="Times New Roman"/>
                <w:color w:val="auto"/>
                <w:highlight w:val="none"/>
                <w:lang w:val="en-US" w:eastAsia="zh-CN"/>
              </w:rPr>
              <w:t>12</w:t>
            </w:r>
            <w:r>
              <w:rPr>
                <w:rFonts w:hint="eastAsia" w:ascii="Times New Roman" w:hAnsi="Times New Roman" w:eastAsia="宋体" w:cs="Times New Roman"/>
                <w:color w:val="auto"/>
                <w:highlight w:val="none"/>
              </w:rPr>
              <w:t>公里范围内，可得</w:t>
            </w: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6</w:t>
            </w:r>
            <w:r>
              <w:rPr>
                <w:rFonts w:hint="eastAsia" w:ascii="Times New Roman" w:hAnsi="Times New Roman" w:eastAsia="宋体" w:cs="Times New Roman"/>
                <w:color w:val="auto"/>
                <w:highlight w:val="none"/>
              </w:rPr>
              <w:t>分</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距甲方＞</w:t>
            </w:r>
            <w:r>
              <w:rPr>
                <w:rFonts w:hint="eastAsia" w:ascii="Times New Roman" w:hAnsi="Times New Roman" w:eastAsia="宋体" w:cs="Times New Roman"/>
                <w:color w:val="auto"/>
                <w:highlight w:val="none"/>
                <w:lang w:val="en-US" w:eastAsia="zh-CN"/>
              </w:rPr>
              <w:t>12</w:t>
            </w:r>
            <w:r>
              <w:rPr>
                <w:rFonts w:hint="eastAsia" w:ascii="Times New Roman" w:hAnsi="Times New Roman" w:eastAsia="宋体" w:cs="Times New Roman"/>
                <w:color w:val="auto"/>
                <w:highlight w:val="none"/>
              </w:rPr>
              <w:t>公里，≤</w:t>
            </w:r>
            <w:r>
              <w:rPr>
                <w:rFonts w:hint="eastAsia" w:ascii="Times New Roman" w:hAnsi="Times New Roman" w:eastAsia="宋体" w:cs="Times New Roman"/>
                <w:color w:val="auto"/>
                <w:highlight w:val="none"/>
                <w:lang w:val="en-US" w:eastAsia="zh-CN"/>
              </w:rPr>
              <w:t>16</w:t>
            </w:r>
            <w:r>
              <w:rPr>
                <w:rFonts w:hint="eastAsia" w:ascii="Times New Roman" w:hAnsi="Times New Roman" w:eastAsia="宋体" w:cs="Times New Roman"/>
                <w:color w:val="auto"/>
                <w:highlight w:val="none"/>
              </w:rPr>
              <w:t>公里范围内，可得</w:t>
            </w: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4</w:t>
            </w:r>
            <w:r>
              <w:rPr>
                <w:rFonts w:hint="eastAsia" w:ascii="Times New Roman" w:hAnsi="Times New Roman" w:eastAsia="宋体" w:cs="Times New Roman"/>
                <w:color w:val="auto"/>
                <w:highlight w:val="none"/>
              </w:rPr>
              <w:t>分</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距甲方＞</w:t>
            </w:r>
            <w:r>
              <w:rPr>
                <w:rFonts w:hint="eastAsia" w:ascii="Times New Roman" w:hAnsi="Times New Roman" w:eastAsia="宋体" w:cs="Times New Roman"/>
                <w:color w:val="auto"/>
                <w:highlight w:val="none"/>
                <w:lang w:val="en-US" w:eastAsia="zh-CN"/>
              </w:rPr>
              <w:t>16</w:t>
            </w:r>
            <w:r>
              <w:rPr>
                <w:rFonts w:hint="eastAsia" w:ascii="Times New Roman" w:hAnsi="Times New Roman" w:eastAsia="宋体" w:cs="Times New Roman"/>
                <w:color w:val="auto"/>
                <w:highlight w:val="none"/>
              </w:rPr>
              <w:t>公里，可得1</w:t>
            </w: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分</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无此项说明得0分。</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以投标人在投标文件中提供的营业执照上的地址作为参考；需投标人自行在地图</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使用</w:t>
            </w:r>
            <w:r>
              <w:rPr>
                <w:rFonts w:hint="eastAsia" w:ascii="Times New Roman" w:hAnsi="Times New Roman" w:eastAsia="宋体" w:cs="Times New Roman"/>
                <w:color w:val="auto"/>
                <w:highlight w:val="none"/>
              </w:rPr>
              <w:t>百度地图</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上标注与</w:t>
            </w:r>
            <w:r>
              <w:rPr>
                <w:rFonts w:hint="eastAsia" w:ascii="Times New Roman" w:hAnsi="Times New Roman" w:eastAsia="宋体" w:cs="Times New Roman"/>
                <w:color w:val="auto"/>
                <w:highlight w:val="none"/>
                <w:lang w:eastAsia="zh-CN"/>
              </w:rPr>
              <w:t>天山区公安分局</w:t>
            </w:r>
            <w:r>
              <w:rPr>
                <w:rFonts w:hint="eastAsia" w:ascii="Times New Roman" w:hAnsi="Times New Roman" w:eastAsia="宋体" w:cs="Times New Roman"/>
                <w:color w:val="auto"/>
                <w:highlight w:val="none"/>
              </w:rPr>
              <w:t>的距离（实际距离，非直线距离），未提供相关证明材料的，本项不得分；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0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25"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维修厂房面积</w:t>
            </w:r>
          </w:p>
        </w:tc>
        <w:tc>
          <w:tcPr>
            <w:tcW w:w="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6</w:t>
            </w:r>
          </w:p>
        </w:tc>
        <w:tc>
          <w:tcPr>
            <w:tcW w:w="49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rPr>
              <w:t>根据投标人经营场所所在地的面积大小评分</w:t>
            </w:r>
            <w:r>
              <w:rPr>
                <w:rFonts w:hint="eastAsia" w:ascii="Times New Roman" w:hAnsi="Times New Roman" w:cs="Times New Roman"/>
                <w:color w:val="auto"/>
                <w:highlight w:val="none"/>
                <w:lang w:eastAsia="zh-CN"/>
              </w:rPr>
              <w:t>：</w:t>
            </w:r>
          </w:p>
          <w:p>
            <w:pPr>
              <w:keepNext w:val="0"/>
              <w:keepLines w:val="0"/>
              <w:suppressLineNumbers w:val="0"/>
              <w:spacing w:before="0" w:beforeAutospacing="0" w:after="0" w:afterAutospacing="0"/>
              <w:ind w:left="0" w:right="0"/>
              <w:jc w:val="left"/>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rPr>
              <w:t>维修厂房面积达到＞</w:t>
            </w:r>
            <w:r>
              <w:rPr>
                <w:rFonts w:hint="eastAsia" w:ascii="Times New Roman" w:hAnsi="Times New Roman" w:cs="Times New Roman"/>
                <w:color w:val="auto"/>
                <w:highlight w:val="none"/>
                <w:lang w:val="en-US" w:eastAsia="zh-CN"/>
              </w:rPr>
              <w:t>8</w:t>
            </w:r>
            <w:r>
              <w:rPr>
                <w:rFonts w:hint="eastAsia" w:ascii="Times New Roman" w:hAnsi="Times New Roman" w:cs="Times New Roman"/>
                <w:color w:val="auto"/>
                <w:highlight w:val="none"/>
              </w:rPr>
              <w:t>00平方米以上的得分</w:t>
            </w: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lang w:eastAsia="zh-CN"/>
              </w:rPr>
              <w:t>；</w:t>
            </w:r>
          </w:p>
          <w:p>
            <w:pPr>
              <w:keepNext w:val="0"/>
              <w:keepLines w:val="0"/>
              <w:suppressLineNumbers w:val="0"/>
              <w:spacing w:before="0" w:beforeAutospacing="0" w:after="0" w:afterAutospacing="0"/>
              <w:ind w:left="0" w:right="0"/>
              <w:jc w:val="left"/>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rPr>
              <w:t>00平方米</w:t>
            </w:r>
            <w:r>
              <w:rPr>
                <w:rFonts w:hint="eastAsia" w:ascii="Times New Roman" w:hAnsi="Times New Roman" w:cs="Times New Roman"/>
                <w:color w:val="auto"/>
                <w:highlight w:val="none"/>
                <w:lang w:val="en-US" w:eastAsia="zh-CN"/>
              </w:rPr>
              <w:t>＜</w:t>
            </w:r>
            <w:r>
              <w:rPr>
                <w:rFonts w:hint="eastAsia" w:ascii="Times New Roman" w:hAnsi="Times New Roman" w:cs="Times New Roman"/>
                <w:color w:val="auto"/>
                <w:highlight w:val="none"/>
              </w:rPr>
              <w:t>维修厂房面积≤</w:t>
            </w:r>
            <w:r>
              <w:rPr>
                <w:rFonts w:hint="eastAsia" w:ascii="Times New Roman" w:hAnsi="Times New Roman" w:cs="Times New Roman"/>
                <w:color w:val="auto"/>
                <w:highlight w:val="none"/>
                <w:lang w:val="en-US" w:eastAsia="zh-CN"/>
              </w:rPr>
              <w:t>8</w:t>
            </w:r>
            <w:r>
              <w:rPr>
                <w:rFonts w:hint="eastAsia" w:ascii="Times New Roman" w:hAnsi="Times New Roman" w:cs="Times New Roman"/>
                <w:color w:val="auto"/>
                <w:highlight w:val="none"/>
              </w:rPr>
              <w:t>00平方米的得分</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p>
          <w:p>
            <w:pPr>
              <w:keepNext w:val="0"/>
              <w:keepLines w:val="0"/>
              <w:suppressLineNumbers w:val="0"/>
              <w:spacing w:before="0" w:beforeAutospacing="0" w:after="0" w:afterAutospacing="0"/>
              <w:ind w:left="0" w:right="0"/>
              <w:jc w:val="left"/>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rPr>
              <w:t>00平方米</w:t>
            </w:r>
            <w:r>
              <w:rPr>
                <w:rFonts w:hint="eastAsia" w:ascii="Times New Roman" w:hAnsi="Times New Roman" w:cs="Times New Roman"/>
                <w:color w:val="auto"/>
                <w:highlight w:val="none"/>
                <w:lang w:val="en-US" w:eastAsia="zh-CN"/>
              </w:rPr>
              <w:t>＜</w:t>
            </w:r>
            <w:r>
              <w:rPr>
                <w:rFonts w:hint="eastAsia" w:ascii="Times New Roman" w:hAnsi="Times New Roman" w:cs="Times New Roman"/>
                <w:color w:val="auto"/>
                <w:highlight w:val="none"/>
              </w:rPr>
              <w:t>维修厂房面积≤</w:t>
            </w: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rPr>
              <w:t>00平方米的得分</w:t>
            </w: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lang w:eastAsia="zh-CN"/>
              </w:rPr>
              <w:t>；</w:t>
            </w:r>
          </w:p>
          <w:p>
            <w:pPr>
              <w:keepNext w:val="0"/>
              <w:keepLines w:val="0"/>
              <w:suppressLineNumbers w:val="0"/>
              <w:spacing w:before="0" w:beforeAutospacing="0" w:after="0" w:afterAutospacing="0"/>
              <w:ind w:left="0" w:right="0"/>
              <w:jc w:val="left"/>
              <w:rPr>
                <w:rFonts w:hint="eastAsia" w:ascii="Times New Roman" w:hAnsi="Times New Roman" w:cs="Times New Roman"/>
                <w:color w:val="auto"/>
                <w:highlight w:val="none"/>
              </w:rPr>
            </w:pPr>
            <w:r>
              <w:rPr>
                <w:rFonts w:hint="eastAsia" w:ascii="Times New Roman" w:hAnsi="Times New Roman" w:cs="Times New Roman"/>
                <w:color w:val="auto"/>
                <w:highlight w:val="none"/>
              </w:rPr>
              <w:t>得0分者为无此项说明。</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rPr>
              <w:t>以投标人在投标文件中提供的房产证或者场所租赁合同为准</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需体现面积</w:t>
            </w:r>
            <w:r>
              <w:rPr>
                <w:rFonts w:hint="eastAsia" w:ascii="Times New Roman" w:hAnsi="Times New Roman" w:cs="Times New Roman"/>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0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25"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维修、检测设备的详尽程度</w:t>
            </w:r>
          </w:p>
        </w:tc>
        <w:tc>
          <w:tcPr>
            <w:tcW w:w="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10</w:t>
            </w:r>
          </w:p>
        </w:tc>
        <w:tc>
          <w:tcPr>
            <w:tcW w:w="49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0"/>
              </w:numPr>
              <w:suppressLineNumbers w:val="0"/>
              <w:spacing w:before="0" w:beforeAutospacing="0" w:after="0" w:afterAutospacing="0"/>
              <w:ind w:left="0" w:right="0"/>
              <w:jc w:val="left"/>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rPr>
              <w:t>针对投标人自己拥有车辆维修、检测设备的</w:t>
            </w:r>
            <w:r>
              <w:rPr>
                <w:rFonts w:hint="eastAsia" w:ascii="Times New Roman" w:hAnsi="Times New Roman" w:cs="Times New Roman"/>
                <w:color w:val="auto"/>
                <w:highlight w:val="none"/>
                <w:lang w:val="en-US" w:eastAsia="zh-CN"/>
              </w:rPr>
              <w:t>种类</w:t>
            </w:r>
            <w:r>
              <w:rPr>
                <w:rFonts w:hint="eastAsia" w:ascii="Times New Roman" w:hAnsi="Times New Roman" w:cs="Times New Roman"/>
                <w:color w:val="auto"/>
                <w:highlight w:val="none"/>
              </w:rPr>
              <w:t>和</w:t>
            </w:r>
            <w:r>
              <w:rPr>
                <w:rFonts w:hint="eastAsia" w:ascii="Times New Roman" w:hAnsi="Times New Roman" w:cs="Times New Roman"/>
                <w:color w:val="auto"/>
                <w:highlight w:val="none"/>
                <w:lang w:val="en-US" w:eastAsia="zh-CN"/>
              </w:rPr>
              <w:t>数</w:t>
            </w:r>
            <w:r>
              <w:rPr>
                <w:rFonts w:hint="eastAsia" w:ascii="Times New Roman" w:hAnsi="Times New Roman" w:eastAsia="宋体" w:cs="Times New Roman"/>
                <w:color w:val="auto"/>
                <w:highlight w:val="none"/>
                <w:lang w:val="en-US" w:eastAsia="zh-CN"/>
              </w:rPr>
              <w:t>量、先进性评分，设备种类齐全完善、先进得8-10分；设备种类较齐全完善得4-7分；设备种类一般得1-3分。</w:t>
            </w:r>
          </w:p>
          <w:p>
            <w:pPr>
              <w:keepNext w:val="0"/>
              <w:keepLines w:val="0"/>
              <w:numPr>
                <w:ilvl w:val="0"/>
                <w:numId w:val="0"/>
              </w:numPr>
              <w:suppressLineNumbers w:val="0"/>
              <w:spacing w:before="0" w:beforeAutospacing="0" w:after="0" w:afterAutospacing="0"/>
              <w:ind w:left="0" w:right="0"/>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以投标人在投标文件中提供的维修、检测设备的清单、彩图（每种设备一张彩图）为准。</w:t>
            </w:r>
          </w:p>
          <w:p>
            <w:pPr>
              <w:keepNext w:val="0"/>
              <w:keepLines w:val="0"/>
              <w:numPr>
                <w:ilvl w:val="0"/>
                <w:numId w:val="0"/>
              </w:numPr>
              <w:suppressLineNumbers w:val="0"/>
              <w:spacing w:before="0" w:beforeAutospacing="0" w:after="0" w:afterAutospacing="0"/>
              <w:ind w:left="0" w:right="0"/>
              <w:jc w:val="left"/>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注：车辆须提供机动车行驶证等复印件加盖公章，设备须提供固定资产登记卡或设备购买发票复印件加盖公章。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25"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0"/>
              </w:numPr>
              <w:suppressLineNumbers w:val="0"/>
              <w:spacing w:before="0" w:beforeAutospacing="0" w:after="0" w:afterAutospacing="0"/>
              <w:ind w:left="0" w:right="0"/>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救援</w:t>
            </w:r>
            <w:r>
              <w:rPr>
                <w:rFonts w:hint="eastAsia" w:ascii="Times New Roman" w:hAnsi="Times New Roman" w:eastAsia="宋体" w:cs="Times New Roman"/>
                <w:color w:val="auto"/>
                <w:highlight w:val="none"/>
                <w:lang w:val="en-US" w:eastAsia="zh-CN"/>
              </w:rPr>
              <w:t>车辆</w:t>
            </w:r>
          </w:p>
        </w:tc>
        <w:tc>
          <w:tcPr>
            <w:tcW w:w="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p>
        </w:tc>
        <w:tc>
          <w:tcPr>
            <w:tcW w:w="49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0"/>
              </w:numPr>
              <w:suppressLineNumbers w:val="0"/>
              <w:spacing w:before="0" w:beforeAutospacing="0" w:after="0" w:afterAutospacing="0"/>
              <w:ind w:left="0" w:right="0"/>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投标人拥有自有产权的施救车</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提供自有产权证明</w:t>
            </w:r>
            <w:r>
              <w:rPr>
                <w:rFonts w:hint="eastAsia" w:ascii="Times New Roman" w:hAnsi="Times New Roman" w:eastAsia="宋体" w:cs="Times New Roman"/>
                <w:color w:val="auto"/>
                <w:highlight w:val="none"/>
                <w:lang w:eastAsia="zh-CN"/>
              </w:rPr>
              <w:t>，行驶证和</w:t>
            </w:r>
            <w:r>
              <w:rPr>
                <w:rFonts w:hint="eastAsia" w:ascii="Times New Roman" w:hAnsi="Times New Roman" w:eastAsia="宋体" w:cs="Times New Roman"/>
                <w:color w:val="auto"/>
                <w:highlight w:val="none"/>
                <w:lang w:val="en-US" w:eastAsia="zh-CN"/>
              </w:rPr>
              <w:t>车辆</w:t>
            </w:r>
            <w:r>
              <w:rPr>
                <w:rFonts w:hint="eastAsia" w:ascii="Times New Roman" w:hAnsi="Times New Roman" w:eastAsia="宋体" w:cs="Times New Roman"/>
                <w:color w:val="auto"/>
                <w:highlight w:val="none"/>
                <w:lang w:eastAsia="zh-CN"/>
              </w:rPr>
              <w:t>彩图）</w:t>
            </w:r>
            <w:r>
              <w:rPr>
                <w:rFonts w:hint="eastAsia" w:ascii="Times New Roman" w:hAnsi="Times New Roman" w:eastAsia="宋体" w:cs="Times New Roman"/>
                <w:color w:val="auto"/>
                <w:highlight w:val="none"/>
                <w:lang w:val="en-US" w:eastAsia="zh-CN"/>
              </w:rPr>
              <w:t>或与救援公司的拖车合作协议（提供合作协议、车辆</w:t>
            </w:r>
            <w:r>
              <w:rPr>
                <w:rFonts w:hint="eastAsia" w:ascii="Times New Roman" w:hAnsi="Times New Roman" w:eastAsia="宋体" w:cs="Times New Roman"/>
                <w:color w:val="auto"/>
                <w:highlight w:val="none"/>
                <w:lang w:eastAsia="zh-CN"/>
              </w:rPr>
              <w:t>彩图</w:t>
            </w:r>
            <w:r>
              <w:rPr>
                <w:rFonts w:hint="eastAsia" w:ascii="Times New Roman" w:hAnsi="Times New Roman" w:eastAsia="宋体" w:cs="Times New Roman"/>
                <w:color w:val="auto"/>
                <w:highlight w:val="none"/>
                <w:lang w:val="en-US" w:eastAsia="zh-CN"/>
              </w:rPr>
              <w:t>）得2分，</w:t>
            </w:r>
            <w:r>
              <w:rPr>
                <w:rFonts w:hint="eastAsia" w:ascii="Times New Roman" w:hAnsi="Times New Roman" w:eastAsia="宋体" w:cs="Times New Roman"/>
                <w:color w:val="auto"/>
                <w:highlight w:val="none"/>
              </w:rPr>
              <w:t>无此项说明得0分。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70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25"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维修质量保证书</w:t>
            </w:r>
          </w:p>
        </w:tc>
        <w:tc>
          <w:tcPr>
            <w:tcW w:w="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w:t>
            </w:r>
          </w:p>
        </w:tc>
        <w:tc>
          <w:tcPr>
            <w:tcW w:w="49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rPr>
              <w:t>根据投标人在招标要求的维修质量保证基础之上承</w:t>
            </w:r>
            <w:r>
              <w:rPr>
                <w:rFonts w:hint="eastAsia" w:ascii="Times New Roman" w:hAnsi="Times New Roman" w:eastAsia="宋体" w:cs="Times New Roman"/>
                <w:color w:val="auto"/>
                <w:highlight w:val="none"/>
              </w:rPr>
              <w:t>诺更优的维修质量保证的优异性的评分</w:t>
            </w:r>
            <w:r>
              <w:rPr>
                <w:rFonts w:hint="eastAsia" w:ascii="Times New Roman" w:hAnsi="Times New Roman" w:eastAsia="宋体" w:cs="Times New Roman"/>
                <w:color w:val="auto"/>
                <w:highlight w:val="none"/>
                <w:lang w:eastAsia="zh-CN"/>
              </w:rPr>
              <w:t>，有维修质量保证书的基本分1分，有维修质量保证书并承诺有更多优惠的，得2-3分，得0分者为无此项说明。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70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25"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洗车条件</w:t>
            </w:r>
          </w:p>
        </w:tc>
        <w:tc>
          <w:tcPr>
            <w:tcW w:w="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p>
        </w:tc>
        <w:tc>
          <w:tcPr>
            <w:tcW w:w="49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投标人自己拥有配套专业洗车场和设施的得</w:t>
            </w: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分</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无此项说明得0分。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0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25"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rPr>
              <w:t>售后服务</w:t>
            </w:r>
            <w:r>
              <w:rPr>
                <w:rFonts w:hint="eastAsia" w:ascii="Times New Roman" w:hAnsi="Times New Roman" w:cs="Times New Roman"/>
                <w:color w:val="auto"/>
                <w:highlight w:val="none"/>
                <w:lang w:val="en-US" w:eastAsia="zh-CN"/>
              </w:rPr>
              <w:t>(</w:t>
            </w:r>
            <w:r>
              <w:rPr>
                <w:rFonts w:hint="eastAsia" w:ascii="Times New Roman" w:hAnsi="Times New Roman" w:eastAsia="宋体" w:cs="Times New Roman"/>
                <w:color w:val="auto"/>
                <w:highlight w:val="none"/>
              </w:rPr>
              <w:t>维修或养护车辆响应时间</w:t>
            </w:r>
            <w:r>
              <w:rPr>
                <w:rFonts w:hint="eastAsia" w:ascii="Times New Roman" w:hAnsi="Times New Roman" w:eastAsia="宋体" w:cs="Times New Roman"/>
                <w:color w:val="auto"/>
                <w:highlight w:val="none"/>
                <w:lang w:val="en-US" w:eastAsia="zh-CN"/>
              </w:rPr>
              <w:t>)</w:t>
            </w:r>
          </w:p>
        </w:tc>
        <w:tc>
          <w:tcPr>
            <w:tcW w:w="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6</w:t>
            </w:r>
          </w:p>
        </w:tc>
        <w:tc>
          <w:tcPr>
            <w:tcW w:w="49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Times New Roman" w:hAnsi="Times New Roman" w:cs="Times New Roman"/>
                <w:color w:val="auto"/>
                <w:highlight w:val="none"/>
              </w:rPr>
            </w:pPr>
            <w:r>
              <w:rPr>
                <w:rFonts w:hint="eastAsia" w:ascii="Times New Roman" w:hAnsi="Times New Roman" w:cs="Times New Roman"/>
                <w:color w:val="auto"/>
                <w:highlight w:val="none"/>
              </w:rPr>
              <w:t>投标人明确列有售后服务</w:t>
            </w:r>
            <w:r>
              <w:rPr>
                <w:rFonts w:hint="eastAsia" w:ascii="Times New Roman" w:hAnsi="Times New Roman" w:cs="Times New Roman"/>
                <w:color w:val="auto"/>
                <w:highlight w:val="none"/>
                <w:lang w:val="en-US" w:eastAsia="zh-CN"/>
              </w:rPr>
              <w:t>内容</w:t>
            </w:r>
            <w:r>
              <w:rPr>
                <w:rFonts w:hint="eastAsia" w:ascii="Times New Roman" w:hAnsi="Times New Roman" w:cs="Times New Roman"/>
                <w:color w:val="auto"/>
                <w:highlight w:val="none"/>
              </w:rPr>
              <w:t>。</w:t>
            </w:r>
          </w:p>
          <w:p>
            <w:pPr>
              <w:keepNext w:val="0"/>
              <w:keepLines w:val="0"/>
              <w:numPr>
                <w:ilvl w:val="0"/>
                <w:numId w:val="11"/>
              </w:numPr>
              <w:suppressLineNumbers w:val="0"/>
              <w:spacing w:before="0" w:beforeAutospacing="0" w:after="0" w:afterAutospacing="0"/>
              <w:ind w:left="0" w:right="0"/>
              <w:jc w:val="lef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rPr>
              <w:t>承诺维修响应时间1小时以内，上门服务到达时间2小时以内，紧急情况下实行2小时内乌鲁木齐市区应急救援服务得标准分</w:t>
            </w:r>
            <w:r>
              <w:rPr>
                <w:rFonts w:hint="eastAsia" w:ascii="Times New Roman" w:hAnsi="Times New Roman" w:cs="Times New Roman"/>
                <w:color w:val="auto"/>
                <w:highlight w:val="none"/>
                <w:lang w:val="en-US" w:eastAsia="zh-CN"/>
              </w:rPr>
              <w:t>1分</w:t>
            </w: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eastAsia="zh-CN"/>
              </w:rPr>
              <w:t>优于招标文件得2分。</w:t>
            </w:r>
          </w:p>
          <w:p>
            <w:pPr>
              <w:keepNext w:val="0"/>
              <w:keepLines w:val="0"/>
              <w:numPr>
                <w:ilvl w:val="0"/>
                <w:numId w:val="11"/>
              </w:numPr>
              <w:suppressLineNumbers w:val="0"/>
              <w:spacing w:before="0" w:beforeAutospacing="0" w:after="0" w:afterAutospacing="0"/>
              <w:ind w:left="0" w:right="0"/>
              <w:jc w:val="left"/>
              <w:rPr>
                <w:rFonts w:hint="eastAsia" w:ascii="Times New Roman" w:hAnsi="Times New Roman" w:eastAsia="宋体" w:cs="Times New Roman"/>
                <w:color w:val="auto"/>
                <w:highlight w:val="none"/>
              </w:rPr>
            </w:pPr>
            <w:r>
              <w:rPr>
                <w:rFonts w:hint="eastAsia" w:ascii="Times New Roman" w:hAnsi="Times New Roman" w:cs="Times New Roman"/>
                <w:color w:val="auto"/>
                <w:highlight w:val="none"/>
              </w:rPr>
              <w:t>紧急救援服务响应时间、次数满足招标文件</w:t>
            </w:r>
            <w:r>
              <w:rPr>
                <w:rFonts w:hint="eastAsia" w:ascii="Times New Roman" w:hAnsi="Times New Roman" w:cs="Times New Roman"/>
                <w:color w:val="auto"/>
                <w:highlight w:val="none"/>
                <w:lang w:val="en-US" w:eastAsia="zh-CN"/>
              </w:rPr>
              <w:t>要求</w:t>
            </w:r>
            <w:r>
              <w:rPr>
                <w:rFonts w:hint="eastAsia" w:ascii="Times New Roman" w:hAnsi="Times New Roman" w:eastAsia="宋体" w:cs="Times New Roman"/>
                <w:color w:val="auto"/>
                <w:highlight w:val="none"/>
              </w:rPr>
              <w:t>，每有一项优于招标文件要求加1分，最高得</w:t>
            </w: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分。</w:t>
            </w:r>
          </w:p>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3）提供其他（如拖车救援距离、专职人员等）优于招标文件要求的服务，每有一项加1分，最高得2分。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1" w:hRule="atLeast"/>
        </w:trPr>
        <w:tc>
          <w:tcPr>
            <w:tcW w:w="70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25"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维修厂房的环境</w:t>
            </w:r>
          </w:p>
        </w:tc>
        <w:tc>
          <w:tcPr>
            <w:tcW w:w="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w:t>
            </w:r>
          </w:p>
        </w:tc>
        <w:tc>
          <w:tcPr>
            <w:tcW w:w="49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评委对停车场、交通环境</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客户接待休息室面积大小和设施条件的优劣</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详尽程度进行评分</w:t>
            </w:r>
            <w:r>
              <w:rPr>
                <w:rFonts w:hint="eastAsia" w:ascii="Times New Roman" w:hAnsi="Times New Roman" w:eastAsia="宋体" w:cs="Times New Roman"/>
                <w:color w:val="auto"/>
                <w:highlight w:val="none"/>
                <w:lang w:eastAsia="zh-CN"/>
              </w:rPr>
              <w:t>：</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环境设施优，内容详尽，完全满足需求得3分；</w:t>
            </w:r>
          </w:p>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环境设施一般，基本满足得1-2分；</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提供</w:t>
            </w:r>
            <w:r>
              <w:rPr>
                <w:rFonts w:hint="eastAsia" w:ascii="Times New Roman" w:hAnsi="Times New Roman" w:eastAsia="宋体" w:cs="Times New Roman"/>
                <w:color w:val="auto"/>
                <w:highlight w:val="none"/>
              </w:rPr>
              <w:t>相关图片及文字</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分页逐次介绍相关功能室情况的，无此项说明得0分。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5" w:hRule="atLeast"/>
        </w:trPr>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价格得分</w:t>
            </w:r>
          </w:p>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tc>
        <w:tc>
          <w:tcPr>
            <w:tcW w:w="670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Times New Roman" w:hAnsi="Times New Roman" w:cs="Times New Roman"/>
                <w:color w:val="auto"/>
                <w:highlight w:val="none"/>
              </w:rPr>
            </w:pPr>
            <w:r>
              <w:rPr>
                <w:rFonts w:hint="eastAsia" w:ascii="Times New Roman" w:hAnsi="Times New Roman" w:cs="Times New Roman"/>
                <w:color w:val="auto"/>
                <w:highlight w:val="none"/>
              </w:rPr>
              <w:t>在满足招标文件要求的前提下，取各投标人有效报价的最低价作为评标基准价, 工时费（下浮率%）</w:t>
            </w:r>
            <w:r>
              <w:rPr>
                <w:rFonts w:hint="eastAsia" w:ascii="Times New Roman" w:hAnsi="Times New Roman" w:cs="Times New Roman"/>
                <w:color w:val="auto"/>
                <w:highlight w:val="none"/>
                <w:lang w:val="en-US" w:eastAsia="zh-CN"/>
              </w:rPr>
              <w:t>17</w:t>
            </w:r>
            <w:r>
              <w:rPr>
                <w:rFonts w:hint="eastAsia" w:ascii="Times New Roman" w:hAnsi="Times New Roman" w:cs="Times New Roman"/>
                <w:color w:val="auto"/>
                <w:highlight w:val="none"/>
              </w:rPr>
              <w:t>分，材料费（下浮率%）</w:t>
            </w:r>
            <w:r>
              <w:rPr>
                <w:rFonts w:hint="eastAsia" w:ascii="Times New Roman" w:hAnsi="Times New Roman" w:cs="Times New Roman"/>
                <w:color w:val="auto"/>
                <w:highlight w:val="none"/>
                <w:lang w:val="en-US" w:eastAsia="zh-CN"/>
              </w:rPr>
              <w:t>13</w:t>
            </w:r>
            <w:r>
              <w:rPr>
                <w:rFonts w:hint="eastAsia" w:ascii="Times New Roman" w:hAnsi="Times New Roman" w:cs="Times New Roman"/>
                <w:color w:val="auto"/>
                <w:highlight w:val="none"/>
              </w:rPr>
              <w:t>分，满分为</w:t>
            </w:r>
            <w:r>
              <w:rPr>
                <w:rFonts w:hint="eastAsia" w:ascii="Times New Roman" w:hAnsi="Times New Roman" w:cs="Times New Roman"/>
                <w:color w:val="auto"/>
                <w:highlight w:val="none"/>
                <w:lang w:val="en-US" w:eastAsia="zh-CN"/>
              </w:rPr>
              <w:t>30</w:t>
            </w:r>
            <w:r>
              <w:rPr>
                <w:rFonts w:hint="eastAsia" w:ascii="Times New Roman" w:hAnsi="Times New Roman" w:cs="Times New Roman"/>
                <w:color w:val="auto"/>
                <w:highlight w:val="none"/>
              </w:rPr>
              <w:t>分；</w:t>
            </w:r>
          </w:p>
          <w:p>
            <w:pPr>
              <w:keepNext w:val="0"/>
              <w:keepLines w:val="0"/>
              <w:suppressLineNumbers w:val="0"/>
              <w:spacing w:before="0" w:beforeAutospacing="0" w:after="0" w:afterAutospacing="0"/>
              <w:ind w:left="0" w:right="0"/>
              <w:jc w:val="left"/>
              <w:rPr>
                <w:rFonts w:hint="eastAsia" w:ascii="Times New Roman" w:hAnsi="Times New Roman" w:cs="Times New Roman"/>
                <w:color w:val="auto"/>
                <w:highlight w:val="none"/>
              </w:rPr>
            </w:pPr>
            <w:r>
              <w:rPr>
                <w:rFonts w:hint="eastAsia" w:ascii="Times New Roman" w:hAnsi="Times New Roman" w:cs="Times New Roman"/>
                <w:color w:val="auto"/>
                <w:highlight w:val="none"/>
              </w:rPr>
              <w:t>价格分的计算投标报价得分=(评标基准价／投标报价)×价格权值×100%。</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最终得分=</w:t>
            </w:r>
            <w:r>
              <w:rPr>
                <w:rFonts w:hint="eastAsia" w:ascii="Times New Roman" w:hAnsi="Times New Roman" w:eastAsia="宋体" w:cs="Times New Roman"/>
                <w:color w:val="auto"/>
                <w:highlight w:val="none"/>
              </w:rPr>
              <w:t>工时费（下浮率%）报价得分</w:t>
            </w:r>
            <w:r>
              <w:rPr>
                <w:rFonts w:hint="eastAsia"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rPr>
              <w:t>材料费（下浮率%）报价得分</w:t>
            </w:r>
          </w:p>
          <w:p>
            <w:pPr>
              <w:keepNext w:val="0"/>
              <w:keepLines w:val="0"/>
              <w:suppressLineNumbers w:val="0"/>
              <w:spacing w:before="0" w:beforeAutospacing="0" w:after="0" w:afterAutospacing="0"/>
              <w:ind w:left="0" w:right="0"/>
              <w:jc w:val="left"/>
              <w:rPr>
                <w:rFonts w:hint="eastAsia" w:ascii="Times New Roman" w:hAnsi="Times New Roman" w:cs="Times New Roman"/>
                <w:color w:val="auto"/>
                <w:highlight w:val="none"/>
              </w:rPr>
            </w:pPr>
            <w:r>
              <w:rPr>
                <w:rFonts w:hint="eastAsia" w:ascii="Times New Roman" w:hAnsi="Times New Roman" w:cs="Times New Roman"/>
                <w:color w:val="auto"/>
                <w:highlight w:val="none"/>
              </w:rPr>
              <w:t>（计算分值时，百分比按四舍五入原则，保留小数点后二位数）</w:t>
            </w:r>
          </w:p>
          <w:p>
            <w:pPr>
              <w:keepNext w:val="0"/>
              <w:keepLines w:val="0"/>
              <w:suppressLineNumbers w:val="0"/>
              <w:spacing w:before="0" w:beforeAutospacing="0" w:after="0" w:afterAutospacing="0"/>
              <w:ind w:left="0" w:right="0"/>
              <w:jc w:val="left"/>
              <w:rPr>
                <w:rFonts w:hint="default" w:ascii="Times New Roman" w:hAnsi="Times New Roman" w:cs="Times New Roman"/>
                <w:color w:val="auto"/>
                <w:highlight w:val="none"/>
              </w:rPr>
            </w:pPr>
          </w:p>
          <w:p>
            <w:pPr>
              <w:keepNext w:val="0"/>
              <w:keepLines w:val="0"/>
              <w:suppressLineNumbers w:val="0"/>
              <w:spacing w:before="0" w:beforeAutospacing="0" w:after="0" w:afterAutospacing="0"/>
              <w:ind w:left="0" w:right="0"/>
              <w:jc w:val="left"/>
              <w:rPr>
                <w:rFonts w:hint="default" w:ascii="Times New Roman" w:hAnsi="Times New Roman" w:eastAsia="宋体" w:cs="Times New Roman"/>
                <w:i/>
                <w:iCs/>
                <w:color w:val="auto"/>
                <w:highlight w:val="none"/>
              </w:rPr>
            </w:pPr>
            <w:r>
              <w:rPr>
                <w:rFonts w:hint="default" w:ascii="Times New Roman" w:hAnsi="Times New Roman" w:cs="Times New Roman"/>
                <w:color w:val="auto"/>
                <w:highlight w:val="none"/>
              </w:rPr>
              <w:t>注</w:t>
            </w:r>
            <w:r>
              <w:rPr>
                <w:rFonts w:hint="default" w:ascii="Times New Roman" w:hAnsi="Times New Roman" w:eastAsia="宋体" w:cs="Times New Roman"/>
                <w:color w:val="auto"/>
                <w:highlight w:val="none"/>
              </w:rPr>
              <w:t>：</w:t>
            </w:r>
            <w:r>
              <w:rPr>
                <w:rFonts w:hint="eastAsia" w:ascii="Times New Roman" w:hAnsi="Times New Roman" w:eastAsia="宋体" w:cs="Times New Roman"/>
                <w:i/>
                <w:iCs/>
                <w:color w:val="auto"/>
                <w:highlight w:val="none"/>
                <w:lang w:eastAsia="zh-CN"/>
              </w:rPr>
              <w:t>（</w:t>
            </w:r>
            <w:r>
              <w:rPr>
                <w:rFonts w:hint="eastAsia" w:ascii="Times New Roman" w:hAnsi="Times New Roman" w:eastAsia="宋体" w:cs="Times New Roman"/>
                <w:i/>
                <w:iCs/>
                <w:color w:val="auto"/>
                <w:highlight w:val="none"/>
                <w:lang w:val="en-US" w:eastAsia="zh-CN"/>
              </w:rPr>
              <w:t>1</w:t>
            </w:r>
            <w:r>
              <w:rPr>
                <w:rFonts w:hint="eastAsia" w:ascii="Times New Roman" w:hAnsi="Times New Roman" w:eastAsia="宋体" w:cs="Times New Roman"/>
                <w:i/>
                <w:iCs/>
                <w:color w:val="auto"/>
                <w:highlight w:val="none"/>
                <w:lang w:eastAsia="zh-CN"/>
              </w:rPr>
              <w:t>）</w:t>
            </w:r>
            <w:r>
              <w:rPr>
                <w:rFonts w:hint="default" w:ascii="Times New Roman" w:hAnsi="Times New Roman" w:eastAsia="宋体" w:cs="Times New Roman"/>
                <w:i/>
                <w:iCs/>
                <w:color w:val="auto"/>
                <w:highlight w:val="none"/>
              </w:rPr>
              <w:t>对小型和微型企业产品的价格给予6%的扣除，用扣除后的价格参与评审。2、评标过程中，不得去掉报价中最高报价和最低报价。</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i/>
                <w:iCs/>
                <w:color w:val="auto"/>
                <w:highlight w:val="none"/>
              </w:rPr>
              <w:t>（</w:t>
            </w:r>
            <w:r>
              <w:rPr>
                <w:rFonts w:hint="eastAsia" w:ascii="Times New Roman" w:hAnsi="Times New Roman" w:eastAsia="宋体" w:cs="Times New Roman"/>
                <w:i/>
                <w:iCs/>
                <w:color w:val="auto"/>
                <w:highlight w:val="none"/>
                <w:lang w:val="en-US" w:eastAsia="zh-CN"/>
              </w:rPr>
              <w:t>2</w:t>
            </w:r>
            <w:r>
              <w:rPr>
                <w:rFonts w:hint="eastAsia" w:ascii="Times New Roman" w:hAnsi="Times New Roman" w:eastAsia="宋体" w:cs="Times New Roman"/>
                <w:i/>
                <w:iCs/>
                <w:color w:val="auto"/>
                <w:highlight w:val="none"/>
              </w:rPr>
              <w:t>）例如</w:t>
            </w:r>
            <w:r>
              <w:rPr>
                <w:rFonts w:hint="default" w:ascii="Times New Roman" w:hAnsi="Times New Roman" w:eastAsia="宋体" w:cs="Times New Roman"/>
                <w:i/>
                <w:iCs/>
                <w:color w:val="auto"/>
                <w:highlight w:val="none"/>
              </w:rPr>
              <w:t>:</w:t>
            </w:r>
            <w:r>
              <w:rPr>
                <w:rFonts w:hint="eastAsia" w:ascii="Times New Roman" w:hAnsi="Times New Roman" w:eastAsia="宋体" w:cs="Times New Roman"/>
                <w:i/>
                <w:iCs/>
                <w:color w:val="auto"/>
                <w:highlight w:val="none"/>
              </w:rPr>
              <w:t>甲、乙、丙</w:t>
            </w:r>
            <w:r>
              <w:rPr>
                <w:rFonts w:hint="default" w:ascii="Times New Roman" w:hAnsi="Times New Roman" w:eastAsia="宋体" w:cs="Times New Roman"/>
                <w:i/>
                <w:iCs/>
                <w:color w:val="auto"/>
                <w:highlight w:val="none"/>
              </w:rPr>
              <w:t>3</w:t>
            </w:r>
            <w:r>
              <w:rPr>
                <w:rFonts w:hint="eastAsia" w:ascii="Times New Roman" w:hAnsi="Times New Roman" w:eastAsia="宋体" w:cs="Times New Roman"/>
                <w:i/>
                <w:iCs/>
                <w:color w:val="auto"/>
                <w:highlight w:val="none"/>
              </w:rPr>
              <w:t>个投标人</w:t>
            </w:r>
            <w:r>
              <w:rPr>
                <w:rFonts w:hint="eastAsia" w:ascii="Times New Roman" w:hAnsi="Times New Roman" w:cs="Times New Roman"/>
                <w:i/>
                <w:iCs/>
                <w:color w:val="auto"/>
                <w:highlight w:val="none"/>
              </w:rPr>
              <w:t>工时费（下浮率%）</w:t>
            </w:r>
            <w:r>
              <w:rPr>
                <w:rFonts w:hint="eastAsia" w:ascii="Times New Roman" w:hAnsi="Times New Roman" w:eastAsia="宋体" w:cs="Times New Roman"/>
                <w:i/>
                <w:iCs/>
                <w:color w:val="auto"/>
                <w:highlight w:val="none"/>
              </w:rPr>
              <w:t>报价分别15%、20%和25%</w:t>
            </w:r>
            <w:r>
              <w:rPr>
                <w:rFonts w:hint="eastAsia" w:ascii="Times New Roman" w:hAnsi="Times New Roman" w:eastAsia="宋体" w:cs="Times New Roman"/>
                <w:i/>
                <w:iCs/>
                <w:color w:val="auto"/>
                <w:highlight w:val="none"/>
                <w:lang w:val="en-US" w:eastAsia="zh-CN"/>
              </w:rPr>
              <w:t>下浮率</w:t>
            </w:r>
            <w:r>
              <w:rPr>
                <w:rFonts w:hint="eastAsia" w:ascii="Times New Roman" w:hAnsi="Times New Roman" w:eastAsia="宋体" w:cs="Times New Roman"/>
                <w:i/>
                <w:iCs/>
                <w:color w:val="auto"/>
                <w:highlight w:val="none"/>
              </w:rPr>
              <w:t>，则丙报价最低。工时费价格分满分</w:t>
            </w:r>
            <w:r>
              <w:rPr>
                <w:rFonts w:hint="eastAsia" w:ascii="Times New Roman" w:hAnsi="Times New Roman" w:eastAsia="宋体" w:cs="Times New Roman"/>
                <w:i/>
                <w:iCs/>
                <w:color w:val="auto"/>
                <w:highlight w:val="none"/>
                <w:lang w:val="en-US" w:eastAsia="zh-CN"/>
              </w:rPr>
              <w:t>17</w:t>
            </w:r>
            <w:r>
              <w:rPr>
                <w:rFonts w:hint="eastAsia" w:ascii="Times New Roman" w:hAnsi="Times New Roman" w:eastAsia="宋体" w:cs="Times New Roman"/>
                <w:i/>
                <w:iCs/>
                <w:color w:val="auto"/>
                <w:highlight w:val="none"/>
              </w:rPr>
              <w:t>分，乙的价格分=0.75/0.80×</w:t>
            </w:r>
            <w:r>
              <w:rPr>
                <w:rFonts w:hint="eastAsia" w:ascii="Times New Roman" w:hAnsi="Times New Roman" w:eastAsia="宋体" w:cs="Times New Roman"/>
                <w:i/>
                <w:iCs/>
                <w:color w:val="auto"/>
                <w:highlight w:val="none"/>
                <w:lang w:val="en-US" w:eastAsia="zh-CN"/>
              </w:rPr>
              <w:t>17</w:t>
            </w:r>
            <w:r>
              <w:rPr>
                <w:rFonts w:hint="eastAsia" w:ascii="Times New Roman" w:hAnsi="Times New Roman" w:eastAsia="宋体" w:cs="Times New Roman"/>
                <w:i/>
                <w:iCs/>
                <w:color w:val="auto"/>
                <w:highlight w:val="none"/>
              </w:rPr>
              <w:t>分，甲的价格分=0.75/0.85×</w:t>
            </w:r>
            <w:r>
              <w:rPr>
                <w:rFonts w:hint="eastAsia" w:ascii="Times New Roman" w:hAnsi="Times New Roman" w:eastAsia="宋体" w:cs="Times New Roman"/>
                <w:i/>
                <w:iCs/>
                <w:color w:val="auto"/>
                <w:highlight w:val="none"/>
                <w:lang w:val="en-US" w:eastAsia="zh-CN"/>
              </w:rPr>
              <w:t>17</w:t>
            </w:r>
            <w:r>
              <w:rPr>
                <w:rFonts w:hint="eastAsia" w:ascii="Times New Roman" w:hAnsi="Times New Roman" w:eastAsia="宋体" w:cs="Times New Roman"/>
                <w:i/>
                <w:iCs/>
                <w:color w:val="auto"/>
                <w:highlight w:val="none"/>
              </w:rPr>
              <w:t>分</w:t>
            </w:r>
            <w:r>
              <w:rPr>
                <w:rFonts w:hint="eastAsia" w:ascii="Times New Roman" w:hAnsi="Times New Roman" w:eastAsia="宋体" w:cs="Times New Roman"/>
                <w:i/>
                <w:iCs/>
                <w:color w:val="auto"/>
                <w:highlight w:val="none"/>
                <w:lang w:eastAsia="zh-CN"/>
              </w:rPr>
              <w:t>。</w:t>
            </w:r>
          </w:p>
        </w:tc>
      </w:tr>
    </w:tbl>
    <w:p>
      <w:pPr>
        <w:pStyle w:val="40"/>
        <w:spacing w:beforeLines="100" w:after="240" w:afterLines="100"/>
        <w:rPr>
          <w:rFonts w:hint="eastAsia" w:ascii="宋体" w:hAnsi="宋体" w:cs="宋体"/>
          <w:color w:val="auto"/>
          <w:sz w:val="21"/>
          <w:szCs w:val="21"/>
          <w:highlight w:val="none"/>
        </w:rPr>
      </w:pPr>
      <w:bookmarkStart w:id="190" w:name="_Toc17157"/>
      <w:r>
        <w:rPr>
          <w:rFonts w:hint="eastAsia" w:ascii="宋体" w:hAnsi="宋体" w:cs="宋体"/>
          <w:color w:val="auto"/>
          <w:sz w:val="21"/>
          <w:szCs w:val="21"/>
          <w:highlight w:val="none"/>
        </w:rPr>
        <w:br w:type="page"/>
      </w:r>
      <w:r>
        <w:rPr>
          <w:rFonts w:hint="eastAsia" w:ascii="宋体" w:hAnsi="宋体" w:cs="宋体"/>
          <w:color w:val="auto"/>
          <w:sz w:val="21"/>
          <w:szCs w:val="21"/>
          <w:highlight w:val="none"/>
        </w:rPr>
        <w:t>第六章 投标文件格式</w:t>
      </w:r>
      <w:bookmarkEnd w:id="190"/>
    </w:p>
    <w:p>
      <w:pPr>
        <w:tabs>
          <w:tab w:val="left" w:pos="1980"/>
        </w:tabs>
        <w:spacing w:before="120"/>
        <w:ind w:firstLine="674"/>
        <w:jc w:val="center"/>
        <w:rPr>
          <w:rFonts w:hint="eastAsia" w:ascii="宋体" w:hAnsi="宋体" w:cs="宋体"/>
          <w:color w:val="auto"/>
          <w:szCs w:val="21"/>
          <w:highlight w:val="none"/>
        </w:rPr>
      </w:pPr>
      <w:r>
        <w:rPr>
          <w:rFonts w:hint="eastAsia" w:ascii="宋体" w:hAnsi="宋体" w:cs="宋体"/>
          <w:color w:val="auto"/>
          <w:szCs w:val="21"/>
          <w:highlight w:val="none"/>
        </w:rPr>
        <w:t>目     录</w:t>
      </w:r>
    </w:p>
    <w:p>
      <w:pPr>
        <w:tabs>
          <w:tab w:val="left" w:pos="4740"/>
        </w:tabs>
        <w:spacing w:line="360" w:lineRule="auto"/>
        <w:ind w:left="630" w:leftChars="300"/>
        <w:rPr>
          <w:rFonts w:hint="eastAsia" w:ascii="宋体" w:hAnsi="宋体" w:cs="宋体"/>
          <w:color w:val="auto"/>
          <w:szCs w:val="21"/>
          <w:highlight w:val="none"/>
        </w:rPr>
      </w:pPr>
      <w:r>
        <w:rPr>
          <w:rFonts w:hint="eastAsia" w:ascii="宋体" w:hAnsi="宋体" w:cs="宋体"/>
          <w:color w:val="auto"/>
          <w:szCs w:val="21"/>
          <w:highlight w:val="none"/>
        </w:rPr>
        <w:t>附件1   投标书（格式）</w:t>
      </w:r>
    </w:p>
    <w:p>
      <w:pPr>
        <w:tabs>
          <w:tab w:val="left" w:pos="4740"/>
        </w:tabs>
        <w:spacing w:line="360" w:lineRule="auto"/>
        <w:ind w:left="630" w:leftChars="300"/>
        <w:rPr>
          <w:rFonts w:hint="eastAsia" w:ascii="宋体" w:hAnsi="宋体" w:cs="宋体"/>
          <w:color w:val="auto"/>
          <w:szCs w:val="21"/>
          <w:highlight w:val="none"/>
        </w:rPr>
      </w:pPr>
      <w:r>
        <w:rPr>
          <w:rFonts w:hint="eastAsia" w:ascii="宋体" w:hAnsi="宋体" w:cs="宋体"/>
          <w:color w:val="auto"/>
          <w:szCs w:val="21"/>
          <w:highlight w:val="none"/>
        </w:rPr>
        <w:t>附件2   投标一览表（格式）</w:t>
      </w:r>
    </w:p>
    <w:p>
      <w:pPr>
        <w:tabs>
          <w:tab w:val="left" w:pos="4740"/>
        </w:tabs>
        <w:spacing w:line="360" w:lineRule="auto"/>
        <w:ind w:left="630" w:leftChars="300"/>
        <w:rPr>
          <w:rFonts w:hint="eastAsia" w:ascii="宋体" w:hAnsi="宋体" w:cs="宋体"/>
          <w:color w:val="auto"/>
          <w:szCs w:val="21"/>
          <w:highlight w:val="none"/>
        </w:rPr>
      </w:pPr>
      <w:r>
        <w:rPr>
          <w:rFonts w:hint="eastAsia" w:ascii="宋体" w:hAnsi="宋体" w:cs="宋体"/>
          <w:color w:val="auto"/>
          <w:szCs w:val="21"/>
          <w:highlight w:val="none"/>
        </w:rPr>
        <w:t xml:space="preserve">附件3   </w:t>
      </w:r>
      <w:r>
        <w:rPr>
          <w:rFonts w:hint="eastAsia" w:ascii="宋体" w:hAnsi="宋体" w:cs="宋体"/>
          <w:color w:val="auto"/>
          <w:sz w:val="21"/>
          <w:szCs w:val="21"/>
          <w:highlight w:val="none"/>
        </w:rPr>
        <w:t>车辆常规保养维修项目价格明细表</w:t>
      </w:r>
      <w:r>
        <w:rPr>
          <w:rFonts w:hint="eastAsia" w:ascii="宋体" w:hAnsi="宋体" w:cs="宋体"/>
          <w:color w:val="auto"/>
          <w:szCs w:val="21"/>
          <w:highlight w:val="none"/>
        </w:rPr>
        <w:t>（格式）</w:t>
      </w:r>
    </w:p>
    <w:p>
      <w:pPr>
        <w:tabs>
          <w:tab w:val="left" w:pos="4740"/>
        </w:tabs>
        <w:spacing w:line="360" w:lineRule="auto"/>
        <w:ind w:left="630" w:leftChars="300"/>
        <w:rPr>
          <w:rFonts w:hint="eastAsia" w:ascii="宋体" w:hAnsi="宋体" w:cs="宋体"/>
          <w:color w:val="auto"/>
          <w:szCs w:val="21"/>
          <w:highlight w:val="none"/>
        </w:rPr>
      </w:pP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   技术规格偏离表（格式）</w:t>
      </w:r>
    </w:p>
    <w:p>
      <w:pPr>
        <w:tabs>
          <w:tab w:val="left" w:pos="4740"/>
        </w:tabs>
        <w:spacing w:line="360" w:lineRule="auto"/>
        <w:ind w:left="630" w:leftChars="300"/>
        <w:rPr>
          <w:rFonts w:hint="eastAsia" w:ascii="宋体" w:hAnsi="宋体" w:cs="宋体"/>
          <w:color w:val="auto"/>
          <w:szCs w:val="21"/>
          <w:highlight w:val="none"/>
        </w:rPr>
      </w:pP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商务条款偏离表（格式）</w:t>
      </w:r>
    </w:p>
    <w:p>
      <w:pPr>
        <w:tabs>
          <w:tab w:val="left" w:pos="4740"/>
        </w:tabs>
        <w:spacing w:line="360" w:lineRule="auto"/>
        <w:ind w:left="630" w:leftChars="300"/>
        <w:rPr>
          <w:rFonts w:hint="eastAsia" w:ascii="宋体" w:hAnsi="宋体" w:cs="宋体"/>
          <w:color w:val="auto"/>
          <w:szCs w:val="21"/>
          <w:highlight w:val="none"/>
        </w:rPr>
      </w:pP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   资格证明文件</w:t>
      </w:r>
    </w:p>
    <w:p>
      <w:pPr>
        <w:tabs>
          <w:tab w:val="left" w:pos="4740"/>
        </w:tabs>
        <w:spacing w:line="360" w:lineRule="auto"/>
        <w:ind w:left="630" w:leftChars="300"/>
        <w:rPr>
          <w:rFonts w:hint="eastAsia" w:ascii="宋体" w:hAnsi="宋体" w:cs="宋体"/>
          <w:color w:val="auto"/>
          <w:szCs w:val="21"/>
          <w:highlight w:val="none"/>
        </w:rPr>
      </w:pPr>
      <w:r>
        <w:rPr>
          <w:rFonts w:hint="eastAsia" w:ascii="宋体" w:hAnsi="宋体" w:cs="宋体"/>
          <w:color w:val="auto"/>
          <w:szCs w:val="21"/>
          <w:highlight w:val="none"/>
        </w:rPr>
        <w:t>包括：</w:t>
      </w:r>
    </w:p>
    <w:p>
      <w:pPr>
        <w:tabs>
          <w:tab w:val="left" w:pos="4740"/>
        </w:tabs>
        <w:spacing w:line="360" w:lineRule="auto"/>
        <w:ind w:left="630" w:leftChars="300"/>
        <w:rPr>
          <w:rFonts w:hint="eastAsia" w:ascii="宋体" w:hAnsi="宋体" w:cs="宋体"/>
          <w:color w:val="auto"/>
          <w:szCs w:val="21"/>
          <w:highlight w:val="none"/>
        </w:rPr>
      </w:pP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   法人营业执照副本复印件</w:t>
      </w:r>
    </w:p>
    <w:p>
      <w:pPr>
        <w:tabs>
          <w:tab w:val="left" w:pos="4740"/>
        </w:tabs>
        <w:spacing w:line="360" w:lineRule="auto"/>
        <w:ind w:left="630" w:leftChars="300"/>
        <w:rPr>
          <w:rFonts w:hint="eastAsia" w:ascii="宋体" w:hAnsi="宋体" w:cs="宋体"/>
          <w:color w:val="auto"/>
          <w:szCs w:val="21"/>
          <w:highlight w:val="none"/>
        </w:rPr>
      </w:pP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-2   税务登记证书复印件</w:t>
      </w:r>
    </w:p>
    <w:p>
      <w:pPr>
        <w:tabs>
          <w:tab w:val="left" w:pos="4740"/>
        </w:tabs>
        <w:spacing w:line="360" w:lineRule="auto"/>
        <w:ind w:left="630" w:leftChars="300"/>
        <w:rPr>
          <w:rFonts w:hint="eastAsia" w:ascii="宋体" w:hAnsi="宋体" w:cs="宋体"/>
          <w:color w:val="auto"/>
          <w:szCs w:val="21"/>
          <w:highlight w:val="none"/>
        </w:rPr>
      </w:pP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-3   法定代表人授权书（格式）</w:t>
      </w:r>
    </w:p>
    <w:p>
      <w:pPr>
        <w:tabs>
          <w:tab w:val="left" w:pos="4740"/>
        </w:tabs>
        <w:spacing w:line="360" w:lineRule="auto"/>
        <w:ind w:left="630" w:leftChars="300"/>
        <w:rPr>
          <w:rFonts w:hint="eastAsia" w:ascii="宋体" w:hAnsi="宋体" w:cs="宋体"/>
          <w:color w:val="auto"/>
          <w:szCs w:val="21"/>
          <w:highlight w:val="none"/>
        </w:rPr>
      </w:pP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-4   投标人的资格声明（格式）</w:t>
      </w:r>
    </w:p>
    <w:p>
      <w:pPr>
        <w:tabs>
          <w:tab w:val="left" w:pos="4740"/>
        </w:tabs>
        <w:spacing w:line="360" w:lineRule="auto"/>
        <w:ind w:left="630" w:leftChars="300"/>
        <w:rPr>
          <w:rFonts w:hint="eastAsia" w:ascii="宋体" w:hAnsi="宋体" w:cs="宋体"/>
          <w:color w:val="auto"/>
          <w:szCs w:val="21"/>
          <w:highlight w:val="none"/>
        </w:rPr>
      </w:pP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-5   具有良好的商业信誉和健全的财务会计制度（需提供2020年度经会计师事务所出具的财务审计报告或其基本开户银行出具的资信证明）</w:t>
      </w:r>
    </w:p>
    <w:p>
      <w:pPr>
        <w:tabs>
          <w:tab w:val="left" w:pos="4740"/>
        </w:tabs>
        <w:spacing w:line="360" w:lineRule="auto"/>
        <w:ind w:left="630" w:leftChars="300"/>
        <w:rPr>
          <w:rFonts w:hint="eastAsia" w:ascii="宋体" w:hAnsi="宋体" w:cs="宋体"/>
          <w:color w:val="auto"/>
          <w:szCs w:val="21"/>
          <w:highlight w:val="none"/>
        </w:rPr>
      </w:pP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-6   具有依法缴纳税收和社会保障资金的良好记录（需提供投标截止日前六个月内任一个月的企业纳税证明和社保缴费记录证明）</w:t>
      </w:r>
    </w:p>
    <w:p>
      <w:pPr>
        <w:tabs>
          <w:tab w:val="left" w:pos="4740"/>
        </w:tabs>
        <w:spacing w:line="360" w:lineRule="auto"/>
        <w:ind w:left="630" w:leftChars="300"/>
        <w:rPr>
          <w:rFonts w:hint="eastAsia" w:ascii="宋体" w:hAnsi="宋体" w:cs="宋体"/>
          <w:color w:val="auto"/>
          <w:szCs w:val="21"/>
          <w:highlight w:val="none"/>
        </w:rPr>
      </w:pP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-7  参加政府采购活动前三年内（成立不足三年的从成立之日起算），在经营活动中没有重大违法记录（需提供加盖公章的声明书）</w:t>
      </w:r>
    </w:p>
    <w:p>
      <w:pPr>
        <w:tabs>
          <w:tab w:val="left" w:pos="4740"/>
        </w:tabs>
        <w:spacing w:line="360" w:lineRule="auto"/>
        <w:ind w:left="630" w:leftChars="300"/>
        <w:rPr>
          <w:rFonts w:hint="eastAsia" w:ascii="宋体" w:hAnsi="宋体" w:cs="宋体"/>
          <w:color w:val="auto"/>
          <w:szCs w:val="21"/>
          <w:highlight w:val="none"/>
        </w:rPr>
      </w:pP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-8   具有履行合同所必需的设备及专业技术能力和供应保障能力（需提供承诺书）</w:t>
      </w:r>
    </w:p>
    <w:p>
      <w:pPr>
        <w:tabs>
          <w:tab w:val="left" w:pos="4740"/>
        </w:tabs>
        <w:spacing w:line="360" w:lineRule="auto"/>
        <w:ind w:left="630" w:leftChars="300"/>
        <w:rPr>
          <w:rFonts w:hint="eastAsia" w:ascii="宋体" w:hAnsi="宋体" w:cs="宋体"/>
          <w:color w:val="auto"/>
          <w:szCs w:val="21"/>
          <w:highlight w:val="none"/>
        </w:rPr>
      </w:pP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-9   投标人近三年的同类项目情况表</w:t>
      </w:r>
    </w:p>
    <w:p>
      <w:pPr>
        <w:tabs>
          <w:tab w:val="left" w:pos="4740"/>
        </w:tabs>
        <w:spacing w:line="360" w:lineRule="auto"/>
        <w:ind w:left="630" w:leftChars="300"/>
        <w:rPr>
          <w:rFonts w:hint="eastAsia" w:ascii="宋体" w:hAnsi="宋体" w:cs="宋体"/>
          <w:color w:val="auto"/>
          <w:szCs w:val="21"/>
          <w:highlight w:val="none"/>
        </w:rPr>
      </w:pP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-10 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,同时对不良信用信息查询记录截图存档；(查询日期自招标公告发布之日后，提供网页打印件加盖公章)</w:t>
      </w:r>
    </w:p>
    <w:p>
      <w:pPr>
        <w:pStyle w:val="2"/>
        <w:spacing w:line="360" w:lineRule="auto"/>
        <w:ind w:left="720" w:hanging="720" w:hangingChars="300"/>
        <w:rPr>
          <w:rFonts w:hint="eastAsia" w:cs="宋体"/>
          <w:color w:val="auto"/>
          <w:sz w:val="21"/>
          <w:szCs w:val="21"/>
          <w:highlight w:val="none"/>
        </w:rPr>
      </w:pPr>
      <w:r>
        <w:rPr>
          <w:rFonts w:hint="eastAsia"/>
          <w:color w:val="auto"/>
          <w:highlight w:val="none"/>
        </w:rPr>
        <w:t xml:space="preserve">  </w:t>
      </w:r>
      <w:r>
        <w:rPr>
          <w:rFonts w:hint="eastAsia" w:ascii="宋体" w:hAnsi="宋体" w:eastAsia="宋体" w:cs="宋体"/>
          <w:color w:val="auto"/>
          <w:kern w:val="2"/>
          <w:sz w:val="21"/>
          <w:szCs w:val="21"/>
          <w:highlight w:val="none"/>
          <w:lang w:val="en-US" w:eastAsia="zh-CN" w:bidi="ar-SA"/>
        </w:rPr>
        <w:t xml:space="preserve">    附件6-11  </w:t>
      </w:r>
      <w:r>
        <w:rPr>
          <w:rFonts w:hint="eastAsia" w:cs="宋体"/>
          <w:color w:val="auto"/>
          <w:sz w:val="21"/>
          <w:szCs w:val="21"/>
          <w:highlight w:val="none"/>
        </w:rPr>
        <w:t>投标人应为经运输管理部门许可的汽车整车</w:t>
      </w:r>
      <w:r>
        <w:rPr>
          <w:rFonts w:hint="eastAsia" w:cs="宋体"/>
          <w:color w:val="auto"/>
          <w:sz w:val="21"/>
          <w:szCs w:val="21"/>
          <w:highlight w:val="none"/>
          <w:lang w:eastAsia="zh-CN"/>
        </w:rPr>
        <w:t>整车维修二类资质</w:t>
      </w:r>
      <w:r>
        <w:rPr>
          <w:rFonts w:hint="eastAsia" w:cs="宋体"/>
          <w:color w:val="auto"/>
          <w:sz w:val="21"/>
          <w:szCs w:val="21"/>
          <w:highlight w:val="none"/>
        </w:rPr>
        <w:t>及以上资质的汽车维修机构，并提供相关证明材料</w:t>
      </w:r>
      <w:r>
        <w:rPr>
          <w:rFonts w:hint="eastAsia" w:ascii="宋体" w:hAnsi="宋体" w:eastAsia="宋体" w:cs="宋体"/>
          <w:color w:val="auto"/>
          <w:kern w:val="2"/>
          <w:sz w:val="21"/>
          <w:szCs w:val="21"/>
          <w:highlight w:val="none"/>
          <w:lang w:val="en-US" w:eastAsia="zh-CN" w:bidi="ar-SA"/>
        </w:rPr>
        <w:t>。</w:t>
      </w:r>
    </w:p>
    <w:p>
      <w:pPr>
        <w:pStyle w:val="2"/>
        <w:spacing w:line="360" w:lineRule="auto"/>
        <w:ind w:left="630" w:leftChars="300"/>
        <w:rPr>
          <w:rFonts w:hint="eastAsia"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 xml:space="preserve"> 附件6</w:t>
      </w:r>
      <w:r>
        <w:rPr>
          <w:rFonts w:hint="eastAsia" w:cs="宋体"/>
          <w:color w:val="auto"/>
          <w:sz w:val="21"/>
          <w:szCs w:val="21"/>
          <w:highlight w:val="none"/>
        </w:rPr>
        <w:t>-1</w:t>
      </w:r>
      <w:r>
        <w:rPr>
          <w:rFonts w:cs="宋体"/>
          <w:color w:val="auto"/>
          <w:sz w:val="21"/>
          <w:szCs w:val="21"/>
          <w:highlight w:val="none"/>
        </w:rPr>
        <w:t xml:space="preserve">2 </w:t>
      </w:r>
      <w:r>
        <w:rPr>
          <w:rFonts w:hint="eastAsia" w:cs="宋体"/>
          <w:color w:val="auto"/>
          <w:sz w:val="21"/>
          <w:szCs w:val="21"/>
          <w:highlight w:val="none"/>
        </w:rPr>
        <w:t xml:space="preserve"> 单位负责人为同一人或者存在直接控股、管理关系的不同供应商，不得参加同一合同项下的政府采购活动 </w:t>
      </w:r>
    </w:p>
    <w:p>
      <w:pPr>
        <w:tabs>
          <w:tab w:val="left" w:pos="4740"/>
        </w:tabs>
        <w:spacing w:line="360" w:lineRule="auto"/>
        <w:ind w:left="630" w:leftChars="300"/>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 xml:space="preserve"> 附件6</w:t>
      </w:r>
      <w:r>
        <w:rPr>
          <w:rFonts w:hint="eastAsia" w:ascii="宋体" w:hAnsi="宋体" w:cs="宋体"/>
          <w:color w:val="auto"/>
          <w:szCs w:val="21"/>
          <w:highlight w:val="none"/>
        </w:rPr>
        <w:t>-1</w:t>
      </w:r>
      <w:r>
        <w:rPr>
          <w:rFonts w:ascii="宋体" w:hAnsi="宋体" w:cs="宋体"/>
          <w:color w:val="auto"/>
          <w:szCs w:val="21"/>
          <w:highlight w:val="none"/>
        </w:rPr>
        <w:t>3</w:t>
      </w:r>
      <w:r>
        <w:rPr>
          <w:rFonts w:hint="eastAsia" w:ascii="宋体" w:hAnsi="宋体" w:cs="宋体"/>
          <w:color w:val="auto"/>
          <w:szCs w:val="21"/>
          <w:highlight w:val="non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招标文件要求的其他资格证明文件</w:t>
      </w:r>
    </w:p>
    <w:p>
      <w:pPr>
        <w:tabs>
          <w:tab w:val="left" w:pos="4740"/>
        </w:tabs>
        <w:spacing w:line="360" w:lineRule="auto"/>
        <w:ind w:left="630" w:leftChars="300"/>
        <w:rPr>
          <w:rFonts w:hint="eastAsia" w:ascii="宋体" w:hAnsi="宋体" w:cs="宋体"/>
          <w:color w:val="auto"/>
          <w:szCs w:val="21"/>
          <w:highlight w:val="none"/>
        </w:rPr>
      </w:pP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   拟投入本项目人员情况表</w:t>
      </w:r>
    </w:p>
    <w:p>
      <w:pPr>
        <w:tabs>
          <w:tab w:val="left" w:pos="4740"/>
        </w:tabs>
        <w:spacing w:line="360" w:lineRule="auto"/>
        <w:ind w:left="630" w:leftChars="300"/>
        <w:rPr>
          <w:rFonts w:ascii="宋体" w:hAnsi="宋体" w:cs="宋体"/>
          <w:color w:val="auto"/>
          <w:szCs w:val="21"/>
          <w:highlight w:val="none"/>
        </w:rPr>
      </w:pP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xml:space="preserve">-2   </w:t>
      </w:r>
      <w:r>
        <w:rPr>
          <w:rFonts w:hint="eastAsia" w:ascii="宋体" w:hAnsi="宋体" w:cs="宋体"/>
          <w:color w:val="auto"/>
          <w:kern w:val="2"/>
          <w:sz w:val="21"/>
          <w:szCs w:val="21"/>
          <w:highlight w:val="none"/>
        </w:rPr>
        <w:t>拟投入汽车维修设备明细表</w:t>
      </w:r>
    </w:p>
    <w:p>
      <w:pPr>
        <w:tabs>
          <w:tab w:val="left" w:pos="4740"/>
        </w:tabs>
        <w:spacing w:line="360" w:lineRule="auto"/>
        <w:ind w:left="630" w:leftChars="300"/>
        <w:rPr>
          <w:rFonts w:hint="eastAsia" w:ascii="宋体" w:hAnsi="宋体" w:cs="宋体"/>
          <w:color w:val="auto"/>
          <w:szCs w:val="21"/>
          <w:highlight w:val="none"/>
        </w:rPr>
      </w:pP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ascii="宋体" w:hAnsi="宋体" w:cs="宋体"/>
          <w:color w:val="auto"/>
          <w:szCs w:val="21"/>
          <w:highlight w:val="none"/>
        </w:rPr>
        <w:t xml:space="preserve">3   </w:t>
      </w:r>
      <w:r>
        <w:rPr>
          <w:rFonts w:hint="eastAsia" w:ascii="宋体" w:hAnsi="宋体" w:cs="宋体"/>
          <w:color w:val="auto"/>
          <w:szCs w:val="21"/>
          <w:highlight w:val="none"/>
        </w:rPr>
        <w:t>项目实施方案及服务承诺（格式自拟）</w:t>
      </w:r>
    </w:p>
    <w:p>
      <w:pPr>
        <w:tabs>
          <w:tab w:val="left" w:pos="4740"/>
        </w:tabs>
        <w:spacing w:line="360" w:lineRule="auto"/>
        <w:ind w:left="630" w:leftChars="300"/>
        <w:rPr>
          <w:rFonts w:ascii="宋体" w:hAnsi="宋体" w:cs="宋体"/>
          <w:color w:val="auto"/>
          <w:szCs w:val="21"/>
          <w:highlight w:val="none"/>
        </w:rPr>
      </w:pP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   投标保证金缴纳凭证</w:t>
      </w:r>
    </w:p>
    <w:p>
      <w:pPr>
        <w:tabs>
          <w:tab w:val="left" w:pos="4740"/>
        </w:tabs>
        <w:spacing w:line="360" w:lineRule="auto"/>
        <w:ind w:left="630" w:leftChars="300"/>
        <w:rPr>
          <w:rFonts w:hint="eastAsia" w:ascii="宋体" w:hAnsi="宋体" w:cs="宋体"/>
          <w:color w:val="auto"/>
          <w:szCs w:val="21"/>
          <w:highlight w:val="none"/>
        </w:rPr>
      </w:pP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   中标服务费承诺书（格式）</w:t>
      </w:r>
    </w:p>
    <w:p>
      <w:pPr>
        <w:tabs>
          <w:tab w:val="left" w:pos="4740"/>
        </w:tabs>
        <w:spacing w:line="360" w:lineRule="auto"/>
        <w:ind w:left="630" w:leftChars="300"/>
        <w:rPr>
          <w:rFonts w:hint="eastAsia" w:ascii="宋体" w:hAnsi="宋体" w:cs="宋体"/>
          <w:color w:val="auto"/>
          <w:szCs w:val="21"/>
          <w:highlight w:val="none"/>
        </w:rPr>
      </w:pP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-2   关于投标保证金的声明</w:t>
      </w:r>
    </w:p>
    <w:p>
      <w:pPr>
        <w:tabs>
          <w:tab w:val="left" w:pos="4740"/>
        </w:tabs>
        <w:spacing w:line="360" w:lineRule="auto"/>
        <w:ind w:left="630" w:leftChars="300"/>
        <w:rPr>
          <w:rFonts w:hint="eastAsia" w:ascii="宋体" w:hAnsi="宋体" w:cs="宋体"/>
          <w:color w:val="auto"/>
          <w:szCs w:val="21"/>
          <w:highlight w:val="none"/>
        </w:rPr>
      </w:pP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-3   开票账户信息</w:t>
      </w:r>
    </w:p>
    <w:p>
      <w:pPr>
        <w:tabs>
          <w:tab w:val="left" w:pos="4740"/>
        </w:tabs>
        <w:spacing w:line="360" w:lineRule="auto"/>
        <w:ind w:left="630" w:leftChars="300"/>
        <w:rPr>
          <w:rFonts w:hint="eastAsia" w:ascii="宋体" w:hAnsi="宋体" w:cs="宋体"/>
          <w:color w:val="auto"/>
          <w:szCs w:val="21"/>
          <w:highlight w:val="none"/>
        </w:rPr>
      </w:pP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 xml:space="preserve">  中小企业声明函（格式）</w:t>
      </w:r>
    </w:p>
    <w:p>
      <w:pPr>
        <w:tabs>
          <w:tab w:val="left" w:pos="4740"/>
        </w:tabs>
        <w:spacing w:line="360" w:lineRule="auto"/>
        <w:ind w:left="630" w:leftChars="300"/>
        <w:rPr>
          <w:rFonts w:hint="eastAsia" w:ascii="宋体" w:hAnsi="宋体" w:cs="宋体"/>
          <w:color w:val="auto"/>
          <w:szCs w:val="21"/>
          <w:highlight w:val="none"/>
        </w:rPr>
      </w:pP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 xml:space="preserve">  监狱企业声明函（格式）</w:t>
      </w:r>
    </w:p>
    <w:p>
      <w:pPr>
        <w:tabs>
          <w:tab w:val="left" w:pos="4740"/>
        </w:tabs>
        <w:spacing w:line="360" w:lineRule="auto"/>
        <w:ind w:left="630" w:leftChars="300"/>
        <w:rPr>
          <w:rFonts w:hint="eastAsia" w:ascii="宋体" w:hAnsi="宋体" w:cs="宋体"/>
          <w:color w:val="auto"/>
          <w:szCs w:val="21"/>
          <w:highlight w:val="none"/>
        </w:rPr>
      </w:pP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 xml:space="preserve">  其他有利于投标的资料（包括但不仅限于相关证书、相关获奖情况等资料）</w:t>
      </w:r>
    </w:p>
    <w:p>
      <w:pPr>
        <w:tabs>
          <w:tab w:val="left" w:pos="5580"/>
        </w:tabs>
        <w:spacing w:line="360" w:lineRule="auto"/>
        <w:ind w:left="718" w:leftChars="342"/>
        <w:rPr>
          <w:rFonts w:hint="eastAsia" w:ascii="宋体" w:hAnsi="宋体" w:cs="宋体"/>
          <w:color w:val="auto"/>
          <w:szCs w:val="21"/>
          <w:highlight w:val="none"/>
        </w:rPr>
      </w:pPr>
      <w:r>
        <w:rPr>
          <w:rFonts w:hint="eastAsia" w:ascii="宋体" w:hAnsi="宋体" w:cs="宋体"/>
          <w:color w:val="auto"/>
          <w:szCs w:val="21"/>
          <w:highlight w:val="none"/>
        </w:rPr>
        <w:br w:type="page"/>
      </w:r>
    </w:p>
    <w:p>
      <w:pPr>
        <w:pStyle w:val="31"/>
        <w:spacing w:before="120" w:beforeLines="50" w:after="120" w:afterLines="50" w:line="240" w:lineRule="auto"/>
        <w:rPr>
          <w:rFonts w:hint="eastAsia" w:ascii="宋体" w:hAnsi="宋体" w:cs="宋体"/>
          <w:color w:val="auto"/>
          <w:sz w:val="21"/>
          <w:szCs w:val="21"/>
          <w:highlight w:val="none"/>
        </w:rPr>
      </w:pPr>
      <w:bookmarkStart w:id="191" w:name="_Ref467988698"/>
      <w:bookmarkStart w:id="192" w:name="_Toc480942349"/>
      <w:bookmarkStart w:id="193" w:name="_Toc520356217"/>
      <w:bookmarkStart w:id="194" w:name="_Toc302360904"/>
      <w:bookmarkStart w:id="195" w:name="_Toc5165"/>
      <w:bookmarkStart w:id="196" w:name="_Toc144556791"/>
      <w:bookmarkStart w:id="197" w:name="_Toc175062643"/>
      <w:r>
        <w:rPr>
          <w:rFonts w:hint="eastAsia" w:ascii="宋体" w:hAnsi="宋体" w:cs="宋体"/>
          <w:color w:val="auto"/>
          <w:sz w:val="21"/>
          <w:szCs w:val="21"/>
          <w:highlight w:val="none"/>
        </w:rPr>
        <w:t>附件1  投标</w:t>
      </w:r>
      <w:bookmarkEnd w:id="191"/>
      <w:bookmarkEnd w:id="192"/>
      <w:r>
        <w:rPr>
          <w:rFonts w:hint="eastAsia" w:ascii="宋体" w:hAnsi="宋体" w:cs="宋体"/>
          <w:color w:val="auto"/>
          <w:sz w:val="21"/>
          <w:szCs w:val="21"/>
          <w:highlight w:val="none"/>
        </w:rPr>
        <w:t>书</w:t>
      </w:r>
      <w:bookmarkEnd w:id="193"/>
      <w:r>
        <w:rPr>
          <w:rFonts w:hint="eastAsia" w:ascii="宋体" w:hAnsi="宋体" w:cs="宋体"/>
          <w:color w:val="auto"/>
          <w:sz w:val="21"/>
          <w:szCs w:val="21"/>
          <w:highlight w:val="none"/>
        </w:rPr>
        <w:t>（格式）</w:t>
      </w:r>
      <w:bookmarkEnd w:id="194"/>
      <w:bookmarkEnd w:id="195"/>
      <w:bookmarkEnd w:id="196"/>
      <w:bookmarkEnd w:id="197"/>
    </w:p>
    <w:p>
      <w:pPr>
        <w:tabs>
          <w:tab w:val="left" w:pos="851"/>
        </w:tabs>
        <w:spacing w:before="240" w:beforeLines="100" w:after="120" w:afterLines="50"/>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b/>
          <w:color w:val="auto"/>
          <w:szCs w:val="21"/>
          <w:highlight w:val="none"/>
        </w:rPr>
        <w:t>招标采购代理单位</w:t>
      </w:r>
      <w:r>
        <w:rPr>
          <w:rFonts w:hint="eastAsia" w:ascii="宋体" w:hAnsi="宋体" w:cs="宋体"/>
          <w:color w:val="auto"/>
          <w:szCs w:val="21"/>
          <w:highlight w:val="none"/>
        </w:rPr>
        <w:t>）</w:t>
      </w:r>
    </w:p>
    <w:p>
      <w:pPr>
        <w:tabs>
          <w:tab w:val="left" w:pos="5580"/>
        </w:tabs>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根据贵方为 （</w:t>
      </w:r>
      <w:r>
        <w:rPr>
          <w:rFonts w:hint="eastAsia" w:ascii="宋体" w:hAnsi="宋体" w:cs="宋体"/>
          <w:b/>
          <w:color w:val="auto"/>
          <w:szCs w:val="21"/>
          <w:highlight w:val="none"/>
        </w:rPr>
        <w:t>项目名称</w:t>
      </w:r>
      <w:r>
        <w:rPr>
          <w:rFonts w:hint="eastAsia" w:ascii="宋体" w:hAnsi="宋体" w:cs="宋体"/>
          <w:color w:val="auto"/>
          <w:szCs w:val="21"/>
          <w:highlight w:val="none"/>
        </w:rPr>
        <w:t>） 项目招标采购服务的投标邀请 （</w:t>
      </w:r>
      <w:r>
        <w:rPr>
          <w:rFonts w:hint="eastAsia" w:ascii="宋体" w:hAnsi="宋体" w:cs="宋体"/>
          <w:b/>
          <w:color w:val="auto"/>
          <w:szCs w:val="21"/>
          <w:highlight w:val="none"/>
        </w:rPr>
        <w:t>招标编号</w:t>
      </w:r>
      <w:r>
        <w:rPr>
          <w:rFonts w:hint="eastAsia" w:ascii="宋体" w:hAnsi="宋体" w:cs="宋体"/>
          <w:b/>
          <w:bCs/>
          <w:color w:val="auto"/>
          <w:szCs w:val="21"/>
          <w:highlight w:val="none"/>
        </w:rPr>
        <w:t>）</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第</w:t>
      </w:r>
      <w:r>
        <w:rPr>
          <w:rFonts w:hint="eastAsia" w:ascii="宋体" w:hAnsi="宋体" w:cs="宋体"/>
          <w:b/>
          <w:bCs/>
          <w:color w:val="auto"/>
          <w:szCs w:val="21"/>
          <w:highlight w:val="none"/>
          <w:u w:val="single"/>
          <w:lang w:val="en-US" w:eastAsia="zh-CN"/>
        </w:rPr>
        <w:t xml:space="preserve"> _</w:t>
      </w:r>
      <w:r>
        <w:rPr>
          <w:rFonts w:hint="eastAsia" w:ascii="宋体" w:hAnsi="宋体" w:cs="宋体"/>
          <w:b/>
          <w:bCs/>
          <w:color w:val="auto"/>
          <w:szCs w:val="21"/>
          <w:highlight w:val="none"/>
          <w:lang w:val="en-US" w:eastAsia="zh-CN"/>
        </w:rPr>
        <w:t>包</w:t>
      </w:r>
      <w:r>
        <w:rPr>
          <w:rFonts w:hint="eastAsia" w:ascii="宋体" w:hAnsi="宋体" w:eastAsia="宋体" w:cs="宋体"/>
          <w:b/>
          <w:bCs/>
          <w:color w:val="auto"/>
          <w:szCs w:val="21"/>
          <w:highlight w:val="none"/>
          <w:lang w:eastAsia="zh-CN"/>
        </w:rPr>
        <w:t>）</w:t>
      </w:r>
      <w:r>
        <w:rPr>
          <w:rFonts w:hint="eastAsia" w:ascii="宋体" w:hAnsi="宋体" w:cs="宋体"/>
          <w:b/>
          <w:bCs/>
          <w:color w:val="auto"/>
          <w:szCs w:val="21"/>
          <w:highlight w:val="none"/>
        </w:rPr>
        <w:t xml:space="preserve"> </w:t>
      </w:r>
      <w:r>
        <w:rPr>
          <w:rFonts w:hint="eastAsia" w:ascii="宋体" w:hAnsi="宋体" w:cs="宋体"/>
          <w:color w:val="auto"/>
          <w:szCs w:val="21"/>
          <w:highlight w:val="none"/>
        </w:rPr>
        <w:t>，签字代表 （</w:t>
      </w:r>
      <w:r>
        <w:rPr>
          <w:rFonts w:hint="eastAsia" w:ascii="宋体" w:hAnsi="宋体" w:cs="宋体"/>
          <w:b/>
          <w:color w:val="auto"/>
          <w:szCs w:val="21"/>
          <w:highlight w:val="none"/>
        </w:rPr>
        <w:t>姓名、职务</w:t>
      </w:r>
      <w:r>
        <w:rPr>
          <w:rFonts w:hint="eastAsia" w:ascii="宋体" w:hAnsi="宋体" w:cs="宋体"/>
          <w:color w:val="auto"/>
          <w:szCs w:val="21"/>
          <w:highlight w:val="none"/>
        </w:rPr>
        <w:t>） 经正式授权并代表投标人（</w:t>
      </w:r>
      <w:r>
        <w:rPr>
          <w:rFonts w:hint="eastAsia" w:ascii="宋体" w:hAnsi="宋体" w:cs="宋体"/>
          <w:b/>
          <w:color w:val="auto"/>
          <w:szCs w:val="21"/>
          <w:highlight w:val="none"/>
        </w:rPr>
        <w:t>投标人名称、地址</w:t>
      </w:r>
      <w:r>
        <w:rPr>
          <w:rFonts w:hint="eastAsia" w:ascii="宋体" w:hAnsi="宋体" w:cs="宋体"/>
          <w:color w:val="auto"/>
          <w:szCs w:val="21"/>
          <w:highlight w:val="none"/>
        </w:rPr>
        <w:t>）提交下述文件正本壹份及副本（       ）份：</w:t>
      </w:r>
    </w:p>
    <w:p>
      <w:pPr>
        <w:numPr>
          <w:ilvl w:val="0"/>
          <w:numId w:val="12"/>
        </w:numPr>
        <w:tabs>
          <w:tab w:val="left" w:pos="558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投标一览表；</w:t>
      </w:r>
    </w:p>
    <w:p>
      <w:pPr>
        <w:numPr>
          <w:ilvl w:val="0"/>
          <w:numId w:val="0"/>
        </w:numPr>
        <w:tabs>
          <w:tab w:val="left" w:pos="5580"/>
        </w:tabs>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3.常规项目及常用配件报价单价格明细表</w:t>
      </w:r>
    </w:p>
    <w:p>
      <w:pPr>
        <w:tabs>
          <w:tab w:val="left" w:pos="558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4．技术规格偏离表；</w:t>
      </w:r>
    </w:p>
    <w:p>
      <w:pPr>
        <w:tabs>
          <w:tab w:val="left" w:pos="558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5．商务条款偏离表；</w:t>
      </w:r>
    </w:p>
    <w:p>
      <w:pPr>
        <w:tabs>
          <w:tab w:val="left" w:pos="558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6．资格证明文件；</w:t>
      </w:r>
    </w:p>
    <w:p>
      <w:pPr>
        <w:tabs>
          <w:tab w:val="left" w:pos="558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7．遵守国家有关法律、法规和规章，按招标文件中投标人须知和技术规格要求提供的有关文件；</w:t>
      </w:r>
    </w:p>
    <w:p>
      <w:pPr>
        <w:tabs>
          <w:tab w:val="left" w:pos="558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8．以 （</w:t>
      </w:r>
      <w:r>
        <w:rPr>
          <w:rFonts w:hint="eastAsia" w:ascii="宋体" w:hAnsi="宋体" w:cs="宋体"/>
          <w:b/>
          <w:color w:val="auto"/>
          <w:szCs w:val="21"/>
          <w:highlight w:val="none"/>
        </w:rPr>
        <w:t>支票/汇票/电汇/保函</w:t>
      </w:r>
      <w:r>
        <w:rPr>
          <w:rFonts w:hint="eastAsia" w:ascii="宋体" w:hAnsi="宋体" w:cs="宋体"/>
          <w:color w:val="auto"/>
          <w:szCs w:val="21"/>
          <w:highlight w:val="none"/>
        </w:rPr>
        <w:t>） 形式出具的投标保证金，金额为人民币（       ）元。</w:t>
      </w:r>
    </w:p>
    <w:p>
      <w:pPr>
        <w:tabs>
          <w:tab w:val="left" w:pos="5580"/>
        </w:tabs>
        <w:spacing w:line="360" w:lineRule="auto"/>
        <w:ind w:firstLine="454"/>
        <w:rPr>
          <w:rFonts w:hint="eastAsia" w:ascii="宋体" w:hAnsi="宋体" w:cs="宋体"/>
          <w:color w:val="auto"/>
          <w:szCs w:val="21"/>
          <w:highlight w:val="none"/>
        </w:rPr>
      </w:pPr>
      <w:r>
        <w:rPr>
          <w:rFonts w:hint="eastAsia" w:ascii="宋体" w:hAnsi="宋体" w:cs="宋体"/>
          <w:color w:val="auto"/>
          <w:szCs w:val="21"/>
          <w:highlight w:val="none"/>
        </w:rPr>
        <w:t>据此，签字代表宣布同意如下：</w:t>
      </w:r>
    </w:p>
    <w:p>
      <w:pPr>
        <w:tabs>
          <w:tab w:val="left" w:pos="558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1．附投标价格表中规定的应提交和交付的服务投标总价为人民币（</w:t>
      </w:r>
      <w:r>
        <w:rPr>
          <w:rFonts w:hint="eastAsia" w:ascii="宋体" w:hAnsi="宋体" w:cs="宋体"/>
          <w:b/>
          <w:color w:val="auto"/>
          <w:szCs w:val="21"/>
          <w:highlight w:val="none"/>
        </w:rPr>
        <w:t>用文字和数字表示的投标总价</w:t>
      </w:r>
      <w:r>
        <w:rPr>
          <w:rFonts w:hint="eastAsia" w:ascii="宋体" w:hAnsi="宋体" w:cs="宋体"/>
          <w:color w:val="auto"/>
          <w:szCs w:val="21"/>
          <w:highlight w:val="none"/>
        </w:rPr>
        <w:t>）。</w:t>
      </w:r>
    </w:p>
    <w:p>
      <w:pPr>
        <w:tabs>
          <w:tab w:val="left" w:pos="558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2．投标人将按招标文件的规定履行合同责任和义务。</w:t>
      </w:r>
    </w:p>
    <w:p>
      <w:pPr>
        <w:tabs>
          <w:tab w:val="left" w:pos="558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3．投标人已详细审查全部招标文件，包括第（       ）号补充通知（如果有的话）。我们完全理解并同意放弃对这方面有不明及误解的权力。</w:t>
      </w:r>
    </w:p>
    <w:p>
      <w:pPr>
        <w:tabs>
          <w:tab w:val="left" w:pos="558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4．本投标有效期为自开标日起（       ）个日历日。</w:t>
      </w:r>
    </w:p>
    <w:p>
      <w:pPr>
        <w:tabs>
          <w:tab w:val="left" w:pos="558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5．在规定的开标时间后，投标人保证遵守招标文件中有关保证金的规定。</w:t>
      </w:r>
    </w:p>
    <w:p>
      <w:pPr>
        <w:tabs>
          <w:tab w:val="left" w:pos="558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6．根据投标人须知第1条规定，我方承诺，与招标采购单位聘请的为此项目提供咨询服务的公司及任何附属机构均无关联，我方不是招标采购单位的附属机构。</w:t>
      </w:r>
    </w:p>
    <w:p>
      <w:pPr>
        <w:tabs>
          <w:tab w:val="left" w:pos="558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7．投标人同意提供按照贵方可能要求的与其投标有关的一切数据或资料，完全理解贵方不一定接受最低价的投标或收到的任何投标。</w:t>
      </w:r>
    </w:p>
    <w:p>
      <w:pPr>
        <w:tabs>
          <w:tab w:val="left" w:pos="558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8．与本投标有关的一切正式往来信函请寄：</w:t>
      </w:r>
    </w:p>
    <w:p>
      <w:pPr>
        <w:pStyle w:val="21"/>
        <w:tabs>
          <w:tab w:val="left" w:pos="851"/>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地址：</w:t>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p>
    <w:p>
      <w:pPr>
        <w:pStyle w:val="21"/>
        <w:tabs>
          <w:tab w:val="left" w:pos="851"/>
        </w:tabs>
        <w:spacing w:line="360" w:lineRule="auto"/>
        <w:ind w:firstLine="420" w:firstLineChars="200"/>
        <w:rPr>
          <w:rFonts w:hint="eastAsia" w:hAnsi="宋体" w:cs="宋体"/>
          <w:color w:val="auto"/>
          <w:szCs w:val="21"/>
          <w:highlight w:val="none"/>
          <w:u w:val="single"/>
        </w:rPr>
      </w:pPr>
      <w:r>
        <w:rPr>
          <w:rFonts w:hint="eastAsia" w:hAnsi="宋体" w:cs="宋体"/>
          <w:color w:val="auto"/>
          <w:szCs w:val="21"/>
          <w:highlight w:val="none"/>
        </w:rPr>
        <w:t>传真：</w:t>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p>
    <w:p>
      <w:pPr>
        <w:pStyle w:val="21"/>
        <w:tabs>
          <w:tab w:val="left" w:pos="851"/>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电话：</w:t>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p>
    <w:p>
      <w:pPr>
        <w:pStyle w:val="21"/>
        <w:tabs>
          <w:tab w:val="left" w:pos="851"/>
        </w:tabs>
        <w:spacing w:line="360" w:lineRule="auto"/>
        <w:ind w:firstLine="420" w:firstLineChars="200"/>
        <w:rPr>
          <w:rFonts w:hint="eastAsia" w:hAnsi="宋体" w:cs="宋体"/>
          <w:color w:val="auto"/>
          <w:szCs w:val="21"/>
          <w:highlight w:val="none"/>
          <w:u w:val="single"/>
        </w:rPr>
      </w:pPr>
      <w:r>
        <w:rPr>
          <w:rFonts w:hint="eastAsia" w:hAnsi="宋体" w:cs="宋体"/>
          <w:color w:val="auto"/>
          <w:szCs w:val="21"/>
          <w:highlight w:val="none"/>
        </w:rPr>
        <w:t>电子函件：</w:t>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 xml:space="preserve">     </w:t>
      </w:r>
      <w:r>
        <w:rPr>
          <w:rFonts w:hint="eastAsia" w:hAnsi="宋体" w:cs="宋体"/>
          <w:color w:val="auto"/>
          <w:szCs w:val="21"/>
          <w:highlight w:val="none"/>
          <w:u w:val="single"/>
        </w:rPr>
        <w:tab/>
      </w:r>
    </w:p>
    <w:p>
      <w:pPr>
        <w:pStyle w:val="21"/>
        <w:tabs>
          <w:tab w:val="left" w:pos="851"/>
        </w:tabs>
        <w:spacing w:line="360" w:lineRule="auto"/>
        <w:ind w:firstLine="420" w:firstLineChars="200"/>
        <w:rPr>
          <w:rFonts w:hint="eastAsia" w:hAnsi="宋体" w:cs="宋体"/>
          <w:color w:val="auto"/>
          <w:szCs w:val="21"/>
          <w:highlight w:val="none"/>
        </w:rPr>
      </w:pPr>
    </w:p>
    <w:p>
      <w:pPr>
        <w:tabs>
          <w:tab w:val="left" w:pos="5580"/>
        </w:tabs>
        <w:spacing w:before="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投标人名称（盖章）：</w:t>
      </w:r>
      <w:r>
        <w:rPr>
          <w:rFonts w:hint="eastAsia" w:ascii="宋体" w:hAnsi="宋体" w:cs="宋体"/>
          <w:color w:val="auto"/>
          <w:szCs w:val="21"/>
          <w:highlight w:val="none"/>
          <w:u w:val="single"/>
        </w:rPr>
        <w:tab/>
      </w:r>
    </w:p>
    <w:p>
      <w:pPr>
        <w:tabs>
          <w:tab w:val="left" w:pos="5580"/>
        </w:tabs>
        <w:spacing w:before="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授权代表姓名（签字</w:t>
      </w:r>
      <w:r>
        <w:rPr>
          <w:rFonts w:hint="eastAsia" w:hAnsi="宋体" w:cs="宋体"/>
          <w:color w:val="auto"/>
          <w:szCs w:val="21"/>
          <w:highlight w:val="none"/>
        </w:rPr>
        <w:t>或盖章</w:t>
      </w:r>
      <w:r>
        <w:rPr>
          <w:rFonts w:hint="eastAsia" w:ascii="宋体" w:hAnsi="宋体" w:cs="宋体"/>
          <w:color w:val="auto"/>
          <w:szCs w:val="21"/>
          <w:highlight w:val="none"/>
        </w:rPr>
        <w:t>）：</w:t>
      </w:r>
      <w:r>
        <w:rPr>
          <w:rFonts w:hint="eastAsia" w:ascii="宋体" w:hAnsi="宋体" w:cs="宋体"/>
          <w:color w:val="auto"/>
          <w:szCs w:val="21"/>
          <w:highlight w:val="none"/>
          <w:u w:val="single"/>
        </w:rPr>
        <w:tab/>
      </w:r>
    </w:p>
    <w:p>
      <w:pPr>
        <w:tabs>
          <w:tab w:val="left" w:pos="5580"/>
        </w:tabs>
        <w:spacing w:before="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开户银行名称（全称）：</w:t>
      </w:r>
      <w:r>
        <w:rPr>
          <w:rFonts w:hint="eastAsia" w:ascii="宋体" w:hAnsi="宋体" w:cs="宋体"/>
          <w:color w:val="auto"/>
          <w:szCs w:val="21"/>
          <w:highlight w:val="none"/>
          <w:u w:val="single"/>
        </w:rPr>
        <w:tab/>
      </w:r>
    </w:p>
    <w:p>
      <w:pPr>
        <w:tabs>
          <w:tab w:val="left" w:pos="5580"/>
        </w:tabs>
        <w:spacing w:before="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开户银行账号：</w:t>
      </w:r>
      <w:r>
        <w:rPr>
          <w:rFonts w:hint="eastAsia" w:ascii="宋体" w:hAnsi="宋体" w:cs="宋体"/>
          <w:color w:val="auto"/>
          <w:szCs w:val="21"/>
          <w:highlight w:val="none"/>
          <w:u w:val="single"/>
        </w:rPr>
        <w:tab/>
      </w:r>
    </w:p>
    <w:p>
      <w:pPr>
        <w:tabs>
          <w:tab w:val="left" w:pos="4620"/>
        </w:tabs>
        <w:spacing w:before="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tabs>
          <w:tab w:val="left" w:pos="5580"/>
        </w:tabs>
        <w:spacing w:before="120" w:line="360" w:lineRule="auto"/>
        <w:ind w:firstLine="420" w:firstLineChars="200"/>
        <w:rPr>
          <w:rFonts w:hint="eastAsia" w:ascii="宋体" w:hAnsi="宋体" w:cs="宋体"/>
          <w:color w:val="auto"/>
          <w:szCs w:val="21"/>
          <w:highlight w:val="none"/>
        </w:rPr>
        <w:sectPr>
          <w:footerReference r:id="rId10" w:type="default"/>
          <w:pgSz w:w="11906" w:h="16838"/>
          <w:pgMar w:top="1440" w:right="1797" w:bottom="1440" w:left="1797" w:header="851" w:footer="992" w:gutter="0"/>
          <w:cols w:space="720" w:num="1"/>
          <w:docGrid w:linePitch="312" w:charSpace="0"/>
        </w:sectPr>
      </w:pPr>
    </w:p>
    <w:p>
      <w:pPr>
        <w:pStyle w:val="31"/>
        <w:spacing w:before="120" w:beforeLines="50" w:after="120" w:afterLines="50" w:line="360" w:lineRule="auto"/>
        <w:rPr>
          <w:rFonts w:hint="eastAsia" w:ascii="宋体" w:hAnsi="宋体" w:cs="宋体"/>
          <w:color w:val="auto"/>
          <w:sz w:val="21"/>
          <w:szCs w:val="21"/>
          <w:highlight w:val="none"/>
        </w:rPr>
      </w:pPr>
      <w:bookmarkStart w:id="198" w:name="_Toc302360905"/>
      <w:bookmarkStart w:id="199" w:name="_Toc24331"/>
      <w:bookmarkStart w:id="200" w:name="_Toc175062644"/>
      <w:bookmarkStart w:id="201" w:name="_Toc144556792"/>
      <w:bookmarkStart w:id="202" w:name="_Ref467988705"/>
      <w:bookmarkStart w:id="203" w:name="_Toc480942350"/>
      <w:bookmarkStart w:id="204" w:name="_Toc520356218"/>
      <w:r>
        <w:rPr>
          <w:rFonts w:hint="eastAsia" w:ascii="宋体" w:hAnsi="宋体" w:cs="宋体"/>
          <w:color w:val="auto"/>
          <w:sz w:val="21"/>
          <w:szCs w:val="21"/>
          <w:highlight w:val="none"/>
        </w:rPr>
        <w:t>附件2  投标一览表</w:t>
      </w:r>
      <w:bookmarkEnd w:id="198"/>
      <w:r>
        <w:rPr>
          <w:rFonts w:hint="eastAsia" w:ascii="宋体" w:hAnsi="宋体" w:cs="宋体"/>
          <w:color w:val="auto"/>
          <w:sz w:val="21"/>
          <w:szCs w:val="21"/>
          <w:highlight w:val="none"/>
        </w:rPr>
        <w:t>（格式）</w:t>
      </w:r>
      <w:bookmarkEnd w:id="199"/>
    </w:p>
    <w:p>
      <w:pPr>
        <w:pStyle w:val="2"/>
        <w:spacing w:before="0" w:line="240" w:lineRule="auto"/>
        <w:jc w:val="center"/>
        <w:rPr>
          <w:rFonts w:hint="eastAsia" w:cs="宋体"/>
          <w:b/>
          <w:color w:val="auto"/>
          <w:sz w:val="21"/>
          <w:szCs w:val="21"/>
          <w:highlight w:val="none"/>
        </w:rPr>
      </w:pPr>
    </w:p>
    <w:p>
      <w:pPr>
        <w:tabs>
          <w:tab w:val="left" w:pos="5580"/>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招标编号：                                        </w:t>
      </w:r>
    </w:p>
    <w:p>
      <w:pPr>
        <w:tabs>
          <w:tab w:val="left" w:pos="5580"/>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项目名称： </w:t>
      </w:r>
    </w:p>
    <w:p>
      <w:pPr>
        <w:tabs>
          <w:tab w:val="left" w:pos="5580"/>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单位：人民币元   </w:t>
      </w:r>
    </w:p>
    <w:p>
      <w:pPr>
        <w:tabs>
          <w:tab w:val="left" w:pos="5580"/>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包号：</w:t>
      </w:r>
      <w:r>
        <w:rPr>
          <w:rFonts w:hint="eastAsia" w:ascii="宋体" w:hAnsi="宋体" w:cs="宋体"/>
          <w:color w:val="auto"/>
          <w:szCs w:val="21"/>
          <w:highlight w:val="none"/>
        </w:rPr>
        <w:t xml:space="preserve">                      </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4"/>
        <w:gridCol w:w="2904"/>
        <w:gridCol w:w="3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421" w:type="pct"/>
            <w:noWrap w:val="0"/>
            <w:vAlign w:val="center"/>
          </w:tcPr>
          <w:p>
            <w:pPr>
              <w:keepNext w:val="0"/>
              <w:keepLines w:val="0"/>
              <w:widowControl/>
              <w:suppressLineNumbers w:val="0"/>
              <w:spacing w:before="0" w:beforeAutospacing="0" w:after="0" w:afterAutospacing="0"/>
              <w:ind w:left="0" w:right="0"/>
              <w:jc w:val="center"/>
              <w:rPr>
                <w:rFonts w:hint="eastAsia" w:ascii="宋体" w:hAnsi="宋体" w:cs="仿宋_GB2312"/>
                <w:color w:val="auto"/>
                <w:kern w:val="0"/>
                <w:sz w:val="21"/>
                <w:szCs w:val="21"/>
                <w:highlight w:val="none"/>
              </w:rPr>
            </w:pPr>
            <w:r>
              <w:rPr>
                <w:rFonts w:hint="eastAsia" w:ascii="宋体" w:hAnsi="宋体" w:cs="仿宋_GB2312"/>
                <w:color w:val="auto"/>
                <w:kern w:val="0"/>
                <w:sz w:val="21"/>
                <w:szCs w:val="21"/>
                <w:highlight w:val="none"/>
              </w:rPr>
              <w:t>维修报价</w:t>
            </w:r>
          </w:p>
        </w:tc>
        <w:tc>
          <w:tcPr>
            <w:tcW w:w="1702" w:type="pct"/>
            <w:noWrap w:val="0"/>
            <w:vAlign w:val="center"/>
          </w:tcPr>
          <w:p>
            <w:pPr>
              <w:keepNext w:val="0"/>
              <w:keepLines w:val="0"/>
              <w:widowControl/>
              <w:suppressLineNumbers w:val="0"/>
              <w:spacing w:before="0" w:beforeAutospacing="0" w:after="0" w:afterAutospacing="0"/>
              <w:ind w:left="0" w:right="0"/>
              <w:jc w:val="center"/>
              <w:rPr>
                <w:rFonts w:hint="eastAsia" w:ascii="宋体" w:hAnsi="宋体" w:cs="仿宋_GB2312"/>
                <w:color w:val="auto"/>
                <w:kern w:val="0"/>
                <w:sz w:val="21"/>
                <w:szCs w:val="21"/>
                <w:highlight w:val="none"/>
              </w:rPr>
            </w:pPr>
            <w:r>
              <w:rPr>
                <w:rFonts w:hint="eastAsia" w:ascii="宋体" w:hAnsi="宋体" w:cs="仿宋_GB2312"/>
                <w:color w:val="auto"/>
                <w:kern w:val="0"/>
                <w:sz w:val="21"/>
                <w:szCs w:val="21"/>
                <w:highlight w:val="none"/>
              </w:rPr>
              <w:t>工时费优惠下浮率 %</w:t>
            </w:r>
          </w:p>
        </w:tc>
        <w:tc>
          <w:tcPr>
            <w:tcW w:w="1876" w:type="pct"/>
            <w:noWrap w:val="0"/>
            <w:vAlign w:val="center"/>
          </w:tcPr>
          <w:p>
            <w:pPr>
              <w:keepNext w:val="0"/>
              <w:keepLines w:val="0"/>
              <w:widowControl/>
              <w:suppressLineNumbers w:val="0"/>
              <w:spacing w:before="0" w:beforeAutospacing="0" w:after="0" w:afterAutospacing="0"/>
              <w:ind w:left="0" w:right="0"/>
              <w:jc w:val="center"/>
              <w:rPr>
                <w:rFonts w:hint="eastAsia" w:ascii="宋体" w:hAnsi="宋体" w:cs="仿宋_GB2312"/>
                <w:color w:val="auto"/>
                <w:kern w:val="0"/>
                <w:sz w:val="21"/>
                <w:szCs w:val="21"/>
                <w:highlight w:val="none"/>
              </w:rPr>
            </w:pPr>
            <w:r>
              <w:rPr>
                <w:rFonts w:hint="eastAsia" w:ascii="宋体" w:hAnsi="宋体" w:cs="仿宋_GB2312"/>
                <w:color w:val="auto"/>
                <w:kern w:val="0"/>
                <w:sz w:val="21"/>
                <w:szCs w:val="21"/>
                <w:highlight w:val="none"/>
              </w:rPr>
              <w:t>零配件优惠下浮率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pct"/>
            <w:noWrap w:val="0"/>
            <w:vAlign w:val="center"/>
          </w:tcPr>
          <w:p>
            <w:pPr>
              <w:keepNext w:val="0"/>
              <w:keepLines w:val="0"/>
              <w:widowControl/>
              <w:suppressLineNumbers w:val="0"/>
              <w:spacing w:before="0" w:beforeAutospacing="0" w:after="0" w:afterAutospacing="0"/>
              <w:ind w:left="0" w:right="0"/>
              <w:jc w:val="center"/>
              <w:rPr>
                <w:rFonts w:hint="eastAsia" w:ascii="宋体" w:hAnsi="宋体" w:cs="仿宋_GB2312"/>
                <w:color w:val="auto"/>
                <w:kern w:val="0"/>
                <w:sz w:val="21"/>
                <w:szCs w:val="21"/>
                <w:highlight w:val="none"/>
              </w:rPr>
            </w:pPr>
            <w:r>
              <w:rPr>
                <w:rFonts w:hint="eastAsia" w:ascii="宋体" w:hAnsi="宋体" w:cs="仿宋_GB2312"/>
                <w:color w:val="auto"/>
                <w:kern w:val="0"/>
                <w:sz w:val="21"/>
                <w:szCs w:val="21"/>
                <w:highlight w:val="none"/>
              </w:rPr>
              <w:t>乌鲁木齐市各车型4S店维修工时费、零配件报价为基础</w:t>
            </w:r>
          </w:p>
        </w:tc>
        <w:tc>
          <w:tcPr>
            <w:tcW w:w="1702" w:type="pct"/>
            <w:noWrap w:val="0"/>
            <w:vAlign w:val="center"/>
          </w:tcPr>
          <w:p>
            <w:pPr>
              <w:keepNext w:val="0"/>
              <w:keepLines w:val="0"/>
              <w:widowControl/>
              <w:suppressLineNumbers w:val="0"/>
              <w:spacing w:before="0" w:beforeAutospacing="0" w:after="0" w:afterAutospacing="0"/>
              <w:ind w:left="0" w:right="0"/>
              <w:jc w:val="center"/>
              <w:rPr>
                <w:rFonts w:hint="eastAsia" w:ascii="宋体" w:hAnsi="宋体" w:cs="仿宋_GB2312"/>
                <w:color w:val="auto"/>
                <w:kern w:val="0"/>
                <w:sz w:val="21"/>
                <w:szCs w:val="21"/>
                <w:highlight w:val="none"/>
                <w:u w:val="single"/>
              </w:rPr>
            </w:pPr>
            <w:r>
              <w:rPr>
                <w:rFonts w:hint="eastAsia" w:ascii="宋体" w:hAnsi="宋体" w:cs="仿宋_GB2312"/>
                <w:color w:val="auto"/>
                <w:kern w:val="0"/>
                <w:sz w:val="21"/>
                <w:szCs w:val="21"/>
                <w:highlight w:val="none"/>
              </w:rPr>
              <w:t>下浮</w:t>
            </w:r>
            <w:r>
              <w:rPr>
                <w:rFonts w:hint="eastAsia" w:ascii="宋体" w:hAnsi="宋体" w:cs="仿宋_GB2312"/>
                <w:color w:val="auto"/>
                <w:kern w:val="0"/>
                <w:sz w:val="21"/>
                <w:szCs w:val="21"/>
                <w:highlight w:val="none"/>
                <w:u w:val="single"/>
              </w:rPr>
              <w:t xml:space="preserve">     %</w:t>
            </w:r>
          </w:p>
        </w:tc>
        <w:tc>
          <w:tcPr>
            <w:tcW w:w="1876" w:type="pct"/>
            <w:noWrap w:val="0"/>
            <w:vAlign w:val="center"/>
          </w:tcPr>
          <w:p>
            <w:pPr>
              <w:keepNext w:val="0"/>
              <w:keepLines w:val="0"/>
              <w:widowControl/>
              <w:suppressLineNumbers w:val="0"/>
              <w:spacing w:before="0" w:beforeAutospacing="0" w:after="0" w:afterAutospacing="0"/>
              <w:ind w:left="0" w:right="0"/>
              <w:jc w:val="center"/>
              <w:rPr>
                <w:rFonts w:hint="eastAsia" w:ascii="宋体" w:hAnsi="宋体" w:cs="仿宋_GB2312"/>
                <w:color w:val="auto"/>
                <w:kern w:val="0"/>
                <w:sz w:val="21"/>
                <w:szCs w:val="21"/>
                <w:highlight w:val="none"/>
              </w:rPr>
            </w:pPr>
            <w:r>
              <w:rPr>
                <w:rFonts w:hint="eastAsia" w:ascii="宋体" w:hAnsi="宋体" w:cs="仿宋_GB2312"/>
                <w:color w:val="auto"/>
                <w:kern w:val="0"/>
                <w:sz w:val="21"/>
                <w:szCs w:val="21"/>
                <w:highlight w:val="none"/>
              </w:rPr>
              <w:t>下浮</w:t>
            </w:r>
            <w:r>
              <w:rPr>
                <w:rFonts w:hint="eastAsia" w:ascii="宋体" w:hAnsi="宋体" w:cs="仿宋_GB2312"/>
                <w:color w:val="auto"/>
                <w:kern w:val="0"/>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421" w:type="pct"/>
            <w:noWrap w:val="0"/>
            <w:vAlign w:val="center"/>
          </w:tcPr>
          <w:p>
            <w:pPr>
              <w:pStyle w:val="477"/>
              <w:keepNext w:val="0"/>
              <w:keepLines w:val="0"/>
              <w:suppressLineNumbers w:val="0"/>
              <w:spacing w:before="0" w:beforeAutospacing="0" w:after="0" w:afterAutospacing="0" w:line="440" w:lineRule="exact"/>
              <w:ind w:left="0" w:right="0" w:firstLine="105" w:firstLineChars="50"/>
              <w:jc w:val="center"/>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服务期限</w:t>
            </w:r>
          </w:p>
        </w:tc>
        <w:tc>
          <w:tcPr>
            <w:tcW w:w="3578" w:type="pct"/>
            <w:gridSpan w:val="2"/>
            <w:noWrap w:val="0"/>
            <w:vAlign w:val="center"/>
          </w:tcPr>
          <w:p>
            <w:pPr>
              <w:pStyle w:val="477"/>
              <w:keepNext w:val="0"/>
              <w:keepLines w:val="0"/>
              <w:suppressLineNumbers w:val="0"/>
              <w:spacing w:before="0" w:beforeAutospacing="0" w:after="0" w:afterAutospacing="0" w:line="440" w:lineRule="exact"/>
              <w:ind w:left="0" w:right="0"/>
              <w:jc w:val="center"/>
              <w:rPr>
                <w:rFonts w:hint="eastAsia" w:ascii="宋体" w:hAnsi="宋体" w:cs="Times New Roman"/>
                <w:color w:val="auto"/>
                <w:sz w:val="21"/>
                <w:szCs w:val="21"/>
                <w:highlight w:val="none"/>
              </w:rPr>
            </w:pPr>
            <w:r>
              <w:rPr>
                <w:rFonts w:hint="eastAsia" w:ascii="宋体" w:hAnsi="宋体" w:cs="Times New Roman"/>
                <w:color w:val="auto"/>
                <w:sz w:val="21"/>
                <w:szCs w:val="21"/>
                <w:highlight w:val="none"/>
                <w:lang w:eastAsia="zh-CN"/>
              </w:rPr>
              <w:t>一</w:t>
            </w:r>
            <w:r>
              <w:rPr>
                <w:rFonts w:hint="eastAsia" w:ascii="宋体" w:hAnsi="宋体" w:cs="Times New Roman"/>
                <w:color w:val="auto"/>
                <w:sz w:val="21"/>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421" w:type="pct"/>
            <w:noWrap w:val="0"/>
            <w:vAlign w:val="center"/>
          </w:tcPr>
          <w:p>
            <w:pPr>
              <w:pStyle w:val="477"/>
              <w:keepNext w:val="0"/>
              <w:keepLines w:val="0"/>
              <w:suppressLineNumbers w:val="0"/>
              <w:spacing w:before="0" w:beforeAutospacing="0" w:after="0" w:afterAutospacing="0" w:line="440" w:lineRule="exact"/>
              <w:ind w:left="0" w:right="0" w:firstLine="105" w:firstLineChars="50"/>
              <w:jc w:val="center"/>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备注</w:t>
            </w:r>
          </w:p>
        </w:tc>
        <w:tc>
          <w:tcPr>
            <w:tcW w:w="3578" w:type="pct"/>
            <w:gridSpan w:val="2"/>
            <w:noWrap w:val="0"/>
            <w:vAlign w:val="center"/>
          </w:tcPr>
          <w:p>
            <w:pPr>
              <w:pStyle w:val="477"/>
              <w:keepNext w:val="0"/>
              <w:keepLines w:val="0"/>
              <w:suppressLineNumbers w:val="0"/>
              <w:spacing w:before="0" w:beforeAutospacing="0" w:after="0" w:afterAutospacing="0" w:line="440" w:lineRule="exact"/>
              <w:ind w:left="0" w:right="0"/>
              <w:jc w:val="center"/>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下浮率最多保留两位小数</w:t>
            </w:r>
          </w:p>
        </w:tc>
      </w:tr>
    </w:tbl>
    <w:p>
      <w:pPr>
        <w:pStyle w:val="477"/>
        <w:spacing w:line="440" w:lineRule="exact"/>
        <w:rPr>
          <w:color w:val="auto"/>
          <w:sz w:val="21"/>
          <w:szCs w:val="21"/>
          <w:highlight w:val="none"/>
        </w:rPr>
      </w:pPr>
      <w:r>
        <w:rPr>
          <w:color w:val="auto"/>
          <w:sz w:val="21"/>
          <w:szCs w:val="21"/>
          <w:highlight w:val="none"/>
        </w:rPr>
        <w:t>说明：</w:t>
      </w:r>
    </w:p>
    <w:p>
      <w:pPr>
        <w:pStyle w:val="477"/>
        <w:spacing w:line="440" w:lineRule="exact"/>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lang w:eastAsia="zh-CN"/>
        </w:rPr>
        <w:t>、</w:t>
      </w:r>
      <w:r>
        <w:rPr>
          <w:rFonts w:hint="eastAsia" w:ascii="宋体" w:hAnsi="宋体"/>
          <w:color w:val="auto"/>
          <w:sz w:val="21"/>
          <w:szCs w:val="21"/>
          <w:highlight w:val="none"/>
        </w:rPr>
        <w:t>以上投标报价在投标有效期内一直有效。</w:t>
      </w:r>
    </w:p>
    <w:p>
      <w:pPr>
        <w:pStyle w:val="477"/>
        <w:spacing w:line="440" w:lineRule="exac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材料费的基准价为中标企业按季度提交给采购单位各个原厂各种材料的市场价（中标后，需提供相应品牌配件的授权书）；</w:t>
      </w:r>
    </w:p>
    <w:p>
      <w:pPr>
        <w:pStyle w:val="477"/>
        <w:spacing w:line="440" w:lineRule="exac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本报价已包含采购、装卸、运输、保管、损耗、税金、利润及市区范围内的施救费等费用。</w:t>
      </w:r>
    </w:p>
    <w:p>
      <w:pPr>
        <w:rPr>
          <w:color w:val="auto"/>
          <w:sz w:val="21"/>
          <w:szCs w:val="21"/>
          <w:highlight w:val="none"/>
        </w:rPr>
      </w:pPr>
    </w:p>
    <w:p>
      <w:pPr>
        <w:pStyle w:val="2"/>
        <w:spacing w:before="0" w:line="240" w:lineRule="auto"/>
        <w:jc w:val="center"/>
        <w:rPr>
          <w:rFonts w:hint="eastAsia" w:cs="宋体"/>
          <w:b/>
          <w:color w:val="auto"/>
          <w:sz w:val="21"/>
          <w:szCs w:val="21"/>
          <w:highlight w:val="none"/>
        </w:rPr>
      </w:pPr>
    </w:p>
    <w:p>
      <w:pPr>
        <w:pStyle w:val="2"/>
        <w:spacing w:before="0" w:line="240" w:lineRule="auto"/>
        <w:jc w:val="center"/>
        <w:rPr>
          <w:rFonts w:hint="eastAsia" w:cs="宋体"/>
          <w:b/>
          <w:color w:val="auto"/>
          <w:sz w:val="21"/>
          <w:szCs w:val="21"/>
          <w:highlight w:val="none"/>
        </w:rPr>
      </w:pPr>
    </w:p>
    <w:p>
      <w:pPr>
        <w:tabs>
          <w:tab w:val="left" w:pos="5580"/>
        </w:tabs>
        <w:spacing w:before="120" w:beforeLines="50"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投标人名称（盖章）：</w:t>
      </w:r>
      <w:r>
        <w:rPr>
          <w:rFonts w:hint="eastAsia" w:ascii="宋体" w:hAnsi="宋体" w:cs="宋体"/>
          <w:color w:val="auto"/>
          <w:sz w:val="21"/>
          <w:szCs w:val="21"/>
          <w:highlight w:val="none"/>
          <w:u w:val="single"/>
        </w:rPr>
        <w:tab/>
      </w:r>
    </w:p>
    <w:p>
      <w:pPr>
        <w:tabs>
          <w:tab w:val="left" w:pos="5580"/>
        </w:tabs>
        <w:spacing w:before="120" w:beforeLines="50"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授权代表姓名（签字</w:t>
      </w:r>
      <w:r>
        <w:rPr>
          <w:rFonts w:hint="eastAsia" w:hAnsi="宋体" w:cs="宋体"/>
          <w:color w:val="auto"/>
          <w:sz w:val="21"/>
          <w:szCs w:val="21"/>
          <w:highlight w:val="none"/>
        </w:rPr>
        <w:t>或盖章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ab/>
      </w:r>
    </w:p>
    <w:p>
      <w:pPr>
        <w:tabs>
          <w:tab w:val="left" w:pos="4620"/>
        </w:tabs>
        <w:spacing w:before="120" w:beforeLines="50"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bookmarkEnd w:id="200"/>
    <w:bookmarkEnd w:id="201"/>
    <w:bookmarkEnd w:id="202"/>
    <w:bookmarkEnd w:id="203"/>
    <w:bookmarkEnd w:id="204"/>
    <w:p>
      <w:pPr>
        <w:ind w:firstLine="200"/>
        <w:rPr>
          <w:rFonts w:hint="eastAsia" w:ascii="宋体" w:hAnsi="宋体" w:cs="宋体"/>
          <w:color w:val="auto"/>
          <w:sz w:val="21"/>
          <w:szCs w:val="21"/>
          <w:highlight w:val="none"/>
        </w:rPr>
        <w:sectPr>
          <w:pgSz w:w="11906" w:h="16838"/>
          <w:pgMar w:top="1440" w:right="1797" w:bottom="1440" w:left="1797" w:header="851" w:footer="992" w:gutter="0"/>
          <w:cols w:space="720" w:num="1"/>
          <w:docGrid w:linePitch="312" w:charSpace="0"/>
        </w:sectPr>
      </w:pPr>
    </w:p>
    <w:p>
      <w:pPr>
        <w:spacing w:line="460" w:lineRule="atLeast"/>
        <w:jc w:val="left"/>
        <w:rPr>
          <w:rFonts w:hint="eastAsia" w:ascii="宋体" w:hAnsi="宋体" w:eastAsia="宋体" w:cs="宋体"/>
          <w:color w:val="auto"/>
          <w:sz w:val="24"/>
          <w:szCs w:val="24"/>
          <w:highlight w:val="none"/>
        </w:rPr>
      </w:pPr>
      <w:bookmarkStart w:id="205" w:name="_Toc302360906"/>
      <w:bookmarkStart w:id="206" w:name="_Toc175062645"/>
      <w:bookmarkStart w:id="207" w:name="_Toc23716"/>
      <w:r>
        <w:rPr>
          <w:rFonts w:hint="eastAsia" w:ascii="宋体" w:hAnsi="宋体" w:cs="宋体"/>
          <w:b/>
          <w:bCs/>
          <w:color w:val="auto"/>
          <w:sz w:val="24"/>
          <w:szCs w:val="24"/>
          <w:highlight w:val="none"/>
        </w:rPr>
        <w:t>附件</w:t>
      </w:r>
      <w:r>
        <w:rPr>
          <w:rFonts w:hint="eastAsia" w:ascii="宋体" w:hAnsi="宋体" w:eastAsia="宋体" w:cs="宋体"/>
          <w:b/>
          <w:bCs/>
          <w:color w:val="auto"/>
          <w:sz w:val="24"/>
          <w:szCs w:val="24"/>
          <w:highlight w:val="none"/>
        </w:rPr>
        <w:t xml:space="preserve">3 </w:t>
      </w:r>
      <w:r>
        <w:rPr>
          <w:rFonts w:hint="eastAsia" w:ascii="宋体" w:hAnsi="宋体" w:eastAsia="宋体" w:cs="宋体"/>
          <w:color w:val="auto"/>
          <w:sz w:val="24"/>
          <w:szCs w:val="24"/>
          <w:highlight w:val="none"/>
        </w:rPr>
        <w:t xml:space="preserve"> </w:t>
      </w:r>
      <w:bookmarkEnd w:id="205"/>
      <w:bookmarkEnd w:id="206"/>
      <w:bookmarkEnd w:id="207"/>
      <w:bookmarkStart w:id="208" w:name="_Toc302360907"/>
      <w:bookmarkStart w:id="209" w:name="_Toc175062646"/>
      <w:bookmarkStart w:id="210" w:name="_Toc144556794"/>
      <w:bookmarkStart w:id="211" w:name="_Toc334525927"/>
      <w:bookmarkStart w:id="212" w:name="_Toc15794"/>
    </w:p>
    <w:p>
      <w:pPr>
        <w:spacing w:line="460" w:lineRule="atLeast"/>
        <w:jc w:val="center"/>
        <w:rPr>
          <w:rFonts w:hint="eastAsia" w:ascii="宋体" w:hAnsi="宋体"/>
          <w:b/>
          <w:bCs/>
          <w:color w:val="auto"/>
          <w:sz w:val="24"/>
          <w:szCs w:val="24"/>
          <w:highlight w:val="none"/>
        </w:rPr>
      </w:pPr>
      <w:r>
        <w:rPr>
          <w:rFonts w:hint="eastAsia" w:ascii="宋体" w:hAnsi="宋体"/>
          <w:b/>
          <w:bCs/>
          <w:color w:val="auto"/>
          <w:sz w:val="24"/>
          <w:szCs w:val="24"/>
          <w:highlight w:val="none"/>
        </w:rPr>
        <w:t>车辆常规保养维修项目价格明细表</w:t>
      </w:r>
    </w:p>
    <w:tbl>
      <w:tblPr>
        <w:tblStyle w:val="44"/>
        <w:tblW w:w="4997" w:type="pct"/>
        <w:tblInd w:w="0" w:type="dxa"/>
        <w:tblLayout w:type="autofit"/>
        <w:tblCellMar>
          <w:top w:w="0" w:type="dxa"/>
          <w:left w:w="108" w:type="dxa"/>
          <w:bottom w:w="0" w:type="dxa"/>
          <w:right w:w="108" w:type="dxa"/>
        </w:tblCellMar>
      </w:tblPr>
      <w:tblGrid>
        <w:gridCol w:w="706"/>
        <w:gridCol w:w="2286"/>
        <w:gridCol w:w="999"/>
        <w:gridCol w:w="999"/>
        <w:gridCol w:w="938"/>
        <w:gridCol w:w="865"/>
        <w:gridCol w:w="865"/>
        <w:gridCol w:w="865"/>
      </w:tblGrid>
      <w:tr>
        <w:tblPrEx>
          <w:tblCellMar>
            <w:top w:w="0" w:type="dxa"/>
            <w:left w:w="108" w:type="dxa"/>
            <w:bottom w:w="0" w:type="dxa"/>
            <w:right w:w="108" w:type="dxa"/>
          </w:tblCellMar>
        </w:tblPrEx>
        <w:trPr>
          <w:trHeight w:val="750" w:hRule="atLeast"/>
        </w:trPr>
        <w:tc>
          <w:tcPr>
            <w:tcW w:w="4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序号</w:t>
            </w:r>
          </w:p>
        </w:tc>
        <w:tc>
          <w:tcPr>
            <w:tcW w:w="1340"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保养、维修项目</w:t>
            </w:r>
          </w:p>
        </w:tc>
        <w:tc>
          <w:tcPr>
            <w:tcW w:w="586"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单位</w:t>
            </w:r>
          </w:p>
        </w:tc>
        <w:tc>
          <w:tcPr>
            <w:tcW w:w="586"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数量</w:t>
            </w:r>
          </w:p>
        </w:tc>
        <w:tc>
          <w:tcPr>
            <w:tcW w:w="550"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Times New Roman"/>
                <w:b w:val="0"/>
                <w:bCs/>
                <w:color w:val="auto"/>
                <w:sz w:val="21"/>
                <w:szCs w:val="21"/>
                <w:highlight w:val="none"/>
              </w:rPr>
              <w:t>大通牌</w:t>
            </w:r>
          </w:p>
        </w:tc>
        <w:tc>
          <w:tcPr>
            <w:tcW w:w="507"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Times New Roman"/>
                <w:b w:val="0"/>
                <w:bCs/>
                <w:color w:val="auto"/>
                <w:sz w:val="21"/>
                <w:szCs w:val="21"/>
                <w:highlight w:val="none"/>
              </w:rPr>
              <w:t>依维柯</w:t>
            </w:r>
          </w:p>
        </w:tc>
        <w:tc>
          <w:tcPr>
            <w:tcW w:w="507"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质保里程</w:t>
            </w:r>
          </w:p>
        </w:tc>
        <w:tc>
          <w:tcPr>
            <w:tcW w:w="507"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备注</w:t>
            </w:r>
          </w:p>
        </w:tc>
      </w:tr>
      <w:tr>
        <w:tblPrEx>
          <w:tblCellMar>
            <w:top w:w="0" w:type="dxa"/>
            <w:left w:w="108" w:type="dxa"/>
            <w:bottom w:w="0" w:type="dxa"/>
            <w:right w:w="108" w:type="dxa"/>
          </w:tblCellMar>
        </w:tblPrEx>
        <w:trPr>
          <w:trHeight w:val="390" w:hRule="atLeast"/>
        </w:trPr>
        <w:tc>
          <w:tcPr>
            <w:tcW w:w="414"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340"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例：更换机油机油格</w:t>
            </w:r>
          </w:p>
        </w:tc>
        <w:tc>
          <w:tcPr>
            <w:tcW w:w="586" w:type="pct"/>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r>
              <w:rPr>
                <w:rFonts w:hint="eastAsia" w:ascii="宋体" w:hAnsi="宋体" w:cs="宋体"/>
                <w:color w:val="auto"/>
                <w:kern w:val="0"/>
                <w:sz w:val="21"/>
                <w:szCs w:val="21"/>
                <w:highlight w:val="none"/>
              </w:rPr>
              <w:t>例：</w:t>
            </w:r>
            <w:r>
              <w:rPr>
                <w:rFonts w:hint="eastAsia" w:ascii="Times New Roman" w:hAnsi="Times New Roman" w:cs="Times New Roman"/>
                <w:color w:val="auto"/>
                <w:sz w:val="21"/>
                <w:szCs w:val="21"/>
                <w:highlight w:val="none"/>
              </w:rPr>
              <w:t>车副</w:t>
            </w:r>
          </w:p>
        </w:tc>
        <w:tc>
          <w:tcPr>
            <w:tcW w:w="586" w:type="pct"/>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r>
              <w:rPr>
                <w:rFonts w:hint="eastAsia" w:ascii="宋体" w:hAnsi="宋体" w:cs="宋体"/>
                <w:color w:val="auto"/>
                <w:kern w:val="0"/>
                <w:sz w:val="21"/>
                <w:szCs w:val="21"/>
                <w:highlight w:val="none"/>
              </w:rPr>
              <w:t>例：</w:t>
            </w:r>
            <w:r>
              <w:rPr>
                <w:rFonts w:hint="eastAsia" w:ascii="Times New Roman" w:hAnsi="Times New Roman" w:cs="Times New Roman"/>
                <w:color w:val="auto"/>
                <w:sz w:val="21"/>
                <w:szCs w:val="21"/>
                <w:highlight w:val="none"/>
              </w:rPr>
              <w:t>1</w:t>
            </w:r>
          </w:p>
        </w:tc>
        <w:tc>
          <w:tcPr>
            <w:tcW w:w="550"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507"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507"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507"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tblPrEx>
          <w:tblCellMar>
            <w:top w:w="0" w:type="dxa"/>
            <w:left w:w="108" w:type="dxa"/>
            <w:bottom w:w="0" w:type="dxa"/>
            <w:right w:w="108" w:type="dxa"/>
          </w:tblCellMar>
        </w:tblPrEx>
        <w:trPr>
          <w:trHeight w:val="390" w:hRule="atLeast"/>
        </w:trPr>
        <w:tc>
          <w:tcPr>
            <w:tcW w:w="414"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340"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p>
        </w:tc>
        <w:tc>
          <w:tcPr>
            <w:tcW w:w="586"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p>
        </w:tc>
        <w:tc>
          <w:tcPr>
            <w:tcW w:w="586"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p>
        </w:tc>
        <w:tc>
          <w:tcPr>
            <w:tcW w:w="550"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507"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507"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507"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tblPrEx>
          <w:tblCellMar>
            <w:top w:w="0" w:type="dxa"/>
            <w:left w:w="108" w:type="dxa"/>
            <w:bottom w:w="0" w:type="dxa"/>
            <w:right w:w="108" w:type="dxa"/>
          </w:tblCellMar>
        </w:tblPrEx>
        <w:trPr>
          <w:trHeight w:val="390" w:hRule="atLeast"/>
        </w:trPr>
        <w:tc>
          <w:tcPr>
            <w:tcW w:w="414"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340"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p>
        </w:tc>
        <w:tc>
          <w:tcPr>
            <w:tcW w:w="586"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p>
        </w:tc>
        <w:tc>
          <w:tcPr>
            <w:tcW w:w="586"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p>
        </w:tc>
        <w:tc>
          <w:tcPr>
            <w:tcW w:w="550"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507"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507"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507"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tblPrEx>
          <w:tblCellMar>
            <w:top w:w="0" w:type="dxa"/>
            <w:left w:w="108" w:type="dxa"/>
            <w:bottom w:w="0" w:type="dxa"/>
            <w:right w:w="108" w:type="dxa"/>
          </w:tblCellMar>
        </w:tblPrEx>
        <w:trPr>
          <w:trHeight w:val="390" w:hRule="atLeast"/>
        </w:trPr>
        <w:tc>
          <w:tcPr>
            <w:tcW w:w="414"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w:t>
            </w:r>
          </w:p>
        </w:tc>
        <w:tc>
          <w:tcPr>
            <w:tcW w:w="1340"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p>
        </w:tc>
        <w:tc>
          <w:tcPr>
            <w:tcW w:w="586"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p>
        </w:tc>
        <w:tc>
          <w:tcPr>
            <w:tcW w:w="586"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p>
        </w:tc>
        <w:tc>
          <w:tcPr>
            <w:tcW w:w="550"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507"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507"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507"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bl>
    <w:p>
      <w:pPr>
        <w:spacing w:line="420" w:lineRule="exact"/>
        <w:rPr>
          <w:rFonts w:hint="eastAsia" w:ascii="宋体" w:hAnsi="宋体"/>
          <w:color w:val="auto"/>
          <w:highlight w:val="none"/>
        </w:rPr>
      </w:pPr>
      <w:r>
        <w:rPr>
          <w:rFonts w:hint="eastAsia" w:ascii="宋体" w:hAnsi="宋体"/>
          <w:color w:val="auto"/>
          <w:highlight w:val="none"/>
        </w:rPr>
        <w:t>注：1、投标人按本表填写对应以上</w:t>
      </w:r>
      <w:r>
        <w:rPr>
          <w:rFonts w:hint="eastAsia" w:ascii="宋体" w:hAnsi="宋体"/>
          <w:color w:val="auto"/>
          <w:highlight w:val="none"/>
          <w:lang w:val="en-US" w:eastAsia="zh-CN"/>
        </w:rPr>
        <w:t>2</w:t>
      </w:r>
      <w:r>
        <w:rPr>
          <w:rFonts w:hint="eastAsia" w:ascii="宋体" w:hAnsi="宋体"/>
          <w:color w:val="auto"/>
          <w:highlight w:val="none"/>
        </w:rPr>
        <w:t>种常用车型的</w:t>
      </w:r>
      <w:r>
        <w:rPr>
          <w:rFonts w:hint="eastAsia" w:ascii="宋体" w:hAnsi="宋体" w:cs="宋体"/>
          <w:color w:val="auto"/>
          <w:kern w:val="0"/>
          <w:sz w:val="22"/>
          <w:szCs w:val="22"/>
          <w:highlight w:val="none"/>
        </w:rPr>
        <w:t>保养、维修项目</w:t>
      </w:r>
      <w:r>
        <w:rPr>
          <w:rFonts w:hint="eastAsia" w:ascii="宋体" w:hAnsi="宋体"/>
          <w:color w:val="auto"/>
          <w:highlight w:val="none"/>
        </w:rPr>
        <w:t>。</w:t>
      </w:r>
      <w:r>
        <w:rPr>
          <w:rFonts w:hint="eastAsia" w:ascii="宋体" w:hAnsi="宋体" w:cs="宋体"/>
          <w:color w:val="auto"/>
          <w:kern w:val="0"/>
          <w:sz w:val="22"/>
          <w:szCs w:val="22"/>
          <w:highlight w:val="none"/>
        </w:rPr>
        <w:t>保养、维修项目由投标人自行填写，要求详细、全面。</w:t>
      </w:r>
    </w:p>
    <w:p>
      <w:pPr>
        <w:spacing w:line="420" w:lineRule="exact"/>
        <w:ind w:firstLine="424" w:firstLineChars="202"/>
        <w:rPr>
          <w:rFonts w:hint="eastAsia" w:ascii="宋体" w:hAnsi="宋体"/>
          <w:color w:val="auto"/>
          <w:highlight w:val="none"/>
        </w:rPr>
      </w:pPr>
      <w:r>
        <w:rPr>
          <w:rFonts w:hint="eastAsia" w:ascii="宋体" w:hAnsi="宋体"/>
          <w:color w:val="auto"/>
          <w:highlight w:val="none"/>
        </w:rPr>
        <w:t>2、以上</w:t>
      </w:r>
      <w:r>
        <w:rPr>
          <w:rFonts w:hint="eastAsia" w:ascii="宋体" w:hAnsi="宋体"/>
          <w:color w:val="auto"/>
          <w:highlight w:val="none"/>
          <w:lang w:val="en-US" w:eastAsia="zh-CN"/>
        </w:rPr>
        <w:t>2</w:t>
      </w:r>
      <w:r>
        <w:rPr>
          <w:rFonts w:hint="eastAsia" w:ascii="宋体" w:hAnsi="宋体"/>
          <w:color w:val="auto"/>
          <w:highlight w:val="none"/>
        </w:rPr>
        <w:t>种仅为常用车型，实际服务期间车型包括但不限于以上</w:t>
      </w:r>
      <w:r>
        <w:rPr>
          <w:rFonts w:hint="eastAsia" w:ascii="宋体" w:hAnsi="宋体"/>
          <w:color w:val="auto"/>
          <w:highlight w:val="none"/>
          <w:lang w:val="en-US" w:eastAsia="zh-CN"/>
        </w:rPr>
        <w:t>2</w:t>
      </w:r>
      <w:r>
        <w:rPr>
          <w:rFonts w:hint="eastAsia" w:ascii="宋体" w:hAnsi="宋体"/>
          <w:color w:val="auto"/>
          <w:highlight w:val="none"/>
        </w:rPr>
        <w:t>种。以实际签订合同为准</w:t>
      </w:r>
    </w:p>
    <w:p>
      <w:pPr>
        <w:spacing w:line="420" w:lineRule="exact"/>
        <w:ind w:firstLine="424" w:firstLineChars="202"/>
        <w:rPr>
          <w:rFonts w:hint="eastAsia" w:ascii="宋体" w:hAnsi="宋体"/>
          <w:color w:val="auto"/>
          <w:highlight w:val="none"/>
        </w:rPr>
      </w:pPr>
      <w:r>
        <w:rPr>
          <w:rFonts w:hint="eastAsia" w:ascii="宋体" w:hAnsi="宋体"/>
          <w:color w:val="auto"/>
          <w:highlight w:val="none"/>
        </w:rPr>
        <w:t>3、本表报价不作为价格评分因素。</w:t>
      </w:r>
    </w:p>
    <w:p>
      <w:pPr>
        <w:spacing w:line="460" w:lineRule="exact"/>
        <w:rPr>
          <w:rFonts w:hint="eastAsia" w:ascii="宋体" w:hAnsi="宋体"/>
          <w:color w:val="auto"/>
          <w:sz w:val="21"/>
          <w:szCs w:val="21"/>
          <w:highlight w:val="none"/>
        </w:rPr>
      </w:pPr>
    </w:p>
    <w:p>
      <w:pPr>
        <w:spacing w:line="460" w:lineRule="exact"/>
        <w:rPr>
          <w:rFonts w:hint="eastAsia" w:ascii="宋体" w:hAnsi="宋体"/>
          <w:color w:val="auto"/>
          <w:sz w:val="21"/>
          <w:szCs w:val="21"/>
          <w:highlight w:val="none"/>
        </w:rPr>
      </w:pPr>
      <w:r>
        <w:rPr>
          <w:rFonts w:hint="eastAsia" w:ascii="宋体" w:hAnsi="宋体"/>
          <w:color w:val="auto"/>
          <w:sz w:val="21"/>
          <w:szCs w:val="21"/>
          <w:highlight w:val="none"/>
        </w:rPr>
        <w:t>投标人（全称并加盖公章）：</w:t>
      </w:r>
      <w:r>
        <w:rPr>
          <w:rFonts w:hint="eastAsia" w:ascii="宋体" w:hAnsi="宋体"/>
          <w:color w:val="auto"/>
          <w:sz w:val="21"/>
          <w:szCs w:val="21"/>
          <w:highlight w:val="none"/>
          <w:u w:val="single"/>
        </w:rPr>
        <w:t xml:space="preserve">              </w:t>
      </w:r>
    </w:p>
    <w:p>
      <w:pPr>
        <w:spacing w:line="460" w:lineRule="exact"/>
        <w:rPr>
          <w:rFonts w:hint="eastAsia" w:ascii="宋体" w:hAnsi="宋体"/>
          <w:color w:val="auto"/>
          <w:sz w:val="21"/>
          <w:szCs w:val="21"/>
          <w:highlight w:val="none"/>
        </w:rPr>
      </w:pPr>
      <w:r>
        <w:rPr>
          <w:rFonts w:hint="eastAsia" w:ascii="宋体" w:hAnsi="宋体"/>
          <w:color w:val="auto"/>
          <w:sz w:val="21"/>
          <w:szCs w:val="21"/>
          <w:highlight w:val="none"/>
        </w:rPr>
        <w:t>投标人代表（签字）：</w:t>
      </w:r>
      <w:r>
        <w:rPr>
          <w:rFonts w:hint="eastAsia" w:ascii="宋体" w:hAnsi="宋体"/>
          <w:color w:val="auto"/>
          <w:sz w:val="21"/>
          <w:szCs w:val="21"/>
          <w:highlight w:val="none"/>
          <w:u w:val="single"/>
        </w:rPr>
        <w:t xml:space="preserve">              </w:t>
      </w:r>
    </w:p>
    <w:p>
      <w:pPr>
        <w:spacing w:line="460" w:lineRule="exact"/>
        <w:rPr>
          <w:rFonts w:hint="eastAsia" w:ascii="宋体" w:hAnsi="宋体"/>
          <w:color w:val="auto"/>
          <w:sz w:val="21"/>
          <w:szCs w:val="21"/>
          <w:highlight w:val="none"/>
        </w:rPr>
      </w:pPr>
      <w:r>
        <w:rPr>
          <w:rFonts w:hint="eastAsia" w:ascii="宋体" w:hAnsi="宋体"/>
          <w:color w:val="auto"/>
          <w:sz w:val="21"/>
          <w:szCs w:val="21"/>
          <w:highlight w:val="none"/>
        </w:rPr>
        <w:t>日期:20</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spacing w:line="460" w:lineRule="atLeast"/>
        <w:jc w:val="center"/>
        <w:rPr>
          <w:rFonts w:hint="eastAsia" w:ascii="宋体" w:hAnsi="宋体"/>
          <w:b/>
          <w:bCs/>
          <w:color w:val="auto"/>
          <w:sz w:val="30"/>
          <w:szCs w:val="30"/>
          <w:highlight w:val="none"/>
        </w:rPr>
      </w:pPr>
    </w:p>
    <w:p>
      <w:pPr>
        <w:pStyle w:val="2"/>
        <w:rPr>
          <w:rFonts w:hint="default" w:ascii="宋体" w:hAnsi="宋体" w:eastAsia="宋体"/>
          <w:i/>
          <w:iCs/>
          <w:color w:val="auto"/>
          <w:sz w:val="21"/>
          <w:szCs w:val="21"/>
          <w:highlight w:val="none"/>
          <w:lang w:val="en-US" w:eastAsia="zh-CN"/>
        </w:rPr>
      </w:pPr>
      <w:r>
        <w:rPr>
          <w:rFonts w:hint="eastAsia"/>
          <w:i/>
          <w:iCs/>
          <w:color w:val="auto"/>
          <w:sz w:val="21"/>
          <w:szCs w:val="21"/>
          <w:highlight w:val="none"/>
          <w:lang w:val="en-US" w:eastAsia="zh-CN"/>
        </w:rPr>
        <w:t>注:附件3内容投标人根据所投包进行填写，未参加投标包删除即可。</w:t>
      </w:r>
    </w:p>
    <w:p>
      <w:pPr>
        <w:pStyle w:val="2"/>
        <w:rPr>
          <w:rFonts w:hint="default" w:ascii="宋体" w:hAnsi="宋体" w:eastAsia="宋体"/>
          <w:i/>
          <w:iCs/>
          <w:color w:val="auto"/>
          <w:sz w:val="21"/>
          <w:szCs w:val="21"/>
          <w:highlight w:val="none"/>
          <w:lang w:val="en-US" w:eastAsia="zh-CN"/>
        </w:rPr>
      </w:pPr>
    </w:p>
    <w:p>
      <w:pPr>
        <w:spacing w:line="460" w:lineRule="exact"/>
        <w:rPr>
          <w:rFonts w:hint="eastAsia" w:ascii="宋体" w:hAnsi="宋体"/>
          <w:color w:val="auto"/>
          <w:sz w:val="24"/>
          <w:highlight w:val="none"/>
        </w:rPr>
      </w:pPr>
    </w:p>
    <w:p>
      <w:pPr>
        <w:spacing w:line="460" w:lineRule="exact"/>
        <w:rPr>
          <w:rFonts w:hint="eastAsia" w:ascii="宋体" w:hAnsi="宋体"/>
          <w:color w:val="auto"/>
          <w:sz w:val="24"/>
          <w:highlight w:val="none"/>
        </w:rPr>
      </w:pPr>
    </w:p>
    <w:bookmarkEnd w:id="208"/>
    <w:bookmarkEnd w:id="209"/>
    <w:bookmarkEnd w:id="210"/>
    <w:bookmarkEnd w:id="211"/>
    <w:bookmarkEnd w:id="212"/>
    <w:p>
      <w:pPr>
        <w:pStyle w:val="21"/>
        <w:rPr>
          <w:rFonts w:hint="eastAsia" w:hAnsi="宋体" w:cs="宋体"/>
          <w:color w:val="auto"/>
          <w:szCs w:val="21"/>
          <w:highlight w:val="none"/>
        </w:rPr>
      </w:pPr>
    </w:p>
    <w:p>
      <w:pPr>
        <w:pStyle w:val="21"/>
        <w:rPr>
          <w:rFonts w:hint="eastAsia" w:hAnsi="宋体" w:cs="宋体"/>
          <w:color w:val="auto"/>
          <w:szCs w:val="21"/>
          <w:highlight w:val="none"/>
        </w:rPr>
      </w:pPr>
    </w:p>
    <w:p>
      <w:pPr>
        <w:pStyle w:val="21"/>
        <w:rPr>
          <w:rFonts w:hint="eastAsia" w:hAnsi="宋体" w:cs="宋体"/>
          <w:color w:val="auto"/>
          <w:szCs w:val="21"/>
          <w:highlight w:val="none"/>
        </w:rPr>
        <w:sectPr>
          <w:pgSz w:w="11906" w:h="16838"/>
          <w:pgMar w:top="1440" w:right="1797" w:bottom="1440" w:left="1797" w:header="851" w:footer="992" w:gutter="0"/>
          <w:cols w:space="720" w:num="1"/>
          <w:docGrid w:linePitch="312" w:charSpace="0"/>
        </w:sectPr>
      </w:pPr>
    </w:p>
    <w:p>
      <w:pPr>
        <w:pStyle w:val="31"/>
        <w:spacing w:before="120" w:beforeLines="50" w:after="120" w:afterLines="50" w:line="360" w:lineRule="auto"/>
        <w:rPr>
          <w:rFonts w:hint="eastAsia" w:ascii="宋体" w:hAnsi="宋体" w:cs="宋体"/>
          <w:color w:val="auto"/>
          <w:sz w:val="21"/>
          <w:szCs w:val="21"/>
          <w:highlight w:val="none"/>
        </w:rPr>
      </w:pPr>
      <w:bookmarkStart w:id="213" w:name="_Toc302360908"/>
      <w:bookmarkStart w:id="214" w:name="_Toc175062647"/>
      <w:bookmarkStart w:id="215" w:name="_Toc144556795"/>
      <w:bookmarkStart w:id="216" w:name="_Toc28588"/>
      <w:r>
        <w:rPr>
          <w:rFonts w:hint="eastAsia" w:ascii="宋体" w:hAnsi="宋体" w:cs="宋体"/>
          <w:color w:val="auto"/>
          <w:sz w:val="21"/>
          <w:szCs w:val="21"/>
          <w:highlight w:val="none"/>
        </w:rPr>
        <w:t>附件</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 xml:space="preserve">  技术规格偏离表</w:t>
      </w:r>
      <w:bookmarkEnd w:id="213"/>
      <w:bookmarkEnd w:id="214"/>
      <w:bookmarkEnd w:id="215"/>
      <w:r>
        <w:rPr>
          <w:rFonts w:hint="eastAsia" w:ascii="宋体" w:hAnsi="宋体" w:cs="宋体"/>
          <w:color w:val="auto"/>
          <w:sz w:val="21"/>
          <w:szCs w:val="21"/>
          <w:highlight w:val="none"/>
        </w:rPr>
        <w:t>（格式）</w:t>
      </w:r>
      <w:bookmarkEnd w:id="216"/>
    </w:p>
    <w:p>
      <w:pPr>
        <w:pStyle w:val="2"/>
        <w:spacing w:before="0" w:line="240" w:lineRule="auto"/>
        <w:jc w:val="left"/>
        <w:rPr>
          <w:rFonts w:hint="eastAsia" w:cs="宋体"/>
          <w:b/>
          <w:color w:val="auto"/>
          <w:sz w:val="21"/>
          <w:szCs w:val="21"/>
          <w:highlight w:val="none"/>
        </w:rPr>
      </w:pPr>
    </w:p>
    <w:p>
      <w:pPr>
        <w:pStyle w:val="21"/>
        <w:spacing w:line="360" w:lineRule="auto"/>
        <w:jc w:val="left"/>
        <w:rPr>
          <w:rFonts w:hint="eastAsia" w:hAnsi="宋体" w:cs="宋体"/>
          <w:color w:val="auto"/>
          <w:szCs w:val="21"/>
          <w:highlight w:val="none"/>
        </w:rPr>
      </w:pPr>
      <w:r>
        <w:rPr>
          <w:rFonts w:hint="eastAsia" w:hAnsi="宋体" w:cs="宋体"/>
          <w:color w:val="auto"/>
          <w:szCs w:val="21"/>
          <w:highlight w:val="none"/>
        </w:rPr>
        <w:t xml:space="preserve">招标编号：                                                                      项目名称：     </w:t>
      </w:r>
    </w:p>
    <w:p>
      <w:pPr>
        <w:pStyle w:val="21"/>
        <w:spacing w:line="360" w:lineRule="auto"/>
        <w:jc w:val="left"/>
        <w:rPr>
          <w:rFonts w:hint="eastAsia" w:hAnsi="宋体" w:cs="宋体"/>
          <w:color w:val="auto"/>
          <w:szCs w:val="21"/>
          <w:highlight w:val="none"/>
        </w:rPr>
      </w:pPr>
      <w:r>
        <w:rPr>
          <w:rFonts w:hint="eastAsia" w:ascii="宋体" w:hAnsi="宋体" w:cs="宋体"/>
          <w:color w:val="auto"/>
          <w:szCs w:val="21"/>
          <w:highlight w:val="none"/>
          <w:lang w:val="en-US" w:eastAsia="zh-CN"/>
        </w:rPr>
        <w:t>包号：</w:t>
      </w:r>
      <w:r>
        <w:rPr>
          <w:rFonts w:hint="eastAsia" w:ascii="宋体" w:hAnsi="宋体" w:cs="宋体"/>
          <w:color w:val="auto"/>
          <w:szCs w:val="21"/>
          <w:highlight w:val="none"/>
        </w:rPr>
        <w:t xml:space="preserve">  </w:t>
      </w:r>
      <w:r>
        <w:rPr>
          <w:rFonts w:hint="eastAsia" w:hAnsi="宋体" w:cs="宋体"/>
          <w:color w:val="auto"/>
          <w:szCs w:val="21"/>
          <w:highlight w:val="none"/>
        </w:rPr>
        <w:t xml:space="preserve">                                                                </w:t>
      </w:r>
    </w:p>
    <w:tbl>
      <w:tblPr>
        <w:tblStyle w:val="44"/>
        <w:tblW w:w="8016" w:type="dxa"/>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652"/>
        <w:gridCol w:w="1252"/>
        <w:gridCol w:w="1443"/>
        <w:gridCol w:w="1443"/>
        <w:gridCol w:w="1443"/>
        <w:gridCol w:w="996"/>
        <w:gridCol w:w="787"/>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8" w:hRule="atLeast"/>
        </w:trPr>
        <w:tc>
          <w:tcPr>
            <w:tcW w:w="652"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b/>
                <w:color w:val="auto"/>
                <w:szCs w:val="21"/>
                <w:highlight w:val="none"/>
              </w:rPr>
            </w:pPr>
            <w:r>
              <w:rPr>
                <w:rFonts w:hint="eastAsia" w:hAnsi="宋体" w:cs="宋体"/>
                <w:b/>
                <w:color w:val="auto"/>
                <w:szCs w:val="21"/>
                <w:highlight w:val="none"/>
              </w:rPr>
              <w:t>序号</w:t>
            </w:r>
          </w:p>
        </w:tc>
        <w:tc>
          <w:tcPr>
            <w:tcW w:w="1252"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b/>
                <w:color w:val="auto"/>
                <w:szCs w:val="21"/>
                <w:highlight w:val="none"/>
              </w:rPr>
            </w:pPr>
            <w:r>
              <w:rPr>
                <w:rFonts w:hint="eastAsia" w:hAnsi="宋体" w:cs="宋体"/>
                <w:b/>
                <w:color w:val="auto"/>
                <w:szCs w:val="21"/>
                <w:highlight w:val="none"/>
              </w:rPr>
              <w:t>服务名称</w:t>
            </w:r>
          </w:p>
        </w:tc>
        <w:tc>
          <w:tcPr>
            <w:tcW w:w="1443"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b/>
                <w:color w:val="auto"/>
                <w:szCs w:val="21"/>
                <w:highlight w:val="none"/>
              </w:rPr>
            </w:pPr>
            <w:r>
              <w:rPr>
                <w:rFonts w:hint="eastAsia" w:hAnsi="宋体" w:cs="宋体"/>
                <w:b/>
                <w:color w:val="auto"/>
                <w:szCs w:val="21"/>
                <w:highlight w:val="none"/>
              </w:rPr>
              <w:t>项目</w:t>
            </w:r>
          </w:p>
        </w:tc>
        <w:tc>
          <w:tcPr>
            <w:tcW w:w="1443"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b/>
                <w:color w:val="auto"/>
                <w:szCs w:val="21"/>
                <w:highlight w:val="none"/>
              </w:rPr>
            </w:pPr>
            <w:r>
              <w:rPr>
                <w:rFonts w:hint="eastAsia" w:hAnsi="宋体" w:cs="宋体"/>
                <w:b/>
                <w:color w:val="auto"/>
                <w:szCs w:val="21"/>
                <w:highlight w:val="none"/>
              </w:rPr>
              <w:t>招标规格</w:t>
            </w:r>
          </w:p>
        </w:tc>
        <w:tc>
          <w:tcPr>
            <w:tcW w:w="1443"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b/>
                <w:color w:val="auto"/>
                <w:szCs w:val="21"/>
                <w:highlight w:val="none"/>
              </w:rPr>
            </w:pPr>
            <w:r>
              <w:rPr>
                <w:rFonts w:hint="eastAsia" w:hAnsi="宋体" w:cs="宋体"/>
                <w:b/>
                <w:color w:val="auto"/>
                <w:szCs w:val="21"/>
                <w:highlight w:val="none"/>
              </w:rPr>
              <w:t>投标规格</w:t>
            </w:r>
          </w:p>
        </w:tc>
        <w:tc>
          <w:tcPr>
            <w:tcW w:w="996"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b/>
                <w:color w:val="auto"/>
                <w:szCs w:val="21"/>
                <w:highlight w:val="none"/>
              </w:rPr>
            </w:pPr>
            <w:r>
              <w:rPr>
                <w:rFonts w:hint="eastAsia" w:hAnsi="宋体" w:cs="宋体"/>
                <w:b/>
                <w:color w:val="auto"/>
                <w:szCs w:val="21"/>
                <w:highlight w:val="none"/>
              </w:rPr>
              <w:t>偏离</w:t>
            </w:r>
          </w:p>
        </w:tc>
        <w:tc>
          <w:tcPr>
            <w:tcW w:w="787"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b/>
                <w:color w:val="auto"/>
                <w:szCs w:val="21"/>
                <w:highlight w:val="none"/>
              </w:rPr>
            </w:pPr>
            <w:r>
              <w:rPr>
                <w:rFonts w:hint="eastAsia" w:hAnsi="宋体" w:cs="宋体"/>
                <w:b/>
                <w:color w:val="auto"/>
                <w:szCs w:val="21"/>
                <w:highlight w:val="none"/>
              </w:rPr>
              <w:t>说明</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1252"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1443"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1443"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1443"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996"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787"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1252"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1443"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1443"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1443"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996"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787"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1252"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1443"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1443"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1443"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996"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787"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8" w:hRule="atLeast"/>
        </w:trPr>
        <w:tc>
          <w:tcPr>
            <w:tcW w:w="652"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1252"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1443"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1443"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1443"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996"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787"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1252"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1443"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1443"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1443"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996"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787"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1252"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1443"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1443"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1443"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996"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787"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1252"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1443"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1443"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1443"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996"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787"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1252"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1443"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1443"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1443"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996"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787"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1252"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1443"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1443"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1443"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996"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787"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1252"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1443"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1443"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1443"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996"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787"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8" w:hRule="atLeast"/>
        </w:trPr>
        <w:tc>
          <w:tcPr>
            <w:tcW w:w="652"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1252"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1443"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1443"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1443"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996"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c>
          <w:tcPr>
            <w:tcW w:w="787" w:type="dxa"/>
            <w:noWrap w:val="0"/>
            <w:vAlign w:val="top"/>
          </w:tcPr>
          <w:p>
            <w:pPr>
              <w:pStyle w:val="21"/>
              <w:keepNext w:val="0"/>
              <w:keepLines w:val="0"/>
              <w:suppressLineNumbers w:val="0"/>
              <w:spacing w:before="0" w:beforeAutospacing="0" w:after="0" w:afterAutospacing="0"/>
              <w:ind w:left="0" w:right="0"/>
              <w:rPr>
                <w:rFonts w:hint="eastAsia" w:hAnsi="宋体" w:cs="宋体"/>
                <w:color w:val="auto"/>
                <w:szCs w:val="21"/>
                <w:highlight w:val="none"/>
              </w:rPr>
            </w:pPr>
          </w:p>
        </w:tc>
      </w:tr>
    </w:tbl>
    <w:p>
      <w:pPr>
        <w:pStyle w:val="2"/>
        <w:spacing w:before="0" w:line="240" w:lineRule="auto"/>
        <w:jc w:val="center"/>
        <w:rPr>
          <w:rFonts w:hint="eastAsia" w:cs="宋体"/>
          <w:b/>
          <w:color w:val="auto"/>
          <w:sz w:val="21"/>
          <w:szCs w:val="21"/>
          <w:highlight w:val="none"/>
        </w:rPr>
      </w:pPr>
    </w:p>
    <w:p>
      <w:pPr>
        <w:tabs>
          <w:tab w:val="left" w:pos="5580"/>
        </w:tabs>
        <w:spacing w:before="120"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投标人名称（盖章）：</w:t>
      </w:r>
      <w:r>
        <w:rPr>
          <w:rFonts w:hint="eastAsia" w:ascii="宋体" w:hAnsi="宋体" w:cs="宋体"/>
          <w:color w:val="auto"/>
          <w:szCs w:val="21"/>
          <w:highlight w:val="none"/>
          <w:u w:val="single"/>
        </w:rPr>
        <w:tab/>
      </w:r>
    </w:p>
    <w:p>
      <w:pPr>
        <w:tabs>
          <w:tab w:val="left" w:pos="5580"/>
        </w:tabs>
        <w:spacing w:before="120"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授权代表姓名（签字</w:t>
      </w:r>
      <w:r>
        <w:rPr>
          <w:rFonts w:hint="eastAsia" w:hAnsi="宋体" w:cs="宋体"/>
          <w:color w:val="auto"/>
          <w:szCs w:val="21"/>
          <w:highlight w:val="none"/>
        </w:rPr>
        <w:t>或盖章</w:t>
      </w:r>
      <w:r>
        <w:rPr>
          <w:rFonts w:hint="eastAsia" w:ascii="宋体" w:hAnsi="宋体" w:cs="宋体"/>
          <w:color w:val="auto"/>
          <w:szCs w:val="21"/>
          <w:highlight w:val="none"/>
        </w:rPr>
        <w:t>）：</w:t>
      </w:r>
      <w:r>
        <w:rPr>
          <w:rFonts w:hint="eastAsia" w:ascii="宋体" w:hAnsi="宋体" w:cs="宋体"/>
          <w:color w:val="auto"/>
          <w:szCs w:val="21"/>
          <w:highlight w:val="none"/>
          <w:u w:val="single"/>
        </w:rPr>
        <w:tab/>
      </w:r>
    </w:p>
    <w:p>
      <w:pPr>
        <w:tabs>
          <w:tab w:val="left" w:pos="4620"/>
        </w:tabs>
        <w:spacing w:before="120" w:beforeLines="50" w:line="360" w:lineRule="auto"/>
        <w:rPr>
          <w:rFonts w:hint="eastAsia" w:ascii="宋体" w:hAnsi="宋体" w:cs="宋体"/>
          <w:b/>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rPr>
          <w:rFonts w:hint="eastAsia" w:ascii="宋体" w:hAnsi="宋体" w:cs="宋体"/>
          <w:color w:val="auto"/>
          <w:szCs w:val="21"/>
          <w:highlight w:val="none"/>
        </w:rPr>
        <w:sectPr>
          <w:pgSz w:w="11906" w:h="16838"/>
          <w:pgMar w:top="1440" w:right="1797" w:bottom="1440" w:left="1797" w:header="851" w:footer="992" w:gutter="0"/>
          <w:cols w:space="720" w:num="1"/>
          <w:docGrid w:linePitch="312" w:charSpace="0"/>
        </w:sectPr>
      </w:pPr>
    </w:p>
    <w:p>
      <w:pPr>
        <w:pStyle w:val="31"/>
        <w:spacing w:before="120" w:beforeLines="50" w:after="120" w:afterLines="50" w:line="360" w:lineRule="auto"/>
        <w:rPr>
          <w:rFonts w:hint="eastAsia" w:ascii="宋体" w:hAnsi="宋体" w:cs="宋体"/>
          <w:color w:val="auto"/>
          <w:sz w:val="21"/>
          <w:szCs w:val="21"/>
          <w:highlight w:val="none"/>
        </w:rPr>
      </w:pPr>
      <w:bookmarkStart w:id="217" w:name="_Toc144556796"/>
      <w:bookmarkStart w:id="218" w:name="_Toc175062648"/>
      <w:bookmarkStart w:id="219" w:name="_Toc302360909"/>
      <w:bookmarkStart w:id="220" w:name="_Toc29245"/>
      <w:r>
        <w:rPr>
          <w:rFonts w:hint="eastAsia" w:ascii="宋体" w:hAnsi="宋体" w:cs="宋体"/>
          <w:color w:val="auto"/>
          <w:sz w:val="21"/>
          <w:szCs w:val="21"/>
          <w:highlight w:val="none"/>
        </w:rPr>
        <w:t>附件</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 xml:space="preserve">  商务条款偏离表</w:t>
      </w:r>
      <w:bookmarkEnd w:id="217"/>
      <w:bookmarkEnd w:id="218"/>
      <w:bookmarkEnd w:id="219"/>
      <w:r>
        <w:rPr>
          <w:rFonts w:hint="eastAsia" w:ascii="宋体" w:hAnsi="宋体" w:cs="宋体"/>
          <w:color w:val="auto"/>
          <w:sz w:val="21"/>
          <w:szCs w:val="21"/>
          <w:highlight w:val="none"/>
        </w:rPr>
        <w:t>（格式）</w:t>
      </w:r>
      <w:bookmarkEnd w:id="220"/>
    </w:p>
    <w:p>
      <w:pPr>
        <w:pStyle w:val="2"/>
        <w:spacing w:before="0" w:line="240" w:lineRule="auto"/>
        <w:jc w:val="center"/>
        <w:rPr>
          <w:rFonts w:hint="eastAsia" w:cs="宋体"/>
          <w:b/>
          <w:color w:val="auto"/>
          <w:sz w:val="21"/>
          <w:szCs w:val="21"/>
          <w:highlight w:val="none"/>
        </w:rPr>
      </w:pPr>
    </w:p>
    <w:p>
      <w:pPr>
        <w:pStyle w:val="21"/>
        <w:spacing w:line="360" w:lineRule="auto"/>
        <w:rPr>
          <w:rFonts w:hint="eastAsia" w:hAnsi="宋体" w:cs="宋体"/>
          <w:color w:val="auto"/>
          <w:szCs w:val="21"/>
          <w:highlight w:val="none"/>
        </w:rPr>
      </w:pPr>
      <w:r>
        <w:rPr>
          <w:rFonts w:hint="eastAsia" w:hAnsi="宋体" w:cs="宋体"/>
          <w:color w:val="auto"/>
          <w:szCs w:val="21"/>
          <w:highlight w:val="none"/>
        </w:rPr>
        <w:t xml:space="preserve">招标编号：                                                               </w:t>
      </w:r>
    </w:p>
    <w:p>
      <w:pPr>
        <w:pStyle w:val="21"/>
        <w:spacing w:line="360" w:lineRule="auto"/>
        <w:rPr>
          <w:rFonts w:hint="eastAsia" w:hAnsi="宋体" w:cs="宋体"/>
          <w:color w:val="auto"/>
          <w:szCs w:val="21"/>
          <w:highlight w:val="none"/>
        </w:rPr>
      </w:pPr>
      <w:r>
        <w:rPr>
          <w:rFonts w:hint="eastAsia" w:hAnsi="宋体" w:cs="宋体"/>
          <w:color w:val="auto"/>
          <w:szCs w:val="21"/>
          <w:highlight w:val="none"/>
        </w:rPr>
        <w:t xml:space="preserve">项目名称：   </w:t>
      </w:r>
    </w:p>
    <w:p>
      <w:pPr>
        <w:pStyle w:val="21"/>
        <w:spacing w:line="360" w:lineRule="auto"/>
        <w:rPr>
          <w:rFonts w:hint="eastAsia" w:hAnsi="宋体" w:cs="宋体"/>
          <w:color w:val="auto"/>
          <w:szCs w:val="21"/>
          <w:highlight w:val="none"/>
        </w:rPr>
      </w:pPr>
      <w:r>
        <w:rPr>
          <w:rFonts w:hint="eastAsia" w:ascii="宋体" w:hAnsi="宋体" w:cs="宋体"/>
          <w:color w:val="auto"/>
          <w:szCs w:val="21"/>
          <w:highlight w:val="none"/>
          <w:lang w:val="en-US" w:eastAsia="zh-CN"/>
        </w:rPr>
        <w:t>包号：</w:t>
      </w:r>
      <w:r>
        <w:rPr>
          <w:rFonts w:hint="eastAsia" w:ascii="宋体" w:hAnsi="宋体" w:cs="宋体"/>
          <w:color w:val="auto"/>
          <w:szCs w:val="21"/>
          <w:highlight w:val="none"/>
        </w:rPr>
        <w:t xml:space="preserve">  </w:t>
      </w:r>
      <w:r>
        <w:rPr>
          <w:rFonts w:hint="eastAsia" w:hAnsi="宋体" w:cs="宋体"/>
          <w:color w:val="auto"/>
          <w:szCs w:val="21"/>
          <w:highlight w:val="none"/>
        </w:rPr>
        <w:t xml:space="preserve">                                              </w:t>
      </w:r>
    </w:p>
    <w:tbl>
      <w:tblPr>
        <w:tblStyle w:val="44"/>
        <w:tblW w:w="0" w:type="auto"/>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552"/>
        <w:gridCol w:w="1959"/>
        <w:gridCol w:w="1958"/>
        <w:gridCol w:w="1958"/>
        <w:gridCol w:w="652"/>
        <w:gridCol w:w="1079"/>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789" w:hRule="atLeast"/>
        </w:trPr>
        <w:tc>
          <w:tcPr>
            <w:tcW w:w="552"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b/>
                <w:color w:val="auto"/>
                <w:szCs w:val="21"/>
                <w:highlight w:val="none"/>
              </w:rPr>
            </w:pPr>
            <w:r>
              <w:rPr>
                <w:rFonts w:hint="eastAsia" w:hAnsi="宋体" w:cs="宋体"/>
                <w:b/>
                <w:color w:val="auto"/>
                <w:szCs w:val="21"/>
                <w:highlight w:val="none"/>
              </w:rPr>
              <w:t>序号</w:t>
            </w:r>
          </w:p>
        </w:tc>
        <w:tc>
          <w:tcPr>
            <w:tcW w:w="1959"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b/>
                <w:color w:val="auto"/>
                <w:szCs w:val="21"/>
                <w:highlight w:val="none"/>
              </w:rPr>
            </w:pPr>
            <w:r>
              <w:rPr>
                <w:rFonts w:hint="eastAsia" w:hAnsi="宋体" w:cs="宋体"/>
                <w:b/>
                <w:color w:val="auto"/>
                <w:szCs w:val="21"/>
                <w:highlight w:val="none"/>
              </w:rPr>
              <w:t>招标文件条款号</w:t>
            </w:r>
          </w:p>
        </w:tc>
        <w:tc>
          <w:tcPr>
            <w:tcW w:w="1958"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b/>
                <w:color w:val="auto"/>
                <w:szCs w:val="21"/>
                <w:highlight w:val="none"/>
              </w:rPr>
            </w:pPr>
            <w:r>
              <w:rPr>
                <w:rFonts w:hint="eastAsia" w:hAnsi="宋体" w:cs="宋体"/>
                <w:b/>
                <w:color w:val="auto"/>
                <w:szCs w:val="21"/>
                <w:highlight w:val="none"/>
              </w:rPr>
              <w:t>招标文件的商务条款</w:t>
            </w:r>
          </w:p>
        </w:tc>
        <w:tc>
          <w:tcPr>
            <w:tcW w:w="1958"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b/>
                <w:color w:val="auto"/>
                <w:szCs w:val="21"/>
                <w:highlight w:val="none"/>
              </w:rPr>
            </w:pPr>
            <w:r>
              <w:rPr>
                <w:rFonts w:hint="eastAsia" w:hAnsi="宋体" w:cs="宋体"/>
                <w:b/>
                <w:color w:val="auto"/>
                <w:szCs w:val="21"/>
                <w:highlight w:val="none"/>
              </w:rPr>
              <w:t>投标文件的商务条款</w:t>
            </w:r>
          </w:p>
        </w:tc>
        <w:tc>
          <w:tcPr>
            <w:tcW w:w="652"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b/>
                <w:color w:val="auto"/>
                <w:szCs w:val="21"/>
                <w:highlight w:val="none"/>
              </w:rPr>
            </w:pPr>
            <w:r>
              <w:rPr>
                <w:rFonts w:hint="eastAsia" w:hAnsi="宋体" w:cs="宋体"/>
                <w:b/>
                <w:color w:val="auto"/>
                <w:szCs w:val="21"/>
                <w:highlight w:val="none"/>
              </w:rPr>
              <w:t>偏离</w:t>
            </w:r>
          </w:p>
        </w:tc>
        <w:tc>
          <w:tcPr>
            <w:tcW w:w="1079"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b/>
                <w:color w:val="auto"/>
                <w:szCs w:val="21"/>
                <w:highlight w:val="none"/>
              </w:rPr>
            </w:pPr>
            <w:r>
              <w:rPr>
                <w:rFonts w:hint="eastAsia" w:hAnsi="宋体" w:cs="宋体"/>
                <w:b/>
                <w:color w:val="auto"/>
                <w:szCs w:val="21"/>
                <w:highlight w:val="none"/>
              </w:rPr>
              <w:t>说明</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87" w:hRule="atLeast"/>
        </w:trPr>
        <w:tc>
          <w:tcPr>
            <w:tcW w:w="552"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1959"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1958"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1958"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652"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1079"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87" w:hRule="atLeast"/>
        </w:trPr>
        <w:tc>
          <w:tcPr>
            <w:tcW w:w="552"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1959"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1958"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1958"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652"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1079"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87" w:hRule="atLeast"/>
        </w:trPr>
        <w:tc>
          <w:tcPr>
            <w:tcW w:w="552"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1959"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1958"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1958"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652"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1079"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87" w:hRule="atLeast"/>
        </w:trPr>
        <w:tc>
          <w:tcPr>
            <w:tcW w:w="552"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1959"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1958"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1958"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652"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1079"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87" w:hRule="atLeast"/>
        </w:trPr>
        <w:tc>
          <w:tcPr>
            <w:tcW w:w="552"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1959"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1958"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1958"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652"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1079"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87" w:hRule="atLeast"/>
        </w:trPr>
        <w:tc>
          <w:tcPr>
            <w:tcW w:w="552"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1959"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1958"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1958"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652"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1079"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87" w:hRule="atLeast"/>
        </w:trPr>
        <w:tc>
          <w:tcPr>
            <w:tcW w:w="552"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1959"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1958"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1958"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652"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1079"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87" w:hRule="atLeast"/>
        </w:trPr>
        <w:tc>
          <w:tcPr>
            <w:tcW w:w="552"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1959"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1958"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1958"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652"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1079"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87" w:hRule="atLeast"/>
        </w:trPr>
        <w:tc>
          <w:tcPr>
            <w:tcW w:w="552"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1959"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1958"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1958"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652"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1079"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87" w:hRule="atLeast"/>
        </w:trPr>
        <w:tc>
          <w:tcPr>
            <w:tcW w:w="552"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1959"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1958"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1958"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652"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1079"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5" w:hRule="atLeast"/>
        </w:trPr>
        <w:tc>
          <w:tcPr>
            <w:tcW w:w="552"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1959"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1958"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1958"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652"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c>
          <w:tcPr>
            <w:tcW w:w="1079" w:type="dxa"/>
            <w:noWrap w:val="0"/>
            <w:vAlign w:val="center"/>
          </w:tcPr>
          <w:p>
            <w:pPr>
              <w:pStyle w:val="21"/>
              <w:keepNext w:val="0"/>
              <w:keepLines w:val="0"/>
              <w:suppressLineNumbers w:val="0"/>
              <w:spacing w:before="0" w:beforeAutospacing="0" w:after="0" w:afterAutospacing="0"/>
              <w:ind w:left="0" w:right="0"/>
              <w:jc w:val="center"/>
              <w:rPr>
                <w:rFonts w:hint="eastAsia" w:hAnsi="宋体" w:cs="宋体"/>
                <w:color w:val="auto"/>
                <w:szCs w:val="21"/>
                <w:highlight w:val="none"/>
              </w:rPr>
            </w:pPr>
          </w:p>
        </w:tc>
      </w:tr>
    </w:tbl>
    <w:p>
      <w:pPr>
        <w:pStyle w:val="2"/>
        <w:spacing w:before="0" w:line="240" w:lineRule="auto"/>
        <w:jc w:val="center"/>
        <w:rPr>
          <w:rFonts w:hint="eastAsia" w:cs="宋体"/>
          <w:b/>
          <w:color w:val="auto"/>
          <w:sz w:val="21"/>
          <w:szCs w:val="21"/>
          <w:highlight w:val="none"/>
        </w:rPr>
      </w:pPr>
    </w:p>
    <w:p>
      <w:pPr>
        <w:pStyle w:val="2"/>
        <w:spacing w:before="0" w:line="240" w:lineRule="auto"/>
        <w:jc w:val="center"/>
        <w:rPr>
          <w:rFonts w:hint="eastAsia" w:cs="宋体"/>
          <w:b/>
          <w:color w:val="auto"/>
          <w:sz w:val="21"/>
          <w:szCs w:val="21"/>
          <w:highlight w:val="none"/>
        </w:rPr>
      </w:pPr>
    </w:p>
    <w:p>
      <w:pPr>
        <w:tabs>
          <w:tab w:val="left" w:pos="5580"/>
        </w:tabs>
        <w:spacing w:before="120" w:beforeLines="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投标人名称（盖章）：</w:t>
      </w:r>
      <w:r>
        <w:rPr>
          <w:rFonts w:hint="eastAsia" w:ascii="宋体" w:hAnsi="宋体" w:cs="宋体"/>
          <w:color w:val="auto"/>
          <w:szCs w:val="21"/>
          <w:highlight w:val="none"/>
          <w:u w:val="single"/>
        </w:rPr>
        <w:tab/>
      </w:r>
    </w:p>
    <w:p>
      <w:pPr>
        <w:tabs>
          <w:tab w:val="left" w:pos="5580"/>
        </w:tabs>
        <w:spacing w:before="120" w:beforeLines="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授权代表姓名（签字</w:t>
      </w:r>
      <w:r>
        <w:rPr>
          <w:rFonts w:hint="eastAsia" w:hAnsi="宋体" w:cs="宋体"/>
          <w:color w:val="auto"/>
          <w:szCs w:val="21"/>
          <w:highlight w:val="none"/>
        </w:rPr>
        <w:t>或盖章</w:t>
      </w:r>
      <w:r>
        <w:rPr>
          <w:rFonts w:hint="eastAsia" w:ascii="宋体" w:hAnsi="宋体" w:cs="宋体"/>
          <w:color w:val="auto"/>
          <w:szCs w:val="21"/>
          <w:highlight w:val="none"/>
        </w:rPr>
        <w:t>）：</w:t>
      </w:r>
      <w:r>
        <w:rPr>
          <w:rFonts w:hint="eastAsia" w:ascii="宋体" w:hAnsi="宋体" w:cs="宋体"/>
          <w:color w:val="auto"/>
          <w:szCs w:val="21"/>
          <w:highlight w:val="none"/>
          <w:u w:val="single"/>
        </w:rPr>
        <w:tab/>
      </w:r>
    </w:p>
    <w:p>
      <w:pPr>
        <w:tabs>
          <w:tab w:val="left" w:pos="4620"/>
        </w:tabs>
        <w:spacing w:before="120" w:beforeLines="50"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rPr>
          <w:rFonts w:hint="eastAsia" w:ascii="宋体" w:hAnsi="宋体" w:cs="宋体"/>
          <w:color w:val="auto"/>
          <w:szCs w:val="21"/>
          <w:highlight w:val="none"/>
        </w:rPr>
      </w:pPr>
    </w:p>
    <w:p>
      <w:pPr>
        <w:rPr>
          <w:rFonts w:hint="eastAsia" w:ascii="宋体" w:hAnsi="宋体" w:cs="宋体"/>
          <w:color w:val="auto"/>
          <w:szCs w:val="21"/>
          <w:highlight w:val="none"/>
        </w:rPr>
      </w:pPr>
    </w:p>
    <w:p>
      <w:pPr>
        <w:tabs>
          <w:tab w:val="left" w:pos="4620"/>
        </w:tabs>
        <w:spacing w:before="120" w:beforeLines="50" w:line="360" w:lineRule="auto"/>
        <w:ind w:firstLine="420" w:firstLineChars="200"/>
        <w:rPr>
          <w:rFonts w:hint="eastAsia" w:ascii="宋体" w:hAnsi="宋体" w:cs="宋体"/>
          <w:color w:val="auto"/>
          <w:szCs w:val="21"/>
          <w:highlight w:val="none"/>
        </w:rPr>
      </w:pPr>
      <w:bookmarkStart w:id="221" w:name="_Toc175062649"/>
    </w:p>
    <w:p>
      <w:pPr>
        <w:tabs>
          <w:tab w:val="left" w:pos="4620"/>
        </w:tabs>
        <w:spacing w:before="120" w:beforeLines="50" w:line="360" w:lineRule="auto"/>
        <w:ind w:firstLine="420" w:firstLineChars="200"/>
        <w:rPr>
          <w:rFonts w:hint="eastAsia" w:ascii="宋体" w:hAnsi="宋体" w:cs="宋体"/>
          <w:color w:val="auto"/>
          <w:szCs w:val="21"/>
          <w:highlight w:val="none"/>
        </w:rPr>
      </w:pPr>
    </w:p>
    <w:p>
      <w:pPr>
        <w:tabs>
          <w:tab w:val="left" w:pos="4620"/>
        </w:tabs>
        <w:spacing w:before="120" w:beforeLines="50" w:line="360" w:lineRule="auto"/>
        <w:ind w:firstLine="420" w:firstLineChars="200"/>
        <w:rPr>
          <w:rFonts w:hint="eastAsia" w:ascii="宋体" w:hAnsi="宋体" w:cs="宋体"/>
          <w:color w:val="auto"/>
          <w:szCs w:val="21"/>
          <w:highlight w:val="none"/>
        </w:rPr>
      </w:pPr>
    </w:p>
    <w:p>
      <w:pPr>
        <w:tabs>
          <w:tab w:val="left" w:pos="4620"/>
        </w:tabs>
        <w:spacing w:before="120" w:beforeLines="50" w:line="360" w:lineRule="auto"/>
        <w:ind w:firstLine="420" w:firstLineChars="200"/>
        <w:rPr>
          <w:rFonts w:hint="eastAsia" w:ascii="宋体" w:hAnsi="宋体" w:cs="宋体"/>
          <w:color w:val="auto"/>
          <w:szCs w:val="21"/>
          <w:highlight w:val="none"/>
        </w:rPr>
      </w:pPr>
    </w:p>
    <w:p>
      <w:pPr>
        <w:tabs>
          <w:tab w:val="left" w:pos="4620"/>
        </w:tabs>
        <w:spacing w:before="120" w:beforeLines="50" w:line="360" w:lineRule="auto"/>
        <w:ind w:firstLine="420" w:firstLineChars="200"/>
        <w:rPr>
          <w:rFonts w:hint="eastAsia" w:ascii="宋体" w:hAnsi="宋体" w:cs="宋体"/>
          <w:color w:val="auto"/>
          <w:szCs w:val="21"/>
          <w:highlight w:val="none"/>
        </w:rPr>
      </w:pPr>
    </w:p>
    <w:p>
      <w:pPr>
        <w:tabs>
          <w:tab w:val="left" w:pos="4620"/>
        </w:tabs>
        <w:spacing w:before="120" w:beforeLines="50" w:line="360" w:lineRule="auto"/>
        <w:ind w:firstLine="420" w:firstLineChars="200"/>
        <w:rPr>
          <w:rFonts w:hint="eastAsia" w:ascii="宋体" w:hAnsi="宋体" w:cs="宋体"/>
          <w:color w:val="auto"/>
          <w:szCs w:val="21"/>
          <w:highlight w:val="none"/>
        </w:rPr>
      </w:pPr>
    </w:p>
    <w:p>
      <w:pPr>
        <w:tabs>
          <w:tab w:val="left" w:pos="4620"/>
        </w:tabs>
        <w:spacing w:before="120" w:beforeLines="50" w:line="360" w:lineRule="auto"/>
        <w:ind w:firstLine="420" w:firstLineChars="200"/>
        <w:rPr>
          <w:rFonts w:hint="eastAsia" w:ascii="宋体" w:hAnsi="宋体" w:cs="宋体"/>
          <w:color w:val="auto"/>
          <w:szCs w:val="21"/>
          <w:highlight w:val="none"/>
        </w:rPr>
      </w:pPr>
    </w:p>
    <w:p>
      <w:pPr>
        <w:pStyle w:val="31"/>
        <w:spacing w:before="120" w:beforeLines="50" w:after="120" w:afterLines="50" w:line="360" w:lineRule="auto"/>
        <w:rPr>
          <w:rFonts w:hint="eastAsia" w:ascii="宋体" w:hAnsi="宋体" w:cs="宋体"/>
          <w:color w:val="auto"/>
          <w:sz w:val="21"/>
          <w:szCs w:val="21"/>
          <w:highlight w:val="none"/>
        </w:rPr>
      </w:pPr>
      <w:bookmarkStart w:id="222" w:name="_Toc6459"/>
      <w:r>
        <w:rPr>
          <w:rFonts w:hint="eastAsia" w:ascii="宋体" w:hAnsi="宋体" w:cs="宋体"/>
          <w:color w:val="auto"/>
          <w:sz w:val="21"/>
          <w:szCs w:val="21"/>
          <w:highlight w:val="none"/>
        </w:rPr>
        <w:t>附件</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 xml:space="preserve">  资格证明文件（格式）</w:t>
      </w:r>
      <w:bookmarkEnd w:id="221"/>
      <w:bookmarkEnd w:id="222"/>
    </w:p>
    <w:p>
      <w:pPr>
        <w:pStyle w:val="21"/>
        <w:tabs>
          <w:tab w:val="left" w:pos="5580"/>
        </w:tabs>
        <w:spacing w:line="360" w:lineRule="auto"/>
        <w:jc w:val="center"/>
        <w:rPr>
          <w:rFonts w:hint="eastAsia" w:hAnsi="宋体" w:cs="宋体"/>
          <w:color w:val="auto"/>
          <w:szCs w:val="21"/>
          <w:highlight w:val="none"/>
        </w:rPr>
      </w:pPr>
      <w:r>
        <w:rPr>
          <w:rFonts w:hint="eastAsia" w:hAnsi="宋体" w:cs="宋体"/>
          <w:color w:val="auto"/>
          <w:szCs w:val="21"/>
          <w:highlight w:val="none"/>
        </w:rPr>
        <w:t>目     录</w:t>
      </w:r>
    </w:p>
    <w:p>
      <w:pPr>
        <w:tabs>
          <w:tab w:val="left" w:pos="4740"/>
        </w:tabs>
        <w:spacing w:line="360" w:lineRule="auto"/>
        <w:ind w:left="630" w:leftChars="300"/>
        <w:rPr>
          <w:rFonts w:hint="eastAsia" w:ascii="宋体" w:hAnsi="宋体" w:cs="宋体"/>
          <w:color w:val="auto"/>
          <w:szCs w:val="21"/>
          <w:highlight w:val="none"/>
        </w:rPr>
      </w:pPr>
      <w:bookmarkStart w:id="223" w:name="_Toc302360911"/>
      <w:bookmarkStart w:id="224" w:name="_Toc175062650"/>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   法人营业执照副本复印件</w:t>
      </w:r>
    </w:p>
    <w:p>
      <w:pPr>
        <w:tabs>
          <w:tab w:val="left" w:pos="4740"/>
        </w:tabs>
        <w:spacing w:line="360" w:lineRule="auto"/>
        <w:ind w:left="630" w:leftChars="300"/>
        <w:rPr>
          <w:rFonts w:hint="eastAsia" w:ascii="宋体" w:hAnsi="宋体" w:cs="宋体"/>
          <w:color w:val="auto"/>
          <w:szCs w:val="21"/>
          <w:highlight w:val="none"/>
        </w:rPr>
      </w:pP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-2   税务登记证书复印件</w:t>
      </w:r>
    </w:p>
    <w:p>
      <w:pPr>
        <w:tabs>
          <w:tab w:val="left" w:pos="4740"/>
        </w:tabs>
        <w:spacing w:line="360" w:lineRule="auto"/>
        <w:ind w:left="630" w:leftChars="300"/>
        <w:rPr>
          <w:rFonts w:hint="eastAsia" w:ascii="宋体" w:hAnsi="宋体" w:cs="宋体"/>
          <w:color w:val="auto"/>
          <w:szCs w:val="21"/>
          <w:highlight w:val="none"/>
        </w:rPr>
      </w:pP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-3   法定代表人授权书（格式）</w:t>
      </w:r>
    </w:p>
    <w:p>
      <w:pPr>
        <w:tabs>
          <w:tab w:val="left" w:pos="4740"/>
        </w:tabs>
        <w:spacing w:line="360" w:lineRule="auto"/>
        <w:ind w:left="630" w:leftChars="300"/>
        <w:rPr>
          <w:rFonts w:hint="eastAsia" w:ascii="宋体" w:hAnsi="宋体" w:cs="宋体"/>
          <w:color w:val="auto"/>
          <w:szCs w:val="21"/>
          <w:highlight w:val="none"/>
        </w:rPr>
      </w:pP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-4   投标人的资格声明（格式）</w:t>
      </w:r>
    </w:p>
    <w:p>
      <w:pPr>
        <w:tabs>
          <w:tab w:val="left" w:pos="4740"/>
        </w:tabs>
        <w:spacing w:line="360" w:lineRule="auto"/>
        <w:ind w:left="630" w:leftChars="300"/>
        <w:rPr>
          <w:rFonts w:hint="eastAsia" w:ascii="宋体" w:hAnsi="宋体" w:cs="宋体"/>
          <w:color w:val="auto"/>
          <w:szCs w:val="21"/>
          <w:highlight w:val="none"/>
        </w:rPr>
      </w:pP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-5   具有良好的商业信誉和健全的财务会计制度（需提供2020年度经会计师事务所出具的财务审计报告或其基本开户银行出具的资信证明）</w:t>
      </w:r>
    </w:p>
    <w:p>
      <w:pPr>
        <w:tabs>
          <w:tab w:val="left" w:pos="4740"/>
        </w:tabs>
        <w:spacing w:line="360" w:lineRule="auto"/>
        <w:ind w:left="630" w:leftChars="300"/>
        <w:rPr>
          <w:rFonts w:hint="eastAsia" w:ascii="宋体" w:hAnsi="宋体" w:cs="宋体"/>
          <w:color w:val="auto"/>
          <w:szCs w:val="21"/>
          <w:highlight w:val="none"/>
        </w:rPr>
      </w:pP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-6   具有依法缴纳税收和社会保障资金的良好记录（需提供投标截止日前六个月内任一个月的企业纳税证明和社保缴费记录证明）</w:t>
      </w:r>
    </w:p>
    <w:p>
      <w:pPr>
        <w:tabs>
          <w:tab w:val="left" w:pos="4740"/>
        </w:tabs>
        <w:spacing w:line="360" w:lineRule="auto"/>
        <w:ind w:left="630" w:leftChars="300"/>
        <w:rPr>
          <w:rFonts w:hint="eastAsia" w:ascii="宋体" w:hAnsi="宋体" w:cs="宋体"/>
          <w:color w:val="auto"/>
          <w:szCs w:val="21"/>
          <w:highlight w:val="none"/>
        </w:rPr>
      </w:pP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-7  参加政府采购活动前三年内（成立不足三年的从成立之日起算），在经营活动中没有重大违法记录（需提供加盖公章的声明书）</w:t>
      </w:r>
    </w:p>
    <w:p>
      <w:pPr>
        <w:tabs>
          <w:tab w:val="left" w:pos="4740"/>
        </w:tabs>
        <w:spacing w:line="360" w:lineRule="auto"/>
        <w:ind w:left="630" w:leftChars="300"/>
        <w:rPr>
          <w:rFonts w:hint="eastAsia" w:ascii="宋体" w:hAnsi="宋体" w:cs="宋体"/>
          <w:color w:val="auto"/>
          <w:szCs w:val="21"/>
          <w:highlight w:val="none"/>
        </w:rPr>
      </w:pP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-8   具有履行合同所必需的设备及专业技术能力和供应保障能力（需提供承诺书）</w:t>
      </w:r>
    </w:p>
    <w:p>
      <w:pPr>
        <w:tabs>
          <w:tab w:val="left" w:pos="4740"/>
        </w:tabs>
        <w:spacing w:line="360" w:lineRule="auto"/>
        <w:ind w:left="630" w:leftChars="300"/>
        <w:rPr>
          <w:rFonts w:hint="eastAsia" w:ascii="宋体" w:hAnsi="宋体" w:cs="宋体"/>
          <w:color w:val="auto"/>
          <w:szCs w:val="21"/>
          <w:highlight w:val="none"/>
        </w:rPr>
      </w:pP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-9   投标人近三年的同类项目情况表</w:t>
      </w:r>
    </w:p>
    <w:p>
      <w:pPr>
        <w:tabs>
          <w:tab w:val="left" w:pos="4740"/>
        </w:tabs>
        <w:spacing w:line="360" w:lineRule="auto"/>
        <w:ind w:left="630" w:leftChars="300"/>
        <w:rPr>
          <w:rFonts w:hint="eastAsia" w:ascii="宋体" w:hAnsi="宋体" w:cs="宋体"/>
          <w:color w:val="auto"/>
          <w:szCs w:val="21"/>
          <w:highlight w:val="none"/>
        </w:rPr>
      </w:pP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-10 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,同时对不良信用信息查询记录截图存档；(查询日期自招标公告发布之日后，提供网页打印件加盖公章)</w:t>
      </w:r>
    </w:p>
    <w:p>
      <w:pPr>
        <w:pStyle w:val="2"/>
        <w:spacing w:line="360" w:lineRule="auto"/>
        <w:ind w:left="630" w:hanging="630" w:hangingChars="300"/>
        <w:rPr>
          <w:rFonts w:hint="eastAsia" w:eastAsia="宋体" w:cs="宋体"/>
          <w:color w:val="auto"/>
          <w:sz w:val="21"/>
          <w:szCs w:val="21"/>
          <w:highlight w:val="none"/>
          <w:lang w:eastAsia="zh-CN"/>
        </w:rPr>
      </w:pPr>
      <w:r>
        <w:rPr>
          <w:rFonts w:hint="eastAsia"/>
          <w:color w:val="auto"/>
          <w:sz w:val="21"/>
          <w:szCs w:val="21"/>
          <w:highlight w:val="none"/>
        </w:rPr>
        <w:t xml:space="preserve">   </w:t>
      </w:r>
      <w:r>
        <w:rPr>
          <w:color w:val="auto"/>
          <w:sz w:val="21"/>
          <w:szCs w:val="21"/>
          <w:highlight w:val="none"/>
        </w:rPr>
        <w:t xml:space="preserve"> </w:t>
      </w:r>
      <w:r>
        <w:rPr>
          <w:rFonts w:hint="eastAsia"/>
          <w:color w:val="auto"/>
          <w:sz w:val="21"/>
          <w:szCs w:val="21"/>
          <w:highlight w:val="none"/>
        </w:rPr>
        <w:t xml:space="preserve">  </w:t>
      </w:r>
      <w:r>
        <w:rPr>
          <w:rFonts w:hint="eastAsia" w:cs="宋体"/>
          <w:color w:val="auto"/>
          <w:sz w:val="21"/>
          <w:szCs w:val="21"/>
          <w:highlight w:val="none"/>
        </w:rPr>
        <w:t>附件</w:t>
      </w:r>
      <w:r>
        <w:rPr>
          <w:rFonts w:hint="eastAsia" w:cs="宋体"/>
          <w:color w:val="auto"/>
          <w:sz w:val="21"/>
          <w:szCs w:val="21"/>
          <w:highlight w:val="none"/>
          <w:lang w:val="en-US" w:eastAsia="zh-CN"/>
        </w:rPr>
        <w:t>6</w:t>
      </w:r>
      <w:r>
        <w:rPr>
          <w:rFonts w:hint="eastAsia" w:cs="宋体"/>
          <w:color w:val="auto"/>
          <w:sz w:val="21"/>
          <w:szCs w:val="21"/>
          <w:highlight w:val="none"/>
        </w:rPr>
        <w:t>-11  投标人应为经运输管理部门许可的汽车整车</w:t>
      </w:r>
      <w:r>
        <w:rPr>
          <w:rFonts w:hint="eastAsia" w:cs="宋体"/>
          <w:color w:val="auto"/>
          <w:sz w:val="21"/>
          <w:szCs w:val="21"/>
          <w:highlight w:val="none"/>
          <w:lang w:eastAsia="zh-CN"/>
        </w:rPr>
        <w:t>整车维修二类资质</w:t>
      </w:r>
      <w:r>
        <w:rPr>
          <w:rFonts w:hint="eastAsia" w:cs="宋体"/>
          <w:color w:val="auto"/>
          <w:sz w:val="21"/>
          <w:szCs w:val="21"/>
          <w:highlight w:val="none"/>
        </w:rPr>
        <w:t>及以上资质的汽车维修机构，并提供相关证明材料</w:t>
      </w:r>
      <w:r>
        <w:rPr>
          <w:rFonts w:hint="eastAsia" w:cs="宋体"/>
          <w:color w:val="auto"/>
          <w:sz w:val="21"/>
          <w:szCs w:val="21"/>
          <w:highlight w:val="none"/>
          <w:lang w:eastAsia="zh-CN"/>
        </w:rPr>
        <w:t>。</w:t>
      </w:r>
    </w:p>
    <w:p>
      <w:pPr>
        <w:pStyle w:val="2"/>
        <w:spacing w:line="360" w:lineRule="auto"/>
        <w:ind w:left="630" w:leftChars="300"/>
        <w:rPr>
          <w:rFonts w:hint="eastAsia" w:cs="宋体"/>
          <w:color w:val="auto"/>
          <w:sz w:val="21"/>
          <w:szCs w:val="21"/>
          <w:highlight w:val="none"/>
        </w:rPr>
      </w:pPr>
      <w:r>
        <w:rPr>
          <w:rFonts w:hint="eastAsia" w:cs="宋体"/>
          <w:color w:val="auto"/>
          <w:sz w:val="21"/>
          <w:szCs w:val="21"/>
          <w:highlight w:val="none"/>
        </w:rPr>
        <w:t>附件</w:t>
      </w:r>
      <w:r>
        <w:rPr>
          <w:rFonts w:hint="eastAsia" w:cs="宋体"/>
          <w:color w:val="auto"/>
          <w:sz w:val="21"/>
          <w:szCs w:val="21"/>
          <w:highlight w:val="none"/>
          <w:lang w:val="en-US" w:eastAsia="zh-CN"/>
        </w:rPr>
        <w:t>6</w:t>
      </w:r>
      <w:r>
        <w:rPr>
          <w:rFonts w:hint="eastAsia" w:cs="宋体"/>
          <w:color w:val="auto"/>
          <w:sz w:val="21"/>
          <w:szCs w:val="21"/>
          <w:highlight w:val="none"/>
        </w:rPr>
        <w:t xml:space="preserve">-13  单位负责人为同一人或者存在直接控股、管理关系的不同供应商，不得参加同一合同项下的政府采购活动 </w:t>
      </w:r>
    </w:p>
    <w:p>
      <w:pPr>
        <w:tabs>
          <w:tab w:val="left" w:pos="4740"/>
        </w:tabs>
        <w:spacing w:line="360" w:lineRule="auto"/>
        <w:ind w:left="630" w:leftChars="300"/>
        <w:outlineLvl w:val="9"/>
        <w:rPr>
          <w:rFonts w:hint="eastAsia" w:ascii="宋体" w:hAnsi="宋体" w:cs="宋体"/>
          <w:color w:val="auto"/>
          <w:szCs w:val="21"/>
          <w:highlight w:val="none"/>
        </w:rPr>
      </w:pP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-14 招标文件要求的其他资格证明文件</w:t>
      </w:r>
      <w:r>
        <w:rPr>
          <w:rFonts w:hint="eastAsia" w:ascii="宋体" w:hAnsi="宋体" w:cs="宋体"/>
          <w:color w:val="auto"/>
          <w:szCs w:val="21"/>
          <w:highlight w:val="none"/>
        </w:rPr>
        <w:br w:type="page"/>
      </w:r>
      <w:bookmarkStart w:id="225" w:name="_Toc28579"/>
    </w:p>
    <w:p>
      <w:pPr>
        <w:tabs>
          <w:tab w:val="left" w:pos="4740"/>
        </w:tabs>
        <w:spacing w:line="360" w:lineRule="auto"/>
        <w:ind w:left="630" w:leftChars="300"/>
        <w:outlineLvl w:val="1"/>
        <w:rPr>
          <w:rFonts w:hint="eastAsia" w:ascii="宋体" w:hAnsi="宋体" w:cs="宋体"/>
          <w:color w:val="auto"/>
          <w:szCs w:val="21"/>
          <w:highlight w:val="none"/>
        </w:rPr>
      </w:pPr>
      <w:r>
        <w:rPr>
          <w:rFonts w:hint="eastAsia" w:ascii="宋体" w:hAnsi="宋体" w:eastAsia="宋体" w:cs="宋体"/>
          <w:b/>
          <w:bCs/>
          <w:color w:val="auto"/>
          <w:kern w:val="28"/>
          <w:sz w:val="21"/>
          <w:szCs w:val="21"/>
          <w:highlight w:val="none"/>
          <w:lang w:val="en-US" w:eastAsia="zh-CN" w:bidi="ar-SA"/>
        </w:rPr>
        <w:t>附件6-1  营业执照复印件</w:t>
      </w:r>
      <w:bookmarkEnd w:id="223"/>
      <w:bookmarkEnd w:id="224"/>
      <w:bookmarkEnd w:id="225"/>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1．投标人须提供有效的营业执照副本的复印件；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2．复印件须加盖本单位公章。</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3．评标委员会保留审核原件的权利。</w:t>
      </w:r>
    </w:p>
    <w:p>
      <w:pPr>
        <w:spacing w:line="360" w:lineRule="auto"/>
        <w:ind w:firstLine="420" w:firstLineChars="200"/>
        <w:rPr>
          <w:rFonts w:hint="eastAsia" w:ascii="宋体" w:hAnsi="宋体" w:cs="宋体"/>
          <w:color w:val="auto"/>
          <w:szCs w:val="21"/>
          <w:highlight w:val="none"/>
        </w:rPr>
      </w:pPr>
    </w:p>
    <w:p>
      <w:pPr>
        <w:ind w:firstLine="420" w:firstLineChars="200"/>
        <w:rPr>
          <w:rFonts w:hint="eastAsia" w:ascii="宋体" w:hAnsi="宋体" w:cs="宋体"/>
          <w:color w:val="auto"/>
          <w:szCs w:val="21"/>
          <w:highlight w:val="none"/>
        </w:rPr>
      </w:pPr>
    </w:p>
    <w:p>
      <w:pPr>
        <w:ind w:firstLine="420" w:firstLineChars="200"/>
        <w:rPr>
          <w:rFonts w:hint="eastAsia" w:ascii="宋体" w:hAnsi="宋体" w:cs="宋体"/>
          <w:color w:val="auto"/>
          <w:szCs w:val="21"/>
          <w:highlight w:val="none"/>
        </w:rPr>
      </w:pPr>
    </w:p>
    <w:p>
      <w:pPr>
        <w:ind w:firstLine="420" w:firstLineChars="200"/>
        <w:rPr>
          <w:rFonts w:hint="eastAsia" w:ascii="宋体" w:hAnsi="宋体" w:cs="宋体"/>
          <w:color w:val="auto"/>
          <w:szCs w:val="21"/>
          <w:highlight w:val="none"/>
        </w:rPr>
      </w:pPr>
    </w:p>
    <w:p>
      <w:pPr>
        <w:ind w:firstLine="420" w:firstLineChars="200"/>
        <w:rPr>
          <w:rFonts w:hint="eastAsia" w:ascii="宋体" w:hAnsi="宋体" w:cs="宋体"/>
          <w:color w:val="auto"/>
          <w:szCs w:val="21"/>
          <w:highlight w:val="none"/>
        </w:rPr>
      </w:pPr>
    </w:p>
    <w:p>
      <w:pPr>
        <w:ind w:firstLine="420" w:firstLineChars="200"/>
        <w:rPr>
          <w:rFonts w:hint="eastAsia" w:ascii="宋体" w:hAnsi="宋体" w:cs="宋体"/>
          <w:color w:val="auto"/>
          <w:szCs w:val="21"/>
          <w:highlight w:val="none"/>
        </w:rPr>
      </w:pPr>
    </w:p>
    <w:p>
      <w:pPr>
        <w:ind w:firstLine="420" w:firstLineChars="200"/>
        <w:rPr>
          <w:rFonts w:hint="eastAsia" w:ascii="宋体" w:hAnsi="宋体" w:cs="宋体"/>
          <w:color w:val="auto"/>
          <w:szCs w:val="21"/>
          <w:highlight w:val="none"/>
        </w:rPr>
      </w:pPr>
    </w:p>
    <w:p>
      <w:pPr>
        <w:ind w:firstLine="420" w:firstLineChars="200"/>
        <w:rPr>
          <w:rFonts w:hint="eastAsia" w:ascii="宋体" w:hAnsi="宋体" w:cs="宋体"/>
          <w:color w:val="auto"/>
          <w:szCs w:val="21"/>
          <w:highlight w:val="none"/>
        </w:rPr>
      </w:pPr>
    </w:p>
    <w:p>
      <w:pPr>
        <w:ind w:firstLine="420" w:firstLineChars="200"/>
        <w:rPr>
          <w:rFonts w:hint="eastAsia" w:ascii="宋体" w:hAnsi="宋体" w:cs="宋体"/>
          <w:color w:val="auto"/>
          <w:szCs w:val="21"/>
          <w:highlight w:val="none"/>
        </w:rPr>
      </w:pPr>
    </w:p>
    <w:p>
      <w:pPr>
        <w:pStyle w:val="31"/>
        <w:spacing w:before="120" w:beforeLines="50" w:after="120" w:afterLines="50" w:line="240" w:lineRule="auto"/>
        <w:rPr>
          <w:rFonts w:hint="eastAsia" w:ascii="宋体" w:hAnsi="宋体" w:cs="宋体"/>
          <w:color w:val="auto"/>
          <w:sz w:val="21"/>
          <w:szCs w:val="21"/>
          <w:highlight w:val="none"/>
        </w:rPr>
        <w:sectPr>
          <w:pgSz w:w="11906" w:h="16838"/>
          <w:pgMar w:top="1440" w:right="1797" w:bottom="1440" w:left="1797" w:header="851" w:footer="992" w:gutter="0"/>
          <w:cols w:space="720" w:num="1"/>
          <w:docGrid w:linePitch="312" w:charSpace="0"/>
        </w:sectPr>
      </w:pPr>
      <w:bookmarkStart w:id="226" w:name="_Toc302360912"/>
    </w:p>
    <w:p>
      <w:pPr>
        <w:pStyle w:val="31"/>
        <w:spacing w:before="120" w:beforeLines="50" w:after="120" w:afterLines="50" w:line="240" w:lineRule="auto"/>
        <w:rPr>
          <w:rFonts w:hint="eastAsia" w:ascii="宋体" w:hAnsi="宋体" w:cs="宋体"/>
          <w:color w:val="auto"/>
          <w:sz w:val="21"/>
          <w:szCs w:val="21"/>
          <w:highlight w:val="none"/>
        </w:rPr>
      </w:pPr>
      <w:bookmarkStart w:id="227" w:name="_Toc17395"/>
      <w:r>
        <w:rPr>
          <w:rFonts w:hint="eastAsia" w:ascii="宋体" w:hAnsi="宋体" w:cs="宋体"/>
          <w:color w:val="auto"/>
          <w:sz w:val="21"/>
          <w:szCs w:val="21"/>
          <w:highlight w:val="none"/>
        </w:rPr>
        <w:t>附件</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-2  税务登记证书复印件</w:t>
      </w:r>
      <w:bookmarkEnd w:id="226"/>
      <w:bookmarkEnd w:id="227"/>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1．投标人须提供税务登记证书的复印件；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2．复印件须加盖本单位公章。</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 如三证合一只需要提供营业执照</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4．评标委员会保留审核原件的权利。</w:t>
      </w:r>
    </w:p>
    <w:p>
      <w:pPr>
        <w:pStyle w:val="31"/>
        <w:spacing w:before="120" w:beforeLines="50" w:after="120" w:afterLines="50"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bookmarkStart w:id="228" w:name="_Toc302360913"/>
      <w:bookmarkStart w:id="229" w:name="_Toc21338"/>
      <w:r>
        <w:rPr>
          <w:rFonts w:hint="eastAsia" w:ascii="宋体" w:hAnsi="宋体" w:cs="宋体"/>
          <w:color w:val="auto"/>
          <w:sz w:val="21"/>
          <w:szCs w:val="21"/>
          <w:highlight w:val="none"/>
        </w:rPr>
        <w:t>附件</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-3  法定代表人授权书（格式</w:t>
      </w:r>
      <w:bookmarkEnd w:id="228"/>
      <w:r>
        <w:rPr>
          <w:rFonts w:hint="eastAsia" w:ascii="宋体" w:hAnsi="宋体" w:cs="宋体"/>
          <w:color w:val="auto"/>
          <w:sz w:val="21"/>
          <w:szCs w:val="21"/>
          <w:highlight w:val="none"/>
        </w:rPr>
        <w:t>）</w:t>
      </w:r>
      <w:bookmarkEnd w:id="229"/>
    </w:p>
    <w:p>
      <w:pPr>
        <w:pStyle w:val="2"/>
        <w:spacing w:line="240" w:lineRule="auto"/>
        <w:jc w:val="center"/>
        <w:rPr>
          <w:rFonts w:hint="eastAsia" w:cs="宋体"/>
          <w:b/>
          <w:color w:val="auto"/>
          <w:sz w:val="21"/>
          <w:szCs w:val="21"/>
          <w:highlight w:val="none"/>
        </w:rPr>
      </w:pPr>
    </w:p>
    <w:p>
      <w:pPr>
        <w:tabs>
          <w:tab w:val="left" w:pos="5580"/>
        </w:tabs>
        <w:spacing w:before="120" w:beforeLines="50" w:after="120" w:afterLines="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本授权书声明：注册于 （</w:t>
      </w:r>
      <w:r>
        <w:rPr>
          <w:rFonts w:hint="eastAsia" w:ascii="宋体" w:hAnsi="宋体" w:cs="宋体"/>
          <w:b/>
          <w:color w:val="auto"/>
          <w:szCs w:val="21"/>
          <w:highlight w:val="none"/>
        </w:rPr>
        <w:t>国家或地区的名称</w:t>
      </w:r>
      <w:r>
        <w:rPr>
          <w:rFonts w:hint="eastAsia" w:ascii="宋体" w:hAnsi="宋体" w:cs="宋体"/>
          <w:color w:val="auto"/>
          <w:szCs w:val="21"/>
          <w:highlight w:val="none"/>
        </w:rPr>
        <w:t>） 的 （</w:t>
      </w:r>
      <w:r>
        <w:rPr>
          <w:rFonts w:hint="eastAsia" w:ascii="宋体" w:hAnsi="宋体" w:cs="宋体"/>
          <w:b/>
          <w:color w:val="auto"/>
          <w:szCs w:val="21"/>
          <w:highlight w:val="none"/>
        </w:rPr>
        <w:t>公司名称</w:t>
      </w:r>
      <w:r>
        <w:rPr>
          <w:rFonts w:hint="eastAsia" w:ascii="宋体" w:hAnsi="宋体" w:cs="宋体"/>
          <w:color w:val="auto"/>
          <w:szCs w:val="21"/>
          <w:highlight w:val="none"/>
        </w:rPr>
        <w:t>） 的在下面签字的 （</w:t>
      </w:r>
      <w:r>
        <w:rPr>
          <w:rFonts w:hint="eastAsia" w:ascii="宋体" w:hAnsi="宋体" w:cs="宋体"/>
          <w:b/>
          <w:color w:val="auto"/>
          <w:szCs w:val="21"/>
          <w:highlight w:val="none"/>
        </w:rPr>
        <w:t>法人代表姓名、职务</w:t>
      </w:r>
      <w:r>
        <w:rPr>
          <w:rFonts w:hint="eastAsia" w:ascii="宋体" w:hAnsi="宋体" w:cs="宋体"/>
          <w:color w:val="auto"/>
          <w:szCs w:val="21"/>
          <w:highlight w:val="none"/>
        </w:rPr>
        <w:t>） 代表本公司授权 （</w:t>
      </w:r>
      <w:r>
        <w:rPr>
          <w:rFonts w:hint="eastAsia" w:ascii="宋体" w:hAnsi="宋体" w:cs="宋体"/>
          <w:b/>
          <w:color w:val="auto"/>
          <w:szCs w:val="21"/>
          <w:highlight w:val="none"/>
        </w:rPr>
        <w:t>单位名称</w:t>
      </w:r>
      <w:r>
        <w:rPr>
          <w:rFonts w:hint="eastAsia" w:ascii="宋体" w:hAnsi="宋体" w:cs="宋体"/>
          <w:color w:val="auto"/>
          <w:szCs w:val="21"/>
          <w:highlight w:val="none"/>
        </w:rPr>
        <w:t>） 的在下面签字的 （</w:t>
      </w:r>
      <w:r>
        <w:rPr>
          <w:rFonts w:hint="eastAsia" w:ascii="宋体" w:hAnsi="宋体" w:cs="宋体"/>
          <w:b/>
          <w:color w:val="auto"/>
          <w:szCs w:val="21"/>
          <w:highlight w:val="none"/>
        </w:rPr>
        <w:t>被授权人的姓名、职务</w:t>
      </w:r>
      <w:r>
        <w:rPr>
          <w:rFonts w:hint="eastAsia" w:ascii="宋体" w:hAnsi="宋体" w:cs="宋体"/>
          <w:color w:val="auto"/>
          <w:szCs w:val="21"/>
          <w:highlight w:val="none"/>
        </w:rPr>
        <w:t>） 为本公司的合法代理人，就 （</w:t>
      </w:r>
      <w:r>
        <w:rPr>
          <w:rFonts w:hint="eastAsia" w:ascii="宋体" w:hAnsi="宋体" w:cs="宋体"/>
          <w:b/>
          <w:color w:val="auto"/>
          <w:szCs w:val="21"/>
          <w:highlight w:val="none"/>
        </w:rPr>
        <w:t>项目名称</w:t>
      </w:r>
      <w:r>
        <w:rPr>
          <w:rFonts w:hint="eastAsia" w:ascii="宋体" w:hAnsi="宋体" w:cs="宋体"/>
          <w:color w:val="auto"/>
          <w:szCs w:val="21"/>
          <w:highlight w:val="none"/>
        </w:rPr>
        <w:t>） 的 （</w:t>
      </w:r>
      <w:r>
        <w:rPr>
          <w:rFonts w:hint="eastAsia" w:ascii="宋体" w:hAnsi="宋体" w:cs="宋体"/>
          <w:b/>
          <w:color w:val="auto"/>
          <w:szCs w:val="21"/>
          <w:highlight w:val="none"/>
        </w:rPr>
        <w:t>分包名称</w:t>
      </w:r>
      <w:r>
        <w:rPr>
          <w:rFonts w:hint="eastAsia" w:ascii="宋体" w:hAnsi="宋体" w:cs="宋体"/>
          <w:color w:val="auto"/>
          <w:szCs w:val="21"/>
          <w:highlight w:val="none"/>
        </w:rPr>
        <w:t>） 投标，以本公司名义处理一切与之有关的事务。</w:t>
      </w:r>
    </w:p>
    <w:p>
      <w:pPr>
        <w:tabs>
          <w:tab w:val="left" w:pos="5580"/>
        </w:tabs>
        <w:spacing w:before="120" w:beforeLines="50" w:after="120" w:afterLines="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本授权书于</w:t>
      </w:r>
      <w:r>
        <w:rPr>
          <w:rFonts w:hint="eastAsia" w:ascii="宋体" w:hAnsi="宋体" w:cs="宋体"/>
          <w:color w:val="auto"/>
          <w:szCs w:val="21"/>
          <w:highlight w:val="none"/>
          <w:u w:val="single" w:color="000000"/>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日签字生效,特此声明。</w:t>
      </w:r>
    </w:p>
    <w:p>
      <w:pPr>
        <w:pStyle w:val="2"/>
        <w:spacing w:line="240" w:lineRule="auto"/>
        <w:jc w:val="center"/>
        <w:rPr>
          <w:rFonts w:hint="eastAsia" w:cs="宋体"/>
          <w:b/>
          <w:color w:val="auto"/>
          <w:sz w:val="21"/>
          <w:szCs w:val="21"/>
          <w:highlight w:val="none"/>
        </w:rPr>
      </w:pPr>
    </w:p>
    <w:p>
      <w:pPr>
        <w:pStyle w:val="2"/>
        <w:spacing w:line="240" w:lineRule="auto"/>
        <w:jc w:val="center"/>
        <w:rPr>
          <w:rFonts w:hint="eastAsia" w:cs="宋体"/>
          <w:b/>
          <w:color w:val="auto"/>
          <w:sz w:val="21"/>
          <w:szCs w:val="21"/>
          <w:highlight w:val="none"/>
        </w:rPr>
      </w:pPr>
    </w:p>
    <w:p>
      <w:pPr>
        <w:pStyle w:val="21"/>
        <w:tabs>
          <w:tab w:val="left" w:pos="5580"/>
        </w:tabs>
        <w:spacing w:before="240" w:beforeLines="100" w:after="240" w:afterLines="100"/>
        <w:ind w:firstLine="420" w:firstLineChars="200"/>
        <w:rPr>
          <w:rFonts w:hint="eastAsia" w:hAnsi="宋体" w:cs="宋体"/>
          <w:color w:val="auto"/>
          <w:szCs w:val="21"/>
          <w:highlight w:val="none"/>
        </w:rPr>
      </w:pPr>
      <w:r>
        <w:rPr>
          <w:rFonts w:hint="eastAsia" w:hAnsi="宋体" w:cs="宋体"/>
          <w:color w:val="auto"/>
          <w:szCs w:val="21"/>
          <w:highlight w:val="none"/>
        </w:rPr>
        <w:t>投标人名称（盖章）：</w:t>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p>
    <w:p>
      <w:pPr>
        <w:pStyle w:val="21"/>
        <w:tabs>
          <w:tab w:val="left" w:pos="5580"/>
        </w:tabs>
        <w:spacing w:before="240" w:beforeLines="100" w:after="240" w:afterLines="100"/>
        <w:ind w:firstLine="420" w:firstLineChars="200"/>
        <w:rPr>
          <w:rFonts w:hint="eastAsia" w:hAnsi="宋体" w:cs="宋体"/>
          <w:color w:val="auto"/>
          <w:szCs w:val="21"/>
          <w:highlight w:val="none"/>
        </w:rPr>
      </w:pPr>
      <w:r>
        <w:rPr>
          <w:rFonts w:hint="eastAsia" w:hAnsi="宋体" w:cs="宋体"/>
          <w:color w:val="auto"/>
          <w:szCs w:val="21"/>
          <w:highlight w:val="none"/>
        </w:rPr>
        <w:t>法定代表人姓名（签字或盖章）：</w:t>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p>
    <w:p>
      <w:pPr>
        <w:pStyle w:val="21"/>
        <w:tabs>
          <w:tab w:val="left" w:pos="5580"/>
        </w:tabs>
        <w:spacing w:before="240" w:beforeLines="100" w:after="240" w:afterLines="100"/>
        <w:ind w:firstLine="420" w:firstLineChars="200"/>
        <w:rPr>
          <w:rFonts w:hint="eastAsia" w:hAnsi="宋体" w:cs="宋体"/>
          <w:color w:val="auto"/>
          <w:szCs w:val="21"/>
          <w:highlight w:val="none"/>
        </w:rPr>
      </w:pPr>
      <w:r>
        <w:rPr>
          <w:rFonts w:hint="eastAsia" w:hAnsi="宋体" w:cs="宋体"/>
          <w:color w:val="auto"/>
          <w:szCs w:val="21"/>
          <w:highlight w:val="none"/>
        </w:rPr>
        <w:t>被授权人姓名（签字或盖章）：</w:t>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p>
    <w:p>
      <w:pPr>
        <w:pStyle w:val="21"/>
        <w:tabs>
          <w:tab w:val="left" w:pos="5580"/>
        </w:tabs>
        <w:rPr>
          <w:rFonts w:hint="eastAsia" w:hAnsi="宋体" w:cs="宋体"/>
          <w:color w:val="auto"/>
          <w:szCs w:val="21"/>
          <w:highlight w:val="none"/>
        </w:rPr>
      </w:pPr>
    </w:p>
    <w:p>
      <w:pPr>
        <w:pStyle w:val="21"/>
        <w:tabs>
          <w:tab w:val="left" w:pos="5580"/>
        </w:tabs>
        <w:rPr>
          <w:rFonts w:hint="eastAsia" w:hAnsi="宋体" w:cs="宋体"/>
          <w:color w:val="auto"/>
          <w:szCs w:val="21"/>
          <w:highlight w:val="none"/>
        </w:rPr>
      </w:pPr>
    </w:p>
    <w:p>
      <w:pPr>
        <w:pStyle w:val="21"/>
        <w:tabs>
          <w:tab w:val="left" w:pos="5580"/>
        </w:tabs>
        <w:rPr>
          <w:rFonts w:hint="eastAsia" w:hAnsi="宋体" w:cs="宋体"/>
          <w:color w:val="auto"/>
          <w:szCs w:val="21"/>
          <w:highlight w:val="none"/>
        </w:rPr>
      </w:pPr>
    </w:p>
    <w:p>
      <w:pPr>
        <w:pStyle w:val="21"/>
        <w:tabs>
          <w:tab w:val="left" w:pos="5580"/>
        </w:tabs>
        <w:rPr>
          <w:rFonts w:hint="eastAsia" w:hAnsi="宋体" w:cs="宋体"/>
          <w:color w:val="auto"/>
          <w:szCs w:val="21"/>
          <w:highlight w:val="none"/>
        </w:rPr>
      </w:pPr>
      <w:r>
        <w:rPr>
          <w:rFonts w:hint="eastAsia" w:hAnsi="宋体" w:cs="宋体"/>
          <w:color w:val="auto"/>
          <w:szCs w:val="21"/>
          <w:highlight w:val="none"/>
        </w:rPr>
        <w:t>附：</w:t>
      </w:r>
    </w:p>
    <w:p>
      <w:pPr>
        <w:pStyle w:val="21"/>
        <w:tabs>
          <w:tab w:val="left" w:pos="5580"/>
        </w:tabs>
        <w:spacing w:line="360" w:lineRule="auto"/>
        <w:ind w:firstLine="420" w:firstLineChars="200"/>
        <w:rPr>
          <w:rFonts w:hint="eastAsia" w:hAnsi="宋体" w:cs="宋体"/>
          <w:color w:val="auto"/>
          <w:szCs w:val="21"/>
          <w:highlight w:val="none"/>
          <w:u w:val="single"/>
        </w:rPr>
      </w:pPr>
      <w:r>
        <w:rPr>
          <w:rFonts w:hint="eastAsia" w:hAnsi="宋体" w:cs="宋体"/>
          <w:color w:val="auto"/>
          <w:szCs w:val="21"/>
          <w:highlight w:val="none"/>
        </w:rPr>
        <w:t>被授权人姓名：</w:t>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p>
    <w:p>
      <w:pPr>
        <w:pStyle w:val="21"/>
        <w:tabs>
          <w:tab w:val="left" w:pos="55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职　　　　务：</w:t>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p>
    <w:p>
      <w:pPr>
        <w:pStyle w:val="21"/>
        <w:tabs>
          <w:tab w:val="left" w:pos="55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详细通讯地址：</w:t>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p>
    <w:p>
      <w:pPr>
        <w:pStyle w:val="21"/>
        <w:tabs>
          <w:tab w:val="left" w:pos="55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邮 政 编 码 ：</w:t>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p>
    <w:p>
      <w:pPr>
        <w:pStyle w:val="21"/>
        <w:tabs>
          <w:tab w:val="left" w:pos="55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电　　　　话：</w:t>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p>
    <w:p>
      <w:pPr>
        <w:pStyle w:val="21"/>
        <w:tabs>
          <w:tab w:val="left" w:pos="5580"/>
        </w:tabs>
        <w:spacing w:line="360" w:lineRule="auto"/>
        <w:ind w:firstLine="420" w:firstLineChars="200"/>
        <w:rPr>
          <w:rFonts w:hint="eastAsia" w:hAnsi="宋体" w:cs="宋体"/>
          <w:color w:val="auto"/>
          <w:szCs w:val="21"/>
          <w:highlight w:val="none"/>
        </w:rPr>
      </w:pPr>
    </w:p>
    <w:p>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备注：1、如果投标人代表是法定代表人，则可不提供法定代表人授权书，只需提供法定代表人身份证明书。</w:t>
      </w:r>
    </w:p>
    <w:p>
      <w:pPr>
        <w:numPr>
          <w:ilvl w:val="0"/>
          <w:numId w:val="13"/>
        </w:numPr>
        <w:spacing w:line="360" w:lineRule="auto"/>
        <w:ind w:firstLine="632" w:firstLineChars="300"/>
        <w:rPr>
          <w:rFonts w:hint="eastAsia" w:ascii="宋体" w:hAnsi="宋体" w:cs="宋体"/>
          <w:b/>
          <w:color w:val="auto"/>
          <w:szCs w:val="21"/>
          <w:highlight w:val="none"/>
        </w:rPr>
      </w:pPr>
      <w:r>
        <w:rPr>
          <w:rFonts w:hint="eastAsia" w:ascii="宋体" w:hAnsi="宋体" w:cs="宋体"/>
          <w:b/>
          <w:color w:val="auto"/>
          <w:szCs w:val="21"/>
          <w:highlight w:val="none"/>
        </w:rPr>
        <w:t>须提供法定代表人和被授权人身份证复印件（复印件加盖公章）。</w:t>
      </w:r>
    </w:p>
    <w:p>
      <w:pPr>
        <w:pStyle w:val="2"/>
        <w:jc w:val="center"/>
        <w:rPr>
          <w:rFonts w:hint="eastAsia"/>
          <w:color w:val="auto"/>
          <w:highlight w:val="none"/>
        </w:rPr>
      </w:pPr>
    </w:p>
    <w:p>
      <w:pPr>
        <w:pStyle w:val="2"/>
        <w:jc w:val="center"/>
        <w:rPr>
          <w:rFonts w:hint="eastAsia"/>
          <w:color w:val="auto"/>
          <w:highlight w:val="none"/>
        </w:rPr>
      </w:pPr>
    </w:p>
    <w:p>
      <w:pPr>
        <w:pStyle w:val="2"/>
        <w:jc w:val="center"/>
        <w:rPr>
          <w:rFonts w:hint="eastAsia"/>
          <w:color w:val="auto"/>
          <w:highlight w:val="none"/>
        </w:rPr>
      </w:pPr>
    </w:p>
    <w:p>
      <w:pPr>
        <w:pStyle w:val="2"/>
        <w:jc w:val="center"/>
        <w:rPr>
          <w:rFonts w:hint="eastAsia"/>
          <w:color w:val="auto"/>
          <w:highlight w:val="none"/>
        </w:rPr>
      </w:pPr>
    </w:p>
    <w:p>
      <w:pPr>
        <w:pStyle w:val="2"/>
        <w:jc w:val="center"/>
        <w:rPr>
          <w:rFonts w:hint="eastAsia"/>
          <w:color w:val="auto"/>
          <w:highlight w:val="none"/>
        </w:rPr>
      </w:pPr>
    </w:p>
    <w:p>
      <w:pPr>
        <w:pStyle w:val="2"/>
        <w:jc w:val="center"/>
        <w:rPr>
          <w:rFonts w:hint="eastAsia"/>
          <w:color w:val="auto"/>
          <w:highlight w:val="none"/>
        </w:rPr>
      </w:pPr>
    </w:p>
    <w:p>
      <w:pPr>
        <w:pStyle w:val="2"/>
        <w:jc w:val="center"/>
        <w:rPr>
          <w:rFonts w:hint="eastAsia"/>
          <w:color w:val="auto"/>
          <w:highlight w:val="none"/>
        </w:rPr>
      </w:pPr>
    </w:p>
    <w:p>
      <w:pPr>
        <w:pStyle w:val="2"/>
        <w:jc w:val="center"/>
        <w:rPr>
          <w:rFonts w:hint="eastAsia"/>
          <w:color w:val="auto"/>
          <w:highlight w:val="none"/>
        </w:rPr>
      </w:pPr>
    </w:p>
    <w:p>
      <w:pPr>
        <w:pStyle w:val="2"/>
        <w:jc w:val="center"/>
        <w:rPr>
          <w:rFonts w:hint="eastAsia"/>
          <w:b/>
          <w:bCs/>
          <w:color w:val="auto"/>
          <w:sz w:val="21"/>
          <w:szCs w:val="21"/>
          <w:highlight w:val="none"/>
        </w:rPr>
      </w:pPr>
      <w:r>
        <w:rPr>
          <w:rFonts w:hint="eastAsia"/>
          <w:b/>
          <w:bCs/>
          <w:color w:val="auto"/>
          <w:sz w:val="21"/>
          <w:szCs w:val="21"/>
          <w:highlight w:val="none"/>
        </w:rPr>
        <w:t>法定代表人身份证明书</w:t>
      </w:r>
    </w:p>
    <w:p>
      <w:pPr>
        <w:pStyle w:val="2"/>
        <w:rPr>
          <w:color w:val="auto"/>
          <w:sz w:val="21"/>
          <w:szCs w:val="21"/>
          <w:highlight w:val="none"/>
          <w:u w:val="single"/>
        </w:rPr>
      </w:pPr>
      <w:r>
        <w:rPr>
          <w:rFonts w:hint="eastAsia"/>
          <w:color w:val="auto"/>
          <w:sz w:val="21"/>
          <w:szCs w:val="21"/>
          <w:highlight w:val="none"/>
        </w:rPr>
        <w:t>投 标 人：</w:t>
      </w:r>
      <w:r>
        <w:rPr>
          <w:rFonts w:hint="eastAsia"/>
          <w:color w:val="auto"/>
          <w:sz w:val="21"/>
          <w:szCs w:val="21"/>
          <w:highlight w:val="none"/>
          <w:u w:val="single"/>
        </w:rPr>
        <w:t xml:space="preserve">                                     </w:t>
      </w:r>
    </w:p>
    <w:p>
      <w:pPr>
        <w:pStyle w:val="2"/>
        <w:rPr>
          <w:rFonts w:hint="eastAsia"/>
          <w:color w:val="auto"/>
          <w:sz w:val="21"/>
          <w:szCs w:val="21"/>
          <w:highlight w:val="none"/>
        </w:rPr>
      </w:pPr>
      <w:r>
        <w:rPr>
          <w:rFonts w:hint="eastAsia"/>
          <w:color w:val="auto"/>
          <w:sz w:val="21"/>
          <w:szCs w:val="21"/>
          <w:highlight w:val="none"/>
        </w:rPr>
        <w:t>单位性质：</w:t>
      </w:r>
      <w:r>
        <w:rPr>
          <w:rFonts w:hint="eastAsia"/>
          <w:color w:val="auto"/>
          <w:sz w:val="21"/>
          <w:szCs w:val="21"/>
          <w:highlight w:val="none"/>
          <w:u w:val="single"/>
        </w:rPr>
        <w:t xml:space="preserve">                      </w:t>
      </w:r>
      <w:r>
        <w:rPr>
          <w:rFonts w:hint="eastAsia"/>
          <w:color w:val="auto"/>
          <w:sz w:val="21"/>
          <w:szCs w:val="21"/>
          <w:highlight w:val="none"/>
        </w:rPr>
        <w:t>           </w:t>
      </w:r>
    </w:p>
    <w:p>
      <w:pPr>
        <w:pStyle w:val="2"/>
        <w:rPr>
          <w:rFonts w:hint="eastAsia"/>
          <w:color w:val="auto"/>
          <w:sz w:val="21"/>
          <w:szCs w:val="21"/>
          <w:highlight w:val="none"/>
        </w:rPr>
      </w:pPr>
      <w:r>
        <w:rPr>
          <w:rFonts w:hint="eastAsia"/>
          <w:color w:val="auto"/>
          <w:sz w:val="21"/>
          <w:szCs w:val="21"/>
          <w:highlight w:val="none"/>
        </w:rPr>
        <w:t>地    址：</w:t>
      </w:r>
      <w:r>
        <w:rPr>
          <w:rFonts w:hint="eastAsia"/>
          <w:color w:val="auto"/>
          <w:sz w:val="21"/>
          <w:szCs w:val="21"/>
          <w:highlight w:val="none"/>
          <w:u w:val="single"/>
        </w:rPr>
        <w:t xml:space="preserve">                                 </w:t>
      </w:r>
      <w:r>
        <w:rPr>
          <w:rFonts w:hint="eastAsia"/>
          <w:color w:val="auto"/>
          <w:sz w:val="21"/>
          <w:szCs w:val="21"/>
          <w:highlight w:val="none"/>
        </w:rPr>
        <w:t xml:space="preserve">                </w:t>
      </w:r>
    </w:p>
    <w:p>
      <w:pPr>
        <w:pStyle w:val="2"/>
        <w:rPr>
          <w:rFonts w:hint="eastAsia"/>
          <w:color w:val="auto"/>
          <w:sz w:val="21"/>
          <w:szCs w:val="21"/>
          <w:highlight w:val="none"/>
        </w:rPr>
      </w:pPr>
      <w:r>
        <w:rPr>
          <w:rFonts w:hint="eastAsia"/>
          <w:color w:val="auto"/>
          <w:sz w:val="21"/>
          <w:szCs w:val="21"/>
          <w:highlight w:val="none"/>
        </w:rPr>
        <w:t>成立时间： </w:t>
      </w:r>
      <w:r>
        <w:rPr>
          <w:rFonts w:hint="eastAsia"/>
          <w:color w:val="auto"/>
          <w:sz w:val="21"/>
          <w:szCs w:val="21"/>
          <w:highlight w:val="none"/>
          <w:u w:val="single"/>
        </w:rPr>
        <w:t>    年      月      日</w:t>
      </w:r>
    </w:p>
    <w:p>
      <w:pPr>
        <w:pStyle w:val="2"/>
        <w:rPr>
          <w:rFonts w:hint="eastAsia"/>
          <w:color w:val="auto"/>
          <w:sz w:val="21"/>
          <w:szCs w:val="21"/>
          <w:highlight w:val="none"/>
        </w:rPr>
      </w:pPr>
      <w:r>
        <w:rPr>
          <w:rFonts w:hint="eastAsia"/>
          <w:color w:val="auto"/>
          <w:sz w:val="21"/>
          <w:szCs w:val="21"/>
          <w:highlight w:val="none"/>
        </w:rPr>
        <w:t>经营期限：</w:t>
      </w:r>
      <w:r>
        <w:rPr>
          <w:rFonts w:hint="eastAsia"/>
          <w:color w:val="auto"/>
          <w:sz w:val="21"/>
          <w:szCs w:val="21"/>
          <w:highlight w:val="none"/>
          <w:u w:val="single"/>
        </w:rPr>
        <w:t>                  </w:t>
      </w:r>
      <w:r>
        <w:rPr>
          <w:rFonts w:hint="eastAsia"/>
          <w:color w:val="auto"/>
          <w:sz w:val="21"/>
          <w:szCs w:val="21"/>
          <w:highlight w:val="none"/>
        </w:rPr>
        <w:t>         </w:t>
      </w:r>
    </w:p>
    <w:p>
      <w:pPr>
        <w:pStyle w:val="2"/>
        <w:rPr>
          <w:rFonts w:hint="eastAsia"/>
          <w:color w:val="auto"/>
          <w:sz w:val="21"/>
          <w:szCs w:val="21"/>
          <w:highlight w:val="none"/>
        </w:rPr>
      </w:pPr>
      <w:r>
        <w:rPr>
          <w:rFonts w:hint="eastAsia"/>
          <w:color w:val="auto"/>
          <w:sz w:val="21"/>
          <w:szCs w:val="21"/>
          <w:highlight w:val="none"/>
        </w:rPr>
        <w:t>姓    名：</w:t>
      </w:r>
      <w:r>
        <w:rPr>
          <w:rFonts w:hint="eastAsia"/>
          <w:color w:val="auto"/>
          <w:sz w:val="21"/>
          <w:szCs w:val="21"/>
          <w:highlight w:val="none"/>
          <w:u w:val="single"/>
        </w:rPr>
        <w:t>       </w:t>
      </w:r>
      <w:r>
        <w:rPr>
          <w:rFonts w:hint="eastAsia"/>
          <w:color w:val="auto"/>
          <w:sz w:val="21"/>
          <w:szCs w:val="21"/>
          <w:highlight w:val="none"/>
        </w:rPr>
        <w:t>  性     别：</w:t>
      </w:r>
      <w:r>
        <w:rPr>
          <w:rFonts w:hint="eastAsia"/>
          <w:color w:val="auto"/>
          <w:sz w:val="21"/>
          <w:szCs w:val="21"/>
          <w:highlight w:val="none"/>
          <w:u w:val="single"/>
        </w:rPr>
        <w:t>        </w:t>
      </w:r>
      <w:r>
        <w:rPr>
          <w:rFonts w:hint="eastAsia"/>
          <w:color w:val="auto"/>
          <w:sz w:val="21"/>
          <w:szCs w:val="21"/>
          <w:highlight w:val="none"/>
        </w:rPr>
        <w:t xml:space="preserve">  </w:t>
      </w:r>
    </w:p>
    <w:p>
      <w:pPr>
        <w:pStyle w:val="2"/>
        <w:rPr>
          <w:rFonts w:hint="eastAsia"/>
          <w:color w:val="auto"/>
          <w:sz w:val="21"/>
          <w:szCs w:val="21"/>
          <w:highlight w:val="none"/>
        </w:rPr>
      </w:pPr>
      <w:r>
        <w:rPr>
          <w:rFonts w:hint="eastAsia"/>
          <w:color w:val="auto"/>
          <w:sz w:val="21"/>
          <w:szCs w:val="21"/>
          <w:highlight w:val="none"/>
        </w:rPr>
        <w:t>年    龄：</w:t>
      </w:r>
      <w:r>
        <w:rPr>
          <w:rFonts w:hint="eastAsia"/>
          <w:color w:val="auto"/>
          <w:sz w:val="21"/>
          <w:szCs w:val="21"/>
          <w:highlight w:val="none"/>
          <w:u w:val="single"/>
        </w:rPr>
        <w:t>       </w:t>
      </w:r>
      <w:r>
        <w:rPr>
          <w:rFonts w:hint="eastAsia"/>
          <w:color w:val="auto"/>
          <w:sz w:val="21"/>
          <w:szCs w:val="21"/>
          <w:highlight w:val="none"/>
        </w:rPr>
        <w:t>  职     务：</w:t>
      </w:r>
      <w:r>
        <w:rPr>
          <w:rFonts w:hint="eastAsia"/>
          <w:color w:val="auto"/>
          <w:sz w:val="21"/>
          <w:szCs w:val="21"/>
          <w:highlight w:val="none"/>
          <w:u w:val="single"/>
        </w:rPr>
        <w:t>        </w:t>
      </w:r>
      <w:r>
        <w:rPr>
          <w:rFonts w:hint="eastAsia"/>
          <w:color w:val="auto"/>
          <w:sz w:val="21"/>
          <w:szCs w:val="21"/>
          <w:highlight w:val="none"/>
        </w:rPr>
        <w:t xml:space="preserve">    </w:t>
      </w:r>
    </w:p>
    <w:p>
      <w:pPr>
        <w:pStyle w:val="2"/>
        <w:rPr>
          <w:rFonts w:hint="eastAsia"/>
          <w:color w:val="auto"/>
          <w:sz w:val="21"/>
          <w:szCs w:val="21"/>
          <w:highlight w:val="none"/>
        </w:rPr>
      </w:pPr>
      <w:r>
        <w:rPr>
          <w:rFonts w:hint="eastAsia"/>
          <w:color w:val="auto"/>
          <w:sz w:val="21"/>
          <w:szCs w:val="21"/>
          <w:highlight w:val="none"/>
        </w:rPr>
        <w:t>系 </w:t>
      </w:r>
      <w:r>
        <w:rPr>
          <w:rFonts w:hint="eastAsia"/>
          <w:color w:val="auto"/>
          <w:sz w:val="21"/>
          <w:szCs w:val="21"/>
          <w:highlight w:val="none"/>
          <w:u w:val="single"/>
        </w:rPr>
        <w:t xml:space="preserve">                （供应商名称）</w:t>
      </w:r>
      <w:r>
        <w:rPr>
          <w:rFonts w:hint="eastAsia"/>
          <w:color w:val="auto"/>
          <w:sz w:val="21"/>
          <w:szCs w:val="21"/>
          <w:highlight w:val="none"/>
        </w:rPr>
        <w:t>的法定代表人。</w:t>
      </w:r>
    </w:p>
    <w:p>
      <w:pPr>
        <w:pStyle w:val="2"/>
        <w:rPr>
          <w:rFonts w:hint="eastAsia"/>
          <w:color w:val="auto"/>
          <w:sz w:val="21"/>
          <w:szCs w:val="21"/>
          <w:highlight w:val="none"/>
        </w:rPr>
      </w:pPr>
      <w:r>
        <w:rPr>
          <w:rFonts w:hint="eastAsia"/>
          <w:color w:val="auto"/>
          <w:sz w:val="21"/>
          <w:szCs w:val="21"/>
          <w:highlight w:val="none"/>
        </w:rPr>
        <w:t>特此证明。 </w:t>
      </w:r>
    </w:p>
    <w:p>
      <w:pPr>
        <w:pStyle w:val="2"/>
        <w:rPr>
          <w:rFonts w:hint="eastAsia"/>
          <w:color w:val="auto"/>
          <w:sz w:val="21"/>
          <w:szCs w:val="21"/>
          <w:highlight w:val="none"/>
        </w:rPr>
      </w:pPr>
      <w:r>
        <w:rPr>
          <w:rFonts w:hint="eastAsia"/>
          <w:color w:val="auto"/>
          <w:sz w:val="21"/>
          <w:szCs w:val="21"/>
          <w:highlight w:val="none"/>
        </w:rPr>
        <w:t>附：法定代表人身份证正反面</w:t>
      </w:r>
    </w:p>
    <w:p>
      <w:pPr>
        <w:pStyle w:val="2"/>
        <w:rPr>
          <w:rFonts w:hint="eastAsia"/>
          <w:color w:val="auto"/>
          <w:sz w:val="21"/>
          <w:szCs w:val="21"/>
          <w:highlight w:val="none"/>
        </w:rPr>
      </w:pPr>
    </w:p>
    <w:p>
      <w:pPr>
        <w:pStyle w:val="2"/>
        <w:rPr>
          <w:rFonts w:hint="eastAsia"/>
          <w:color w:val="auto"/>
          <w:sz w:val="21"/>
          <w:szCs w:val="21"/>
          <w:highlight w:val="none"/>
        </w:rPr>
      </w:pPr>
      <w:r>
        <w:rPr>
          <w:rFonts w:hint="eastAsia"/>
          <w:color w:val="auto"/>
          <w:sz w:val="21"/>
          <w:szCs w:val="21"/>
          <w:highlight w:val="none"/>
        </w:rPr>
        <w:t>供应商：</w:t>
      </w:r>
      <w:r>
        <w:rPr>
          <w:rFonts w:hint="eastAsia"/>
          <w:color w:val="auto"/>
          <w:sz w:val="21"/>
          <w:szCs w:val="21"/>
          <w:highlight w:val="none"/>
          <w:u w:val="single"/>
        </w:rPr>
        <w:t>                  （盖章）</w:t>
      </w:r>
    </w:p>
    <w:p>
      <w:pPr>
        <w:pStyle w:val="2"/>
        <w:rPr>
          <w:rFonts w:hint="eastAsia"/>
          <w:color w:val="auto"/>
          <w:sz w:val="21"/>
          <w:szCs w:val="21"/>
          <w:highlight w:val="none"/>
          <w:u w:val="single"/>
        </w:rPr>
      </w:pPr>
      <w:r>
        <w:rPr>
          <w:rFonts w:hint="eastAsia"/>
          <w:color w:val="auto"/>
          <w:sz w:val="21"/>
          <w:szCs w:val="21"/>
          <w:highlight w:val="none"/>
        </w:rPr>
        <w:t>日期： </w:t>
      </w:r>
      <w:r>
        <w:rPr>
          <w:rFonts w:hint="eastAsia"/>
          <w:color w:val="auto"/>
          <w:sz w:val="21"/>
          <w:szCs w:val="21"/>
          <w:highlight w:val="none"/>
          <w:u w:val="single"/>
        </w:rPr>
        <w:t xml:space="preserve">     年      月      日 </w:t>
      </w:r>
    </w:p>
    <w:p>
      <w:pPr>
        <w:pStyle w:val="2"/>
        <w:rPr>
          <w:rFonts w:hint="eastAsia"/>
          <w:color w:val="auto"/>
          <w:highlight w:val="none"/>
        </w:rPr>
      </w:pPr>
    </w:p>
    <w:p>
      <w:pPr>
        <w:pStyle w:val="2"/>
        <w:rPr>
          <w:rFonts w:hint="eastAsia"/>
          <w:color w:val="auto"/>
          <w:highlight w:val="none"/>
        </w:rPr>
      </w:pPr>
    </w:p>
    <w:p>
      <w:pPr>
        <w:pStyle w:val="31"/>
        <w:spacing w:before="120" w:beforeLines="50" w:after="120" w:afterLines="50" w:line="360" w:lineRule="auto"/>
        <w:jc w:val="left"/>
        <w:outlineLvl w:val="9"/>
        <w:rPr>
          <w:rFonts w:hint="eastAsia" w:ascii="宋体" w:hAnsi="宋体" w:cs="宋体"/>
          <w:color w:val="auto"/>
          <w:sz w:val="21"/>
          <w:szCs w:val="21"/>
          <w:highlight w:val="none"/>
        </w:rPr>
      </w:pPr>
      <w:bookmarkStart w:id="230" w:name="_Toc175062653"/>
    </w:p>
    <w:p>
      <w:pPr>
        <w:pStyle w:val="31"/>
        <w:spacing w:before="120" w:beforeLines="50" w:after="120" w:afterLines="50"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bookmarkEnd w:id="230"/>
      <w:bookmarkStart w:id="231" w:name="_Toc1868"/>
      <w:bookmarkStart w:id="232" w:name="_Toc304556858"/>
      <w:bookmarkStart w:id="233" w:name="_Toc302360915"/>
      <w:bookmarkStart w:id="234" w:name="_Toc301799734"/>
      <w:bookmarkStart w:id="235" w:name="_Toc135393392"/>
      <w:bookmarkStart w:id="236" w:name="_Toc113093110"/>
      <w:bookmarkStart w:id="237" w:name="_Toc175062659"/>
      <w:bookmarkStart w:id="238" w:name="_Toc111223472"/>
      <w:bookmarkStart w:id="239" w:name="_Toc144556818"/>
      <w:r>
        <w:rPr>
          <w:rFonts w:hint="eastAsia" w:ascii="宋体" w:hAnsi="宋体" w:cs="宋体"/>
          <w:color w:val="auto"/>
          <w:sz w:val="21"/>
          <w:szCs w:val="21"/>
          <w:highlight w:val="none"/>
        </w:rPr>
        <w:t>附件</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-4  投标人的资格声明（格式）</w:t>
      </w:r>
      <w:bookmarkEnd w:id="231"/>
      <w:bookmarkEnd w:id="232"/>
      <w:bookmarkEnd w:id="233"/>
    </w:p>
    <w:tbl>
      <w:tblPr>
        <w:tblStyle w:val="44"/>
        <w:tblW w:w="856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06"/>
        <w:gridCol w:w="1177"/>
        <w:gridCol w:w="1291"/>
        <w:gridCol w:w="689"/>
        <w:gridCol w:w="180"/>
        <w:gridCol w:w="213"/>
        <w:gridCol w:w="192"/>
        <w:gridCol w:w="855"/>
        <w:gridCol w:w="255"/>
        <w:gridCol w:w="300"/>
        <w:gridCol w:w="15"/>
        <w:gridCol w:w="723"/>
        <w:gridCol w:w="263"/>
        <w:gridCol w:w="64"/>
        <w:gridCol w:w="153"/>
        <w:gridCol w:w="57"/>
        <w:gridCol w:w="15"/>
        <w:gridCol w:w="30"/>
        <w:gridCol w:w="605"/>
        <w:gridCol w:w="78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9" w:hRule="atLeast"/>
          <w:jc w:val="center"/>
        </w:trPr>
        <w:tc>
          <w:tcPr>
            <w:tcW w:w="1883"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投标人名称</w:t>
            </w:r>
          </w:p>
        </w:tc>
        <w:tc>
          <w:tcPr>
            <w:tcW w:w="6685" w:type="dxa"/>
            <w:gridSpan w:val="18"/>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经营地址</w:t>
            </w:r>
          </w:p>
        </w:tc>
        <w:tc>
          <w:tcPr>
            <w:tcW w:w="3990" w:type="dxa"/>
            <w:gridSpan w:val="9"/>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203" w:type="dxa"/>
            <w:gridSpan w:val="4"/>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联系电话</w:t>
            </w:r>
          </w:p>
        </w:tc>
        <w:tc>
          <w:tcPr>
            <w:tcW w:w="1492" w:type="dxa"/>
            <w:gridSpan w:val="5"/>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22" w:hRule="atLeast"/>
          <w:jc w:val="center"/>
        </w:trPr>
        <w:tc>
          <w:tcPr>
            <w:tcW w:w="1883"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企业注册地址</w:t>
            </w:r>
          </w:p>
        </w:tc>
        <w:tc>
          <w:tcPr>
            <w:tcW w:w="3990" w:type="dxa"/>
            <w:gridSpan w:val="9"/>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203" w:type="dxa"/>
            <w:gridSpan w:val="4"/>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传真电话</w:t>
            </w:r>
          </w:p>
        </w:tc>
        <w:tc>
          <w:tcPr>
            <w:tcW w:w="1492" w:type="dxa"/>
            <w:gridSpan w:val="5"/>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1883"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邮政编码</w:t>
            </w:r>
          </w:p>
        </w:tc>
        <w:tc>
          <w:tcPr>
            <w:tcW w:w="2565" w:type="dxa"/>
            <w:gridSpan w:val="5"/>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425" w:type="dxa"/>
            <w:gridSpan w:val="4"/>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电子信箱</w:t>
            </w:r>
          </w:p>
        </w:tc>
        <w:tc>
          <w:tcPr>
            <w:tcW w:w="2695" w:type="dxa"/>
            <w:gridSpan w:val="9"/>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工商执照号</w:t>
            </w:r>
          </w:p>
        </w:tc>
        <w:tc>
          <w:tcPr>
            <w:tcW w:w="2160" w:type="dxa"/>
            <w:gridSpan w:val="3"/>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2880" w:type="dxa"/>
            <w:gridSpan w:val="9"/>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机动车维修经营许可证编号</w:t>
            </w:r>
          </w:p>
        </w:tc>
        <w:tc>
          <w:tcPr>
            <w:tcW w:w="1645" w:type="dxa"/>
            <w:gridSpan w:val="6"/>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经济类型</w:t>
            </w:r>
          </w:p>
        </w:tc>
        <w:tc>
          <w:tcPr>
            <w:tcW w:w="2565" w:type="dxa"/>
            <w:gridSpan w:val="5"/>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425" w:type="dxa"/>
            <w:gridSpan w:val="4"/>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注册资金</w:t>
            </w:r>
          </w:p>
        </w:tc>
        <w:tc>
          <w:tcPr>
            <w:tcW w:w="2695" w:type="dxa"/>
            <w:gridSpan w:val="9"/>
            <w:noWrap w:val="0"/>
            <w:vAlign w:val="center"/>
          </w:tcPr>
          <w:p>
            <w:pPr>
              <w:keepNext w:val="0"/>
              <w:keepLines w:val="0"/>
              <w:suppressLineNumbers w:val="0"/>
              <w:spacing w:before="0" w:beforeAutospacing="0" w:after="0" w:afterAutospacing="0"/>
              <w:ind w:left="0" w:right="0" w:firstLine="1680" w:firstLineChars="800"/>
              <w:rPr>
                <w:rFonts w:hint="eastAsia" w:ascii="宋体" w:hAnsi="宋体" w:cs="Times New Roman"/>
                <w:color w:val="auto"/>
                <w:szCs w:val="21"/>
                <w:highlight w:val="none"/>
              </w:rPr>
            </w:pPr>
            <w:r>
              <w:rPr>
                <w:rFonts w:hint="eastAsia" w:ascii="宋体" w:hAnsi="宋体" w:cs="Times New Roman"/>
                <w:color w:val="auto"/>
                <w:szCs w:val="21"/>
                <w:highlight w:val="none"/>
              </w:rPr>
              <w:t>万</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开户银行</w:t>
            </w:r>
          </w:p>
        </w:tc>
        <w:tc>
          <w:tcPr>
            <w:tcW w:w="2565" w:type="dxa"/>
            <w:gridSpan w:val="5"/>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425" w:type="dxa"/>
            <w:gridSpan w:val="4"/>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帐   号</w:t>
            </w:r>
          </w:p>
        </w:tc>
        <w:tc>
          <w:tcPr>
            <w:tcW w:w="2695" w:type="dxa"/>
            <w:gridSpan w:val="9"/>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63" w:type="dxa"/>
            <w:gridSpan w:val="4"/>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机动车维修经营许可证许可的经营范围</w:t>
            </w:r>
          </w:p>
        </w:tc>
        <w:tc>
          <w:tcPr>
            <w:tcW w:w="4705" w:type="dxa"/>
            <w:gridSpan w:val="16"/>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主修车型</w:t>
            </w:r>
          </w:p>
        </w:tc>
        <w:tc>
          <w:tcPr>
            <w:tcW w:w="6685" w:type="dxa"/>
            <w:gridSpan w:val="18"/>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所在国省道代码</w:t>
            </w:r>
          </w:p>
        </w:tc>
        <w:tc>
          <w:tcPr>
            <w:tcW w:w="1291" w:type="dxa"/>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274" w:type="dxa"/>
            <w:gridSpan w:val="4"/>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路线名称</w:t>
            </w:r>
          </w:p>
        </w:tc>
        <w:tc>
          <w:tcPr>
            <w:tcW w:w="1410" w:type="dxa"/>
            <w:gridSpan w:val="3"/>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275" w:type="dxa"/>
            <w:gridSpan w:val="6"/>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桩号里程</w:t>
            </w:r>
          </w:p>
        </w:tc>
        <w:tc>
          <w:tcPr>
            <w:tcW w:w="1435" w:type="dxa"/>
            <w:gridSpan w:val="4"/>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是否特约维修</w:t>
            </w:r>
          </w:p>
        </w:tc>
        <w:tc>
          <w:tcPr>
            <w:tcW w:w="1291" w:type="dxa"/>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274" w:type="dxa"/>
            <w:gridSpan w:val="4"/>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特约车型</w:t>
            </w:r>
          </w:p>
        </w:tc>
        <w:tc>
          <w:tcPr>
            <w:tcW w:w="1410" w:type="dxa"/>
            <w:gridSpan w:val="3"/>
            <w:noWrap w:val="0"/>
            <w:vAlign w:val="center"/>
          </w:tcPr>
          <w:p>
            <w:pPr>
              <w:keepNext w:val="0"/>
              <w:keepLines w:val="0"/>
              <w:suppressLineNumbers w:val="0"/>
              <w:spacing w:before="0" w:beforeAutospacing="0" w:after="0" w:afterAutospacing="0"/>
              <w:ind w:left="2637" w:right="0"/>
              <w:rPr>
                <w:rFonts w:hint="eastAsia" w:ascii="宋体" w:hAnsi="宋体" w:cs="Times New Roman"/>
                <w:color w:val="auto"/>
                <w:szCs w:val="21"/>
                <w:highlight w:val="none"/>
              </w:rPr>
            </w:pPr>
          </w:p>
        </w:tc>
        <w:tc>
          <w:tcPr>
            <w:tcW w:w="2710" w:type="dxa"/>
            <w:gridSpan w:val="10"/>
            <w:noWrap w:val="0"/>
            <w:vAlign w:val="center"/>
          </w:tcPr>
          <w:p>
            <w:pPr>
              <w:keepNext w:val="0"/>
              <w:keepLines w:val="0"/>
              <w:suppressLineNumbers w:val="0"/>
              <w:spacing w:before="0" w:beforeAutospacing="0" w:after="0" w:afterAutospacing="0"/>
              <w:ind w:left="2637" w:right="0"/>
              <w:rPr>
                <w:rFonts w:hint="eastAsia" w:ascii="宋体" w:hAnsi="宋体" w:cs="Times New Roman"/>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是否救援服务</w:t>
            </w:r>
          </w:p>
        </w:tc>
        <w:tc>
          <w:tcPr>
            <w:tcW w:w="1291" w:type="dxa"/>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274" w:type="dxa"/>
            <w:gridSpan w:val="4"/>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救援车辆数</w:t>
            </w:r>
          </w:p>
        </w:tc>
        <w:tc>
          <w:tcPr>
            <w:tcW w:w="855" w:type="dxa"/>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845" w:type="dxa"/>
            <w:gridSpan w:val="9"/>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24小时救援电话</w:t>
            </w:r>
          </w:p>
        </w:tc>
        <w:tc>
          <w:tcPr>
            <w:tcW w:w="1420" w:type="dxa"/>
            <w:gridSpan w:val="3"/>
            <w:noWrap w:val="0"/>
            <w:vAlign w:val="center"/>
          </w:tcPr>
          <w:p>
            <w:pPr>
              <w:keepNext w:val="0"/>
              <w:keepLines w:val="0"/>
              <w:suppressLineNumbers w:val="0"/>
              <w:spacing w:before="0" w:beforeAutospacing="0" w:after="0" w:afterAutospacing="0"/>
              <w:ind w:left="717" w:right="0"/>
              <w:rPr>
                <w:rFonts w:hint="eastAsia" w:ascii="宋体" w:hAnsi="宋体" w:cs="Times New Roman"/>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是否连锁经营</w:t>
            </w:r>
          </w:p>
        </w:tc>
        <w:tc>
          <w:tcPr>
            <w:tcW w:w="1291" w:type="dxa"/>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2384" w:type="dxa"/>
            <w:gridSpan w:val="6"/>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设立技术服务公司地址</w:t>
            </w:r>
          </w:p>
        </w:tc>
        <w:tc>
          <w:tcPr>
            <w:tcW w:w="3010" w:type="dxa"/>
            <w:gridSpan w:val="11"/>
            <w:noWrap w:val="0"/>
            <w:vAlign w:val="center"/>
          </w:tcPr>
          <w:p>
            <w:pPr>
              <w:keepNext w:val="0"/>
              <w:keepLines w:val="0"/>
              <w:suppressLineNumbers w:val="0"/>
              <w:spacing w:before="0" w:beforeAutospacing="0" w:after="0" w:afterAutospacing="0"/>
              <w:ind w:left="0" w:right="0" w:firstLine="1260" w:firstLineChars="600"/>
              <w:rPr>
                <w:rFonts w:hint="eastAsia" w:ascii="宋体" w:hAnsi="宋体" w:cs="Times New Roman"/>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vMerge w:val="restart"/>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场地面积</w:t>
            </w:r>
          </w:p>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(平方米)</w:t>
            </w:r>
          </w:p>
        </w:tc>
        <w:tc>
          <w:tcPr>
            <w:tcW w:w="1291" w:type="dxa"/>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场地总面积</w:t>
            </w:r>
          </w:p>
        </w:tc>
        <w:tc>
          <w:tcPr>
            <w:tcW w:w="1082" w:type="dxa"/>
            <w:gridSpan w:val="3"/>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厂房面积</w:t>
            </w:r>
          </w:p>
        </w:tc>
        <w:tc>
          <w:tcPr>
            <w:tcW w:w="1302" w:type="dxa"/>
            <w:gridSpan w:val="3"/>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办公室面积</w:t>
            </w:r>
          </w:p>
        </w:tc>
        <w:tc>
          <w:tcPr>
            <w:tcW w:w="1620" w:type="dxa"/>
            <w:gridSpan w:val="9"/>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接待室面积</w:t>
            </w:r>
          </w:p>
        </w:tc>
        <w:tc>
          <w:tcPr>
            <w:tcW w:w="1390"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停车场面积</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95" w:hRule="atLeast"/>
          <w:jc w:val="center"/>
        </w:trPr>
        <w:tc>
          <w:tcPr>
            <w:tcW w:w="1883" w:type="dxa"/>
            <w:gridSpan w:val="2"/>
            <w:vMerge w:val="continue"/>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291" w:type="dxa"/>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082" w:type="dxa"/>
            <w:gridSpan w:val="3"/>
            <w:noWrap w:val="0"/>
            <w:vAlign w:val="center"/>
          </w:tcPr>
          <w:p>
            <w:pPr>
              <w:keepNext w:val="0"/>
              <w:keepLines w:val="0"/>
              <w:suppressLineNumbers w:val="0"/>
              <w:spacing w:before="0" w:beforeAutospacing="0" w:after="0" w:afterAutospacing="0"/>
              <w:ind w:left="300" w:right="0"/>
              <w:rPr>
                <w:rFonts w:hint="eastAsia" w:ascii="宋体" w:hAnsi="宋体" w:cs="Times New Roman"/>
                <w:color w:val="auto"/>
                <w:szCs w:val="21"/>
                <w:highlight w:val="none"/>
              </w:rPr>
            </w:pPr>
          </w:p>
        </w:tc>
        <w:tc>
          <w:tcPr>
            <w:tcW w:w="1302" w:type="dxa"/>
            <w:gridSpan w:val="3"/>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620" w:type="dxa"/>
            <w:gridSpan w:val="9"/>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390" w:type="dxa"/>
            <w:gridSpan w:val="2"/>
            <w:noWrap w:val="0"/>
            <w:vAlign w:val="center"/>
          </w:tcPr>
          <w:p>
            <w:pPr>
              <w:keepNext w:val="0"/>
              <w:keepLines w:val="0"/>
              <w:suppressLineNumbers w:val="0"/>
              <w:spacing w:before="0" w:beforeAutospacing="0" w:after="0" w:afterAutospacing="0"/>
              <w:ind w:left="375" w:right="0"/>
              <w:rPr>
                <w:rFonts w:hint="eastAsia" w:ascii="宋体" w:hAnsi="宋体" w:cs="Times New Roman"/>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法定代表人</w:t>
            </w:r>
          </w:p>
        </w:tc>
        <w:tc>
          <w:tcPr>
            <w:tcW w:w="1291" w:type="dxa"/>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082" w:type="dxa"/>
            <w:gridSpan w:val="3"/>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办公电话</w:t>
            </w:r>
          </w:p>
        </w:tc>
        <w:tc>
          <w:tcPr>
            <w:tcW w:w="1302" w:type="dxa"/>
            <w:gridSpan w:val="3"/>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038" w:type="dxa"/>
            <w:gridSpan w:val="3"/>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手机</w:t>
            </w:r>
          </w:p>
        </w:tc>
        <w:tc>
          <w:tcPr>
            <w:tcW w:w="1972" w:type="dxa"/>
            <w:gridSpan w:val="8"/>
            <w:noWrap w:val="0"/>
            <w:vAlign w:val="center"/>
          </w:tcPr>
          <w:p>
            <w:pPr>
              <w:keepNext w:val="0"/>
              <w:keepLines w:val="0"/>
              <w:suppressLineNumbers w:val="0"/>
              <w:spacing w:before="0" w:beforeAutospacing="0" w:after="0" w:afterAutospacing="0"/>
              <w:ind w:left="432" w:right="0"/>
              <w:rPr>
                <w:rFonts w:hint="eastAsia" w:ascii="宋体" w:hAnsi="宋体" w:cs="Times New Roman"/>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管理负责人</w:t>
            </w:r>
          </w:p>
        </w:tc>
        <w:tc>
          <w:tcPr>
            <w:tcW w:w="1291" w:type="dxa"/>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082" w:type="dxa"/>
            <w:gridSpan w:val="3"/>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办公电话</w:t>
            </w:r>
          </w:p>
        </w:tc>
        <w:tc>
          <w:tcPr>
            <w:tcW w:w="1302" w:type="dxa"/>
            <w:gridSpan w:val="3"/>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038" w:type="dxa"/>
            <w:gridSpan w:val="3"/>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手机</w:t>
            </w:r>
          </w:p>
        </w:tc>
        <w:tc>
          <w:tcPr>
            <w:tcW w:w="1972" w:type="dxa"/>
            <w:gridSpan w:val="8"/>
            <w:noWrap w:val="0"/>
            <w:vAlign w:val="center"/>
          </w:tcPr>
          <w:p>
            <w:pPr>
              <w:keepNext w:val="0"/>
              <w:keepLines w:val="0"/>
              <w:suppressLineNumbers w:val="0"/>
              <w:spacing w:before="0" w:beforeAutospacing="0" w:after="0" w:afterAutospacing="0"/>
              <w:ind w:left="432" w:right="0"/>
              <w:rPr>
                <w:rFonts w:hint="eastAsia" w:ascii="宋体" w:hAnsi="宋体" w:cs="Times New Roman"/>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技术负责人</w:t>
            </w:r>
          </w:p>
        </w:tc>
        <w:tc>
          <w:tcPr>
            <w:tcW w:w="1291" w:type="dxa"/>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082" w:type="dxa"/>
            <w:gridSpan w:val="3"/>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办公电话</w:t>
            </w:r>
          </w:p>
        </w:tc>
        <w:tc>
          <w:tcPr>
            <w:tcW w:w="1302" w:type="dxa"/>
            <w:gridSpan w:val="3"/>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038" w:type="dxa"/>
            <w:gridSpan w:val="3"/>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手机</w:t>
            </w:r>
          </w:p>
        </w:tc>
        <w:tc>
          <w:tcPr>
            <w:tcW w:w="1972" w:type="dxa"/>
            <w:gridSpan w:val="8"/>
            <w:noWrap w:val="0"/>
            <w:vAlign w:val="center"/>
          </w:tcPr>
          <w:p>
            <w:pPr>
              <w:keepNext w:val="0"/>
              <w:keepLines w:val="0"/>
              <w:suppressLineNumbers w:val="0"/>
              <w:spacing w:before="0" w:beforeAutospacing="0" w:after="0" w:afterAutospacing="0"/>
              <w:ind w:left="432" w:right="0"/>
              <w:rPr>
                <w:rFonts w:hint="eastAsia" w:ascii="宋体" w:hAnsi="宋体" w:cs="Times New Roman"/>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质量(总)检验员</w:t>
            </w:r>
          </w:p>
        </w:tc>
        <w:tc>
          <w:tcPr>
            <w:tcW w:w="1291" w:type="dxa"/>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082" w:type="dxa"/>
            <w:gridSpan w:val="3"/>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办公电话</w:t>
            </w:r>
          </w:p>
        </w:tc>
        <w:tc>
          <w:tcPr>
            <w:tcW w:w="1302" w:type="dxa"/>
            <w:gridSpan w:val="3"/>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038" w:type="dxa"/>
            <w:gridSpan w:val="3"/>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手机</w:t>
            </w:r>
          </w:p>
        </w:tc>
        <w:tc>
          <w:tcPr>
            <w:tcW w:w="1972" w:type="dxa"/>
            <w:gridSpan w:val="8"/>
            <w:noWrap w:val="0"/>
            <w:vAlign w:val="center"/>
          </w:tcPr>
          <w:p>
            <w:pPr>
              <w:keepNext w:val="0"/>
              <w:keepLines w:val="0"/>
              <w:suppressLineNumbers w:val="0"/>
              <w:spacing w:before="0" w:beforeAutospacing="0" w:after="0" w:afterAutospacing="0"/>
              <w:ind w:left="432" w:right="0"/>
              <w:rPr>
                <w:rFonts w:hint="eastAsia" w:ascii="宋体" w:hAnsi="宋体" w:cs="Times New Roman"/>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质量(总)检验员</w:t>
            </w:r>
          </w:p>
        </w:tc>
        <w:tc>
          <w:tcPr>
            <w:tcW w:w="1291" w:type="dxa"/>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082" w:type="dxa"/>
            <w:gridSpan w:val="3"/>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办公电话</w:t>
            </w:r>
          </w:p>
        </w:tc>
        <w:tc>
          <w:tcPr>
            <w:tcW w:w="1302" w:type="dxa"/>
            <w:gridSpan w:val="3"/>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038" w:type="dxa"/>
            <w:gridSpan w:val="3"/>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手机</w:t>
            </w:r>
          </w:p>
        </w:tc>
        <w:tc>
          <w:tcPr>
            <w:tcW w:w="1972" w:type="dxa"/>
            <w:gridSpan w:val="8"/>
            <w:noWrap w:val="0"/>
            <w:vAlign w:val="center"/>
          </w:tcPr>
          <w:p>
            <w:pPr>
              <w:keepNext w:val="0"/>
              <w:keepLines w:val="0"/>
              <w:suppressLineNumbers w:val="0"/>
              <w:spacing w:before="0" w:beforeAutospacing="0" w:after="0" w:afterAutospacing="0"/>
              <w:ind w:left="432" w:right="0"/>
              <w:rPr>
                <w:rFonts w:hint="eastAsia" w:ascii="宋体" w:hAnsi="宋体" w:cs="Times New Roman"/>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质量(总)检验员</w:t>
            </w:r>
          </w:p>
        </w:tc>
        <w:tc>
          <w:tcPr>
            <w:tcW w:w="1291" w:type="dxa"/>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082" w:type="dxa"/>
            <w:gridSpan w:val="3"/>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办公电话</w:t>
            </w:r>
          </w:p>
        </w:tc>
        <w:tc>
          <w:tcPr>
            <w:tcW w:w="1302" w:type="dxa"/>
            <w:gridSpan w:val="3"/>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038" w:type="dxa"/>
            <w:gridSpan w:val="3"/>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手机</w:t>
            </w:r>
          </w:p>
        </w:tc>
        <w:tc>
          <w:tcPr>
            <w:tcW w:w="1972" w:type="dxa"/>
            <w:gridSpan w:val="8"/>
            <w:noWrap w:val="0"/>
            <w:vAlign w:val="center"/>
          </w:tcPr>
          <w:p>
            <w:pPr>
              <w:keepNext w:val="0"/>
              <w:keepLines w:val="0"/>
              <w:suppressLineNumbers w:val="0"/>
              <w:spacing w:before="0" w:beforeAutospacing="0" w:after="0" w:afterAutospacing="0"/>
              <w:ind w:left="432" w:right="0"/>
              <w:rPr>
                <w:rFonts w:hint="eastAsia" w:ascii="宋体" w:hAnsi="宋体" w:cs="Times New Roman"/>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174" w:type="dxa"/>
            <w:gridSpan w:val="3"/>
            <w:vMerge w:val="restart"/>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人员配备情况(人)</w:t>
            </w:r>
          </w:p>
        </w:tc>
        <w:tc>
          <w:tcPr>
            <w:tcW w:w="1274" w:type="dxa"/>
            <w:gridSpan w:val="4"/>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在职总人数</w:t>
            </w:r>
          </w:p>
        </w:tc>
        <w:tc>
          <w:tcPr>
            <w:tcW w:w="1110"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管理人员</w:t>
            </w:r>
          </w:p>
        </w:tc>
        <w:tc>
          <w:tcPr>
            <w:tcW w:w="1301" w:type="dxa"/>
            <w:gridSpan w:val="4"/>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技术工人</w:t>
            </w:r>
          </w:p>
        </w:tc>
        <w:tc>
          <w:tcPr>
            <w:tcW w:w="1709" w:type="dxa"/>
            <w:gridSpan w:val="7"/>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其 他</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174" w:type="dxa"/>
            <w:gridSpan w:val="3"/>
            <w:vMerge w:val="continue"/>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274" w:type="dxa"/>
            <w:gridSpan w:val="4"/>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110"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301" w:type="dxa"/>
            <w:gridSpan w:val="4"/>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709" w:type="dxa"/>
            <w:gridSpan w:val="7"/>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restart"/>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管理人员数量(人)</w:t>
            </w:r>
          </w:p>
        </w:tc>
        <w:tc>
          <w:tcPr>
            <w:tcW w:w="2468"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274" w:type="dxa"/>
            <w:gridSpan w:val="4"/>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高级工程师</w:t>
            </w:r>
          </w:p>
        </w:tc>
        <w:tc>
          <w:tcPr>
            <w:tcW w:w="1110"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工程师</w:t>
            </w:r>
          </w:p>
        </w:tc>
        <w:tc>
          <w:tcPr>
            <w:tcW w:w="1301" w:type="dxa"/>
            <w:gridSpan w:val="4"/>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助理工程师</w:t>
            </w:r>
          </w:p>
        </w:tc>
        <w:tc>
          <w:tcPr>
            <w:tcW w:w="924" w:type="dxa"/>
            <w:gridSpan w:val="6"/>
            <w:tcBorders>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技术员</w:t>
            </w:r>
          </w:p>
        </w:tc>
        <w:tc>
          <w:tcPr>
            <w:tcW w:w="785" w:type="dxa"/>
            <w:tcBorders>
              <w:lef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合计</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2468"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管理负责人</w:t>
            </w:r>
          </w:p>
        </w:tc>
        <w:tc>
          <w:tcPr>
            <w:tcW w:w="1274" w:type="dxa"/>
            <w:gridSpan w:val="4"/>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110"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301" w:type="dxa"/>
            <w:gridSpan w:val="4"/>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924" w:type="dxa"/>
            <w:gridSpan w:val="6"/>
            <w:tcBorders>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785" w:type="dxa"/>
            <w:tcBorders>
              <w:lef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2468"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技术负责人</w:t>
            </w:r>
          </w:p>
        </w:tc>
        <w:tc>
          <w:tcPr>
            <w:tcW w:w="1274" w:type="dxa"/>
            <w:gridSpan w:val="4"/>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110"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301" w:type="dxa"/>
            <w:gridSpan w:val="4"/>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924" w:type="dxa"/>
            <w:gridSpan w:val="6"/>
            <w:tcBorders>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785" w:type="dxa"/>
            <w:tcBorders>
              <w:lef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2468"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检验人员</w:t>
            </w:r>
          </w:p>
        </w:tc>
        <w:tc>
          <w:tcPr>
            <w:tcW w:w="1274" w:type="dxa"/>
            <w:gridSpan w:val="4"/>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110"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301" w:type="dxa"/>
            <w:gridSpan w:val="4"/>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924" w:type="dxa"/>
            <w:gridSpan w:val="6"/>
            <w:tcBorders>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785" w:type="dxa"/>
            <w:tcBorders>
              <w:lef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2468"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业务人员</w:t>
            </w:r>
          </w:p>
        </w:tc>
        <w:tc>
          <w:tcPr>
            <w:tcW w:w="1274" w:type="dxa"/>
            <w:gridSpan w:val="4"/>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110"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301" w:type="dxa"/>
            <w:gridSpan w:val="4"/>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924" w:type="dxa"/>
            <w:gridSpan w:val="6"/>
            <w:tcBorders>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785" w:type="dxa"/>
            <w:tcBorders>
              <w:lef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2468"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价格核算人员</w:t>
            </w:r>
          </w:p>
        </w:tc>
        <w:tc>
          <w:tcPr>
            <w:tcW w:w="1274" w:type="dxa"/>
            <w:gridSpan w:val="4"/>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110"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301" w:type="dxa"/>
            <w:gridSpan w:val="4"/>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924" w:type="dxa"/>
            <w:gridSpan w:val="6"/>
            <w:tcBorders>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785" w:type="dxa"/>
            <w:tcBorders>
              <w:lef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2468"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其他人员</w:t>
            </w:r>
          </w:p>
        </w:tc>
        <w:tc>
          <w:tcPr>
            <w:tcW w:w="1274" w:type="dxa"/>
            <w:gridSpan w:val="4"/>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110"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301" w:type="dxa"/>
            <w:gridSpan w:val="4"/>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924" w:type="dxa"/>
            <w:gridSpan w:val="6"/>
            <w:tcBorders>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785" w:type="dxa"/>
            <w:tcBorders>
              <w:lef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2468"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合   计</w:t>
            </w:r>
          </w:p>
        </w:tc>
        <w:tc>
          <w:tcPr>
            <w:tcW w:w="1274" w:type="dxa"/>
            <w:gridSpan w:val="4"/>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110"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301" w:type="dxa"/>
            <w:gridSpan w:val="4"/>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924" w:type="dxa"/>
            <w:gridSpan w:val="6"/>
            <w:tcBorders>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785" w:type="dxa"/>
            <w:tcBorders>
              <w:lef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restart"/>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技术工人数量(人)</w:t>
            </w:r>
          </w:p>
        </w:tc>
        <w:tc>
          <w:tcPr>
            <w:tcW w:w="2468"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274" w:type="dxa"/>
            <w:gridSpan w:val="4"/>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技工</w:t>
            </w:r>
          </w:p>
        </w:tc>
        <w:tc>
          <w:tcPr>
            <w:tcW w:w="1110"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高级工</w:t>
            </w:r>
          </w:p>
        </w:tc>
        <w:tc>
          <w:tcPr>
            <w:tcW w:w="1301" w:type="dxa"/>
            <w:gridSpan w:val="4"/>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中级工</w:t>
            </w:r>
          </w:p>
        </w:tc>
        <w:tc>
          <w:tcPr>
            <w:tcW w:w="924" w:type="dxa"/>
            <w:gridSpan w:val="6"/>
            <w:tcBorders>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初级工</w:t>
            </w:r>
          </w:p>
        </w:tc>
        <w:tc>
          <w:tcPr>
            <w:tcW w:w="785" w:type="dxa"/>
            <w:tcBorders>
              <w:lef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合计</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2468"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机修工</w:t>
            </w:r>
          </w:p>
        </w:tc>
        <w:tc>
          <w:tcPr>
            <w:tcW w:w="1274" w:type="dxa"/>
            <w:gridSpan w:val="4"/>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110"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301" w:type="dxa"/>
            <w:gridSpan w:val="4"/>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924" w:type="dxa"/>
            <w:gridSpan w:val="6"/>
            <w:tcBorders>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785" w:type="dxa"/>
            <w:tcBorders>
              <w:lef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2468"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电器工</w:t>
            </w:r>
          </w:p>
        </w:tc>
        <w:tc>
          <w:tcPr>
            <w:tcW w:w="1274" w:type="dxa"/>
            <w:gridSpan w:val="4"/>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110"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301" w:type="dxa"/>
            <w:gridSpan w:val="4"/>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924" w:type="dxa"/>
            <w:gridSpan w:val="6"/>
            <w:tcBorders>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785" w:type="dxa"/>
            <w:tcBorders>
              <w:lef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2468"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钣金工</w:t>
            </w:r>
          </w:p>
        </w:tc>
        <w:tc>
          <w:tcPr>
            <w:tcW w:w="1274" w:type="dxa"/>
            <w:gridSpan w:val="4"/>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110"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301" w:type="dxa"/>
            <w:gridSpan w:val="4"/>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924" w:type="dxa"/>
            <w:gridSpan w:val="6"/>
            <w:tcBorders>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785" w:type="dxa"/>
            <w:tcBorders>
              <w:lef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2468" w:type="dxa"/>
            <w:gridSpan w:val="2"/>
            <w:tcBorders>
              <w:top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油漆工</w:t>
            </w:r>
          </w:p>
        </w:tc>
        <w:tc>
          <w:tcPr>
            <w:tcW w:w="1274" w:type="dxa"/>
            <w:gridSpan w:val="4"/>
            <w:tcBorders>
              <w:top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110" w:type="dxa"/>
            <w:gridSpan w:val="2"/>
            <w:tcBorders>
              <w:top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301" w:type="dxa"/>
            <w:gridSpan w:val="4"/>
            <w:tcBorders>
              <w:top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924" w:type="dxa"/>
            <w:gridSpan w:val="6"/>
            <w:tcBorders>
              <w:top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785" w:type="dxa"/>
            <w:tcBorders>
              <w:top w:val="single" w:color="auto" w:sz="4" w:space="0"/>
              <w:lef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2468"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检测工</w:t>
            </w:r>
          </w:p>
        </w:tc>
        <w:tc>
          <w:tcPr>
            <w:tcW w:w="1274" w:type="dxa"/>
            <w:gridSpan w:val="4"/>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110"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301" w:type="dxa"/>
            <w:gridSpan w:val="4"/>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924" w:type="dxa"/>
            <w:gridSpan w:val="6"/>
            <w:tcBorders>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785" w:type="dxa"/>
            <w:tcBorders>
              <w:lef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2468"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其他维修工</w:t>
            </w:r>
          </w:p>
        </w:tc>
        <w:tc>
          <w:tcPr>
            <w:tcW w:w="1274" w:type="dxa"/>
            <w:gridSpan w:val="4"/>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110"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301" w:type="dxa"/>
            <w:gridSpan w:val="4"/>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924" w:type="dxa"/>
            <w:gridSpan w:val="6"/>
            <w:tcBorders>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785" w:type="dxa"/>
            <w:tcBorders>
              <w:lef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2468"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合   计</w:t>
            </w:r>
          </w:p>
        </w:tc>
        <w:tc>
          <w:tcPr>
            <w:tcW w:w="1274" w:type="dxa"/>
            <w:gridSpan w:val="4"/>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110" w:type="dxa"/>
            <w:gridSpan w:val="2"/>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301" w:type="dxa"/>
            <w:gridSpan w:val="4"/>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924" w:type="dxa"/>
            <w:gridSpan w:val="6"/>
            <w:tcBorders>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785" w:type="dxa"/>
            <w:tcBorders>
              <w:lef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r>
    </w:tbl>
    <w:p>
      <w:pPr>
        <w:tabs>
          <w:tab w:val="left" w:pos="5580"/>
        </w:tabs>
        <w:spacing w:before="120"/>
        <w:ind w:firstLine="454"/>
        <w:rPr>
          <w:rFonts w:hint="eastAsia" w:ascii="宋体" w:hAnsi="宋体" w:cs="宋体"/>
          <w:color w:val="auto"/>
          <w:szCs w:val="21"/>
          <w:highlight w:val="none"/>
        </w:rPr>
      </w:pPr>
      <w:r>
        <w:rPr>
          <w:rFonts w:hint="eastAsia" w:ascii="宋体" w:hAnsi="宋体" w:cs="宋体"/>
          <w:color w:val="auto"/>
          <w:szCs w:val="21"/>
          <w:highlight w:val="none"/>
        </w:rPr>
        <w:t>兹证明上述声明是真实、正确的，并提供了全部能提供的资料和数据，我们同意</w:t>
      </w:r>
    </w:p>
    <w:p>
      <w:pPr>
        <w:tabs>
          <w:tab w:val="left" w:pos="5580"/>
        </w:tabs>
        <w:spacing w:before="120"/>
        <w:rPr>
          <w:rFonts w:hint="eastAsia" w:ascii="宋体" w:hAnsi="宋体" w:cs="宋体"/>
          <w:color w:val="auto"/>
          <w:szCs w:val="21"/>
          <w:highlight w:val="none"/>
        </w:rPr>
      </w:pPr>
      <w:r>
        <w:rPr>
          <w:rFonts w:hint="eastAsia" w:ascii="宋体" w:hAnsi="宋体" w:cs="宋体"/>
          <w:color w:val="auto"/>
          <w:szCs w:val="21"/>
          <w:highlight w:val="none"/>
        </w:rPr>
        <w:t>遵照贵方要求出示有关证明文件。</w:t>
      </w:r>
    </w:p>
    <w:p>
      <w:pPr>
        <w:tabs>
          <w:tab w:val="left" w:pos="5580"/>
        </w:tabs>
        <w:spacing w:before="120" w:line="240" w:lineRule="auto"/>
        <w:rPr>
          <w:rFonts w:hint="eastAsia" w:ascii="宋体" w:hAnsi="宋体" w:cs="宋体"/>
          <w:color w:val="auto"/>
          <w:szCs w:val="21"/>
          <w:highlight w:val="none"/>
        </w:rPr>
      </w:pPr>
      <w:r>
        <w:rPr>
          <w:rFonts w:hint="eastAsia" w:ascii="宋体" w:hAnsi="宋体" w:cs="宋体"/>
          <w:color w:val="auto"/>
          <w:szCs w:val="21"/>
          <w:highlight w:val="none"/>
        </w:rPr>
        <w:t>投标人名称（盖章）：</w:t>
      </w:r>
      <w:r>
        <w:rPr>
          <w:rFonts w:hint="eastAsia" w:ascii="宋体" w:hAnsi="宋体" w:cs="宋体"/>
          <w:color w:val="auto"/>
          <w:szCs w:val="21"/>
          <w:highlight w:val="none"/>
          <w:u w:val="single"/>
        </w:rPr>
        <w:tab/>
      </w:r>
    </w:p>
    <w:p>
      <w:pPr>
        <w:tabs>
          <w:tab w:val="left" w:pos="5580"/>
        </w:tabs>
        <w:spacing w:before="120" w:line="240" w:lineRule="auto"/>
        <w:rPr>
          <w:rFonts w:hint="eastAsia" w:ascii="宋体" w:hAnsi="宋体" w:cs="宋体"/>
          <w:color w:val="auto"/>
          <w:szCs w:val="21"/>
          <w:highlight w:val="none"/>
        </w:rPr>
      </w:pPr>
      <w:r>
        <w:rPr>
          <w:rFonts w:hint="eastAsia" w:ascii="宋体" w:hAnsi="宋体" w:cs="宋体"/>
          <w:color w:val="auto"/>
          <w:szCs w:val="21"/>
          <w:highlight w:val="none"/>
        </w:rPr>
        <w:t>投标人授权代表（签字</w:t>
      </w:r>
      <w:r>
        <w:rPr>
          <w:rFonts w:hint="eastAsia" w:hAnsi="宋体" w:cs="宋体"/>
          <w:color w:val="auto"/>
          <w:szCs w:val="21"/>
          <w:highlight w:val="none"/>
        </w:rPr>
        <w:t>或盖章</w:t>
      </w:r>
      <w:r>
        <w:rPr>
          <w:rFonts w:hint="eastAsia" w:ascii="宋体" w:hAnsi="宋体" w:cs="宋体"/>
          <w:color w:val="auto"/>
          <w:szCs w:val="21"/>
          <w:highlight w:val="none"/>
        </w:rPr>
        <w:t>）：</w:t>
      </w:r>
      <w:r>
        <w:rPr>
          <w:rFonts w:hint="eastAsia" w:ascii="宋体" w:hAnsi="宋体" w:cs="宋体"/>
          <w:color w:val="auto"/>
          <w:szCs w:val="21"/>
          <w:highlight w:val="none"/>
          <w:u w:val="single"/>
        </w:rPr>
        <w:tab/>
      </w:r>
    </w:p>
    <w:p>
      <w:pPr>
        <w:tabs>
          <w:tab w:val="left" w:pos="4620"/>
        </w:tabs>
        <w:spacing w:before="120" w:line="240" w:lineRule="auto"/>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spacing w:line="360" w:lineRule="auto"/>
        <w:ind w:firstLine="420" w:firstLineChars="200"/>
        <w:outlineLvl w:val="1"/>
        <w:rPr>
          <w:rFonts w:hint="eastAsia" w:ascii="宋体" w:hAnsi="宋体" w:cs="宋体"/>
          <w:color w:val="auto"/>
          <w:szCs w:val="21"/>
          <w:highlight w:val="none"/>
        </w:rPr>
      </w:pPr>
      <w:r>
        <w:rPr>
          <w:rFonts w:hint="eastAsia" w:ascii="宋体" w:hAnsi="宋体" w:cs="宋体"/>
          <w:color w:val="auto"/>
          <w:szCs w:val="21"/>
          <w:highlight w:val="none"/>
        </w:rPr>
        <w:br w:type="page"/>
      </w:r>
      <w:bookmarkStart w:id="240" w:name="_Toc28527"/>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 xml:space="preserve">-5 </w:t>
      </w:r>
      <w:bookmarkEnd w:id="234"/>
      <w:bookmarkEnd w:id="235"/>
      <w:bookmarkEnd w:id="236"/>
      <w:bookmarkEnd w:id="240"/>
      <w:r>
        <w:rPr>
          <w:rFonts w:hint="eastAsia" w:ascii="宋体" w:hAnsi="宋体"/>
          <w:b/>
          <w:bCs/>
          <w:color w:val="auto"/>
          <w:szCs w:val="21"/>
          <w:highlight w:val="none"/>
        </w:rPr>
        <w:t>具有良好的商业信誉和健全的财务会计制度（需提供2020年度经会计师事务所出具的财务审计报告或其基本开户银行出具的资信证明）；</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1、投标人在投标文件中，应提供本单位</w:t>
      </w:r>
      <w:r>
        <w:rPr>
          <w:rFonts w:hint="eastAsia" w:ascii="宋体" w:hAnsi="宋体"/>
          <w:color w:val="auto"/>
          <w:szCs w:val="21"/>
          <w:highlight w:val="none"/>
        </w:rPr>
        <w:t>2020年度</w:t>
      </w:r>
      <w:r>
        <w:rPr>
          <w:rFonts w:hint="eastAsia" w:ascii="宋体" w:hAnsi="宋体" w:cs="宋体"/>
          <w:color w:val="auto"/>
          <w:szCs w:val="21"/>
          <w:highlight w:val="none"/>
        </w:rPr>
        <w:t>会计师事务所出具的审计报告复印件并加盖本单位公章。</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2、如投标人无法提供上年度审计报告或新企业验资报告，则需提供开户银行在开标日前三个月内出具的资信证明复印件加盖本单位公章。</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3、银行资信证明应能说明该投标人与银行之间业务往来正常，企业信誉良好等。银行出具的存款证明不能替代银行资信证明。</w:t>
      </w:r>
    </w:p>
    <w:p>
      <w:pPr>
        <w:spacing w:line="360" w:lineRule="auto"/>
        <w:rPr>
          <w:rFonts w:hint="eastAsia" w:ascii="宋体" w:hAnsi="宋体" w:cs="宋体"/>
          <w:color w:val="auto"/>
          <w:szCs w:val="21"/>
          <w:highlight w:val="none"/>
        </w:rPr>
      </w:pPr>
    </w:p>
    <w:p>
      <w:pPr>
        <w:rPr>
          <w:rFonts w:hint="eastAsia" w:ascii="宋体" w:hAnsi="宋体" w:cs="宋体"/>
          <w:color w:val="auto"/>
          <w:szCs w:val="21"/>
          <w:highlight w:val="none"/>
        </w:rPr>
      </w:pPr>
    </w:p>
    <w:p>
      <w:pPr>
        <w:rPr>
          <w:rFonts w:hint="eastAsia" w:ascii="宋体" w:hAnsi="宋体" w:cs="宋体"/>
          <w:color w:val="auto"/>
          <w:szCs w:val="21"/>
          <w:highlight w:val="none"/>
        </w:rPr>
      </w:pPr>
    </w:p>
    <w:p>
      <w:pPr>
        <w:rPr>
          <w:rFonts w:hint="eastAsia" w:ascii="宋体" w:hAnsi="宋体" w:cs="宋体"/>
          <w:color w:val="auto"/>
          <w:szCs w:val="21"/>
          <w:highlight w:val="none"/>
        </w:rPr>
      </w:pPr>
    </w:p>
    <w:p>
      <w:pPr>
        <w:pStyle w:val="31"/>
        <w:spacing w:before="120" w:beforeLines="50" w:after="120" w:afterLines="50" w:line="360" w:lineRule="auto"/>
        <w:rPr>
          <w:rFonts w:hint="eastAsia" w:ascii="宋体" w:hAnsi="宋体" w:cs="宋体"/>
          <w:color w:val="auto"/>
          <w:sz w:val="21"/>
          <w:szCs w:val="21"/>
          <w:highlight w:val="none"/>
        </w:rPr>
        <w:sectPr>
          <w:pgSz w:w="11906" w:h="16838"/>
          <w:pgMar w:top="1440" w:right="1797" w:bottom="1440" w:left="1797" w:header="851" w:footer="992" w:gutter="0"/>
          <w:cols w:space="720" w:num="1"/>
          <w:docGrid w:linePitch="312" w:charSpace="0"/>
        </w:sectPr>
      </w:pPr>
      <w:bookmarkStart w:id="241" w:name="_Toc175062657"/>
      <w:bookmarkStart w:id="242" w:name="_Toc302360918"/>
      <w:bookmarkStart w:id="243" w:name="_Toc144556805"/>
    </w:p>
    <w:p>
      <w:pPr>
        <w:pStyle w:val="31"/>
        <w:spacing w:before="120" w:beforeLines="50" w:after="120" w:afterLines="50" w:line="360" w:lineRule="auto"/>
        <w:outlineLvl w:val="1"/>
        <w:rPr>
          <w:rFonts w:hint="eastAsia" w:ascii="宋体" w:hAnsi="宋体" w:cs="宋体"/>
          <w:color w:val="auto"/>
          <w:sz w:val="21"/>
          <w:szCs w:val="21"/>
          <w:highlight w:val="none"/>
        </w:rPr>
      </w:pPr>
      <w:bookmarkStart w:id="244" w:name="_Toc27598"/>
      <w:r>
        <w:rPr>
          <w:rFonts w:hint="eastAsia" w:ascii="宋体" w:hAnsi="宋体" w:cs="宋体"/>
          <w:color w:val="auto"/>
          <w:sz w:val="21"/>
          <w:szCs w:val="21"/>
          <w:highlight w:val="none"/>
        </w:rPr>
        <w:t>附件</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 xml:space="preserve">-6  </w:t>
      </w:r>
      <w:bookmarkEnd w:id="241"/>
      <w:bookmarkEnd w:id="242"/>
      <w:bookmarkEnd w:id="243"/>
      <w:bookmarkEnd w:id="244"/>
      <w:r>
        <w:rPr>
          <w:rFonts w:hint="eastAsia" w:ascii="宋体" w:hAnsi="宋体"/>
          <w:color w:val="auto"/>
          <w:sz w:val="21"/>
          <w:szCs w:val="21"/>
          <w:highlight w:val="none"/>
        </w:rPr>
        <w:t>具有依法缴纳税收和社会保障资金的良好记录（需提供投标截止日前六个月内任一个月的企业纳税证明和社保缴费记录证明）</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说明：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1．投标人应提供本单位近六个月任意一个月社会保障资金缴费凭证复印件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2．复印件须加盖本单位公章。</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3．评标委员会保留审核原件的权利。</w:t>
      </w:r>
    </w:p>
    <w:p>
      <w:pPr>
        <w:rPr>
          <w:rFonts w:hint="eastAsia" w:ascii="宋体" w:hAnsi="宋体" w:cs="宋体"/>
          <w:color w:val="auto"/>
          <w:szCs w:val="21"/>
          <w:highlight w:val="none"/>
        </w:rPr>
      </w:pPr>
    </w:p>
    <w:p>
      <w:pPr>
        <w:pStyle w:val="2"/>
        <w:rPr>
          <w:rFonts w:hint="eastAsia" w:cs="宋体"/>
          <w:color w:val="auto"/>
          <w:szCs w:val="21"/>
          <w:highlight w:val="none"/>
        </w:rPr>
      </w:pPr>
    </w:p>
    <w:p>
      <w:pPr>
        <w:pStyle w:val="2"/>
        <w:rPr>
          <w:rFonts w:hint="eastAsia" w:cs="宋体"/>
          <w:color w:val="auto"/>
          <w:szCs w:val="21"/>
          <w:highlight w:val="none"/>
        </w:rPr>
      </w:pPr>
    </w:p>
    <w:p>
      <w:pPr>
        <w:pStyle w:val="2"/>
        <w:rPr>
          <w:rFonts w:hint="eastAsia" w:cs="宋体"/>
          <w:color w:val="auto"/>
          <w:szCs w:val="21"/>
          <w:highlight w:val="none"/>
        </w:rPr>
      </w:pPr>
    </w:p>
    <w:p>
      <w:pPr>
        <w:tabs>
          <w:tab w:val="left" w:pos="5580"/>
        </w:tabs>
        <w:spacing w:line="360" w:lineRule="auto"/>
        <w:outlineLvl w:val="1"/>
        <w:rPr>
          <w:rFonts w:hint="eastAsia" w:ascii="宋体" w:hAnsi="宋体" w:cs="宋体"/>
          <w:b/>
          <w:bCs/>
          <w:color w:val="auto"/>
          <w:kern w:val="28"/>
          <w:szCs w:val="21"/>
          <w:highlight w:val="none"/>
        </w:rPr>
      </w:pPr>
      <w:r>
        <w:rPr>
          <w:rFonts w:hint="eastAsia" w:ascii="宋体" w:hAnsi="宋体" w:cs="宋体"/>
          <w:b/>
          <w:bCs/>
          <w:color w:val="auto"/>
          <w:kern w:val="28"/>
          <w:szCs w:val="21"/>
          <w:highlight w:val="none"/>
        </w:rPr>
        <w:t>附件</w:t>
      </w:r>
      <w:r>
        <w:rPr>
          <w:rFonts w:hint="eastAsia" w:ascii="宋体" w:hAnsi="宋体" w:cs="宋体"/>
          <w:b/>
          <w:bCs/>
          <w:color w:val="auto"/>
          <w:kern w:val="28"/>
          <w:szCs w:val="21"/>
          <w:highlight w:val="none"/>
          <w:lang w:val="en-US" w:eastAsia="zh-CN"/>
        </w:rPr>
        <w:t>6</w:t>
      </w:r>
      <w:r>
        <w:rPr>
          <w:rFonts w:hint="eastAsia" w:ascii="宋体" w:hAnsi="宋体" w:cs="宋体"/>
          <w:b/>
          <w:bCs/>
          <w:color w:val="auto"/>
          <w:kern w:val="28"/>
          <w:szCs w:val="21"/>
          <w:highlight w:val="none"/>
        </w:rPr>
        <w:t>-7  参加政府采购活动前三年内（成立不足三年的从成立之日起算），在经营活动中没有重大违法记录（需提供加盖公章的声明书）</w:t>
      </w:r>
    </w:p>
    <w:p>
      <w:pPr>
        <w:tabs>
          <w:tab w:val="left" w:pos="5580"/>
        </w:tabs>
        <w:spacing w:line="360" w:lineRule="auto"/>
        <w:rPr>
          <w:rFonts w:ascii="宋体" w:hAnsi="宋体" w:cs="宋体"/>
          <w:b/>
          <w:bCs/>
          <w:color w:val="auto"/>
          <w:kern w:val="28"/>
          <w:szCs w:val="21"/>
          <w:highlight w:val="none"/>
        </w:rPr>
      </w:pPr>
    </w:p>
    <w:p>
      <w:pPr>
        <w:tabs>
          <w:tab w:val="left" w:pos="5580"/>
        </w:tabs>
        <w:spacing w:line="360" w:lineRule="auto"/>
        <w:outlineLvl w:val="1"/>
        <w:rPr>
          <w:rFonts w:hint="eastAsia" w:ascii="宋体" w:hAnsi="宋体" w:cs="宋体"/>
          <w:b/>
          <w:bCs/>
          <w:color w:val="auto"/>
          <w:kern w:val="28"/>
          <w:szCs w:val="21"/>
          <w:highlight w:val="none"/>
        </w:rPr>
      </w:pPr>
      <w:r>
        <w:rPr>
          <w:rFonts w:hint="eastAsia" w:ascii="宋体" w:hAnsi="宋体" w:cs="宋体"/>
          <w:b/>
          <w:bCs/>
          <w:color w:val="auto"/>
          <w:kern w:val="28"/>
          <w:szCs w:val="21"/>
          <w:highlight w:val="none"/>
        </w:rPr>
        <w:t>附件</w:t>
      </w:r>
      <w:r>
        <w:rPr>
          <w:rFonts w:hint="eastAsia" w:ascii="宋体" w:hAnsi="宋体" w:cs="宋体"/>
          <w:b/>
          <w:bCs/>
          <w:color w:val="auto"/>
          <w:kern w:val="28"/>
          <w:szCs w:val="21"/>
          <w:highlight w:val="none"/>
          <w:lang w:val="en-US" w:eastAsia="zh-CN"/>
        </w:rPr>
        <w:t>6</w:t>
      </w:r>
      <w:r>
        <w:rPr>
          <w:rFonts w:hint="eastAsia" w:ascii="宋体" w:hAnsi="宋体" w:cs="宋体"/>
          <w:b/>
          <w:bCs/>
          <w:color w:val="auto"/>
          <w:kern w:val="28"/>
          <w:szCs w:val="21"/>
          <w:highlight w:val="none"/>
        </w:rPr>
        <w:t>-8   具有履行合同所必需的设备及专业技术能力和供应保障能力（需提供承诺书）</w:t>
      </w:r>
    </w:p>
    <w:p>
      <w:pPr>
        <w:pStyle w:val="2"/>
        <w:rPr>
          <w:rFonts w:hint="eastAsia" w:cs="宋体"/>
          <w:b/>
          <w:bCs/>
          <w:color w:val="auto"/>
          <w:kern w:val="28"/>
          <w:sz w:val="21"/>
          <w:szCs w:val="21"/>
          <w:highlight w:val="none"/>
        </w:rPr>
      </w:pPr>
    </w:p>
    <w:p>
      <w:pPr>
        <w:rPr>
          <w:rFonts w:hint="eastAsia" w:ascii="宋体" w:hAnsi="宋体" w:cs="宋体"/>
          <w:color w:val="auto"/>
          <w:szCs w:val="21"/>
          <w:highlight w:val="none"/>
        </w:rPr>
      </w:pPr>
    </w:p>
    <w:p>
      <w:pPr>
        <w:rPr>
          <w:rFonts w:hint="eastAsia" w:ascii="宋体" w:hAnsi="宋体" w:cs="宋体"/>
          <w:color w:val="auto"/>
          <w:szCs w:val="21"/>
          <w:highlight w:val="none"/>
        </w:rPr>
      </w:pPr>
    </w:p>
    <w:p>
      <w:pPr>
        <w:rPr>
          <w:rFonts w:hint="eastAsia" w:ascii="宋体" w:hAnsi="宋体" w:cs="宋体"/>
          <w:color w:val="auto"/>
          <w:szCs w:val="21"/>
          <w:highlight w:val="none"/>
        </w:rPr>
      </w:pPr>
    </w:p>
    <w:p>
      <w:pPr>
        <w:jc w:val="center"/>
        <w:rPr>
          <w:rFonts w:hint="eastAsia" w:ascii="宋体" w:hAnsi="宋体" w:cs="宋体"/>
          <w:b/>
          <w:color w:val="auto"/>
          <w:szCs w:val="21"/>
          <w:highlight w:val="none"/>
        </w:rPr>
      </w:pPr>
    </w:p>
    <w:p>
      <w:pPr>
        <w:pStyle w:val="31"/>
        <w:spacing w:before="120" w:beforeLines="50" w:after="120" w:afterLines="50" w:line="360" w:lineRule="auto"/>
        <w:rPr>
          <w:rFonts w:hint="eastAsia" w:ascii="宋体" w:hAnsi="宋体" w:cs="宋体"/>
          <w:color w:val="auto"/>
          <w:sz w:val="21"/>
          <w:szCs w:val="21"/>
          <w:highlight w:val="none"/>
        </w:rPr>
        <w:sectPr>
          <w:pgSz w:w="11906" w:h="16838"/>
          <w:pgMar w:top="1440" w:right="1797" w:bottom="1440" w:left="1797" w:header="851" w:footer="992" w:gutter="0"/>
          <w:cols w:space="720" w:num="1"/>
          <w:docGrid w:linePitch="312" w:charSpace="0"/>
        </w:sectPr>
      </w:pPr>
      <w:bookmarkStart w:id="245" w:name="_Toc302360919"/>
      <w:bookmarkStart w:id="246" w:name="_Toc175062658"/>
    </w:p>
    <w:bookmarkEnd w:id="237"/>
    <w:bookmarkEnd w:id="238"/>
    <w:bookmarkEnd w:id="239"/>
    <w:bookmarkEnd w:id="245"/>
    <w:bookmarkEnd w:id="246"/>
    <w:p>
      <w:pPr>
        <w:pStyle w:val="31"/>
        <w:spacing w:before="120" w:beforeLines="50" w:after="120" w:afterLines="50" w:line="360" w:lineRule="auto"/>
        <w:rPr>
          <w:rFonts w:hint="eastAsia" w:ascii="宋体" w:hAnsi="宋体" w:cs="宋体"/>
          <w:color w:val="auto"/>
          <w:sz w:val="21"/>
          <w:szCs w:val="21"/>
          <w:highlight w:val="none"/>
        </w:rPr>
      </w:pPr>
      <w:bookmarkStart w:id="247" w:name="_Toc302360921"/>
      <w:bookmarkStart w:id="248" w:name="_Toc175062660"/>
      <w:bookmarkStart w:id="249" w:name="_Toc15915"/>
      <w:r>
        <w:rPr>
          <w:rFonts w:hint="eastAsia" w:ascii="宋体" w:hAnsi="宋体" w:cs="宋体"/>
          <w:color w:val="auto"/>
          <w:sz w:val="21"/>
          <w:szCs w:val="21"/>
          <w:highlight w:val="none"/>
        </w:rPr>
        <w:t>附件</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-9  投标人近三年的同类项目情况表</w:t>
      </w:r>
      <w:bookmarkEnd w:id="247"/>
      <w:bookmarkEnd w:id="248"/>
      <w:r>
        <w:rPr>
          <w:rFonts w:hint="eastAsia" w:ascii="宋体" w:hAnsi="宋体" w:cs="宋体"/>
          <w:color w:val="auto"/>
          <w:sz w:val="21"/>
          <w:szCs w:val="21"/>
          <w:highlight w:val="none"/>
        </w:rPr>
        <w:t>（格式）</w:t>
      </w:r>
      <w:bookmarkEnd w:id="249"/>
    </w:p>
    <w:p>
      <w:pPr>
        <w:pStyle w:val="2"/>
        <w:spacing w:before="0" w:line="240" w:lineRule="auto"/>
        <w:jc w:val="center"/>
        <w:rPr>
          <w:rFonts w:hint="eastAsia" w:cs="宋体"/>
          <w:b/>
          <w:color w:val="auto"/>
          <w:sz w:val="21"/>
          <w:szCs w:val="21"/>
          <w:highlight w:val="none"/>
        </w:rPr>
      </w:pPr>
    </w:p>
    <w:tbl>
      <w:tblPr>
        <w:tblStyle w:val="44"/>
        <w:tblW w:w="4998" w:type="pct"/>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672"/>
        <w:gridCol w:w="2815"/>
        <w:gridCol w:w="1841"/>
        <w:gridCol w:w="1842"/>
        <w:gridCol w:w="1355"/>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74" w:hRule="atLeast"/>
          <w:jc w:val="center"/>
        </w:trPr>
        <w:tc>
          <w:tcPr>
            <w:tcW w:w="394"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650"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项目名称</w:t>
            </w:r>
          </w:p>
        </w:tc>
        <w:tc>
          <w:tcPr>
            <w:tcW w:w="1079"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业主名称</w:t>
            </w:r>
          </w:p>
        </w:tc>
        <w:tc>
          <w:tcPr>
            <w:tcW w:w="1080"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服务时间</w:t>
            </w:r>
          </w:p>
        </w:tc>
        <w:tc>
          <w:tcPr>
            <w:tcW w:w="794"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rPr>
            </w:pPr>
            <w:r>
              <w:rPr>
                <w:rFonts w:hint="eastAsia" w:ascii="宋体" w:hAnsi="宋体" w:cs="宋体"/>
                <w:b/>
                <w:bCs/>
                <w:color w:val="auto"/>
                <w:szCs w:val="21"/>
                <w:highlight w:val="none"/>
              </w:rPr>
              <w:t>完成情况</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394"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650"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79"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80"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94" w:type="pct"/>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394"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650"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79"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80"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94" w:type="pct"/>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394"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650"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79"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80"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94" w:type="pct"/>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394"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650"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79"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80"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94" w:type="pct"/>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394"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650"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79"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80"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94" w:type="pct"/>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394"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650"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79"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80"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94" w:type="pct"/>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394"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650"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79"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80"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94" w:type="pct"/>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91" w:hRule="atLeast"/>
          <w:jc w:val="center"/>
        </w:trPr>
        <w:tc>
          <w:tcPr>
            <w:tcW w:w="394"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650"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79"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80"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94" w:type="pct"/>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bl>
    <w:p>
      <w:pPr>
        <w:adjustRightInd w:val="0"/>
        <w:snapToGrid w:val="0"/>
        <w:spacing w:before="120" w:beforeLines="50"/>
        <w:ind w:firstLine="178" w:firstLineChars="85"/>
        <w:jc w:val="left"/>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ascii="宋体" w:hAnsi="宋体" w:cs="宋体"/>
          <w:color w:val="auto"/>
          <w:szCs w:val="21"/>
          <w:highlight w:val="none"/>
        </w:rPr>
        <w:tab/>
      </w:r>
      <w:r>
        <w:rPr>
          <w:rFonts w:hint="eastAsia" w:ascii="宋体" w:hAnsi="宋体" w:cs="宋体"/>
          <w:color w:val="auto"/>
          <w:szCs w:val="21"/>
          <w:highlight w:val="none"/>
        </w:rPr>
        <w:t>1．投标人必须提供能够证明上述业绩真实性的合同及中标通知书复印件，合同复印件中必须至少包括合同的甲乙双方、合同详细标的和双方签章及生效时间。</w:t>
      </w:r>
    </w:p>
    <w:p>
      <w:pPr>
        <w:adjustRightInd w:val="0"/>
        <w:snapToGrid w:val="0"/>
        <w:ind w:left="305" w:firstLine="535" w:firstLineChars="255"/>
        <w:jc w:val="left"/>
        <w:rPr>
          <w:rFonts w:hint="eastAsia" w:ascii="宋体" w:hAnsi="宋体" w:cs="宋体"/>
          <w:color w:val="auto"/>
          <w:szCs w:val="21"/>
          <w:highlight w:val="none"/>
        </w:rPr>
      </w:pPr>
      <w:r>
        <w:rPr>
          <w:rFonts w:hint="eastAsia" w:ascii="宋体" w:hAnsi="宋体" w:cs="宋体"/>
          <w:color w:val="auto"/>
          <w:szCs w:val="21"/>
          <w:highlight w:val="none"/>
        </w:rPr>
        <w:t>2．所有合同复印件应清晰，并由投标人单位加盖公章。</w:t>
      </w:r>
    </w:p>
    <w:p>
      <w:pPr>
        <w:adjustRightInd w:val="0"/>
        <w:snapToGrid w:val="0"/>
        <w:ind w:left="305" w:firstLine="535" w:firstLineChars="255"/>
        <w:jc w:val="left"/>
        <w:rPr>
          <w:rFonts w:hint="eastAsia" w:ascii="宋体" w:hAnsi="宋体" w:cs="宋体"/>
          <w:color w:val="auto"/>
          <w:szCs w:val="21"/>
          <w:highlight w:val="none"/>
        </w:rPr>
      </w:pPr>
      <w:r>
        <w:rPr>
          <w:rFonts w:hint="eastAsia" w:ascii="宋体" w:hAnsi="宋体" w:cs="宋体"/>
          <w:color w:val="auto"/>
          <w:szCs w:val="21"/>
          <w:highlight w:val="none"/>
        </w:rPr>
        <w:t>3．投标人应在不涉及商业秘密的前提下尽可能提供详细的合同复印件内容。</w:t>
      </w:r>
    </w:p>
    <w:p>
      <w:pPr>
        <w:adjustRightInd w:val="0"/>
        <w:snapToGrid w:val="0"/>
        <w:ind w:left="305" w:firstLine="535" w:firstLineChars="255"/>
        <w:jc w:val="left"/>
        <w:rPr>
          <w:rFonts w:hint="eastAsia" w:ascii="宋体" w:hAnsi="宋体" w:cs="宋体"/>
          <w:color w:val="auto"/>
          <w:szCs w:val="21"/>
          <w:highlight w:val="none"/>
        </w:rPr>
      </w:pPr>
      <w:r>
        <w:rPr>
          <w:rFonts w:hint="eastAsia" w:ascii="宋体" w:hAnsi="宋体" w:cs="宋体"/>
          <w:color w:val="auto"/>
          <w:szCs w:val="21"/>
          <w:highlight w:val="none"/>
        </w:rPr>
        <w:t>4．评标委员会保留审核原件的权利。</w:t>
      </w:r>
    </w:p>
    <w:p>
      <w:pPr>
        <w:pStyle w:val="2"/>
        <w:spacing w:before="0" w:line="240" w:lineRule="auto"/>
        <w:jc w:val="center"/>
        <w:rPr>
          <w:rFonts w:hint="eastAsia" w:cs="宋体"/>
          <w:b/>
          <w:color w:val="auto"/>
          <w:sz w:val="21"/>
          <w:szCs w:val="21"/>
          <w:highlight w:val="none"/>
        </w:rPr>
      </w:pPr>
    </w:p>
    <w:p>
      <w:pPr>
        <w:pStyle w:val="2"/>
        <w:spacing w:before="0" w:line="240" w:lineRule="auto"/>
        <w:jc w:val="center"/>
        <w:rPr>
          <w:rFonts w:hint="eastAsia" w:cs="宋体"/>
          <w:b/>
          <w:color w:val="auto"/>
          <w:sz w:val="21"/>
          <w:szCs w:val="21"/>
          <w:highlight w:val="none"/>
        </w:rPr>
      </w:pPr>
    </w:p>
    <w:p>
      <w:pPr>
        <w:tabs>
          <w:tab w:val="left" w:pos="5580"/>
        </w:tabs>
        <w:spacing w:before="120"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投标人名称（盖章）：</w:t>
      </w:r>
      <w:r>
        <w:rPr>
          <w:rFonts w:hint="eastAsia" w:ascii="宋体" w:hAnsi="宋体" w:cs="宋体"/>
          <w:color w:val="auto"/>
          <w:szCs w:val="21"/>
          <w:highlight w:val="none"/>
          <w:u w:val="single"/>
        </w:rPr>
        <w:tab/>
      </w:r>
    </w:p>
    <w:p>
      <w:pPr>
        <w:tabs>
          <w:tab w:val="left" w:pos="5580"/>
        </w:tabs>
        <w:spacing w:before="120"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授权代表姓名（签字</w:t>
      </w:r>
      <w:r>
        <w:rPr>
          <w:rFonts w:hint="eastAsia" w:hAnsi="宋体" w:cs="宋体"/>
          <w:color w:val="auto"/>
          <w:szCs w:val="21"/>
          <w:highlight w:val="none"/>
        </w:rPr>
        <w:t>或盖章</w:t>
      </w:r>
      <w:r>
        <w:rPr>
          <w:rFonts w:hint="eastAsia" w:ascii="宋体" w:hAnsi="宋体" w:cs="宋体"/>
          <w:color w:val="auto"/>
          <w:szCs w:val="21"/>
          <w:highlight w:val="none"/>
        </w:rPr>
        <w:t>）：</w:t>
      </w:r>
      <w:r>
        <w:rPr>
          <w:rFonts w:hint="eastAsia" w:ascii="宋体" w:hAnsi="宋体" w:cs="宋体"/>
          <w:color w:val="auto"/>
          <w:szCs w:val="21"/>
          <w:highlight w:val="none"/>
          <w:u w:val="single"/>
        </w:rPr>
        <w:tab/>
      </w:r>
    </w:p>
    <w:p>
      <w:pPr>
        <w:tabs>
          <w:tab w:val="left" w:pos="4620"/>
        </w:tabs>
        <w:spacing w:before="120" w:beforeLines="50" w:line="360" w:lineRule="auto"/>
        <w:rPr>
          <w:rFonts w:hint="eastAsia" w:ascii="宋体" w:hAnsi="宋体" w:cs="宋体"/>
          <w:color w:val="auto"/>
          <w:szCs w:val="21"/>
          <w:highlight w:val="none"/>
        </w:rPr>
        <w:sectPr>
          <w:pgSz w:w="11906" w:h="16838"/>
          <w:pgMar w:top="1440" w:right="1797" w:bottom="1440" w:left="1797" w:header="851" w:footer="992" w:gutter="0"/>
          <w:cols w:space="720" w:num="1"/>
          <w:docGrid w:linePitch="312" w:charSpace="0"/>
        </w:sect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tabs>
          <w:tab w:val="left" w:pos="5580"/>
        </w:tabs>
        <w:spacing w:line="360" w:lineRule="auto"/>
        <w:outlineLvl w:val="1"/>
        <w:rPr>
          <w:rFonts w:hint="eastAsia" w:ascii="宋体" w:hAnsi="宋体" w:cs="宋体"/>
          <w:b/>
          <w:bCs/>
          <w:color w:val="auto"/>
          <w:szCs w:val="21"/>
          <w:highlight w:val="none"/>
        </w:rPr>
      </w:pPr>
      <w:bookmarkStart w:id="250" w:name="_Toc32236"/>
      <w:r>
        <w:rPr>
          <w:rFonts w:hint="eastAsia" w:ascii="宋体" w:hAnsi="宋体" w:eastAsia="宋体" w:cs="宋体"/>
          <w:b/>
          <w:bCs/>
          <w:color w:val="auto"/>
          <w:kern w:val="28"/>
          <w:sz w:val="21"/>
          <w:szCs w:val="21"/>
          <w:highlight w:val="none"/>
          <w:lang w:val="en-US" w:eastAsia="zh-CN" w:bidi="ar-SA"/>
        </w:rPr>
        <w:t xml:space="preserve">附件6-10  </w:t>
      </w:r>
      <w:r>
        <w:rPr>
          <w:rFonts w:hint="eastAsia" w:ascii="宋体" w:hAnsi="宋体" w:cs="宋体"/>
          <w:b/>
          <w:color w:val="auto"/>
          <w:szCs w:val="21"/>
          <w:highlight w:val="none"/>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r>
        <w:rPr>
          <w:rFonts w:hint="eastAsia" w:ascii="宋体" w:hAnsi="宋体" w:cs="宋体"/>
          <w:b/>
          <w:bCs/>
          <w:color w:val="auto"/>
          <w:szCs w:val="21"/>
          <w:highlight w:val="none"/>
        </w:rPr>
        <w:t>(查询日期自招标公告发布之日后，提供网页打印件加盖公章)</w:t>
      </w:r>
    </w:p>
    <w:bookmarkEnd w:id="250"/>
    <w:p>
      <w:pPr>
        <w:pStyle w:val="31"/>
        <w:spacing w:before="120" w:beforeLines="50" w:after="120" w:afterLines="50" w:line="360" w:lineRule="auto"/>
        <w:rPr>
          <w:rFonts w:hint="eastAsia" w:ascii="宋体" w:hAnsi="宋体" w:cs="宋体"/>
          <w:color w:val="auto"/>
          <w:kern w:val="2"/>
          <w:sz w:val="21"/>
          <w:szCs w:val="21"/>
          <w:highlight w:val="none"/>
        </w:rPr>
      </w:pPr>
      <w:r>
        <w:rPr>
          <w:rFonts w:hint="eastAsia" w:ascii="宋体" w:hAnsi="宋体" w:cs="宋体"/>
          <w:color w:val="auto"/>
          <w:sz w:val="21"/>
          <w:szCs w:val="21"/>
          <w:highlight w:val="none"/>
        </w:rPr>
        <w:br w:type="page"/>
      </w:r>
      <w:bookmarkStart w:id="251" w:name="_Toc32056"/>
      <w:r>
        <w:rPr>
          <w:rFonts w:hint="eastAsia" w:ascii="宋体" w:hAnsi="宋体" w:cs="宋体"/>
          <w:color w:val="auto"/>
          <w:sz w:val="21"/>
          <w:szCs w:val="21"/>
          <w:highlight w:val="none"/>
        </w:rPr>
        <w:t>附件</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-11</w:t>
      </w:r>
      <w:r>
        <w:rPr>
          <w:rFonts w:hint="eastAsia" w:ascii="宋体" w:hAnsi="宋体" w:cs="宋体"/>
          <w:color w:val="auto"/>
          <w:kern w:val="2"/>
          <w:sz w:val="21"/>
          <w:szCs w:val="21"/>
          <w:highlight w:val="none"/>
        </w:rPr>
        <w:t xml:space="preserve"> 汽车</w:t>
      </w:r>
      <w:r>
        <w:rPr>
          <w:rFonts w:hint="eastAsia" w:ascii="宋体" w:hAnsi="宋体" w:cs="宋体"/>
          <w:color w:val="auto"/>
          <w:kern w:val="2"/>
          <w:sz w:val="21"/>
          <w:szCs w:val="21"/>
          <w:highlight w:val="none"/>
          <w:lang w:eastAsia="zh-CN"/>
        </w:rPr>
        <w:t>维修二类资质</w:t>
      </w:r>
      <w:r>
        <w:rPr>
          <w:rFonts w:hint="eastAsia" w:ascii="宋体" w:hAnsi="宋体" w:cs="宋体"/>
          <w:color w:val="auto"/>
          <w:kern w:val="2"/>
          <w:sz w:val="21"/>
          <w:szCs w:val="21"/>
          <w:highlight w:val="none"/>
        </w:rPr>
        <w:t>及以上资质</w:t>
      </w:r>
    </w:p>
    <w:p>
      <w:pPr>
        <w:pStyle w:val="2"/>
        <w:tabs>
          <w:tab w:val="left" w:pos="2811"/>
          <w:tab w:val="clear" w:pos="567"/>
        </w:tabs>
        <w:jc w:val="left"/>
        <w:rPr>
          <w:rFonts w:cs="宋体"/>
          <w:color w:val="auto"/>
          <w:sz w:val="21"/>
          <w:szCs w:val="21"/>
          <w:highlight w:val="none"/>
        </w:rPr>
      </w:pPr>
      <w:r>
        <w:rPr>
          <w:rFonts w:hint="eastAsia" w:cs="宋体"/>
          <w:color w:val="auto"/>
          <w:sz w:val="21"/>
          <w:szCs w:val="21"/>
          <w:highlight w:val="none"/>
        </w:rPr>
        <w:t>1、投标人应为经运输管理部门许可的汽车</w:t>
      </w:r>
      <w:r>
        <w:rPr>
          <w:rFonts w:hint="eastAsia" w:cs="宋体"/>
          <w:color w:val="auto"/>
          <w:sz w:val="21"/>
          <w:szCs w:val="21"/>
          <w:highlight w:val="none"/>
          <w:lang w:eastAsia="zh-CN"/>
        </w:rPr>
        <w:t>维修二类资质</w:t>
      </w:r>
      <w:r>
        <w:rPr>
          <w:rFonts w:hint="eastAsia" w:cs="宋体"/>
          <w:color w:val="auto"/>
          <w:sz w:val="21"/>
          <w:szCs w:val="21"/>
          <w:highlight w:val="none"/>
        </w:rPr>
        <w:t>及以上资质的汽车维修机构，并提供相关证明材料。</w:t>
      </w:r>
    </w:p>
    <w:p>
      <w:pPr>
        <w:pStyle w:val="2"/>
        <w:tabs>
          <w:tab w:val="left" w:pos="2811"/>
        </w:tabs>
        <w:jc w:val="left"/>
        <w:rPr>
          <w:rFonts w:hint="eastAsia" w:cs="宋体"/>
          <w:color w:val="auto"/>
          <w:sz w:val="21"/>
          <w:szCs w:val="21"/>
          <w:highlight w:val="none"/>
        </w:rPr>
      </w:pPr>
      <w:r>
        <w:rPr>
          <w:rFonts w:hint="eastAsia" w:cs="宋体"/>
          <w:color w:val="auto"/>
          <w:sz w:val="21"/>
          <w:szCs w:val="21"/>
          <w:highlight w:val="none"/>
        </w:rPr>
        <w:t>2、复印件须加盖本单位公章。</w:t>
      </w:r>
    </w:p>
    <w:p>
      <w:pPr>
        <w:pStyle w:val="2"/>
        <w:tabs>
          <w:tab w:val="left" w:pos="2811"/>
          <w:tab w:val="clear" w:pos="567"/>
        </w:tabs>
        <w:jc w:val="left"/>
        <w:rPr>
          <w:rFonts w:hint="eastAsia" w:cs="宋体"/>
          <w:color w:val="auto"/>
          <w:sz w:val="21"/>
          <w:szCs w:val="21"/>
          <w:highlight w:val="none"/>
        </w:rPr>
      </w:pPr>
      <w:r>
        <w:rPr>
          <w:rFonts w:hint="eastAsia" w:cs="宋体"/>
          <w:color w:val="auto"/>
          <w:sz w:val="21"/>
          <w:szCs w:val="21"/>
          <w:highlight w:val="none"/>
        </w:rPr>
        <w:t>3、评标委员会保留审核原件的权利。</w:t>
      </w:r>
    </w:p>
    <w:p>
      <w:pPr>
        <w:pStyle w:val="2"/>
        <w:ind w:left="720" w:hanging="720" w:hangingChars="300"/>
        <w:rPr>
          <w:rFonts w:hint="eastAsia" w:cs="宋体"/>
          <w:color w:val="auto"/>
          <w:sz w:val="21"/>
          <w:szCs w:val="21"/>
          <w:highlight w:val="none"/>
        </w:rPr>
      </w:pPr>
      <w:r>
        <w:rPr>
          <w:rFonts w:hint="eastAsia"/>
          <w:color w:val="auto"/>
          <w:highlight w:val="none"/>
        </w:rPr>
        <w:br w:type="page"/>
      </w:r>
    </w:p>
    <w:p>
      <w:pPr>
        <w:pStyle w:val="31"/>
        <w:spacing w:before="120" w:beforeLines="50" w:after="120" w:afterLines="50" w:line="360" w:lineRule="auto"/>
        <w:rPr>
          <w:rFonts w:hint="eastAsia" w:ascii="宋体" w:hAnsi="宋体" w:cs="宋体"/>
          <w:color w:val="auto"/>
          <w:sz w:val="21"/>
          <w:szCs w:val="21"/>
          <w:highlight w:val="none"/>
        </w:rPr>
      </w:pPr>
      <w:r>
        <w:rPr>
          <w:rFonts w:hint="eastAsia" w:ascii="宋体" w:hAnsi="宋体" w:cs="宋体"/>
          <w:color w:val="auto"/>
          <w:kern w:val="2"/>
          <w:sz w:val="21"/>
          <w:szCs w:val="21"/>
          <w:highlight w:val="none"/>
        </w:rPr>
        <w:t>附件</w:t>
      </w:r>
      <w:r>
        <w:rPr>
          <w:rFonts w:hint="eastAsia" w:ascii="宋体" w:hAnsi="宋体" w:cs="宋体"/>
          <w:color w:val="auto"/>
          <w:kern w:val="2"/>
          <w:sz w:val="21"/>
          <w:szCs w:val="21"/>
          <w:highlight w:val="none"/>
          <w:lang w:val="en-US" w:eastAsia="zh-CN"/>
        </w:rPr>
        <w:t>6</w:t>
      </w:r>
      <w:r>
        <w:rPr>
          <w:rFonts w:hint="eastAsia" w:ascii="宋体" w:hAnsi="宋体" w:cs="宋体"/>
          <w:color w:val="auto"/>
          <w:kern w:val="2"/>
          <w:sz w:val="21"/>
          <w:szCs w:val="21"/>
          <w:highlight w:val="none"/>
        </w:rPr>
        <w:t>-1</w:t>
      </w:r>
      <w:r>
        <w:rPr>
          <w:rFonts w:ascii="宋体" w:hAnsi="宋体" w:cs="宋体"/>
          <w:color w:val="auto"/>
          <w:kern w:val="2"/>
          <w:sz w:val="21"/>
          <w:szCs w:val="21"/>
          <w:highlight w:val="none"/>
        </w:rPr>
        <w:t>2</w:t>
      </w:r>
      <w:r>
        <w:rPr>
          <w:rFonts w:hint="eastAsia" w:ascii="宋体" w:hAnsi="宋体" w:cs="宋体"/>
          <w:color w:val="auto"/>
          <w:sz w:val="21"/>
          <w:szCs w:val="21"/>
          <w:highlight w:val="none"/>
        </w:rPr>
        <w:t>单位负责人为同一人或者存在直接控股、管理关系的不同供应商，不得参加同一合同项下的政府采购活动</w:t>
      </w:r>
      <w:bookmarkEnd w:id="251"/>
      <w:r>
        <w:rPr>
          <w:rFonts w:hint="eastAsia" w:ascii="宋体" w:hAnsi="宋体" w:cs="宋体"/>
          <w:color w:val="auto"/>
          <w:sz w:val="21"/>
          <w:szCs w:val="21"/>
          <w:highlight w:val="none"/>
        </w:rPr>
        <w:t xml:space="preserve"> </w:t>
      </w:r>
    </w:p>
    <w:p>
      <w:pPr>
        <w:pStyle w:val="31"/>
        <w:spacing w:before="120" w:beforeLines="50" w:after="120" w:afterLines="50" w:line="360" w:lineRule="auto"/>
        <w:jc w:val="both"/>
        <w:outlineLvl w:val="9"/>
        <w:rPr>
          <w:rFonts w:hint="eastAsia" w:ascii="宋体" w:hAnsi="宋体" w:cs="宋体"/>
          <w:b w:val="0"/>
          <w:bCs w:val="0"/>
          <w:color w:val="auto"/>
          <w:sz w:val="21"/>
          <w:szCs w:val="21"/>
          <w:highlight w:val="none"/>
        </w:rPr>
      </w:pPr>
      <w:bookmarkStart w:id="252" w:name="_Toc5488"/>
      <w:bookmarkStart w:id="253" w:name="_Toc16255"/>
      <w:bookmarkStart w:id="254" w:name="_Toc7258"/>
      <w:r>
        <w:rPr>
          <w:rFonts w:hint="eastAsia" w:ascii="宋体" w:hAnsi="宋体" w:cs="宋体"/>
          <w:b w:val="0"/>
          <w:bCs w:val="0"/>
          <w:color w:val="auto"/>
          <w:sz w:val="21"/>
          <w:szCs w:val="21"/>
          <w:highlight w:val="none"/>
        </w:rPr>
        <w:t>致：</w:t>
      </w:r>
      <w:bookmarkEnd w:id="252"/>
      <w:bookmarkEnd w:id="253"/>
      <w:bookmarkEnd w:id="254"/>
    </w:p>
    <w:p>
      <w:pPr>
        <w:pStyle w:val="31"/>
        <w:spacing w:before="120" w:beforeLines="50" w:after="120" w:afterLines="50" w:line="360" w:lineRule="auto"/>
        <w:ind w:firstLine="420" w:firstLineChars="200"/>
        <w:jc w:val="both"/>
        <w:outlineLvl w:val="9"/>
        <w:rPr>
          <w:rFonts w:hint="eastAsia" w:ascii="宋体" w:hAnsi="宋体" w:cs="宋体"/>
          <w:b w:val="0"/>
          <w:bCs w:val="0"/>
          <w:color w:val="auto"/>
          <w:sz w:val="21"/>
          <w:szCs w:val="21"/>
          <w:highlight w:val="none"/>
        </w:rPr>
      </w:pPr>
      <w:bookmarkStart w:id="255" w:name="_Toc23252"/>
      <w:bookmarkStart w:id="256" w:name="_Toc15858"/>
      <w:bookmarkStart w:id="257" w:name="_Toc28611"/>
      <w:r>
        <w:rPr>
          <w:rFonts w:hint="eastAsia" w:ascii="宋体" w:hAnsi="宋体" w:cs="宋体"/>
          <w:b w:val="0"/>
          <w:bCs w:val="0"/>
          <w:color w:val="auto"/>
          <w:sz w:val="21"/>
          <w:szCs w:val="21"/>
          <w:highlight w:val="none"/>
        </w:rPr>
        <w:t>根据《中华人民共和国政府采购法实施条例》中“第十八条 单位负责人为同一人或者存在直接控股、管理关系的不同供应商，不得参加同一合同项下的政府采购活动。”</w:t>
      </w:r>
      <w:bookmarkEnd w:id="255"/>
      <w:bookmarkEnd w:id="256"/>
      <w:bookmarkEnd w:id="257"/>
    </w:p>
    <w:p>
      <w:pPr>
        <w:pStyle w:val="31"/>
        <w:spacing w:before="120" w:beforeLines="50" w:after="120" w:afterLines="50" w:line="360" w:lineRule="auto"/>
        <w:ind w:firstLine="210" w:firstLineChars="100"/>
        <w:jc w:val="both"/>
        <w:outlineLvl w:val="9"/>
        <w:rPr>
          <w:rFonts w:hint="eastAsia" w:ascii="宋体" w:hAnsi="宋体" w:cs="宋体"/>
          <w:b w:val="0"/>
          <w:bCs w:val="0"/>
          <w:color w:val="auto"/>
          <w:sz w:val="21"/>
          <w:szCs w:val="21"/>
          <w:highlight w:val="none"/>
        </w:rPr>
      </w:pPr>
      <w:bookmarkStart w:id="258" w:name="_Toc20849"/>
      <w:bookmarkStart w:id="259" w:name="_Toc13630"/>
      <w:bookmarkStart w:id="260" w:name="_Toc22651"/>
      <w:r>
        <w:rPr>
          <w:rFonts w:hint="eastAsia" w:ascii="宋体" w:hAnsi="宋体" w:cs="宋体"/>
          <w:b w:val="0"/>
          <w:bCs w:val="0"/>
          <w:color w:val="auto"/>
          <w:sz w:val="21"/>
          <w:szCs w:val="21"/>
          <w:highlight w:val="none"/>
        </w:rPr>
        <w:t> 我公司声明在参与本项目中不存在上述情况，如本声明与实际情况不符，由此产生的一切法律后果，均自行承担。</w:t>
      </w:r>
      <w:bookmarkEnd w:id="258"/>
      <w:bookmarkEnd w:id="259"/>
      <w:bookmarkEnd w:id="260"/>
    </w:p>
    <w:p>
      <w:pPr>
        <w:pStyle w:val="31"/>
        <w:spacing w:before="120" w:beforeLines="50" w:after="120" w:afterLines="50" w:line="360" w:lineRule="auto"/>
        <w:jc w:val="both"/>
        <w:outlineLvl w:val="9"/>
        <w:rPr>
          <w:rFonts w:hint="eastAsia" w:ascii="宋体" w:hAnsi="宋体" w:cs="宋体"/>
          <w:b w:val="0"/>
          <w:bCs w:val="0"/>
          <w:color w:val="auto"/>
          <w:sz w:val="21"/>
          <w:szCs w:val="21"/>
          <w:highlight w:val="none"/>
        </w:rPr>
      </w:pPr>
      <w:bookmarkStart w:id="261" w:name="_Toc12270"/>
      <w:bookmarkStart w:id="262" w:name="_Toc17126"/>
      <w:bookmarkStart w:id="263" w:name="_Toc3675"/>
      <w:r>
        <w:rPr>
          <w:rFonts w:hint="eastAsia" w:ascii="宋体" w:hAnsi="宋体" w:cs="宋体"/>
          <w:b w:val="0"/>
          <w:bCs w:val="0"/>
          <w:color w:val="auto"/>
          <w:sz w:val="21"/>
          <w:szCs w:val="21"/>
          <w:highlight w:val="none"/>
        </w:rPr>
        <w:t> </w:t>
      </w:r>
      <w:r>
        <w:rPr>
          <w:rFonts w:ascii="宋体" w:hAnsi="宋体" w:cs="宋体"/>
          <w:b w:val="0"/>
          <w:bCs w:val="0"/>
          <w:color w:val="auto"/>
          <w:sz w:val="21"/>
          <w:szCs w:val="21"/>
          <w:highlight w:val="none"/>
        </w:rPr>
        <w:t xml:space="preserve"> </w:t>
      </w:r>
      <w:r>
        <w:rPr>
          <w:rFonts w:hint="eastAsia" w:ascii="宋体" w:hAnsi="宋体" w:cs="宋体"/>
          <w:b w:val="0"/>
          <w:bCs w:val="0"/>
          <w:color w:val="auto"/>
          <w:sz w:val="21"/>
          <w:szCs w:val="21"/>
          <w:highlight w:val="none"/>
        </w:rPr>
        <w:t>特此声明。</w:t>
      </w:r>
      <w:bookmarkEnd w:id="261"/>
      <w:bookmarkEnd w:id="262"/>
      <w:bookmarkEnd w:id="263"/>
    </w:p>
    <w:p>
      <w:pPr>
        <w:pStyle w:val="31"/>
        <w:spacing w:before="120" w:beforeLines="50" w:after="120" w:afterLines="50" w:line="360" w:lineRule="auto"/>
        <w:ind w:firstLine="5040" w:firstLineChars="2400"/>
        <w:jc w:val="both"/>
        <w:outlineLvl w:val="9"/>
        <w:rPr>
          <w:rFonts w:hint="eastAsia" w:ascii="宋体" w:hAnsi="宋体" w:cs="宋体"/>
          <w:b w:val="0"/>
          <w:bCs w:val="0"/>
          <w:color w:val="auto"/>
          <w:sz w:val="21"/>
          <w:szCs w:val="21"/>
          <w:highlight w:val="none"/>
        </w:rPr>
      </w:pPr>
      <w:bookmarkStart w:id="264" w:name="_Toc28063"/>
      <w:bookmarkStart w:id="265" w:name="_Toc17816"/>
      <w:bookmarkStart w:id="266" w:name="_Toc17673"/>
      <w:r>
        <w:rPr>
          <w:rFonts w:hint="eastAsia" w:ascii="宋体" w:hAnsi="宋体" w:cs="宋体"/>
          <w:b w:val="0"/>
          <w:bCs w:val="0"/>
          <w:color w:val="auto"/>
          <w:sz w:val="21"/>
          <w:szCs w:val="21"/>
          <w:highlight w:val="none"/>
        </w:rPr>
        <w:t>投标人授权代表（签字或盖章）：</w:t>
      </w:r>
      <w:bookmarkEnd w:id="264"/>
      <w:bookmarkEnd w:id="265"/>
      <w:bookmarkEnd w:id="266"/>
    </w:p>
    <w:p>
      <w:pPr>
        <w:pStyle w:val="31"/>
        <w:spacing w:before="120" w:beforeLines="50" w:after="120" w:afterLines="50" w:line="360" w:lineRule="auto"/>
        <w:jc w:val="both"/>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 xml:space="preserve">                                                </w:t>
      </w:r>
      <w:bookmarkStart w:id="267" w:name="_Toc19812"/>
      <w:bookmarkStart w:id="268" w:name="_Toc6498"/>
      <w:bookmarkStart w:id="269" w:name="_Toc26744"/>
      <w:r>
        <w:rPr>
          <w:rFonts w:hint="eastAsia" w:ascii="宋体" w:hAnsi="宋体" w:cs="宋体"/>
          <w:b w:val="0"/>
          <w:bCs w:val="0"/>
          <w:color w:val="auto"/>
          <w:sz w:val="21"/>
          <w:szCs w:val="21"/>
          <w:highlight w:val="none"/>
        </w:rPr>
        <w:t>投标人公章：</w:t>
      </w:r>
      <w:bookmarkEnd w:id="267"/>
      <w:bookmarkEnd w:id="268"/>
      <w:bookmarkEnd w:id="269"/>
    </w:p>
    <w:p>
      <w:pPr>
        <w:tabs>
          <w:tab w:val="left" w:pos="5580"/>
        </w:tabs>
        <w:spacing w:line="360" w:lineRule="auto"/>
        <w:ind w:left="718" w:leftChars="342"/>
        <w:rPr>
          <w:rFonts w:hint="eastAsia" w:ascii="宋体" w:hAnsi="宋体" w:cs="宋体"/>
          <w:color w:val="auto"/>
          <w:szCs w:val="21"/>
          <w:highlight w:val="none"/>
        </w:rPr>
      </w:pPr>
      <w:r>
        <w:rPr>
          <w:rFonts w:hint="eastAsia" w:ascii="宋体" w:hAnsi="宋体" w:cs="宋体"/>
          <w:b/>
          <w:bCs/>
          <w:color w:val="auto"/>
          <w:szCs w:val="21"/>
          <w:highlight w:val="none"/>
        </w:rPr>
        <w:t xml:space="preserve">                                          </w:t>
      </w:r>
      <w:r>
        <w:rPr>
          <w:rFonts w:hint="eastAsia" w:ascii="宋体" w:hAnsi="宋体" w:cs="宋体"/>
          <w:color w:val="auto"/>
          <w:szCs w:val="21"/>
          <w:highlight w:val="none"/>
        </w:rPr>
        <w:t xml:space="preserve">  </w:t>
      </w:r>
      <w:bookmarkStart w:id="270" w:name="_Toc10031"/>
      <w:bookmarkStart w:id="271" w:name="_Toc7187"/>
      <w:bookmarkStart w:id="272" w:name="_Toc6079"/>
      <w:r>
        <w:rPr>
          <w:rFonts w:hint="eastAsia" w:ascii="宋体" w:hAnsi="宋体" w:cs="宋体"/>
          <w:color w:val="auto"/>
          <w:szCs w:val="21"/>
          <w:highlight w:val="none"/>
        </w:rPr>
        <w:t>日期：</w:t>
      </w:r>
      <w:bookmarkEnd w:id="270"/>
      <w:bookmarkEnd w:id="271"/>
      <w:bookmarkEnd w:id="272"/>
    </w:p>
    <w:p>
      <w:pPr>
        <w:tabs>
          <w:tab w:val="left" w:pos="5580"/>
        </w:tabs>
        <w:spacing w:line="360" w:lineRule="auto"/>
        <w:ind w:left="718" w:leftChars="342"/>
        <w:rPr>
          <w:rFonts w:hint="eastAsia" w:ascii="宋体" w:hAnsi="宋体" w:cs="宋体"/>
          <w:color w:val="auto"/>
          <w:szCs w:val="21"/>
          <w:highlight w:val="none"/>
        </w:rPr>
      </w:pPr>
    </w:p>
    <w:p>
      <w:pPr>
        <w:tabs>
          <w:tab w:val="left" w:pos="5580"/>
        </w:tabs>
        <w:spacing w:line="360" w:lineRule="auto"/>
        <w:ind w:left="718" w:leftChars="342"/>
        <w:rPr>
          <w:rFonts w:hint="eastAsia" w:ascii="宋体" w:hAnsi="宋体" w:cs="宋体"/>
          <w:color w:val="auto"/>
          <w:szCs w:val="21"/>
          <w:highlight w:val="none"/>
        </w:rPr>
      </w:pPr>
    </w:p>
    <w:p>
      <w:pPr>
        <w:tabs>
          <w:tab w:val="left" w:pos="5580"/>
        </w:tabs>
        <w:spacing w:line="360" w:lineRule="auto"/>
        <w:ind w:left="718" w:leftChars="342"/>
        <w:rPr>
          <w:rFonts w:hint="eastAsia" w:ascii="宋体" w:hAnsi="宋体" w:cs="宋体"/>
          <w:color w:val="auto"/>
          <w:szCs w:val="21"/>
          <w:highlight w:val="none"/>
        </w:rPr>
      </w:pPr>
    </w:p>
    <w:p>
      <w:pPr>
        <w:pStyle w:val="31"/>
        <w:spacing w:before="120" w:beforeLines="50" w:after="120" w:afterLines="50" w:line="360" w:lineRule="auto"/>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附件</w:t>
      </w:r>
      <w:r>
        <w:rPr>
          <w:rFonts w:hint="eastAsia" w:ascii="宋体" w:hAnsi="宋体" w:cs="宋体"/>
          <w:color w:val="auto"/>
          <w:kern w:val="2"/>
          <w:sz w:val="21"/>
          <w:szCs w:val="21"/>
          <w:highlight w:val="none"/>
          <w:lang w:val="en-US" w:eastAsia="zh-CN"/>
        </w:rPr>
        <w:t>6</w:t>
      </w:r>
      <w:r>
        <w:rPr>
          <w:rFonts w:hint="eastAsia" w:ascii="宋体" w:hAnsi="宋体" w:cs="宋体"/>
          <w:color w:val="auto"/>
          <w:kern w:val="2"/>
          <w:sz w:val="21"/>
          <w:szCs w:val="21"/>
          <w:highlight w:val="none"/>
        </w:rPr>
        <w:t>-1</w:t>
      </w:r>
      <w:r>
        <w:rPr>
          <w:rFonts w:ascii="宋体" w:hAnsi="宋体" w:cs="宋体"/>
          <w:color w:val="auto"/>
          <w:kern w:val="2"/>
          <w:sz w:val="21"/>
          <w:szCs w:val="21"/>
          <w:highlight w:val="none"/>
        </w:rPr>
        <w:t>3</w:t>
      </w:r>
      <w:r>
        <w:rPr>
          <w:rFonts w:hint="eastAsia" w:ascii="宋体" w:hAnsi="宋体" w:cs="宋体"/>
          <w:color w:val="auto"/>
          <w:kern w:val="2"/>
          <w:sz w:val="21"/>
          <w:szCs w:val="21"/>
          <w:highlight w:val="none"/>
        </w:rPr>
        <w:t xml:space="preserve"> 招标文件要求的其他资格证明文件</w:t>
      </w:r>
    </w:p>
    <w:p>
      <w:pPr>
        <w:pStyle w:val="31"/>
        <w:spacing w:before="120" w:beforeLines="50" w:after="120" w:afterLines="50" w:line="360" w:lineRule="auto"/>
        <w:outlineLvl w:val="9"/>
        <w:rPr>
          <w:rFonts w:hint="eastAsia" w:ascii="宋体" w:hAnsi="宋体" w:cs="宋体"/>
          <w:color w:val="auto"/>
          <w:sz w:val="21"/>
          <w:szCs w:val="21"/>
          <w:highlight w:val="none"/>
        </w:rPr>
      </w:pPr>
    </w:p>
    <w:p>
      <w:pPr>
        <w:rPr>
          <w:rFonts w:hint="eastAsia" w:ascii="宋体" w:hAnsi="宋体" w:cs="宋体"/>
          <w:color w:val="auto"/>
          <w:szCs w:val="21"/>
          <w:highlight w:val="none"/>
        </w:rPr>
      </w:pPr>
    </w:p>
    <w:p>
      <w:pPr>
        <w:pStyle w:val="31"/>
        <w:spacing w:before="120" w:beforeLines="50" w:after="120" w:afterLines="50" w:line="360" w:lineRule="auto"/>
        <w:rPr>
          <w:rFonts w:hint="eastAsia"/>
          <w:color w:val="auto"/>
          <w:highlight w:val="none"/>
        </w:rPr>
      </w:pPr>
      <w:bookmarkStart w:id="273" w:name="_Toc19459"/>
      <w:r>
        <w:rPr>
          <w:rFonts w:hint="eastAsia" w:ascii="宋体" w:hAnsi="宋体" w:cs="宋体"/>
          <w:b w:val="0"/>
          <w:bCs w:val="0"/>
          <w:color w:val="auto"/>
          <w:szCs w:val="21"/>
          <w:highlight w:val="none"/>
        </w:rPr>
        <w:br w:type="page"/>
      </w:r>
      <w:r>
        <w:rPr>
          <w:rFonts w:hint="eastAsia" w:ascii="宋体" w:hAnsi="宋体" w:cs="宋体"/>
          <w:color w:val="auto"/>
          <w:kern w:val="2"/>
          <w:sz w:val="21"/>
          <w:szCs w:val="21"/>
          <w:highlight w:val="none"/>
        </w:rPr>
        <w:t>附件</w:t>
      </w:r>
      <w:r>
        <w:rPr>
          <w:rFonts w:hint="eastAsia" w:ascii="宋体" w:hAnsi="宋体" w:cs="宋体"/>
          <w:color w:val="auto"/>
          <w:kern w:val="2"/>
          <w:sz w:val="21"/>
          <w:szCs w:val="21"/>
          <w:highlight w:val="none"/>
          <w:lang w:val="en-US" w:eastAsia="zh-CN"/>
        </w:rPr>
        <w:t>7</w:t>
      </w:r>
      <w:r>
        <w:rPr>
          <w:rFonts w:hint="eastAsia" w:ascii="宋体" w:hAnsi="宋体" w:cs="宋体"/>
          <w:color w:val="auto"/>
          <w:kern w:val="2"/>
          <w:sz w:val="21"/>
          <w:szCs w:val="21"/>
          <w:highlight w:val="none"/>
        </w:rPr>
        <w:t>-1   拟投入本项目人员情况表</w:t>
      </w:r>
    </w:p>
    <w:p>
      <w:pPr>
        <w:pStyle w:val="21"/>
        <w:spacing w:line="400" w:lineRule="atLeast"/>
        <w:jc w:val="center"/>
        <w:rPr>
          <w:rFonts w:hAnsi="宋体"/>
          <w:b/>
          <w:color w:val="auto"/>
          <w:sz w:val="28"/>
          <w:szCs w:val="21"/>
          <w:highlight w:val="none"/>
        </w:rPr>
      </w:pPr>
      <w:r>
        <w:rPr>
          <w:rFonts w:hint="eastAsia" w:hAnsi="宋体"/>
          <w:b/>
          <w:color w:val="auto"/>
          <w:sz w:val="28"/>
          <w:highlight w:val="none"/>
        </w:rPr>
        <w:t>拟派项目负责人情况表</w:t>
      </w:r>
    </w:p>
    <w:p>
      <w:pPr>
        <w:pStyle w:val="21"/>
        <w:spacing w:line="400" w:lineRule="atLeast"/>
        <w:ind w:left="2629"/>
        <w:rPr>
          <w:rFonts w:hint="eastAsia" w:hAnsi="宋体"/>
          <w:b/>
          <w:color w:val="auto"/>
          <w:sz w:val="28"/>
          <w:highlight w:val="none"/>
        </w:rPr>
      </w:pPr>
    </w:p>
    <w:p>
      <w:pPr>
        <w:pStyle w:val="21"/>
        <w:spacing w:line="400" w:lineRule="atLeast"/>
        <w:ind w:left="663" w:hanging="663" w:hangingChars="300"/>
        <w:rPr>
          <w:rFonts w:hint="eastAsia" w:hAnsi="宋体"/>
          <w:b/>
          <w:color w:val="auto"/>
          <w:sz w:val="22"/>
          <w:highlight w:val="none"/>
        </w:rPr>
      </w:pPr>
      <w:r>
        <w:rPr>
          <w:rFonts w:hint="eastAsia" w:hAnsi="宋体"/>
          <w:b/>
          <w:color w:val="auto"/>
          <w:sz w:val="22"/>
          <w:highlight w:val="none"/>
        </w:rPr>
        <w:t>项目名称：                                            项目编号：</w:t>
      </w:r>
    </w:p>
    <w:tbl>
      <w:tblPr>
        <w:tblStyle w:val="4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850"/>
        <w:gridCol w:w="613"/>
        <w:gridCol w:w="1088"/>
        <w:gridCol w:w="330"/>
        <w:gridCol w:w="1229"/>
        <w:gridCol w:w="330"/>
        <w:gridCol w:w="805"/>
        <w:gridCol w:w="187"/>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1526" w:type="dxa"/>
            <w:gridSpan w:val="2"/>
            <w:tcBorders>
              <w:top w:val="single" w:color="auto" w:sz="4" w:space="0"/>
              <w:left w:val="single" w:color="auto" w:sz="4"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line="400" w:lineRule="atLeast"/>
              <w:ind w:left="660" w:right="0" w:hanging="660" w:hangingChars="300"/>
              <w:jc w:val="center"/>
              <w:rPr>
                <w:rFonts w:hint="eastAsia" w:hAnsi="宋体" w:cs="Times New Roman"/>
                <w:color w:val="auto"/>
                <w:sz w:val="22"/>
                <w:highlight w:val="none"/>
              </w:rPr>
            </w:pPr>
            <w:r>
              <w:rPr>
                <w:rFonts w:hint="eastAsia" w:hAnsi="宋体" w:cs="Times New Roman"/>
                <w:color w:val="auto"/>
                <w:sz w:val="22"/>
                <w:highlight w:val="none"/>
              </w:rPr>
              <w:t>姓 名</w:t>
            </w:r>
          </w:p>
        </w:tc>
        <w:tc>
          <w:tcPr>
            <w:tcW w:w="1463" w:type="dxa"/>
            <w:gridSpan w:val="2"/>
            <w:tcBorders>
              <w:top w:val="single" w:color="auto" w:sz="4" w:space="0"/>
              <w:left w:val="single" w:color="auto" w:sz="6"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line="400" w:lineRule="atLeast"/>
              <w:ind w:left="660" w:right="0" w:hanging="660" w:hangingChars="300"/>
              <w:jc w:val="center"/>
              <w:rPr>
                <w:rFonts w:hint="eastAsia" w:hAnsi="宋体" w:cs="Times New Roman"/>
                <w:color w:val="auto"/>
                <w:sz w:val="22"/>
                <w:highlight w:val="none"/>
              </w:rPr>
            </w:pPr>
          </w:p>
        </w:tc>
        <w:tc>
          <w:tcPr>
            <w:tcW w:w="1418" w:type="dxa"/>
            <w:gridSpan w:val="2"/>
            <w:tcBorders>
              <w:top w:val="single" w:color="auto" w:sz="4" w:space="0"/>
              <w:left w:val="single" w:color="auto" w:sz="6"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line="400" w:lineRule="atLeast"/>
              <w:ind w:left="660" w:right="0" w:hanging="660" w:hangingChars="300"/>
              <w:jc w:val="center"/>
              <w:rPr>
                <w:rFonts w:hint="eastAsia" w:hAnsi="宋体" w:cs="Times New Roman"/>
                <w:color w:val="auto"/>
                <w:sz w:val="22"/>
                <w:highlight w:val="none"/>
              </w:rPr>
            </w:pPr>
            <w:r>
              <w:rPr>
                <w:rFonts w:hint="eastAsia" w:hAnsi="宋体" w:cs="Times New Roman"/>
                <w:color w:val="auto"/>
                <w:sz w:val="22"/>
                <w:highlight w:val="none"/>
              </w:rPr>
              <w:t>性 别</w:t>
            </w:r>
          </w:p>
        </w:tc>
        <w:tc>
          <w:tcPr>
            <w:tcW w:w="1559" w:type="dxa"/>
            <w:gridSpan w:val="2"/>
            <w:tcBorders>
              <w:top w:val="single" w:color="auto" w:sz="4" w:space="0"/>
              <w:left w:val="single" w:color="auto" w:sz="6"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line="400" w:lineRule="atLeast"/>
              <w:ind w:left="660" w:right="0" w:hanging="660" w:hangingChars="300"/>
              <w:jc w:val="center"/>
              <w:rPr>
                <w:rFonts w:hint="eastAsia" w:hAnsi="宋体" w:cs="Times New Roman"/>
                <w:color w:val="auto"/>
                <w:sz w:val="22"/>
                <w:highlight w:val="none"/>
              </w:rPr>
            </w:pPr>
          </w:p>
        </w:tc>
        <w:tc>
          <w:tcPr>
            <w:tcW w:w="992" w:type="dxa"/>
            <w:gridSpan w:val="2"/>
            <w:tcBorders>
              <w:top w:val="single" w:color="auto" w:sz="4" w:space="0"/>
              <w:left w:val="single" w:color="auto" w:sz="6"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line="400" w:lineRule="atLeast"/>
              <w:ind w:left="660" w:right="0" w:hanging="660" w:hangingChars="300"/>
              <w:jc w:val="center"/>
              <w:rPr>
                <w:rFonts w:hint="eastAsia" w:hAnsi="宋体" w:cs="Times New Roman"/>
                <w:color w:val="auto"/>
                <w:sz w:val="22"/>
                <w:highlight w:val="none"/>
              </w:rPr>
            </w:pPr>
            <w:r>
              <w:rPr>
                <w:rFonts w:hint="eastAsia" w:hAnsi="宋体" w:cs="Times New Roman"/>
                <w:color w:val="auto"/>
                <w:sz w:val="22"/>
                <w:highlight w:val="none"/>
              </w:rPr>
              <w:t>年 龄</w:t>
            </w:r>
          </w:p>
        </w:tc>
        <w:tc>
          <w:tcPr>
            <w:tcW w:w="1797" w:type="dxa"/>
            <w:tcBorders>
              <w:top w:val="single" w:color="auto" w:sz="4" w:space="0"/>
              <w:left w:val="single" w:color="auto" w:sz="6" w:space="0"/>
              <w:bottom w:val="single" w:color="auto" w:sz="6" w:space="0"/>
              <w:right w:val="single" w:color="auto" w:sz="4" w:space="0"/>
            </w:tcBorders>
            <w:noWrap w:val="0"/>
            <w:vAlign w:val="center"/>
          </w:tcPr>
          <w:p>
            <w:pPr>
              <w:pStyle w:val="21"/>
              <w:keepNext w:val="0"/>
              <w:keepLines w:val="0"/>
              <w:suppressLineNumbers w:val="0"/>
              <w:spacing w:before="0" w:beforeAutospacing="0" w:after="0" w:afterAutospacing="0" w:line="400" w:lineRule="atLeast"/>
              <w:ind w:left="660" w:right="0" w:hanging="660" w:hangingChars="300"/>
              <w:jc w:val="center"/>
              <w:rPr>
                <w:rFonts w:hint="eastAsia" w:hAnsi="宋体" w:cs="Times New Roman"/>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1526" w:type="dxa"/>
            <w:gridSpan w:val="2"/>
            <w:tcBorders>
              <w:top w:val="single" w:color="auto" w:sz="6" w:space="0"/>
              <w:left w:val="single" w:color="auto" w:sz="4"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line="400" w:lineRule="atLeast"/>
              <w:ind w:left="660" w:right="0" w:hanging="660" w:hangingChars="300"/>
              <w:jc w:val="center"/>
              <w:rPr>
                <w:rFonts w:hint="eastAsia" w:hAnsi="宋体" w:cs="Times New Roman"/>
                <w:color w:val="auto"/>
                <w:sz w:val="22"/>
                <w:highlight w:val="none"/>
              </w:rPr>
            </w:pPr>
            <w:r>
              <w:rPr>
                <w:rFonts w:hint="eastAsia" w:hAnsi="宋体" w:cs="Times New Roman"/>
                <w:color w:val="auto"/>
                <w:sz w:val="22"/>
                <w:highlight w:val="none"/>
              </w:rPr>
              <w:t>学 历</w:t>
            </w:r>
          </w:p>
        </w:tc>
        <w:tc>
          <w:tcPr>
            <w:tcW w:w="1463" w:type="dxa"/>
            <w:gridSpan w:val="2"/>
            <w:tcBorders>
              <w:top w:val="single" w:color="auto" w:sz="6" w:space="0"/>
              <w:left w:val="single" w:color="auto" w:sz="6"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line="400" w:lineRule="atLeast"/>
              <w:ind w:left="660" w:right="0" w:hanging="660" w:hangingChars="300"/>
              <w:jc w:val="center"/>
              <w:rPr>
                <w:rFonts w:hint="eastAsia" w:hAnsi="宋体" w:cs="Times New Roman"/>
                <w:color w:val="auto"/>
                <w:sz w:val="22"/>
                <w:highlight w:val="none"/>
              </w:rPr>
            </w:pPr>
          </w:p>
        </w:tc>
        <w:tc>
          <w:tcPr>
            <w:tcW w:w="1418" w:type="dxa"/>
            <w:gridSpan w:val="2"/>
            <w:tcBorders>
              <w:top w:val="single" w:color="auto" w:sz="6" w:space="0"/>
              <w:left w:val="single" w:color="auto" w:sz="6"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line="400" w:lineRule="atLeast"/>
              <w:ind w:left="660" w:right="0" w:hanging="660" w:hangingChars="300"/>
              <w:jc w:val="center"/>
              <w:rPr>
                <w:rFonts w:hint="eastAsia" w:hAnsi="宋体" w:cs="Times New Roman"/>
                <w:color w:val="auto"/>
                <w:sz w:val="22"/>
                <w:highlight w:val="none"/>
              </w:rPr>
            </w:pPr>
            <w:r>
              <w:rPr>
                <w:rFonts w:hint="eastAsia" w:hAnsi="宋体" w:cs="Times New Roman"/>
                <w:color w:val="auto"/>
                <w:sz w:val="22"/>
                <w:highlight w:val="none"/>
              </w:rPr>
              <w:t>职 称</w:t>
            </w: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line="400" w:lineRule="atLeast"/>
              <w:ind w:left="660" w:right="0" w:hanging="660" w:hangingChars="300"/>
              <w:jc w:val="center"/>
              <w:rPr>
                <w:rFonts w:hint="eastAsia" w:hAnsi="宋体" w:cs="Times New Roman"/>
                <w:color w:val="auto"/>
                <w:sz w:val="22"/>
                <w:highlight w:val="none"/>
              </w:rPr>
            </w:pPr>
          </w:p>
        </w:tc>
        <w:tc>
          <w:tcPr>
            <w:tcW w:w="992" w:type="dxa"/>
            <w:gridSpan w:val="2"/>
            <w:tcBorders>
              <w:top w:val="single" w:color="auto" w:sz="6" w:space="0"/>
              <w:left w:val="single" w:color="auto" w:sz="6"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line="400" w:lineRule="atLeast"/>
              <w:ind w:left="660" w:right="0" w:hanging="660" w:hangingChars="300"/>
              <w:jc w:val="center"/>
              <w:rPr>
                <w:rFonts w:hint="eastAsia" w:hAnsi="宋体" w:cs="Times New Roman"/>
                <w:color w:val="auto"/>
                <w:sz w:val="22"/>
                <w:highlight w:val="none"/>
              </w:rPr>
            </w:pPr>
            <w:r>
              <w:rPr>
                <w:rFonts w:hint="eastAsia" w:hAnsi="宋体" w:cs="Times New Roman"/>
                <w:color w:val="auto"/>
                <w:sz w:val="22"/>
                <w:highlight w:val="none"/>
              </w:rPr>
              <w:t>职 务</w:t>
            </w:r>
          </w:p>
        </w:tc>
        <w:tc>
          <w:tcPr>
            <w:tcW w:w="1797" w:type="dxa"/>
            <w:tcBorders>
              <w:top w:val="single" w:color="auto" w:sz="6" w:space="0"/>
              <w:left w:val="single" w:color="auto" w:sz="6" w:space="0"/>
              <w:bottom w:val="single" w:color="auto" w:sz="6" w:space="0"/>
              <w:right w:val="single" w:color="auto" w:sz="4" w:space="0"/>
            </w:tcBorders>
            <w:noWrap w:val="0"/>
            <w:vAlign w:val="center"/>
          </w:tcPr>
          <w:p>
            <w:pPr>
              <w:pStyle w:val="21"/>
              <w:keepNext w:val="0"/>
              <w:keepLines w:val="0"/>
              <w:suppressLineNumbers w:val="0"/>
              <w:spacing w:before="0" w:beforeAutospacing="0" w:after="0" w:afterAutospacing="0" w:line="400" w:lineRule="atLeast"/>
              <w:ind w:left="660" w:right="0" w:hanging="660" w:hangingChars="300"/>
              <w:jc w:val="center"/>
              <w:rPr>
                <w:rFonts w:hint="eastAsia" w:hAnsi="宋体" w:cs="Times New Roman"/>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1526" w:type="dxa"/>
            <w:gridSpan w:val="2"/>
            <w:tcBorders>
              <w:top w:val="single" w:color="auto" w:sz="6" w:space="0"/>
              <w:left w:val="single" w:color="auto" w:sz="4"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line="400" w:lineRule="atLeast"/>
              <w:ind w:left="660" w:right="0" w:hanging="660" w:hangingChars="300"/>
              <w:jc w:val="center"/>
              <w:rPr>
                <w:rFonts w:hint="eastAsia" w:hAnsi="宋体" w:cs="Times New Roman"/>
                <w:color w:val="auto"/>
                <w:sz w:val="22"/>
                <w:highlight w:val="none"/>
              </w:rPr>
            </w:pPr>
            <w:r>
              <w:rPr>
                <w:rFonts w:hint="eastAsia" w:hAnsi="宋体" w:cs="Times New Roman"/>
                <w:color w:val="auto"/>
                <w:sz w:val="22"/>
                <w:highlight w:val="none"/>
              </w:rPr>
              <w:t>联系电话</w:t>
            </w:r>
          </w:p>
        </w:tc>
        <w:tc>
          <w:tcPr>
            <w:tcW w:w="2881" w:type="dxa"/>
            <w:gridSpan w:val="4"/>
            <w:tcBorders>
              <w:top w:val="single" w:color="auto" w:sz="6" w:space="0"/>
              <w:left w:val="single" w:color="auto" w:sz="6"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line="400" w:lineRule="atLeast"/>
              <w:ind w:left="660" w:right="0" w:hanging="660" w:hangingChars="300"/>
              <w:jc w:val="center"/>
              <w:rPr>
                <w:rFonts w:hint="eastAsia" w:hAnsi="宋体" w:cs="Times New Roman"/>
                <w:color w:val="auto"/>
                <w:sz w:val="22"/>
                <w:highlight w:val="none"/>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line="400" w:lineRule="atLeast"/>
              <w:ind w:left="660" w:right="0" w:hanging="660" w:hangingChars="300"/>
              <w:jc w:val="center"/>
              <w:rPr>
                <w:rFonts w:hint="eastAsia" w:hAnsi="宋体" w:cs="Times New Roman"/>
                <w:color w:val="auto"/>
                <w:sz w:val="22"/>
                <w:highlight w:val="none"/>
              </w:rPr>
            </w:pPr>
            <w:r>
              <w:rPr>
                <w:rFonts w:hint="eastAsia" w:hAnsi="宋体" w:cs="Times New Roman"/>
                <w:color w:val="auto"/>
                <w:sz w:val="22"/>
                <w:highlight w:val="none"/>
              </w:rPr>
              <w:t>手 机</w:t>
            </w:r>
          </w:p>
        </w:tc>
        <w:tc>
          <w:tcPr>
            <w:tcW w:w="2789" w:type="dxa"/>
            <w:gridSpan w:val="3"/>
            <w:tcBorders>
              <w:top w:val="single" w:color="auto" w:sz="6" w:space="0"/>
              <w:left w:val="single" w:color="auto" w:sz="6" w:space="0"/>
              <w:bottom w:val="single" w:color="auto" w:sz="6" w:space="0"/>
              <w:right w:val="single" w:color="auto" w:sz="4" w:space="0"/>
            </w:tcBorders>
            <w:noWrap w:val="0"/>
            <w:vAlign w:val="center"/>
          </w:tcPr>
          <w:p>
            <w:pPr>
              <w:pStyle w:val="21"/>
              <w:keepNext w:val="0"/>
              <w:keepLines w:val="0"/>
              <w:suppressLineNumbers w:val="0"/>
              <w:spacing w:before="0" w:beforeAutospacing="0" w:after="0" w:afterAutospacing="0" w:line="400" w:lineRule="atLeast"/>
              <w:ind w:left="660" w:right="0" w:hanging="660" w:hangingChars="300"/>
              <w:jc w:val="center"/>
              <w:rPr>
                <w:rFonts w:hint="eastAsia" w:hAnsi="宋体" w:cs="Times New Roman"/>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755" w:type="dxa"/>
            <w:gridSpan w:val="11"/>
            <w:tcBorders>
              <w:top w:val="single" w:color="auto" w:sz="6" w:space="0"/>
              <w:left w:val="single" w:color="auto" w:sz="4" w:space="0"/>
              <w:bottom w:val="single" w:color="auto" w:sz="6" w:space="0"/>
              <w:right w:val="single" w:color="auto" w:sz="4" w:space="0"/>
            </w:tcBorders>
            <w:noWrap w:val="0"/>
            <w:vAlign w:val="center"/>
          </w:tcPr>
          <w:p>
            <w:pPr>
              <w:pStyle w:val="21"/>
              <w:keepNext w:val="0"/>
              <w:keepLines w:val="0"/>
              <w:suppressLineNumbers w:val="0"/>
              <w:spacing w:before="0" w:beforeAutospacing="0" w:after="0" w:afterAutospacing="0" w:line="400" w:lineRule="atLeast"/>
              <w:ind w:left="660" w:right="0" w:hanging="660" w:hangingChars="300"/>
              <w:jc w:val="left"/>
              <w:rPr>
                <w:rFonts w:hint="eastAsia" w:hAnsi="宋体" w:cs="Times New Roman"/>
                <w:color w:val="auto"/>
                <w:sz w:val="22"/>
                <w:highlight w:val="none"/>
              </w:rPr>
            </w:pPr>
            <w:r>
              <w:rPr>
                <w:rFonts w:hint="eastAsia" w:hAnsi="宋体" w:cs="Times New Roman"/>
                <w:color w:val="auto"/>
                <w:sz w:val="22"/>
                <w:highlight w:val="none"/>
              </w:rPr>
              <w:t>近五年从事相关工作经历及业绩：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817" w:type="dxa"/>
            <w:tcBorders>
              <w:top w:val="single" w:color="auto" w:sz="6" w:space="0"/>
              <w:left w:val="single" w:color="auto" w:sz="4" w:space="0"/>
              <w:bottom w:val="single" w:color="auto" w:sz="6" w:space="0"/>
              <w:right w:val="single" w:color="auto" w:sz="4" w:space="0"/>
            </w:tcBorders>
            <w:noWrap w:val="0"/>
            <w:vAlign w:val="center"/>
          </w:tcPr>
          <w:p>
            <w:pPr>
              <w:pStyle w:val="21"/>
              <w:keepNext w:val="0"/>
              <w:keepLines w:val="0"/>
              <w:suppressLineNumbers w:val="0"/>
              <w:spacing w:before="0" w:beforeAutospacing="0" w:after="0" w:afterAutospacing="0" w:line="400" w:lineRule="atLeast"/>
              <w:ind w:left="663" w:right="0" w:hanging="663" w:hangingChars="300"/>
              <w:jc w:val="center"/>
              <w:rPr>
                <w:rFonts w:hint="eastAsia" w:hAnsi="宋体" w:cs="Times New Roman"/>
                <w:color w:val="auto"/>
                <w:sz w:val="22"/>
                <w:highlight w:val="none"/>
              </w:rPr>
            </w:pPr>
            <w:r>
              <w:rPr>
                <w:rFonts w:hint="eastAsia" w:hAnsi="宋体" w:cs="Times New Roman"/>
                <w:b/>
                <w:bCs/>
                <w:color w:val="auto"/>
                <w:sz w:val="22"/>
                <w:szCs w:val="22"/>
                <w:highlight w:val="none"/>
              </w:rPr>
              <w:t>序号</w:t>
            </w:r>
          </w:p>
        </w:tc>
        <w:tc>
          <w:tcPr>
            <w:tcW w:w="1559" w:type="dxa"/>
            <w:gridSpan w:val="2"/>
            <w:tcBorders>
              <w:top w:val="single" w:color="auto" w:sz="6" w:space="0"/>
              <w:left w:val="single" w:color="auto" w:sz="4"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color w:val="auto"/>
                <w:sz w:val="18"/>
                <w:highlight w:val="none"/>
              </w:rPr>
            </w:pPr>
            <w:r>
              <w:rPr>
                <w:rFonts w:hint="eastAsia" w:hAnsi="宋体" w:cs="Times New Roman"/>
                <w:b/>
                <w:bCs/>
                <w:color w:val="auto"/>
                <w:sz w:val="18"/>
                <w:szCs w:val="22"/>
                <w:highlight w:val="none"/>
              </w:rPr>
              <w:t>用户名称</w:t>
            </w:r>
          </w:p>
        </w:tc>
        <w:tc>
          <w:tcPr>
            <w:tcW w:w="1701" w:type="dxa"/>
            <w:gridSpan w:val="2"/>
            <w:tcBorders>
              <w:top w:val="single" w:color="auto" w:sz="6" w:space="0"/>
              <w:left w:val="single" w:color="auto" w:sz="6"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color w:val="auto"/>
                <w:sz w:val="18"/>
                <w:highlight w:val="none"/>
              </w:rPr>
            </w:pPr>
            <w:r>
              <w:rPr>
                <w:rFonts w:hint="eastAsia" w:hAnsi="宋体" w:cs="Times New Roman"/>
                <w:b/>
                <w:bCs/>
                <w:color w:val="auto"/>
                <w:sz w:val="18"/>
                <w:szCs w:val="22"/>
                <w:highlight w:val="none"/>
              </w:rPr>
              <w:t>项目名称</w:t>
            </w: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ind w:left="542" w:right="0" w:hanging="542" w:hangingChars="300"/>
              <w:jc w:val="center"/>
              <w:rPr>
                <w:rFonts w:hint="eastAsia" w:hAnsi="宋体" w:cs="Times New Roman"/>
                <w:color w:val="auto"/>
                <w:sz w:val="18"/>
                <w:highlight w:val="none"/>
              </w:rPr>
            </w:pPr>
            <w:r>
              <w:rPr>
                <w:rFonts w:hint="eastAsia" w:hAnsi="宋体" w:cs="Times New Roman"/>
                <w:b/>
                <w:bCs/>
                <w:color w:val="auto"/>
                <w:sz w:val="18"/>
                <w:szCs w:val="22"/>
                <w:highlight w:val="none"/>
              </w:rPr>
              <w:t>合同金额</w:t>
            </w:r>
          </w:p>
        </w:tc>
        <w:tc>
          <w:tcPr>
            <w:tcW w:w="1135" w:type="dxa"/>
            <w:gridSpan w:val="2"/>
            <w:tcBorders>
              <w:top w:val="single" w:color="auto" w:sz="6" w:space="0"/>
              <w:left w:val="single" w:color="auto" w:sz="6" w:space="0"/>
              <w:bottom w:val="single" w:color="auto" w:sz="6" w:space="0"/>
              <w:right w:val="single" w:color="auto" w:sz="4"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color w:val="auto"/>
                <w:sz w:val="18"/>
                <w:highlight w:val="none"/>
              </w:rPr>
            </w:pPr>
            <w:r>
              <w:rPr>
                <w:rFonts w:hint="eastAsia" w:hAnsi="宋体" w:cs="Times New Roman"/>
                <w:b/>
                <w:bCs/>
                <w:color w:val="auto"/>
                <w:sz w:val="18"/>
                <w:szCs w:val="22"/>
                <w:highlight w:val="none"/>
              </w:rPr>
              <w:t>实施时间</w:t>
            </w:r>
          </w:p>
        </w:tc>
        <w:tc>
          <w:tcPr>
            <w:tcW w:w="1984" w:type="dxa"/>
            <w:gridSpan w:val="2"/>
            <w:tcBorders>
              <w:top w:val="single" w:color="auto" w:sz="6" w:space="0"/>
              <w:left w:val="single" w:color="auto" w:sz="4" w:space="0"/>
              <w:bottom w:val="single" w:color="auto" w:sz="6" w:space="0"/>
              <w:right w:val="single" w:color="auto" w:sz="4"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color w:val="auto"/>
                <w:sz w:val="18"/>
                <w:highlight w:val="none"/>
              </w:rPr>
            </w:pPr>
            <w:r>
              <w:rPr>
                <w:rFonts w:hint="eastAsia" w:hAnsi="宋体" w:cs="Times New Roman"/>
                <w:b/>
                <w:bCs/>
                <w:color w:val="auto"/>
                <w:sz w:val="18"/>
                <w:szCs w:val="22"/>
                <w:highlight w:val="none"/>
              </w:rPr>
              <w:t>用户联系人/联系方式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817" w:type="dxa"/>
            <w:tcBorders>
              <w:top w:val="single" w:color="auto" w:sz="6" w:space="0"/>
              <w:left w:val="single" w:color="auto" w:sz="4" w:space="0"/>
              <w:bottom w:val="single" w:color="auto" w:sz="6" w:space="0"/>
              <w:right w:val="single" w:color="auto" w:sz="4" w:space="0"/>
            </w:tcBorders>
            <w:noWrap w:val="0"/>
            <w:vAlign w:val="center"/>
          </w:tcPr>
          <w:p>
            <w:pPr>
              <w:pStyle w:val="21"/>
              <w:keepNext w:val="0"/>
              <w:keepLines w:val="0"/>
              <w:suppressLineNumbers w:val="0"/>
              <w:spacing w:before="0" w:beforeAutospacing="0" w:after="0" w:afterAutospacing="0" w:line="400" w:lineRule="atLeast"/>
              <w:ind w:left="663" w:right="0" w:hanging="663" w:hangingChars="300"/>
              <w:jc w:val="center"/>
              <w:rPr>
                <w:rFonts w:hint="eastAsia" w:hAnsi="宋体" w:cs="Times New Roman"/>
                <w:b/>
                <w:bCs/>
                <w:color w:val="auto"/>
                <w:sz w:val="22"/>
                <w:szCs w:val="22"/>
                <w:highlight w:val="none"/>
              </w:rPr>
            </w:pPr>
          </w:p>
        </w:tc>
        <w:tc>
          <w:tcPr>
            <w:tcW w:w="1559" w:type="dxa"/>
            <w:gridSpan w:val="2"/>
            <w:tcBorders>
              <w:top w:val="single" w:color="auto" w:sz="6" w:space="0"/>
              <w:left w:val="single" w:color="auto" w:sz="4"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c>
          <w:tcPr>
            <w:tcW w:w="1701" w:type="dxa"/>
            <w:gridSpan w:val="2"/>
            <w:tcBorders>
              <w:top w:val="single" w:color="auto" w:sz="6" w:space="0"/>
              <w:left w:val="single" w:color="auto" w:sz="6"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ind w:left="542" w:right="0" w:hanging="542" w:hangingChars="300"/>
              <w:jc w:val="center"/>
              <w:rPr>
                <w:rFonts w:hint="eastAsia" w:hAnsi="宋体" w:cs="Times New Roman"/>
                <w:b/>
                <w:bCs/>
                <w:color w:val="auto"/>
                <w:sz w:val="18"/>
                <w:szCs w:val="22"/>
                <w:highlight w:val="none"/>
              </w:rPr>
            </w:pPr>
          </w:p>
        </w:tc>
        <w:tc>
          <w:tcPr>
            <w:tcW w:w="1135" w:type="dxa"/>
            <w:gridSpan w:val="2"/>
            <w:tcBorders>
              <w:top w:val="single" w:color="auto" w:sz="6" w:space="0"/>
              <w:left w:val="single" w:color="auto" w:sz="6" w:space="0"/>
              <w:bottom w:val="single" w:color="auto" w:sz="6" w:space="0"/>
              <w:right w:val="single" w:color="auto" w:sz="4"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c>
          <w:tcPr>
            <w:tcW w:w="1984" w:type="dxa"/>
            <w:gridSpan w:val="2"/>
            <w:tcBorders>
              <w:top w:val="single" w:color="auto" w:sz="6" w:space="0"/>
              <w:left w:val="single" w:color="auto" w:sz="4" w:space="0"/>
              <w:bottom w:val="single" w:color="auto" w:sz="6" w:space="0"/>
              <w:right w:val="single" w:color="auto" w:sz="4"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817" w:type="dxa"/>
            <w:tcBorders>
              <w:top w:val="single" w:color="auto" w:sz="6" w:space="0"/>
              <w:left w:val="single" w:color="auto" w:sz="4" w:space="0"/>
              <w:bottom w:val="single" w:color="auto" w:sz="6" w:space="0"/>
              <w:right w:val="single" w:color="auto" w:sz="4" w:space="0"/>
            </w:tcBorders>
            <w:noWrap w:val="0"/>
            <w:vAlign w:val="center"/>
          </w:tcPr>
          <w:p>
            <w:pPr>
              <w:pStyle w:val="21"/>
              <w:keepNext w:val="0"/>
              <w:keepLines w:val="0"/>
              <w:suppressLineNumbers w:val="0"/>
              <w:spacing w:before="0" w:beforeAutospacing="0" w:after="0" w:afterAutospacing="0" w:line="400" w:lineRule="atLeast"/>
              <w:ind w:left="663" w:right="0" w:hanging="663" w:hangingChars="300"/>
              <w:jc w:val="center"/>
              <w:rPr>
                <w:rFonts w:hint="eastAsia" w:hAnsi="宋体" w:cs="Times New Roman"/>
                <w:b/>
                <w:bCs/>
                <w:color w:val="auto"/>
                <w:sz w:val="22"/>
                <w:szCs w:val="22"/>
                <w:highlight w:val="none"/>
              </w:rPr>
            </w:pPr>
          </w:p>
        </w:tc>
        <w:tc>
          <w:tcPr>
            <w:tcW w:w="1559" w:type="dxa"/>
            <w:gridSpan w:val="2"/>
            <w:tcBorders>
              <w:top w:val="single" w:color="auto" w:sz="6" w:space="0"/>
              <w:left w:val="single" w:color="auto" w:sz="4"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c>
          <w:tcPr>
            <w:tcW w:w="1701" w:type="dxa"/>
            <w:gridSpan w:val="2"/>
            <w:tcBorders>
              <w:top w:val="single" w:color="auto" w:sz="6" w:space="0"/>
              <w:left w:val="single" w:color="auto" w:sz="6"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ind w:left="542" w:right="0" w:hanging="542" w:hangingChars="300"/>
              <w:jc w:val="center"/>
              <w:rPr>
                <w:rFonts w:hint="eastAsia" w:hAnsi="宋体" w:cs="Times New Roman"/>
                <w:b/>
                <w:bCs/>
                <w:color w:val="auto"/>
                <w:sz w:val="18"/>
                <w:szCs w:val="22"/>
                <w:highlight w:val="none"/>
              </w:rPr>
            </w:pPr>
          </w:p>
        </w:tc>
        <w:tc>
          <w:tcPr>
            <w:tcW w:w="1135" w:type="dxa"/>
            <w:gridSpan w:val="2"/>
            <w:tcBorders>
              <w:top w:val="single" w:color="auto" w:sz="6" w:space="0"/>
              <w:left w:val="single" w:color="auto" w:sz="6" w:space="0"/>
              <w:bottom w:val="single" w:color="auto" w:sz="6" w:space="0"/>
              <w:right w:val="single" w:color="auto" w:sz="4"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c>
          <w:tcPr>
            <w:tcW w:w="1984" w:type="dxa"/>
            <w:gridSpan w:val="2"/>
            <w:tcBorders>
              <w:top w:val="single" w:color="auto" w:sz="6" w:space="0"/>
              <w:left w:val="single" w:color="auto" w:sz="4" w:space="0"/>
              <w:bottom w:val="single" w:color="auto" w:sz="6" w:space="0"/>
              <w:right w:val="single" w:color="auto" w:sz="4"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817" w:type="dxa"/>
            <w:tcBorders>
              <w:top w:val="single" w:color="auto" w:sz="6" w:space="0"/>
              <w:left w:val="single" w:color="auto" w:sz="4" w:space="0"/>
              <w:bottom w:val="single" w:color="auto" w:sz="6" w:space="0"/>
              <w:right w:val="single" w:color="auto" w:sz="4" w:space="0"/>
            </w:tcBorders>
            <w:noWrap w:val="0"/>
            <w:vAlign w:val="center"/>
          </w:tcPr>
          <w:p>
            <w:pPr>
              <w:pStyle w:val="21"/>
              <w:keepNext w:val="0"/>
              <w:keepLines w:val="0"/>
              <w:suppressLineNumbers w:val="0"/>
              <w:spacing w:before="0" w:beforeAutospacing="0" w:after="0" w:afterAutospacing="0" w:line="400" w:lineRule="atLeast"/>
              <w:ind w:left="663" w:right="0" w:hanging="663" w:hangingChars="300"/>
              <w:jc w:val="center"/>
              <w:rPr>
                <w:rFonts w:hint="eastAsia" w:hAnsi="宋体" w:cs="Times New Roman"/>
                <w:b/>
                <w:bCs/>
                <w:color w:val="auto"/>
                <w:sz w:val="22"/>
                <w:szCs w:val="22"/>
                <w:highlight w:val="none"/>
              </w:rPr>
            </w:pPr>
          </w:p>
        </w:tc>
        <w:tc>
          <w:tcPr>
            <w:tcW w:w="1559" w:type="dxa"/>
            <w:gridSpan w:val="2"/>
            <w:tcBorders>
              <w:top w:val="single" w:color="auto" w:sz="6" w:space="0"/>
              <w:left w:val="single" w:color="auto" w:sz="4"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c>
          <w:tcPr>
            <w:tcW w:w="1701" w:type="dxa"/>
            <w:gridSpan w:val="2"/>
            <w:tcBorders>
              <w:top w:val="single" w:color="auto" w:sz="6" w:space="0"/>
              <w:left w:val="single" w:color="auto" w:sz="6"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ind w:left="542" w:right="0" w:hanging="542" w:hangingChars="300"/>
              <w:jc w:val="center"/>
              <w:rPr>
                <w:rFonts w:hint="eastAsia" w:hAnsi="宋体" w:cs="Times New Roman"/>
                <w:b/>
                <w:bCs/>
                <w:color w:val="auto"/>
                <w:sz w:val="18"/>
                <w:szCs w:val="22"/>
                <w:highlight w:val="none"/>
              </w:rPr>
            </w:pPr>
          </w:p>
        </w:tc>
        <w:tc>
          <w:tcPr>
            <w:tcW w:w="1135" w:type="dxa"/>
            <w:gridSpan w:val="2"/>
            <w:tcBorders>
              <w:top w:val="single" w:color="auto" w:sz="6" w:space="0"/>
              <w:left w:val="single" w:color="auto" w:sz="6" w:space="0"/>
              <w:bottom w:val="single" w:color="auto" w:sz="6" w:space="0"/>
              <w:right w:val="single" w:color="auto" w:sz="4"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c>
          <w:tcPr>
            <w:tcW w:w="1984" w:type="dxa"/>
            <w:gridSpan w:val="2"/>
            <w:tcBorders>
              <w:top w:val="single" w:color="auto" w:sz="6" w:space="0"/>
              <w:left w:val="single" w:color="auto" w:sz="4" w:space="0"/>
              <w:bottom w:val="single" w:color="auto" w:sz="6" w:space="0"/>
              <w:right w:val="single" w:color="auto" w:sz="4"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817" w:type="dxa"/>
            <w:tcBorders>
              <w:top w:val="single" w:color="auto" w:sz="6" w:space="0"/>
              <w:left w:val="single" w:color="auto" w:sz="4" w:space="0"/>
              <w:bottom w:val="single" w:color="auto" w:sz="6" w:space="0"/>
              <w:right w:val="single" w:color="auto" w:sz="4" w:space="0"/>
            </w:tcBorders>
            <w:noWrap w:val="0"/>
            <w:vAlign w:val="center"/>
          </w:tcPr>
          <w:p>
            <w:pPr>
              <w:pStyle w:val="21"/>
              <w:keepNext w:val="0"/>
              <w:keepLines w:val="0"/>
              <w:suppressLineNumbers w:val="0"/>
              <w:spacing w:before="0" w:beforeAutospacing="0" w:after="0" w:afterAutospacing="0" w:line="400" w:lineRule="atLeast"/>
              <w:ind w:left="663" w:right="0" w:hanging="663" w:hangingChars="300"/>
              <w:jc w:val="center"/>
              <w:rPr>
                <w:rFonts w:hint="eastAsia" w:hAnsi="宋体" w:cs="Times New Roman"/>
                <w:b/>
                <w:bCs/>
                <w:color w:val="auto"/>
                <w:sz w:val="22"/>
                <w:szCs w:val="22"/>
                <w:highlight w:val="none"/>
              </w:rPr>
            </w:pPr>
          </w:p>
        </w:tc>
        <w:tc>
          <w:tcPr>
            <w:tcW w:w="1559" w:type="dxa"/>
            <w:gridSpan w:val="2"/>
            <w:tcBorders>
              <w:top w:val="single" w:color="auto" w:sz="6" w:space="0"/>
              <w:left w:val="single" w:color="auto" w:sz="4"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c>
          <w:tcPr>
            <w:tcW w:w="1701" w:type="dxa"/>
            <w:gridSpan w:val="2"/>
            <w:tcBorders>
              <w:top w:val="single" w:color="auto" w:sz="6" w:space="0"/>
              <w:left w:val="single" w:color="auto" w:sz="6"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ind w:left="542" w:right="0" w:hanging="542" w:hangingChars="300"/>
              <w:jc w:val="center"/>
              <w:rPr>
                <w:rFonts w:hint="eastAsia" w:hAnsi="宋体" w:cs="Times New Roman"/>
                <w:b/>
                <w:bCs/>
                <w:color w:val="auto"/>
                <w:sz w:val="18"/>
                <w:szCs w:val="22"/>
                <w:highlight w:val="none"/>
              </w:rPr>
            </w:pPr>
          </w:p>
        </w:tc>
        <w:tc>
          <w:tcPr>
            <w:tcW w:w="1135" w:type="dxa"/>
            <w:gridSpan w:val="2"/>
            <w:tcBorders>
              <w:top w:val="single" w:color="auto" w:sz="6" w:space="0"/>
              <w:left w:val="single" w:color="auto" w:sz="6" w:space="0"/>
              <w:bottom w:val="single" w:color="auto" w:sz="6" w:space="0"/>
              <w:right w:val="single" w:color="auto" w:sz="4"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c>
          <w:tcPr>
            <w:tcW w:w="1984" w:type="dxa"/>
            <w:gridSpan w:val="2"/>
            <w:tcBorders>
              <w:top w:val="single" w:color="auto" w:sz="6" w:space="0"/>
              <w:left w:val="single" w:color="auto" w:sz="4" w:space="0"/>
              <w:bottom w:val="single" w:color="auto" w:sz="6" w:space="0"/>
              <w:right w:val="single" w:color="auto" w:sz="4"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817" w:type="dxa"/>
            <w:tcBorders>
              <w:top w:val="single" w:color="auto" w:sz="6" w:space="0"/>
              <w:left w:val="single" w:color="auto" w:sz="4" w:space="0"/>
              <w:bottom w:val="single" w:color="auto" w:sz="6" w:space="0"/>
              <w:right w:val="single" w:color="auto" w:sz="4" w:space="0"/>
            </w:tcBorders>
            <w:noWrap w:val="0"/>
            <w:vAlign w:val="center"/>
          </w:tcPr>
          <w:p>
            <w:pPr>
              <w:pStyle w:val="21"/>
              <w:keepNext w:val="0"/>
              <w:keepLines w:val="0"/>
              <w:suppressLineNumbers w:val="0"/>
              <w:spacing w:before="0" w:beforeAutospacing="0" w:after="0" w:afterAutospacing="0" w:line="400" w:lineRule="atLeast"/>
              <w:ind w:left="663" w:right="0" w:hanging="663" w:hangingChars="300"/>
              <w:jc w:val="center"/>
              <w:rPr>
                <w:rFonts w:hint="eastAsia" w:hAnsi="宋体" w:cs="Times New Roman"/>
                <w:b/>
                <w:bCs/>
                <w:color w:val="auto"/>
                <w:sz w:val="22"/>
                <w:szCs w:val="22"/>
                <w:highlight w:val="none"/>
              </w:rPr>
            </w:pPr>
          </w:p>
        </w:tc>
        <w:tc>
          <w:tcPr>
            <w:tcW w:w="1559" w:type="dxa"/>
            <w:gridSpan w:val="2"/>
            <w:tcBorders>
              <w:top w:val="single" w:color="auto" w:sz="6" w:space="0"/>
              <w:left w:val="single" w:color="auto" w:sz="4"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c>
          <w:tcPr>
            <w:tcW w:w="1701" w:type="dxa"/>
            <w:gridSpan w:val="2"/>
            <w:tcBorders>
              <w:top w:val="single" w:color="auto" w:sz="6" w:space="0"/>
              <w:left w:val="single" w:color="auto" w:sz="6"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ind w:left="542" w:right="0" w:hanging="542" w:hangingChars="300"/>
              <w:jc w:val="center"/>
              <w:rPr>
                <w:rFonts w:hint="eastAsia" w:hAnsi="宋体" w:cs="Times New Roman"/>
                <w:b/>
                <w:bCs/>
                <w:color w:val="auto"/>
                <w:sz w:val="18"/>
                <w:szCs w:val="22"/>
                <w:highlight w:val="none"/>
              </w:rPr>
            </w:pPr>
          </w:p>
        </w:tc>
        <w:tc>
          <w:tcPr>
            <w:tcW w:w="1135" w:type="dxa"/>
            <w:gridSpan w:val="2"/>
            <w:tcBorders>
              <w:top w:val="single" w:color="auto" w:sz="6" w:space="0"/>
              <w:left w:val="single" w:color="auto" w:sz="6" w:space="0"/>
              <w:bottom w:val="single" w:color="auto" w:sz="6" w:space="0"/>
              <w:right w:val="single" w:color="auto" w:sz="4"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c>
          <w:tcPr>
            <w:tcW w:w="1984" w:type="dxa"/>
            <w:gridSpan w:val="2"/>
            <w:tcBorders>
              <w:top w:val="single" w:color="auto" w:sz="6" w:space="0"/>
              <w:left w:val="single" w:color="auto" w:sz="4" w:space="0"/>
              <w:bottom w:val="single" w:color="auto" w:sz="6" w:space="0"/>
              <w:right w:val="single" w:color="auto" w:sz="4"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817" w:type="dxa"/>
            <w:tcBorders>
              <w:top w:val="single" w:color="auto" w:sz="6" w:space="0"/>
              <w:left w:val="single" w:color="auto" w:sz="4" w:space="0"/>
              <w:bottom w:val="single" w:color="auto" w:sz="6" w:space="0"/>
              <w:right w:val="single" w:color="auto" w:sz="4" w:space="0"/>
            </w:tcBorders>
            <w:noWrap w:val="0"/>
            <w:vAlign w:val="center"/>
          </w:tcPr>
          <w:p>
            <w:pPr>
              <w:pStyle w:val="21"/>
              <w:keepNext w:val="0"/>
              <w:keepLines w:val="0"/>
              <w:suppressLineNumbers w:val="0"/>
              <w:spacing w:before="0" w:beforeAutospacing="0" w:after="0" w:afterAutospacing="0" w:line="400" w:lineRule="atLeast"/>
              <w:ind w:left="663" w:right="0" w:hanging="663" w:hangingChars="300"/>
              <w:jc w:val="center"/>
              <w:rPr>
                <w:rFonts w:hint="eastAsia" w:hAnsi="宋体" w:cs="Times New Roman"/>
                <w:b/>
                <w:bCs/>
                <w:color w:val="auto"/>
                <w:sz w:val="22"/>
                <w:szCs w:val="22"/>
                <w:highlight w:val="none"/>
              </w:rPr>
            </w:pPr>
          </w:p>
        </w:tc>
        <w:tc>
          <w:tcPr>
            <w:tcW w:w="1559" w:type="dxa"/>
            <w:gridSpan w:val="2"/>
            <w:tcBorders>
              <w:top w:val="single" w:color="auto" w:sz="6" w:space="0"/>
              <w:left w:val="single" w:color="auto" w:sz="4"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c>
          <w:tcPr>
            <w:tcW w:w="1701" w:type="dxa"/>
            <w:gridSpan w:val="2"/>
            <w:tcBorders>
              <w:top w:val="single" w:color="auto" w:sz="6" w:space="0"/>
              <w:left w:val="single" w:color="auto" w:sz="6"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ind w:left="542" w:right="0" w:hanging="542" w:hangingChars="300"/>
              <w:jc w:val="center"/>
              <w:rPr>
                <w:rFonts w:hint="eastAsia" w:hAnsi="宋体" w:cs="Times New Roman"/>
                <w:b/>
                <w:bCs/>
                <w:color w:val="auto"/>
                <w:sz w:val="18"/>
                <w:szCs w:val="22"/>
                <w:highlight w:val="none"/>
              </w:rPr>
            </w:pPr>
          </w:p>
        </w:tc>
        <w:tc>
          <w:tcPr>
            <w:tcW w:w="1135" w:type="dxa"/>
            <w:gridSpan w:val="2"/>
            <w:tcBorders>
              <w:top w:val="single" w:color="auto" w:sz="6" w:space="0"/>
              <w:left w:val="single" w:color="auto" w:sz="6" w:space="0"/>
              <w:bottom w:val="single" w:color="auto" w:sz="6" w:space="0"/>
              <w:right w:val="single" w:color="auto" w:sz="4"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c>
          <w:tcPr>
            <w:tcW w:w="1984" w:type="dxa"/>
            <w:gridSpan w:val="2"/>
            <w:tcBorders>
              <w:top w:val="single" w:color="auto" w:sz="6" w:space="0"/>
              <w:left w:val="single" w:color="auto" w:sz="4" w:space="0"/>
              <w:bottom w:val="single" w:color="auto" w:sz="6" w:space="0"/>
              <w:right w:val="single" w:color="auto" w:sz="4"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817" w:type="dxa"/>
            <w:tcBorders>
              <w:top w:val="single" w:color="auto" w:sz="6" w:space="0"/>
              <w:left w:val="single" w:color="auto" w:sz="4" w:space="0"/>
              <w:bottom w:val="single" w:color="auto" w:sz="6" w:space="0"/>
              <w:right w:val="single" w:color="auto" w:sz="4" w:space="0"/>
            </w:tcBorders>
            <w:noWrap w:val="0"/>
            <w:vAlign w:val="center"/>
          </w:tcPr>
          <w:p>
            <w:pPr>
              <w:pStyle w:val="21"/>
              <w:keepNext w:val="0"/>
              <w:keepLines w:val="0"/>
              <w:suppressLineNumbers w:val="0"/>
              <w:spacing w:before="0" w:beforeAutospacing="0" w:after="0" w:afterAutospacing="0" w:line="400" w:lineRule="atLeast"/>
              <w:ind w:left="663" w:right="0" w:hanging="663" w:hangingChars="300"/>
              <w:jc w:val="center"/>
              <w:rPr>
                <w:rFonts w:hint="eastAsia" w:hAnsi="宋体" w:cs="Times New Roman"/>
                <w:b/>
                <w:bCs/>
                <w:color w:val="auto"/>
                <w:sz w:val="22"/>
                <w:szCs w:val="22"/>
                <w:highlight w:val="none"/>
              </w:rPr>
            </w:pPr>
          </w:p>
        </w:tc>
        <w:tc>
          <w:tcPr>
            <w:tcW w:w="1559" w:type="dxa"/>
            <w:gridSpan w:val="2"/>
            <w:tcBorders>
              <w:top w:val="single" w:color="auto" w:sz="6" w:space="0"/>
              <w:left w:val="single" w:color="auto" w:sz="4"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c>
          <w:tcPr>
            <w:tcW w:w="1701" w:type="dxa"/>
            <w:gridSpan w:val="2"/>
            <w:tcBorders>
              <w:top w:val="single" w:color="auto" w:sz="6" w:space="0"/>
              <w:left w:val="single" w:color="auto" w:sz="6"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ind w:left="542" w:right="0" w:hanging="542" w:hangingChars="300"/>
              <w:jc w:val="center"/>
              <w:rPr>
                <w:rFonts w:hint="eastAsia" w:hAnsi="宋体" w:cs="Times New Roman"/>
                <w:b/>
                <w:bCs/>
                <w:color w:val="auto"/>
                <w:sz w:val="18"/>
                <w:szCs w:val="22"/>
                <w:highlight w:val="none"/>
              </w:rPr>
            </w:pPr>
          </w:p>
        </w:tc>
        <w:tc>
          <w:tcPr>
            <w:tcW w:w="1135" w:type="dxa"/>
            <w:gridSpan w:val="2"/>
            <w:tcBorders>
              <w:top w:val="single" w:color="auto" w:sz="6" w:space="0"/>
              <w:left w:val="single" w:color="auto" w:sz="6" w:space="0"/>
              <w:bottom w:val="single" w:color="auto" w:sz="6" w:space="0"/>
              <w:right w:val="single" w:color="auto" w:sz="4"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c>
          <w:tcPr>
            <w:tcW w:w="1984" w:type="dxa"/>
            <w:gridSpan w:val="2"/>
            <w:tcBorders>
              <w:top w:val="single" w:color="auto" w:sz="6" w:space="0"/>
              <w:left w:val="single" w:color="auto" w:sz="4" w:space="0"/>
              <w:bottom w:val="single" w:color="auto" w:sz="6" w:space="0"/>
              <w:right w:val="single" w:color="auto" w:sz="4"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817" w:type="dxa"/>
            <w:tcBorders>
              <w:top w:val="single" w:color="auto" w:sz="6" w:space="0"/>
              <w:left w:val="single" w:color="auto" w:sz="4" w:space="0"/>
              <w:bottom w:val="single" w:color="auto" w:sz="6" w:space="0"/>
              <w:right w:val="single" w:color="auto" w:sz="4" w:space="0"/>
            </w:tcBorders>
            <w:noWrap w:val="0"/>
            <w:vAlign w:val="center"/>
          </w:tcPr>
          <w:p>
            <w:pPr>
              <w:pStyle w:val="21"/>
              <w:keepNext w:val="0"/>
              <w:keepLines w:val="0"/>
              <w:suppressLineNumbers w:val="0"/>
              <w:spacing w:before="0" w:beforeAutospacing="0" w:after="0" w:afterAutospacing="0" w:line="400" w:lineRule="atLeast"/>
              <w:ind w:left="663" w:right="0" w:hanging="663" w:hangingChars="300"/>
              <w:jc w:val="center"/>
              <w:rPr>
                <w:rFonts w:hint="eastAsia" w:hAnsi="宋体" w:cs="Times New Roman"/>
                <w:b/>
                <w:bCs/>
                <w:color w:val="auto"/>
                <w:sz w:val="22"/>
                <w:szCs w:val="22"/>
                <w:highlight w:val="none"/>
              </w:rPr>
            </w:pPr>
          </w:p>
        </w:tc>
        <w:tc>
          <w:tcPr>
            <w:tcW w:w="1559" w:type="dxa"/>
            <w:gridSpan w:val="2"/>
            <w:tcBorders>
              <w:top w:val="single" w:color="auto" w:sz="6" w:space="0"/>
              <w:left w:val="single" w:color="auto" w:sz="4"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c>
          <w:tcPr>
            <w:tcW w:w="1701" w:type="dxa"/>
            <w:gridSpan w:val="2"/>
            <w:tcBorders>
              <w:top w:val="single" w:color="auto" w:sz="6" w:space="0"/>
              <w:left w:val="single" w:color="auto" w:sz="6"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ind w:left="542" w:right="0" w:hanging="542" w:hangingChars="300"/>
              <w:jc w:val="center"/>
              <w:rPr>
                <w:rFonts w:hint="eastAsia" w:hAnsi="宋体" w:cs="Times New Roman"/>
                <w:b/>
                <w:bCs/>
                <w:color w:val="auto"/>
                <w:sz w:val="18"/>
                <w:szCs w:val="22"/>
                <w:highlight w:val="none"/>
              </w:rPr>
            </w:pPr>
          </w:p>
        </w:tc>
        <w:tc>
          <w:tcPr>
            <w:tcW w:w="1135" w:type="dxa"/>
            <w:gridSpan w:val="2"/>
            <w:tcBorders>
              <w:top w:val="single" w:color="auto" w:sz="6" w:space="0"/>
              <w:left w:val="single" w:color="auto" w:sz="6" w:space="0"/>
              <w:bottom w:val="single" w:color="auto" w:sz="6" w:space="0"/>
              <w:right w:val="single" w:color="auto" w:sz="4"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c>
          <w:tcPr>
            <w:tcW w:w="1984" w:type="dxa"/>
            <w:gridSpan w:val="2"/>
            <w:tcBorders>
              <w:top w:val="single" w:color="auto" w:sz="6" w:space="0"/>
              <w:left w:val="single" w:color="auto" w:sz="4" w:space="0"/>
              <w:bottom w:val="single" w:color="auto" w:sz="6" w:space="0"/>
              <w:right w:val="single" w:color="auto" w:sz="4"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817" w:type="dxa"/>
            <w:tcBorders>
              <w:top w:val="single" w:color="auto" w:sz="6" w:space="0"/>
              <w:left w:val="single" w:color="auto" w:sz="4" w:space="0"/>
              <w:bottom w:val="single" w:color="auto" w:sz="6" w:space="0"/>
              <w:right w:val="single" w:color="auto" w:sz="4" w:space="0"/>
            </w:tcBorders>
            <w:noWrap w:val="0"/>
            <w:vAlign w:val="center"/>
          </w:tcPr>
          <w:p>
            <w:pPr>
              <w:pStyle w:val="21"/>
              <w:keepNext w:val="0"/>
              <w:keepLines w:val="0"/>
              <w:suppressLineNumbers w:val="0"/>
              <w:spacing w:before="0" w:beforeAutospacing="0" w:after="0" w:afterAutospacing="0" w:line="400" w:lineRule="atLeast"/>
              <w:ind w:left="663" w:right="0" w:hanging="663" w:hangingChars="300"/>
              <w:jc w:val="center"/>
              <w:rPr>
                <w:rFonts w:hint="eastAsia" w:hAnsi="宋体" w:cs="Times New Roman"/>
                <w:b/>
                <w:bCs/>
                <w:color w:val="auto"/>
                <w:sz w:val="22"/>
                <w:szCs w:val="22"/>
                <w:highlight w:val="none"/>
              </w:rPr>
            </w:pPr>
          </w:p>
        </w:tc>
        <w:tc>
          <w:tcPr>
            <w:tcW w:w="1559" w:type="dxa"/>
            <w:gridSpan w:val="2"/>
            <w:tcBorders>
              <w:top w:val="single" w:color="auto" w:sz="6" w:space="0"/>
              <w:left w:val="single" w:color="auto" w:sz="4"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c>
          <w:tcPr>
            <w:tcW w:w="1701" w:type="dxa"/>
            <w:gridSpan w:val="2"/>
            <w:tcBorders>
              <w:top w:val="single" w:color="auto" w:sz="6" w:space="0"/>
              <w:left w:val="single" w:color="auto" w:sz="6"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ind w:left="542" w:right="0" w:hanging="542" w:hangingChars="300"/>
              <w:jc w:val="center"/>
              <w:rPr>
                <w:rFonts w:hint="eastAsia" w:hAnsi="宋体" w:cs="Times New Roman"/>
                <w:b/>
                <w:bCs/>
                <w:color w:val="auto"/>
                <w:sz w:val="18"/>
                <w:szCs w:val="22"/>
                <w:highlight w:val="none"/>
              </w:rPr>
            </w:pPr>
          </w:p>
        </w:tc>
        <w:tc>
          <w:tcPr>
            <w:tcW w:w="1135" w:type="dxa"/>
            <w:gridSpan w:val="2"/>
            <w:tcBorders>
              <w:top w:val="single" w:color="auto" w:sz="6" w:space="0"/>
              <w:left w:val="single" w:color="auto" w:sz="6" w:space="0"/>
              <w:bottom w:val="single" w:color="auto" w:sz="6" w:space="0"/>
              <w:right w:val="single" w:color="auto" w:sz="4"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c>
          <w:tcPr>
            <w:tcW w:w="1984" w:type="dxa"/>
            <w:gridSpan w:val="2"/>
            <w:tcBorders>
              <w:top w:val="single" w:color="auto" w:sz="6" w:space="0"/>
              <w:left w:val="single" w:color="auto" w:sz="4" w:space="0"/>
              <w:bottom w:val="single" w:color="auto" w:sz="6" w:space="0"/>
              <w:right w:val="single" w:color="auto" w:sz="4"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817" w:type="dxa"/>
            <w:tcBorders>
              <w:top w:val="single" w:color="auto" w:sz="6" w:space="0"/>
              <w:left w:val="single" w:color="auto" w:sz="4" w:space="0"/>
              <w:bottom w:val="single" w:color="auto" w:sz="6" w:space="0"/>
              <w:right w:val="single" w:color="auto" w:sz="4" w:space="0"/>
            </w:tcBorders>
            <w:noWrap w:val="0"/>
            <w:vAlign w:val="center"/>
          </w:tcPr>
          <w:p>
            <w:pPr>
              <w:pStyle w:val="21"/>
              <w:keepNext w:val="0"/>
              <w:keepLines w:val="0"/>
              <w:suppressLineNumbers w:val="0"/>
              <w:spacing w:before="0" w:beforeAutospacing="0" w:after="0" w:afterAutospacing="0" w:line="400" w:lineRule="atLeast"/>
              <w:ind w:left="663" w:right="0" w:hanging="663" w:hangingChars="300"/>
              <w:jc w:val="center"/>
              <w:rPr>
                <w:rFonts w:hint="eastAsia" w:hAnsi="宋体" w:cs="Times New Roman"/>
                <w:b/>
                <w:bCs/>
                <w:color w:val="auto"/>
                <w:sz w:val="22"/>
                <w:szCs w:val="22"/>
                <w:highlight w:val="none"/>
              </w:rPr>
            </w:pPr>
          </w:p>
        </w:tc>
        <w:tc>
          <w:tcPr>
            <w:tcW w:w="1559" w:type="dxa"/>
            <w:gridSpan w:val="2"/>
            <w:tcBorders>
              <w:top w:val="single" w:color="auto" w:sz="6" w:space="0"/>
              <w:left w:val="single" w:color="auto" w:sz="4"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c>
          <w:tcPr>
            <w:tcW w:w="1701" w:type="dxa"/>
            <w:gridSpan w:val="2"/>
            <w:tcBorders>
              <w:top w:val="single" w:color="auto" w:sz="6" w:space="0"/>
              <w:left w:val="single" w:color="auto" w:sz="6"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ind w:left="542" w:right="0" w:hanging="542" w:hangingChars="300"/>
              <w:jc w:val="center"/>
              <w:rPr>
                <w:rFonts w:hint="eastAsia" w:hAnsi="宋体" w:cs="Times New Roman"/>
                <w:b/>
                <w:bCs/>
                <w:color w:val="auto"/>
                <w:sz w:val="18"/>
                <w:szCs w:val="22"/>
                <w:highlight w:val="none"/>
              </w:rPr>
            </w:pPr>
          </w:p>
        </w:tc>
        <w:tc>
          <w:tcPr>
            <w:tcW w:w="1135" w:type="dxa"/>
            <w:gridSpan w:val="2"/>
            <w:tcBorders>
              <w:top w:val="single" w:color="auto" w:sz="6" w:space="0"/>
              <w:left w:val="single" w:color="auto" w:sz="6" w:space="0"/>
              <w:bottom w:val="single" w:color="auto" w:sz="6" w:space="0"/>
              <w:right w:val="single" w:color="auto" w:sz="4"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c>
          <w:tcPr>
            <w:tcW w:w="1984" w:type="dxa"/>
            <w:gridSpan w:val="2"/>
            <w:tcBorders>
              <w:top w:val="single" w:color="auto" w:sz="6" w:space="0"/>
              <w:left w:val="single" w:color="auto" w:sz="4" w:space="0"/>
              <w:bottom w:val="single" w:color="auto" w:sz="6" w:space="0"/>
              <w:right w:val="single" w:color="auto" w:sz="4"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817" w:type="dxa"/>
            <w:tcBorders>
              <w:top w:val="single" w:color="auto" w:sz="6" w:space="0"/>
              <w:left w:val="single" w:color="auto" w:sz="4" w:space="0"/>
              <w:bottom w:val="single" w:color="auto" w:sz="6" w:space="0"/>
              <w:right w:val="single" w:color="auto" w:sz="4" w:space="0"/>
            </w:tcBorders>
            <w:noWrap w:val="0"/>
            <w:vAlign w:val="center"/>
          </w:tcPr>
          <w:p>
            <w:pPr>
              <w:pStyle w:val="21"/>
              <w:keepNext w:val="0"/>
              <w:keepLines w:val="0"/>
              <w:suppressLineNumbers w:val="0"/>
              <w:spacing w:before="0" w:beforeAutospacing="0" w:after="0" w:afterAutospacing="0" w:line="400" w:lineRule="atLeast"/>
              <w:ind w:left="663" w:right="0" w:hanging="663" w:hangingChars="300"/>
              <w:jc w:val="center"/>
              <w:rPr>
                <w:rFonts w:hint="eastAsia" w:hAnsi="宋体" w:cs="Times New Roman"/>
                <w:b/>
                <w:bCs/>
                <w:color w:val="auto"/>
                <w:sz w:val="22"/>
                <w:szCs w:val="22"/>
                <w:highlight w:val="none"/>
              </w:rPr>
            </w:pPr>
          </w:p>
        </w:tc>
        <w:tc>
          <w:tcPr>
            <w:tcW w:w="1559" w:type="dxa"/>
            <w:gridSpan w:val="2"/>
            <w:tcBorders>
              <w:top w:val="single" w:color="auto" w:sz="6" w:space="0"/>
              <w:left w:val="single" w:color="auto" w:sz="4"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c>
          <w:tcPr>
            <w:tcW w:w="1701" w:type="dxa"/>
            <w:gridSpan w:val="2"/>
            <w:tcBorders>
              <w:top w:val="single" w:color="auto" w:sz="6" w:space="0"/>
              <w:left w:val="single" w:color="auto" w:sz="6"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ind w:left="542" w:right="0" w:hanging="542" w:hangingChars="300"/>
              <w:jc w:val="center"/>
              <w:rPr>
                <w:rFonts w:hint="eastAsia" w:hAnsi="宋体" w:cs="Times New Roman"/>
                <w:b/>
                <w:bCs/>
                <w:color w:val="auto"/>
                <w:sz w:val="18"/>
                <w:szCs w:val="22"/>
                <w:highlight w:val="none"/>
              </w:rPr>
            </w:pPr>
          </w:p>
        </w:tc>
        <w:tc>
          <w:tcPr>
            <w:tcW w:w="1135" w:type="dxa"/>
            <w:gridSpan w:val="2"/>
            <w:tcBorders>
              <w:top w:val="single" w:color="auto" w:sz="6" w:space="0"/>
              <w:left w:val="single" w:color="auto" w:sz="6" w:space="0"/>
              <w:bottom w:val="single" w:color="auto" w:sz="6" w:space="0"/>
              <w:right w:val="single" w:color="auto" w:sz="4"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c>
          <w:tcPr>
            <w:tcW w:w="1984" w:type="dxa"/>
            <w:gridSpan w:val="2"/>
            <w:tcBorders>
              <w:top w:val="single" w:color="auto" w:sz="6" w:space="0"/>
              <w:left w:val="single" w:color="auto" w:sz="4" w:space="0"/>
              <w:bottom w:val="single" w:color="auto" w:sz="6" w:space="0"/>
              <w:right w:val="single" w:color="auto" w:sz="4"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817" w:type="dxa"/>
            <w:tcBorders>
              <w:top w:val="single" w:color="auto" w:sz="6" w:space="0"/>
              <w:left w:val="single" w:color="auto" w:sz="4" w:space="0"/>
              <w:bottom w:val="single" w:color="auto" w:sz="6" w:space="0"/>
              <w:right w:val="single" w:color="auto" w:sz="4" w:space="0"/>
            </w:tcBorders>
            <w:noWrap w:val="0"/>
            <w:vAlign w:val="center"/>
          </w:tcPr>
          <w:p>
            <w:pPr>
              <w:pStyle w:val="21"/>
              <w:keepNext w:val="0"/>
              <w:keepLines w:val="0"/>
              <w:suppressLineNumbers w:val="0"/>
              <w:spacing w:before="0" w:beforeAutospacing="0" w:after="0" w:afterAutospacing="0" w:line="400" w:lineRule="atLeast"/>
              <w:ind w:left="663" w:right="0" w:hanging="663" w:hangingChars="300"/>
              <w:jc w:val="center"/>
              <w:rPr>
                <w:rFonts w:hint="eastAsia" w:hAnsi="宋体" w:cs="Times New Roman"/>
                <w:b/>
                <w:bCs/>
                <w:color w:val="auto"/>
                <w:sz w:val="22"/>
                <w:szCs w:val="22"/>
                <w:highlight w:val="none"/>
              </w:rPr>
            </w:pPr>
          </w:p>
        </w:tc>
        <w:tc>
          <w:tcPr>
            <w:tcW w:w="1559" w:type="dxa"/>
            <w:gridSpan w:val="2"/>
            <w:tcBorders>
              <w:top w:val="single" w:color="auto" w:sz="6" w:space="0"/>
              <w:left w:val="single" w:color="auto" w:sz="4"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c>
          <w:tcPr>
            <w:tcW w:w="1701" w:type="dxa"/>
            <w:gridSpan w:val="2"/>
            <w:tcBorders>
              <w:top w:val="single" w:color="auto" w:sz="6" w:space="0"/>
              <w:left w:val="single" w:color="auto" w:sz="6"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ind w:left="542" w:right="0" w:hanging="542" w:hangingChars="300"/>
              <w:jc w:val="center"/>
              <w:rPr>
                <w:rFonts w:hint="eastAsia" w:hAnsi="宋体" w:cs="Times New Roman"/>
                <w:b/>
                <w:bCs/>
                <w:color w:val="auto"/>
                <w:sz w:val="18"/>
                <w:szCs w:val="22"/>
                <w:highlight w:val="none"/>
              </w:rPr>
            </w:pPr>
          </w:p>
        </w:tc>
        <w:tc>
          <w:tcPr>
            <w:tcW w:w="1135" w:type="dxa"/>
            <w:gridSpan w:val="2"/>
            <w:tcBorders>
              <w:top w:val="single" w:color="auto" w:sz="6" w:space="0"/>
              <w:left w:val="single" w:color="auto" w:sz="6" w:space="0"/>
              <w:bottom w:val="single" w:color="auto" w:sz="6" w:space="0"/>
              <w:right w:val="single" w:color="auto" w:sz="4"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c>
          <w:tcPr>
            <w:tcW w:w="1984" w:type="dxa"/>
            <w:gridSpan w:val="2"/>
            <w:tcBorders>
              <w:top w:val="single" w:color="auto" w:sz="6" w:space="0"/>
              <w:left w:val="single" w:color="auto" w:sz="4" w:space="0"/>
              <w:bottom w:val="single" w:color="auto" w:sz="6" w:space="0"/>
              <w:right w:val="single" w:color="auto" w:sz="4"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817" w:type="dxa"/>
            <w:tcBorders>
              <w:top w:val="single" w:color="auto" w:sz="6" w:space="0"/>
              <w:left w:val="single" w:color="auto" w:sz="4" w:space="0"/>
              <w:bottom w:val="single" w:color="auto" w:sz="6" w:space="0"/>
              <w:right w:val="single" w:color="auto" w:sz="4" w:space="0"/>
            </w:tcBorders>
            <w:noWrap w:val="0"/>
            <w:vAlign w:val="center"/>
          </w:tcPr>
          <w:p>
            <w:pPr>
              <w:pStyle w:val="21"/>
              <w:keepNext w:val="0"/>
              <w:keepLines w:val="0"/>
              <w:suppressLineNumbers w:val="0"/>
              <w:spacing w:before="0" w:beforeAutospacing="0" w:after="0" w:afterAutospacing="0" w:line="400" w:lineRule="atLeast"/>
              <w:ind w:left="663" w:right="0" w:hanging="663" w:hangingChars="300"/>
              <w:jc w:val="center"/>
              <w:rPr>
                <w:rFonts w:hint="eastAsia" w:hAnsi="宋体" w:cs="Times New Roman"/>
                <w:b/>
                <w:bCs/>
                <w:color w:val="auto"/>
                <w:sz w:val="22"/>
                <w:szCs w:val="22"/>
                <w:highlight w:val="none"/>
              </w:rPr>
            </w:pPr>
          </w:p>
        </w:tc>
        <w:tc>
          <w:tcPr>
            <w:tcW w:w="1559" w:type="dxa"/>
            <w:gridSpan w:val="2"/>
            <w:tcBorders>
              <w:top w:val="single" w:color="auto" w:sz="6" w:space="0"/>
              <w:left w:val="single" w:color="auto" w:sz="4"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c>
          <w:tcPr>
            <w:tcW w:w="1701" w:type="dxa"/>
            <w:gridSpan w:val="2"/>
            <w:tcBorders>
              <w:top w:val="single" w:color="auto" w:sz="6" w:space="0"/>
              <w:left w:val="single" w:color="auto" w:sz="6"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pPr>
              <w:pStyle w:val="21"/>
              <w:keepNext w:val="0"/>
              <w:keepLines w:val="0"/>
              <w:suppressLineNumbers w:val="0"/>
              <w:spacing w:before="0" w:beforeAutospacing="0" w:after="0" w:afterAutospacing="0"/>
              <w:ind w:left="542" w:right="0" w:hanging="542" w:hangingChars="300"/>
              <w:jc w:val="center"/>
              <w:rPr>
                <w:rFonts w:hint="eastAsia" w:hAnsi="宋体" w:cs="Times New Roman"/>
                <w:b/>
                <w:bCs/>
                <w:color w:val="auto"/>
                <w:sz w:val="18"/>
                <w:szCs w:val="22"/>
                <w:highlight w:val="none"/>
              </w:rPr>
            </w:pPr>
          </w:p>
        </w:tc>
        <w:tc>
          <w:tcPr>
            <w:tcW w:w="1135" w:type="dxa"/>
            <w:gridSpan w:val="2"/>
            <w:tcBorders>
              <w:top w:val="single" w:color="auto" w:sz="6" w:space="0"/>
              <w:left w:val="single" w:color="auto" w:sz="6" w:space="0"/>
              <w:bottom w:val="single" w:color="auto" w:sz="6" w:space="0"/>
              <w:right w:val="single" w:color="auto" w:sz="4"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c>
          <w:tcPr>
            <w:tcW w:w="1984" w:type="dxa"/>
            <w:gridSpan w:val="2"/>
            <w:tcBorders>
              <w:top w:val="single" w:color="auto" w:sz="6" w:space="0"/>
              <w:left w:val="single" w:color="auto" w:sz="4" w:space="0"/>
              <w:bottom w:val="single" w:color="auto" w:sz="6" w:space="0"/>
              <w:right w:val="single" w:color="auto" w:sz="4"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817" w:type="dxa"/>
            <w:tcBorders>
              <w:top w:val="single" w:color="auto" w:sz="6" w:space="0"/>
              <w:left w:val="single" w:color="auto" w:sz="4" w:space="0"/>
              <w:bottom w:val="single" w:color="auto" w:sz="4" w:space="0"/>
              <w:right w:val="single" w:color="auto" w:sz="4" w:space="0"/>
            </w:tcBorders>
            <w:noWrap w:val="0"/>
            <w:vAlign w:val="center"/>
          </w:tcPr>
          <w:p>
            <w:pPr>
              <w:pStyle w:val="21"/>
              <w:keepNext w:val="0"/>
              <w:keepLines w:val="0"/>
              <w:suppressLineNumbers w:val="0"/>
              <w:spacing w:before="0" w:beforeAutospacing="0" w:after="0" w:afterAutospacing="0" w:line="400" w:lineRule="atLeast"/>
              <w:ind w:left="663" w:right="0" w:hanging="663" w:hangingChars="300"/>
              <w:jc w:val="center"/>
              <w:rPr>
                <w:rFonts w:hint="eastAsia" w:hAnsi="宋体" w:cs="Times New Roman"/>
                <w:b/>
                <w:bCs/>
                <w:color w:val="auto"/>
                <w:sz w:val="22"/>
                <w:szCs w:val="22"/>
                <w:highlight w:val="none"/>
              </w:rPr>
            </w:pPr>
          </w:p>
        </w:tc>
        <w:tc>
          <w:tcPr>
            <w:tcW w:w="1559" w:type="dxa"/>
            <w:gridSpan w:val="2"/>
            <w:tcBorders>
              <w:top w:val="single" w:color="auto" w:sz="6" w:space="0"/>
              <w:left w:val="single" w:color="auto" w:sz="4" w:space="0"/>
              <w:bottom w:val="single" w:color="auto" w:sz="4" w:space="0"/>
              <w:right w:val="single" w:color="auto" w:sz="6"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c>
          <w:tcPr>
            <w:tcW w:w="1701" w:type="dxa"/>
            <w:gridSpan w:val="2"/>
            <w:tcBorders>
              <w:top w:val="single" w:color="auto" w:sz="6" w:space="0"/>
              <w:left w:val="single" w:color="auto" w:sz="6" w:space="0"/>
              <w:bottom w:val="single" w:color="auto" w:sz="4" w:space="0"/>
              <w:right w:val="single" w:color="auto" w:sz="6"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c>
          <w:tcPr>
            <w:tcW w:w="1559" w:type="dxa"/>
            <w:gridSpan w:val="2"/>
            <w:tcBorders>
              <w:top w:val="single" w:color="auto" w:sz="6" w:space="0"/>
              <w:left w:val="single" w:color="auto" w:sz="6" w:space="0"/>
              <w:bottom w:val="single" w:color="auto" w:sz="4" w:space="0"/>
              <w:right w:val="single" w:color="auto" w:sz="6" w:space="0"/>
            </w:tcBorders>
            <w:noWrap w:val="0"/>
            <w:vAlign w:val="center"/>
          </w:tcPr>
          <w:p>
            <w:pPr>
              <w:pStyle w:val="21"/>
              <w:keepNext w:val="0"/>
              <w:keepLines w:val="0"/>
              <w:suppressLineNumbers w:val="0"/>
              <w:spacing w:before="0" w:beforeAutospacing="0" w:after="0" w:afterAutospacing="0"/>
              <w:ind w:left="542" w:right="0" w:hanging="542" w:hangingChars="300"/>
              <w:jc w:val="center"/>
              <w:rPr>
                <w:rFonts w:hint="eastAsia" w:hAnsi="宋体" w:cs="Times New Roman"/>
                <w:b/>
                <w:bCs/>
                <w:color w:val="auto"/>
                <w:sz w:val="18"/>
                <w:szCs w:val="22"/>
                <w:highlight w:val="none"/>
              </w:rPr>
            </w:pPr>
          </w:p>
        </w:tc>
        <w:tc>
          <w:tcPr>
            <w:tcW w:w="1135" w:type="dxa"/>
            <w:gridSpan w:val="2"/>
            <w:tcBorders>
              <w:top w:val="single" w:color="auto" w:sz="6" w:space="0"/>
              <w:left w:val="single" w:color="auto" w:sz="6" w:space="0"/>
              <w:bottom w:val="single" w:color="auto" w:sz="4" w:space="0"/>
              <w:right w:val="single" w:color="auto" w:sz="4"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c>
          <w:tcPr>
            <w:tcW w:w="1984" w:type="dxa"/>
            <w:gridSpan w:val="2"/>
            <w:tcBorders>
              <w:top w:val="single" w:color="auto" w:sz="6" w:space="0"/>
              <w:left w:val="single" w:color="auto" w:sz="4" w:space="0"/>
              <w:bottom w:val="single" w:color="auto" w:sz="4" w:space="0"/>
              <w:right w:val="single" w:color="auto" w:sz="4" w:space="0"/>
            </w:tcBorders>
            <w:noWrap w:val="0"/>
            <w:vAlign w:val="center"/>
          </w:tcPr>
          <w:p>
            <w:pPr>
              <w:pStyle w:val="21"/>
              <w:keepNext w:val="0"/>
              <w:keepLines w:val="0"/>
              <w:suppressLineNumbers w:val="0"/>
              <w:spacing w:before="0" w:beforeAutospacing="0" w:after="0" w:afterAutospacing="0"/>
              <w:ind w:left="0" w:right="0"/>
              <w:jc w:val="center"/>
              <w:rPr>
                <w:rFonts w:hint="eastAsia" w:hAnsi="宋体" w:cs="Times New Roman"/>
                <w:b/>
                <w:bCs/>
                <w:color w:val="auto"/>
                <w:sz w:val="18"/>
                <w:szCs w:val="22"/>
                <w:highlight w:val="none"/>
              </w:rPr>
            </w:pPr>
          </w:p>
        </w:tc>
      </w:tr>
    </w:tbl>
    <w:p>
      <w:pPr>
        <w:pStyle w:val="21"/>
        <w:spacing w:line="340" w:lineRule="exact"/>
        <w:ind w:left="660" w:hanging="660" w:hangingChars="300"/>
        <w:rPr>
          <w:rFonts w:hint="eastAsia" w:hAnsi="宋体"/>
          <w:color w:val="auto"/>
          <w:sz w:val="22"/>
          <w:szCs w:val="21"/>
          <w:highlight w:val="none"/>
        </w:rPr>
      </w:pPr>
    </w:p>
    <w:p>
      <w:pPr>
        <w:spacing w:line="440" w:lineRule="exact"/>
        <w:ind w:firstLine="4400" w:firstLineChars="2000"/>
        <w:rPr>
          <w:rFonts w:hint="eastAsia" w:ascii="宋体" w:hAnsi="宋体"/>
          <w:color w:val="auto"/>
          <w:sz w:val="22"/>
          <w:szCs w:val="22"/>
          <w:highlight w:val="none"/>
        </w:rPr>
      </w:pPr>
      <w:r>
        <w:rPr>
          <w:rFonts w:hint="eastAsia" w:ascii="宋体" w:hAnsi="宋体"/>
          <w:color w:val="auto"/>
          <w:sz w:val="22"/>
          <w:szCs w:val="22"/>
          <w:highlight w:val="none"/>
        </w:rPr>
        <w:t>投标人全称（盖章）：</w:t>
      </w:r>
    </w:p>
    <w:p>
      <w:pPr>
        <w:spacing w:line="440" w:lineRule="exact"/>
        <w:ind w:firstLine="4400" w:firstLineChars="2000"/>
        <w:rPr>
          <w:rFonts w:hint="eastAsia" w:ascii="宋体" w:hAnsi="宋体"/>
          <w:color w:val="auto"/>
          <w:sz w:val="22"/>
          <w:szCs w:val="22"/>
          <w:highlight w:val="none"/>
        </w:rPr>
      </w:pPr>
      <w:r>
        <w:rPr>
          <w:rFonts w:hint="eastAsia" w:ascii="宋体" w:hAnsi="宋体"/>
          <w:color w:val="auto"/>
          <w:sz w:val="22"/>
          <w:szCs w:val="22"/>
          <w:highlight w:val="none"/>
        </w:rPr>
        <w:t>投标人代表（签字）：</w:t>
      </w:r>
    </w:p>
    <w:p>
      <w:pPr>
        <w:spacing w:line="440" w:lineRule="exact"/>
        <w:ind w:firstLine="4400" w:firstLineChars="2000"/>
        <w:rPr>
          <w:rFonts w:hint="eastAsia" w:ascii="宋体" w:hAnsi="宋体"/>
          <w:color w:val="auto"/>
          <w:sz w:val="22"/>
          <w:szCs w:val="22"/>
          <w:highlight w:val="none"/>
        </w:rPr>
      </w:pPr>
      <w:r>
        <w:rPr>
          <w:rFonts w:hint="eastAsia" w:ascii="宋体" w:hAnsi="宋体"/>
          <w:color w:val="auto"/>
          <w:sz w:val="22"/>
          <w:szCs w:val="22"/>
          <w:highlight w:val="none"/>
        </w:rPr>
        <w:t>日期：      年     月    日</w:t>
      </w:r>
    </w:p>
    <w:p>
      <w:pPr>
        <w:spacing w:line="440" w:lineRule="exact"/>
        <w:jc w:val="center"/>
        <w:rPr>
          <w:rFonts w:hint="eastAsia" w:hAnsi="宋体"/>
          <w:b/>
          <w:color w:val="auto"/>
          <w:sz w:val="28"/>
          <w:highlight w:val="none"/>
        </w:rPr>
      </w:pPr>
      <w:r>
        <w:rPr>
          <w:rFonts w:hint="eastAsia" w:ascii="宋体" w:hAnsi="宋体"/>
          <w:b/>
          <w:color w:val="auto"/>
          <w:sz w:val="28"/>
          <w:highlight w:val="none"/>
        </w:rPr>
        <w:br w:type="page"/>
      </w:r>
      <w:bookmarkStart w:id="274" w:name="_Toc391113626"/>
      <w:r>
        <w:rPr>
          <w:rFonts w:hint="eastAsia" w:ascii="宋体" w:hAnsi="宋体"/>
          <w:color w:val="auto"/>
          <w:sz w:val="24"/>
          <w:highlight w:val="none"/>
        </w:rPr>
        <w:t xml:space="preserve"> </w:t>
      </w:r>
      <w:bookmarkEnd w:id="274"/>
      <w:r>
        <w:rPr>
          <w:rFonts w:hint="eastAsia" w:hAnsi="宋体"/>
          <w:b/>
          <w:color w:val="auto"/>
          <w:sz w:val="28"/>
          <w:highlight w:val="none"/>
        </w:rPr>
        <w:t>承诺投入的服务人员表</w:t>
      </w:r>
    </w:p>
    <w:p>
      <w:pPr>
        <w:jc w:val="both"/>
        <w:rPr>
          <w:rFonts w:hint="eastAsia" w:ascii="宋体" w:hAnsi="宋体"/>
          <w:b/>
          <w:color w:val="auto"/>
          <w:sz w:val="28"/>
          <w:highlight w:val="none"/>
        </w:rPr>
      </w:pPr>
    </w:p>
    <w:p>
      <w:pPr>
        <w:rPr>
          <w:rFonts w:hint="eastAsia" w:ascii="宋体" w:hAnsi="宋体"/>
          <w:color w:val="auto"/>
          <w:sz w:val="22"/>
          <w:highlight w:val="none"/>
        </w:rPr>
      </w:pPr>
      <w:r>
        <w:rPr>
          <w:rFonts w:hint="eastAsia" w:ascii="宋体" w:hAnsi="宋体"/>
          <w:b/>
          <w:color w:val="auto"/>
          <w:sz w:val="24"/>
          <w:highlight w:val="none"/>
        </w:rPr>
        <w:t>项目名称：</w:t>
      </w:r>
      <w:r>
        <w:rPr>
          <w:rFonts w:hint="eastAsia" w:ascii="宋体" w:hAnsi="宋体"/>
          <w:b/>
          <w:color w:val="auto"/>
          <w:sz w:val="22"/>
          <w:highlight w:val="none"/>
        </w:rPr>
        <w:t xml:space="preserve">                                             项目编号：</w:t>
      </w:r>
      <w:r>
        <w:rPr>
          <w:rFonts w:hint="eastAsia" w:ascii="宋体" w:hAnsi="宋体"/>
          <w:color w:val="auto"/>
          <w:sz w:val="22"/>
          <w:highlight w:val="none"/>
        </w:rPr>
        <w:t xml:space="preserve"> </w:t>
      </w:r>
    </w:p>
    <w:tbl>
      <w:tblPr>
        <w:tblStyle w:val="44"/>
        <w:tblW w:w="9540"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126"/>
        <w:gridCol w:w="690"/>
        <w:gridCol w:w="690"/>
        <w:gridCol w:w="750"/>
        <w:gridCol w:w="810"/>
        <w:gridCol w:w="870"/>
        <w:gridCol w:w="1303"/>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Times New Roman"/>
                <w:bCs/>
                <w:color w:val="auto"/>
                <w:sz w:val="22"/>
                <w:szCs w:val="22"/>
                <w:highlight w:val="none"/>
              </w:rPr>
            </w:pPr>
            <w:r>
              <w:rPr>
                <w:rFonts w:hint="eastAsia" w:ascii="宋体" w:hAnsi="宋体" w:cs="Times New Roman"/>
                <w:bCs/>
                <w:color w:val="auto"/>
                <w:sz w:val="22"/>
                <w:szCs w:val="22"/>
                <w:highlight w:val="none"/>
              </w:rPr>
              <w:t>姓名</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Times New Roman"/>
                <w:bCs/>
                <w:color w:val="auto"/>
                <w:sz w:val="22"/>
                <w:szCs w:val="22"/>
                <w:highlight w:val="none"/>
              </w:rPr>
            </w:pPr>
            <w:r>
              <w:rPr>
                <w:rFonts w:hint="eastAsia" w:ascii="宋体" w:hAnsi="宋体" w:cs="Times New Roman"/>
                <w:bCs/>
                <w:color w:val="auto"/>
                <w:sz w:val="22"/>
                <w:szCs w:val="22"/>
                <w:highlight w:val="none"/>
              </w:rPr>
              <w:t>本项目</w:t>
            </w:r>
          </w:p>
          <w:p>
            <w:pPr>
              <w:keepNext w:val="0"/>
              <w:keepLines w:val="0"/>
              <w:suppressLineNumbers w:val="0"/>
              <w:spacing w:before="0" w:beforeAutospacing="0" w:after="0" w:afterAutospacing="0"/>
              <w:ind w:left="0" w:right="0"/>
              <w:jc w:val="center"/>
              <w:rPr>
                <w:rFonts w:hint="eastAsia" w:ascii="宋体" w:hAnsi="宋体" w:cs="Times New Roman"/>
                <w:bCs/>
                <w:color w:val="auto"/>
                <w:sz w:val="22"/>
                <w:szCs w:val="22"/>
                <w:highlight w:val="none"/>
              </w:rPr>
            </w:pPr>
            <w:r>
              <w:rPr>
                <w:rFonts w:hint="eastAsia" w:ascii="宋体" w:hAnsi="宋体" w:cs="Times New Roman"/>
                <w:bCs/>
                <w:color w:val="auto"/>
                <w:sz w:val="22"/>
                <w:szCs w:val="22"/>
                <w:highlight w:val="none"/>
              </w:rPr>
              <w:t>主要工作</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Times New Roman"/>
                <w:bCs/>
                <w:color w:val="auto"/>
                <w:sz w:val="22"/>
                <w:szCs w:val="22"/>
                <w:highlight w:val="none"/>
              </w:rPr>
            </w:pPr>
            <w:r>
              <w:rPr>
                <w:rFonts w:hint="eastAsia" w:ascii="宋体" w:hAnsi="宋体" w:cs="Times New Roman"/>
                <w:bCs/>
                <w:color w:val="auto"/>
                <w:sz w:val="22"/>
                <w:szCs w:val="22"/>
                <w:highlight w:val="none"/>
              </w:rPr>
              <w:t>年龄</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Times New Roman"/>
                <w:bCs/>
                <w:color w:val="auto"/>
                <w:sz w:val="22"/>
                <w:szCs w:val="22"/>
                <w:highlight w:val="none"/>
              </w:rPr>
            </w:pPr>
            <w:r>
              <w:rPr>
                <w:rFonts w:hint="eastAsia" w:ascii="宋体" w:hAnsi="宋体" w:cs="Times New Roman"/>
                <w:bCs/>
                <w:color w:val="auto"/>
                <w:sz w:val="22"/>
                <w:szCs w:val="22"/>
                <w:highlight w:val="none"/>
              </w:rPr>
              <w:t>性别</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Times New Roman"/>
                <w:bCs/>
                <w:color w:val="auto"/>
                <w:sz w:val="22"/>
                <w:szCs w:val="22"/>
                <w:highlight w:val="none"/>
              </w:rPr>
            </w:pPr>
            <w:r>
              <w:rPr>
                <w:rFonts w:hint="eastAsia" w:ascii="宋体" w:hAnsi="宋体" w:cs="Times New Roman"/>
                <w:bCs/>
                <w:color w:val="auto"/>
                <w:sz w:val="22"/>
                <w:szCs w:val="22"/>
                <w:highlight w:val="none"/>
              </w:rPr>
              <w:t>职称/职务</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bCs/>
                <w:color w:val="auto"/>
                <w:sz w:val="22"/>
                <w:szCs w:val="22"/>
                <w:highlight w:val="none"/>
                <w:lang w:val="en-US" w:eastAsia="zh-CN"/>
              </w:rPr>
            </w:pPr>
            <w:r>
              <w:rPr>
                <w:rFonts w:hint="eastAsia" w:ascii="宋体" w:hAnsi="宋体" w:eastAsia="宋体" w:cs="Times New Roman"/>
                <w:bCs/>
                <w:color w:val="auto"/>
                <w:sz w:val="22"/>
                <w:szCs w:val="22"/>
                <w:highlight w:val="none"/>
                <w:lang w:val="en-US" w:eastAsia="zh-CN"/>
              </w:rPr>
              <w:t>工种</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Times New Roman"/>
                <w:bCs/>
                <w:color w:val="auto"/>
                <w:sz w:val="22"/>
                <w:szCs w:val="22"/>
                <w:highlight w:val="none"/>
              </w:rPr>
            </w:pPr>
            <w:r>
              <w:rPr>
                <w:rFonts w:hint="eastAsia" w:ascii="宋体" w:hAnsi="宋体" w:cs="Times New Roman"/>
                <w:bCs/>
                <w:color w:val="auto"/>
                <w:sz w:val="22"/>
                <w:szCs w:val="22"/>
                <w:highlight w:val="none"/>
              </w:rPr>
              <w:t>专业/</w:t>
            </w:r>
          </w:p>
          <w:p>
            <w:pPr>
              <w:keepNext w:val="0"/>
              <w:keepLines w:val="0"/>
              <w:suppressLineNumbers w:val="0"/>
              <w:spacing w:before="0" w:beforeAutospacing="0" w:after="0" w:afterAutospacing="0"/>
              <w:ind w:left="0" w:right="0"/>
              <w:jc w:val="center"/>
              <w:rPr>
                <w:rFonts w:hint="eastAsia" w:ascii="宋体" w:hAnsi="宋体" w:cs="Times New Roman"/>
                <w:bCs/>
                <w:color w:val="auto"/>
                <w:sz w:val="22"/>
                <w:szCs w:val="22"/>
                <w:highlight w:val="none"/>
              </w:rPr>
            </w:pPr>
            <w:r>
              <w:rPr>
                <w:rFonts w:hint="eastAsia" w:ascii="宋体" w:hAnsi="宋体" w:cs="Times New Roman"/>
                <w:bCs/>
                <w:color w:val="auto"/>
                <w:sz w:val="22"/>
                <w:szCs w:val="22"/>
                <w:highlight w:val="none"/>
              </w:rPr>
              <w:t>年限</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Times New Roman"/>
                <w:bCs/>
                <w:color w:val="auto"/>
                <w:sz w:val="22"/>
                <w:szCs w:val="22"/>
                <w:highlight w:val="none"/>
              </w:rPr>
            </w:pPr>
            <w:r>
              <w:rPr>
                <w:rFonts w:hint="eastAsia" w:ascii="宋体" w:hAnsi="宋体" w:cs="Times New Roman"/>
                <w:bCs/>
                <w:color w:val="auto"/>
                <w:sz w:val="22"/>
                <w:szCs w:val="22"/>
                <w:highlight w:val="none"/>
              </w:rPr>
              <w:t>到现场服务起止时间</w:t>
            </w:r>
          </w:p>
        </w:tc>
        <w:tc>
          <w:tcPr>
            <w:tcW w:w="1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Times New Roman"/>
                <w:bCs/>
                <w:color w:val="auto"/>
                <w:sz w:val="22"/>
                <w:szCs w:val="22"/>
                <w:highlight w:val="none"/>
              </w:rPr>
            </w:pPr>
            <w:r>
              <w:rPr>
                <w:rFonts w:hint="eastAsia" w:ascii="宋体" w:hAnsi="宋体" w:cs="Times New Roman"/>
                <w:bCs/>
                <w:color w:val="auto"/>
                <w:sz w:val="22"/>
                <w:szCs w:val="22"/>
                <w:highlight w:val="none"/>
              </w:rPr>
              <w:t>类似服务的经历、业绩、是否有上岗证等介绍（或另附简历）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1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1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1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1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1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1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1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1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1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1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1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c>
          <w:tcPr>
            <w:tcW w:w="1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trPr>
        <w:tc>
          <w:tcPr>
            <w:tcW w:w="9544"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Times New Roman"/>
                <w:color w:val="auto"/>
                <w:sz w:val="22"/>
                <w:szCs w:val="22"/>
                <w:highlight w:val="none"/>
              </w:rPr>
            </w:pPr>
            <w:r>
              <w:rPr>
                <w:rFonts w:hint="eastAsia" w:ascii="宋体" w:hAnsi="宋体" w:cs="Times New Roman"/>
                <w:color w:val="auto"/>
                <w:sz w:val="22"/>
                <w:szCs w:val="22"/>
                <w:highlight w:val="none"/>
              </w:rPr>
              <w:t>一旦我单位中标，将实行项目经理（负责人）负责制，我方保证并配备上述项目管理机构。上述填报内容真实，若不真实，愿按有关规定接受处理。</w:t>
            </w:r>
          </w:p>
        </w:tc>
      </w:tr>
    </w:tbl>
    <w:p>
      <w:pPr>
        <w:spacing w:line="400" w:lineRule="exact"/>
        <w:jc w:val="center"/>
        <w:rPr>
          <w:rFonts w:hint="eastAsia" w:ascii="宋体" w:hAnsi="宋体"/>
          <w:b/>
          <w:bCs/>
          <w:color w:val="auto"/>
          <w:sz w:val="24"/>
          <w:highlight w:val="none"/>
        </w:rPr>
      </w:pPr>
    </w:p>
    <w:p>
      <w:pPr>
        <w:spacing w:line="440" w:lineRule="exact"/>
        <w:ind w:firstLine="4400" w:firstLineChars="2000"/>
        <w:rPr>
          <w:rFonts w:hint="eastAsia" w:ascii="宋体" w:hAnsi="宋体"/>
          <w:color w:val="auto"/>
          <w:sz w:val="22"/>
          <w:szCs w:val="22"/>
          <w:highlight w:val="none"/>
        </w:rPr>
      </w:pPr>
      <w:r>
        <w:rPr>
          <w:rFonts w:hint="eastAsia" w:ascii="宋体" w:hAnsi="宋体"/>
          <w:color w:val="auto"/>
          <w:sz w:val="22"/>
          <w:szCs w:val="22"/>
          <w:highlight w:val="none"/>
        </w:rPr>
        <w:t>投标人全称（公章）：</w:t>
      </w:r>
    </w:p>
    <w:p>
      <w:pPr>
        <w:spacing w:line="440" w:lineRule="exact"/>
        <w:ind w:firstLine="4400" w:firstLineChars="2000"/>
        <w:rPr>
          <w:rFonts w:hint="eastAsia" w:ascii="宋体" w:hAnsi="宋体"/>
          <w:color w:val="auto"/>
          <w:sz w:val="22"/>
          <w:szCs w:val="22"/>
          <w:highlight w:val="none"/>
        </w:rPr>
      </w:pPr>
      <w:r>
        <w:rPr>
          <w:rFonts w:hint="eastAsia" w:ascii="宋体" w:hAnsi="宋体"/>
          <w:color w:val="auto"/>
          <w:sz w:val="22"/>
          <w:szCs w:val="22"/>
          <w:highlight w:val="none"/>
        </w:rPr>
        <w:t>投标人代表（签字）：</w:t>
      </w:r>
    </w:p>
    <w:p>
      <w:pPr>
        <w:spacing w:line="440" w:lineRule="exact"/>
        <w:ind w:firstLine="4400" w:firstLineChars="2000"/>
        <w:rPr>
          <w:rFonts w:hint="eastAsia" w:ascii="宋体" w:hAnsi="宋体"/>
          <w:color w:val="auto"/>
          <w:sz w:val="22"/>
          <w:szCs w:val="22"/>
          <w:highlight w:val="none"/>
        </w:rPr>
      </w:pPr>
      <w:r>
        <w:rPr>
          <w:rFonts w:hint="eastAsia" w:ascii="宋体" w:hAnsi="宋体"/>
          <w:color w:val="auto"/>
          <w:sz w:val="22"/>
          <w:szCs w:val="22"/>
          <w:highlight w:val="none"/>
        </w:rPr>
        <w:t>日期：      年     月    日</w:t>
      </w:r>
    </w:p>
    <w:p>
      <w:pPr>
        <w:pStyle w:val="31"/>
        <w:spacing w:before="120" w:beforeLines="50" w:after="120" w:afterLines="50" w:line="360" w:lineRule="auto"/>
        <w:rPr>
          <w:rFonts w:hint="eastAsia" w:ascii="宋体" w:hAnsi="宋体" w:cs="宋体"/>
          <w:color w:val="auto"/>
          <w:kern w:val="2"/>
          <w:sz w:val="21"/>
          <w:szCs w:val="21"/>
          <w:highlight w:val="none"/>
        </w:rPr>
      </w:pPr>
      <w:r>
        <w:rPr>
          <w:rFonts w:hint="eastAsia" w:ascii="宋体" w:hAnsi="宋体"/>
          <w:color w:val="auto"/>
          <w:sz w:val="22"/>
          <w:szCs w:val="22"/>
          <w:highlight w:val="none"/>
        </w:rPr>
        <w:br w:type="page"/>
      </w:r>
      <w:r>
        <w:rPr>
          <w:rFonts w:hint="eastAsia" w:ascii="宋体" w:hAnsi="宋体" w:cs="宋体"/>
          <w:color w:val="auto"/>
          <w:kern w:val="2"/>
          <w:sz w:val="21"/>
          <w:szCs w:val="21"/>
          <w:highlight w:val="none"/>
        </w:rPr>
        <w:t>附件</w:t>
      </w:r>
      <w:r>
        <w:rPr>
          <w:rFonts w:hint="eastAsia" w:ascii="宋体" w:hAnsi="宋体" w:cs="宋体"/>
          <w:color w:val="auto"/>
          <w:kern w:val="2"/>
          <w:sz w:val="21"/>
          <w:szCs w:val="21"/>
          <w:highlight w:val="none"/>
          <w:lang w:val="en-US" w:eastAsia="zh-CN"/>
        </w:rPr>
        <w:t>7</w:t>
      </w:r>
      <w:r>
        <w:rPr>
          <w:rFonts w:hint="eastAsia" w:ascii="宋体" w:hAnsi="宋体" w:cs="宋体"/>
          <w:color w:val="auto"/>
          <w:kern w:val="2"/>
          <w:sz w:val="21"/>
          <w:szCs w:val="21"/>
          <w:highlight w:val="none"/>
        </w:rPr>
        <w:t>-</w:t>
      </w:r>
      <w:r>
        <w:rPr>
          <w:rFonts w:ascii="宋体" w:hAnsi="宋体" w:cs="宋体"/>
          <w:color w:val="auto"/>
          <w:kern w:val="2"/>
          <w:sz w:val="21"/>
          <w:szCs w:val="21"/>
          <w:highlight w:val="none"/>
        </w:rPr>
        <w:t>2</w:t>
      </w:r>
      <w:r>
        <w:rPr>
          <w:rFonts w:hint="eastAsia" w:ascii="宋体" w:hAnsi="宋体" w:cs="宋体"/>
          <w:color w:val="auto"/>
          <w:kern w:val="2"/>
          <w:sz w:val="21"/>
          <w:szCs w:val="21"/>
          <w:highlight w:val="none"/>
        </w:rPr>
        <w:t xml:space="preserve">  拟投入汽车维修设备明细表</w:t>
      </w:r>
    </w:p>
    <w:p>
      <w:pPr>
        <w:spacing w:line="440" w:lineRule="exact"/>
        <w:rPr>
          <w:rFonts w:hint="eastAsia" w:ascii="宋体" w:hAnsi="宋体"/>
          <w:color w:val="auto"/>
          <w:sz w:val="22"/>
          <w:highlight w:val="none"/>
        </w:rPr>
      </w:pPr>
      <w:r>
        <w:rPr>
          <w:rFonts w:hint="eastAsia" w:ascii="宋体" w:hAnsi="宋体"/>
          <w:color w:val="auto"/>
          <w:sz w:val="24"/>
          <w:highlight w:val="none"/>
        </w:rPr>
        <w:t xml:space="preserve"> </w:t>
      </w:r>
      <w:r>
        <w:rPr>
          <w:rFonts w:hint="eastAsia" w:ascii="宋体" w:hAnsi="宋体"/>
          <w:b/>
          <w:color w:val="auto"/>
          <w:sz w:val="24"/>
          <w:highlight w:val="none"/>
        </w:rPr>
        <w:t>项目名称：</w:t>
      </w:r>
      <w:r>
        <w:rPr>
          <w:rFonts w:hint="eastAsia" w:ascii="宋体" w:hAnsi="宋体"/>
          <w:b/>
          <w:color w:val="auto"/>
          <w:sz w:val="22"/>
          <w:highlight w:val="none"/>
        </w:rPr>
        <w:t xml:space="preserve">                                             项目编号：</w:t>
      </w:r>
      <w:r>
        <w:rPr>
          <w:rFonts w:hint="eastAsia" w:ascii="宋体" w:hAnsi="宋体"/>
          <w:color w:val="auto"/>
          <w:sz w:val="22"/>
          <w:highlight w:val="none"/>
        </w:rPr>
        <w:t xml:space="preserve"> </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954"/>
        <w:gridCol w:w="1204"/>
        <w:gridCol w:w="1096"/>
        <w:gridCol w:w="818"/>
        <w:gridCol w:w="1585"/>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center"/>
          </w:tcPr>
          <w:p>
            <w:pPr>
              <w:keepNext w:val="0"/>
              <w:keepLines w:val="0"/>
              <w:suppressLineNumbers w:val="0"/>
              <w:spacing w:before="0" w:beforeAutospacing="0" w:after="0" w:afterAutospacing="0"/>
              <w:ind w:left="0" w:right="0"/>
              <w:jc w:val="center"/>
              <w:rPr>
                <w:rFonts w:hint="eastAsia" w:ascii="宋体" w:hAnsi="宋体" w:cs="Times New Roman"/>
                <w:color w:val="auto"/>
                <w:highlight w:val="none"/>
              </w:rPr>
            </w:pPr>
            <w:r>
              <w:rPr>
                <w:rFonts w:hint="eastAsia" w:ascii="宋体" w:hAnsi="宋体" w:cs="Times New Roman"/>
                <w:color w:val="auto"/>
                <w:highlight w:val="none"/>
              </w:rPr>
              <w:t>序号</w:t>
            </w:r>
          </w:p>
        </w:tc>
        <w:tc>
          <w:tcPr>
            <w:tcW w:w="1103" w:type="pct"/>
            <w:noWrap w:val="0"/>
            <w:vAlign w:val="center"/>
          </w:tcPr>
          <w:p>
            <w:pPr>
              <w:keepNext w:val="0"/>
              <w:keepLines w:val="0"/>
              <w:suppressLineNumbers w:val="0"/>
              <w:spacing w:before="0" w:beforeAutospacing="0" w:after="0" w:afterAutospacing="0"/>
              <w:ind w:left="0" w:right="0"/>
              <w:jc w:val="center"/>
              <w:rPr>
                <w:rFonts w:hint="eastAsia" w:ascii="宋体" w:hAnsi="宋体" w:cs="Times New Roman"/>
                <w:color w:val="auto"/>
                <w:highlight w:val="none"/>
              </w:rPr>
            </w:pPr>
            <w:r>
              <w:rPr>
                <w:rFonts w:hint="eastAsia" w:ascii="宋体" w:hAnsi="宋体" w:cs="Times New Roman"/>
                <w:color w:val="auto"/>
                <w:highlight w:val="none"/>
              </w:rPr>
              <w:t>设备名称</w:t>
            </w:r>
          </w:p>
        </w:tc>
        <w:tc>
          <w:tcPr>
            <w:tcW w:w="680" w:type="pct"/>
            <w:noWrap w:val="0"/>
            <w:vAlign w:val="center"/>
          </w:tcPr>
          <w:p>
            <w:pPr>
              <w:keepNext w:val="0"/>
              <w:keepLines w:val="0"/>
              <w:suppressLineNumbers w:val="0"/>
              <w:spacing w:before="0" w:beforeAutospacing="0" w:after="0" w:afterAutospacing="0"/>
              <w:ind w:left="0" w:right="0"/>
              <w:jc w:val="center"/>
              <w:rPr>
                <w:rFonts w:hint="eastAsia" w:ascii="宋体" w:hAnsi="宋体" w:cs="Times New Roman"/>
                <w:color w:val="auto"/>
                <w:highlight w:val="none"/>
              </w:rPr>
            </w:pPr>
            <w:r>
              <w:rPr>
                <w:rFonts w:hint="eastAsia" w:ascii="宋体" w:hAnsi="宋体" w:cs="Times New Roman"/>
                <w:color w:val="auto"/>
                <w:highlight w:val="none"/>
              </w:rPr>
              <w:t>品牌型号</w:t>
            </w:r>
          </w:p>
        </w:tc>
        <w:tc>
          <w:tcPr>
            <w:tcW w:w="619" w:type="pct"/>
            <w:noWrap w:val="0"/>
            <w:vAlign w:val="center"/>
          </w:tcPr>
          <w:p>
            <w:pPr>
              <w:keepNext w:val="0"/>
              <w:keepLines w:val="0"/>
              <w:suppressLineNumbers w:val="0"/>
              <w:spacing w:before="0" w:beforeAutospacing="0" w:after="0" w:afterAutospacing="0"/>
              <w:ind w:left="0" w:right="0"/>
              <w:jc w:val="center"/>
              <w:rPr>
                <w:rFonts w:hint="eastAsia" w:ascii="宋体" w:hAnsi="宋体" w:cs="Times New Roman"/>
                <w:color w:val="auto"/>
                <w:highlight w:val="none"/>
              </w:rPr>
            </w:pPr>
            <w:r>
              <w:rPr>
                <w:rFonts w:hint="eastAsia" w:ascii="宋体" w:hAnsi="宋体" w:cs="Times New Roman"/>
                <w:color w:val="auto"/>
                <w:highlight w:val="none"/>
              </w:rPr>
              <w:t>产地</w:t>
            </w:r>
          </w:p>
        </w:tc>
        <w:tc>
          <w:tcPr>
            <w:tcW w:w="462" w:type="pct"/>
            <w:noWrap w:val="0"/>
            <w:vAlign w:val="center"/>
          </w:tcPr>
          <w:p>
            <w:pPr>
              <w:keepNext w:val="0"/>
              <w:keepLines w:val="0"/>
              <w:suppressLineNumbers w:val="0"/>
              <w:spacing w:before="0" w:beforeAutospacing="0" w:after="0" w:afterAutospacing="0"/>
              <w:ind w:left="0" w:right="0"/>
              <w:jc w:val="center"/>
              <w:rPr>
                <w:rFonts w:hint="eastAsia" w:ascii="宋体" w:hAnsi="宋体" w:cs="Times New Roman"/>
                <w:color w:val="auto"/>
                <w:highlight w:val="none"/>
              </w:rPr>
            </w:pPr>
            <w:r>
              <w:rPr>
                <w:rFonts w:hint="eastAsia" w:ascii="宋体" w:hAnsi="宋体" w:cs="Times New Roman"/>
                <w:color w:val="auto"/>
                <w:highlight w:val="none"/>
              </w:rPr>
              <w:t>数量</w:t>
            </w:r>
          </w:p>
        </w:tc>
        <w:tc>
          <w:tcPr>
            <w:tcW w:w="895" w:type="pct"/>
            <w:noWrap w:val="0"/>
            <w:vAlign w:val="center"/>
          </w:tcPr>
          <w:p>
            <w:pPr>
              <w:keepNext w:val="0"/>
              <w:keepLines w:val="0"/>
              <w:suppressLineNumbers w:val="0"/>
              <w:spacing w:before="0" w:beforeAutospacing="0" w:after="0" w:afterAutospacing="0"/>
              <w:ind w:left="0" w:right="0"/>
              <w:jc w:val="center"/>
              <w:rPr>
                <w:rFonts w:hint="eastAsia" w:ascii="宋体" w:hAnsi="宋体" w:cs="Times New Roman"/>
                <w:color w:val="auto"/>
                <w:highlight w:val="none"/>
              </w:rPr>
            </w:pPr>
            <w:r>
              <w:rPr>
                <w:rFonts w:hint="eastAsia" w:ascii="宋体" w:hAnsi="宋体" w:cs="Times New Roman"/>
                <w:color w:val="auto"/>
                <w:highlight w:val="none"/>
              </w:rPr>
              <w:t>功能</w:t>
            </w:r>
          </w:p>
        </w:tc>
        <w:tc>
          <w:tcPr>
            <w:tcW w:w="865" w:type="pct"/>
            <w:noWrap w:val="0"/>
            <w:vAlign w:val="center"/>
          </w:tcPr>
          <w:p>
            <w:pPr>
              <w:keepNext w:val="0"/>
              <w:keepLines w:val="0"/>
              <w:suppressLineNumbers w:val="0"/>
              <w:spacing w:before="0" w:beforeAutospacing="0" w:after="0" w:afterAutospacing="0"/>
              <w:ind w:left="0" w:right="0"/>
              <w:jc w:val="center"/>
              <w:rPr>
                <w:rFonts w:hint="eastAsia" w:ascii="宋体" w:hAnsi="宋体" w:cs="Times New Roman"/>
                <w:color w:val="auto"/>
                <w:highlight w:val="none"/>
              </w:rPr>
            </w:pPr>
            <w:r>
              <w:rPr>
                <w:rFonts w:hint="eastAsia" w:ascii="宋体" w:hAnsi="宋体" w:cs="Times New Roman"/>
                <w:color w:val="auto"/>
                <w:highlight w:val="none"/>
              </w:rPr>
              <w:t>详见彩图编号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color w:val="auto"/>
                <w:highlight w:val="none"/>
              </w:rPr>
            </w:pPr>
          </w:p>
        </w:tc>
        <w:tc>
          <w:tcPr>
            <w:tcW w:w="1103"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color w:val="auto"/>
                <w:highlight w:val="none"/>
              </w:rPr>
            </w:pPr>
          </w:p>
        </w:tc>
        <w:tc>
          <w:tcPr>
            <w:tcW w:w="680"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619"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462"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895"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865"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color w:val="auto"/>
                <w:highlight w:val="none"/>
              </w:rPr>
            </w:pPr>
          </w:p>
        </w:tc>
        <w:tc>
          <w:tcPr>
            <w:tcW w:w="1103"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color w:val="auto"/>
                <w:highlight w:val="none"/>
              </w:rPr>
            </w:pPr>
          </w:p>
        </w:tc>
        <w:tc>
          <w:tcPr>
            <w:tcW w:w="680"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619"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462"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895"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865"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color w:val="auto"/>
                <w:highlight w:val="none"/>
              </w:rPr>
            </w:pPr>
          </w:p>
        </w:tc>
        <w:tc>
          <w:tcPr>
            <w:tcW w:w="1103"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color w:val="auto"/>
                <w:highlight w:val="none"/>
              </w:rPr>
            </w:pPr>
          </w:p>
        </w:tc>
        <w:tc>
          <w:tcPr>
            <w:tcW w:w="680"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619"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462"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895"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865"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color w:val="auto"/>
                <w:highlight w:val="none"/>
              </w:rPr>
            </w:pPr>
          </w:p>
        </w:tc>
        <w:tc>
          <w:tcPr>
            <w:tcW w:w="1103"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color w:val="auto"/>
                <w:highlight w:val="none"/>
              </w:rPr>
            </w:pPr>
          </w:p>
        </w:tc>
        <w:tc>
          <w:tcPr>
            <w:tcW w:w="680"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619"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462"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895"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865"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color w:val="auto"/>
                <w:highlight w:val="none"/>
              </w:rPr>
            </w:pPr>
          </w:p>
        </w:tc>
        <w:tc>
          <w:tcPr>
            <w:tcW w:w="1103"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color w:val="auto"/>
                <w:highlight w:val="none"/>
              </w:rPr>
            </w:pPr>
          </w:p>
        </w:tc>
        <w:tc>
          <w:tcPr>
            <w:tcW w:w="680"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619"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462"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895"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865"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color w:val="auto"/>
                <w:highlight w:val="none"/>
              </w:rPr>
            </w:pPr>
          </w:p>
        </w:tc>
        <w:tc>
          <w:tcPr>
            <w:tcW w:w="1103"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color w:val="auto"/>
                <w:highlight w:val="none"/>
              </w:rPr>
            </w:pPr>
          </w:p>
        </w:tc>
        <w:tc>
          <w:tcPr>
            <w:tcW w:w="680"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619"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462"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895"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865"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color w:val="auto"/>
                <w:highlight w:val="none"/>
              </w:rPr>
            </w:pPr>
          </w:p>
        </w:tc>
        <w:tc>
          <w:tcPr>
            <w:tcW w:w="1103"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color w:val="auto"/>
                <w:highlight w:val="none"/>
              </w:rPr>
            </w:pPr>
          </w:p>
        </w:tc>
        <w:tc>
          <w:tcPr>
            <w:tcW w:w="680"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619"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462"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895"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865"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color w:val="auto"/>
                <w:highlight w:val="none"/>
              </w:rPr>
            </w:pPr>
          </w:p>
        </w:tc>
        <w:tc>
          <w:tcPr>
            <w:tcW w:w="1103"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color w:val="auto"/>
                <w:highlight w:val="none"/>
              </w:rPr>
            </w:pPr>
          </w:p>
        </w:tc>
        <w:tc>
          <w:tcPr>
            <w:tcW w:w="680"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619"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462"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895"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865"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color w:val="auto"/>
                <w:highlight w:val="none"/>
              </w:rPr>
            </w:pPr>
          </w:p>
        </w:tc>
        <w:tc>
          <w:tcPr>
            <w:tcW w:w="1103"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color w:val="auto"/>
                <w:highlight w:val="none"/>
              </w:rPr>
            </w:pPr>
          </w:p>
        </w:tc>
        <w:tc>
          <w:tcPr>
            <w:tcW w:w="680"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619"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462"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895"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865"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color w:val="auto"/>
                <w:highlight w:val="none"/>
              </w:rPr>
            </w:pPr>
          </w:p>
        </w:tc>
        <w:tc>
          <w:tcPr>
            <w:tcW w:w="1103"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color w:val="auto"/>
                <w:highlight w:val="none"/>
              </w:rPr>
            </w:pPr>
          </w:p>
        </w:tc>
        <w:tc>
          <w:tcPr>
            <w:tcW w:w="680"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619"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462"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895"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865"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color w:val="auto"/>
                <w:highlight w:val="none"/>
              </w:rPr>
            </w:pPr>
          </w:p>
        </w:tc>
        <w:tc>
          <w:tcPr>
            <w:tcW w:w="1103"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color w:val="auto"/>
                <w:highlight w:val="none"/>
              </w:rPr>
            </w:pPr>
          </w:p>
        </w:tc>
        <w:tc>
          <w:tcPr>
            <w:tcW w:w="680"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619"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462"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895"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865"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color w:val="auto"/>
                <w:highlight w:val="none"/>
              </w:rPr>
            </w:pPr>
          </w:p>
        </w:tc>
        <w:tc>
          <w:tcPr>
            <w:tcW w:w="1103"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color w:val="auto"/>
                <w:highlight w:val="none"/>
              </w:rPr>
            </w:pPr>
          </w:p>
        </w:tc>
        <w:tc>
          <w:tcPr>
            <w:tcW w:w="680"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619"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462"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895"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865"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color w:val="auto"/>
                <w:highlight w:val="none"/>
              </w:rPr>
            </w:pPr>
          </w:p>
        </w:tc>
        <w:tc>
          <w:tcPr>
            <w:tcW w:w="1103"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color w:val="auto"/>
                <w:highlight w:val="none"/>
              </w:rPr>
            </w:pPr>
          </w:p>
        </w:tc>
        <w:tc>
          <w:tcPr>
            <w:tcW w:w="680"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619"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462"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895"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865"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color w:val="auto"/>
                <w:highlight w:val="none"/>
              </w:rPr>
            </w:pPr>
          </w:p>
        </w:tc>
        <w:tc>
          <w:tcPr>
            <w:tcW w:w="1103"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color w:val="auto"/>
                <w:highlight w:val="none"/>
              </w:rPr>
            </w:pPr>
          </w:p>
        </w:tc>
        <w:tc>
          <w:tcPr>
            <w:tcW w:w="680"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619"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462"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895"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c>
          <w:tcPr>
            <w:tcW w:w="865" w:type="pct"/>
            <w:noWrap w:val="0"/>
            <w:vAlign w:val="top"/>
          </w:tcPr>
          <w:p>
            <w:pPr>
              <w:keepNext w:val="0"/>
              <w:keepLines w:val="0"/>
              <w:suppressLineNumbers w:val="0"/>
              <w:spacing w:before="0" w:beforeAutospacing="0" w:after="0" w:afterAutospacing="0" w:line="420" w:lineRule="exact"/>
              <w:ind w:left="0" w:right="0"/>
              <w:rPr>
                <w:rFonts w:hint="eastAsia" w:ascii="宋体" w:hAnsi="宋体" w:cs="Times New Roman"/>
                <w:b/>
                <w:bCs/>
                <w:color w:val="auto"/>
                <w:highlight w:val="none"/>
              </w:rPr>
            </w:pPr>
          </w:p>
        </w:tc>
      </w:tr>
    </w:tbl>
    <w:p>
      <w:pPr>
        <w:spacing w:line="420" w:lineRule="exact"/>
        <w:rPr>
          <w:rFonts w:hint="eastAsia" w:ascii="宋体" w:hAnsi="宋体"/>
          <w:color w:val="auto"/>
          <w:highlight w:val="none"/>
        </w:rPr>
      </w:pPr>
      <w:r>
        <w:rPr>
          <w:rFonts w:hint="eastAsia" w:ascii="宋体" w:hAnsi="宋体"/>
          <w:color w:val="auto"/>
          <w:highlight w:val="none"/>
        </w:rPr>
        <w:t>注：1、如同一设备具有多种型号，须在此表中分开填写。如在本表格不能全部填写完，可按此表格格式自行划表填写。</w:t>
      </w:r>
    </w:p>
    <w:p>
      <w:pPr>
        <w:spacing w:line="420" w:lineRule="exact"/>
        <w:ind w:firstLine="420" w:firstLineChars="200"/>
        <w:rPr>
          <w:rFonts w:hint="eastAsia" w:ascii="宋体" w:hAnsi="宋体"/>
          <w:color w:val="auto"/>
          <w:highlight w:val="none"/>
        </w:rPr>
      </w:pPr>
      <w:r>
        <w:rPr>
          <w:rFonts w:hint="eastAsia" w:ascii="宋体" w:hAnsi="宋体"/>
          <w:color w:val="auto"/>
          <w:highlight w:val="none"/>
        </w:rPr>
        <w:t>2、其中包括消防设备、自有的施救车等。</w:t>
      </w:r>
    </w:p>
    <w:p>
      <w:pPr>
        <w:spacing w:line="420" w:lineRule="exact"/>
        <w:ind w:firstLine="420" w:firstLineChars="200"/>
        <w:rPr>
          <w:rFonts w:hint="eastAsia" w:ascii="宋体" w:hAnsi="宋体"/>
          <w:color w:val="auto"/>
          <w:highlight w:val="none"/>
        </w:rPr>
      </w:pPr>
      <w:r>
        <w:rPr>
          <w:rFonts w:hint="eastAsia" w:ascii="宋体" w:hAnsi="宋体"/>
          <w:color w:val="auto"/>
          <w:highlight w:val="none"/>
        </w:rPr>
        <w:t>3、主要设备须提供固定资产登记卡或设备购买发票复印件加盖公章。</w:t>
      </w:r>
    </w:p>
    <w:p>
      <w:pPr>
        <w:spacing w:line="420" w:lineRule="exact"/>
        <w:ind w:firstLine="420" w:firstLineChars="200"/>
        <w:rPr>
          <w:rFonts w:hint="eastAsia" w:ascii="宋体" w:hAnsi="宋体"/>
          <w:bCs/>
          <w:color w:val="auto"/>
          <w:highlight w:val="none"/>
        </w:rPr>
      </w:pPr>
      <w:r>
        <w:rPr>
          <w:rFonts w:hint="eastAsia" w:ascii="宋体" w:hAnsi="宋体"/>
          <w:bCs/>
          <w:color w:val="auto"/>
          <w:highlight w:val="none"/>
        </w:rPr>
        <w:t>4、施救车须提供机动车行驶证等复印件加盖公章。</w:t>
      </w:r>
    </w:p>
    <w:p>
      <w:pPr>
        <w:spacing w:line="420" w:lineRule="exact"/>
        <w:ind w:firstLine="420" w:firstLineChars="200"/>
        <w:rPr>
          <w:rFonts w:hint="eastAsia" w:ascii="宋体" w:hAnsi="宋体"/>
          <w:bCs/>
          <w:color w:val="auto"/>
          <w:highlight w:val="none"/>
        </w:rPr>
      </w:pPr>
      <w:r>
        <w:rPr>
          <w:rFonts w:hint="eastAsia" w:ascii="宋体" w:hAnsi="宋体"/>
          <w:bCs/>
          <w:color w:val="auto"/>
          <w:highlight w:val="none"/>
        </w:rPr>
        <w:t>5、投标人应在投标文件中，根据自身实际情况提供自有的汽车维修设备的实物彩色照片或图片，照片或图片的表面上要注明设备名称并排列成册，以方便评标委员会逐条对应评估。未提供相应照片或图片的，视同没有，将影响评委对其投标文件的评分。</w:t>
      </w:r>
    </w:p>
    <w:p>
      <w:pPr>
        <w:pStyle w:val="21"/>
        <w:spacing w:line="440" w:lineRule="exact"/>
        <w:ind w:left="657" w:leftChars="313"/>
        <w:rPr>
          <w:rFonts w:hint="eastAsia" w:hAnsi="宋体"/>
          <w:color w:val="auto"/>
          <w:sz w:val="22"/>
          <w:highlight w:val="none"/>
        </w:rPr>
      </w:pPr>
    </w:p>
    <w:p>
      <w:pPr>
        <w:spacing w:line="440" w:lineRule="exact"/>
        <w:ind w:firstLine="4400" w:firstLineChars="2000"/>
        <w:rPr>
          <w:rFonts w:hint="eastAsia" w:ascii="宋体" w:hAnsi="宋体"/>
          <w:color w:val="auto"/>
          <w:sz w:val="22"/>
          <w:szCs w:val="22"/>
          <w:highlight w:val="none"/>
        </w:rPr>
      </w:pPr>
      <w:r>
        <w:rPr>
          <w:rFonts w:hint="eastAsia" w:ascii="宋体" w:hAnsi="宋体"/>
          <w:color w:val="auto"/>
          <w:sz w:val="22"/>
          <w:szCs w:val="22"/>
          <w:highlight w:val="none"/>
        </w:rPr>
        <w:t>投标人全称（公章）：</w:t>
      </w:r>
    </w:p>
    <w:p>
      <w:pPr>
        <w:spacing w:line="440" w:lineRule="exact"/>
        <w:ind w:firstLine="4400" w:firstLineChars="2000"/>
        <w:rPr>
          <w:rFonts w:hint="eastAsia" w:ascii="宋体" w:hAnsi="宋体"/>
          <w:color w:val="auto"/>
          <w:sz w:val="22"/>
          <w:szCs w:val="22"/>
          <w:highlight w:val="none"/>
        </w:rPr>
      </w:pPr>
      <w:r>
        <w:rPr>
          <w:rFonts w:hint="eastAsia" w:ascii="宋体" w:hAnsi="宋体"/>
          <w:color w:val="auto"/>
          <w:sz w:val="22"/>
          <w:szCs w:val="22"/>
          <w:highlight w:val="none"/>
        </w:rPr>
        <w:t>投标人代表（签字）：</w:t>
      </w:r>
    </w:p>
    <w:p>
      <w:pPr>
        <w:spacing w:line="440" w:lineRule="exact"/>
        <w:ind w:firstLine="4400" w:firstLineChars="2000"/>
        <w:rPr>
          <w:rFonts w:hint="eastAsia" w:ascii="宋体" w:hAnsi="宋体"/>
          <w:color w:val="auto"/>
          <w:sz w:val="22"/>
          <w:szCs w:val="22"/>
          <w:highlight w:val="none"/>
        </w:rPr>
      </w:pPr>
      <w:r>
        <w:rPr>
          <w:rFonts w:hint="eastAsia" w:ascii="宋体" w:hAnsi="宋体"/>
          <w:color w:val="auto"/>
          <w:sz w:val="22"/>
          <w:szCs w:val="22"/>
          <w:highlight w:val="none"/>
        </w:rPr>
        <w:t>日期：      年     月    日</w:t>
      </w:r>
    </w:p>
    <w:p>
      <w:pPr>
        <w:pStyle w:val="31"/>
        <w:spacing w:before="120" w:beforeLines="50" w:after="120" w:afterLines="50" w:line="360" w:lineRule="auto"/>
        <w:rPr>
          <w:rFonts w:hint="eastAsia" w:ascii="宋体" w:hAnsi="宋体" w:cs="宋体"/>
          <w:color w:val="auto"/>
          <w:kern w:val="2"/>
          <w:sz w:val="21"/>
          <w:szCs w:val="21"/>
          <w:highlight w:val="none"/>
        </w:rPr>
      </w:pPr>
      <w:r>
        <w:rPr>
          <w:rFonts w:ascii="宋体" w:hAnsi="宋体" w:cs="宋体"/>
          <w:color w:val="auto"/>
          <w:kern w:val="2"/>
          <w:sz w:val="21"/>
          <w:szCs w:val="21"/>
          <w:highlight w:val="none"/>
        </w:rPr>
        <w:br w:type="page"/>
      </w:r>
      <w:r>
        <w:rPr>
          <w:rFonts w:hint="eastAsia" w:ascii="宋体" w:hAnsi="宋体" w:cs="宋体"/>
          <w:color w:val="auto"/>
          <w:kern w:val="2"/>
          <w:sz w:val="21"/>
          <w:szCs w:val="21"/>
          <w:highlight w:val="none"/>
        </w:rPr>
        <w:t>附件</w:t>
      </w:r>
      <w:r>
        <w:rPr>
          <w:rFonts w:hint="eastAsia" w:ascii="宋体" w:hAnsi="宋体" w:cs="宋体"/>
          <w:color w:val="auto"/>
          <w:kern w:val="2"/>
          <w:sz w:val="21"/>
          <w:szCs w:val="21"/>
          <w:highlight w:val="none"/>
          <w:lang w:val="en-US" w:eastAsia="zh-CN"/>
        </w:rPr>
        <w:t>7</w:t>
      </w:r>
      <w:r>
        <w:rPr>
          <w:rFonts w:hint="eastAsia" w:ascii="宋体" w:hAnsi="宋体" w:cs="宋体"/>
          <w:color w:val="auto"/>
          <w:kern w:val="2"/>
          <w:sz w:val="21"/>
          <w:szCs w:val="21"/>
          <w:highlight w:val="none"/>
        </w:rPr>
        <w:t>-</w:t>
      </w:r>
      <w:r>
        <w:rPr>
          <w:rFonts w:ascii="宋体" w:hAnsi="宋体" w:cs="宋体"/>
          <w:color w:val="auto"/>
          <w:kern w:val="2"/>
          <w:sz w:val="21"/>
          <w:szCs w:val="21"/>
          <w:highlight w:val="none"/>
        </w:rPr>
        <w:t>3</w:t>
      </w:r>
      <w:r>
        <w:rPr>
          <w:rFonts w:hint="eastAsia" w:ascii="宋体" w:hAnsi="宋体" w:cs="宋体"/>
          <w:color w:val="auto"/>
          <w:kern w:val="2"/>
          <w:sz w:val="21"/>
          <w:szCs w:val="21"/>
          <w:highlight w:val="none"/>
        </w:rPr>
        <w:t xml:space="preserve">   项目实施方案及服务承诺（格式自拟）</w:t>
      </w:r>
      <w:bookmarkEnd w:id="273"/>
    </w:p>
    <w:p>
      <w:pPr>
        <w:pStyle w:val="31"/>
        <w:spacing w:before="120" w:beforeLines="50" w:after="120" w:afterLines="50" w:line="360" w:lineRule="auto"/>
        <w:jc w:val="both"/>
        <w:outlineLvl w:val="9"/>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投标人根据招标文件及评审办法自行编制。</w:t>
      </w:r>
    </w:p>
    <w:p>
      <w:pPr>
        <w:pStyle w:val="2"/>
        <w:rPr>
          <w:rFonts w:hint="eastAsia"/>
          <w:color w:val="auto"/>
          <w:highlight w:val="none"/>
        </w:rPr>
      </w:pPr>
      <w:r>
        <w:rPr>
          <w:color w:val="auto"/>
          <w:highlight w:val="none"/>
        </w:rPr>
        <w:t>…</w:t>
      </w:r>
    </w:p>
    <w:p>
      <w:pPr>
        <w:pStyle w:val="31"/>
        <w:spacing w:before="120" w:beforeLines="50" w:after="120" w:afterLines="50" w:line="360" w:lineRule="auto"/>
        <w:jc w:val="both"/>
        <w:outlineLvl w:val="9"/>
        <w:rPr>
          <w:color w:val="auto"/>
          <w:highlight w:val="none"/>
        </w:rPr>
      </w:pPr>
    </w:p>
    <w:p>
      <w:pPr>
        <w:pStyle w:val="31"/>
        <w:spacing w:before="120" w:beforeLines="50" w:after="120" w:afterLines="50" w:line="360" w:lineRule="auto"/>
        <w:jc w:val="both"/>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维修质量保证书</w:t>
      </w:r>
    </w:p>
    <w:p>
      <w:pPr>
        <w:rPr>
          <w:rFonts w:hint="eastAsia" w:ascii="宋体" w:hAnsi="宋体"/>
          <w:color w:val="auto"/>
          <w:sz w:val="24"/>
          <w:highlight w:val="none"/>
        </w:rPr>
      </w:pPr>
    </w:p>
    <w:p>
      <w:pPr>
        <w:spacing w:line="380" w:lineRule="exact"/>
        <w:rPr>
          <w:rFonts w:hint="eastAsia" w:ascii="宋体" w:hAnsi="宋体"/>
          <w:color w:val="auto"/>
          <w:sz w:val="21"/>
          <w:szCs w:val="21"/>
          <w:highlight w:val="none"/>
        </w:rPr>
      </w:pPr>
      <w:r>
        <w:rPr>
          <w:rFonts w:hint="eastAsia" w:ascii="宋体" w:hAnsi="宋体"/>
          <w:color w:val="auto"/>
          <w:sz w:val="24"/>
          <w:highlight w:val="none"/>
          <w:lang w:val="en-US" w:eastAsia="zh-CN"/>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本保证书作为我方参加</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（招标编号：</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）投标文件的不可分割的一部分。如我单位中标成为本项目的定点维修机构，在本次定点维修期限内，我方承诺维修质量保证如下：</w:t>
      </w:r>
    </w:p>
    <w:p>
      <w:pPr>
        <w:spacing w:line="360" w:lineRule="auto"/>
        <w:ind w:firstLine="420" w:firstLineChars="200"/>
        <w:rPr>
          <w:rFonts w:hint="eastAsia" w:ascii="宋体" w:hAnsi="宋体" w:cs="宋体"/>
          <w:color w:val="auto"/>
          <w:kern w:val="0"/>
          <w:sz w:val="21"/>
          <w:szCs w:val="21"/>
          <w:highlight w:val="none"/>
        </w:rPr>
      </w:pPr>
      <w:r>
        <w:rPr>
          <w:rFonts w:ascii="宋体" w:hAnsi="宋体" w:cs="宋体"/>
          <w:color w:val="auto"/>
          <w:kern w:val="0"/>
          <w:sz w:val="21"/>
          <w:szCs w:val="21"/>
          <w:highlight w:val="none"/>
        </w:rPr>
        <w:t>整车修理或总成修理质量保证期</w:t>
      </w:r>
      <w:r>
        <w:rPr>
          <w:rFonts w:hint="eastAsia" w:ascii="宋体" w:hAnsi="宋体" w:cs="宋体"/>
          <w:color w:val="auto"/>
          <w:kern w:val="0"/>
          <w:sz w:val="21"/>
          <w:szCs w:val="21"/>
          <w:highlight w:val="none"/>
        </w:rPr>
        <w:t>（</w:t>
      </w:r>
      <w:r>
        <w:rPr>
          <w:rFonts w:hint="eastAsia" w:ascii="宋体" w:hAnsi="宋体"/>
          <w:color w:val="auto"/>
          <w:sz w:val="21"/>
          <w:szCs w:val="21"/>
          <w:highlight w:val="none"/>
        </w:rPr>
        <w:t>里程</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或日期</w:t>
      </w:r>
      <w:r>
        <w:rPr>
          <w:rFonts w:hint="eastAsia" w:ascii="宋体" w:hAnsi="宋体"/>
          <w:color w:val="auto"/>
          <w:sz w:val="21"/>
          <w:szCs w:val="21"/>
          <w:highlight w:val="none"/>
          <w:u w:val="single"/>
        </w:rPr>
        <w:t xml:space="preserve">             </w:t>
      </w:r>
      <w:r>
        <w:rPr>
          <w:rFonts w:hint="eastAsia" w:ascii="宋体" w:hAnsi="宋体" w:cs="宋体"/>
          <w:color w:val="auto"/>
          <w:kern w:val="0"/>
          <w:sz w:val="21"/>
          <w:szCs w:val="21"/>
          <w:highlight w:val="none"/>
        </w:rPr>
        <w:t>）</w:t>
      </w:r>
    </w:p>
    <w:p>
      <w:pPr>
        <w:spacing w:line="360" w:lineRule="auto"/>
        <w:ind w:firstLine="420" w:firstLineChars="200"/>
        <w:rPr>
          <w:rFonts w:hint="eastAsia" w:ascii="宋体" w:hAnsi="宋体" w:cs="宋体"/>
          <w:color w:val="auto"/>
          <w:kern w:val="0"/>
          <w:sz w:val="21"/>
          <w:szCs w:val="21"/>
          <w:highlight w:val="none"/>
        </w:rPr>
      </w:pPr>
      <w:r>
        <w:rPr>
          <w:rFonts w:ascii="宋体" w:hAnsi="宋体" w:cs="宋体"/>
          <w:color w:val="auto"/>
          <w:kern w:val="0"/>
          <w:sz w:val="21"/>
          <w:szCs w:val="21"/>
          <w:highlight w:val="none"/>
        </w:rPr>
        <w:t>二级维护质量保证期</w:t>
      </w:r>
      <w:r>
        <w:rPr>
          <w:rFonts w:hint="eastAsia" w:ascii="宋体" w:hAnsi="宋体" w:cs="宋体"/>
          <w:color w:val="auto"/>
          <w:kern w:val="0"/>
          <w:sz w:val="21"/>
          <w:szCs w:val="21"/>
          <w:highlight w:val="none"/>
        </w:rPr>
        <w:t>（</w:t>
      </w:r>
      <w:r>
        <w:rPr>
          <w:rFonts w:hint="eastAsia" w:ascii="宋体" w:hAnsi="宋体"/>
          <w:color w:val="auto"/>
          <w:sz w:val="21"/>
          <w:szCs w:val="21"/>
          <w:highlight w:val="none"/>
        </w:rPr>
        <w:t>里程</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或日期</w:t>
      </w:r>
      <w:r>
        <w:rPr>
          <w:rFonts w:hint="eastAsia" w:ascii="宋体" w:hAnsi="宋体"/>
          <w:color w:val="auto"/>
          <w:sz w:val="21"/>
          <w:szCs w:val="21"/>
          <w:highlight w:val="none"/>
          <w:u w:val="single"/>
        </w:rPr>
        <w:t xml:space="preserve">             </w:t>
      </w:r>
      <w:r>
        <w:rPr>
          <w:rFonts w:hint="eastAsia" w:ascii="宋体" w:hAnsi="宋体" w:cs="宋体"/>
          <w:color w:val="auto"/>
          <w:kern w:val="0"/>
          <w:sz w:val="21"/>
          <w:szCs w:val="21"/>
          <w:highlight w:val="none"/>
        </w:rPr>
        <w:t>）</w:t>
      </w:r>
    </w:p>
    <w:p>
      <w:pPr>
        <w:spacing w:line="360" w:lineRule="auto"/>
        <w:ind w:firstLine="420" w:firstLineChars="200"/>
        <w:rPr>
          <w:rFonts w:hint="eastAsia" w:ascii="宋体" w:hAnsi="宋体" w:cs="宋体"/>
          <w:color w:val="auto"/>
          <w:kern w:val="0"/>
          <w:sz w:val="21"/>
          <w:szCs w:val="21"/>
          <w:highlight w:val="none"/>
        </w:rPr>
      </w:pPr>
      <w:r>
        <w:rPr>
          <w:rFonts w:ascii="宋体" w:hAnsi="宋体" w:cs="宋体"/>
          <w:color w:val="auto"/>
          <w:kern w:val="0"/>
          <w:sz w:val="21"/>
          <w:szCs w:val="21"/>
          <w:highlight w:val="none"/>
        </w:rPr>
        <w:t>一级维护、小修及专项修理质量保证期</w:t>
      </w:r>
      <w:r>
        <w:rPr>
          <w:rFonts w:hint="eastAsia" w:ascii="宋体" w:hAnsi="宋体" w:cs="宋体"/>
          <w:color w:val="auto"/>
          <w:kern w:val="0"/>
          <w:sz w:val="21"/>
          <w:szCs w:val="21"/>
          <w:highlight w:val="none"/>
        </w:rPr>
        <w:t>（</w:t>
      </w:r>
      <w:r>
        <w:rPr>
          <w:rFonts w:hint="eastAsia" w:ascii="宋体" w:hAnsi="宋体"/>
          <w:color w:val="auto"/>
          <w:sz w:val="21"/>
          <w:szCs w:val="21"/>
          <w:highlight w:val="none"/>
        </w:rPr>
        <w:t>里程</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或日期</w:t>
      </w:r>
      <w:r>
        <w:rPr>
          <w:rFonts w:hint="eastAsia" w:ascii="宋体" w:hAnsi="宋体"/>
          <w:color w:val="auto"/>
          <w:sz w:val="21"/>
          <w:szCs w:val="21"/>
          <w:highlight w:val="none"/>
          <w:u w:val="single"/>
        </w:rPr>
        <w:t xml:space="preserve">           </w:t>
      </w:r>
      <w:r>
        <w:rPr>
          <w:rFonts w:hint="eastAsia" w:ascii="宋体" w:hAnsi="宋体" w:cs="宋体"/>
          <w:color w:val="auto"/>
          <w:kern w:val="0"/>
          <w:sz w:val="21"/>
          <w:szCs w:val="21"/>
          <w:highlight w:val="none"/>
        </w:rPr>
        <w:t>）</w:t>
      </w:r>
    </w:p>
    <w:p>
      <w:pPr>
        <w:spacing w:line="360" w:lineRule="auto"/>
        <w:ind w:firstLine="422" w:firstLineChars="200"/>
        <w:rPr>
          <w:rFonts w:hint="eastAsia" w:ascii="宋体" w:hAnsi="宋体"/>
          <w:b/>
          <w:color w:val="auto"/>
          <w:sz w:val="21"/>
          <w:szCs w:val="21"/>
          <w:highlight w:val="none"/>
          <w:u w:val="single"/>
        </w:rPr>
      </w:pPr>
      <w:r>
        <w:rPr>
          <w:rFonts w:hint="eastAsia" w:ascii="宋体" w:hAnsi="宋体"/>
          <w:b/>
          <w:color w:val="auto"/>
          <w:sz w:val="21"/>
          <w:szCs w:val="21"/>
          <w:highlight w:val="none"/>
        </w:rPr>
        <w:t>其他维修质量承诺内容：</w:t>
      </w:r>
      <w:r>
        <w:rPr>
          <w:rFonts w:hint="eastAsia" w:ascii="宋体" w:hAnsi="宋体"/>
          <w:b/>
          <w:color w:val="auto"/>
          <w:sz w:val="21"/>
          <w:szCs w:val="21"/>
          <w:highlight w:val="none"/>
          <w:u w:val="single"/>
        </w:rPr>
        <w:t xml:space="preserve">                                           </w:t>
      </w:r>
    </w:p>
    <w:p>
      <w:pPr>
        <w:spacing w:line="360" w:lineRule="auto"/>
        <w:rPr>
          <w:rFonts w:hint="eastAsia" w:ascii="宋体" w:hAnsi="宋体"/>
          <w:b/>
          <w:color w:val="auto"/>
          <w:sz w:val="21"/>
          <w:szCs w:val="21"/>
          <w:highlight w:val="none"/>
          <w:u w:val="single"/>
        </w:rPr>
      </w:pPr>
      <w:r>
        <w:rPr>
          <w:rFonts w:hint="eastAsia" w:ascii="宋体" w:hAnsi="宋体"/>
          <w:b/>
          <w:color w:val="auto"/>
          <w:sz w:val="21"/>
          <w:szCs w:val="21"/>
          <w:highlight w:val="none"/>
          <w:u w:val="single"/>
        </w:rPr>
        <w:t xml:space="preserve">                                                                   。</w:t>
      </w:r>
    </w:p>
    <w:p>
      <w:pPr>
        <w:spacing w:line="360" w:lineRule="auto"/>
        <w:rPr>
          <w:rFonts w:hint="eastAsia" w:ascii="宋体" w:hAnsi="宋体"/>
          <w:b/>
          <w:color w:val="auto"/>
          <w:sz w:val="21"/>
          <w:szCs w:val="21"/>
          <w:highlight w:val="none"/>
        </w:rPr>
      </w:pPr>
    </w:p>
    <w:p>
      <w:pPr>
        <w:spacing w:line="360" w:lineRule="auto"/>
        <w:ind w:firstLine="1995" w:firstLineChars="950"/>
        <w:rPr>
          <w:rFonts w:hint="eastAsia" w:ascii="宋体" w:hAnsi="宋体"/>
          <w:color w:val="auto"/>
          <w:sz w:val="21"/>
          <w:szCs w:val="21"/>
          <w:highlight w:val="none"/>
        </w:rPr>
      </w:pPr>
      <w:r>
        <w:rPr>
          <w:rFonts w:hint="eastAsia" w:ascii="宋体" w:hAnsi="宋体"/>
          <w:color w:val="auto"/>
          <w:sz w:val="21"/>
          <w:szCs w:val="21"/>
          <w:highlight w:val="none"/>
        </w:rPr>
        <w:t>投 标 人 名 称：</w:t>
      </w:r>
      <w:r>
        <w:rPr>
          <w:rFonts w:hint="eastAsia" w:ascii="宋体" w:hAnsi="宋体"/>
          <w:color w:val="auto"/>
          <w:sz w:val="21"/>
          <w:szCs w:val="21"/>
          <w:highlight w:val="none"/>
          <w:u w:val="single"/>
        </w:rPr>
        <w:t xml:space="preserve">     （全称并加盖公章）     </w:t>
      </w:r>
    </w:p>
    <w:p>
      <w:pPr>
        <w:spacing w:line="360" w:lineRule="auto"/>
        <w:rPr>
          <w:rFonts w:hint="eastAsia" w:ascii="宋体" w:hAnsi="宋体"/>
          <w:color w:val="auto"/>
          <w:sz w:val="21"/>
          <w:szCs w:val="21"/>
          <w:highlight w:val="none"/>
          <w:u w:val="single"/>
        </w:rPr>
      </w:pPr>
      <w:r>
        <w:rPr>
          <w:rFonts w:hint="eastAsia" w:ascii="宋体" w:hAnsi="宋体"/>
          <w:color w:val="auto"/>
          <w:sz w:val="21"/>
          <w:szCs w:val="21"/>
          <w:highlight w:val="none"/>
        </w:rPr>
        <w:t xml:space="preserve">                   投标人代表签字：</w:t>
      </w:r>
      <w:r>
        <w:rPr>
          <w:rFonts w:hint="eastAsia" w:ascii="宋体" w:hAnsi="宋体"/>
          <w:color w:val="auto"/>
          <w:sz w:val="21"/>
          <w:szCs w:val="21"/>
          <w:highlight w:val="none"/>
          <w:u w:val="single"/>
        </w:rPr>
        <w:t xml:space="preserve">                            </w:t>
      </w:r>
    </w:p>
    <w:p>
      <w:pPr>
        <w:spacing w:line="360" w:lineRule="auto"/>
        <w:ind w:firstLine="2100" w:firstLineChars="1000"/>
        <w:jc w:val="both"/>
        <w:rPr>
          <w:rFonts w:hint="eastAsia" w:ascii="宋体" w:hAnsi="宋体"/>
          <w:color w:val="auto"/>
          <w:sz w:val="21"/>
          <w:szCs w:val="21"/>
          <w:highlight w:val="none"/>
        </w:rPr>
      </w:pPr>
      <w:r>
        <w:rPr>
          <w:rFonts w:hint="eastAsia" w:ascii="宋体" w:hAnsi="宋体"/>
          <w:color w:val="auto"/>
          <w:sz w:val="21"/>
          <w:szCs w:val="21"/>
          <w:highlight w:val="none"/>
        </w:rPr>
        <w:t>日          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月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日</w:t>
      </w:r>
    </w:p>
    <w:p>
      <w:pPr>
        <w:pStyle w:val="31"/>
        <w:spacing w:before="120" w:beforeLines="50" w:after="120" w:afterLines="50" w:line="360" w:lineRule="auto"/>
        <w:rPr>
          <w:rFonts w:hint="eastAsia"/>
          <w:color w:val="auto"/>
          <w:highlight w:val="none"/>
        </w:rPr>
      </w:pPr>
      <w:r>
        <w:rPr>
          <w:rFonts w:hint="eastAsia"/>
          <w:color w:val="auto"/>
          <w:highlight w:val="none"/>
        </w:rPr>
        <w:br w:type="page"/>
      </w:r>
      <w:r>
        <w:rPr>
          <w:rFonts w:hint="eastAsia" w:ascii="宋体" w:hAnsi="宋体" w:cs="宋体"/>
          <w:color w:val="auto"/>
          <w:sz w:val="21"/>
          <w:szCs w:val="21"/>
          <w:highlight w:val="none"/>
        </w:rPr>
        <w:t>附件</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w:t>
      </w:r>
      <w:r>
        <w:rPr>
          <w:rFonts w:ascii="宋体" w:hAnsi="宋体" w:cs="宋体"/>
          <w:color w:val="auto"/>
          <w:sz w:val="21"/>
          <w:szCs w:val="21"/>
          <w:highlight w:val="none"/>
        </w:rPr>
        <w:t>4</w:t>
      </w:r>
      <w:r>
        <w:rPr>
          <w:rFonts w:hint="eastAsia" w:ascii="宋体" w:hAnsi="宋体" w:cs="宋体"/>
          <w:color w:val="auto"/>
          <w:sz w:val="21"/>
          <w:szCs w:val="21"/>
          <w:highlight w:val="none"/>
        </w:rPr>
        <w:t xml:space="preserve">  投标保证金缴纳凭证</w:t>
      </w:r>
    </w:p>
    <w:p>
      <w:pPr>
        <w:spacing w:line="360" w:lineRule="auto"/>
        <w:rPr>
          <w:rFonts w:hint="eastAsia" w:ascii="宋体" w:hAnsi="宋体" w:cs="宋体"/>
          <w:color w:val="auto"/>
          <w:szCs w:val="21"/>
          <w:highlight w:val="none"/>
        </w:rPr>
      </w:pPr>
    </w:p>
    <w:p>
      <w:pPr>
        <w:spacing w:line="360" w:lineRule="auto"/>
        <w:jc w:val="center"/>
        <w:rPr>
          <w:rFonts w:hint="eastAsia" w:ascii="宋体" w:hAnsi="宋体" w:cs="宋体"/>
          <w:b/>
          <w:color w:val="auto"/>
          <w:szCs w:val="21"/>
          <w:highlight w:val="none"/>
        </w:rPr>
      </w:pPr>
    </w:p>
    <w:p>
      <w:pPr>
        <w:pStyle w:val="31"/>
        <w:spacing w:before="120" w:beforeLines="50" w:after="120" w:afterLines="50" w:line="360" w:lineRule="auto"/>
        <w:rPr>
          <w:rFonts w:hint="eastAsia" w:ascii="宋体" w:hAnsi="宋体" w:cs="宋体"/>
          <w:color w:val="auto"/>
          <w:sz w:val="21"/>
          <w:szCs w:val="21"/>
          <w:highlight w:val="none"/>
        </w:rPr>
      </w:pPr>
      <w:bookmarkStart w:id="275" w:name="_Toc175062664"/>
      <w:bookmarkStart w:id="276" w:name="_Toc144556810"/>
      <w:r>
        <w:rPr>
          <w:rFonts w:hint="eastAsia" w:ascii="宋体" w:hAnsi="宋体" w:cs="宋体"/>
          <w:color w:val="auto"/>
          <w:sz w:val="21"/>
          <w:szCs w:val="21"/>
          <w:highlight w:val="none"/>
        </w:rPr>
        <w:br w:type="page"/>
      </w:r>
      <w:bookmarkEnd w:id="275"/>
      <w:bookmarkEnd w:id="276"/>
      <w:bookmarkStart w:id="277" w:name="_Toc302360926"/>
      <w:bookmarkStart w:id="278" w:name="_Toc20343"/>
      <w:bookmarkStart w:id="279" w:name="_Toc30567"/>
      <w:r>
        <w:rPr>
          <w:rFonts w:hint="eastAsia" w:ascii="宋体" w:hAnsi="宋体" w:cs="宋体"/>
          <w:color w:val="auto"/>
          <w:sz w:val="21"/>
          <w:szCs w:val="21"/>
          <w:highlight w:val="none"/>
        </w:rPr>
        <w:t>附件</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-1  中标服务费承诺书（格式）</w:t>
      </w:r>
      <w:bookmarkEnd w:id="277"/>
      <w:bookmarkEnd w:id="278"/>
      <w:bookmarkEnd w:id="279"/>
    </w:p>
    <w:p>
      <w:pPr>
        <w:tabs>
          <w:tab w:val="left" w:pos="851"/>
        </w:tabs>
        <w:spacing w:before="240" w:beforeLines="100" w:after="120" w:afterLines="50" w:line="360" w:lineRule="auto"/>
        <w:rPr>
          <w:rFonts w:hint="eastAsia" w:ascii="宋体" w:hAnsi="宋体" w:cs="宋体"/>
          <w:color w:val="auto"/>
          <w:szCs w:val="21"/>
          <w:highlight w:val="none"/>
        </w:rPr>
      </w:pPr>
      <w:r>
        <w:rPr>
          <w:rFonts w:hint="eastAsia" w:ascii="宋体" w:hAnsi="宋体" w:cs="宋体"/>
          <w:color w:val="auto"/>
          <w:szCs w:val="21"/>
          <w:highlight w:val="none"/>
        </w:rPr>
        <w:t>致：中国远东国际招标有限公司新疆分公司：</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我们在贵公司组织的 （</w:t>
      </w:r>
      <w:r>
        <w:rPr>
          <w:rFonts w:hint="eastAsia" w:ascii="宋体" w:hAnsi="宋体" w:cs="宋体"/>
          <w:b/>
          <w:color w:val="auto"/>
          <w:szCs w:val="21"/>
          <w:highlight w:val="none"/>
        </w:rPr>
        <w:t>招标文件编号、项目名称</w:t>
      </w:r>
      <w:r>
        <w:rPr>
          <w:rFonts w:hint="eastAsia" w:ascii="宋体" w:hAnsi="宋体" w:cs="宋体"/>
          <w:color w:val="auto"/>
          <w:szCs w:val="21"/>
          <w:highlight w:val="none"/>
        </w:rPr>
        <w:t>） 招标中，若获中标，我们保证在领取中标通知书的同时，按招标文件的规定，以支票、汇票或现金形式，向中国远东国际招标有限公司新疆分公司（地址：新疆乌鲁木齐经济技术开发区（头屯河区）喀纳斯湖北路455号新疆软件园创智大厦B座13层1303室，开户银行：中国工商银行股份有限公司乌鲁木齐澎湖路科技支行，账号：3002019209200069062，一次性支付应该交纳的中标服务费用。</w:t>
      </w:r>
    </w:p>
    <w:p>
      <w:pPr>
        <w:tabs>
          <w:tab w:val="left" w:pos="558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收费标准依据国家计委印发的 《招标代理服务收费管理暂行办法》（计价格[2002]1980号）和国家发展改革委员会印发的《国家发展改革委办公厅关于招标代理服务收费有关问题的通知》（发改办[2003]857号）执行。</w:t>
      </w:r>
    </w:p>
    <w:p>
      <w:pPr>
        <w:pStyle w:val="21"/>
        <w:spacing w:before="120" w:beforeLines="50"/>
        <w:ind w:firstLine="420" w:firstLineChars="200"/>
        <w:rPr>
          <w:rFonts w:hint="eastAsia" w:hAnsi="宋体" w:cs="宋体"/>
          <w:color w:val="auto"/>
          <w:szCs w:val="21"/>
          <w:highlight w:val="none"/>
        </w:rPr>
      </w:pPr>
      <w:r>
        <w:rPr>
          <w:rFonts w:hint="eastAsia" w:hAnsi="宋体" w:cs="宋体"/>
          <w:color w:val="auto"/>
          <w:szCs w:val="21"/>
          <w:highlight w:val="none"/>
        </w:rPr>
        <w:t>特此承诺！</w:t>
      </w:r>
    </w:p>
    <w:p>
      <w:pPr>
        <w:pStyle w:val="21"/>
        <w:spacing w:line="360" w:lineRule="auto"/>
        <w:ind w:firstLine="420" w:firstLineChars="200"/>
        <w:rPr>
          <w:rFonts w:hint="eastAsia" w:hAnsi="宋体" w:cs="宋体"/>
          <w:color w:val="auto"/>
          <w:szCs w:val="21"/>
          <w:highlight w:val="none"/>
        </w:rPr>
      </w:pPr>
    </w:p>
    <w:p>
      <w:pPr>
        <w:pStyle w:val="21"/>
        <w:spacing w:line="360" w:lineRule="auto"/>
        <w:ind w:firstLine="420" w:firstLineChars="200"/>
        <w:rPr>
          <w:rFonts w:hint="eastAsia" w:hAnsi="宋体" w:cs="宋体"/>
          <w:color w:val="auto"/>
          <w:szCs w:val="21"/>
          <w:highlight w:val="none"/>
        </w:rPr>
      </w:pPr>
    </w:p>
    <w:p>
      <w:pPr>
        <w:tabs>
          <w:tab w:val="left" w:pos="5580"/>
        </w:tabs>
        <w:spacing w:before="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投标人名称（盖章）：</w:t>
      </w:r>
      <w:r>
        <w:rPr>
          <w:rFonts w:hint="eastAsia" w:ascii="宋体" w:hAnsi="宋体" w:cs="宋体"/>
          <w:color w:val="auto"/>
          <w:szCs w:val="21"/>
          <w:highlight w:val="none"/>
          <w:u w:val="single"/>
        </w:rPr>
        <w:tab/>
      </w:r>
    </w:p>
    <w:p>
      <w:pPr>
        <w:tabs>
          <w:tab w:val="left" w:pos="5580"/>
        </w:tabs>
        <w:spacing w:before="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授权代表姓名（签字或盖章）：</w:t>
      </w:r>
      <w:r>
        <w:rPr>
          <w:rFonts w:hint="eastAsia" w:ascii="宋体" w:hAnsi="宋体" w:cs="宋体"/>
          <w:color w:val="auto"/>
          <w:szCs w:val="21"/>
          <w:highlight w:val="none"/>
          <w:u w:val="single"/>
        </w:rPr>
        <w:tab/>
      </w:r>
    </w:p>
    <w:p>
      <w:pPr>
        <w:tabs>
          <w:tab w:val="left" w:pos="5580"/>
        </w:tabs>
        <w:spacing w:before="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开户银行名称（全称）：</w:t>
      </w:r>
      <w:r>
        <w:rPr>
          <w:rFonts w:hint="eastAsia" w:ascii="宋体" w:hAnsi="宋体" w:cs="宋体"/>
          <w:color w:val="auto"/>
          <w:szCs w:val="21"/>
          <w:highlight w:val="none"/>
          <w:u w:val="single"/>
        </w:rPr>
        <w:tab/>
      </w:r>
    </w:p>
    <w:p>
      <w:pPr>
        <w:tabs>
          <w:tab w:val="left" w:pos="5580"/>
        </w:tabs>
        <w:spacing w:before="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开户银行账号：</w:t>
      </w:r>
      <w:r>
        <w:rPr>
          <w:rFonts w:hint="eastAsia" w:ascii="宋体" w:hAnsi="宋体" w:cs="宋体"/>
          <w:color w:val="auto"/>
          <w:szCs w:val="21"/>
          <w:highlight w:val="none"/>
          <w:u w:val="single"/>
        </w:rPr>
        <w:tab/>
      </w:r>
    </w:p>
    <w:p>
      <w:pPr>
        <w:tabs>
          <w:tab w:val="left" w:pos="4620"/>
        </w:tabs>
        <w:spacing w:before="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pStyle w:val="31"/>
        <w:outlineLvl w:val="9"/>
        <w:rPr>
          <w:rFonts w:hint="eastAsia" w:ascii="宋体" w:hAnsi="宋体" w:cs="宋体"/>
          <w:b w:val="0"/>
          <w:color w:val="auto"/>
          <w:sz w:val="21"/>
          <w:szCs w:val="21"/>
          <w:highlight w:val="none"/>
        </w:rPr>
      </w:pPr>
    </w:p>
    <w:p>
      <w:pPr>
        <w:spacing w:before="240" w:beforeLines="100" w:after="240" w:afterLines="100" w:line="360" w:lineRule="auto"/>
        <w:jc w:val="center"/>
        <w:outlineLvl w:val="1"/>
        <w:rPr>
          <w:rFonts w:hint="eastAsia" w:ascii="宋体" w:hAnsi="宋体" w:cs="宋体"/>
          <w:b/>
          <w:color w:val="auto"/>
          <w:szCs w:val="21"/>
          <w:highlight w:val="none"/>
        </w:rPr>
      </w:pPr>
      <w:r>
        <w:rPr>
          <w:rFonts w:hint="eastAsia" w:ascii="宋体" w:hAnsi="宋体" w:cs="宋体"/>
          <w:b/>
          <w:color w:val="auto"/>
          <w:szCs w:val="21"/>
          <w:highlight w:val="none"/>
        </w:rPr>
        <w:br w:type="page"/>
      </w:r>
      <w:bookmarkStart w:id="280" w:name="_Toc20115"/>
      <w:bookmarkStart w:id="281" w:name="_Toc23782"/>
      <w:bookmarkStart w:id="282" w:name="_Toc10981"/>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8</w:t>
      </w:r>
      <w:r>
        <w:rPr>
          <w:rFonts w:hint="eastAsia" w:ascii="宋体" w:hAnsi="宋体" w:cs="宋体"/>
          <w:b/>
          <w:color w:val="auto"/>
          <w:szCs w:val="21"/>
          <w:highlight w:val="none"/>
        </w:rPr>
        <w:t>-2 关于投标保证金的声明</w:t>
      </w:r>
      <w:bookmarkEnd w:id="280"/>
      <w:bookmarkEnd w:id="281"/>
      <w:bookmarkEnd w:id="282"/>
    </w:p>
    <w:p>
      <w:pPr>
        <w:pStyle w:val="5"/>
        <w:spacing w:line="360" w:lineRule="auto"/>
        <w:ind w:firstLine="0"/>
        <w:rPr>
          <w:rFonts w:hint="eastAsia" w:hAnsi="宋体" w:cs="宋体"/>
          <w:b/>
          <w:color w:val="auto"/>
          <w:sz w:val="21"/>
          <w:szCs w:val="21"/>
          <w:highlight w:val="none"/>
        </w:rPr>
      </w:pPr>
      <w:r>
        <w:rPr>
          <w:rFonts w:hint="eastAsia" w:hAnsi="宋体" w:cs="宋体"/>
          <w:b/>
          <w:color w:val="auto"/>
          <w:sz w:val="21"/>
          <w:szCs w:val="21"/>
          <w:highlight w:val="none"/>
        </w:rPr>
        <w:t>致：中国远东国际招标有限公司新疆分公司</w:t>
      </w:r>
    </w:p>
    <w:p>
      <w:pPr>
        <w:pStyle w:val="5"/>
        <w:spacing w:line="360" w:lineRule="auto"/>
        <w:rPr>
          <w:rFonts w:hint="eastAsia" w:hAnsi="宋体" w:cs="宋体"/>
          <w:color w:val="auto"/>
          <w:sz w:val="21"/>
          <w:szCs w:val="21"/>
          <w:highlight w:val="none"/>
        </w:rPr>
      </w:pPr>
    </w:p>
    <w:p>
      <w:pPr>
        <w:pStyle w:val="5"/>
        <w:spacing w:line="360" w:lineRule="auto"/>
        <w:ind w:firstLineChars="200"/>
        <w:rPr>
          <w:rFonts w:hint="eastAsia" w:hAnsi="宋体" w:cs="宋体"/>
          <w:color w:val="auto"/>
          <w:sz w:val="21"/>
          <w:szCs w:val="21"/>
          <w:highlight w:val="none"/>
        </w:rPr>
      </w:pPr>
      <w:r>
        <w:rPr>
          <w:rFonts w:hint="eastAsia" w:hAnsi="宋体" w:cs="宋体"/>
          <w:color w:val="auto"/>
          <w:sz w:val="21"/>
          <w:szCs w:val="21"/>
          <w:highlight w:val="none"/>
        </w:rPr>
        <w:t>我单位参与贵公司组织的</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（项目名称），招标编号</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。在公开招标活动结束后，请将投标保证金退至我单位以下账户：</w:t>
      </w:r>
    </w:p>
    <w:p>
      <w:pPr>
        <w:pStyle w:val="5"/>
        <w:spacing w:line="360" w:lineRule="auto"/>
        <w:ind w:firstLineChars="200"/>
        <w:rPr>
          <w:rFonts w:hint="eastAsia" w:hAnsi="宋体" w:cs="宋体"/>
          <w:color w:val="auto"/>
          <w:sz w:val="21"/>
          <w:szCs w:val="21"/>
          <w:highlight w:val="none"/>
        </w:rPr>
      </w:pPr>
      <w:r>
        <w:rPr>
          <w:rFonts w:hint="eastAsia" w:hAnsi="宋体" w:cs="宋体"/>
          <w:color w:val="auto"/>
          <w:sz w:val="21"/>
          <w:szCs w:val="21"/>
          <w:highlight w:val="none"/>
        </w:rPr>
        <w:t>户    名：</w:t>
      </w:r>
      <w:r>
        <w:rPr>
          <w:rFonts w:hint="eastAsia" w:hAnsi="宋体" w:cs="宋体"/>
          <w:color w:val="auto"/>
          <w:sz w:val="21"/>
          <w:szCs w:val="21"/>
          <w:highlight w:val="none"/>
          <w:u w:val="single"/>
        </w:rPr>
        <w:t xml:space="preserve">                            </w:t>
      </w:r>
    </w:p>
    <w:p>
      <w:pPr>
        <w:pStyle w:val="5"/>
        <w:spacing w:line="360" w:lineRule="auto"/>
        <w:ind w:firstLineChars="200"/>
        <w:rPr>
          <w:rFonts w:hint="eastAsia" w:hAnsi="宋体" w:cs="宋体"/>
          <w:color w:val="auto"/>
          <w:sz w:val="21"/>
          <w:szCs w:val="21"/>
          <w:highlight w:val="none"/>
        </w:rPr>
      </w:pPr>
      <w:r>
        <w:rPr>
          <w:rFonts w:hint="eastAsia" w:hAnsi="宋体" w:cs="宋体"/>
          <w:color w:val="auto"/>
          <w:sz w:val="21"/>
          <w:szCs w:val="21"/>
          <w:highlight w:val="none"/>
        </w:rPr>
        <w:t>开 户 行：</w:t>
      </w:r>
      <w:r>
        <w:rPr>
          <w:rFonts w:hint="eastAsia" w:hAnsi="宋体" w:cs="宋体"/>
          <w:color w:val="auto"/>
          <w:sz w:val="21"/>
          <w:szCs w:val="21"/>
          <w:highlight w:val="none"/>
          <w:u w:val="single"/>
        </w:rPr>
        <w:t xml:space="preserve">                            </w:t>
      </w:r>
    </w:p>
    <w:p>
      <w:pPr>
        <w:pStyle w:val="5"/>
        <w:spacing w:line="360" w:lineRule="auto"/>
        <w:ind w:firstLineChars="200"/>
        <w:rPr>
          <w:rFonts w:hint="eastAsia" w:hAnsi="宋体" w:cs="宋体"/>
          <w:color w:val="auto"/>
          <w:sz w:val="21"/>
          <w:szCs w:val="21"/>
          <w:highlight w:val="none"/>
        </w:rPr>
      </w:pPr>
      <w:r>
        <w:rPr>
          <w:rFonts w:hint="eastAsia" w:hAnsi="宋体" w:cs="宋体"/>
          <w:color w:val="auto"/>
          <w:sz w:val="21"/>
          <w:szCs w:val="21"/>
          <w:highlight w:val="none"/>
        </w:rPr>
        <w:t>行    号：</w:t>
      </w:r>
      <w:r>
        <w:rPr>
          <w:rFonts w:hint="eastAsia" w:hAnsi="宋体" w:cs="宋体"/>
          <w:color w:val="auto"/>
          <w:sz w:val="21"/>
          <w:szCs w:val="21"/>
          <w:highlight w:val="none"/>
          <w:u w:val="single"/>
        </w:rPr>
        <w:t xml:space="preserve">                            </w:t>
      </w:r>
    </w:p>
    <w:p>
      <w:pPr>
        <w:pStyle w:val="5"/>
        <w:spacing w:line="360" w:lineRule="auto"/>
        <w:ind w:firstLineChars="200"/>
        <w:rPr>
          <w:rFonts w:hint="eastAsia" w:hAnsi="宋体" w:cs="宋体"/>
          <w:color w:val="auto"/>
          <w:sz w:val="21"/>
          <w:szCs w:val="21"/>
          <w:highlight w:val="none"/>
        </w:rPr>
      </w:pPr>
      <w:r>
        <w:rPr>
          <w:rFonts w:hint="eastAsia" w:hAnsi="宋体" w:cs="宋体"/>
          <w:color w:val="auto"/>
          <w:sz w:val="21"/>
          <w:szCs w:val="21"/>
          <w:highlight w:val="none"/>
        </w:rPr>
        <w:t>账    号：</w:t>
      </w:r>
      <w:r>
        <w:rPr>
          <w:rFonts w:hint="eastAsia" w:hAnsi="宋体" w:cs="宋体"/>
          <w:color w:val="auto"/>
          <w:sz w:val="21"/>
          <w:szCs w:val="21"/>
          <w:highlight w:val="none"/>
          <w:u w:val="single"/>
        </w:rPr>
        <w:t xml:space="preserve">                            </w:t>
      </w:r>
    </w:p>
    <w:p>
      <w:pPr>
        <w:pStyle w:val="5"/>
        <w:spacing w:line="360" w:lineRule="auto"/>
        <w:ind w:firstLine="367" w:firstLineChars="175"/>
        <w:rPr>
          <w:rFonts w:hint="eastAsia" w:hAnsi="宋体" w:cs="宋体"/>
          <w:color w:val="auto"/>
          <w:sz w:val="21"/>
          <w:szCs w:val="21"/>
          <w:highlight w:val="none"/>
        </w:rPr>
      </w:pPr>
      <w:r>
        <w:rPr>
          <w:rFonts w:hint="eastAsia" w:hAnsi="宋体" w:cs="宋体"/>
          <w:color w:val="auto"/>
          <w:sz w:val="21"/>
          <w:szCs w:val="21"/>
          <w:highlight w:val="none"/>
        </w:rPr>
        <w:t>为此，我单位声明：</w:t>
      </w:r>
    </w:p>
    <w:p>
      <w:pPr>
        <w:pStyle w:val="5"/>
        <w:spacing w:line="360" w:lineRule="auto"/>
        <w:rPr>
          <w:rFonts w:hint="eastAsia" w:hAnsi="宋体" w:cs="宋体"/>
          <w:color w:val="auto"/>
          <w:sz w:val="21"/>
          <w:szCs w:val="21"/>
          <w:highlight w:val="none"/>
        </w:rPr>
      </w:pPr>
      <w:r>
        <w:rPr>
          <w:rFonts w:hint="eastAsia" w:hAnsi="宋体" w:cs="宋体"/>
          <w:color w:val="auto"/>
          <w:sz w:val="21"/>
          <w:szCs w:val="21"/>
          <w:highlight w:val="none"/>
        </w:rPr>
        <w:t>以上账户信息真实有效，如我单位相关信息在此期间内发生变更，我单位负责及时通知贵公司。如由于填写信息不实、内容不清晰、我单位信息变更而未及时告知贵公司等问题，引发的退还保证金延误等问题，后果由我单位自行承担。</w:t>
      </w:r>
    </w:p>
    <w:p>
      <w:pPr>
        <w:pStyle w:val="5"/>
        <w:ind w:firstLine="0"/>
        <w:rPr>
          <w:rFonts w:hint="eastAsia" w:hAnsi="宋体" w:cs="宋体"/>
          <w:color w:val="auto"/>
          <w:sz w:val="21"/>
          <w:szCs w:val="21"/>
          <w:highlight w:val="none"/>
        </w:rPr>
      </w:pPr>
    </w:p>
    <w:p>
      <w:pPr>
        <w:pStyle w:val="5"/>
        <w:spacing w:line="400" w:lineRule="exact"/>
        <w:ind w:left="1" w:firstLine="0"/>
        <w:rPr>
          <w:rFonts w:hint="eastAsia" w:hAnsi="宋体" w:cs="宋体"/>
          <w:color w:val="auto"/>
          <w:sz w:val="21"/>
          <w:szCs w:val="21"/>
          <w:highlight w:val="none"/>
        </w:rPr>
      </w:pPr>
    </w:p>
    <w:p>
      <w:pPr>
        <w:pStyle w:val="5"/>
        <w:spacing w:line="360" w:lineRule="auto"/>
        <w:ind w:firstLineChars="200"/>
        <w:rPr>
          <w:rFonts w:hint="eastAsia" w:hAnsi="宋体" w:cs="宋体"/>
          <w:color w:val="auto"/>
          <w:sz w:val="21"/>
          <w:szCs w:val="21"/>
          <w:highlight w:val="none"/>
          <w:u w:val="single"/>
        </w:rPr>
      </w:pPr>
      <w:r>
        <w:rPr>
          <w:rFonts w:hint="eastAsia" w:hAnsi="宋体" w:cs="宋体"/>
          <w:color w:val="auto"/>
          <w:sz w:val="21"/>
          <w:szCs w:val="21"/>
          <w:highlight w:val="none"/>
        </w:rPr>
        <w:t>供应商名称（盖章）：</w:t>
      </w:r>
      <w:r>
        <w:rPr>
          <w:rFonts w:hint="eastAsia" w:hAnsi="宋体" w:cs="宋体"/>
          <w:color w:val="auto"/>
          <w:sz w:val="21"/>
          <w:szCs w:val="21"/>
          <w:highlight w:val="none"/>
          <w:u w:val="single"/>
        </w:rPr>
        <w:t xml:space="preserve">               </w:t>
      </w:r>
    </w:p>
    <w:p>
      <w:pPr>
        <w:pStyle w:val="5"/>
        <w:spacing w:line="360" w:lineRule="auto"/>
        <w:ind w:firstLineChars="200"/>
        <w:rPr>
          <w:rFonts w:hint="eastAsia" w:hAnsi="宋体" w:cs="宋体"/>
          <w:color w:val="auto"/>
          <w:sz w:val="21"/>
          <w:szCs w:val="21"/>
          <w:highlight w:val="none"/>
        </w:rPr>
      </w:pPr>
    </w:p>
    <w:p>
      <w:pPr>
        <w:pStyle w:val="5"/>
        <w:ind w:firstLineChars="200"/>
        <w:rPr>
          <w:rFonts w:hint="eastAsia" w:hAnsi="宋体" w:cs="宋体"/>
          <w:color w:val="auto"/>
          <w:sz w:val="21"/>
          <w:szCs w:val="21"/>
          <w:highlight w:val="none"/>
        </w:rPr>
      </w:pPr>
      <w:r>
        <w:rPr>
          <w:rFonts w:hint="eastAsia" w:hAnsi="宋体" w:cs="宋体"/>
          <w:color w:val="auto"/>
          <w:sz w:val="21"/>
          <w:szCs w:val="21"/>
          <w:highlight w:val="none"/>
        </w:rPr>
        <w:t>日期：      年   月   日</w:t>
      </w:r>
    </w:p>
    <w:p>
      <w:pPr>
        <w:pStyle w:val="5"/>
        <w:ind w:firstLine="0"/>
        <w:rPr>
          <w:rFonts w:hint="eastAsia" w:hAnsi="宋体" w:cs="宋体"/>
          <w:color w:val="auto"/>
          <w:sz w:val="21"/>
          <w:szCs w:val="21"/>
          <w:highlight w:val="none"/>
        </w:rPr>
      </w:pPr>
    </w:p>
    <w:p>
      <w:pPr>
        <w:pStyle w:val="5"/>
        <w:ind w:firstLine="0"/>
        <w:rPr>
          <w:rFonts w:hint="eastAsia" w:hAnsi="宋体" w:cs="宋体"/>
          <w:color w:val="auto"/>
          <w:sz w:val="21"/>
          <w:szCs w:val="21"/>
          <w:highlight w:val="none"/>
        </w:rPr>
      </w:pPr>
    </w:p>
    <w:p>
      <w:pPr>
        <w:pStyle w:val="5"/>
        <w:ind w:firstLine="0"/>
        <w:rPr>
          <w:rFonts w:hint="eastAsia" w:hAnsi="宋体" w:cs="宋体"/>
          <w:color w:val="auto"/>
          <w:sz w:val="21"/>
          <w:szCs w:val="21"/>
          <w:highlight w:val="none"/>
        </w:rPr>
      </w:pPr>
    </w:p>
    <w:p>
      <w:pPr>
        <w:pStyle w:val="5"/>
        <w:spacing w:line="360" w:lineRule="auto"/>
        <w:ind w:firstLine="0"/>
        <w:rPr>
          <w:rFonts w:hint="eastAsia" w:hAnsi="宋体" w:cs="宋体"/>
          <w:b/>
          <w:color w:val="auto"/>
          <w:sz w:val="21"/>
          <w:szCs w:val="21"/>
          <w:highlight w:val="none"/>
        </w:rPr>
      </w:pPr>
      <w:r>
        <w:rPr>
          <w:rFonts w:hint="eastAsia" w:hAnsi="宋体" w:cs="宋体"/>
          <w:b/>
          <w:color w:val="auto"/>
          <w:sz w:val="21"/>
          <w:szCs w:val="21"/>
          <w:highlight w:val="none"/>
        </w:rPr>
        <w:t>注：</w:t>
      </w:r>
    </w:p>
    <w:p>
      <w:pPr>
        <w:pStyle w:val="5"/>
        <w:numPr>
          <w:ilvl w:val="0"/>
          <w:numId w:val="14"/>
        </w:numPr>
        <w:spacing w:line="360" w:lineRule="auto"/>
        <w:ind w:left="1" w:firstLine="0"/>
        <w:rPr>
          <w:rFonts w:hint="eastAsia" w:hAnsi="宋体" w:cs="宋体"/>
          <w:b/>
          <w:color w:val="auto"/>
          <w:sz w:val="21"/>
          <w:szCs w:val="21"/>
          <w:highlight w:val="none"/>
        </w:rPr>
      </w:pPr>
      <w:r>
        <w:rPr>
          <w:rFonts w:hint="eastAsia" w:hAnsi="宋体" w:cs="宋体"/>
          <w:b/>
          <w:color w:val="auto"/>
          <w:sz w:val="21"/>
          <w:szCs w:val="21"/>
          <w:highlight w:val="none"/>
        </w:rPr>
        <w:t>此笔款项为本次招标项目的投标保证金。</w:t>
      </w:r>
    </w:p>
    <w:p>
      <w:pPr>
        <w:pStyle w:val="5"/>
        <w:numPr>
          <w:ilvl w:val="0"/>
          <w:numId w:val="14"/>
        </w:numPr>
        <w:spacing w:line="360" w:lineRule="auto"/>
        <w:ind w:left="1" w:firstLine="0"/>
        <w:rPr>
          <w:rFonts w:hint="eastAsia" w:hAnsi="宋体" w:cs="宋体"/>
          <w:b/>
          <w:color w:val="auto"/>
          <w:sz w:val="21"/>
          <w:szCs w:val="21"/>
          <w:highlight w:val="none"/>
        </w:rPr>
      </w:pPr>
      <w:r>
        <w:rPr>
          <w:rFonts w:hint="eastAsia" w:hAnsi="宋体" w:cs="宋体"/>
          <w:b/>
          <w:color w:val="auto"/>
          <w:sz w:val="21"/>
          <w:szCs w:val="21"/>
          <w:highlight w:val="none"/>
        </w:rPr>
        <w:t>本声明须加盖投标人公章或财务专用章，并请勿加盖在银行信息上。</w:t>
      </w:r>
    </w:p>
    <w:p>
      <w:pPr>
        <w:pStyle w:val="5"/>
        <w:numPr>
          <w:ilvl w:val="0"/>
          <w:numId w:val="14"/>
        </w:numPr>
        <w:spacing w:line="360" w:lineRule="auto"/>
        <w:ind w:left="1" w:firstLine="0"/>
        <w:rPr>
          <w:rFonts w:hint="eastAsia" w:hAnsi="宋体" w:cs="宋体"/>
          <w:b/>
          <w:color w:val="auto"/>
          <w:sz w:val="21"/>
          <w:szCs w:val="21"/>
          <w:highlight w:val="none"/>
        </w:rPr>
      </w:pPr>
      <w:r>
        <w:rPr>
          <w:rFonts w:hint="eastAsia" w:hAnsi="宋体" w:cs="宋体"/>
          <w:b/>
          <w:color w:val="auto"/>
          <w:sz w:val="21"/>
          <w:szCs w:val="21"/>
          <w:highlight w:val="none"/>
        </w:rPr>
        <w:t>此声明需与投标文件一并递交。</w:t>
      </w:r>
    </w:p>
    <w:p>
      <w:pPr>
        <w:pStyle w:val="5"/>
        <w:numPr>
          <w:ilvl w:val="0"/>
          <w:numId w:val="14"/>
        </w:numPr>
        <w:spacing w:line="360" w:lineRule="auto"/>
        <w:ind w:left="1" w:firstLine="0"/>
        <w:rPr>
          <w:rFonts w:hint="eastAsia" w:hAnsi="宋体" w:cs="宋体"/>
          <w:b/>
          <w:color w:val="auto"/>
          <w:sz w:val="21"/>
          <w:szCs w:val="21"/>
          <w:highlight w:val="none"/>
        </w:rPr>
      </w:pPr>
      <w:r>
        <w:rPr>
          <w:rFonts w:hint="eastAsia" w:hAnsi="宋体" w:cs="宋体"/>
          <w:b/>
          <w:color w:val="auto"/>
          <w:sz w:val="21"/>
          <w:szCs w:val="21"/>
          <w:highlight w:val="none"/>
        </w:rPr>
        <w:t>此声明需与“开票账户信息”单独密封在一个信封中。</w:t>
      </w:r>
    </w:p>
    <w:p>
      <w:pPr>
        <w:jc w:val="center"/>
        <w:outlineLvl w:val="1"/>
        <w:rPr>
          <w:rFonts w:hint="eastAsia" w:ascii="宋体" w:hAnsi="宋体" w:cs="宋体"/>
          <w:color w:val="auto"/>
          <w:szCs w:val="21"/>
          <w:highlight w:val="none"/>
        </w:rPr>
      </w:pPr>
      <w:r>
        <w:rPr>
          <w:rFonts w:hint="eastAsia" w:ascii="宋体" w:hAnsi="宋体" w:cs="宋体"/>
          <w:b/>
          <w:color w:val="auto"/>
          <w:szCs w:val="21"/>
          <w:highlight w:val="none"/>
        </w:rPr>
        <w:br w:type="page"/>
      </w:r>
      <w:bookmarkStart w:id="283" w:name="_Toc5274"/>
      <w:bookmarkStart w:id="284" w:name="_Toc28283"/>
      <w:bookmarkStart w:id="285" w:name="_Toc18163"/>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8</w:t>
      </w:r>
      <w:r>
        <w:rPr>
          <w:rFonts w:hint="eastAsia" w:ascii="宋体" w:hAnsi="宋体" w:cs="宋体"/>
          <w:b/>
          <w:color w:val="auto"/>
          <w:szCs w:val="21"/>
          <w:highlight w:val="none"/>
        </w:rPr>
        <w:t>-3 开票账户信息</w:t>
      </w:r>
      <w:bookmarkEnd w:id="283"/>
      <w:bookmarkEnd w:id="284"/>
      <w:bookmarkEnd w:id="285"/>
    </w:p>
    <w:tbl>
      <w:tblPr>
        <w:tblStyle w:val="44"/>
        <w:tblpPr w:leftFromText="180" w:rightFromText="180" w:vertAnchor="page" w:horzAnchor="margin" w:tblpY="29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5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586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项目编号</w:t>
            </w:r>
          </w:p>
        </w:tc>
        <w:tc>
          <w:tcPr>
            <w:tcW w:w="586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发票类型(二选一)</w:t>
            </w:r>
          </w:p>
        </w:tc>
        <w:tc>
          <w:tcPr>
            <w:tcW w:w="5862" w:type="dxa"/>
            <w:tcBorders>
              <w:top w:val="single" w:color="auto" w:sz="4" w:space="0"/>
              <w:left w:val="single" w:color="auto" w:sz="4" w:space="0"/>
              <w:bottom w:val="single" w:color="auto" w:sz="4" w:space="0"/>
              <w:right w:val="single" w:color="auto" w:sz="4" w:space="0"/>
            </w:tcBorders>
            <w:noWrap w:val="0"/>
            <w:vAlign w:val="top"/>
          </w:tcPr>
          <w:p>
            <w:pPr>
              <w:pStyle w:val="517"/>
              <w:keepNext w:val="0"/>
              <w:keepLines w:val="0"/>
              <w:numPr>
                <w:ilvl w:val="0"/>
                <w:numId w:val="15"/>
              </w:numPr>
              <w:suppressLineNumbers w:val="0"/>
              <w:spacing w:before="0" w:beforeAutospacing="0" w:after="0" w:afterAutospacing="0"/>
              <w:ind w:right="0" w:firstLineChars="0"/>
              <w:jc w:val="center"/>
              <w:rPr>
                <w:rFonts w:hint="eastAsia" w:ascii="宋体" w:hAnsi="宋体" w:cs="宋体"/>
                <w:color w:val="auto"/>
                <w:szCs w:val="21"/>
                <w:highlight w:val="none"/>
              </w:rPr>
            </w:pPr>
            <w:r>
              <w:rPr>
                <w:rFonts w:hint="eastAsia" w:ascii="宋体" w:hAnsi="宋体" w:cs="宋体"/>
                <w:color w:val="auto"/>
                <w:szCs w:val="21"/>
                <w:highlight w:val="none"/>
              </w:rPr>
              <w:t>增值税专用发票          □  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公司名称</w:t>
            </w:r>
          </w:p>
        </w:tc>
        <w:tc>
          <w:tcPr>
            <w:tcW w:w="586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税号</w:t>
            </w:r>
          </w:p>
        </w:tc>
        <w:tc>
          <w:tcPr>
            <w:tcW w:w="586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586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开户行行号</w:t>
            </w:r>
          </w:p>
        </w:tc>
        <w:tc>
          <w:tcPr>
            <w:tcW w:w="586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银行账号</w:t>
            </w:r>
          </w:p>
        </w:tc>
        <w:tc>
          <w:tcPr>
            <w:tcW w:w="586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地址</w:t>
            </w:r>
          </w:p>
        </w:tc>
        <w:tc>
          <w:tcPr>
            <w:tcW w:w="586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586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被授权人姓名</w:t>
            </w:r>
          </w:p>
        </w:tc>
        <w:tc>
          <w:tcPr>
            <w:tcW w:w="586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被授权人联系方式</w:t>
            </w:r>
          </w:p>
        </w:tc>
        <w:tc>
          <w:tcPr>
            <w:tcW w:w="586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公司公章</w:t>
            </w:r>
          </w:p>
        </w:tc>
        <w:tc>
          <w:tcPr>
            <w:tcW w:w="586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bl>
    <w:p>
      <w:pPr>
        <w:jc w:val="center"/>
        <w:rPr>
          <w:rFonts w:hint="eastAsia" w:ascii="宋体" w:hAnsi="宋体" w:cs="宋体"/>
          <w:color w:val="auto"/>
          <w:szCs w:val="21"/>
          <w:highlight w:val="none"/>
        </w:rPr>
      </w:pPr>
    </w:p>
    <w:p>
      <w:pPr>
        <w:jc w:val="center"/>
        <w:rPr>
          <w:rFonts w:hint="eastAsia" w:ascii="宋体" w:hAnsi="宋体" w:cs="宋体"/>
          <w:color w:val="auto"/>
          <w:szCs w:val="21"/>
          <w:highlight w:val="none"/>
        </w:rPr>
      </w:pPr>
      <w:r>
        <w:rPr>
          <w:rFonts w:hint="eastAsia" w:ascii="宋体" w:hAnsi="宋体" w:cs="宋体"/>
          <w:color w:val="auto"/>
          <w:szCs w:val="21"/>
          <w:highlight w:val="none"/>
        </w:rPr>
        <w:t>（仅供办理退保证金时提供）</w:t>
      </w:r>
    </w:p>
    <w:p>
      <w:pPr>
        <w:widowControl/>
        <w:jc w:val="left"/>
        <w:rPr>
          <w:rFonts w:hint="eastAsia" w:ascii="宋体" w:hAnsi="宋体" w:cs="宋体"/>
          <w:color w:val="auto"/>
          <w:szCs w:val="21"/>
          <w:highlight w:val="none"/>
        </w:rPr>
      </w:pPr>
    </w:p>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备注：</w:t>
      </w:r>
    </w:p>
    <w:p>
      <w:pPr>
        <w:widowControl/>
        <w:numPr>
          <w:ilvl w:val="0"/>
          <w:numId w:val="16"/>
        </w:num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仅供退投标保证金及开具中标服务费发票使用</w:t>
      </w:r>
    </w:p>
    <w:p>
      <w:pPr>
        <w:widowControl/>
        <w:numPr>
          <w:ilvl w:val="0"/>
          <w:numId w:val="16"/>
        </w:numPr>
        <w:spacing w:line="360" w:lineRule="auto"/>
        <w:jc w:val="left"/>
        <w:rPr>
          <w:rFonts w:hint="eastAsia" w:ascii="宋体" w:hAnsi="宋体" w:cs="宋体"/>
          <w:b/>
          <w:color w:val="auto"/>
          <w:szCs w:val="21"/>
          <w:highlight w:val="none"/>
        </w:rPr>
        <w:sectPr>
          <w:pgSz w:w="12240" w:h="15840"/>
          <w:pgMar w:top="1440" w:right="1800" w:bottom="1440" w:left="1800" w:header="720" w:footer="720" w:gutter="0"/>
          <w:lnNumType w:countBy="0" w:distance="360"/>
          <w:cols w:space="720" w:num="1"/>
          <w:docGrid w:linePitch="312" w:charSpace="0"/>
        </w:sectPr>
      </w:pPr>
      <w:r>
        <w:rPr>
          <w:rFonts w:hint="eastAsia" w:ascii="宋体" w:hAnsi="宋体" w:cs="宋体"/>
          <w:b/>
          <w:color w:val="auto"/>
          <w:szCs w:val="21"/>
          <w:highlight w:val="none"/>
        </w:rPr>
        <w:t>此账户信息需“关于投标保证金的声明”单独密封在一个信封中。</w:t>
      </w:r>
    </w:p>
    <w:p>
      <w:pPr>
        <w:pStyle w:val="31"/>
        <w:spacing w:before="120" w:beforeLines="50" w:after="120" w:afterLines="50" w:line="360" w:lineRule="auto"/>
        <w:rPr>
          <w:rFonts w:hint="eastAsia" w:ascii="宋体" w:hAnsi="宋体" w:cs="宋体"/>
          <w:color w:val="auto"/>
          <w:sz w:val="21"/>
          <w:szCs w:val="21"/>
          <w:highlight w:val="none"/>
        </w:rPr>
      </w:pPr>
      <w:bookmarkStart w:id="286" w:name="_Toc1627"/>
      <w:bookmarkStart w:id="287" w:name="_Toc290486512"/>
      <w:bookmarkStart w:id="288" w:name="_Toc302360928"/>
      <w:r>
        <w:rPr>
          <w:rFonts w:hint="eastAsia" w:ascii="宋体" w:hAnsi="宋体" w:cs="宋体"/>
          <w:color w:val="auto"/>
          <w:sz w:val="21"/>
          <w:szCs w:val="21"/>
          <w:highlight w:val="none"/>
        </w:rPr>
        <w:t>附件</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 xml:space="preserve"> 中小企业声明函（格式）</w:t>
      </w:r>
      <w:bookmarkEnd w:id="286"/>
    </w:p>
    <w:p>
      <w:pPr>
        <w:tabs>
          <w:tab w:val="left" w:pos="851"/>
        </w:tabs>
        <w:spacing w:before="240" w:beforeLines="100" w:after="120" w:afterLines="50"/>
        <w:rPr>
          <w:rFonts w:hint="eastAsia" w:ascii="宋体" w:hAnsi="宋体" w:cs="宋体"/>
          <w:color w:val="auto"/>
          <w:szCs w:val="21"/>
          <w:highlight w:val="none"/>
        </w:rPr>
      </w:pPr>
    </w:p>
    <w:p>
      <w:pPr>
        <w:tabs>
          <w:tab w:val="left" w:pos="851"/>
        </w:tabs>
        <w:spacing w:before="240" w:beforeLines="100" w:after="120" w:afterLines="50" w:line="360" w:lineRule="auto"/>
        <w:ind w:right="839"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本公司郑重声明，根据《政府采购促进中小企业发展管理办法》（财库﹝2020﹞46号）的规定，本公司参加（单位名称） 的（项目名称） 采购活动，服务全部由符合政策要求的中小企业承接。 相关企业（含联合体中的中小企业、签订分包意向协议的中小企业） 的具体情况如下：</w:t>
      </w:r>
    </w:p>
    <w:p>
      <w:pPr>
        <w:tabs>
          <w:tab w:val="left" w:pos="851"/>
        </w:tabs>
        <w:spacing w:before="240" w:beforeLines="100" w:after="120" w:afterLines="50"/>
        <w:ind w:right="839"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1.（标的名称），属于（采购文件中明确的所属行业）；承建（承接）企业为（企业名称），从业人员   人， 营业收入为    万元，资产总额为    万元，属于（中型企业、小型企业、 微型企业）；</w:t>
      </w:r>
    </w:p>
    <w:p>
      <w:pPr>
        <w:tabs>
          <w:tab w:val="left" w:pos="851"/>
        </w:tabs>
        <w:spacing w:before="240" w:beforeLines="100" w:after="120" w:afterLines="50"/>
        <w:ind w:right="839"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2.（标的名称）， 属于（采购文件中明确的所属行业）；承建（承接）企业为（企业名称），从业人员   人， 营业收入为    万元， 资产总额为    万元，属于（中型企业、小型企业、 微型企业）；</w:t>
      </w:r>
    </w:p>
    <w:p>
      <w:pPr>
        <w:tabs>
          <w:tab w:val="left" w:pos="851"/>
        </w:tabs>
        <w:spacing w:before="240" w:beforeLines="100" w:after="120" w:afterLines="50"/>
        <w:ind w:right="839"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p>
    <w:p>
      <w:pPr>
        <w:tabs>
          <w:tab w:val="left" w:pos="851"/>
        </w:tabs>
        <w:spacing w:before="240" w:beforeLines="100" w:after="120" w:afterLines="50" w:line="360" w:lineRule="auto"/>
        <w:ind w:right="839"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以上企业，不属于大企业的分支机构，不存在控股股东为大企业的情形，也不存在与大企业的负责人为同一人的情形。本企业对上述声明内容的真实性负责。如有虚假，将依法承担相应责任。</w:t>
      </w:r>
    </w:p>
    <w:p>
      <w:pPr>
        <w:tabs>
          <w:tab w:val="left" w:pos="851"/>
        </w:tabs>
        <w:spacing w:before="240" w:beforeLines="100" w:after="120" w:afterLines="50"/>
        <w:ind w:right="839"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企业名称（盖章）：</w:t>
      </w:r>
    </w:p>
    <w:p>
      <w:pPr>
        <w:tabs>
          <w:tab w:val="left" w:pos="851"/>
        </w:tabs>
        <w:spacing w:before="240" w:beforeLines="100" w:after="120" w:afterLines="50"/>
        <w:ind w:right="839"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         日 期：</w:t>
      </w:r>
    </w:p>
    <w:p>
      <w:pPr>
        <w:tabs>
          <w:tab w:val="left" w:pos="851"/>
        </w:tabs>
        <w:spacing w:before="240" w:beforeLines="100" w:after="120" w:afterLines="50"/>
        <w:ind w:right="839"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 从业人员、营业收入、资产总额填报上一年度数据，无上一年度数据的新成立企业可不填报。</w:t>
      </w:r>
    </w:p>
    <w:p>
      <w:pPr>
        <w:pStyle w:val="31"/>
        <w:spacing w:before="120" w:beforeLines="50" w:after="120" w:afterLines="50" w:line="360" w:lineRule="auto"/>
        <w:rPr>
          <w:rFonts w:hint="eastAsia" w:ascii="宋体" w:hAnsi="宋体" w:cs="宋体"/>
          <w:color w:val="auto"/>
          <w:sz w:val="21"/>
          <w:szCs w:val="21"/>
          <w:highlight w:val="none"/>
        </w:rPr>
      </w:pPr>
      <w:r>
        <w:rPr>
          <w:rFonts w:hint="eastAsia" w:ascii="宋体" w:hAnsi="宋体"/>
          <w:color w:val="auto"/>
          <w:kern w:val="0"/>
          <w:sz w:val="24"/>
          <w:highlight w:val="none"/>
        </w:rPr>
        <w:t>（若响应文件中无上述文件，则在评审时不考虑对该小、微企业的相关优惠。）</w:t>
      </w:r>
      <w:r>
        <w:rPr>
          <w:rFonts w:hint="eastAsia" w:ascii="宋体" w:hAnsi="宋体" w:cs="宋体"/>
          <w:color w:val="auto"/>
          <w:sz w:val="21"/>
          <w:szCs w:val="21"/>
          <w:highlight w:val="none"/>
        </w:rPr>
        <w:br w:type="page"/>
      </w:r>
      <w:bookmarkStart w:id="289" w:name="_Toc471206875"/>
      <w:bookmarkStart w:id="290" w:name="_Toc10236"/>
      <w:r>
        <w:rPr>
          <w:rFonts w:hint="eastAsia" w:ascii="宋体" w:hAnsi="宋体" w:cs="宋体"/>
          <w:color w:val="auto"/>
          <w:sz w:val="21"/>
          <w:szCs w:val="21"/>
          <w:highlight w:val="none"/>
        </w:rPr>
        <w:t>附件</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 xml:space="preserve"> 监狱企业声明函（格式）</w:t>
      </w:r>
      <w:bookmarkEnd w:id="289"/>
      <w:bookmarkEnd w:id="290"/>
    </w:p>
    <w:p>
      <w:pPr>
        <w:tabs>
          <w:tab w:val="left" w:pos="851"/>
        </w:tabs>
        <w:spacing w:before="240" w:beforeLines="100" w:after="120" w:afterLines="50"/>
        <w:ind w:right="840"/>
        <w:jc w:val="center"/>
        <w:rPr>
          <w:rFonts w:hint="eastAsia" w:ascii="宋体" w:hAnsi="宋体" w:cs="宋体"/>
          <w:color w:val="auto"/>
          <w:szCs w:val="21"/>
          <w:highlight w:val="none"/>
        </w:rPr>
      </w:pPr>
      <w:r>
        <w:rPr>
          <w:rFonts w:hint="eastAsia" w:ascii="宋体" w:hAnsi="宋体" w:cs="宋体"/>
          <w:color w:val="auto"/>
          <w:szCs w:val="21"/>
          <w:highlight w:val="none"/>
        </w:rPr>
        <w:t>监狱企业以提供由省级以上监狱管理局、戒毒管理局(含新疆生产建设兵团)出具的属于监狱企业的证明文件为准。</w:t>
      </w:r>
    </w:p>
    <w:p>
      <w:pPr>
        <w:tabs>
          <w:tab w:val="left" w:pos="5580"/>
        </w:tabs>
        <w:spacing w:line="360" w:lineRule="auto"/>
        <w:ind w:left="718" w:leftChars="342"/>
        <w:rPr>
          <w:rFonts w:ascii="宋体" w:hAnsi="宋体" w:cs="宋体"/>
          <w:b/>
          <w:bCs/>
          <w:color w:val="auto"/>
          <w:szCs w:val="21"/>
          <w:highlight w:val="none"/>
        </w:rPr>
      </w:pPr>
      <w:r>
        <w:rPr>
          <w:rFonts w:ascii="宋体" w:hAnsi="宋体" w:cs="宋体"/>
          <w:b/>
          <w:bCs/>
          <w:color w:val="auto"/>
          <w:szCs w:val="21"/>
          <w:highlight w:val="none"/>
        </w:rPr>
        <w:br w:type="page"/>
      </w:r>
      <w:r>
        <w:rPr>
          <w:rFonts w:hint="eastAsia" w:ascii="宋体" w:hAnsi="宋体" w:cs="宋体"/>
          <w:b/>
          <w:bCs/>
          <w:color w:val="auto"/>
          <w:szCs w:val="21"/>
          <w:highlight w:val="none"/>
        </w:rPr>
        <w:t>附件12  其他有利于投标的资料（包括但不仅限于相关证书、相关获奖情况等资料）</w:t>
      </w:r>
    </w:p>
    <w:bookmarkEnd w:id="287"/>
    <w:bookmarkEnd w:id="288"/>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根据招标文件及评审办法等自行编制。</w:t>
      </w:r>
    </w:p>
    <w:p>
      <w:pPr>
        <w:jc w:val="center"/>
        <w:rPr>
          <w:rFonts w:hint="eastAsia" w:ascii="宋体" w:hAnsi="宋体" w:cs="宋体"/>
          <w:b/>
          <w:bCs/>
          <w:color w:val="auto"/>
          <w:szCs w:val="21"/>
          <w:highlight w:val="none"/>
        </w:rPr>
      </w:pPr>
      <w:r>
        <w:rPr>
          <w:rFonts w:hint="eastAsia" w:ascii="宋体" w:hAnsi="宋体" w:cs="宋体"/>
          <w:color w:val="auto"/>
          <w:szCs w:val="21"/>
          <w:highlight w:val="none"/>
        </w:rPr>
        <w:br w:type="page"/>
      </w:r>
      <w:r>
        <w:rPr>
          <w:rFonts w:hint="eastAsia" w:ascii="宋体" w:hAnsi="宋体" w:cs="宋体"/>
          <w:b/>
          <w:bCs/>
          <w:color w:val="auto"/>
          <w:szCs w:val="21"/>
          <w:highlight w:val="none"/>
        </w:rPr>
        <w:t>第七章   补充条款</w:t>
      </w:r>
    </w:p>
    <w:p>
      <w:pPr>
        <w:pStyle w:val="2"/>
        <w:numPr>
          <w:ilvl w:val="0"/>
          <w:numId w:val="17"/>
        </w:numPr>
        <w:ind w:firstLine="440" w:firstLineChars="200"/>
        <w:rPr>
          <w:rFonts w:hint="eastAsia" w:cs="宋体"/>
          <w:color w:val="auto"/>
          <w:sz w:val="22"/>
          <w:szCs w:val="22"/>
          <w:highlight w:val="none"/>
        </w:rPr>
      </w:pPr>
      <w:r>
        <w:rPr>
          <w:rFonts w:hint="eastAsia" w:cs="宋体"/>
          <w:color w:val="auto"/>
          <w:sz w:val="22"/>
          <w:szCs w:val="22"/>
          <w:highlight w:val="none"/>
        </w:rPr>
        <w:t>如需开招标文件发票请扫码填信息、开发票</w:t>
      </w:r>
    </w:p>
    <w:p>
      <w:pPr>
        <w:pStyle w:val="2"/>
        <w:rPr>
          <w:color w:val="auto"/>
          <w:highlight w:val="none"/>
        </w:rPr>
      </w:pPr>
      <w:r>
        <w:rPr>
          <w:rFonts w:hint="eastAsia" w:cs="宋体"/>
          <w:color w:val="auto"/>
          <w:sz w:val="22"/>
          <w:szCs w:val="22"/>
          <w:highlight w:val="none"/>
        </w:rPr>
        <w:t xml:space="preserve">     </w:t>
      </w:r>
      <w:r>
        <w:rPr>
          <w:color w:val="auto"/>
          <w:highlight w:val="none"/>
        </w:rPr>
        <w:drawing>
          <wp:inline distT="0" distB="0" distL="114300" distR="114300">
            <wp:extent cx="4989195" cy="4828540"/>
            <wp:effectExtent l="0" t="0" r="1905" b="10160"/>
            <wp:docPr id="1" name="图片 1" descr="a9b585e98a1a383483753e24e8e6f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9b585e98a1a383483753e24e8e6f0d"/>
                    <pic:cNvPicPr>
                      <a:picLocks noChangeAspect="1"/>
                    </pic:cNvPicPr>
                  </pic:nvPicPr>
                  <pic:blipFill>
                    <a:blip r:embed="rId12"/>
                    <a:stretch>
                      <a:fillRect/>
                    </a:stretch>
                  </pic:blipFill>
                  <pic:spPr>
                    <a:xfrm>
                      <a:off x="0" y="0"/>
                      <a:ext cx="4989195" cy="4828540"/>
                    </a:xfrm>
                    <a:prstGeom prst="rect">
                      <a:avLst/>
                    </a:prstGeom>
                    <a:noFill/>
                    <a:ln>
                      <a:noFill/>
                    </a:ln>
                  </pic:spPr>
                </pic:pic>
              </a:graphicData>
            </a:graphic>
          </wp:inline>
        </w:drawing>
      </w:r>
    </w:p>
    <w:p>
      <w:pPr>
        <w:pStyle w:val="2"/>
        <w:rPr>
          <w:color w:val="auto"/>
          <w:highlight w:val="none"/>
        </w:rPr>
      </w:pPr>
    </w:p>
    <w:p>
      <w:pPr>
        <w:pStyle w:val="5"/>
        <w:ind w:firstLine="0"/>
        <w:rPr>
          <w:rFonts w:hint="eastAsia"/>
          <w:color w:val="auto"/>
          <w:highlight w:val="none"/>
        </w:rPr>
      </w:pPr>
      <w:r>
        <w:rPr>
          <w:rFonts w:hint="eastAsia" w:hAnsi="宋体" w:cs="宋体"/>
          <w:color w:val="auto"/>
          <w:szCs w:val="24"/>
          <w:highlight w:val="none"/>
        </w:rPr>
        <w:t>★</w:t>
      </w:r>
      <w:r>
        <w:rPr>
          <w:rFonts w:hint="eastAsia"/>
          <w:color w:val="auto"/>
          <w:highlight w:val="none"/>
        </w:rPr>
        <w:t>2、</w:t>
      </w:r>
      <w:r>
        <w:rPr>
          <w:rFonts w:hint="eastAsia" w:hAnsi="宋体" w:cs="宋体"/>
          <w:color w:val="auto"/>
          <w:kern w:val="2"/>
          <w:szCs w:val="24"/>
          <w:highlight w:val="none"/>
        </w:rPr>
        <w:t>根据疫情防控需求，各投标单位应于开标前一个工作日将参加投标现场活动人员的有效核酸报告（至少截止到开标当天有效）及通信大数据行程卡截图发送至</w:t>
      </w:r>
      <w:r>
        <w:rPr>
          <w:rFonts w:hAnsi="宋体" w:cs="宋体"/>
          <w:color w:val="auto"/>
          <w:kern w:val="2"/>
          <w:szCs w:val="24"/>
          <w:highlight w:val="none"/>
        </w:rPr>
        <w:t>2836433066</w:t>
      </w:r>
      <w:r>
        <w:rPr>
          <w:rFonts w:hint="eastAsia" w:hAnsi="宋体" w:cs="宋体"/>
          <w:color w:val="auto"/>
          <w:kern w:val="2"/>
          <w:szCs w:val="24"/>
          <w:highlight w:val="none"/>
        </w:rPr>
        <w:t>@qq.com（发送至邮箱后请拨打0991-3708098进行确认），如因未发送以上有效资料，导致不能进入开标现场，后果自负。</w:t>
      </w:r>
    </w:p>
    <w:p>
      <w:pPr>
        <w:pStyle w:val="2"/>
        <w:rPr>
          <w:color w:val="auto"/>
          <w:highlight w:val="none"/>
        </w:rPr>
      </w:pPr>
    </w:p>
    <w:p>
      <w:pPr>
        <w:pStyle w:val="2"/>
        <w:rPr>
          <w:rFonts w:hint="eastAsia" w:cs="宋体"/>
          <w:color w:val="auto"/>
          <w:highlight w:val="none"/>
        </w:rPr>
      </w:pPr>
    </w:p>
    <w:p>
      <w:pPr>
        <w:pStyle w:val="2"/>
        <w:rPr>
          <w:rFonts w:hint="eastAsia"/>
          <w:color w:val="auto"/>
          <w:highlight w:val="none"/>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EU-F1">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昆仑仿宋">
    <w:altName w:val="黑体"/>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GAMJEG+Arial">
    <w:altName w:val="微软雅黑"/>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Helvetica Neue">
    <w:altName w:val="Times New Roman"/>
    <w:panose1 w:val="00000000000000000000"/>
    <w:charset w:val="00"/>
    <w:family w:val="auto"/>
    <w:pitch w:val="default"/>
    <w:sig w:usb0="00000000" w:usb1="00000000" w:usb2="00000010" w:usb3="00000000" w:csb0="0000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1</w:t>
    </w:r>
    <w:r>
      <w:fldChar w:fldCharType="end"/>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9"/>
      </w:rPr>
    </w:pPr>
    <w:r>
      <w:fldChar w:fldCharType="begin"/>
    </w:r>
    <w:r>
      <w:rPr>
        <w:rStyle w:val="49"/>
      </w:rPr>
      <w:instrText xml:space="preserve">PAGE  </w:instrText>
    </w:r>
    <w:r>
      <w:fldChar w:fldCharType="separate"/>
    </w:r>
    <w:r>
      <w:rPr>
        <w:rStyle w:val="49"/>
      </w:rPr>
      <w:t>2</w:t>
    </w:r>
    <w:r>
      <w:fldChar w:fldCharType="end"/>
    </w:r>
  </w:p>
  <w:p>
    <w:pPr>
      <w:pStyle w:val="27"/>
      <w:ind w:right="360"/>
      <w:rPr>
        <w:rFonts w:hint="eastAsia"/>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1</w:t>
    </w:r>
    <w:r>
      <w:fldChar w:fldCharType="end"/>
    </w: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43</w:t>
    </w:r>
    <w:r>
      <w:fldChar w:fldCharType="end"/>
    </w:r>
  </w:p>
  <w:p>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75</w:t>
    </w:r>
    <w: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F1D09"/>
    <w:multiLevelType w:val="singleLevel"/>
    <w:tmpl w:val="93DF1D09"/>
    <w:lvl w:ilvl="0" w:tentative="0">
      <w:start w:val="1"/>
      <w:numFmt w:val="decimal"/>
      <w:suff w:val="nothing"/>
      <w:lvlText w:val="%1、"/>
      <w:lvlJc w:val="left"/>
    </w:lvl>
  </w:abstractNum>
  <w:abstractNum w:abstractNumId="1">
    <w:nsid w:val="A4DFE9C1"/>
    <w:multiLevelType w:val="singleLevel"/>
    <w:tmpl w:val="A4DFE9C1"/>
    <w:lvl w:ilvl="0" w:tentative="0">
      <w:start w:val="4"/>
      <w:numFmt w:val="decimal"/>
      <w:suff w:val="nothing"/>
      <w:lvlText w:val="%1、"/>
      <w:lvlJc w:val="left"/>
    </w:lvl>
  </w:abstractNum>
  <w:abstractNum w:abstractNumId="2">
    <w:nsid w:val="AAD8FFB3"/>
    <w:multiLevelType w:val="singleLevel"/>
    <w:tmpl w:val="AAD8FFB3"/>
    <w:lvl w:ilvl="0" w:tentative="0">
      <w:start w:val="1"/>
      <w:numFmt w:val="decimal"/>
      <w:suff w:val="nothing"/>
      <w:lvlText w:val="（%1）"/>
      <w:lvlJc w:val="left"/>
    </w:lvl>
  </w:abstractNum>
  <w:abstractNum w:abstractNumId="3">
    <w:nsid w:val="B80BA308"/>
    <w:multiLevelType w:val="multilevel"/>
    <w:tmpl w:val="B80BA308"/>
    <w:lvl w:ilvl="0" w:tentative="0">
      <w:start w:val="1"/>
      <w:numFmt w:val="decimal"/>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4">
    <w:nsid w:val="C7C9242D"/>
    <w:multiLevelType w:val="singleLevel"/>
    <w:tmpl w:val="C7C9242D"/>
    <w:lvl w:ilvl="0" w:tentative="0">
      <w:start w:val="1"/>
      <w:numFmt w:val="decimal"/>
      <w:suff w:val="nothing"/>
      <w:lvlText w:val="（%1）"/>
      <w:lvlJc w:val="left"/>
    </w:lvl>
  </w:abstractNum>
  <w:abstractNum w:abstractNumId="5">
    <w:nsid w:val="D4BB3498"/>
    <w:multiLevelType w:val="singleLevel"/>
    <w:tmpl w:val="D4BB3498"/>
    <w:lvl w:ilvl="0" w:tentative="0">
      <w:start w:val="1"/>
      <w:numFmt w:val="decimal"/>
      <w:suff w:val="nothing"/>
      <w:lvlText w:val="%1、"/>
      <w:lvlJc w:val="left"/>
    </w:lvl>
  </w:abstractNum>
  <w:abstractNum w:abstractNumId="6">
    <w:nsid w:val="00000006"/>
    <w:multiLevelType w:val="multilevel"/>
    <w:tmpl w:val="00000006"/>
    <w:lvl w:ilvl="0" w:tentative="0">
      <w:start w:val="1"/>
      <w:numFmt w:val="bullet"/>
      <w:pStyle w:val="631"/>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7">
    <w:nsid w:val="0000000F"/>
    <w:multiLevelType w:val="multilevel"/>
    <w:tmpl w:val="0000000F"/>
    <w:lvl w:ilvl="0" w:tentative="0">
      <w:start w:val="1"/>
      <w:numFmt w:val="chineseCountingThousand"/>
      <w:pStyle w:val="706"/>
      <w:lvlText w:val="第%1章"/>
      <w:lvlJc w:val="left"/>
      <w:pPr>
        <w:tabs>
          <w:tab w:val="left" w:pos="1275"/>
        </w:tabs>
        <w:ind w:left="1275" w:hanging="1275"/>
      </w:pPr>
      <w:rPr>
        <w:rFonts w:hint="eastAsia" w:ascii="Times New Roman" w:hAnsi="Times New Roman" w:eastAsia="黑体"/>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5397C3C"/>
    <w:multiLevelType w:val="multilevel"/>
    <w:tmpl w:val="05397C3C"/>
    <w:lvl w:ilvl="0" w:tentative="0">
      <w:start w:val="1"/>
      <w:numFmt w:val="decimal"/>
      <w:lvlText w:val="%1、"/>
      <w:lvlJc w:val="left"/>
      <w:pPr>
        <w:tabs>
          <w:tab w:val="left" w:pos="840"/>
        </w:tabs>
        <w:ind w:left="840" w:hanging="360"/>
      </w:pPr>
      <w:rPr>
        <w:rFonts w:hint="default"/>
        <w:b w:val="0"/>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9">
    <w:nsid w:val="0CAAC773"/>
    <w:multiLevelType w:val="singleLevel"/>
    <w:tmpl w:val="0CAAC773"/>
    <w:lvl w:ilvl="0" w:tentative="0">
      <w:start w:val="1"/>
      <w:numFmt w:val="decimal"/>
      <w:suff w:val="nothing"/>
      <w:lvlText w:val="%1．"/>
      <w:lvlJc w:val="left"/>
    </w:lvl>
  </w:abstractNum>
  <w:abstractNum w:abstractNumId="10">
    <w:nsid w:val="18CF6D9C"/>
    <w:multiLevelType w:val="multilevel"/>
    <w:tmpl w:val="18CF6D9C"/>
    <w:lvl w:ilvl="0" w:tentative="0">
      <w:start w:val="1"/>
      <w:numFmt w:val="decimal"/>
      <w:lvlText w:val="%1、"/>
      <w:lvlJc w:val="left"/>
      <w:pPr>
        <w:tabs>
          <w:tab w:val="left" w:pos="840"/>
        </w:tabs>
        <w:ind w:left="930" w:hanging="360"/>
      </w:pPr>
      <w:rPr>
        <w:rFonts w:hint="default"/>
        <w:b w:val="0"/>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1">
    <w:nsid w:val="2C4501E9"/>
    <w:multiLevelType w:val="multilevel"/>
    <w:tmpl w:val="2C4501E9"/>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2">
    <w:nsid w:val="4ACC3343"/>
    <w:multiLevelType w:val="multilevel"/>
    <w:tmpl w:val="4ACC3343"/>
    <w:lvl w:ilvl="0" w:tentative="0">
      <w:start w:val="0"/>
      <w:numFmt w:val="bullet"/>
      <w:lvlText w:val="□"/>
      <w:lvlJc w:val="left"/>
      <w:pPr>
        <w:ind w:left="360" w:hanging="360"/>
      </w:pPr>
      <w:rPr>
        <w:rFonts w:hint="eastAsia" w:ascii="宋体" w:hAnsi="宋体" w:eastAsia="宋体"/>
        <w:u w:val="none" w:color="auto"/>
      </w:rPr>
    </w:lvl>
    <w:lvl w:ilvl="1" w:tentative="0">
      <w:start w:val="1"/>
      <w:numFmt w:val="bullet"/>
      <w:lvlText w:val=""/>
      <w:lvlJc w:val="left"/>
      <w:pPr>
        <w:ind w:left="840" w:hanging="420"/>
      </w:pPr>
      <w:rPr>
        <w:rFonts w:hint="default" w:ascii="Wingdings" w:hAnsi="Wingdings" w:eastAsia="宋体"/>
        <w:u w:val="none" w:color="auto"/>
      </w:rPr>
    </w:lvl>
    <w:lvl w:ilvl="2" w:tentative="0">
      <w:start w:val="1"/>
      <w:numFmt w:val="bullet"/>
      <w:lvlText w:val=""/>
      <w:lvlJc w:val="left"/>
      <w:pPr>
        <w:ind w:left="1260" w:hanging="420"/>
      </w:pPr>
      <w:rPr>
        <w:rFonts w:hint="default" w:ascii="Wingdings" w:hAnsi="Wingdings" w:eastAsia="宋体"/>
        <w:u w:val="none" w:color="auto"/>
      </w:rPr>
    </w:lvl>
    <w:lvl w:ilvl="3" w:tentative="0">
      <w:start w:val="1"/>
      <w:numFmt w:val="bullet"/>
      <w:lvlText w:val=""/>
      <w:lvlJc w:val="left"/>
      <w:pPr>
        <w:ind w:left="1680" w:hanging="420"/>
      </w:pPr>
      <w:rPr>
        <w:rFonts w:hint="default" w:ascii="Wingdings" w:hAnsi="Wingdings" w:eastAsia="宋体"/>
        <w:u w:val="none" w:color="auto"/>
      </w:rPr>
    </w:lvl>
    <w:lvl w:ilvl="4" w:tentative="0">
      <w:start w:val="1"/>
      <w:numFmt w:val="bullet"/>
      <w:lvlText w:val=""/>
      <w:lvlJc w:val="left"/>
      <w:pPr>
        <w:ind w:left="2100" w:hanging="420"/>
      </w:pPr>
      <w:rPr>
        <w:rFonts w:hint="default" w:ascii="Wingdings" w:hAnsi="Wingdings" w:eastAsia="宋体"/>
        <w:u w:val="none" w:color="auto"/>
      </w:rPr>
    </w:lvl>
    <w:lvl w:ilvl="5" w:tentative="0">
      <w:start w:val="1"/>
      <w:numFmt w:val="bullet"/>
      <w:lvlText w:val=""/>
      <w:lvlJc w:val="left"/>
      <w:pPr>
        <w:ind w:left="2520" w:hanging="420"/>
      </w:pPr>
      <w:rPr>
        <w:rFonts w:hint="default" w:ascii="Wingdings" w:hAnsi="Wingdings" w:eastAsia="宋体"/>
        <w:u w:val="none" w:color="auto"/>
      </w:rPr>
    </w:lvl>
    <w:lvl w:ilvl="6" w:tentative="0">
      <w:start w:val="1"/>
      <w:numFmt w:val="bullet"/>
      <w:lvlText w:val=""/>
      <w:lvlJc w:val="left"/>
      <w:pPr>
        <w:ind w:left="2940" w:hanging="420"/>
      </w:pPr>
      <w:rPr>
        <w:rFonts w:hint="default" w:ascii="Wingdings" w:hAnsi="Wingdings" w:eastAsia="宋体"/>
        <w:u w:val="none" w:color="auto"/>
      </w:rPr>
    </w:lvl>
    <w:lvl w:ilvl="7" w:tentative="0">
      <w:start w:val="1"/>
      <w:numFmt w:val="bullet"/>
      <w:lvlText w:val=""/>
      <w:lvlJc w:val="left"/>
      <w:pPr>
        <w:ind w:left="3360" w:hanging="420"/>
      </w:pPr>
      <w:rPr>
        <w:rFonts w:hint="default" w:ascii="Wingdings" w:hAnsi="Wingdings" w:eastAsia="宋体"/>
        <w:u w:val="none" w:color="auto"/>
      </w:rPr>
    </w:lvl>
    <w:lvl w:ilvl="8" w:tentative="0">
      <w:start w:val="1"/>
      <w:numFmt w:val="bullet"/>
      <w:lvlText w:val=""/>
      <w:lvlJc w:val="left"/>
      <w:pPr>
        <w:ind w:left="3780" w:hanging="420"/>
      </w:pPr>
      <w:rPr>
        <w:rFonts w:hint="default" w:ascii="Wingdings" w:hAnsi="Wingdings" w:eastAsia="宋体"/>
        <w:u w:val="none" w:color="auto"/>
      </w:rPr>
    </w:lvl>
  </w:abstractNum>
  <w:abstractNum w:abstractNumId="13">
    <w:nsid w:val="502200E6"/>
    <w:multiLevelType w:val="multilevel"/>
    <w:tmpl w:val="502200E6"/>
    <w:lvl w:ilvl="0" w:tentative="0">
      <w:start w:val="1"/>
      <w:numFmt w:val="chineseCountingThousand"/>
      <w:lvlText w:val="%1、"/>
      <w:lvlJc w:val="left"/>
      <w:pPr>
        <w:tabs>
          <w:tab w:val="left" w:pos="420"/>
        </w:tabs>
        <w:ind w:left="420" w:hanging="420"/>
      </w:pPr>
      <w:rPr>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52B93B97"/>
    <w:multiLevelType w:val="multilevel"/>
    <w:tmpl w:val="52B93B97"/>
    <w:lvl w:ilvl="0" w:tentative="0">
      <w:start w:val="1"/>
      <w:numFmt w:val="decimal"/>
      <w:lvlText w:val="%1."/>
      <w:lvlJc w:val="left"/>
      <w:pPr>
        <w:ind w:left="980" w:hanging="420"/>
      </w:pPr>
      <w:rPr>
        <w:rFonts w:hint="default"/>
        <w:u w:val="none" w:color="auto"/>
      </w:rPr>
    </w:lvl>
    <w:lvl w:ilvl="1" w:tentative="0">
      <w:start w:val="1"/>
      <w:numFmt w:val="bullet"/>
      <w:lvlText w:val=""/>
      <w:lvlJc w:val="left"/>
      <w:pPr>
        <w:ind w:left="1400" w:hanging="420"/>
      </w:pPr>
      <w:rPr>
        <w:rFonts w:hint="default" w:ascii="Wingdings" w:hAnsi="Wingdings" w:eastAsia="宋体"/>
        <w:u w:val="none" w:color="auto"/>
      </w:rPr>
    </w:lvl>
    <w:lvl w:ilvl="2" w:tentative="0">
      <w:start w:val="1"/>
      <w:numFmt w:val="bullet"/>
      <w:lvlText w:val=""/>
      <w:lvlJc w:val="left"/>
      <w:pPr>
        <w:ind w:left="1820" w:hanging="420"/>
      </w:pPr>
      <w:rPr>
        <w:rFonts w:hint="default" w:ascii="Wingdings" w:hAnsi="Wingdings" w:eastAsia="宋体"/>
        <w:u w:val="none" w:color="auto"/>
      </w:rPr>
    </w:lvl>
    <w:lvl w:ilvl="3" w:tentative="0">
      <w:start w:val="1"/>
      <w:numFmt w:val="bullet"/>
      <w:lvlText w:val=""/>
      <w:lvlJc w:val="left"/>
      <w:pPr>
        <w:ind w:left="2240" w:hanging="420"/>
      </w:pPr>
      <w:rPr>
        <w:rFonts w:hint="default" w:ascii="Wingdings" w:hAnsi="Wingdings" w:eastAsia="宋体"/>
        <w:u w:val="none" w:color="auto"/>
      </w:rPr>
    </w:lvl>
    <w:lvl w:ilvl="4" w:tentative="0">
      <w:start w:val="1"/>
      <w:numFmt w:val="bullet"/>
      <w:lvlText w:val=""/>
      <w:lvlJc w:val="left"/>
      <w:pPr>
        <w:ind w:left="2660" w:hanging="420"/>
      </w:pPr>
      <w:rPr>
        <w:rFonts w:hint="default" w:ascii="Wingdings" w:hAnsi="Wingdings" w:eastAsia="宋体"/>
        <w:u w:val="none" w:color="auto"/>
      </w:rPr>
    </w:lvl>
    <w:lvl w:ilvl="5" w:tentative="0">
      <w:start w:val="1"/>
      <w:numFmt w:val="bullet"/>
      <w:lvlText w:val=""/>
      <w:lvlJc w:val="left"/>
      <w:pPr>
        <w:ind w:left="3080" w:hanging="420"/>
      </w:pPr>
      <w:rPr>
        <w:rFonts w:hint="default" w:ascii="Wingdings" w:hAnsi="Wingdings" w:eastAsia="宋体"/>
        <w:u w:val="none" w:color="auto"/>
      </w:rPr>
    </w:lvl>
    <w:lvl w:ilvl="6" w:tentative="0">
      <w:start w:val="1"/>
      <w:numFmt w:val="bullet"/>
      <w:lvlText w:val=""/>
      <w:lvlJc w:val="left"/>
      <w:pPr>
        <w:ind w:left="3500" w:hanging="420"/>
      </w:pPr>
      <w:rPr>
        <w:rFonts w:hint="default" w:ascii="Wingdings" w:hAnsi="Wingdings" w:eastAsia="宋体"/>
        <w:u w:val="none" w:color="auto"/>
      </w:rPr>
    </w:lvl>
    <w:lvl w:ilvl="7" w:tentative="0">
      <w:start w:val="1"/>
      <w:numFmt w:val="bullet"/>
      <w:lvlText w:val=""/>
      <w:lvlJc w:val="left"/>
      <w:pPr>
        <w:ind w:left="3920" w:hanging="420"/>
      </w:pPr>
      <w:rPr>
        <w:rFonts w:hint="default" w:ascii="Wingdings" w:hAnsi="Wingdings" w:eastAsia="宋体"/>
        <w:u w:val="none" w:color="auto"/>
      </w:rPr>
    </w:lvl>
    <w:lvl w:ilvl="8" w:tentative="0">
      <w:start w:val="1"/>
      <w:numFmt w:val="bullet"/>
      <w:lvlText w:val=""/>
      <w:lvlJc w:val="left"/>
      <w:pPr>
        <w:ind w:left="4340" w:hanging="420"/>
      </w:pPr>
      <w:rPr>
        <w:rFonts w:hint="default" w:ascii="Wingdings" w:hAnsi="Wingdings" w:eastAsia="宋体"/>
        <w:u w:val="none" w:color="auto"/>
      </w:rPr>
    </w:lvl>
  </w:abstractNum>
  <w:abstractNum w:abstractNumId="15">
    <w:nsid w:val="6253B827"/>
    <w:multiLevelType w:val="singleLevel"/>
    <w:tmpl w:val="6253B827"/>
    <w:lvl w:ilvl="0" w:tentative="0">
      <w:start w:val="2"/>
      <w:numFmt w:val="decimal"/>
      <w:suff w:val="nothing"/>
      <w:lvlText w:val="%1、"/>
      <w:lvlJc w:val="left"/>
    </w:lvl>
  </w:abstractNum>
  <w:abstractNum w:abstractNumId="16">
    <w:nsid w:val="7723474C"/>
    <w:multiLevelType w:val="multilevel"/>
    <w:tmpl w:val="7723474C"/>
    <w:lvl w:ilvl="0" w:tentative="0">
      <w:start w:val="1"/>
      <w:numFmt w:val="decimal"/>
      <w:lvlText w:val="%1)"/>
      <w:lvlJc w:val="left"/>
      <w:pPr>
        <w:tabs>
          <w:tab w:val="left" w:pos="900"/>
        </w:tabs>
        <w:ind w:left="900" w:hanging="420"/>
      </w:pPr>
      <w:rPr>
        <w:rFonts w:hint="eastAsia"/>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3"/>
  </w:num>
  <w:num w:numId="5">
    <w:abstractNumId w:val="10"/>
  </w:num>
  <w:num w:numId="6">
    <w:abstractNumId w:val="8"/>
  </w:num>
  <w:num w:numId="7">
    <w:abstractNumId w:val="16"/>
  </w:num>
  <w:num w:numId="8">
    <w:abstractNumId w:val="11"/>
  </w:num>
  <w:num w:numId="9">
    <w:abstractNumId w:val="1"/>
  </w:num>
  <w:num w:numId="10">
    <w:abstractNumId w:val="0"/>
  </w:num>
  <w:num w:numId="11">
    <w:abstractNumId w:val="2"/>
  </w:num>
  <w:num w:numId="12">
    <w:abstractNumId w:val="9"/>
  </w:num>
  <w:num w:numId="13">
    <w:abstractNumId w:val="15"/>
  </w:num>
  <w:num w:numId="14">
    <w:abstractNumId w:val="14"/>
  </w:num>
  <w:num w:numId="15">
    <w:abstractNumId w:val="12"/>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F4C"/>
    <w:rsid w:val="00007079"/>
    <w:rsid w:val="00020890"/>
    <w:rsid w:val="00033A32"/>
    <w:rsid w:val="000507E5"/>
    <w:rsid w:val="00051CCD"/>
    <w:rsid w:val="00070C6B"/>
    <w:rsid w:val="00076200"/>
    <w:rsid w:val="00083EC8"/>
    <w:rsid w:val="000855F2"/>
    <w:rsid w:val="000917D8"/>
    <w:rsid w:val="000932A2"/>
    <w:rsid w:val="0009466A"/>
    <w:rsid w:val="00097220"/>
    <w:rsid w:val="000A7B5A"/>
    <w:rsid w:val="000B010D"/>
    <w:rsid w:val="000C140C"/>
    <w:rsid w:val="000E0DCF"/>
    <w:rsid w:val="000E31A7"/>
    <w:rsid w:val="000F4E42"/>
    <w:rsid w:val="00100451"/>
    <w:rsid w:val="001053CA"/>
    <w:rsid w:val="00112BE4"/>
    <w:rsid w:val="001141B1"/>
    <w:rsid w:val="00115400"/>
    <w:rsid w:val="00116E4C"/>
    <w:rsid w:val="001175FD"/>
    <w:rsid w:val="00142438"/>
    <w:rsid w:val="00162DCA"/>
    <w:rsid w:val="00166DFD"/>
    <w:rsid w:val="00185673"/>
    <w:rsid w:val="00192D75"/>
    <w:rsid w:val="0019304E"/>
    <w:rsid w:val="001A07B5"/>
    <w:rsid w:val="001B0052"/>
    <w:rsid w:val="001B1D30"/>
    <w:rsid w:val="001C09A5"/>
    <w:rsid w:val="001C1FCF"/>
    <w:rsid w:val="001C2412"/>
    <w:rsid w:val="001C29C6"/>
    <w:rsid w:val="001D4677"/>
    <w:rsid w:val="001E7607"/>
    <w:rsid w:val="0020078A"/>
    <w:rsid w:val="00204871"/>
    <w:rsid w:val="0020704F"/>
    <w:rsid w:val="00227027"/>
    <w:rsid w:val="00230BDB"/>
    <w:rsid w:val="00234D64"/>
    <w:rsid w:val="002369A4"/>
    <w:rsid w:val="00245EA6"/>
    <w:rsid w:val="00252D75"/>
    <w:rsid w:val="0026315E"/>
    <w:rsid w:val="0026427F"/>
    <w:rsid w:val="0026478F"/>
    <w:rsid w:val="0027761E"/>
    <w:rsid w:val="002B0D9F"/>
    <w:rsid w:val="002B0DF0"/>
    <w:rsid w:val="002B44EB"/>
    <w:rsid w:val="002B4BF1"/>
    <w:rsid w:val="002B7371"/>
    <w:rsid w:val="002C0DC1"/>
    <w:rsid w:val="002C2B42"/>
    <w:rsid w:val="002C356B"/>
    <w:rsid w:val="002D0703"/>
    <w:rsid w:val="002D47BB"/>
    <w:rsid w:val="002E21FC"/>
    <w:rsid w:val="002E3C14"/>
    <w:rsid w:val="002E46E7"/>
    <w:rsid w:val="002F6BBA"/>
    <w:rsid w:val="00301306"/>
    <w:rsid w:val="0031140E"/>
    <w:rsid w:val="00336FDE"/>
    <w:rsid w:val="00341320"/>
    <w:rsid w:val="0035252A"/>
    <w:rsid w:val="0036636A"/>
    <w:rsid w:val="00375BA9"/>
    <w:rsid w:val="003A1C48"/>
    <w:rsid w:val="003A6EFE"/>
    <w:rsid w:val="003D2480"/>
    <w:rsid w:val="003D66C9"/>
    <w:rsid w:val="003E1647"/>
    <w:rsid w:val="003F3518"/>
    <w:rsid w:val="00400093"/>
    <w:rsid w:val="004046D6"/>
    <w:rsid w:val="00406342"/>
    <w:rsid w:val="00423EBF"/>
    <w:rsid w:val="00431767"/>
    <w:rsid w:val="00441796"/>
    <w:rsid w:val="00450F30"/>
    <w:rsid w:val="0046758A"/>
    <w:rsid w:val="00487EFF"/>
    <w:rsid w:val="004920C6"/>
    <w:rsid w:val="004A21BF"/>
    <w:rsid w:val="004A7AE9"/>
    <w:rsid w:val="004B162A"/>
    <w:rsid w:val="004B1CBB"/>
    <w:rsid w:val="004B6092"/>
    <w:rsid w:val="004C5B3B"/>
    <w:rsid w:val="004C7114"/>
    <w:rsid w:val="004E7C22"/>
    <w:rsid w:val="004F5FD8"/>
    <w:rsid w:val="00500B05"/>
    <w:rsid w:val="005127D2"/>
    <w:rsid w:val="00540E8B"/>
    <w:rsid w:val="00542C35"/>
    <w:rsid w:val="00552898"/>
    <w:rsid w:val="0055318B"/>
    <w:rsid w:val="00572E6C"/>
    <w:rsid w:val="0057365D"/>
    <w:rsid w:val="005829FA"/>
    <w:rsid w:val="00583B64"/>
    <w:rsid w:val="005850B7"/>
    <w:rsid w:val="0059513C"/>
    <w:rsid w:val="005A6CFA"/>
    <w:rsid w:val="005B0D50"/>
    <w:rsid w:val="005B305E"/>
    <w:rsid w:val="005B7570"/>
    <w:rsid w:val="005E244E"/>
    <w:rsid w:val="005F25AE"/>
    <w:rsid w:val="005F5E4F"/>
    <w:rsid w:val="006024B9"/>
    <w:rsid w:val="00604E47"/>
    <w:rsid w:val="00605E75"/>
    <w:rsid w:val="0062215B"/>
    <w:rsid w:val="00625C37"/>
    <w:rsid w:val="00646DDE"/>
    <w:rsid w:val="0065525C"/>
    <w:rsid w:val="006614DA"/>
    <w:rsid w:val="0066201F"/>
    <w:rsid w:val="0068362C"/>
    <w:rsid w:val="006903DE"/>
    <w:rsid w:val="00690466"/>
    <w:rsid w:val="00691C32"/>
    <w:rsid w:val="00692C94"/>
    <w:rsid w:val="006A0430"/>
    <w:rsid w:val="006A7977"/>
    <w:rsid w:val="006B2EBB"/>
    <w:rsid w:val="006C0778"/>
    <w:rsid w:val="006C0A02"/>
    <w:rsid w:val="006C23C5"/>
    <w:rsid w:val="006D4412"/>
    <w:rsid w:val="006D4962"/>
    <w:rsid w:val="006D54F9"/>
    <w:rsid w:val="006D76B8"/>
    <w:rsid w:val="006F14CC"/>
    <w:rsid w:val="00700737"/>
    <w:rsid w:val="00704D14"/>
    <w:rsid w:val="0070679B"/>
    <w:rsid w:val="007175E6"/>
    <w:rsid w:val="007331F3"/>
    <w:rsid w:val="007354C2"/>
    <w:rsid w:val="00750CFE"/>
    <w:rsid w:val="0075219B"/>
    <w:rsid w:val="00757FD2"/>
    <w:rsid w:val="007601E5"/>
    <w:rsid w:val="007604DC"/>
    <w:rsid w:val="007703AA"/>
    <w:rsid w:val="00772086"/>
    <w:rsid w:val="00775ACF"/>
    <w:rsid w:val="007837DC"/>
    <w:rsid w:val="00783962"/>
    <w:rsid w:val="007938B5"/>
    <w:rsid w:val="007C7FA6"/>
    <w:rsid w:val="007D0025"/>
    <w:rsid w:val="007D3E91"/>
    <w:rsid w:val="007E1EA4"/>
    <w:rsid w:val="007F50C2"/>
    <w:rsid w:val="00803528"/>
    <w:rsid w:val="00805BB9"/>
    <w:rsid w:val="00806D0D"/>
    <w:rsid w:val="00820F78"/>
    <w:rsid w:val="00822155"/>
    <w:rsid w:val="00827FBB"/>
    <w:rsid w:val="00840F6A"/>
    <w:rsid w:val="00850C40"/>
    <w:rsid w:val="00867AE8"/>
    <w:rsid w:val="0087218F"/>
    <w:rsid w:val="008743EF"/>
    <w:rsid w:val="008819A4"/>
    <w:rsid w:val="0088369C"/>
    <w:rsid w:val="00897EB9"/>
    <w:rsid w:val="008B7383"/>
    <w:rsid w:val="008E1F83"/>
    <w:rsid w:val="008E339B"/>
    <w:rsid w:val="008E3D2C"/>
    <w:rsid w:val="008E5CC6"/>
    <w:rsid w:val="008F2DA7"/>
    <w:rsid w:val="00906666"/>
    <w:rsid w:val="0091104B"/>
    <w:rsid w:val="00915289"/>
    <w:rsid w:val="0092281D"/>
    <w:rsid w:val="00933924"/>
    <w:rsid w:val="009508A5"/>
    <w:rsid w:val="00954391"/>
    <w:rsid w:val="009545A7"/>
    <w:rsid w:val="00963981"/>
    <w:rsid w:val="00964495"/>
    <w:rsid w:val="00965251"/>
    <w:rsid w:val="00973FB8"/>
    <w:rsid w:val="00974086"/>
    <w:rsid w:val="00976F6F"/>
    <w:rsid w:val="00980D2B"/>
    <w:rsid w:val="00987F06"/>
    <w:rsid w:val="00994953"/>
    <w:rsid w:val="009A6443"/>
    <w:rsid w:val="009B332B"/>
    <w:rsid w:val="009B6223"/>
    <w:rsid w:val="009C1162"/>
    <w:rsid w:val="009C15CF"/>
    <w:rsid w:val="009E20C8"/>
    <w:rsid w:val="009F01FE"/>
    <w:rsid w:val="00A0564A"/>
    <w:rsid w:val="00A0588D"/>
    <w:rsid w:val="00A15E56"/>
    <w:rsid w:val="00A2002E"/>
    <w:rsid w:val="00A26CAE"/>
    <w:rsid w:val="00A33689"/>
    <w:rsid w:val="00A41D57"/>
    <w:rsid w:val="00A41DDA"/>
    <w:rsid w:val="00A4577B"/>
    <w:rsid w:val="00A53B7B"/>
    <w:rsid w:val="00A57BEF"/>
    <w:rsid w:val="00A660DF"/>
    <w:rsid w:val="00A72A8E"/>
    <w:rsid w:val="00A96B21"/>
    <w:rsid w:val="00AA77FE"/>
    <w:rsid w:val="00AB634F"/>
    <w:rsid w:val="00AC05CD"/>
    <w:rsid w:val="00AC2C0A"/>
    <w:rsid w:val="00AC58AD"/>
    <w:rsid w:val="00AE0515"/>
    <w:rsid w:val="00AE0ECF"/>
    <w:rsid w:val="00AF0EC2"/>
    <w:rsid w:val="00AF533A"/>
    <w:rsid w:val="00B0159C"/>
    <w:rsid w:val="00B27118"/>
    <w:rsid w:val="00B321D4"/>
    <w:rsid w:val="00B34C02"/>
    <w:rsid w:val="00B47D8D"/>
    <w:rsid w:val="00B6067D"/>
    <w:rsid w:val="00B82570"/>
    <w:rsid w:val="00B90908"/>
    <w:rsid w:val="00B92811"/>
    <w:rsid w:val="00B96F4D"/>
    <w:rsid w:val="00BA02BA"/>
    <w:rsid w:val="00BA51F4"/>
    <w:rsid w:val="00BA5F7F"/>
    <w:rsid w:val="00BB0C66"/>
    <w:rsid w:val="00BD6CF2"/>
    <w:rsid w:val="00C0332F"/>
    <w:rsid w:val="00C13DEF"/>
    <w:rsid w:val="00C30BB5"/>
    <w:rsid w:val="00C31FD2"/>
    <w:rsid w:val="00C402CD"/>
    <w:rsid w:val="00C45972"/>
    <w:rsid w:val="00C723F2"/>
    <w:rsid w:val="00C72AF1"/>
    <w:rsid w:val="00C821AB"/>
    <w:rsid w:val="00C9257F"/>
    <w:rsid w:val="00CB1DF2"/>
    <w:rsid w:val="00CB2363"/>
    <w:rsid w:val="00CC2F54"/>
    <w:rsid w:val="00CC4F56"/>
    <w:rsid w:val="00CC7E8C"/>
    <w:rsid w:val="00CD1A9B"/>
    <w:rsid w:val="00CD3817"/>
    <w:rsid w:val="00CF32F0"/>
    <w:rsid w:val="00CF4388"/>
    <w:rsid w:val="00D06B09"/>
    <w:rsid w:val="00D1333D"/>
    <w:rsid w:val="00D16A6B"/>
    <w:rsid w:val="00D21A01"/>
    <w:rsid w:val="00D22364"/>
    <w:rsid w:val="00D227DA"/>
    <w:rsid w:val="00D34E73"/>
    <w:rsid w:val="00D37E16"/>
    <w:rsid w:val="00D65840"/>
    <w:rsid w:val="00D66A04"/>
    <w:rsid w:val="00D72710"/>
    <w:rsid w:val="00D97476"/>
    <w:rsid w:val="00DB0776"/>
    <w:rsid w:val="00DB66E0"/>
    <w:rsid w:val="00DC2FF4"/>
    <w:rsid w:val="00DC7866"/>
    <w:rsid w:val="00DD00BC"/>
    <w:rsid w:val="00DD15B0"/>
    <w:rsid w:val="00DD1710"/>
    <w:rsid w:val="00DD6B1A"/>
    <w:rsid w:val="00DD6C2E"/>
    <w:rsid w:val="00DE4D99"/>
    <w:rsid w:val="00DE6401"/>
    <w:rsid w:val="00DF33CA"/>
    <w:rsid w:val="00DF388F"/>
    <w:rsid w:val="00DF6C95"/>
    <w:rsid w:val="00E033DA"/>
    <w:rsid w:val="00E03F1A"/>
    <w:rsid w:val="00E111CA"/>
    <w:rsid w:val="00E21D17"/>
    <w:rsid w:val="00E269BF"/>
    <w:rsid w:val="00E33942"/>
    <w:rsid w:val="00E540C0"/>
    <w:rsid w:val="00E541F1"/>
    <w:rsid w:val="00E612CB"/>
    <w:rsid w:val="00E63908"/>
    <w:rsid w:val="00E70B64"/>
    <w:rsid w:val="00E750F6"/>
    <w:rsid w:val="00E80227"/>
    <w:rsid w:val="00E8506C"/>
    <w:rsid w:val="00E86C87"/>
    <w:rsid w:val="00E915BD"/>
    <w:rsid w:val="00E92018"/>
    <w:rsid w:val="00EC0511"/>
    <w:rsid w:val="00EC6C00"/>
    <w:rsid w:val="00ED08B2"/>
    <w:rsid w:val="00ED3E31"/>
    <w:rsid w:val="00EE31E6"/>
    <w:rsid w:val="00EE3376"/>
    <w:rsid w:val="00EE4F8C"/>
    <w:rsid w:val="00F02FF2"/>
    <w:rsid w:val="00F0356D"/>
    <w:rsid w:val="00F04A4D"/>
    <w:rsid w:val="00F107DF"/>
    <w:rsid w:val="00F10E38"/>
    <w:rsid w:val="00F137BF"/>
    <w:rsid w:val="00F14800"/>
    <w:rsid w:val="00F256C3"/>
    <w:rsid w:val="00F30D6F"/>
    <w:rsid w:val="00F34254"/>
    <w:rsid w:val="00F34574"/>
    <w:rsid w:val="00F46DC4"/>
    <w:rsid w:val="00F52875"/>
    <w:rsid w:val="00F528A0"/>
    <w:rsid w:val="00F540A0"/>
    <w:rsid w:val="00F55330"/>
    <w:rsid w:val="00F577F3"/>
    <w:rsid w:val="00F6153A"/>
    <w:rsid w:val="00F67FB0"/>
    <w:rsid w:val="00F733FC"/>
    <w:rsid w:val="00F95FED"/>
    <w:rsid w:val="00F96A39"/>
    <w:rsid w:val="00FA1370"/>
    <w:rsid w:val="00FB55A8"/>
    <w:rsid w:val="00FC4579"/>
    <w:rsid w:val="00FC4DE2"/>
    <w:rsid w:val="00FD4D02"/>
    <w:rsid w:val="00FD560B"/>
    <w:rsid w:val="00FD6E14"/>
    <w:rsid w:val="00FE4A9F"/>
    <w:rsid w:val="00FE65E1"/>
    <w:rsid w:val="00FF5594"/>
    <w:rsid w:val="017657AB"/>
    <w:rsid w:val="01993D60"/>
    <w:rsid w:val="01B3427E"/>
    <w:rsid w:val="022E44A8"/>
    <w:rsid w:val="027125E7"/>
    <w:rsid w:val="02B11053"/>
    <w:rsid w:val="02CE3900"/>
    <w:rsid w:val="02F07519"/>
    <w:rsid w:val="03675EC4"/>
    <w:rsid w:val="03AB7F74"/>
    <w:rsid w:val="03DE36BA"/>
    <w:rsid w:val="03E70DB3"/>
    <w:rsid w:val="04143634"/>
    <w:rsid w:val="04151D42"/>
    <w:rsid w:val="043A5BB6"/>
    <w:rsid w:val="044A7DF3"/>
    <w:rsid w:val="047D34C5"/>
    <w:rsid w:val="048A4C9C"/>
    <w:rsid w:val="04D32B94"/>
    <w:rsid w:val="04EF2002"/>
    <w:rsid w:val="050D2AFF"/>
    <w:rsid w:val="055041FE"/>
    <w:rsid w:val="05560AF7"/>
    <w:rsid w:val="05790131"/>
    <w:rsid w:val="058A4AEF"/>
    <w:rsid w:val="05A14F91"/>
    <w:rsid w:val="05A30D0A"/>
    <w:rsid w:val="060A0D89"/>
    <w:rsid w:val="0615277D"/>
    <w:rsid w:val="063F073C"/>
    <w:rsid w:val="064F3996"/>
    <w:rsid w:val="06AB232E"/>
    <w:rsid w:val="06B37672"/>
    <w:rsid w:val="06B37FB0"/>
    <w:rsid w:val="06E31D05"/>
    <w:rsid w:val="06E5188F"/>
    <w:rsid w:val="07610E7C"/>
    <w:rsid w:val="07634BF4"/>
    <w:rsid w:val="078801B7"/>
    <w:rsid w:val="07992DEF"/>
    <w:rsid w:val="07F339E5"/>
    <w:rsid w:val="084A7B62"/>
    <w:rsid w:val="086724C2"/>
    <w:rsid w:val="087B0530"/>
    <w:rsid w:val="08A44F3B"/>
    <w:rsid w:val="08CE609D"/>
    <w:rsid w:val="091A3537"/>
    <w:rsid w:val="0946583B"/>
    <w:rsid w:val="096E1D82"/>
    <w:rsid w:val="0984652B"/>
    <w:rsid w:val="09AF2373"/>
    <w:rsid w:val="09D218D5"/>
    <w:rsid w:val="09F11EF9"/>
    <w:rsid w:val="09FE0C04"/>
    <w:rsid w:val="0A083B9C"/>
    <w:rsid w:val="0A14667A"/>
    <w:rsid w:val="0A1E6855"/>
    <w:rsid w:val="0A5139AF"/>
    <w:rsid w:val="0A891932"/>
    <w:rsid w:val="0A9B2751"/>
    <w:rsid w:val="0AC23AE2"/>
    <w:rsid w:val="0ADD6A6C"/>
    <w:rsid w:val="0B246C54"/>
    <w:rsid w:val="0B2662C4"/>
    <w:rsid w:val="0B535469"/>
    <w:rsid w:val="0B98304C"/>
    <w:rsid w:val="0BC27767"/>
    <w:rsid w:val="0BCA7DC0"/>
    <w:rsid w:val="0BD240F7"/>
    <w:rsid w:val="0BDA6B88"/>
    <w:rsid w:val="0BE75837"/>
    <w:rsid w:val="0C142961"/>
    <w:rsid w:val="0C6E0B09"/>
    <w:rsid w:val="0C774C9E"/>
    <w:rsid w:val="0C797D50"/>
    <w:rsid w:val="0C801DA5"/>
    <w:rsid w:val="0CA35A93"/>
    <w:rsid w:val="0CFB2419"/>
    <w:rsid w:val="0D2766C4"/>
    <w:rsid w:val="0D7207C4"/>
    <w:rsid w:val="0D747AE7"/>
    <w:rsid w:val="0D894C89"/>
    <w:rsid w:val="0D8C3925"/>
    <w:rsid w:val="0D9B0BF5"/>
    <w:rsid w:val="0DFE0348"/>
    <w:rsid w:val="0E2269C7"/>
    <w:rsid w:val="0E361763"/>
    <w:rsid w:val="0E54342A"/>
    <w:rsid w:val="0E612FF0"/>
    <w:rsid w:val="0EC16D0C"/>
    <w:rsid w:val="0EDB7766"/>
    <w:rsid w:val="0F194967"/>
    <w:rsid w:val="0F7A0D2D"/>
    <w:rsid w:val="0FBF0E36"/>
    <w:rsid w:val="0FFC3E38"/>
    <w:rsid w:val="106A7917"/>
    <w:rsid w:val="10A97078"/>
    <w:rsid w:val="10B1077E"/>
    <w:rsid w:val="10D4446D"/>
    <w:rsid w:val="10FD7E68"/>
    <w:rsid w:val="110101E3"/>
    <w:rsid w:val="112E147C"/>
    <w:rsid w:val="118E286E"/>
    <w:rsid w:val="1266333D"/>
    <w:rsid w:val="128538BC"/>
    <w:rsid w:val="128819B3"/>
    <w:rsid w:val="12943F62"/>
    <w:rsid w:val="12C0604D"/>
    <w:rsid w:val="12D544CC"/>
    <w:rsid w:val="130045B9"/>
    <w:rsid w:val="13337B71"/>
    <w:rsid w:val="13651CF4"/>
    <w:rsid w:val="1380268A"/>
    <w:rsid w:val="13936861"/>
    <w:rsid w:val="13A02D2C"/>
    <w:rsid w:val="13B862C8"/>
    <w:rsid w:val="141F6347"/>
    <w:rsid w:val="142F1FF0"/>
    <w:rsid w:val="148E4A71"/>
    <w:rsid w:val="14A42394"/>
    <w:rsid w:val="14B81AE8"/>
    <w:rsid w:val="154F67B8"/>
    <w:rsid w:val="15516BAB"/>
    <w:rsid w:val="156F5A76"/>
    <w:rsid w:val="159031C0"/>
    <w:rsid w:val="15D06F69"/>
    <w:rsid w:val="161B669A"/>
    <w:rsid w:val="162B4B2F"/>
    <w:rsid w:val="16443E43"/>
    <w:rsid w:val="167B2F42"/>
    <w:rsid w:val="16A10489"/>
    <w:rsid w:val="17085278"/>
    <w:rsid w:val="175E0F34"/>
    <w:rsid w:val="17652DEA"/>
    <w:rsid w:val="1796745F"/>
    <w:rsid w:val="17CC2342"/>
    <w:rsid w:val="17D60E0D"/>
    <w:rsid w:val="17F37C5F"/>
    <w:rsid w:val="18117D55"/>
    <w:rsid w:val="183A54E2"/>
    <w:rsid w:val="189440AA"/>
    <w:rsid w:val="18FD5B3B"/>
    <w:rsid w:val="19017DC9"/>
    <w:rsid w:val="19357696"/>
    <w:rsid w:val="19366EBE"/>
    <w:rsid w:val="19632832"/>
    <w:rsid w:val="19C9488F"/>
    <w:rsid w:val="19C95001"/>
    <w:rsid w:val="19E82D37"/>
    <w:rsid w:val="19EE17C2"/>
    <w:rsid w:val="1A147FD0"/>
    <w:rsid w:val="1A1832D2"/>
    <w:rsid w:val="1A4277C1"/>
    <w:rsid w:val="1A4E2EBF"/>
    <w:rsid w:val="1AFA5490"/>
    <w:rsid w:val="1B145FD1"/>
    <w:rsid w:val="1B34092A"/>
    <w:rsid w:val="1B4A036C"/>
    <w:rsid w:val="1B6E76F4"/>
    <w:rsid w:val="1B7C407F"/>
    <w:rsid w:val="1B98146E"/>
    <w:rsid w:val="1BAA0BEC"/>
    <w:rsid w:val="1BE31D8F"/>
    <w:rsid w:val="1C085BF8"/>
    <w:rsid w:val="1C273FEB"/>
    <w:rsid w:val="1C58412B"/>
    <w:rsid w:val="1CAA0D2E"/>
    <w:rsid w:val="1CD329BE"/>
    <w:rsid w:val="1D485B2A"/>
    <w:rsid w:val="1D6F3E9B"/>
    <w:rsid w:val="1DAA1977"/>
    <w:rsid w:val="1DAC2A21"/>
    <w:rsid w:val="1E110AAE"/>
    <w:rsid w:val="1E531F05"/>
    <w:rsid w:val="1ED63AA6"/>
    <w:rsid w:val="1EF267C5"/>
    <w:rsid w:val="1F025049"/>
    <w:rsid w:val="1F91657C"/>
    <w:rsid w:val="1F9F6AA2"/>
    <w:rsid w:val="1FB43DE7"/>
    <w:rsid w:val="1FB5190D"/>
    <w:rsid w:val="1FD30694"/>
    <w:rsid w:val="1FD46237"/>
    <w:rsid w:val="200139C0"/>
    <w:rsid w:val="2039253E"/>
    <w:rsid w:val="208D63E6"/>
    <w:rsid w:val="20CC6F0F"/>
    <w:rsid w:val="20E976FD"/>
    <w:rsid w:val="2100305C"/>
    <w:rsid w:val="2119741A"/>
    <w:rsid w:val="21201E04"/>
    <w:rsid w:val="215018EE"/>
    <w:rsid w:val="21584C46"/>
    <w:rsid w:val="215956CA"/>
    <w:rsid w:val="2175163D"/>
    <w:rsid w:val="21787A35"/>
    <w:rsid w:val="218C5A65"/>
    <w:rsid w:val="21A23447"/>
    <w:rsid w:val="21D342CD"/>
    <w:rsid w:val="22121AF5"/>
    <w:rsid w:val="221A01EC"/>
    <w:rsid w:val="221C624F"/>
    <w:rsid w:val="22686E36"/>
    <w:rsid w:val="22F83FEB"/>
    <w:rsid w:val="2322550C"/>
    <w:rsid w:val="236505DE"/>
    <w:rsid w:val="24172B97"/>
    <w:rsid w:val="241D46B9"/>
    <w:rsid w:val="24264B88"/>
    <w:rsid w:val="242E0E15"/>
    <w:rsid w:val="24347C44"/>
    <w:rsid w:val="24575689"/>
    <w:rsid w:val="24592E0F"/>
    <w:rsid w:val="24651DA9"/>
    <w:rsid w:val="24B45B03"/>
    <w:rsid w:val="24DF6C29"/>
    <w:rsid w:val="24E856B3"/>
    <w:rsid w:val="25203EBE"/>
    <w:rsid w:val="256516E0"/>
    <w:rsid w:val="25826E67"/>
    <w:rsid w:val="25AC2100"/>
    <w:rsid w:val="25BD139E"/>
    <w:rsid w:val="25F63C8F"/>
    <w:rsid w:val="260928E4"/>
    <w:rsid w:val="264F7F05"/>
    <w:rsid w:val="2655590D"/>
    <w:rsid w:val="26562DAA"/>
    <w:rsid w:val="265F25D3"/>
    <w:rsid w:val="26695200"/>
    <w:rsid w:val="266A16A4"/>
    <w:rsid w:val="2684789A"/>
    <w:rsid w:val="26B741BD"/>
    <w:rsid w:val="27075144"/>
    <w:rsid w:val="27087A17"/>
    <w:rsid w:val="27271343"/>
    <w:rsid w:val="274328DC"/>
    <w:rsid w:val="27693709"/>
    <w:rsid w:val="277832D3"/>
    <w:rsid w:val="27C27E70"/>
    <w:rsid w:val="27E63447"/>
    <w:rsid w:val="28177609"/>
    <w:rsid w:val="282D09B2"/>
    <w:rsid w:val="28817F51"/>
    <w:rsid w:val="288A172F"/>
    <w:rsid w:val="28902847"/>
    <w:rsid w:val="28A075FF"/>
    <w:rsid w:val="29231A3C"/>
    <w:rsid w:val="299D387B"/>
    <w:rsid w:val="29AA14C9"/>
    <w:rsid w:val="2A2B2EF8"/>
    <w:rsid w:val="2A372C87"/>
    <w:rsid w:val="2A8B2C4B"/>
    <w:rsid w:val="2A93458B"/>
    <w:rsid w:val="2A9817E1"/>
    <w:rsid w:val="2B1D5421"/>
    <w:rsid w:val="2B200583"/>
    <w:rsid w:val="2B231E21"/>
    <w:rsid w:val="2B307F76"/>
    <w:rsid w:val="2B8F1093"/>
    <w:rsid w:val="2BB67139"/>
    <w:rsid w:val="2C0A4D8F"/>
    <w:rsid w:val="2C503029"/>
    <w:rsid w:val="2C9A4C80"/>
    <w:rsid w:val="2CB03B88"/>
    <w:rsid w:val="2CB83A5D"/>
    <w:rsid w:val="2CD21620"/>
    <w:rsid w:val="2CEA709A"/>
    <w:rsid w:val="2D19172E"/>
    <w:rsid w:val="2D817430"/>
    <w:rsid w:val="2DA03BFD"/>
    <w:rsid w:val="2DB31B82"/>
    <w:rsid w:val="2DD07FC6"/>
    <w:rsid w:val="2E0030AF"/>
    <w:rsid w:val="2E1D524D"/>
    <w:rsid w:val="2E486005"/>
    <w:rsid w:val="2E522BCA"/>
    <w:rsid w:val="2E651112"/>
    <w:rsid w:val="2EB63EF5"/>
    <w:rsid w:val="2ECE02F6"/>
    <w:rsid w:val="2ED505F8"/>
    <w:rsid w:val="2ED6176B"/>
    <w:rsid w:val="2EEB5565"/>
    <w:rsid w:val="2EED126A"/>
    <w:rsid w:val="2EFC30B5"/>
    <w:rsid w:val="2F5527C5"/>
    <w:rsid w:val="2F723377"/>
    <w:rsid w:val="2F875074"/>
    <w:rsid w:val="2FDB2617"/>
    <w:rsid w:val="30825E8C"/>
    <w:rsid w:val="309317F7"/>
    <w:rsid w:val="30A13F14"/>
    <w:rsid w:val="30C16364"/>
    <w:rsid w:val="31086CD4"/>
    <w:rsid w:val="31585D9B"/>
    <w:rsid w:val="31B92B8F"/>
    <w:rsid w:val="31E17E2F"/>
    <w:rsid w:val="32134488"/>
    <w:rsid w:val="323F1C36"/>
    <w:rsid w:val="327B2543"/>
    <w:rsid w:val="32C7056E"/>
    <w:rsid w:val="32CF5C6B"/>
    <w:rsid w:val="332B6DFC"/>
    <w:rsid w:val="336A0F62"/>
    <w:rsid w:val="33797F54"/>
    <w:rsid w:val="33A31D51"/>
    <w:rsid w:val="33DC20AB"/>
    <w:rsid w:val="33E10ACB"/>
    <w:rsid w:val="341F6C69"/>
    <w:rsid w:val="342D3D10"/>
    <w:rsid w:val="342E746D"/>
    <w:rsid w:val="344C063B"/>
    <w:rsid w:val="34896966"/>
    <w:rsid w:val="34C839CB"/>
    <w:rsid w:val="34D32B0A"/>
    <w:rsid w:val="35346F23"/>
    <w:rsid w:val="35C73046"/>
    <w:rsid w:val="35E92A83"/>
    <w:rsid w:val="362262A3"/>
    <w:rsid w:val="36392E40"/>
    <w:rsid w:val="36666B6A"/>
    <w:rsid w:val="368D6CE8"/>
    <w:rsid w:val="37001268"/>
    <w:rsid w:val="371315A4"/>
    <w:rsid w:val="37F35313"/>
    <w:rsid w:val="382D295E"/>
    <w:rsid w:val="386677F1"/>
    <w:rsid w:val="386A0232"/>
    <w:rsid w:val="38B467AE"/>
    <w:rsid w:val="38BD5663"/>
    <w:rsid w:val="38C94CED"/>
    <w:rsid w:val="38D8249D"/>
    <w:rsid w:val="38D858C2"/>
    <w:rsid w:val="38E167B1"/>
    <w:rsid w:val="38F32C51"/>
    <w:rsid w:val="39A078F0"/>
    <w:rsid w:val="39BB1835"/>
    <w:rsid w:val="39E10A58"/>
    <w:rsid w:val="39E527ED"/>
    <w:rsid w:val="39E6667B"/>
    <w:rsid w:val="39F1169F"/>
    <w:rsid w:val="3A175247"/>
    <w:rsid w:val="3ADA3533"/>
    <w:rsid w:val="3AE04D68"/>
    <w:rsid w:val="3AE570F3"/>
    <w:rsid w:val="3AEF038D"/>
    <w:rsid w:val="3B614F44"/>
    <w:rsid w:val="3B673FAC"/>
    <w:rsid w:val="3B675E9F"/>
    <w:rsid w:val="3B6E70E8"/>
    <w:rsid w:val="3B750477"/>
    <w:rsid w:val="3B90705F"/>
    <w:rsid w:val="3BA06D23"/>
    <w:rsid w:val="3BB371F1"/>
    <w:rsid w:val="3C0A692B"/>
    <w:rsid w:val="3C477FB1"/>
    <w:rsid w:val="3C6E4EC6"/>
    <w:rsid w:val="3CA37266"/>
    <w:rsid w:val="3CC549B2"/>
    <w:rsid w:val="3D0C5915"/>
    <w:rsid w:val="3D2F0AF9"/>
    <w:rsid w:val="3D537046"/>
    <w:rsid w:val="3D5D2BC6"/>
    <w:rsid w:val="3D7C6630"/>
    <w:rsid w:val="3D9F40E6"/>
    <w:rsid w:val="3DA94408"/>
    <w:rsid w:val="3DDD2538"/>
    <w:rsid w:val="3E4073FC"/>
    <w:rsid w:val="3E4800C5"/>
    <w:rsid w:val="3F2567A8"/>
    <w:rsid w:val="3F381944"/>
    <w:rsid w:val="3F43263A"/>
    <w:rsid w:val="3F4563B2"/>
    <w:rsid w:val="3F6263AA"/>
    <w:rsid w:val="3F7722E4"/>
    <w:rsid w:val="3F7757B6"/>
    <w:rsid w:val="3FA00E1E"/>
    <w:rsid w:val="3FA00F44"/>
    <w:rsid w:val="3FB643C5"/>
    <w:rsid w:val="3FC400EC"/>
    <w:rsid w:val="3FF85647"/>
    <w:rsid w:val="3FFF0C57"/>
    <w:rsid w:val="4013200C"/>
    <w:rsid w:val="40356427"/>
    <w:rsid w:val="40762F92"/>
    <w:rsid w:val="40A13ABC"/>
    <w:rsid w:val="40FE4A6B"/>
    <w:rsid w:val="4144369E"/>
    <w:rsid w:val="41636FC4"/>
    <w:rsid w:val="417E7959"/>
    <w:rsid w:val="419B618C"/>
    <w:rsid w:val="41F8595E"/>
    <w:rsid w:val="424A0DE5"/>
    <w:rsid w:val="42504E83"/>
    <w:rsid w:val="42641245"/>
    <w:rsid w:val="437377FC"/>
    <w:rsid w:val="43B25B6E"/>
    <w:rsid w:val="43DF4CDB"/>
    <w:rsid w:val="441470AF"/>
    <w:rsid w:val="44627A06"/>
    <w:rsid w:val="44B30262"/>
    <w:rsid w:val="44E55FC9"/>
    <w:rsid w:val="451C5E07"/>
    <w:rsid w:val="45476DEF"/>
    <w:rsid w:val="4549052D"/>
    <w:rsid w:val="45562580"/>
    <w:rsid w:val="4561381A"/>
    <w:rsid w:val="45E5444B"/>
    <w:rsid w:val="45FA61FC"/>
    <w:rsid w:val="46011190"/>
    <w:rsid w:val="46032B23"/>
    <w:rsid w:val="470236F2"/>
    <w:rsid w:val="47043CED"/>
    <w:rsid w:val="470E047A"/>
    <w:rsid w:val="47120C49"/>
    <w:rsid w:val="473311E6"/>
    <w:rsid w:val="473C453F"/>
    <w:rsid w:val="47523D62"/>
    <w:rsid w:val="48565706"/>
    <w:rsid w:val="48A979B2"/>
    <w:rsid w:val="48F7696F"/>
    <w:rsid w:val="491C0184"/>
    <w:rsid w:val="4926510B"/>
    <w:rsid w:val="4A044128"/>
    <w:rsid w:val="4A064EEE"/>
    <w:rsid w:val="4A1A2188"/>
    <w:rsid w:val="4A1B6B1F"/>
    <w:rsid w:val="4A2A68D0"/>
    <w:rsid w:val="4A31571D"/>
    <w:rsid w:val="4A5758B8"/>
    <w:rsid w:val="4ADF1F4A"/>
    <w:rsid w:val="4AE25005"/>
    <w:rsid w:val="4B074E64"/>
    <w:rsid w:val="4B5A3CC3"/>
    <w:rsid w:val="4B683B54"/>
    <w:rsid w:val="4B8D7117"/>
    <w:rsid w:val="4BBF47A2"/>
    <w:rsid w:val="4BF03B4A"/>
    <w:rsid w:val="4BF83AF4"/>
    <w:rsid w:val="4C1C226E"/>
    <w:rsid w:val="4CBD57DA"/>
    <w:rsid w:val="4CD371A2"/>
    <w:rsid w:val="4CD54846"/>
    <w:rsid w:val="4CDE5104"/>
    <w:rsid w:val="4CF96F78"/>
    <w:rsid w:val="4CFA4C80"/>
    <w:rsid w:val="4D3006A2"/>
    <w:rsid w:val="4D4423D3"/>
    <w:rsid w:val="4D9E1AAF"/>
    <w:rsid w:val="4E2967D0"/>
    <w:rsid w:val="4E774062"/>
    <w:rsid w:val="4E7E71EB"/>
    <w:rsid w:val="4E9C58C3"/>
    <w:rsid w:val="4EF2572E"/>
    <w:rsid w:val="4EFE20DA"/>
    <w:rsid w:val="4F401F26"/>
    <w:rsid w:val="4F772BAA"/>
    <w:rsid w:val="4F8A3C09"/>
    <w:rsid w:val="4FBF7ABB"/>
    <w:rsid w:val="4FC3185E"/>
    <w:rsid w:val="4FED7FA3"/>
    <w:rsid w:val="4FFA5C02"/>
    <w:rsid w:val="503D7A6F"/>
    <w:rsid w:val="50AC6291"/>
    <w:rsid w:val="516E1BD4"/>
    <w:rsid w:val="51840E50"/>
    <w:rsid w:val="51A27694"/>
    <w:rsid w:val="51F37EF0"/>
    <w:rsid w:val="51FD3E35"/>
    <w:rsid w:val="520B5239"/>
    <w:rsid w:val="52232583"/>
    <w:rsid w:val="52290A25"/>
    <w:rsid w:val="5244074B"/>
    <w:rsid w:val="527A2960"/>
    <w:rsid w:val="53300052"/>
    <w:rsid w:val="53AB0A82"/>
    <w:rsid w:val="53AF5692"/>
    <w:rsid w:val="53CC371D"/>
    <w:rsid w:val="53F104CA"/>
    <w:rsid w:val="541D0AB1"/>
    <w:rsid w:val="54646E83"/>
    <w:rsid w:val="549332C4"/>
    <w:rsid w:val="549459BA"/>
    <w:rsid w:val="54B35714"/>
    <w:rsid w:val="54D73AF9"/>
    <w:rsid w:val="54F40B0A"/>
    <w:rsid w:val="54FC48E5"/>
    <w:rsid w:val="55436A98"/>
    <w:rsid w:val="55A71081"/>
    <w:rsid w:val="55CA0F67"/>
    <w:rsid w:val="55ED31DD"/>
    <w:rsid w:val="55EE4C56"/>
    <w:rsid w:val="560B64A9"/>
    <w:rsid w:val="566663E3"/>
    <w:rsid w:val="567F41E5"/>
    <w:rsid w:val="56951575"/>
    <w:rsid w:val="56AB70DE"/>
    <w:rsid w:val="56D007FF"/>
    <w:rsid w:val="570851BD"/>
    <w:rsid w:val="57486F2E"/>
    <w:rsid w:val="57B95737"/>
    <w:rsid w:val="57D1482F"/>
    <w:rsid w:val="57EA3B43"/>
    <w:rsid w:val="57FA03CB"/>
    <w:rsid w:val="58333CC5"/>
    <w:rsid w:val="58A3441E"/>
    <w:rsid w:val="58B333A9"/>
    <w:rsid w:val="59011144"/>
    <w:rsid w:val="594706E7"/>
    <w:rsid w:val="59DE1485"/>
    <w:rsid w:val="5A0B1374"/>
    <w:rsid w:val="5A494B51"/>
    <w:rsid w:val="5A6D38D4"/>
    <w:rsid w:val="5AB27CD7"/>
    <w:rsid w:val="5ADF1CCE"/>
    <w:rsid w:val="5AE45BAF"/>
    <w:rsid w:val="5AF076C2"/>
    <w:rsid w:val="5B0742AE"/>
    <w:rsid w:val="5B973B86"/>
    <w:rsid w:val="5B9C4380"/>
    <w:rsid w:val="5BB433DD"/>
    <w:rsid w:val="5BB66839"/>
    <w:rsid w:val="5BBB382C"/>
    <w:rsid w:val="5BBC01DC"/>
    <w:rsid w:val="5BD668B8"/>
    <w:rsid w:val="5C5123E2"/>
    <w:rsid w:val="5C9B6CC6"/>
    <w:rsid w:val="5D2446C4"/>
    <w:rsid w:val="5D3E2967"/>
    <w:rsid w:val="5D5F468B"/>
    <w:rsid w:val="5D850412"/>
    <w:rsid w:val="5D8F685E"/>
    <w:rsid w:val="5DA622BA"/>
    <w:rsid w:val="5E1D64AA"/>
    <w:rsid w:val="5E2B3AAA"/>
    <w:rsid w:val="5E3E3A04"/>
    <w:rsid w:val="5EA902B4"/>
    <w:rsid w:val="5EC0466B"/>
    <w:rsid w:val="5F344DFB"/>
    <w:rsid w:val="5F385194"/>
    <w:rsid w:val="5FA665A1"/>
    <w:rsid w:val="5FC5111D"/>
    <w:rsid w:val="5FE2628E"/>
    <w:rsid w:val="5FF82F93"/>
    <w:rsid w:val="604C3743"/>
    <w:rsid w:val="605B585F"/>
    <w:rsid w:val="6063304D"/>
    <w:rsid w:val="60AE0721"/>
    <w:rsid w:val="60DC7E6E"/>
    <w:rsid w:val="61340545"/>
    <w:rsid w:val="616B27F1"/>
    <w:rsid w:val="61CB32AE"/>
    <w:rsid w:val="61DF3FED"/>
    <w:rsid w:val="620B17FB"/>
    <w:rsid w:val="622B2BD7"/>
    <w:rsid w:val="63A6445F"/>
    <w:rsid w:val="63CE5636"/>
    <w:rsid w:val="64114216"/>
    <w:rsid w:val="645F1391"/>
    <w:rsid w:val="64CD1495"/>
    <w:rsid w:val="64D836A1"/>
    <w:rsid w:val="64E81955"/>
    <w:rsid w:val="64EE6A20"/>
    <w:rsid w:val="6555038D"/>
    <w:rsid w:val="65587F04"/>
    <w:rsid w:val="656C203B"/>
    <w:rsid w:val="65E322FD"/>
    <w:rsid w:val="66145291"/>
    <w:rsid w:val="66CC4E70"/>
    <w:rsid w:val="66CF3A21"/>
    <w:rsid w:val="66D41433"/>
    <w:rsid w:val="670A149A"/>
    <w:rsid w:val="6712451C"/>
    <w:rsid w:val="67690405"/>
    <w:rsid w:val="67C40077"/>
    <w:rsid w:val="68093B71"/>
    <w:rsid w:val="682312A9"/>
    <w:rsid w:val="684E77D6"/>
    <w:rsid w:val="68A044D6"/>
    <w:rsid w:val="68D91796"/>
    <w:rsid w:val="68FB2150"/>
    <w:rsid w:val="695232F6"/>
    <w:rsid w:val="6953779A"/>
    <w:rsid w:val="69C30302"/>
    <w:rsid w:val="69CB7E06"/>
    <w:rsid w:val="6AC4570C"/>
    <w:rsid w:val="6AE14931"/>
    <w:rsid w:val="6B007FC0"/>
    <w:rsid w:val="6B4F3F91"/>
    <w:rsid w:val="6B833C3B"/>
    <w:rsid w:val="6BBA3B00"/>
    <w:rsid w:val="6BF2086B"/>
    <w:rsid w:val="6C3E3165"/>
    <w:rsid w:val="6C621AA2"/>
    <w:rsid w:val="6C6B0957"/>
    <w:rsid w:val="6C831372"/>
    <w:rsid w:val="6C8D4D71"/>
    <w:rsid w:val="6CA43E69"/>
    <w:rsid w:val="6CF7043C"/>
    <w:rsid w:val="6CF748E0"/>
    <w:rsid w:val="6D0A279C"/>
    <w:rsid w:val="6D0F3DFC"/>
    <w:rsid w:val="6D1F3344"/>
    <w:rsid w:val="6D301943"/>
    <w:rsid w:val="6D4933FE"/>
    <w:rsid w:val="6D725D15"/>
    <w:rsid w:val="6DAC1227"/>
    <w:rsid w:val="6DD75433"/>
    <w:rsid w:val="6E1135F7"/>
    <w:rsid w:val="6E2702A3"/>
    <w:rsid w:val="6E9551EA"/>
    <w:rsid w:val="6EB54AF5"/>
    <w:rsid w:val="6EC56D9B"/>
    <w:rsid w:val="6F54013B"/>
    <w:rsid w:val="6F5C6481"/>
    <w:rsid w:val="6F9E0173"/>
    <w:rsid w:val="6FCA3C81"/>
    <w:rsid w:val="6FE17593"/>
    <w:rsid w:val="6FFF77A4"/>
    <w:rsid w:val="700D4511"/>
    <w:rsid w:val="70386A89"/>
    <w:rsid w:val="709F4143"/>
    <w:rsid w:val="70A628A5"/>
    <w:rsid w:val="70AF06CC"/>
    <w:rsid w:val="70C704EA"/>
    <w:rsid w:val="70DE2FF2"/>
    <w:rsid w:val="71033854"/>
    <w:rsid w:val="71044CE8"/>
    <w:rsid w:val="716D77C8"/>
    <w:rsid w:val="71761774"/>
    <w:rsid w:val="71813C89"/>
    <w:rsid w:val="718D2089"/>
    <w:rsid w:val="71C601AA"/>
    <w:rsid w:val="726737AD"/>
    <w:rsid w:val="72C30E2A"/>
    <w:rsid w:val="72EC1F38"/>
    <w:rsid w:val="7304741B"/>
    <w:rsid w:val="73133AF6"/>
    <w:rsid w:val="736B3932"/>
    <w:rsid w:val="737132FC"/>
    <w:rsid w:val="737B5AB1"/>
    <w:rsid w:val="73800DAB"/>
    <w:rsid w:val="73847791"/>
    <w:rsid w:val="73BF5EAD"/>
    <w:rsid w:val="73E23B54"/>
    <w:rsid w:val="7419338E"/>
    <w:rsid w:val="746A7EA1"/>
    <w:rsid w:val="748D5B24"/>
    <w:rsid w:val="74C652C4"/>
    <w:rsid w:val="74E3260C"/>
    <w:rsid w:val="74FC6F38"/>
    <w:rsid w:val="75232716"/>
    <w:rsid w:val="755C2260"/>
    <w:rsid w:val="757005AB"/>
    <w:rsid w:val="759A450E"/>
    <w:rsid w:val="75FA7090"/>
    <w:rsid w:val="769571D7"/>
    <w:rsid w:val="76E1488A"/>
    <w:rsid w:val="77045F42"/>
    <w:rsid w:val="77387FCF"/>
    <w:rsid w:val="77453BF4"/>
    <w:rsid w:val="775A597C"/>
    <w:rsid w:val="7768524F"/>
    <w:rsid w:val="779C40BA"/>
    <w:rsid w:val="77AB07A1"/>
    <w:rsid w:val="77F0668A"/>
    <w:rsid w:val="78014865"/>
    <w:rsid w:val="78021112"/>
    <w:rsid w:val="781E17F8"/>
    <w:rsid w:val="78411105"/>
    <w:rsid w:val="784C3D32"/>
    <w:rsid w:val="788B412F"/>
    <w:rsid w:val="78C95383"/>
    <w:rsid w:val="78EF46BD"/>
    <w:rsid w:val="79063F2B"/>
    <w:rsid w:val="791139AD"/>
    <w:rsid w:val="794830FC"/>
    <w:rsid w:val="79500D88"/>
    <w:rsid w:val="795E34DA"/>
    <w:rsid w:val="79940794"/>
    <w:rsid w:val="79F04B91"/>
    <w:rsid w:val="79FC3790"/>
    <w:rsid w:val="79FD2E0A"/>
    <w:rsid w:val="7A16111F"/>
    <w:rsid w:val="7A1A287D"/>
    <w:rsid w:val="7A2C084E"/>
    <w:rsid w:val="7A8A6D94"/>
    <w:rsid w:val="7A94551C"/>
    <w:rsid w:val="7AE45B92"/>
    <w:rsid w:val="7B176D7C"/>
    <w:rsid w:val="7B845591"/>
    <w:rsid w:val="7B8C602F"/>
    <w:rsid w:val="7B946759"/>
    <w:rsid w:val="7BAE260E"/>
    <w:rsid w:val="7C29201E"/>
    <w:rsid w:val="7C5940C7"/>
    <w:rsid w:val="7CAD4FBB"/>
    <w:rsid w:val="7CAF1E96"/>
    <w:rsid w:val="7E0C7AC0"/>
    <w:rsid w:val="7E2748F9"/>
    <w:rsid w:val="7E32130A"/>
    <w:rsid w:val="7E403C7E"/>
    <w:rsid w:val="7E565D7F"/>
    <w:rsid w:val="7E631DD5"/>
    <w:rsid w:val="7E857F9E"/>
    <w:rsid w:val="7E8F38D8"/>
    <w:rsid w:val="7ED12930"/>
    <w:rsid w:val="7EE527EB"/>
    <w:rsid w:val="7EF84638"/>
    <w:rsid w:val="7F520C7E"/>
    <w:rsid w:val="7F73429A"/>
    <w:rsid w:val="7F78540D"/>
    <w:rsid w:val="7FA14C1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iPriority="99" w:semiHidden="0" w:name="HTML Sample"/>
    <w:lsdException w:qFormat="1" w:unhideWhenUsed="0" w:uiPriority="0" w:semiHidden="0"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8"/>
    <w:qFormat/>
    <w:uiPriority w:val="0"/>
    <w:pPr>
      <w:keepNext/>
      <w:keepLines/>
      <w:autoSpaceDE w:val="0"/>
      <w:autoSpaceDN w:val="0"/>
      <w:adjustRightInd w:val="0"/>
      <w:spacing w:before="240" w:beforeLines="0" w:after="120" w:afterLines="0" w:line="300" w:lineRule="auto"/>
      <w:jc w:val="center"/>
      <w:outlineLvl w:val="0"/>
    </w:pPr>
    <w:rPr>
      <w:rFonts w:ascii="宋体"/>
      <w:b/>
      <w:kern w:val="44"/>
      <w:sz w:val="32"/>
      <w:szCs w:val="20"/>
    </w:rPr>
  </w:style>
  <w:style w:type="paragraph" w:styleId="4">
    <w:name w:val="heading 2"/>
    <w:basedOn w:val="1"/>
    <w:next w:val="5"/>
    <w:link w:val="59"/>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7">
    <w:name w:val="heading 4"/>
    <w:basedOn w:val="1"/>
    <w:next w:val="1"/>
    <w:link w:val="61"/>
    <w:qFormat/>
    <w:uiPriority w:val="0"/>
    <w:pPr>
      <w:keepNext/>
      <w:keepLines/>
      <w:spacing w:before="280" w:beforeLines="0" w:after="290" w:afterLines="0" w:line="376" w:lineRule="auto"/>
      <w:outlineLvl w:val="3"/>
    </w:pPr>
    <w:rPr>
      <w:rFonts w:ascii="Arial" w:hAnsi="Arial" w:eastAsia="黑体"/>
      <w:b/>
      <w:bCs/>
      <w:sz w:val="28"/>
      <w:szCs w:val="28"/>
    </w:rPr>
  </w:style>
  <w:style w:type="paragraph" w:styleId="8">
    <w:name w:val="heading 5"/>
    <w:basedOn w:val="1"/>
    <w:next w:val="1"/>
    <w:link w:val="62"/>
    <w:qFormat/>
    <w:uiPriority w:val="0"/>
    <w:pPr>
      <w:widowControl/>
      <w:spacing w:before="240" w:beforeLines="0" w:after="60" w:afterLines="0"/>
      <w:jc w:val="left"/>
      <w:outlineLvl w:val="4"/>
    </w:pPr>
    <w:rPr>
      <w:rFonts w:ascii="Calibri" w:hAnsi="Calibri"/>
      <w:b/>
      <w:bCs/>
      <w:i/>
      <w:iCs/>
      <w:kern w:val="0"/>
      <w:sz w:val="26"/>
      <w:szCs w:val="26"/>
    </w:rPr>
  </w:style>
  <w:style w:type="paragraph" w:styleId="9">
    <w:name w:val="heading 6"/>
    <w:basedOn w:val="1"/>
    <w:next w:val="1"/>
    <w:link w:val="63"/>
    <w:qFormat/>
    <w:uiPriority w:val="0"/>
    <w:pPr>
      <w:widowControl/>
      <w:spacing w:before="240" w:beforeLines="0" w:after="60" w:afterLines="0"/>
      <w:jc w:val="left"/>
      <w:outlineLvl w:val="5"/>
    </w:pPr>
    <w:rPr>
      <w:rFonts w:ascii="Calibri" w:hAnsi="Calibri"/>
      <w:b/>
      <w:bCs/>
      <w:kern w:val="0"/>
      <w:sz w:val="20"/>
      <w:szCs w:val="20"/>
    </w:rPr>
  </w:style>
  <w:style w:type="paragraph" w:styleId="10">
    <w:name w:val="heading 7"/>
    <w:basedOn w:val="1"/>
    <w:next w:val="1"/>
    <w:link w:val="64"/>
    <w:qFormat/>
    <w:uiPriority w:val="0"/>
    <w:pPr>
      <w:widowControl/>
      <w:spacing w:before="240" w:beforeLines="0" w:after="60" w:afterLines="0"/>
      <w:jc w:val="left"/>
      <w:outlineLvl w:val="6"/>
    </w:pPr>
    <w:rPr>
      <w:rFonts w:ascii="Calibri" w:hAnsi="Calibri"/>
      <w:kern w:val="0"/>
      <w:sz w:val="24"/>
    </w:rPr>
  </w:style>
  <w:style w:type="paragraph" w:styleId="11">
    <w:name w:val="heading 8"/>
    <w:basedOn w:val="1"/>
    <w:next w:val="1"/>
    <w:link w:val="65"/>
    <w:qFormat/>
    <w:uiPriority w:val="0"/>
    <w:pPr>
      <w:widowControl/>
      <w:spacing w:before="240" w:beforeLines="0" w:after="60" w:afterLines="0"/>
      <w:jc w:val="left"/>
      <w:outlineLvl w:val="7"/>
    </w:pPr>
    <w:rPr>
      <w:rFonts w:ascii="Calibri" w:hAnsi="Calibri"/>
      <w:i/>
      <w:iCs/>
      <w:kern w:val="0"/>
      <w:sz w:val="24"/>
    </w:rPr>
  </w:style>
  <w:style w:type="paragraph" w:styleId="12">
    <w:name w:val="heading 9"/>
    <w:basedOn w:val="1"/>
    <w:next w:val="1"/>
    <w:link w:val="66"/>
    <w:qFormat/>
    <w:uiPriority w:val="0"/>
    <w:pPr>
      <w:widowControl/>
      <w:spacing w:before="240" w:beforeLines="0" w:after="60" w:afterLines="0"/>
      <w:jc w:val="left"/>
      <w:outlineLvl w:val="8"/>
    </w:pPr>
    <w:rPr>
      <w:rFonts w:ascii="Cambria" w:hAnsi="Cambria"/>
      <w:kern w:val="0"/>
      <w:sz w:val="20"/>
      <w:szCs w:val="20"/>
    </w:rPr>
  </w:style>
  <w:style w:type="character" w:default="1" w:styleId="46">
    <w:name w:val="Default Paragraph Font"/>
    <w:qFormat/>
    <w:uiPriority w:val="0"/>
  </w:style>
  <w:style w:type="table" w:default="1" w:styleId="4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link w:val="57"/>
    <w:qFormat/>
    <w:uiPriority w:val="0"/>
    <w:pPr>
      <w:tabs>
        <w:tab w:val="left" w:pos="567"/>
      </w:tabs>
      <w:spacing w:before="120" w:beforeLines="0" w:line="22" w:lineRule="atLeast"/>
    </w:pPr>
    <w:rPr>
      <w:rFonts w:ascii="宋体" w:hAnsi="宋体"/>
      <w:sz w:val="24"/>
    </w:rPr>
  </w:style>
  <w:style w:type="paragraph" w:styleId="5">
    <w:name w:val="Normal Indent"/>
    <w:basedOn w:val="1"/>
    <w:link w:val="60"/>
    <w:qFormat/>
    <w:uiPriority w:val="0"/>
    <w:pPr>
      <w:autoSpaceDE w:val="0"/>
      <w:autoSpaceDN w:val="0"/>
      <w:adjustRightInd w:val="0"/>
      <w:ind w:firstLine="420"/>
      <w:jc w:val="left"/>
    </w:pPr>
    <w:rPr>
      <w:rFonts w:ascii="宋体"/>
      <w:kern w:val="0"/>
      <w:sz w:val="24"/>
      <w:szCs w:val="20"/>
    </w:rPr>
  </w:style>
  <w:style w:type="paragraph" w:styleId="13">
    <w:name w:val="toc 7"/>
    <w:basedOn w:val="1"/>
    <w:next w:val="1"/>
    <w:qFormat/>
    <w:uiPriority w:val="0"/>
    <w:pPr>
      <w:ind w:left="2520" w:leftChars="1200"/>
    </w:pPr>
  </w:style>
  <w:style w:type="paragraph" w:styleId="14">
    <w:name w:val="caption"/>
    <w:basedOn w:val="1"/>
    <w:next w:val="1"/>
    <w:link w:val="67"/>
    <w:qFormat/>
    <w:uiPriority w:val="0"/>
    <w:rPr>
      <w:rFonts w:ascii="Arial" w:hAnsi="Arial" w:eastAsia="黑体"/>
      <w:sz w:val="20"/>
      <w:szCs w:val="20"/>
    </w:rPr>
  </w:style>
  <w:style w:type="paragraph" w:styleId="15">
    <w:name w:val="List Bullet"/>
    <w:basedOn w:val="1"/>
    <w:qFormat/>
    <w:uiPriority w:val="0"/>
    <w:pPr>
      <w:widowControl/>
      <w:tabs>
        <w:tab w:val="left" w:pos="360"/>
      </w:tabs>
      <w:spacing w:after="120" w:afterLines="0" w:line="360" w:lineRule="auto"/>
      <w:ind w:left="360" w:hanging="360"/>
      <w:jc w:val="left"/>
    </w:pPr>
    <w:rPr>
      <w:kern w:val="0"/>
      <w:szCs w:val="20"/>
    </w:rPr>
  </w:style>
  <w:style w:type="paragraph" w:styleId="16">
    <w:name w:val="Document Map"/>
    <w:basedOn w:val="1"/>
    <w:link w:val="68"/>
    <w:qFormat/>
    <w:uiPriority w:val="0"/>
    <w:rPr>
      <w:rFonts w:ascii="宋体"/>
      <w:sz w:val="18"/>
      <w:szCs w:val="18"/>
    </w:rPr>
  </w:style>
  <w:style w:type="paragraph" w:styleId="17">
    <w:name w:val="annotation text"/>
    <w:basedOn w:val="1"/>
    <w:link w:val="69"/>
    <w:qFormat/>
    <w:uiPriority w:val="0"/>
    <w:pPr>
      <w:jc w:val="left"/>
    </w:pPr>
  </w:style>
  <w:style w:type="paragraph" w:styleId="18">
    <w:name w:val="Body Text Indent"/>
    <w:basedOn w:val="1"/>
    <w:link w:val="70"/>
    <w:qFormat/>
    <w:uiPriority w:val="0"/>
    <w:pPr>
      <w:spacing w:after="120" w:afterLines="0"/>
      <w:ind w:left="420" w:leftChars="200"/>
    </w:p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link w:val="71"/>
    <w:qFormat/>
    <w:uiPriority w:val="0"/>
    <w:rPr>
      <w:rFonts w:ascii="宋体" w:hAnsi="Courier New"/>
      <w:szCs w:val="20"/>
    </w:rPr>
  </w:style>
  <w:style w:type="paragraph" w:styleId="22">
    <w:name w:val="toc 8"/>
    <w:basedOn w:val="1"/>
    <w:next w:val="1"/>
    <w:qFormat/>
    <w:uiPriority w:val="0"/>
    <w:pPr>
      <w:ind w:left="2940" w:leftChars="1400"/>
    </w:pPr>
  </w:style>
  <w:style w:type="paragraph" w:styleId="23">
    <w:name w:val="Date"/>
    <w:basedOn w:val="1"/>
    <w:next w:val="1"/>
    <w:link w:val="72"/>
    <w:qFormat/>
    <w:uiPriority w:val="0"/>
    <w:pPr>
      <w:ind w:left="100" w:leftChars="2500"/>
    </w:pPr>
  </w:style>
  <w:style w:type="paragraph" w:styleId="24">
    <w:name w:val="Body Text Indent 2"/>
    <w:basedOn w:val="1"/>
    <w:link w:val="73"/>
    <w:qFormat/>
    <w:uiPriority w:val="0"/>
    <w:pPr>
      <w:ind w:firstLine="480" w:firstLineChars="200"/>
    </w:pPr>
    <w:rPr>
      <w:rFonts w:ascii="仿宋_GB2312" w:eastAsia="仿宋_GB2312"/>
      <w:sz w:val="24"/>
    </w:rPr>
  </w:style>
  <w:style w:type="paragraph" w:styleId="25">
    <w:name w:val="endnote text"/>
    <w:basedOn w:val="1"/>
    <w:link w:val="74"/>
    <w:qFormat/>
    <w:uiPriority w:val="0"/>
    <w:pPr>
      <w:snapToGrid w:val="0"/>
      <w:jc w:val="left"/>
    </w:pPr>
    <w:rPr>
      <w:rFonts w:ascii="Calibri" w:hAnsi="Calibri"/>
      <w:szCs w:val="22"/>
    </w:rPr>
  </w:style>
  <w:style w:type="paragraph" w:styleId="26">
    <w:name w:val="Balloon Text"/>
    <w:basedOn w:val="1"/>
    <w:link w:val="75"/>
    <w:qFormat/>
    <w:uiPriority w:val="0"/>
    <w:rPr>
      <w:sz w:val="18"/>
      <w:szCs w:val="18"/>
    </w:rPr>
  </w:style>
  <w:style w:type="paragraph" w:styleId="27">
    <w:name w:val="footer"/>
    <w:basedOn w:val="1"/>
    <w:link w:val="76"/>
    <w:qFormat/>
    <w:uiPriority w:val="0"/>
    <w:pPr>
      <w:tabs>
        <w:tab w:val="center" w:pos="4153"/>
        <w:tab w:val="right" w:pos="8306"/>
      </w:tabs>
      <w:snapToGrid w:val="0"/>
      <w:jc w:val="left"/>
    </w:pPr>
    <w:rPr>
      <w:sz w:val="18"/>
      <w:szCs w:val="18"/>
    </w:rPr>
  </w:style>
  <w:style w:type="paragraph" w:styleId="28">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0"/>
  </w:style>
  <w:style w:type="paragraph" w:styleId="30">
    <w:name w:val="toc 4"/>
    <w:basedOn w:val="1"/>
    <w:next w:val="1"/>
    <w:qFormat/>
    <w:uiPriority w:val="0"/>
    <w:pPr>
      <w:ind w:left="1260" w:leftChars="600"/>
    </w:pPr>
  </w:style>
  <w:style w:type="paragraph" w:styleId="31">
    <w:name w:val="Subtitle"/>
    <w:basedOn w:val="1"/>
    <w:next w:val="1"/>
    <w:link w:val="78"/>
    <w:qFormat/>
    <w:uiPriority w:val="0"/>
    <w:pPr>
      <w:spacing w:before="240" w:beforeLines="0" w:after="60" w:afterLines="0" w:line="312" w:lineRule="auto"/>
      <w:jc w:val="center"/>
      <w:outlineLvl w:val="1"/>
    </w:pPr>
    <w:rPr>
      <w:rFonts w:ascii="Cambria" w:hAnsi="Cambria"/>
      <w:b/>
      <w:bCs/>
      <w:kern w:val="28"/>
      <w:sz w:val="32"/>
      <w:szCs w:val="32"/>
    </w:rPr>
  </w:style>
  <w:style w:type="paragraph" w:styleId="32">
    <w:name w:val="footnote text"/>
    <w:basedOn w:val="1"/>
    <w:link w:val="79"/>
    <w:qFormat/>
    <w:uiPriority w:val="0"/>
    <w:pPr>
      <w:snapToGrid w:val="0"/>
      <w:jc w:val="left"/>
    </w:pPr>
    <w:rPr>
      <w:rFonts w:ascii="Calibri" w:hAnsi="Calibri"/>
      <w:sz w:val="18"/>
      <w:szCs w:val="18"/>
    </w:rPr>
  </w:style>
  <w:style w:type="paragraph" w:styleId="33">
    <w:name w:val="toc 6"/>
    <w:basedOn w:val="1"/>
    <w:next w:val="1"/>
    <w:qFormat/>
    <w:uiPriority w:val="0"/>
    <w:pPr>
      <w:ind w:left="2100" w:leftChars="1000"/>
    </w:pPr>
  </w:style>
  <w:style w:type="paragraph" w:styleId="34">
    <w:name w:val="Body Text Indent 3"/>
    <w:basedOn w:val="1"/>
    <w:link w:val="80"/>
    <w:qFormat/>
    <w:uiPriority w:val="0"/>
    <w:pPr>
      <w:autoSpaceDE w:val="0"/>
      <w:autoSpaceDN w:val="0"/>
      <w:adjustRightInd w:val="0"/>
      <w:spacing w:before="120" w:beforeLines="0" w:line="22" w:lineRule="atLeast"/>
      <w:ind w:left="720" w:firstLine="480"/>
      <w:jc w:val="left"/>
    </w:pPr>
    <w:rPr>
      <w:rFonts w:ascii="宋体"/>
      <w:kern w:val="0"/>
      <w:sz w:val="24"/>
      <w:szCs w:val="20"/>
    </w:rPr>
  </w:style>
  <w:style w:type="paragraph" w:styleId="35">
    <w:name w:val="toc 2"/>
    <w:basedOn w:val="1"/>
    <w:next w:val="1"/>
    <w:qFormat/>
    <w:uiPriority w:val="0"/>
    <w:pPr>
      <w:ind w:left="420" w:leftChars="200"/>
    </w:pPr>
  </w:style>
  <w:style w:type="paragraph" w:styleId="36">
    <w:name w:val="toc 9"/>
    <w:basedOn w:val="1"/>
    <w:next w:val="1"/>
    <w:qFormat/>
    <w:uiPriority w:val="0"/>
    <w:pPr>
      <w:ind w:left="3360" w:leftChars="1600"/>
    </w:pPr>
  </w:style>
  <w:style w:type="paragraph" w:styleId="37">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8">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39">
    <w:name w:val="index 1"/>
    <w:basedOn w:val="1"/>
    <w:next w:val="1"/>
    <w:qFormat/>
    <w:uiPriority w:val="0"/>
    <w:pPr>
      <w:spacing w:line="360" w:lineRule="auto"/>
    </w:pPr>
    <w:rPr>
      <w:rFonts w:ascii="仿宋_GB2312" w:eastAsia="仿宋_GB2312"/>
      <w:sz w:val="24"/>
      <w:szCs w:val="20"/>
    </w:rPr>
  </w:style>
  <w:style w:type="paragraph" w:styleId="40">
    <w:name w:val="Title"/>
    <w:basedOn w:val="1"/>
    <w:next w:val="1"/>
    <w:link w:val="82"/>
    <w:qFormat/>
    <w:uiPriority w:val="0"/>
    <w:pPr>
      <w:spacing w:before="240" w:beforeLines="0" w:after="60" w:afterLines="0"/>
      <w:jc w:val="center"/>
      <w:outlineLvl w:val="0"/>
    </w:pPr>
    <w:rPr>
      <w:rFonts w:ascii="Cambria" w:hAnsi="Cambria"/>
      <w:b/>
      <w:bCs/>
      <w:sz w:val="32"/>
      <w:szCs w:val="32"/>
    </w:rPr>
  </w:style>
  <w:style w:type="paragraph" w:styleId="41">
    <w:name w:val="annotation subject"/>
    <w:basedOn w:val="17"/>
    <w:next w:val="17"/>
    <w:link w:val="83"/>
    <w:qFormat/>
    <w:uiPriority w:val="0"/>
    <w:rPr>
      <w:b/>
      <w:bCs/>
    </w:rPr>
  </w:style>
  <w:style w:type="paragraph" w:styleId="42">
    <w:name w:val="Body Text First Indent"/>
    <w:basedOn w:val="2"/>
    <w:link w:val="84"/>
    <w:qFormat/>
    <w:uiPriority w:val="0"/>
    <w:pPr>
      <w:tabs>
        <w:tab w:val="clear" w:pos="567"/>
      </w:tabs>
      <w:spacing w:before="0" w:beforeLines="0" w:after="120" w:afterLines="0" w:line="240" w:lineRule="auto"/>
      <w:ind w:firstLine="420" w:firstLineChars="100"/>
    </w:pPr>
    <w:rPr>
      <w:rFonts w:ascii="Times New Roman" w:hAnsi="Times New Roman"/>
      <w:sz w:val="21"/>
      <w:lang w:val="en-US" w:eastAsia="zh-CN"/>
    </w:rPr>
  </w:style>
  <w:style w:type="paragraph" w:styleId="43">
    <w:name w:val="Body Text First Indent 2"/>
    <w:basedOn w:val="18"/>
    <w:next w:val="1"/>
    <w:link w:val="85"/>
    <w:qFormat/>
    <w:uiPriority w:val="0"/>
    <w:pPr>
      <w:ind w:firstLine="420" w:firstLineChars="200"/>
    </w:pPr>
  </w:style>
  <w:style w:type="table" w:styleId="45">
    <w:name w:val="Table Grid"/>
    <w:basedOn w:val="44"/>
    <w:qFormat/>
    <w:uiPriority w:val="5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endnote reference"/>
    <w:uiPriority w:val="0"/>
    <w:rPr>
      <w:vertAlign w:val="superscript"/>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Emphasis"/>
    <w:qFormat/>
    <w:uiPriority w:val="0"/>
    <w:rPr>
      <w:i/>
      <w:iCs/>
    </w:rPr>
  </w:style>
  <w:style w:type="character" w:styleId="52">
    <w:name w:val="HTML Typewriter"/>
    <w:qFormat/>
    <w:uiPriority w:val="0"/>
    <w:rPr>
      <w:rFonts w:ascii="宋体" w:hAnsi="宋体" w:eastAsia="宋体" w:cs="宋体"/>
      <w:sz w:val="24"/>
      <w:szCs w:val="24"/>
    </w:rPr>
  </w:style>
  <w:style w:type="character" w:styleId="53">
    <w:name w:val="Hyperlink"/>
    <w:qFormat/>
    <w:uiPriority w:val="0"/>
    <w:rPr>
      <w:color w:val="0000FF"/>
      <w:u w:val="singl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styleId="56">
    <w:name w:val="HTML Sample"/>
    <w:unhideWhenUsed/>
    <w:qFormat/>
    <w:uiPriority w:val="99"/>
    <w:rPr>
      <w:rFonts w:ascii="Courier New" w:hAnsi="Courier New"/>
    </w:rPr>
  </w:style>
  <w:style w:type="character" w:customStyle="1" w:styleId="57">
    <w:name w:val="正文文本 字符1"/>
    <w:link w:val="2"/>
    <w:qFormat/>
    <w:uiPriority w:val="0"/>
    <w:rPr>
      <w:rFonts w:ascii="宋体" w:hAnsi="宋体"/>
      <w:kern w:val="2"/>
      <w:sz w:val="24"/>
      <w:szCs w:val="24"/>
    </w:rPr>
  </w:style>
  <w:style w:type="character" w:customStyle="1" w:styleId="58">
    <w:name w:val="标题 1 字符1"/>
    <w:link w:val="3"/>
    <w:uiPriority w:val="0"/>
    <w:rPr>
      <w:rFonts w:ascii="宋体" w:eastAsia="宋体"/>
      <w:b/>
      <w:kern w:val="44"/>
      <w:sz w:val="32"/>
      <w:lang w:val="en-US" w:eastAsia="zh-CN" w:bidi="ar-SA"/>
    </w:rPr>
  </w:style>
  <w:style w:type="character" w:customStyle="1" w:styleId="59">
    <w:name w:val="标题 2 字符1"/>
    <w:link w:val="4"/>
    <w:qFormat/>
    <w:uiPriority w:val="0"/>
    <w:rPr>
      <w:rFonts w:ascii="Arial" w:hAnsi="Arial" w:eastAsia="黑体"/>
      <w:b/>
      <w:bCs/>
      <w:kern w:val="2"/>
      <w:sz w:val="32"/>
      <w:szCs w:val="32"/>
    </w:rPr>
  </w:style>
  <w:style w:type="character" w:customStyle="1" w:styleId="60">
    <w:name w:val="正文缩进 字符1"/>
    <w:link w:val="5"/>
    <w:qFormat/>
    <w:uiPriority w:val="0"/>
    <w:rPr>
      <w:rFonts w:ascii="宋体" w:eastAsia="宋体"/>
      <w:sz w:val="24"/>
      <w:lang w:val="en-US" w:eastAsia="zh-CN" w:bidi="ar-SA"/>
    </w:rPr>
  </w:style>
  <w:style w:type="character" w:customStyle="1" w:styleId="61">
    <w:name w:val="标题 4 字符1"/>
    <w:link w:val="7"/>
    <w:qFormat/>
    <w:uiPriority w:val="0"/>
    <w:rPr>
      <w:rFonts w:ascii="Arial" w:hAnsi="Arial" w:eastAsia="黑体"/>
      <w:b/>
      <w:bCs/>
      <w:kern w:val="2"/>
      <w:sz w:val="28"/>
      <w:szCs w:val="28"/>
    </w:rPr>
  </w:style>
  <w:style w:type="character" w:customStyle="1" w:styleId="62">
    <w:name w:val="标题 5 字符1"/>
    <w:link w:val="8"/>
    <w:qFormat/>
    <w:uiPriority w:val="0"/>
    <w:rPr>
      <w:rFonts w:ascii="Calibri" w:hAnsi="Calibri"/>
      <w:b/>
      <w:bCs/>
      <w:i/>
      <w:iCs/>
      <w:sz w:val="26"/>
      <w:szCs w:val="26"/>
    </w:rPr>
  </w:style>
  <w:style w:type="character" w:customStyle="1" w:styleId="63">
    <w:name w:val="标题 6 字符1"/>
    <w:link w:val="9"/>
    <w:qFormat/>
    <w:uiPriority w:val="0"/>
    <w:rPr>
      <w:rFonts w:ascii="Calibri" w:hAnsi="Calibri"/>
      <w:b/>
      <w:bCs/>
    </w:rPr>
  </w:style>
  <w:style w:type="character" w:customStyle="1" w:styleId="64">
    <w:name w:val="标题 7 字符1"/>
    <w:link w:val="10"/>
    <w:qFormat/>
    <w:uiPriority w:val="0"/>
    <w:rPr>
      <w:rFonts w:ascii="Calibri" w:hAnsi="Calibri"/>
      <w:sz w:val="24"/>
      <w:szCs w:val="24"/>
    </w:rPr>
  </w:style>
  <w:style w:type="character" w:customStyle="1" w:styleId="65">
    <w:name w:val="标题 8 字符1"/>
    <w:link w:val="11"/>
    <w:qFormat/>
    <w:uiPriority w:val="0"/>
    <w:rPr>
      <w:rFonts w:ascii="Calibri" w:hAnsi="Calibri"/>
      <w:i/>
      <w:iCs/>
      <w:sz w:val="24"/>
      <w:szCs w:val="24"/>
    </w:rPr>
  </w:style>
  <w:style w:type="character" w:customStyle="1" w:styleId="66">
    <w:name w:val="标题 9 字符1"/>
    <w:link w:val="12"/>
    <w:qFormat/>
    <w:uiPriority w:val="0"/>
    <w:rPr>
      <w:rFonts w:ascii="Cambria" w:hAnsi="Cambria"/>
    </w:rPr>
  </w:style>
  <w:style w:type="character" w:customStyle="1" w:styleId="67">
    <w:name w:val="题注 字符"/>
    <w:link w:val="14"/>
    <w:qFormat/>
    <w:uiPriority w:val="0"/>
    <w:rPr>
      <w:rFonts w:ascii="Arial" w:hAnsi="Arial" w:eastAsia="黑体"/>
      <w:kern w:val="2"/>
    </w:rPr>
  </w:style>
  <w:style w:type="character" w:customStyle="1" w:styleId="68">
    <w:name w:val="文档结构图 字符1"/>
    <w:link w:val="16"/>
    <w:qFormat/>
    <w:uiPriority w:val="0"/>
    <w:rPr>
      <w:rFonts w:ascii="宋体" w:eastAsia="宋体"/>
      <w:kern w:val="2"/>
      <w:sz w:val="18"/>
      <w:szCs w:val="18"/>
      <w:lang w:val="en-US" w:eastAsia="zh-CN" w:bidi="ar-SA"/>
    </w:rPr>
  </w:style>
  <w:style w:type="character" w:customStyle="1" w:styleId="69">
    <w:name w:val="批注文字 字符1"/>
    <w:link w:val="17"/>
    <w:qFormat/>
    <w:uiPriority w:val="0"/>
    <w:rPr>
      <w:kern w:val="2"/>
      <w:sz w:val="21"/>
      <w:szCs w:val="24"/>
    </w:rPr>
  </w:style>
  <w:style w:type="character" w:customStyle="1" w:styleId="70">
    <w:name w:val="正文文本缩进 字符1"/>
    <w:link w:val="18"/>
    <w:qFormat/>
    <w:uiPriority w:val="0"/>
    <w:rPr>
      <w:kern w:val="2"/>
      <w:sz w:val="21"/>
      <w:szCs w:val="24"/>
    </w:rPr>
  </w:style>
  <w:style w:type="character" w:customStyle="1" w:styleId="71">
    <w:name w:val="纯文本 字符1"/>
    <w:link w:val="21"/>
    <w:qFormat/>
    <w:uiPriority w:val="0"/>
    <w:rPr>
      <w:rFonts w:ascii="宋体" w:hAnsi="Courier New" w:eastAsia="宋体"/>
      <w:kern w:val="2"/>
      <w:sz w:val="21"/>
      <w:lang w:val="en-US" w:eastAsia="zh-CN" w:bidi="ar-SA"/>
    </w:rPr>
  </w:style>
  <w:style w:type="character" w:customStyle="1" w:styleId="72">
    <w:name w:val="日期 字符1"/>
    <w:link w:val="23"/>
    <w:qFormat/>
    <w:uiPriority w:val="0"/>
    <w:rPr>
      <w:rFonts w:eastAsia="宋体"/>
      <w:kern w:val="2"/>
      <w:sz w:val="21"/>
      <w:szCs w:val="24"/>
      <w:lang w:val="en-US" w:eastAsia="zh-CN" w:bidi="ar-SA"/>
    </w:rPr>
  </w:style>
  <w:style w:type="character" w:customStyle="1" w:styleId="73">
    <w:name w:val="正文文本缩进 2 字符1"/>
    <w:link w:val="24"/>
    <w:qFormat/>
    <w:uiPriority w:val="0"/>
    <w:rPr>
      <w:rFonts w:ascii="仿宋_GB2312" w:eastAsia="仿宋_GB2312"/>
      <w:kern w:val="2"/>
      <w:sz w:val="24"/>
      <w:szCs w:val="24"/>
    </w:rPr>
  </w:style>
  <w:style w:type="character" w:customStyle="1" w:styleId="74">
    <w:name w:val="尾注文本 字符"/>
    <w:link w:val="25"/>
    <w:qFormat/>
    <w:uiPriority w:val="0"/>
    <w:rPr>
      <w:rFonts w:ascii="Calibri" w:hAnsi="Calibri"/>
      <w:kern w:val="2"/>
      <w:sz w:val="21"/>
      <w:szCs w:val="22"/>
    </w:rPr>
  </w:style>
  <w:style w:type="character" w:customStyle="1" w:styleId="75">
    <w:name w:val="批注框文本 字符1"/>
    <w:link w:val="26"/>
    <w:qFormat/>
    <w:uiPriority w:val="0"/>
    <w:rPr>
      <w:rFonts w:eastAsia="宋体"/>
      <w:kern w:val="2"/>
      <w:sz w:val="18"/>
      <w:szCs w:val="18"/>
      <w:lang w:val="en-US" w:eastAsia="zh-CN" w:bidi="ar-SA"/>
    </w:rPr>
  </w:style>
  <w:style w:type="character" w:customStyle="1" w:styleId="76">
    <w:name w:val="页脚 字符1"/>
    <w:link w:val="27"/>
    <w:qFormat/>
    <w:uiPriority w:val="0"/>
    <w:rPr>
      <w:rFonts w:eastAsia="宋体"/>
      <w:kern w:val="2"/>
      <w:sz w:val="18"/>
      <w:szCs w:val="18"/>
      <w:lang w:val="en-US" w:eastAsia="zh-CN" w:bidi="ar-SA"/>
    </w:rPr>
  </w:style>
  <w:style w:type="character" w:customStyle="1" w:styleId="77">
    <w:name w:val="页眉 字符1"/>
    <w:link w:val="28"/>
    <w:qFormat/>
    <w:uiPriority w:val="0"/>
    <w:rPr>
      <w:rFonts w:eastAsia="宋体"/>
      <w:kern w:val="2"/>
      <w:sz w:val="18"/>
      <w:szCs w:val="18"/>
      <w:lang w:val="en-US" w:eastAsia="zh-CN" w:bidi="ar-SA"/>
    </w:rPr>
  </w:style>
  <w:style w:type="character" w:customStyle="1" w:styleId="78">
    <w:name w:val="副标题 字符1"/>
    <w:link w:val="31"/>
    <w:qFormat/>
    <w:uiPriority w:val="0"/>
    <w:rPr>
      <w:rFonts w:ascii="Cambria" w:hAnsi="Cambria" w:cs="Times New Roman"/>
      <w:b/>
      <w:bCs/>
      <w:kern w:val="28"/>
      <w:sz w:val="32"/>
      <w:szCs w:val="32"/>
    </w:rPr>
  </w:style>
  <w:style w:type="character" w:customStyle="1" w:styleId="79">
    <w:name w:val="脚注文本 字符"/>
    <w:link w:val="32"/>
    <w:qFormat/>
    <w:uiPriority w:val="0"/>
    <w:rPr>
      <w:rFonts w:ascii="Calibri" w:hAnsi="Calibri"/>
      <w:kern w:val="2"/>
      <w:sz w:val="18"/>
      <w:szCs w:val="18"/>
    </w:rPr>
  </w:style>
  <w:style w:type="character" w:customStyle="1" w:styleId="80">
    <w:name w:val="正文文本缩进 3 字符1"/>
    <w:link w:val="34"/>
    <w:qFormat/>
    <w:uiPriority w:val="0"/>
    <w:rPr>
      <w:rFonts w:ascii="宋体"/>
      <w:sz w:val="24"/>
    </w:rPr>
  </w:style>
  <w:style w:type="character" w:customStyle="1" w:styleId="81">
    <w:name w:val="HTML 预设格式 字符"/>
    <w:link w:val="37"/>
    <w:qFormat/>
    <w:uiPriority w:val="0"/>
    <w:rPr>
      <w:rFonts w:ascii="宋体" w:hAnsi="宋体"/>
      <w:sz w:val="24"/>
      <w:szCs w:val="24"/>
    </w:rPr>
  </w:style>
  <w:style w:type="character" w:customStyle="1" w:styleId="82">
    <w:name w:val="标题 字符1"/>
    <w:link w:val="40"/>
    <w:qFormat/>
    <w:uiPriority w:val="0"/>
    <w:rPr>
      <w:rFonts w:ascii="Cambria" w:hAnsi="Cambria" w:eastAsia="宋体"/>
      <w:b/>
      <w:bCs/>
      <w:kern w:val="2"/>
      <w:sz w:val="32"/>
      <w:szCs w:val="32"/>
      <w:lang w:val="en-US" w:eastAsia="zh-CN" w:bidi="ar-SA"/>
    </w:rPr>
  </w:style>
  <w:style w:type="character" w:customStyle="1" w:styleId="83">
    <w:name w:val="批注主题 字符1"/>
    <w:link w:val="41"/>
    <w:qFormat/>
    <w:uiPriority w:val="0"/>
    <w:rPr>
      <w:b/>
      <w:bCs/>
      <w:kern w:val="2"/>
      <w:sz w:val="21"/>
      <w:szCs w:val="24"/>
    </w:rPr>
  </w:style>
  <w:style w:type="character" w:customStyle="1" w:styleId="84">
    <w:name w:val="正文文本首行缩进 字符"/>
    <w:link w:val="42"/>
    <w:qFormat/>
    <w:uiPriority w:val="0"/>
    <w:rPr>
      <w:rFonts w:eastAsia="宋体"/>
      <w:kern w:val="2"/>
      <w:sz w:val="21"/>
      <w:szCs w:val="24"/>
      <w:lang w:val="en-US" w:eastAsia="zh-CN" w:bidi="ar-SA"/>
    </w:rPr>
  </w:style>
  <w:style w:type="character" w:customStyle="1" w:styleId="85">
    <w:name w:val="正文文本首行缩进 2 字符"/>
    <w:link w:val="43"/>
    <w:qFormat/>
    <w:uiPriority w:val="0"/>
    <w:rPr>
      <w:kern w:val="2"/>
      <w:sz w:val="21"/>
      <w:szCs w:val="24"/>
    </w:rPr>
  </w:style>
  <w:style w:type="character" w:customStyle="1" w:styleId="86">
    <w:name w:val="列出段落 Char"/>
    <w:qFormat/>
    <w:uiPriority w:val="0"/>
    <w:rPr>
      <w:rFonts w:ascii="Calibri" w:hAnsi="Calibri"/>
      <w:kern w:val="2"/>
      <w:sz w:val="21"/>
      <w:szCs w:val="22"/>
    </w:rPr>
  </w:style>
  <w:style w:type="character" w:customStyle="1" w:styleId="87">
    <w:name w:val="font81"/>
    <w:qFormat/>
    <w:uiPriority w:val="0"/>
    <w:rPr>
      <w:rFonts w:ascii="Calibri" w:hAnsi="Calibri" w:cs="Calibri"/>
      <w:color w:val="000000"/>
      <w:sz w:val="20"/>
      <w:szCs w:val="20"/>
      <w:u w:val="none"/>
    </w:rPr>
  </w:style>
  <w:style w:type="character" w:customStyle="1" w:styleId="88">
    <w:name w:val="正文首行缩进 字符"/>
    <w:qFormat/>
    <w:uiPriority w:val="0"/>
    <w:rPr>
      <w:rFonts w:eastAsia="宋体"/>
      <w:kern w:val="2"/>
      <w:sz w:val="21"/>
      <w:szCs w:val="24"/>
      <w:lang w:val="en-US" w:eastAsia="zh-CN" w:bidi="ar-SA"/>
    </w:rPr>
  </w:style>
  <w:style w:type="character" w:customStyle="1" w:styleId="89">
    <w:name w:val="_Style 88"/>
    <w:qFormat/>
    <w:uiPriority w:val="0"/>
    <w:rPr>
      <w:sz w:val="24"/>
      <w:szCs w:val="24"/>
      <w:u w:val="single"/>
    </w:rPr>
  </w:style>
  <w:style w:type="character" w:customStyle="1" w:styleId="90">
    <w:name w:val="明显引用 字符"/>
    <w:qFormat/>
    <w:uiPriority w:val="0"/>
    <w:rPr>
      <w:b/>
      <w:i/>
      <w:sz w:val="24"/>
    </w:rPr>
  </w:style>
  <w:style w:type="character" w:customStyle="1" w:styleId="91">
    <w:name w:val="my正文 Char Char"/>
    <w:link w:val="92"/>
    <w:qFormat/>
    <w:uiPriority w:val="0"/>
  </w:style>
  <w:style w:type="paragraph" w:customStyle="1" w:styleId="92">
    <w:name w:val="my正文"/>
    <w:basedOn w:val="1"/>
    <w:link w:val="91"/>
    <w:qFormat/>
    <w:uiPriority w:val="0"/>
    <w:pPr>
      <w:spacing w:line="360" w:lineRule="auto"/>
      <w:ind w:firstLine="480" w:firstLineChars="200"/>
    </w:pPr>
  </w:style>
  <w:style w:type="character" w:customStyle="1" w:styleId="93">
    <w:name w:val="正文缩进(ALT+Z) Char Char"/>
    <w:link w:val="94"/>
    <w:qFormat/>
    <w:uiPriority w:val="0"/>
    <w:rPr>
      <w:rFonts w:ascii="宋体"/>
      <w:kern w:val="2"/>
      <w:sz w:val="24"/>
      <w:szCs w:val="24"/>
    </w:rPr>
  </w:style>
  <w:style w:type="paragraph" w:customStyle="1" w:styleId="94">
    <w:name w:val="正文缩进(ALT+Z)"/>
    <w:basedOn w:val="1"/>
    <w:link w:val="93"/>
    <w:qFormat/>
    <w:uiPriority w:val="0"/>
    <w:pPr>
      <w:spacing w:line="360" w:lineRule="auto"/>
      <w:ind w:firstLine="200" w:firstLineChars="200"/>
    </w:pPr>
    <w:rPr>
      <w:rFonts w:ascii="宋体"/>
      <w:sz w:val="24"/>
    </w:rPr>
  </w:style>
  <w:style w:type="character" w:customStyle="1" w:styleId="95">
    <w:name w:val="纯文本 Char1"/>
    <w:qFormat/>
    <w:uiPriority w:val="0"/>
    <w:rPr>
      <w:rFonts w:ascii="宋体" w:hAnsi="Courier New" w:cs="Courier New"/>
      <w:kern w:val="2"/>
      <w:sz w:val="21"/>
      <w:szCs w:val="21"/>
    </w:rPr>
  </w:style>
  <w:style w:type="character" w:customStyle="1" w:styleId="96">
    <w:name w:val="style3"/>
    <w:qFormat/>
    <w:uiPriority w:val="0"/>
  </w:style>
  <w:style w:type="character" w:customStyle="1" w:styleId="97">
    <w:name w:val="标题 字符"/>
    <w:qFormat/>
    <w:uiPriority w:val="0"/>
    <w:rPr>
      <w:rFonts w:ascii="Cambria" w:hAnsi="Cambria" w:eastAsia="宋体"/>
      <w:b/>
      <w:bCs/>
      <w:kern w:val="2"/>
      <w:sz w:val="32"/>
      <w:szCs w:val="32"/>
      <w:lang w:val="en-US" w:eastAsia="zh-CN" w:bidi="ar-SA"/>
    </w:rPr>
  </w:style>
  <w:style w:type="character" w:customStyle="1" w:styleId="98">
    <w:name w:val="常规 Char Char"/>
    <w:link w:val="99"/>
    <w:qFormat/>
    <w:uiPriority w:val="0"/>
    <w:rPr>
      <w:kern w:val="2"/>
      <w:sz w:val="21"/>
    </w:rPr>
  </w:style>
  <w:style w:type="paragraph" w:customStyle="1" w:styleId="99">
    <w:name w:val="常规"/>
    <w:basedOn w:val="1"/>
    <w:link w:val="98"/>
    <w:qFormat/>
    <w:uiPriority w:val="0"/>
    <w:pPr>
      <w:spacing w:before="312" w:beforeLines="100" w:after="312" w:afterLines="100"/>
      <w:ind w:left="1134"/>
    </w:pPr>
    <w:rPr>
      <w:szCs w:val="20"/>
    </w:rPr>
  </w:style>
  <w:style w:type="character" w:customStyle="1" w:styleId="100">
    <w:name w:val="15"/>
    <w:qFormat/>
    <w:uiPriority w:val="0"/>
    <w:rPr>
      <w:rFonts w:hint="eastAsia" w:ascii="宋体" w:hAnsi="宋体" w:eastAsia="宋体" w:cs="宋体"/>
      <w:color w:val="000000"/>
      <w:sz w:val="18"/>
      <w:szCs w:val="18"/>
    </w:rPr>
  </w:style>
  <w:style w:type="character" w:customStyle="1" w:styleId="101">
    <w:name w:val="页眉 字符"/>
    <w:qFormat/>
    <w:uiPriority w:val="0"/>
    <w:rPr>
      <w:rFonts w:eastAsia="宋体"/>
      <w:kern w:val="2"/>
      <w:sz w:val="18"/>
      <w:szCs w:val="18"/>
      <w:lang w:val="en-US" w:eastAsia="zh-CN" w:bidi="ar-SA"/>
    </w:rPr>
  </w:style>
  <w:style w:type="character" w:customStyle="1" w:styleId="102">
    <w:name w:val="纯文本 Char2"/>
    <w:qFormat/>
    <w:uiPriority w:val="0"/>
    <w:rPr>
      <w:rFonts w:ascii="宋体" w:hAnsi="Courier New" w:eastAsia="宋体"/>
      <w:kern w:val="2"/>
      <w:sz w:val="21"/>
      <w:lang w:val="en-US" w:eastAsia="zh-CN" w:bidi="ar-SA"/>
    </w:rPr>
  </w:style>
  <w:style w:type="character" w:customStyle="1" w:styleId="103">
    <w:name w:val="font51"/>
    <w:qFormat/>
    <w:uiPriority w:val="0"/>
    <w:rPr>
      <w:rFonts w:ascii="Arial" w:hAnsi="Arial" w:cs="Arial"/>
      <w:color w:val="000000"/>
      <w:sz w:val="16"/>
      <w:szCs w:val="16"/>
    </w:rPr>
  </w:style>
  <w:style w:type="character" w:customStyle="1" w:styleId="104">
    <w:name w:val="font241"/>
    <w:qFormat/>
    <w:uiPriority w:val="0"/>
    <w:rPr>
      <w:rFonts w:hint="eastAsia" w:ascii="宋体" w:hAnsi="宋体" w:eastAsia="宋体" w:cs="宋体"/>
      <w:b/>
      <w:color w:val="000000"/>
      <w:sz w:val="22"/>
      <w:szCs w:val="22"/>
      <w:u w:val="none"/>
    </w:rPr>
  </w:style>
  <w:style w:type="character" w:customStyle="1" w:styleId="105">
    <w:name w:val="正文缩进 Char1 Char Char Char Char Char Char Char Char Char Char Char Char Char"/>
    <w:qFormat/>
    <w:uiPriority w:val="0"/>
    <w:rPr>
      <w:rFonts w:ascii="宋体" w:eastAsia="宋体"/>
      <w:sz w:val="24"/>
      <w:lang w:val="en-US" w:eastAsia="zh-CN" w:bidi="ar-SA"/>
    </w:rPr>
  </w:style>
  <w:style w:type="character" w:customStyle="1" w:styleId="106">
    <w:name w:val="正文文本缩进 Char1"/>
    <w:qFormat/>
    <w:uiPriority w:val="0"/>
    <w:rPr>
      <w:kern w:val="2"/>
      <w:sz w:val="21"/>
      <w:szCs w:val="24"/>
    </w:rPr>
  </w:style>
  <w:style w:type="character" w:customStyle="1" w:styleId="107">
    <w:name w:val="text1"/>
    <w:qFormat/>
    <w:uiPriority w:val="0"/>
    <w:rPr>
      <w:sz w:val="18"/>
      <w:szCs w:val="18"/>
    </w:rPr>
  </w:style>
  <w:style w:type="character" w:customStyle="1" w:styleId="108">
    <w:name w:val="mynetcnframeb1"/>
    <w:qFormat/>
    <w:uiPriority w:val="0"/>
    <w:rPr>
      <w:color w:val="202020"/>
      <w:sz w:val="18"/>
      <w:szCs w:val="18"/>
    </w:rPr>
  </w:style>
  <w:style w:type="character" w:customStyle="1" w:styleId="109">
    <w:name w:val="标题 1 字符"/>
    <w:qFormat/>
    <w:uiPriority w:val="0"/>
    <w:rPr>
      <w:rFonts w:ascii="宋体" w:eastAsia="宋体"/>
      <w:b/>
      <w:kern w:val="44"/>
      <w:sz w:val="32"/>
      <w:lang w:val="en-US" w:eastAsia="zh-CN" w:bidi="ar-SA"/>
    </w:rPr>
  </w:style>
  <w:style w:type="character" w:customStyle="1" w:styleId="110">
    <w:name w:val="引用 Char1"/>
    <w:qFormat/>
    <w:uiPriority w:val="0"/>
    <w:rPr>
      <w:i/>
      <w:iCs/>
      <w:color w:val="000000"/>
      <w:kern w:val="2"/>
      <w:sz w:val="21"/>
      <w:szCs w:val="24"/>
    </w:rPr>
  </w:style>
  <w:style w:type="character" w:customStyle="1" w:styleId="111">
    <w:name w:val="正文文本缩进 2 字符"/>
    <w:qFormat/>
    <w:uiPriority w:val="0"/>
    <w:rPr>
      <w:rFonts w:ascii="仿宋_GB2312" w:eastAsia="仿宋_GB2312"/>
      <w:kern w:val="2"/>
      <w:sz w:val="24"/>
      <w:szCs w:val="24"/>
    </w:rPr>
  </w:style>
  <w:style w:type="character" w:customStyle="1" w:styleId="112">
    <w:name w:val="font21"/>
    <w:qFormat/>
    <w:uiPriority w:val="0"/>
    <w:rPr>
      <w:rFonts w:hint="eastAsia" w:ascii="宋体" w:hAnsi="宋体" w:eastAsia="宋体" w:cs="宋体"/>
      <w:color w:val="000000"/>
      <w:sz w:val="40"/>
      <w:szCs w:val="40"/>
      <w:u w:val="none"/>
    </w:rPr>
  </w:style>
  <w:style w:type="character" w:customStyle="1" w:styleId="113">
    <w:name w:val="日期 字符"/>
    <w:qFormat/>
    <w:uiPriority w:val="0"/>
    <w:rPr>
      <w:rFonts w:eastAsia="宋体"/>
      <w:kern w:val="2"/>
      <w:sz w:val="21"/>
      <w:szCs w:val="24"/>
      <w:lang w:val="en-US" w:eastAsia="zh-CN" w:bidi="ar-SA"/>
    </w:rPr>
  </w:style>
  <w:style w:type="character" w:customStyle="1" w:styleId="114">
    <w:name w:val="T正文 Char Char"/>
    <w:link w:val="115"/>
    <w:qFormat/>
    <w:uiPriority w:val="0"/>
    <w:rPr>
      <w:kern w:val="2"/>
      <w:sz w:val="24"/>
      <w:szCs w:val="24"/>
    </w:rPr>
  </w:style>
  <w:style w:type="paragraph" w:customStyle="1" w:styleId="115">
    <w:name w:val="T正文"/>
    <w:basedOn w:val="1"/>
    <w:link w:val="114"/>
    <w:qFormat/>
    <w:uiPriority w:val="0"/>
    <w:pPr>
      <w:spacing w:line="360" w:lineRule="auto"/>
      <w:ind w:firstLine="476"/>
    </w:pPr>
    <w:rPr>
      <w:sz w:val="24"/>
    </w:rPr>
  </w:style>
  <w:style w:type="character" w:customStyle="1" w:styleId="116">
    <w:name w:val="apple-converted-space"/>
    <w:qFormat/>
    <w:uiPriority w:val="0"/>
  </w:style>
  <w:style w:type="character" w:customStyle="1" w:styleId="117">
    <w:name w:val="正文文本 Char1"/>
    <w:qFormat/>
    <w:uiPriority w:val="0"/>
    <w:rPr>
      <w:kern w:val="2"/>
      <w:sz w:val="21"/>
      <w:szCs w:val="24"/>
    </w:rPr>
  </w:style>
  <w:style w:type="character" w:customStyle="1" w:styleId="118">
    <w:name w:val="zt Char Char"/>
    <w:link w:val="119"/>
    <w:qFormat/>
    <w:uiPriority w:val="0"/>
    <w:rPr>
      <w:rFonts w:ascii="EU-F1" w:eastAsia="EU-F1"/>
      <w:bCs/>
      <w:szCs w:val="21"/>
    </w:rPr>
  </w:style>
  <w:style w:type="paragraph" w:customStyle="1" w:styleId="119">
    <w:name w:val="zt"/>
    <w:basedOn w:val="1"/>
    <w:link w:val="118"/>
    <w:qFormat/>
    <w:uiPriority w:val="0"/>
    <w:pPr>
      <w:overflowPunct w:val="0"/>
      <w:topLinePunct/>
      <w:spacing w:line="312" w:lineRule="exact"/>
    </w:pPr>
    <w:rPr>
      <w:rFonts w:ascii="EU-F1" w:eastAsia="EU-F1"/>
      <w:bCs/>
      <w:kern w:val="0"/>
      <w:sz w:val="20"/>
      <w:szCs w:val="21"/>
    </w:rPr>
  </w:style>
  <w:style w:type="character" w:customStyle="1" w:styleId="120">
    <w:name w:val="正文首行缩进 2 字符"/>
    <w:qFormat/>
    <w:uiPriority w:val="0"/>
    <w:rPr>
      <w:kern w:val="2"/>
      <w:sz w:val="21"/>
      <w:szCs w:val="24"/>
    </w:rPr>
  </w:style>
  <w:style w:type="character" w:customStyle="1" w:styleId="121">
    <w:name w:val="style111"/>
    <w:qFormat/>
    <w:uiPriority w:val="0"/>
    <w:rPr>
      <w:sz w:val="20"/>
      <w:szCs w:val="20"/>
    </w:rPr>
  </w:style>
  <w:style w:type="character" w:customStyle="1" w:styleId="122">
    <w:name w:val="引用 字符1"/>
    <w:link w:val="123"/>
    <w:qFormat/>
    <w:uiPriority w:val="0"/>
    <w:rPr>
      <w:i/>
      <w:sz w:val="24"/>
      <w:szCs w:val="24"/>
    </w:rPr>
  </w:style>
  <w:style w:type="paragraph" w:styleId="123">
    <w:name w:val="Quote"/>
    <w:basedOn w:val="1"/>
    <w:next w:val="1"/>
    <w:link w:val="122"/>
    <w:qFormat/>
    <w:uiPriority w:val="0"/>
    <w:pPr>
      <w:widowControl/>
      <w:jc w:val="left"/>
    </w:pPr>
    <w:rPr>
      <w:i/>
      <w:kern w:val="0"/>
      <w:sz w:val="24"/>
    </w:rPr>
  </w:style>
  <w:style w:type="character" w:customStyle="1" w:styleId="124">
    <w:name w:val="标题 Char1"/>
    <w:uiPriority w:val="0"/>
    <w:rPr>
      <w:rFonts w:ascii="Cambria" w:hAnsi="Cambria" w:cs="Times New Roman"/>
      <w:b/>
      <w:bCs/>
      <w:kern w:val="2"/>
      <w:sz w:val="32"/>
      <w:szCs w:val="32"/>
    </w:rPr>
  </w:style>
  <w:style w:type="character" w:customStyle="1" w:styleId="125">
    <w:name w:val="box_proinfo_em1"/>
    <w:qFormat/>
    <w:uiPriority w:val="0"/>
    <w:rPr>
      <w:b/>
      <w:bCs/>
      <w:color w:val="1964B6"/>
    </w:rPr>
  </w:style>
  <w:style w:type="character" w:customStyle="1" w:styleId="126">
    <w:name w:val="页脚 字符"/>
    <w:uiPriority w:val="0"/>
    <w:rPr>
      <w:rFonts w:eastAsia="宋体"/>
      <w:kern w:val="2"/>
      <w:sz w:val="18"/>
      <w:szCs w:val="18"/>
      <w:lang w:val="en-US" w:eastAsia="zh-CN" w:bidi="ar-SA"/>
    </w:rPr>
  </w:style>
  <w:style w:type="character" w:customStyle="1" w:styleId="127">
    <w:name w:val="列出段落 字符1"/>
    <w:uiPriority w:val="0"/>
    <w:rPr>
      <w:rFonts w:eastAsia="仿宋"/>
      <w:sz w:val="32"/>
    </w:rPr>
  </w:style>
  <w:style w:type="character" w:customStyle="1" w:styleId="128">
    <w:name w:val="Item Step in Table Char Char"/>
    <w:link w:val="129"/>
    <w:qFormat/>
    <w:uiPriority w:val="0"/>
    <w:rPr>
      <w:rFonts w:ascii="Arial" w:hAnsi="Arial"/>
      <w:sz w:val="18"/>
      <w:szCs w:val="18"/>
      <w:lang w:val="en-US" w:eastAsia="zh-CN" w:bidi="ar-SA"/>
    </w:rPr>
  </w:style>
  <w:style w:type="paragraph" w:customStyle="1" w:styleId="129">
    <w:name w:val="Item Step in Table"/>
    <w:link w:val="128"/>
    <w:uiPriority w:val="0"/>
    <w:pPr>
      <w:tabs>
        <w:tab w:val="left" w:pos="397"/>
      </w:tabs>
      <w:spacing w:before="40" w:after="40"/>
      <w:ind w:left="397" w:hanging="397"/>
      <w:jc w:val="both"/>
    </w:pPr>
    <w:rPr>
      <w:rFonts w:ascii="Arial" w:hAnsi="Arial" w:eastAsia="宋体" w:cs="Times New Roman"/>
      <w:sz w:val="18"/>
      <w:szCs w:val="18"/>
      <w:lang w:val="en-US" w:eastAsia="zh-CN" w:bidi="ar-SA"/>
    </w:rPr>
  </w:style>
  <w:style w:type="character" w:customStyle="1" w:styleId="130">
    <w:name w:val="批注框文本 字符"/>
    <w:uiPriority w:val="0"/>
    <w:rPr>
      <w:rFonts w:eastAsia="宋体"/>
      <w:kern w:val="2"/>
      <w:sz w:val="18"/>
      <w:szCs w:val="18"/>
      <w:lang w:val="en-US" w:eastAsia="zh-CN" w:bidi="ar-SA"/>
    </w:rPr>
  </w:style>
  <w:style w:type="character" w:customStyle="1" w:styleId="131">
    <w:name w:val="标题 2 字符"/>
    <w:qFormat/>
    <w:uiPriority w:val="0"/>
    <w:rPr>
      <w:rFonts w:ascii="Arial" w:hAnsi="Arial" w:eastAsia="黑体"/>
      <w:b/>
      <w:bCs/>
      <w:kern w:val="2"/>
      <w:sz w:val="32"/>
      <w:szCs w:val="32"/>
    </w:rPr>
  </w:style>
  <w:style w:type="character" w:customStyle="1" w:styleId="132">
    <w:name w:val="_Style 131"/>
    <w:qFormat/>
    <w:uiPriority w:val="0"/>
    <w:rPr>
      <w:rFonts w:ascii="Cambria" w:hAnsi="Cambria" w:eastAsia="宋体"/>
      <w:b/>
      <w:i/>
      <w:sz w:val="24"/>
      <w:szCs w:val="24"/>
    </w:rPr>
  </w:style>
  <w:style w:type="character" w:customStyle="1" w:styleId="133">
    <w:name w:val="标题3 Char"/>
    <w:uiPriority w:val="0"/>
    <w:rPr>
      <w:rFonts w:ascii="Calibri" w:hAnsi="Calibri" w:eastAsia="黑体"/>
      <w:b/>
      <w:bCs/>
      <w:kern w:val="44"/>
      <w:sz w:val="28"/>
      <w:szCs w:val="44"/>
    </w:rPr>
  </w:style>
  <w:style w:type="character" w:customStyle="1" w:styleId="134">
    <w:name w:val="_Style 133"/>
    <w:qFormat/>
    <w:uiPriority w:val="0"/>
    <w:rPr>
      <w:i/>
      <w:color w:val="5A5A5A"/>
    </w:rPr>
  </w:style>
  <w:style w:type="character" w:customStyle="1" w:styleId="135">
    <w:name w:val="引用 字符"/>
    <w:qFormat/>
    <w:uiPriority w:val="0"/>
    <w:rPr>
      <w:i/>
      <w:sz w:val="24"/>
      <w:szCs w:val="24"/>
    </w:rPr>
  </w:style>
  <w:style w:type="character" w:customStyle="1" w:styleId="136">
    <w:name w:val="w2 left"/>
    <w:uiPriority w:val="0"/>
  </w:style>
  <w:style w:type="character" w:customStyle="1" w:styleId="137">
    <w:name w:val="文档结构图 字符"/>
    <w:qFormat/>
    <w:uiPriority w:val="0"/>
    <w:rPr>
      <w:rFonts w:ascii="宋体" w:eastAsia="宋体"/>
      <w:kern w:val="2"/>
      <w:sz w:val="18"/>
      <w:szCs w:val="18"/>
      <w:lang w:val="en-US" w:eastAsia="zh-CN" w:bidi="ar-SA"/>
    </w:rPr>
  </w:style>
  <w:style w:type="character" w:customStyle="1" w:styleId="138">
    <w:name w:val="006正文 Char Char"/>
    <w:link w:val="139"/>
    <w:uiPriority w:val="0"/>
    <w:rPr>
      <w:rFonts w:ascii="宋体" w:hAnsi="宋体"/>
      <w:sz w:val="24"/>
      <w:szCs w:val="24"/>
    </w:rPr>
  </w:style>
  <w:style w:type="paragraph" w:customStyle="1" w:styleId="139">
    <w:name w:val="006正文"/>
    <w:basedOn w:val="1"/>
    <w:link w:val="138"/>
    <w:qFormat/>
    <w:uiPriority w:val="0"/>
    <w:pPr>
      <w:adjustRightInd w:val="0"/>
      <w:spacing w:line="360" w:lineRule="auto"/>
      <w:ind w:firstLine="480" w:firstLineChars="200"/>
      <w:textAlignment w:val="baseline"/>
    </w:pPr>
    <w:rPr>
      <w:rFonts w:ascii="宋体" w:hAnsi="宋体"/>
      <w:kern w:val="0"/>
      <w:sz w:val="24"/>
    </w:rPr>
  </w:style>
  <w:style w:type="character" w:customStyle="1" w:styleId="140">
    <w:name w:val="param-name"/>
    <w:qFormat/>
    <w:uiPriority w:val="0"/>
  </w:style>
  <w:style w:type="character" w:customStyle="1" w:styleId="141">
    <w:name w:val="font71"/>
    <w:qFormat/>
    <w:uiPriority w:val="0"/>
    <w:rPr>
      <w:rFonts w:hint="eastAsia" w:ascii="宋体" w:hAnsi="宋体" w:eastAsia="宋体" w:cs="宋体"/>
      <w:color w:val="000000"/>
      <w:sz w:val="20"/>
      <w:szCs w:val="20"/>
      <w:u w:val="none"/>
    </w:rPr>
  </w:style>
  <w:style w:type="character" w:customStyle="1" w:styleId="142">
    <w:name w:val="apple-style-span"/>
    <w:qFormat/>
    <w:uiPriority w:val="0"/>
  </w:style>
  <w:style w:type="character" w:customStyle="1" w:styleId="143">
    <w:name w:val="无间隔 字符"/>
    <w:qFormat/>
    <w:uiPriority w:val="0"/>
    <w:rPr>
      <w:rFonts w:ascii="Calibri" w:hAnsi="Calibri"/>
      <w:sz w:val="22"/>
      <w:szCs w:val="22"/>
      <w:lang w:val="en-US" w:eastAsia="zh-CN" w:bidi="ar-SA"/>
    </w:rPr>
  </w:style>
  <w:style w:type="character" w:customStyle="1" w:styleId="144">
    <w:name w:val="日期 Char1"/>
    <w:uiPriority w:val="0"/>
    <w:rPr>
      <w:rFonts w:ascii="Calibri" w:hAnsi="Calibri"/>
      <w:kern w:val="2"/>
      <w:sz w:val="21"/>
      <w:szCs w:val="22"/>
    </w:rPr>
  </w:style>
  <w:style w:type="character" w:customStyle="1" w:styleId="145">
    <w:name w:val="样式1 Char Char"/>
    <w:link w:val="146"/>
    <w:uiPriority w:val="0"/>
    <w:rPr>
      <w:rFonts w:ascii="Arial" w:hAnsi="Arial"/>
      <w:b/>
      <w:sz w:val="28"/>
      <w:szCs w:val="32"/>
    </w:rPr>
  </w:style>
  <w:style w:type="paragraph" w:customStyle="1" w:styleId="146">
    <w:name w:val="样式1"/>
    <w:basedOn w:val="4"/>
    <w:link w:val="145"/>
    <w:uiPriority w:val="0"/>
    <w:pPr>
      <w:autoSpaceDE w:val="0"/>
      <w:autoSpaceDN w:val="0"/>
      <w:adjustRightInd w:val="0"/>
      <w:spacing w:before="120" w:beforeLines="0" w:after="0" w:afterLines="0" w:line="300" w:lineRule="auto"/>
      <w:jc w:val="left"/>
    </w:pPr>
    <w:rPr>
      <w:rFonts w:eastAsia="宋体"/>
      <w:bCs w:val="0"/>
      <w:kern w:val="0"/>
      <w:sz w:val="28"/>
    </w:rPr>
  </w:style>
  <w:style w:type="character" w:customStyle="1" w:styleId="147">
    <w:name w:val="标题 Char2"/>
    <w:uiPriority w:val="0"/>
    <w:rPr>
      <w:rFonts w:ascii="Cambria" w:hAnsi="Cambria"/>
      <w:b/>
      <w:bCs/>
      <w:sz w:val="32"/>
      <w:szCs w:val="32"/>
    </w:rPr>
  </w:style>
  <w:style w:type="character" w:customStyle="1" w:styleId="148">
    <w:name w:val="正文文本缩进 3 字符"/>
    <w:qFormat/>
    <w:uiPriority w:val="0"/>
    <w:rPr>
      <w:rFonts w:ascii="宋体"/>
      <w:sz w:val="24"/>
    </w:rPr>
  </w:style>
  <w:style w:type="character" w:customStyle="1" w:styleId="149">
    <w:name w:val="w1 left"/>
    <w:qFormat/>
    <w:uiPriority w:val="0"/>
  </w:style>
  <w:style w:type="character" w:customStyle="1" w:styleId="150">
    <w:name w:val="font01"/>
    <w:basedOn w:val="46"/>
    <w:qFormat/>
    <w:uiPriority w:val="0"/>
    <w:rPr>
      <w:rFonts w:hint="eastAsia" w:ascii="宋体" w:hAnsi="宋体" w:eastAsia="宋体" w:cs="宋体"/>
      <w:color w:val="000000"/>
      <w:sz w:val="16"/>
      <w:szCs w:val="16"/>
    </w:rPr>
  </w:style>
  <w:style w:type="character" w:customStyle="1" w:styleId="151">
    <w:name w:val="正文文本 字符"/>
    <w:uiPriority w:val="0"/>
    <w:rPr>
      <w:rFonts w:eastAsia="仿宋"/>
      <w:sz w:val="32"/>
    </w:rPr>
  </w:style>
  <w:style w:type="character" w:customStyle="1" w:styleId="152">
    <w:name w:val="标题 9 字符"/>
    <w:uiPriority w:val="0"/>
    <w:rPr>
      <w:rFonts w:ascii="Cambria" w:hAnsi="Cambria"/>
    </w:rPr>
  </w:style>
  <w:style w:type="character" w:customStyle="1" w:styleId="153">
    <w:name w:val="text"/>
    <w:uiPriority w:val="0"/>
  </w:style>
  <w:style w:type="character" w:customStyle="1" w:styleId="154">
    <w:name w:val="font251"/>
    <w:uiPriority w:val="0"/>
    <w:rPr>
      <w:rFonts w:hint="eastAsia" w:ascii="宋体" w:hAnsi="宋体" w:eastAsia="宋体" w:cs="宋体"/>
      <w:color w:val="auto"/>
      <w:sz w:val="22"/>
      <w:szCs w:val="22"/>
      <w:u w:val="none"/>
    </w:rPr>
  </w:style>
  <w:style w:type="character" w:customStyle="1" w:styleId="155">
    <w:name w:val="标题 7 字符"/>
    <w:qFormat/>
    <w:uiPriority w:val="0"/>
    <w:rPr>
      <w:rFonts w:ascii="Calibri" w:hAnsi="Calibri"/>
      <w:sz w:val="24"/>
      <w:szCs w:val="24"/>
    </w:rPr>
  </w:style>
  <w:style w:type="character" w:customStyle="1" w:styleId="156">
    <w:name w:val="正文文本缩进 字符"/>
    <w:qFormat/>
    <w:uiPriority w:val="0"/>
    <w:rPr>
      <w:kern w:val="2"/>
      <w:sz w:val="21"/>
      <w:szCs w:val="24"/>
    </w:rPr>
  </w:style>
  <w:style w:type="character" w:customStyle="1" w:styleId="157">
    <w:name w:val="明显引用 Char1"/>
    <w:uiPriority w:val="0"/>
    <w:rPr>
      <w:b/>
      <w:bCs/>
      <w:i/>
      <w:iCs/>
      <w:color w:val="4F81BD"/>
      <w:kern w:val="2"/>
      <w:sz w:val="21"/>
      <w:szCs w:val="24"/>
    </w:rPr>
  </w:style>
  <w:style w:type="character" w:customStyle="1" w:styleId="158">
    <w:name w:val="纯文本 字符"/>
    <w:qFormat/>
    <w:uiPriority w:val="0"/>
    <w:rPr>
      <w:rFonts w:ascii="宋体" w:hAnsi="Courier New" w:eastAsia="宋体"/>
      <w:kern w:val="2"/>
      <w:sz w:val="21"/>
      <w:lang w:val="en-US" w:eastAsia="zh-CN" w:bidi="ar-SA"/>
    </w:rPr>
  </w:style>
  <w:style w:type="character" w:customStyle="1" w:styleId="159">
    <w:name w:val="标题 8 字符"/>
    <w:qFormat/>
    <w:uiPriority w:val="0"/>
    <w:rPr>
      <w:rFonts w:ascii="Calibri" w:hAnsi="Calibri"/>
      <w:i/>
      <w:iCs/>
      <w:sz w:val="24"/>
      <w:szCs w:val="24"/>
    </w:rPr>
  </w:style>
  <w:style w:type="character" w:customStyle="1" w:styleId="160">
    <w:name w:val="无间隔 字符1"/>
    <w:link w:val="161"/>
    <w:uiPriority w:val="0"/>
    <w:rPr>
      <w:sz w:val="22"/>
      <w:szCs w:val="22"/>
      <w:lang w:val="en-US" w:eastAsia="zh-CN" w:bidi="ar-SA"/>
    </w:rPr>
  </w:style>
  <w:style w:type="paragraph" w:styleId="161">
    <w:name w:val="No Spacing"/>
    <w:link w:val="160"/>
    <w:qFormat/>
    <w:uiPriority w:val="0"/>
    <w:rPr>
      <w:rFonts w:ascii="Times New Roman" w:hAnsi="Times New Roman" w:eastAsia="宋体" w:cs="Times New Roman"/>
      <w:sz w:val="22"/>
      <w:szCs w:val="22"/>
      <w:lang w:val="en-US" w:eastAsia="zh-CN" w:bidi="ar-SA"/>
    </w:rPr>
  </w:style>
  <w:style w:type="character" w:customStyle="1" w:styleId="162">
    <w:name w:val="标题 6 字符"/>
    <w:uiPriority w:val="0"/>
    <w:rPr>
      <w:rFonts w:ascii="Calibri" w:hAnsi="Calibri"/>
      <w:b/>
      <w:bCs/>
    </w:rPr>
  </w:style>
  <w:style w:type="character" w:customStyle="1" w:styleId="163">
    <w:name w:val="列出段落 Char1"/>
    <w:uiPriority w:val="0"/>
    <w:rPr>
      <w:rFonts w:eastAsia="仿宋"/>
      <w:sz w:val="32"/>
    </w:rPr>
  </w:style>
  <w:style w:type="character" w:customStyle="1" w:styleId="164">
    <w:name w:val="明显引用 字符1"/>
    <w:link w:val="165"/>
    <w:uiPriority w:val="0"/>
    <w:rPr>
      <w:b/>
      <w:i/>
      <w:sz w:val="24"/>
    </w:rPr>
  </w:style>
  <w:style w:type="paragraph" w:styleId="165">
    <w:name w:val="Intense Quote"/>
    <w:basedOn w:val="1"/>
    <w:next w:val="1"/>
    <w:link w:val="164"/>
    <w:qFormat/>
    <w:uiPriority w:val="0"/>
    <w:pPr>
      <w:widowControl/>
      <w:ind w:left="720" w:right="720"/>
      <w:jc w:val="left"/>
    </w:pPr>
    <w:rPr>
      <w:b/>
      <w:i/>
      <w:kern w:val="0"/>
      <w:sz w:val="24"/>
      <w:szCs w:val="20"/>
    </w:rPr>
  </w:style>
  <w:style w:type="character" w:customStyle="1" w:styleId="166">
    <w:name w:val="列出段落 字符"/>
    <w:qFormat/>
    <w:uiPriority w:val="0"/>
    <w:rPr>
      <w:rFonts w:ascii="Calibri" w:hAnsi="Calibri"/>
      <w:kern w:val="2"/>
      <w:sz w:val="24"/>
      <w:szCs w:val="24"/>
    </w:rPr>
  </w:style>
  <w:style w:type="character" w:customStyle="1" w:styleId="167">
    <w:name w:val="标题 1 Char1"/>
    <w:qFormat/>
    <w:uiPriority w:val="0"/>
    <w:rPr>
      <w:rFonts w:ascii="Arial" w:hAnsi="Arial" w:eastAsia="黑体"/>
      <w:b/>
      <w:sz w:val="32"/>
    </w:rPr>
  </w:style>
  <w:style w:type="character" w:customStyle="1" w:styleId="168">
    <w:name w:val="10"/>
    <w:uiPriority w:val="0"/>
    <w:rPr>
      <w:rFonts w:hint="default" w:ascii="Times New Roman" w:hAnsi="Times New Roman" w:cs="Times New Roman"/>
    </w:rPr>
  </w:style>
  <w:style w:type="character" w:customStyle="1" w:styleId="169">
    <w:name w:val="批注文字 字符"/>
    <w:qFormat/>
    <w:uiPriority w:val="0"/>
    <w:rPr>
      <w:kern w:val="2"/>
      <w:sz w:val="21"/>
      <w:szCs w:val="24"/>
    </w:rPr>
  </w:style>
  <w:style w:type="character" w:customStyle="1" w:styleId="170">
    <w:name w:val="006正文标 Char Char"/>
    <w:link w:val="171"/>
    <w:uiPriority w:val="0"/>
    <w:rPr>
      <w:rFonts w:ascii="宋体" w:hAnsi="宋体"/>
      <w:sz w:val="24"/>
      <w:szCs w:val="24"/>
    </w:rPr>
  </w:style>
  <w:style w:type="paragraph" w:customStyle="1" w:styleId="171">
    <w:name w:val="006正文标"/>
    <w:basedOn w:val="1"/>
    <w:link w:val="170"/>
    <w:qFormat/>
    <w:uiPriority w:val="0"/>
    <w:pPr>
      <w:adjustRightInd w:val="0"/>
      <w:spacing w:line="360" w:lineRule="auto"/>
      <w:ind w:firstLine="200" w:firstLineChars="200"/>
      <w:textAlignment w:val="baseline"/>
    </w:pPr>
    <w:rPr>
      <w:rFonts w:ascii="宋体" w:hAnsi="宋体"/>
      <w:kern w:val="0"/>
      <w:sz w:val="24"/>
    </w:rPr>
  </w:style>
  <w:style w:type="character" w:customStyle="1" w:styleId="172">
    <w:name w:val="标题5 Char Char"/>
    <w:link w:val="173"/>
    <w:qFormat/>
    <w:uiPriority w:val="0"/>
    <w:rPr>
      <w:rFonts w:ascii="Calibri" w:hAnsi="Calibri" w:eastAsia="黑体"/>
      <w:b/>
      <w:bCs/>
      <w:kern w:val="44"/>
      <w:sz w:val="28"/>
      <w:szCs w:val="44"/>
    </w:rPr>
  </w:style>
  <w:style w:type="paragraph" w:customStyle="1" w:styleId="173">
    <w:name w:val="标题5"/>
    <w:basedOn w:val="1"/>
    <w:link w:val="172"/>
    <w:qFormat/>
    <w:uiPriority w:val="0"/>
    <w:pPr>
      <w:keepNext/>
      <w:keepLines/>
      <w:ind w:left="420" w:leftChars="200"/>
      <w:outlineLvl w:val="0"/>
    </w:pPr>
    <w:rPr>
      <w:rFonts w:ascii="Calibri" w:hAnsi="Calibri" w:eastAsia="黑体"/>
      <w:b/>
      <w:bCs/>
      <w:kern w:val="44"/>
      <w:sz w:val="28"/>
      <w:szCs w:val="44"/>
    </w:rPr>
  </w:style>
  <w:style w:type="character" w:customStyle="1" w:styleId="174">
    <w:name w:val="font41"/>
    <w:qFormat/>
    <w:uiPriority w:val="0"/>
    <w:rPr>
      <w:rFonts w:hint="eastAsia" w:ascii="宋体" w:hAnsi="宋体" w:eastAsia="宋体" w:cs="宋体"/>
      <w:b/>
      <w:color w:val="auto"/>
      <w:sz w:val="22"/>
      <w:szCs w:val="22"/>
      <w:u w:val="none"/>
    </w:rPr>
  </w:style>
  <w:style w:type="character" w:customStyle="1" w:styleId="175">
    <w:name w:val="批注主题 字符"/>
    <w:uiPriority w:val="0"/>
    <w:rPr>
      <w:b/>
      <w:bCs/>
      <w:kern w:val="2"/>
      <w:sz w:val="21"/>
      <w:szCs w:val="24"/>
    </w:rPr>
  </w:style>
  <w:style w:type="character" w:customStyle="1" w:styleId="176">
    <w:name w:val="_Style 175"/>
    <w:qFormat/>
    <w:uiPriority w:val="0"/>
    <w:rPr>
      <w:b/>
      <w:i/>
      <w:sz w:val="24"/>
      <w:szCs w:val="24"/>
      <w:u w:val="single"/>
    </w:rPr>
  </w:style>
  <w:style w:type="character" w:customStyle="1" w:styleId="177">
    <w:name w:val="正文缩进 字符"/>
    <w:qFormat/>
    <w:uiPriority w:val="0"/>
    <w:rPr>
      <w:rFonts w:ascii="宋体" w:eastAsia="宋体"/>
      <w:sz w:val="24"/>
      <w:lang w:val="en-US" w:eastAsia="zh-CN" w:bidi="ar-SA"/>
    </w:rPr>
  </w:style>
  <w:style w:type="character" w:customStyle="1" w:styleId="178">
    <w:name w:val="副标题 Char1"/>
    <w:qFormat/>
    <w:uiPriority w:val="0"/>
    <w:rPr>
      <w:rFonts w:ascii="Cambria" w:hAnsi="Cambria" w:cs="Times New Roman"/>
      <w:b/>
      <w:bCs/>
      <w:kern w:val="28"/>
      <w:sz w:val="32"/>
      <w:szCs w:val="32"/>
    </w:rPr>
  </w:style>
  <w:style w:type="character" w:customStyle="1" w:styleId="179">
    <w:name w:val="_Style 178"/>
    <w:qFormat/>
    <w:uiPriority w:val="0"/>
    <w:rPr>
      <w:b/>
      <w:sz w:val="24"/>
      <w:u w:val="single"/>
    </w:rPr>
  </w:style>
  <w:style w:type="character" w:customStyle="1" w:styleId="180">
    <w:name w:val="标题 5 字符"/>
    <w:qFormat/>
    <w:uiPriority w:val="0"/>
    <w:rPr>
      <w:rFonts w:eastAsia="仿宋"/>
      <w:b/>
      <w:bCs/>
      <w:sz w:val="28"/>
      <w:szCs w:val="28"/>
    </w:rPr>
  </w:style>
  <w:style w:type="character" w:customStyle="1" w:styleId="181">
    <w:name w:val="副标题 字符"/>
    <w:uiPriority w:val="0"/>
    <w:rPr>
      <w:rFonts w:ascii="Cambria" w:hAnsi="Cambria" w:cs="Times New Roman"/>
      <w:b/>
      <w:bCs/>
      <w:kern w:val="28"/>
      <w:sz w:val="32"/>
      <w:szCs w:val="32"/>
    </w:rPr>
  </w:style>
  <w:style w:type="character" w:customStyle="1" w:styleId="182">
    <w:name w:val="标题 4 字符"/>
    <w:uiPriority w:val="0"/>
    <w:rPr>
      <w:rFonts w:ascii="Arial" w:hAnsi="Arial" w:eastAsia="黑体"/>
      <w:b/>
      <w:bCs/>
      <w:kern w:val="2"/>
      <w:sz w:val="28"/>
      <w:szCs w:val="28"/>
    </w:rPr>
  </w:style>
  <w:style w:type="character" w:customStyle="1" w:styleId="183">
    <w:name w:val="font31"/>
    <w:uiPriority w:val="0"/>
    <w:rPr>
      <w:rFonts w:hint="default" w:ascii="Times New Roman" w:hAnsi="Times New Roman" w:cs="Times New Roman"/>
      <w:color w:val="000000"/>
      <w:sz w:val="40"/>
      <w:szCs w:val="40"/>
      <w:u w:val="none"/>
    </w:rPr>
  </w:style>
  <w:style w:type="character" w:customStyle="1" w:styleId="184">
    <w:name w:val="标题 3 Char"/>
    <w:uiPriority w:val="0"/>
    <w:rPr>
      <w:rFonts w:ascii="宋体" w:hAnsi="宋体" w:cs="Arial"/>
    </w:rPr>
  </w:style>
  <w:style w:type="paragraph" w:customStyle="1" w:styleId="185">
    <w:name w:val="xl50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186">
    <w:name w:val="et7"/>
    <w:basedOn w:val="1"/>
    <w:qFormat/>
    <w:uiPriority w:val="0"/>
    <w:pPr>
      <w:widowControl/>
      <w:spacing w:before="100" w:beforeLines="0" w:beforeAutospacing="1" w:after="100" w:afterLines="0" w:afterAutospacing="1"/>
      <w:jc w:val="left"/>
      <w:textAlignment w:val="center"/>
    </w:pPr>
    <w:rPr>
      <w:rFonts w:ascii="宋体" w:hAnsi="宋体" w:cs="宋体"/>
      <w:color w:val="000000"/>
      <w:kern w:val="0"/>
      <w:sz w:val="24"/>
    </w:rPr>
  </w:style>
  <w:style w:type="paragraph" w:customStyle="1" w:styleId="187">
    <w:name w:val="xl669"/>
    <w:basedOn w:val="1"/>
    <w:qFormat/>
    <w:uiPriority w:val="0"/>
    <w:pPr>
      <w:widowControl/>
      <w:spacing w:before="100" w:beforeLines="0" w:beforeAutospacing="1" w:after="100" w:afterLines="0" w:afterAutospacing="1"/>
      <w:jc w:val="center"/>
      <w:textAlignment w:val="center"/>
    </w:pPr>
    <w:rPr>
      <w:rFonts w:ascii="宋体" w:hAnsi="宋体" w:cs="宋体"/>
      <w:b/>
      <w:bCs/>
      <w:kern w:val="0"/>
      <w:sz w:val="28"/>
      <w:szCs w:val="28"/>
    </w:rPr>
  </w:style>
  <w:style w:type="paragraph" w:customStyle="1" w:styleId="18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color w:val="000000"/>
      <w:kern w:val="0"/>
      <w:sz w:val="20"/>
      <w:szCs w:val="20"/>
    </w:rPr>
  </w:style>
  <w:style w:type="paragraph" w:customStyle="1" w:styleId="189">
    <w:name w:val="xl57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190">
    <w:name w:val="xl74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191">
    <w:name w:val="xl70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192">
    <w:name w:val="xl78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193">
    <w:name w:val="Char Char Char"/>
    <w:basedOn w:val="1"/>
    <w:qFormat/>
    <w:uiPriority w:val="0"/>
    <w:rPr>
      <w:rFonts w:ascii="Tahoma" w:hAnsi="Tahoma"/>
      <w:sz w:val="24"/>
      <w:szCs w:val="20"/>
    </w:rPr>
  </w:style>
  <w:style w:type="paragraph" w:customStyle="1" w:styleId="194">
    <w:name w:val="xl672"/>
    <w:basedOn w:val="1"/>
    <w:qFormat/>
    <w:uiPriority w:val="0"/>
    <w:pPr>
      <w:widowControl/>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195">
    <w:name w:val="xl736"/>
    <w:basedOn w:val="1"/>
    <w:qFormat/>
    <w:uiPriority w:val="0"/>
    <w:pPr>
      <w:widowControl/>
      <w:spacing w:before="100" w:beforeLines="0" w:beforeAutospacing="1" w:after="100" w:afterLines="0" w:afterAutospacing="1"/>
      <w:jc w:val="center"/>
      <w:textAlignment w:val="center"/>
    </w:pPr>
    <w:rPr>
      <w:rFonts w:ascii="宋体" w:hAnsi="宋体" w:cs="宋体"/>
      <w:b/>
      <w:bCs/>
      <w:kern w:val="0"/>
      <w:sz w:val="24"/>
    </w:rPr>
  </w:style>
  <w:style w:type="paragraph" w:customStyle="1" w:styleId="196">
    <w:name w:val="Char Char1 Char Char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97">
    <w:name w:val="xl79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198">
    <w:name w:val="xl60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199">
    <w:name w:val="xl47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200">
    <w:name w:val="Char Char1"/>
    <w:basedOn w:val="16"/>
    <w:qFormat/>
    <w:uiPriority w:val="0"/>
    <w:pPr>
      <w:shd w:val="clear" w:color="auto" w:fill="000080"/>
    </w:pPr>
    <w:rPr>
      <w:rFonts w:ascii="Tahoma" w:hAnsi="Tahoma"/>
      <w:sz w:val="24"/>
      <w:szCs w:val="24"/>
    </w:rPr>
  </w:style>
  <w:style w:type="paragraph" w:customStyle="1" w:styleId="201">
    <w:name w:val="itemlist"/>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02">
    <w:name w:val="xl78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20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w:hAnsi="Arial" w:cs="Arial"/>
      <w:color w:val="000000"/>
      <w:kern w:val="0"/>
      <w:sz w:val="20"/>
      <w:szCs w:val="20"/>
    </w:rPr>
  </w:style>
  <w:style w:type="paragraph" w:customStyle="1" w:styleId="204">
    <w:name w:val="xl7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0"/>
      <w:szCs w:val="20"/>
    </w:rPr>
  </w:style>
  <w:style w:type="paragraph" w:customStyle="1" w:styleId="205">
    <w:name w:val="xl71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206">
    <w:name w:val="Char Char Char Char11"/>
    <w:basedOn w:val="1"/>
    <w:next w:val="1"/>
    <w:qFormat/>
    <w:uiPriority w:val="0"/>
    <w:pPr>
      <w:tabs>
        <w:tab w:val="left" w:pos="720"/>
      </w:tabs>
      <w:spacing w:line="360" w:lineRule="auto"/>
      <w:ind w:firstLine="480" w:firstLineChars="200"/>
      <w:jc w:val="center"/>
    </w:pPr>
    <w:rPr>
      <w:kern w:val="0"/>
      <w:sz w:val="24"/>
    </w:rPr>
  </w:style>
  <w:style w:type="paragraph" w:customStyle="1" w:styleId="207">
    <w:name w:val="xl109"/>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208">
    <w:name w:val="xl74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209">
    <w:name w:val="xl58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210">
    <w:name w:val="xl7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211">
    <w:name w:val="xl5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212">
    <w:name w:val="font13"/>
    <w:basedOn w:val="1"/>
    <w:qFormat/>
    <w:uiPriority w:val="0"/>
    <w:pPr>
      <w:widowControl/>
      <w:spacing w:before="100" w:beforeLines="0" w:beforeAutospacing="1" w:after="100" w:afterLines="0" w:afterAutospacing="1"/>
      <w:jc w:val="left"/>
    </w:pPr>
    <w:rPr>
      <w:rFonts w:ascii="Arial" w:hAnsi="Arial" w:cs="Arial"/>
      <w:color w:val="000000"/>
      <w:kern w:val="0"/>
      <w:sz w:val="20"/>
      <w:szCs w:val="20"/>
    </w:rPr>
  </w:style>
  <w:style w:type="paragraph" w:customStyle="1" w:styleId="213">
    <w:name w:val="正文格式"/>
    <w:basedOn w:val="1"/>
    <w:qFormat/>
    <w:uiPriority w:val="0"/>
    <w:pPr>
      <w:widowControl/>
      <w:adjustRightInd w:val="0"/>
      <w:snapToGrid w:val="0"/>
      <w:spacing w:before="120" w:beforeLines="0"/>
      <w:ind w:firstLine="482"/>
      <w:textAlignment w:val="baseline"/>
    </w:pPr>
    <w:rPr>
      <w:rFonts w:ascii="宋体" w:hAnsi="宋体"/>
      <w:snapToGrid w:val="0"/>
      <w:kern w:val="0"/>
      <w:sz w:val="24"/>
    </w:rPr>
  </w:style>
  <w:style w:type="paragraph" w:customStyle="1" w:styleId="214">
    <w:name w:val="xl68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215">
    <w:name w:val="font8"/>
    <w:basedOn w:val="1"/>
    <w:qFormat/>
    <w:uiPriority w:val="0"/>
    <w:pPr>
      <w:widowControl/>
      <w:spacing w:before="100" w:beforeLines="0" w:beforeAutospacing="1" w:after="100" w:afterLines="0" w:afterAutospacing="1"/>
      <w:jc w:val="left"/>
    </w:pPr>
    <w:rPr>
      <w:rFonts w:ascii="宋体" w:hAnsi="宋体" w:cs="宋体"/>
      <w:color w:val="000000"/>
      <w:kern w:val="0"/>
      <w:sz w:val="20"/>
      <w:szCs w:val="20"/>
    </w:rPr>
  </w:style>
  <w:style w:type="paragraph" w:customStyle="1" w:styleId="216">
    <w:name w:val="xl77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217">
    <w:name w:val="xl74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218">
    <w:name w:val="xl553"/>
    <w:basedOn w:val="1"/>
    <w:qFormat/>
    <w:uiPriority w:val="0"/>
    <w:pPr>
      <w:widowControl/>
      <w:spacing w:before="100" w:beforeLines="0" w:beforeAutospacing="1" w:after="100" w:afterLines="0" w:afterAutospacing="1"/>
      <w:jc w:val="left"/>
      <w:textAlignment w:val="center"/>
    </w:pPr>
    <w:rPr>
      <w:rFonts w:ascii="宋体" w:hAnsi="宋体" w:cs="宋体"/>
      <w:kern w:val="0"/>
      <w:sz w:val="24"/>
    </w:rPr>
  </w:style>
  <w:style w:type="paragraph" w:customStyle="1" w:styleId="219">
    <w:name w:val="font10"/>
    <w:basedOn w:val="1"/>
    <w:qFormat/>
    <w:uiPriority w:val="0"/>
    <w:pPr>
      <w:widowControl/>
      <w:spacing w:before="100" w:beforeLines="0" w:beforeAutospacing="1" w:after="100" w:afterLines="0" w:afterAutospacing="1"/>
      <w:jc w:val="left"/>
    </w:pPr>
    <w:rPr>
      <w:kern w:val="0"/>
      <w:sz w:val="20"/>
      <w:szCs w:val="20"/>
    </w:rPr>
  </w:style>
  <w:style w:type="paragraph" w:customStyle="1" w:styleId="220">
    <w:name w:val="xl681"/>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221">
    <w:name w:val="xl61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222">
    <w:name w:val="xl50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223">
    <w:name w:val="xl486"/>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224">
    <w:name w:val="et22"/>
    <w:basedOn w:val="1"/>
    <w:qFormat/>
    <w:uiPriority w:val="0"/>
    <w:pPr>
      <w:widowControl/>
      <w:spacing w:before="100" w:beforeLines="0" w:beforeAutospacing="1" w:after="100" w:afterLines="0" w:afterAutospacing="1"/>
      <w:jc w:val="left"/>
      <w:textAlignment w:val="center"/>
    </w:pPr>
    <w:rPr>
      <w:rFonts w:ascii="宋体" w:hAnsi="宋体" w:cs="宋体"/>
      <w:color w:val="000000"/>
      <w:kern w:val="0"/>
      <w:sz w:val="24"/>
    </w:rPr>
  </w:style>
  <w:style w:type="paragraph" w:customStyle="1" w:styleId="225">
    <w:name w:val="样式9"/>
    <w:basedOn w:val="1"/>
    <w:qFormat/>
    <w:uiPriority w:val="0"/>
    <w:pPr>
      <w:spacing w:line="480" w:lineRule="exact"/>
      <w:ind w:firstLine="480" w:firstLineChars="200"/>
    </w:pPr>
    <w:rPr>
      <w:rFonts w:ascii="宋体" w:hAnsi="宋体"/>
      <w:szCs w:val="24"/>
    </w:rPr>
  </w:style>
  <w:style w:type="paragraph" w:customStyle="1" w:styleId="226">
    <w:name w:val="xl50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227">
    <w:name w:val="Char3 Char Char Char1"/>
    <w:basedOn w:val="1"/>
    <w:qFormat/>
    <w:uiPriority w:val="0"/>
    <w:rPr>
      <w:rFonts w:ascii="Tahoma" w:hAnsi="Tahoma"/>
      <w:sz w:val="24"/>
      <w:szCs w:val="20"/>
    </w:rPr>
  </w:style>
  <w:style w:type="paragraph" w:customStyle="1" w:styleId="228">
    <w:name w:val="xl61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229">
    <w:name w:val="xl81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230">
    <w:name w:val="xl76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231">
    <w:name w:val="xl72"/>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微软雅黑" w:hAnsi="宋体" w:eastAsia="微软雅黑" w:cs="宋体"/>
      <w:kern w:val="0"/>
      <w:sz w:val="20"/>
      <w:szCs w:val="20"/>
    </w:rPr>
  </w:style>
  <w:style w:type="paragraph" w:customStyle="1" w:styleId="232">
    <w:name w:val="Char Char Char Char Char Char1"/>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33">
    <w:name w:val="xl59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234">
    <w:name w:val="xl68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235">
    <w:name w:val="xl677"/>
    <w:basedOn w:val="1"/>
    <w:qFormat/>
    <w:uiPriority w:val="0"/>
    <w:pPr>
      <w:widowControl/>
      <w:spacing w:before="100" w:beforeLines="0" w:beforeAutospacing="1" w:after="100" w:afterLines="0" w:afterAutospacing="1"/>
      <w:jc w:val="left"/>
      <w:textAlignment w:val="center"/>
    </w:pPr>
    <w:rPr>
      <w:rFonts w:ascii="宋体" w:hAnsi="宋体" w:cs="宋体"/>
      <w:b/>
      <w:bCs/>
      <w:kern w:val="0"/>
      <w:sz w:val="24"/>
    </w:rPr>
  </w:style>
  <w:style w:type="paragraph" w:customStyle="1" w:styleId="236">
    <w:name w:val="xl72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237">
    <w:name w:val="xl67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b/>
      <w:bCs/>
      <w:kern w:val="0"/>
      <w:sz w:val="20"/>
      <w:szCs w:val="20"/>
    </w:rPr>
  </w:style>
  <w:style w:type="paragraph" w:customStyle="1" w:styleId="238">
    <w:name w:val="xl60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239">
    <w:name w:val="xl106"/>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240">
    <w:name w:val="样式 小四 行距: 1.5 倍行距"/>
    <w:basedOn w:val="1"/>
    <w:qFormat/>
    <w:uiPriority w:val="0"/>
    <w:pPr>
      <w:spacing w:line="360" w:lineRule="auto"/>
      <w:ind w:firstLine="480" w:firstLineChars="200"/>
    </w:pPr>
    <w:rPr>
      <w:rFonts w:cs="宋体"/>
      <w:sz w:val="24"/>
      <w:szCs w:val="20"/>
    </w:rPr>
  </w:style>
  <w:style w:type="paragraph" w:customStyle="1" w:styleId="241">
    <w:name w:val="xl67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b/>
      <w:bCs/>
      <w:kern w:val="0"/>
      <w:sz w:val="20"/>
      <w:szCs w:val="20"/>
    </w:rPr>
  </w:style>
  <w:style w:type="paragraph" w:customStyle="1" w:styleId="242">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w:hAnsi="Arial" w:cs="Arial"/>
      <w:kern w:val="0"/>
      <w:sz w:val="20"/>
      <w:szCs w:val="20"/>
    </w:rPr>
  </w:style>
  <w:style w:type="paragraph" w:customStyle="1" w:styleId="243">
    <w:name w:val="Char1"/>
    <w:basedOn w:val="1"/>
    <w:qFormat/>
    <w:uiPriority w:val="0"/>
    <w:rPr>
      <w:rFonts w:ascii="Tahoma" w:hAnsi="Tahoma"/>
      <w:sz w:val="24"/>
      <w:szCs w:val="20"/>
    </w:rPr>
  </w:style>
  <w:style w:type="paragraph" w:customStyle="1" w:styleId="244">
    <w:name w:val="xl54"/>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245">
    <w:name w:val="xl54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246">
    <w:name w:val="xl68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247">
    <w:name w:val="xl548"/>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248">
    <w:name w:val="xl76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249">
    <w:name w:val="xl671"/>
    <w:basedOn w:val="1"/>
    <w:uiPriority w:val="0"/>
    <w:pPr>
      <w:widowControl/>
      <w:spacing w:before="100" w:beforeLines="0" w:beforeAutospacing="1" w:after="100" w:afterLines="0" w:afterAutospacing="1"/>
      <w:jc w:val="center"/>
      <w:textAlignment w:val="center"/>
    </w:pPr>
    <w:rPr>
      <w:rFonts w:ascii="宋体" w:hAnsi="宋体" w:cs="宋体"/>
      <w:kern w:val="0"/>
      <w:sz w:val="28"/>
      <w:szCs w:val="28"/>
    </w:rPr>
  </w:style>
  <w:style w:type="paragraph" w:customStyle="1" w:styleId="250">
    <w:name w:val="xl105"/>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251">
    <w:name w:val="xl820"/>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252">
    <w:name w:val="xl93"/>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253">
    <w:name w:val="xl469"/>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254">
    <w:name w:val="xl49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255">
    <w:name w:val="Char Char Char Char Char Char Char Char Char Char Char Char1 Char"/>
    <w:basedOn w:val="1"/>
    <w:uiPriority w:val="0"/>
    <w:pPr>
      <w:snapToGrid w:val="0"/>
      <w:spacing w:line="360" w:lineRule="auto"/>
      <w:ind w:firstLine="200" w:firstLineChars="200"/>
    </w:pPr>
    <w:rPr>
      <w:szCs w:val="20"/>
    </w:rPr>
  </w:style>
  <w:style w:type="paragraph" w:customStyle="1" w:styleId="256">
    <w:name w:val="xl802"/>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257">
    <w:name w:val="xl615"/>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258">
    <w:name w:val="xl48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259">
    <w:name w:val="xl76"/>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0"/>
      <w:szCs w:val="20"/>
    </w:rPr>
  </w:style>
  <w:style w:type="paragraph" w:customStyle="1" w:styleId="260">
    <w:name w:val="无间隔11"/>
    <w:qFormat/>
    <w:uiPriority w:val="0"/>
    <w:rPr>
      <w:rFonts w:ascii="Times New Roman" w:hAnsi="Times New Roman" w:eastAsia="宋体" w:cs="Times New Roman"/>
      <w:sz w:val="22"/>
      <w:szCs w:val="22"/>
      <w:lang w:val="en-US" w:eastAsia="zh-CN" w:bidi="ar-SA"/>
    </w:rPr>
  </w:style>
  <w:style w:type="paragraph" w:customStyle="1" w:styleId="261">
    <w:name w:val="xl595"/>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262">
    <w:name w:val="xl783"/>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263">
    <w:name w:val="xl86"/>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264">
    <w:name w:val="Pa0"/>
    <w:basedOn w:val="1"/>
    <w:next w:val="1"/>
    <w:uiPriority w:val="0"/>
    <w:pPr>
      <w:autoSpaceDE w:val="0"/>
      <w:autoSpaceDN w:val="0"/>
      <w:adjustRightInd w:val="0"/>
      <w:jc w:val="left"/>
    </w:pPr>
    <w:rPr>
      <w:rFonts w:ascii="黑体" w:eastAsia="黑体"/>
      <w:kern w:val="0"/>
      <w:sz w:val="24"/>
    </w:rPr>
  </w:style>
  <w:style w:type="paragraph" w:customStyle="1" w:styleId="265">
    <w:name w:val="xl73"/>
    <w:basedOn w:val="1"/>
    <w:uiPriority w:val="0"/>
    <w:pPr>
      <w:widowControl/>
      <w:pBdr>
        <w:top w:val="single" w:color="auto" w:sz="4" w:space="0"/>
        <w:left w:val="single" w:color="auto" w:sz="4" w:space="0"/>
        <w:bottom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266">
    <w:name w:val="TOC 标题1"/>
    <w:basedOn w:val="3"/>
    <w:next w:val="1"/>
    <w:uiPriority w:val="0"/>
    <w:pPr>
      <w:widowControl/>
      <w:autoSpaceDE/>
      <w:autoSpaceDN/>
      <w:adjustRightInd/>
      <w:spacing w:before="480" w:beforeLines="0" w:after="0" w:afterLines="0" w:line="276" w:lineRule="auto"/>
      <w:jc w:val="left"/>
      <w:outlineLvl w:val="9"/>
    </w:pPr>
    <w:rPr>
      <w:rFonts w:ascii="Cambria" w:hAnsi="Cambria"/>
      <w:bCs/>
      <w:color w:val="365F91"/>
      <w:kern w:val="0"/>
      <w:sz w:val="28"/>
      <w:szCs w:val="28"/>
    </w:rPr>
  </w:style>
  <w:style w:type="paragraph" w:customStyle="1" w:styleId="267">
    <w:name w:val="xl69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268">
    <w:name w:val="xl104"/>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269">
    <w:name w:val="xl11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270">
    <w:name w:val="xl545"/>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271">
    <w:name w:val="xl790"/>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272">
    <w:name w:val="xl91"/>
    <w:basedOn w:val="1"/>
    <w:qFormat/>
    <w:uiPriority w:val="0"/>
    <w:pPr>
      <w:widowControl/>
      <w:spacing w:before="100" w:beforeLines="0" w:beforeAutospacing="1" w:after="100" w:afterLines="0" w:afterAutospacing="1"/>
      <w:jc w:val="center"/>
    </w:pPr>
    <w:rPr>
      <w:rFonts w:ascii="宋体" w:hAnsi="宋体" w:cs="宋体"/>
      <w:kern w:val="0"/>
      <w:sz w:val="24"/>
    </w:rPr>
  </w:style>
  <w:style w:type="paragraph" w:customStyle="1" w:styleId="273">
    <w:name w:val="list"/>
    <w:basedOn w:val="1"/>
    <w:qFormat/>
    <w:uiPriority w:val="0"/>
    <w:pPr>
      <w:adjustRightInd w:val="0"/>
      <w:spacing w:line="360" w:lineRule="auto"/>
      <w:ind w:left="902" w:hanging="482"/>
      <w:textAlignment w:val="baseline"/>
    </w:pPr>
    <w:rPr>
      <w:rFonts w:ascii="昆仑仿宋" w:eastAsia="昆仑仿宋"/>
      <w:kern w:val="0"/>
      <w:szCs w:val="20"/>
    </w:rPr>
  </w:style>
  <w:style w:type="paragraph" w:customStyle="1" w:styleId="274">
    <w:name w:val="xl51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275">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kern w:val="0"/>
      <w:sz w:val="20"/>
      <w:szCs w:val="20"/>
    </w:rPr>
  </w:style>
  <w:style w:type="paragraph" w:customStyle="1" w:styleId="276">
    <w:name w:val="xl778"/>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277">
    <w:name w:val="xl52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278">
    <w:name w:val="font15"/>
    <w:basedOn w:val="1"/>
    <w:uiPriority w:val="0"/>
    <w:pPr>
      <w:widowControl/>
      <w:spacing w:before="100" w:beforeLines="0" w:beforeAutospacing="1" w:after="100" w:afterLines="0" w:afterAutospacing="1"/>
      <w:jc w:val="left"/>
    </w:pPr>
    <w:rPr>
      <w:rFonts w:ascii="宋体" w:hAnsi="宋体" w:cs="宋体"/>
      <w:kern w:val="0"/>
      <w:sz w:val="20"/>
      <w:szCs w:val="20"/>
    </w:rPr>
  </w:style>
  <w:style w:type="paragraph" w:customStyle="1" w:styleId="279">
    <w:name w:val="_Style 2"/>
    <w:basedOn w:val="1"/>
    <w:uiPriority w:val="0"/>
    <w:pPr>
      <w:widowControl/>
      <w:ind w:firstLine="420" w:firstLineChars="200"/>
      <w:jc w:val="left"/>
    </w:pPr>
    <w:rPr>
      <w:rFonts w:eastAsia="Batang"/>
      <w:kern w:val="0"/>
      <w:sz w:val="20"/>
      <w:szCs w:val="20"/>
      <w:lang w:eastAsia="en-US"/>
    </w:rPr>
  </w:style>
  <w:style w:type="paragraph" w:customStyle="1" w:styleId="280">
    <w:name w:val="xl586"/>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281">
    <w:name w:val="xl698"/>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282">
    <w:name w:val="Defaul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83">
    <w:name w:val="xl546"/>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284">
    <w:name w:val="xl559"/>
    <w:basedOn w:val="1"/>
    <w:uiPriority w:val="0"/>
    <w:pPr>
      <w:widowControl/>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285">
    <w:name w:val="xl579"/>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286">
    <w:name w:val="xl47"/>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top"/>
    </w:pPr>
    <w:rPr>
      <w:rFonts w:ascii="宋体" w:hAnsi="宋体" w:cs="宋体"/>
      <w:kern w:val="0"/>
      <w:sz w:val="20"/>
      <w:szCs w:val="20"/>
    </w:rPr>
  </w:style>
  <w:style w:type="paragraph" w:customStyle="1" w:styleId="287">
    <w:name w:val="xl492"/>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288">
    <w:name w:val="et14"/>
    <w:basedOn w:val="1"/>
    <w:uiPriority w:val="0"/>
    <w:pPr>
      <w:widowControl/>
      <w:spacing w:before="100" w:beforeLines="0" w:beforeAutospacing="1" w:after="100" w:afterLines="0" w:afterAutospacing="1"/>
      <w:jc w:val="left"/>
      <w:textAlignment w:val="center"/>
    </w:pPr>
    <w:rPr>
      <w:rFonts w:ascii="宋体" w:hAnsi="宋体" w:cs="宋体"/>
      <w:color w:val="000000"/>
      <w:kern w:val="0"/>
      <w:sz w:val="24"/>
    </w:rPr>
  </w:style>
  <w:style w:type="paragraph" w:customStyle="1" w:styleId="289">
    <w:name w:val="xl547"/>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290">
    <w:name w:val="xl50"/>
    <w:basedOn w:val="1"/>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291">
    <w:name w:val="xl543"/>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292">
    <w:name w:val="xl517"/>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293">
    <w:name w:val="et10"/>
    <w:basedOn w:val="1"/>
    <w:uiPriority w:val="0"/>
    <w:pPr>
      <w:widowControl/>
      <w:spacing w:before="100" w:beforeLines="0" w:beforeAutospacing="1" w:after="100" w:afterLines="0" w:afterAutospacing="1"/>
      <w:jc w:val="left"/>
      <w:textAlignment w:val="center"/>
    </w:pPr>
    <w:rPr>
      <w:rFonts w:ascii="宋体" w:hAnsi="宋体" w:cs="宋体"/>
      <w:color w:val="000000"/>
      <w:kern w:val="0"/>
      <w:sz w:val="24"/>
    </w:rPr>
  </w:style>
  <w:style w:type="paragraph" w:customStyle="1" w:styleId="294">
    <w:name w:val="xl710"/>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295">
    <w:name w:val="xl59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296">
    <w:name w:val="xl511"/>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297">
    <w:name w:val="xl705"/>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298">
    <w:name w:val="ZW"/>
    <w:basedOn w:val="1"/>
    <w:uiPriority w:val="0"/>
    <w:pPr>
      <w:widowControl/>
      <w:autoSpaceDE w:val="0"/>
      <w:autoSpaceDN w:val="0"/>
      <w:spacing w:line="315" w:lineRule="exact"/>
      <w:ind w:firstLine="200" w:firstLineChars="200"/>
      <w:jc w:val="left"/>
      <w:textAlignment w:val="bottom"/>
    </w:pPr>
    <w:rPr>
      <w:kern w:val="0"/>
      <w:szCs w:val="20"/>
    </w:rPr>
  </w:style>
  <w:style w:type="paragraph" w:customStyle="1" w:styleId="299">
    <w:name w:val="xl700"/>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300">
    <w:name w:val="xl74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301">
    <w:name w:val="xl719"/>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302">
    <w:name w:val="Char Char Char Char Char Char1 Char"/>
    <w:basedOn w:val="1"/>
    <w:uiPriority w:val="0"/>
    <w:pPr>
      <w:widowControl/>
      <w:spacing w:after="160" w:afterLines="0" w:line="240" w:lineRule="exact"/>
      <w:jc w:val="left"/>
    </w:pPr>
    <w:rPr>
      <w:rFonts w:ascii="Verdana" w:hAnsi="Verdana"/>
      <w:kern w:val="0"/>
      <w:szCs w:val="20"/>
      <w:lang w:eastAsia="en-US"/>
    </w:rPr>
  </w:style>
  <w:style w:type="paragraph" w:customStyle="1" w:styleId="303">
    <w:name w:val="xl729"/>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304">
    <w:name w:val="xl472"/>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305">
    <w:name w:val="Char Char Char Char Char Char Char Char Char"/>
    <w:basedOn w:val="1"/>
    <w:uiPriority w:val="0"/>
    <w:pPr>
      <w:widowControl/>
      <w:spacing w:before="312" w:beforeLines="100" w:after="156" w:afterLines="50" w:line="240" w:lineRule="exact"/>
      <w:ind w:firstLine="472" w:firstLineChars="196"/>
      <w:jc w:val="left"/>
    </w:pPr>
    <w:rPr>
      <w:rFonts w:ascii="Verdana" w:hAnsi="Verdana" w:eastAsia="仿宋_GB2312"/>
      <w:b/>
      <w:color w:val="FF6600"/>
      <w:kern w:val="0"/>
      <w:sz w:val="24"/>
      <w:lang w:eastAsia="en-US"/>
    </w:rPr>
  </w:style>
  <w:style w:type="paragraph" w:customStyle="1" w:styleId="306">
    <w:name w:val="Char3 Char Char Char"/>
    <w:basedOn w:val="1"/>
    <w:uiPriority w:val="0"/>
    <w:rPr>
      <w:rFonts w:ascii="Tahoma" w:hAnsi="Tahoma"/>
      <w:sz w:val="24"/>
      <w:szCs w:val="20"/>
    </w:rPr>
  </w:style>
  <w:style w:type="paragraph" w:customStyle="1" w:styleId="307">
    <w:name w:val="xl691"/>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308">
    <w:name w:val="xl665"/>
    <w:basedOn w:val="1"/>
    <w:uiPriority w:val="0"/>
    <w:pPr>
      <w:widowControl/>
      <w:spacing w:before="100" w:beforeLines="0" w:beforeAutospacing="1" w:after="100" w:afterLines="0" w:afterAutospacing="1"/>
      <w:jc w:val="center"/>
      <w:textAlignment w:val="center"/>
    </w:pPr>
    <w:rPr>
      <w:rFonts w:ascii="宋体" w:hAnsi="宋体" w:cs="宋体"/>
      <w:b/>
      <w:bCs/>
      <w:kern w:val="0"/>
      <w:sz w:val="32"/>
      <w:szCs w:val="32"/>
    </w:rPr>
  </w:style>
  <w:style w:type="paragraph" w:customStyle="1" w:styleId="309">
    <w:name w:val="xl805"/>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310">
    <w:name w:val="xl702"/>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311">
    <w:name w:val="xl52"/>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312">
    <w:name w:val="xl782"/>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313">
    <w:name w:val="xl532"/>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314">
    <w:name w:val="xl43"/>
    <w:basedOn w:val="1"/>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315">
    <w:name w:val="xl55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316">
    <w:name w:val="xl520"/>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317">
    <w:name w:val="Char Char Char Char Char Char"/>
    <w:basedOn w:val="1"/>
    <w:uiPriority w:val="0"/>
    <w:pPr>
      <w:widowControl/>
      <w:spacing w:after="160" w:afterLines="0" w:line="240" w:lineRule="exact"/>
      <w:jc w:val="left"/>
    </w:pPr>
    <w:rPr>
      <w:rFonts w:ascii="Verdana" w:hAnsi="Verdana"/>
      <w:kern w:val="0"/>
      <w:sz w:val="20"/>
      <w:szCs w:val="20"/>
      <w:lang w:eastAsia="en-US"/>
    </w:rPr>
  </w:style>
  <w:style w:type="paragraph" w:customStyle="1" w:styleId="318">
    <w:name w:val="xl759"/>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319">
    <w:name w:val="xl82"/>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0"/>
      <w:szCs w:val="20"/>
    </w:rPr>
  </w:style>
  <w:style w:type="paragraph" w:customStyle="1" w:styleId="320">
    <w:name w:val="xl585"/>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321">
    <w:name w:val="xl80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322">
    <w:name w:val="xl808"/>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323">
    <w:name w:val="Message Header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sz w:val="24"/>
    </w:rPr>
  </w:style>
  <w:style w:type="paragraph" w:customStyle="1" w:styleId="324">
    <w:name w:val="xl92"/>
    <w:basedOn w:val="1"/>
    <w:qFormat/>
    <w:uiPriority w:val="0"/>
    <w:pPr>
      <w:widowControl/>
      <w:pBdr>
        <w:top w:val="single" w:color="auto" w:sz="4" w:space="0"/>
        <w:left w:val="single" w:color="auto" w:sz="4" w:space="0"/>
        <w:right w:val="single" w:color="auto" w:sz="8" w:space="0"/>
      </w:pBdr>
      <w:spacing w:before="100" w:beforeLines="0" w:beforeAutospacing="1" w:after="100" w:afterLines="0" w:afterAutospacing="1"/>
      <w:jc w:val="left"/>
    </w:pPr>
    <w:rPr>
      <w:rFonts w:ascii="宋体" w:hAnsi="宋体" w:cs="宋体"/>
      <w:kern w:val="0"/>
      <w:sz w:val="20"/>
      <w:szCs w:val="20"/>
    </w:rPr>
  </w:style>
  <w:style w:type="paragraph" w:customStyle="1" w:styleId="325">
    <w:name w:val="xl78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326">
    <w:name w:val="xl71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3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328">
    <w:name w:val="xl781"/>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329">
    <w:name w:val="表格文字"/>
    <w:basedOn w:val="1"/>
    <w:uiPriority w:val="0"/>
    <w:pPr>
      <w:jc w:val="center"/>
    </w:pPr>
    <w:rPr>
      <w:rFonts w:ascii="宋体" w:hAnsi="宋体"/>
      <w:bCs/>
      <w:color w:val="000000"/>
      <w:kern w:val="0"/>
      <w:szCs w:val="21"/>
    </w:rPr>
  </w:style>
  <w:style w:type="paragraph" w:customStyle="1" w:styleId="330">
    <w:name w:val="et15"/>
    <w:basedOn w:val="1"/>
    <w:uiPriority w:val="0"/>
    <w:pPr>
      <w:widowControl/>
      <w:spacing w:before="100" w:beforeLines="0" w:beforeAutospacing="1" w:after="100" w:afterLines="0" w:afterAutospacing="1"/>
      <w:jc w:val="left"/>
      <w:textAlignment w:val="center"/>
    </w:pPr>
    <w:rPr>
      <w:rFonts w:ascii="宋体" w:hAnsi="宋体" w:cs="宋体"/>
      <w:color w:val="000000"/>
      <w:kern w:val="0"/>
      <w:sz w:val="24"/>
    </w:rPr>
  </w:style>
  <w:style w:type="paragraph" w:customStyle="1" w:styleId="331">
    <w:name w:val="xl95"/>
    <w:basedOn w:val="1"/>
    <w:qFormat/>
    <w:uiPriority w:val="0"/>
    <w:pPr>
      <w:widowControl/>
      <w:pBdr>
        <w:top w:val="single" w:color="auto" w:sz="8" w:space="0"/>
        <w:left w:val="single" w:color="auto" w:sz="4" w:space="0"/>
        <w:bottom w:val="single" w:color="auto" w:sz="4" w:space="0"/>
        <w:right w:val="single" w:color="auto" w:sz="8" w:space="0"/>
      </w:pBdr>
      <w:spacing w:before="100" w:beforeLines="0" w:beforeAutospacing="1" w:after="100" w:afterLines="0" w:afterAutospacing="1"/>
      <w:jc w:val="left"/>
    </w:pPr>
    <w:rPr>
      <w:rFonts w:ascii="宋体" w:hAnsi="宋体" w:cs="宋体"/>
      <w:kern w:val="0"/>
      <w:sz w:val="20"/>
      <w:szCs w:val="20"/>
    </w:rPr>
  </w:style>
  <w:style w:type="paragraph" w:customStyle="1" w:styleId="332">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333">
    <w:name w:val="xl487"/>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334">
    <w:name w:val="xl670"/>
    <w:basedOn w:val="1"/>
    <w:qFormat/>
    <w:uiPriority w:val="0"/>
    <w:pPr>
      <w:widowControl/>
      <w:spacing w:before="100" w:beforeLines="0" w:beforeAutospacing="1" w:after="100" w:afterLines="0" w:afterAutospacing="1"/>
      <w:jc w:val="left"/>
      <w:textAlignment w:val="center"/>
    </w:pPr>
    <w:rPr>
      <w:rFonts w:ascii="宋体" w:hAnsi="宋体" w:cs="宋体"/>
      <w:kern w:val="0"/>
      <w:sz w:val="28"/>
      <w:szCs w:val="28"/>
    </w:rPr>
  </w:style>
  <w:style w:type="paragraph" w:customStyle="1" w:styleId="335">
    <w:name w:val="xl758"/>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336">
    <w:name w:val="xl63"/>
    <w:basedOn w:val="1"/>
    <w:uiPriority w:val="0"/>
    <w:pPr>
      <w:widowControl/>
      <w:pBdr>
        <w:top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337">
    <w:name w:val="xl536"/>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338">
    <w:name w:val="xl539"/>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339">
    <w:name w:val="xl495"/>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340">
    <w:name w:val="xl581"/>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341">
    <w:name w:val="xl577"/>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342">
    <w:name w:val="xl77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343">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344">
    <w:name w:val="xl683"/>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345">
    <w:name w:val="xl69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346">
    <w:name w:val="xl810"/>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347">
    <w:name w:val="xl568"/>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348">
    <w:name w:val="xl708"/>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349">
    <w:name w:val="xl592"/>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350">
    <w:name w:val="xl516"/>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351">
    <w:name w:val="xl753"/>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352">
    <w:name w:val="xl70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353">
    <w:name w:val="xl64"/>
    <w:basedOn w:val="1"/>
    <w:uiPriority w:val="0"/>
    <w:pPr>
      <w:widowControl/>
      <w:pBdr>
        <w:top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354">
    <w:name w:val="xl72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355">
    <w:name w:val="正文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6">
    <w:name w:val="xl68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357">
    <w:name w:val="xl7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358">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0"/>
      <w:szCs w:val="20"/>
    </w:rPr>
  </w:style>
  <w:style w:type="paragraph" w:customStyle="1" w:styleId="359">
    <w:name w:val="xl47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b/>
      <w:bCs/>
      <w:kern w:val="0"/>
      <w:sz w:val="20"/>
      <w:szCs w:val="20"/>
    </w:rPr>
  </w:style>
  <w:style w:type="paragraph" w:customStyle="1" w:styleId="360">
    <w:name w:val="xl28"/>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361">
    <w:name w:val="xl73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362">
    <w:name w:val="xl51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363">
    <w:name w:val="xl55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364">
    <w:name w:val="xl70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365">
    <w:name w:val="xl3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366">
    <w:name w:val="xl689"/>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367">
    <w:name w:val="xl48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368">
    <w:name w:val="xl580"/>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369">
    <w:name w:val="xl38"/>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0"/>
      <w:szCs w:val="20"/>
    </w:rPr>
  </w:style>
  <w:style w:type="paragraph" w:customStyle="1" w:styleId="370">
    <w:name w:val="xl699"/>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371">
    <w:name w:val="Quick A."/>
    <w:basedOn w:val="282"/>
    <w:next w:val="282"/>
    <w:qFormat/>
    <w:uiPriority w:val="0"/>
    <w:rPr>
      <w:rFonts w:ascii="GAMJEG+Arial" w:eastAsia="GAMJEG+Arial"/>
      <w:color w:val="auto"/>
    </w:rPr>
  </w:style>
  <w:style w:type="paragraph" w:customStyle="1" w:styleId="372">
    <w:name w:val="xl47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373">
    <w:name w:val="xl554"/>
    <w:basedOn w:val="1"/>
    <w:uiPriority w:val="0"/>
    <w:pPr>
      <w:widowControl/>
      <w:spacing w:before="100" w:beforeLines="0" w:beforeAutospacing="1" w:after="100" w:afterLines="0" w:afterAutospacing="1"/>
      <w:jc w:val="center"/>
      <w:textAlignment w:val="center"/>
    </w:pPr>
    <w:rPr>
      <w:rFonts w:ascii="宋体" w:hAnsi="宋体" w:cs="宋体"/>
      <w:kern w:val="0"/>
      <w:sz w:val="28"/>
      <w:szCs w:val="28"/>
    </w:rPr>
  </w:style>
  <w:style w:type="paragraph" w:customStyle="1" w:styleId="374">
    <w:name w:val="xl662"/>
    <w:basedOn w:val="1"/>
    <w:uiPriority w:val="0"/>
    <w:pPr>
      <w:widowControl/>
      <w:spacing w:before="100" w:beforeLines="0" w:beforeAutospacing="1" w:after="100" w:afterLines="0" w:afterAutospacing="1"/>
      <w:jc w:val="center"/>
      <w:textAlignment w:val="center"/>
    </w:pPr>
    <w:rPr>
      <w:rFonts w:ascii="宋体" w:hAnsi="宋体" w:cs="宋体"/>
      <w:kern w:val="0"/>
      <w:sz w:val="28"/>
      <w:szCs w:val="28"/>
    </w:rPr>
  </w:style>
  <w:style w:type="paragraph" w:customStyle="1" w:styleId="375">
    <w:name w:val="xl27"/>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376">
    <w:name w:val="xl7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377">
    <w:name w:val="xl540"/>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378">
    <w:name w:val="xl101"/>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379">
    <w:name w:val="xl75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380">
    <w:name w:val="font14"/>
    <w:basedOn w:val="1"/>
    <w:qFormat/>
    <w:uiPriority w:val="0"/>
    <w:pPr>
      <w:widowControl/>
      <w:spacing w:before="100" w:beforeLines="0" w:beforeAutospacing="1" w:after="100" w:afterLines="0" w:afterAutospacing="1"/>
      <w:jc w:val="left"/>
    </w:pPr>
    <w:rPr>
      <w:color w:val="000000"/>
      <w:kern w:val="0"/>
      <w:sz w:val="20"/>
      <w:szCs w:val="20"/>
    </w:rPr>
  </w:style>
  <w:style w:type="paragraph" w:customStyle="1" w:styleId="381">
    <w:name w:val="et5"/>
    <w:basedOn w:val="1"/>
    <w:qFormat/>
    <w:uiPriority w:val="0"/>
    <w:pPr>
      <w:widowControl/>
      <w:spacing w:before="100" w:beforeLines="0" w:beforeAutospacing="1" w:after="100" w:afterLines="0" w:afterAutospacing="1"/>
      <w:jc w:val="left"/>
      <w:textAlignment w:val="center"/>
    </w:pPr>
    <w:rPr>
      <w:rFonts w:ascii="宋体" w:hAnsi="宋体" w:cs="宋体"/>
      <w:color w:val="000000"/>
      <w:kern w:val="0"/>
      <w:sz w:val="24"/>
    </w:rPr>
  </w:style>
  <w:style w:type="paragraph" w:customStyle="1" w:styleId="382">
    <w:name w:val="font12"/>
    <w:basedOn w:val="1"/>
    <w:uiPriority w:val="0"/>
    <w:pPr>
      <w:widowControl/>
      <w:spacing w:before="100" w:beforeLines="0" w:beforeAutospacing="1" w:after="100" w:afterLines="0" w:afterAutospacing="1"/>
      <w:jc w:val="left"/>
    </w:pPr>
    <w:rPr>
      <w:rFonts w:ascii="宋体" w:hAnsi="宋体" w:cs="宋体"/>
      <w:color w:val="FF0000"/>
      <w:kern w:val="0"/>
      <w:szCs w:val="21"/>
    </w:rPr>
  </w:style>
  <w:style w:type="paragraph" w:customStyle="1" w:styleId="383">
    <w:name w:val="xl74"/>
    <w:basedOn w:val="1"/>
    <w:uiPriority w:val="0"/>
    <w:pPr>
      <w:widowControl/>
      <w:pBdr>
        <w:top w:val="single" w:color="auto" w:sz="4" w:space="0"/>
        <w:bottom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384">
    <w:name w:val="xl739"/>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385">
    <w:name w:val="font7"/>
    <w:basedOn w:val="1"/>
    <w:qFormat/>
    <w:uiPriority w:val="0"/>
    <w:pPr>
      <w:widowControl/>
      <w:spacing w:before="100" w:beforeLines="0" w:beforeAutospacing="1" w:after="100" w:afterLines="0" w:afterAutospacing="1"/>
      <w:jc w:val="left"/>
    </w:pPr>
    <w:rPr>
      <w:rFonts w:ascii="宋体" w:hAnsi="宋体" w:cs="宋体"/>
      <w:kern w:val="0"/>
      <w:sz w:val="20"/>
      <w:szCs w:val="20"/>
    </w:rPr>
  </w:style>
  <w:style w:type="paragraph" w:customStyle="1" w:styleId="386">
    <w:name w:val="xl81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387">
    <w:name w:val="xl770"/>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388">
    <w:name w:val="xl612"/>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389">
    <w:name w:val="xl80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3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391">
    <w:name w:val="xl738"/>
    <w:basedOn w:val="1"/>
    <w:qFormat/>
    <w:uiPriority w:val="0"/>
    <w:pPr>
      <w:widowControl/>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392">
    <w:name w:val="xl525"/>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393">
    <w:name w:val="xl609"/>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394">
    <w:name w:val="xl66"/>
    <w:basedOn w:val="1"/>
    <w:uiPriority w:val="0"/>
    <w:pPr>
      <w:widowControl/>
      <w:pBdr>
        <w:top w:val="single" w:color="auto" w:sz="4" w:space="0"/>
        <w:bottom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395">
    <w:name w:val="xl751"/>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396">
    <w:name w:val="xl75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397">
    <w:name w:val="xl800"/>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398">
    <w:name w:val="xl61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399">
    <w:name w:val="xl466"/>
    <w:basedOn w:val="1"/>
    <w:qFormat/>
    <w:uiPriority w:val="0"/>
    <w:pPr>
      <w:widowControl/>
      <w:spacing w:before="100" w:beforeLines="0" w:beforeAutospacing="1" w:after="100" w:afterLines="0" w:afterAutospacing="1"/>
      <w:jc w:val="center"/>
      <w:textAlignment w:val="center"/>
    </w:pPr>
    <w:rPr>
      <w:rFonts w:ascii="宋体" w:hAnsi="宋体" w:cs="宋体"/>
      <w:b/>
      <w:bCs/>
      <w:kern w:val="0"/>
      <w:sz w:val="24"/>
    </w:rPr>
  </w:style>
  <w:style w:type="paragraph" w:customStyle="1" w:styleId="400">
    <w:name w:val="et17"/>
    <w:basedOn w:val="1"/>
    <w:qFormat/>
    <w:uiPriority w:val="0"/>
    <w:pPr>
      <w:widowControl/>
      <w:spacing w:before="100" w:beforeLines="0" w:beforeAutospacing="1" w:after="100" w:afterLines="0" w:afterAutospacing="1"/>
      <w:jc w:val="left"/>
      <w:textAlignment w:val="center"/>
    </w:pPr>
    <w:rPr>
      <w:rFonts w:ascii="宋体" w:hAnsi="宋体" w:cs="宋体"/>
      <w:color w:val="000000"/>
      <w:kern w:val="0"/>
      <w:sz w:val="24"/>
    </w:rPr>
  </w:style>
  <w:style w:type="paragraph" w:customStyle="1" w:styleId="401">
    <w:name w:val="xl48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402">
    <w:name w:val="xl44"/>
    <w:basedOn w:val="1"/>
    <w:uiPriority w:val="0"/>
    <w:pPr>
      <w:widowControl/>
      <w:pBdr>
        <w:left w:val="single" w:color="auto" w:sz="4" w:space="0"/>
        <w:right w:val="single" w:color="auto" w:sz="4" w:space="0"/>
      </w:pBdr>
      <w:spacing w:before="100" w:beforeLines="0" w:beforeAutospacing="1" w:after="100" w:afterLines="0" w:afterAutospacing="1"/>
      <w:jc w:val="center"/>
    </w:pPr>
    <w:rPr>
      <w:rFonts w:ascii="微软雅黑" w:hAnsi="宋体" w:eastAsia="微软雅黑" w:cs="宋体"/>
      <w:kern w:val="0"/>
      <w:sz w:val="20"/>
      <w:szCs w:val="20"/>
    </w:rPr>
  </w:style>
  <w:style w:type="paragraph" w:customStyle="1" w:styleId="403">
    <w:name w:val="xl668"/>
    <w:basedOn w:val="1"/>
    <w:uiPriority w:val="0"/>
    <w:pPr>
      <w:widowControl/>
      <w:spacing w:before="100" w:beforeLines="0" w:beforeAutospacing="1" w:after="100" w:afterLines="0" w:afterAutospacing="1"/>
      <w:jc w:val="left"/>
      <w:textAlignment w:val="center"/>
    </w:pPr>
    <w:rPr>
      <w:rFonts w:ascii="宋体" w:hAnsi="宋体" w:cs="宋体"/>
      <w:kern w:val="0"/>
      <w:sz w:val="24"/>
    </w:rPr>
  </w:style>
  <w:style w:type="paragraph" w:customStyle="1" w:styleId="404">
    <w:name w:val="_Style 149"/>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5">
    <w:name w:val="xl521"/>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406">
    <w:name w:val="xl755"/>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407">
    <w:name w:val="xl722"/>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408">
    <w:name w:val="xl60"/>
    <w:basedOn w:val="1"/>
    <w:uiPriority w:val="0"/>
    <w:pPr>
      <w:widowControl/>
      <w:pBdr>
        <w:left w:val="single" w:color="auto" w:sz="4" w:space="0"/>
        <w:right w:val="single" w:color="auto" w:sz="4" w:space="0"/>
      </w:pBdr>
      <w:spacing w:before="100" w:beforeLines="0" w:beforeAutospacing="1" w:after="100" w:afterLines="0" w:afterAutospacing="1"/>
      <w:jc w:val="center"/>
    </w:pPr>
    <w:rPr>
      <w:rFonts w:ascii="微软雅黑" w:hAnsi="宋体" w:eastAsia="微软雅黑" w:cs="宋体"/>
      <w:kern w:val="0"/>
      <w:sz w:val="20"/>
      <w:szCs w:val="20"/>
    </w:rPr>
  </w:style>
  <w:style w:type="paragraph" w:customStyle="1" w:styleId="409">
    <w:name w:val="xl97"/>
    <w:basedOn w:val="1"/>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410">
    <w:name w:val="xl740"/>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411">
    <w:name w:val="xl47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412">
    <w:name w:val="xl512"/>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413">
    <w:name w:val="列出段落11"/>
    <w:basedOn w:val="1"/>
    <w:uiPriority w:val="0"/>
    <w:pPr>
      <w:ind w:firstLine="420" w:firstLineChars="200"/>
    </w:pPr>
    <w:rPr>
      <w:rFonts w:ascii="Calibri" w:hAnsi="Calibri"/>
      <w:szCs w:val="22"/>
    </w:rPr>
  </w:style>
  <w:style w:type="paragraph" w:customStyle="1" w:styleId="414">
    <w:name w:val="xl476"/>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415">
    <w:name w:val="xl30"/>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微软雅黑" w:hAnsi="宋体" w:eastAsia="微软雅黑" w:cs="宋体"/>
      <w:kern w:val="0"/>
      <w:sz w:val="20"/>
      <w:szCs w:val="20"/>
    </w:rPr>
  </w:style>
  <w:style w:type="paragraph" w:customStyle="1" w:styleId="416">
    <w:name w:val="et19"/>
    <w:basedOn w:val="1"/>
    <w:uiPriority w:val="0"/>
    <w:pPr>
      <w:widowControl/>
      <w:spacing w:before="100" w:beforeLines="0" w:beforeAutospacing="1" w:after="100" w:afterLines="0" w:afterAutospacing="1"/>
      <w:jc w:val="left"/>
      <w:textAlignment w:val="center"/>
    </w:pPr>
    <w:rPr>
      <w:rFonts w:ascii="宋体" w:hAnsi="宋体" w:cs="宋体"/>
      <w:color w:val="000000"/>
      <w:kern w:val="0"/>
      <w:sz w:val="24"/>
    </w:rPr>
  </w:style>
  <w:style w:type="paragraph" w:customStyle="1" w:styleId="417">
    <w:name w:val="xl48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418">
    <w:name w:val="xl701"/>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419">
    <w:name w:val="xl752"/>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420">
    <w:name w:val="Char11"/>
    <w:basedOn w:val="1"/>
    <w:uiPriority w:val="0"/>
    <w:rPr>
      <w:rFonts w:ascii="Tahoma" w:hAnsi="Tahoma"/>
      <w:sz w:val="24"/>
      <w:szCs w:val="20"/>
    </w:rPr>
  </w:style>
  <w:style w:type="paragraph" w:customStyle="1" w:styleId="421">
    <w:name w:val="xl771"/>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422">
    <w:name w:val="M正文0"/>
    <w:basedOn w:val="1"/>
    <w:uiPriority w:val="0"/>
    <w:pPr>
      <w:adjustRightInd w:val="0"/>
      <w:spacing w:after="120" w:afterLines="0" w:line="320" w:lineRule="atLeast"/>
      <w:ind w:firstLine="425"/>
      <w:textAlignment w:val="baseline"/>
    </w:pPr>
    <w:rPr>
      <w:kern w:val="0"/>
      <w:szCs w:val="20"/>
    </w:rPr>
  </w:style>
  <w:style w:type="paragraph" w:customStyle="1" w:styleId="423">
    <w:name w:val="xl819"/>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424">
    <w:name w:val="列表段落1"/>
    <w:basedOn w:val="1"/>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customStyle="1" w:styleId="425">
    <w:name w:val="xl822"/>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426">
    <w:name w:val="xl766"/>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427">
    <w:name w:val="xl56"/>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428">
    <w:name w:val="xl39"/>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429">
    <w:name w:val="xl465"/>
    <w:basedOn w:val="1"/>
    <w:uiPriority w:val="0"/>
    <w:pPr>
      <w:widowControl/>
      <w:spacing w:before="100" w:beforeLines="0" w:beforeAutospacing="1" w:after="100" w:afterLines="0" w:afterAutospacing="1"/>
      <w:jc w:val="center"/>
      <w:textAlignment w:val="center"/>
    </w:pPr>
    <w:rPr>
      <w:rFonts w:ascii="宋体" w:hAnsi="宋体" w:cs="宋体"/>
      <w:kern w:val="0"/>
      <w:sz w:val="24"/>
    </w:rPr>
  </w:style>
  <w:style w:type="paragraph" w:customStyle="1" w:styleId="430">
    <w:name w:val="_Style 1491"/>
    <w:next w:val="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1">
    <w:name w:val="xl725"/>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432">
    <w:name w:val="xl79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433">
    <w:name w:val="xl49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434">
    <w:name w:val="xl780"/>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435">
    <w:name w:val="xl79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436">
    <w:name w:val="xl81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437">
    <w:name w:val="xl575"/>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438">
    <w:name w:val="Char Char Char Char1"/>
    <w:basedOn w:val="1"/>
    <w:next w:val="1"/>
    <w:qFormat/>
    <w:uiPriority w:val="0"/>
    <w:pPr>
      <w:tabs>
        <w:tab w:val="left" w:pos="720"/>
      </w:tabs>
      <w:spacing w:line="360" w:lineRule="auto"/>
      <w:ind w:firstLine="480" w:firstLineChars="200"/>
      <w:jc w:val="center"/>
    </w:pPr>
    <w:rPr>
      <w:kern w:val="0"/>
      <w:sz w:val="24"/>
    </w:rPr>
  </w:style>
  <w:style w:type="paragraph" w:customStyle="1" w:styleId="439">
    <w:name w:val="xl51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440">
    <w:name w:val="xl69"/>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0"/>
      <w:szCs w:val="20"/>
    </w:rPr>
  </w:style>
  <w:style w:type="paragraph" w:customStyle="1" w:styleId="441">
    <w:name w:val="默认"/>
    <w:uiPriority w:val="0"/>
    <w:rPr>
      <w:rFonts w:hint="eastAsia" w:ascii="Arial Unicode MS" w:hAnsi="Arial Unicode MS" w:eastAsia="Helvetica Neue" w:cs="Arial Unicode MS"/>
      <w:color w:val="000000"/>
      <w:sz w:val="22"/>
      <w:szCs w:val="22"/>
      <w:lang w:val="zh-CN" w:eastAsia="zh-CN" w:bidi="ar-SA"/>
    </w:rPr>
  </w:style>
  <w:style w:type="paragraph" w:customStyle="1" w:styleId="442">
    <w:name w:val="Table Text"/>
    <w:qFormat/>
    <w:uiPriority w:val="0"/>
    <w:pPr>
      <w:snapToGrid w:val="0"/>
      <w:spacing w:before="80" w:after="80"/>
    </w:pPr>
    <w:rPr>
      <w:rFonts w:ascii="Arial" w:hAnsi="Arial" w:eastAsia="宋体" w:cs="Arial"/>
      <w:kern w:val="2"/>
      <w:sz w:val="18"/>
      <w:szCs w:val="18"/>
      <w:lang w:val="en-US" w:eastAsia="zh-CN" w:bidi="ar-SA"/>
    </w:rPr>
  </w:style>
  <w:style w:type="paragraph" w:customStyle="1" w:styleId="443">
    <w:name w:val="List Paragraph1"/>
    <w:basedOn w:val="1"/>
    <w:unhideWhenUsed/>
    <w:qFormat/>
    <w:uiPriority w:val="99"/>
    <w:pPr>
      <w:ind w:firstLine="420" w:firstLineChars="200"/>
    </w:pPr>
    <w:rPr>
      <w:rFonts w:ascii="Calibri" w:hAnsi="Calibri"/>
    </w:rPr>
  </w:style>
  <w:style w:type="paragraph" w:customStyle="1" w:styleId="444">
    <w:name w:val="xl711"/>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445">
    <w:name w:val="xl48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446">
    <w:name w:val="xl49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447">
    <w:name w:val="xl59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448">
    <w:name w:val="xl49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449">
    <w:name w:val="xl77"/>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450">
    <w:name w:val="xl737"/>
    <w:basedOn w:val="1"/>
    <w:uiPriority w:val="0"/>
    <w:pPr>
      <w:widowControl/>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451">
    <w:name w:val="xl67"/>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452">
    <w:name w:val="xl53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453">
    <w:name w:val="xl77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454">
    <w:name w:val="xl513"/>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455">
    <w:name w:val="无间隔1"/>
    <w:qFormat/>
    <w:uiPriority w:val="0"/>
    <w:rPr>
      <w:rFonts w:ascii="Times New Roman" w:hAnsi="Times New Roman" w:eastAsia="宋体" w:cs="Times New Roman"/>
      <w:sz w:val="22"/>
      <w:szCs w:val="22"/>
      <w:lang w:val="en-US" w:eastAsia="zh-CN" w:bidi="ar-SA"/>
    </w:rPr>
  </w:style>
  <w:style w:type="paragraph" w:customStyle="1" w:styleId="456">
    <w:name w:val="xl74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457">
    <w:name w:val="xl663"/>
    <w:basedOn w:val="1"/>
    <w:qFormat/>
    <w:uiPriority w:val="0"/>
    <w:pPr>
      <w:widowControl/>
      <w:spacing w:before="100" w:beforeLines="0" w:beforeAutospacing="1" w:after="100" w:afterLines="0" w:afterAutospacing="1"/>
      <w:jc w:val="left"/>
      <w:textAlignment w:val="center"/>
    </w:pPr>
    <w:rPr>
      <w:rFonts w:ascii="宋体" w:hAnsi="宋体" w:cs="宋体"/>
      <w:b/>
      <w:bCs/>
      <w:kern w:val="0"/>
      <w:sz w:val="28"/>
      <w:szCs w:val="28"/>
    </w:rPr>
  </w:style>
  <w:style w:type="paragraph" w:customStyle="1" w:styleId="458">
    <w:name w:val="xl826"/>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Cs w:val="21"/>
    </w:rPr>
  </w:style>
  <w:style w:type="paragraph" w:customStyle="1" w:styleId="459">
    <w:name w:val="xl817"/>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460">
    <w:name w:val="et21"/>
    <w:basedOn w:val="1"/>
    <w:uiPriority w:val="0"/>
    <w:pPr>
      <w:widowControl/>
      <w:spacing w:before="100" w:beforeLines="0" w:beforeAutospacing="1" w:after="100" w:afterLines="0" w:afterAutospacing="1"/>
      <w:jc w:val="left"/>
      <w:textAlignment w:val="center"/>
    </w:pPr>
    <w:rPr>
      <w:rFonts w:ascii="宋体" w:hAnsi="宋体" w:cs="宋体"/>
      <w:color w:val="000000"/>
      <w:kern w:val="0"/>
      <w:sz w:val="24"/>
    </w:rPr>
  </w:style>
  <w:style w:type="paragraph" w:customStyle="1" w:styleId="461">
    <w:name w:val="xl589"/>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462">
    <w:name w:val="xl99"/>
    <w:basedOn w:val="1"/>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463">
    <w:name w:val="xl549"/>
    <w:basedOn w:val="1"/>
    <w:qFormat/>
    <w:uiPriority w:val="0"/>
    <w:pPr>
      <w:widowControl/>
      <w:spacing w:before="100" w:beforeLines="0" w:beforeAutospacing="1" w:after="100" w:afterLines="0" w:afterAutospacing="1"/>
      <w:jc w:val="center"/>
      <w:textAlignment w:val="center"/>
    </w:pPr>
    <w:rPr>
      <w:rFonts w:ascii="宋体" w:hAnsi="宋体" w:cs="宋体"/>
      <w:b/>
      <w:bCs/>
      <w:kern w:val="0"/>
      <w:sz w:val="28"/>
      <w:szCs w:val="28"/>
    </w:rPr>
  </w:style>
  <w:style w:type="paragraph" w:customStyle="1" w:styleId="464">
    <w:name w:val="xl79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465">
    <w:name w:val="xl583"/>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466">
    <w:name w:val="Char1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467">
    <w:name w:val="Char Char Char1"/>
    <w:basedOn w:val="1"/>
    <w:qFormat/>
    <w:uiPriority w:val="0"/>
    <w:rPr>
      <w:rFonts w:ascii="Tahoma" w:hAnsi="Tahoma"/>
      <w:sz w:val="24"/>
      <w:szCs w:val="20"/>
    </w:rPr>
  </w:style>
  <w:style w:type="paragraph" w:customStyle="1" w:styleId="468">
    <w:name w:val="xl825"/>
    <w:basedOn w:val="1"/>
    <w:qFormat/>
    <w:uiPriority w:val="0"/>
    <w:pPr>
      <w:widowControl/>
      <w:spacing w:before="100" w:beforeLines="0" w:beforeAutospacing="1" w:after="100" w:afterLines="0" w:afterAutospacing="1"/>
      <w:jc w:val="center"/>
      <w:textAlignment w:val="center"/>
    </w:pPr>
    <w:rPr>
      <w:rFonts w:ascii="宋体" w:hAnsi="宋体" w:cs="宋体"/>
      <w:kern w:val="0"/>
      <w:sz w:val="24"/>
    </w:rPr>
  </w:style>
  <w:style w:type="paragraph" w:customStyle="1" w:styleId="469">
    <w:name w:val="xl46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470">
    <w:name w:val="xl69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471">
    <w:name w:val="Level 1"/>
    <w:basedOn w:val="282"/>
    <w:next w:val="282"/>
    <w:uiPriority w:val="0"/>
    <w:rPr>
      <w:rFonts w:ascii="GAMJEG+Arial" w:eastAsia="GAMJEG+Arial"/>
      <w:color w:val="auto"/>
    </w:rPr>
  </w:style>
  <w:style w:type="paragraph" w:customStyle="1" w:styleId="472">
    <w:name w:val="xl4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473">
    <w:name w:val="xl56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color w:val="000000"/>
      <w:kern w:val="0"/>
      <w:sz w:val="20"/>
      <w:szCs w:val="20"/>
    </w:rPr>
  </w:style>
  <w:style w:type="paragraph" w:customStyle="1" w:styleId="474">
    <w:name w:val="xl54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475">
    <w:name w:val="tabletext"/>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476">
    <w:name w:val="xl71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477">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78">
    <w:name w:val="_Style 477"/>
    <w:basedOn w:val="3"/>
    <w:next w:val="1"/>
    <w:qFormat/>
    <w:uiPriority w:val="0"/>
    <w:pPr>
      <w:widowControl/>
      <w:autoSpaceDE/>
      <w:autoSpaceDN/>
      <w:adjustRightInd/>
      <w:spacing w:before="480" w:beforeLines="0" w:after="0" w:afterLines="0" w:line="276" w:lineRule="auto"/>
      <w:jc w:val="left"/>
      <w:outlineLvl w:val="9"/>
    </w:pPr>
    <w:rPr>
      <w:rFonts w:ascii="Cambria" w:hAnsi="Cambria"/>
      <w:bCs/>
      <w:color w:val="365F91"/>
      <w:kern w:val="0"/>
      <w:sz w:val="28"/>
      <w:szCs w:val="28"/>
    </w:rPr>
  </w:style>
  <w:style w:type="paragraph" w:customStyle="1" w:styleId="479">
    <w:name w:val="et18"/>
    <w:basedOn w:val="1"/>
    <w:qFormat/>
    <w:uiPriority w:val="0"/>
    <w:pPr>
      <w:widowControl/>
      <w:spacing w:before="100" w:beforeLines="0" w:beforeAutospacing="1" w:after="100" w:afterLines="0" w:afterAutospacing="1"/>
      <w:jc w:val="left"/>
      <w:textAlignment w:val="center"/>
    </w:pPr>
    <w:rPr>
      <w:rFonts w:ascii="宋体" w:hAnsi="宋体" w:cs="宋体"/>
      <w:color w:val="000000"/>
      <w:kern w:val="0"/>
      <w:sz w:val="24"/>
    </w:rPr>
  </w:style>
  <w:style w:type="paragraph" w:customStyle="1" w:styleId="480">
    <w:name w:val="xl533"/>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481">
    <w:name w:val="xl71"/>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微软雅黑" w:hAnsi="宋体" w:eastAsia="微软雅黑" w:cs="宋体"/>
      <w:kern w:val="0"/>
      <w:sz w:val="20"/>
      <w:szCs w:val="20"/>
    </w:rPr>
  </w:style>
  <w:style w:type="paragraph" w:customStyle="1" w:styleId="482">
    <w:name w:val="xl550"/>
    <w:basedOn w:val="1"/>
    <w:qFormat/>
    <w:uiPriority w:val="0"/>
    <w:pPr>
      <w:widowControl/>
      <w:spacing w:before="100" w:beforeLines="0" w:beforeAutospacing="1" w:after="100" w:afterLines="0" w:afterAutospacing="1"/>
      <w:jc w:val="left"/>
      <w:textAlignment w:val="center"/>
    </w:pPr>
    <w:rPr>
      <w:rFonts w:ascii="宋体" w:hAnsi="宋体" w:cs="宋体"/>
      <w:kern w:val="0"/>
      <w:sz w:val="24"/>
    </w:rPr>
  </w:style>
  <w:style w:type="paragraph" w:customStyle="1" w:styleId="483">
    <w:name w:val="et9"/>
    <w:basedOn w:val="1"/>
    <w:qFormat/>
    <w:uiPriority w:val="0"/>
    <w:pPr>
      <w:widowControl/>
      <w:spacing w:before="100" w:beforeLines="0" w:beforeAutospacing="1" w:after="100" w:afterLines="0" w:afterAutospacing="1"/>
      <w:jc w:val="left"/>
      <w:textAlignment w:val="center"/>
    </w:pPr>
    <w:rPr>
      <w:rFonts w:ascii="宋体" w:hAnsi="宋体" w:cs="宋体"/>
      <w:color w:val="000000"/>
      <w:kern w:val="0"/>
      <w:sz w:val="24"/>
    </w:rPr>
  </w:style>
  <w:style w:type="paragraph" w:customStyle="1" w:styleId="484">
    <w:name w:val="xl60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485">
    <w:name w:val="xl52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486">
    <w:name w:val="TOC 标题11"/>
    <w:basedOn w:val="3"/>
    <w:next w:val="1"/>
    <w:qFormat/>
    <w:uiPriority w:val="0"/>
    <w:pPr>
      <w:widowControl/>
      <w:autoSpaceDE/>
      <w:autoSpaceDN/>
      <w:adjustRightInd/>
      <w:spacing w:before="480" w:beforeLines="0" w:after="0" w:afterLines="0" w:line="276" w:lineRule="auto"/>
      <w:jc w:val="left"/>
      <w:outlineLvl w:val="9"/>
    </w:pPr>
    <w:rPr>
      <w:rFonts w:ascii="Cambria" w:hAnsi="Cambria"/>
      <w:bCs/>
      <w:color w:val="365F91"/>
      <w:kern w:val="0"/>
      <w:sz w:val="28"/>
      <w:szCs w:val="28"/>
    </w:rPr>
  </w:style>
  <w:style w:type="paragraph" w:customStyle="1" w:styleId="487">
    <w:name w:val="reader-word-layer"/>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488">
    <w:name w:val="xl779"/>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489">
    <w:name w:val="xl52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490">
    <w:name w:val="xl667"/>
    <w:basedOn w:val="1"/>
    <w:uiPriority w:val="0"/>
    <w:pPr>
      <w:widowControl/>
      <w:spacing w:before="100" w:beforeLines="0" w:beforeAutospacing="1" w:after="100" w:afterLines="0" w:afterAutospacing="1"/>
      <w:jc w:val="left"/>
      <w:textAlignment w:val="center"/>
    </w:pPr>
    <w:rPr>
      <w:rFonts w:ascii="宋体" w:hAnsi="宋体" w:cs="宋体"/>
      <w:b/>
      <w:bCs/>
      <w:kern w:val="0"/>
      <w:sz w:val="20"/>
      <w:szCs w:val="20"/>
    </w:rPr>
  </w:style>
  <w:style w:type="paragraph" w:customStyle="1" w:styleId="491">
    <w:name w:val="xl85"/>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kern w:val="0"/>
      <w:sz w:val="20"/>
      <w:szCs w:val="20"/>
    </w:rPr>
  </w:style>
  <w:style w:type="paragraph" w:customStyle="1" w:styleId="49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493">
    <w:name w:val="xl49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494">
    <w:name w:val="xl80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495">
    <w:name w:val="xl797"/>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496">
    <w:name w:val="Char Char Char Char Char Char Char Char Char Char Char Char Char Char Char"/>
    <w:basedOn w:val="1"/>
    <w:qFormat/>
    <w:uiPriority w:val="0"/>
    <w:pPr>
      <w:snapToGrid w:val="0"/>
      <w:spacing w:line="440" w:lineRule="atLeast"/>
    </w:pPr>
    <w:rPr>
      <w:rFonts w:ascii="宋体"/>
      <w:sz w:val="24"/>
    </w:rPr>
  </w:style>
  <w:style w:type="paragraph" w:customStyle="1" w:styleId="497">
    <w:name w:val="et12"/>
    <w:basedOn w:val="1"/>
    <w:qFormat/>
    <w:uiPriority w:val="0"/>
    <w:pPr>
      <w:widowControl/>
      <w:spacing w:before="100" w:beforeLines="0" w:beforeAutospacing="1" w:after="100" w:afterLines="0" w:afterAutospacing="1"/>
      <w:jc w:val="left"/>
      <w:textAlignment w:val="center"/>
    </w:pPr>
    <w:rPr>
      <w:rFonts w:ascii="宋体" w:hAnsi="宋体" w:cs="宋体"/>
      <w:color w:val="000000"/>
      <w:kern w:val="0"/>
      <w:sz w:val="24"/>
    </w:rPr>
  </w:style>
  <w:style w:type="paragraph" w:customStyle="1" w:styleId="498">
    <w:name w:val="Default Paragraph Font Para Char"/>
    <w:basedOn w:val="1"/>
    <w:uiPriority w:val="0"/>
    <w:pPr>
      <w:widowControl/>
      <w:spacing w:after="160" w:afterLines="0" w:line="240" w:lineRule="exact"/>
      <w:jc w:val="left"/>
    </w:pPr>
    <w:rPr>
      <w:rFonts w:ascii="Verdana" w:hAnsi="Verdana"/>
      <w:kern w:val="0"/>
      <w:sz w:val="20"/>
      <w:szCs w:val="20"/>
      <w:lang w:eastAsia="en-US"/>
    </w:rPr>
  </w:style>
  <w:style w:type="paragraph" w:customStyle="1" w:styleId="499">
    <w:name w:val="xl5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500">
    <w:name w:val="xl67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b/>
      <w:bCs/>
      <w:kern w:val="0"/>
      <w:sz w:val="20"/>
      <w:szCs w:val="20"/>
    </w:rPr>
  </w:style>
  <w:style w:type="paragraph" w:customStyle="1" w:styleId="501">
    <w:name w:val="xl523"/>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502">
    <w:name w:val="xl73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503">
    <w:name w:val="xl666"/>
    <w:basedOn w:val="1"/>
    <w:qFormat/>
    <w:uiPriority w:val="0"/>
    <w:pPr>
      <w:widowControl/>
      <w:spacing w:before="100" w:beforeLines="0" w:beforeAutospacing="1" w:after="100" w:afterLines="0" w:afterAutospacing="1"/>
      <w:jc w:val="center"/>
      <w:textAlignment w:val="center"/>
    </w:pPr>
    <w:rPr>
      <w:rFonts w:ascii="宋体" w:hAnsi="宋体" w:cs="宋体"/>
      <w:b/>
      <w:bCs/>
      <w:kern w:val="0"/>
      <w:sz w:val="20"/>
      <w:szCs w:val="20"/>
    </w:rPr>
  </w:style>
  <w:style w:type="paragraph" w:customStyle="1" w:styleId="504">
    <w:name w:val="xl50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505">
    <w:name w:val="首行缩进"/>
    <w:basedOn w:val="1"/>
    <w:qFormat/>
    <w:uiPriority w:val="0"/>
    <w:pPr>
      <w:widowControl/>
      <w:spacing w:line="360" w:lineRule="auto"/>
      <w:ind w:firstLine="720"/>
      <w:jc w:val="left"/>
    </w:pPr>
    <w:rPr>
      <w:rFonts w:ascii="Calibri" w:hAnsi="Calibri"/>
      <w:kern w:val="0"/>
      <w:sz w:val="24"/>
      <w:szCs w:val="21"/>
    </w:rPr>
  </w:style>
  <w:style w:type="paragraph" w:customStyle="1" w:styleId="506">
    <w:name w:val="Char Char Char Char Char Char Char Char Char Char Char Char1 Char1"/>
    <w:basedOn w:val="1"/>
    <w:qFormat/>
    <w:uiPriority w:val="0"/>
    <w:pPr>
      <w:snapToGrid w:val="0"/>
      <w:spacing w:line="360" w:lineRule="auto"/>
      <w:ind w:firstLine="200" w:firstLineChars="200"/>
    </w:pPr>
    <w:rPr>
      <w:szCs w:val="20"/>
    </w:rPr>
  </w:style>
  <w:style w:type="paragraph" w:customStyle="1" w:styleId="507">
    <w:name w:val="xl79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508">
    <w:name w:val="xl561"/>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509">
    <w:name w:val="xl56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510">
    <w:name w:val="xl57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511">
    <w:name w:val="xl75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512">
    <w:name w:val="xl69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513">
    <w:name w:val="font5"/>
    <w:basedOn w:val="1"/>
    <w:uiPriority w:val="0"/>
    <w:pPr>
      <w:widowControl/>
      <w:spacing w:before="100" w:beforeLines="0" w:beforeAutospacing="1" w:after="100" w:afterLines="0" w:afterAutospacing="1"/>
      <w:jc w:val="left"/>
    </w:pPr>
    <w:rPr>
      <w:rFonts w:ascii="宋体" w:hAnsi="宋体" w:cs="宋体"/>
      <w:color w:val="000000"/>
      <w:kern w:val="0"/>
      <w:szCs w:val="21"/>
    </w:rPr>
  </w:style>
  <w:style w:type="paragraph" w:customStyle="1" w:styleId="514">
    <w:name w:val="xl528"/>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515">
    <w:name w:val="xl768"/>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516">
    <w:name w:val="xl60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styleId="517">
    <w:name w:val="List Paragraph"/>
    <w:basedOn w:val="1"/>
    <w:qFormat/>
    <w:uiPriority w:val="0"/>
    <w:pPr>
      <w:ind w:firstLine="420" w:firstLineChars="200"/>
    </w:pPr>
  </w:style>
  <w:style w:type="paragraph" w:customStyle="1" w:styleId="518">
    <w:name w:val="et16"/>
    <w:basedOn w:val="1"/>
    <w:uiPriority w:val="0"/>
    <w:pPr>
      <w:widowControl/>
      <w:spacing w:before="100" w:beforeLines="0" w:beforeAutospacing="1" w:after="100" w:afterLines="0" w:afterAutospacing="1"/>
      <w:jc w:val="left"/>
      <w:textAlignment w:val="center"/>
    </w:pPr>
    <w:rPr>
      <w:rFonts w:ascii="宋体" w:hAnsi="宋体" w:cs="宋体"/>
      <w:color w:val="000000"/>
      <w:kern w:val="0"/>
      <w:sz w:val="24"/>
    </w:rPr>
  </w:style>
  <w:style w:type="paragraph" w:customStyle="1" w:styleId="519">
    <w:name w:val="xl818"/>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520">
    <w:name w:val="xl761"/>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521">
    <w:name w:val="xl52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522">
    <w:name w:val="xl56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523">
    <w:name w:val="xl90"/>
    <w:basedOn w:val="1"/>
    <w:qFormat/>
    <w:uiPriority w:val="0"/>
    <w:pPr>
      <w:widowControl/>
      <w:spacing w:before="100" w:beforeLines="0" w:beforeAutospacing="1" w:after="100" w:afterLines="0" w:afterAutospacing="1"/>
      <w:jc w:val="center"/>
    </w:pPr>
    <w:rPr>
      <w:rFonts w:ascii="宋体" w:hAnsi="宋体" w:cs="宋体"/>
      <w:kern w:val="0"/>
      <w:sz w:val="24"/>
    </w:rPr>
  </w:style>
  <w:style w:type="paragraph" w:customStyle="1" w:styleId="524">
    <w:name w:val="xl488"/>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525">
    <w:name w:val="xl813"/>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526">
    <w:name w:val="Char Char Char Char Char Char Char Char Char Char Char Char Char Char Char Char1"/>
    <w:basedOn w:val="1"/>
    <w:qFormat/>
    <w:uiPriority w:val="0"/>
    <w:pPr>
      <w:tabs>
        <w:tab w:val="left" w:pos="360"/>
      </w:tabs>
    </w:pPr>
    <w:rPr>
      <w:sz w:val="24"/>
    </w:rPr>
  </w:style>
  <w:style w:type="paragraph" w:customStyle="1" w:styleId="527">
    <w:name w:val="xl59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528">
    <w:name w:val="xl68"/>
    <w:basedOn w:val="1"/>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0"/>
      <w:szCs w:val="20"/>
    </w:rPr>
  </w:style>
  <w:style w:type="paragraph" w:customStyle="1" w:styleId="529">
    <w:name w:val="xl71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530">
    <w:name w:val="xl65"/>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531">
    <w:name w:val="xl74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532">
    <w:name w:val="xl98"/>
    <w:basedOn w:val="1"/>
    <w:qFormat/>
    <w:uiPriority w:val="0"/>
    <w:pPr>
      <w:widowControl/>
      <w:pBdr>
        <w:top w:val="single" w:color="auto" w:sz="4" w:space="0"/>
        <w:left w:val="single" w:color="auto" w:sz="8"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533">
    <w:name w:val="xl721"/>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534">
    <w:name w:val="xl76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535">
    <w:name w:val="表格文本"/>
    <w:basedOn w:val="1"/>
    <w:uiPriority w:val="0"/>
    <w:rPr>
      <w:rFonts w:ascii="Calibri" w:hAnsi="Calibri"/>
      <w:szCs w:val="22"/>
    </w:rPr>
  </w:style>
  <w:style w:type="paragraph" w:customStyle="1" w:styleId="536">
    <w:name w:val="xl55"/>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537">
    <w:name w:val="xl569"/>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538">
    <w:name w:val="xl730"/>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539">
    <w:name w:val="列出段落1"/>
    <w:basedOn w:val="1"/>
    <w:qFormat/>
    <w:uiPriority w:val="0"/>
    <w:pPr>
      <w:ind w:firstLine="420" w:firstLineChars="200"/>
    </w:pPr>
    <w:rPr>
      <w:rFonts w:ascii="Calibri" w:hAnsi="Calibri"/>
      <w:szCs w:val="22"/>
    </w:rPr>
  </w:style>
  <w:style w:type="paragraph" w:customStyle="1" w:styleId="540">
    <w:name w:val="xl673"/>
    <w:basedOn w:val="1"/>
    <w:uiPriority w:val="0"/>
    <w:pPr>
      <w:widowControl/>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541">
    <w:name w:val="样式正文"/>
    <w:basedOn w:val="1"/>
    <w:uiPriority w:val="0"/>
    <w:pPr>
      <w:spacing w:line="360" w:lineRule="auto"/>
      <w:ind w:firstLine="480" w:firstLineChars="200"/>
    </w:pPr>
    <w:rPr>
      <w:rFonts w:eastAsia="仿宋_GB2312" w:cs="宋体"/>
      <w:sz w:val="32"/>
      <w:szCs w:val="20"/>
    </w:rPr>
  </w:style>
  <w:style w:type="paragraph" w:customStyle="1" w:styleId="542">
    <w:name w:val="xl50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543">
    <w:name w:val="xl68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544">
    <w:name w:val="xl4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545">
    <w:name w:val="xl731"/>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546">
    <w:name w:val="xl70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547">
    <w:name w:val="列表1"/>
    <w:basedOn w:val="1"/>
    <w:uiPriority w:val="0"/>
    <w:pPr>
      <w:adjustRightInd w:val="0"/>
      <w:spacing w:line="360" w:lineRule="auto"/>
      <w:ind w:left="902" w:hanging="482"/>
      <w:textAlignment w:val="baseline"/>
    </w:pPr>
    <w:rPr>
      <w:rFonts w:ascii="昆仑仿宋" w:eastAsia="昆仑仿宋"/>
      <w:kern w:val="0"/>
      <w:szCs w:val="20"/>
    </w:rPr>
  </w:style>
  <w:style w:type="paragraph" w:customStyle="1" w:styleId="548">
    <w:name w:val="Char Char1 Char Char Char Char Char Char1"/>
    <w:basedOn w:val="1"/>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54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color w:val="000000"/>
      <w:kern w:val="0"/>
      <w:sz w:val="20"/>
      <w:szCs w:val="20"/>
    </w:rPr>
  </w:style>
  <w:style w:type="paragraph" w:customStyle="1" w:styleId="550">
    <w:name w:val="xl69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551">
    <w:name w:val="xl82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552">
    <w:name w:val="Char1 Char Char Char Char Char Char"/>
    <w:basedOn w:val="1"/>
    <w:qFormat/>
    <w:uiPriority w:val="0"/>
    <w:rPr>
      <w:rFonts w:ascii="Tahoma" w:hAnsi="Tahoma"/>
      <w:sz w:val="24"/>
      <w:szCs w:val="20"/>
    </w:rPr>
  </w:style>
  <w:style w:type="paragraph" w:customStyle="1" w:styleId="553">
    <w:name w:val="xl531"/>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554">
    <w:name w:val="xl49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555">
    <w:name w:val="xl8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556">
    <w:name w:val="xl750"/>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557">
    <w:name w:val="xl47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b/>
      <w:bCs/>
      <w:kern w:val="0"/>
      <w:sz w:val="20"/>
      <w:szCs w:val="20"/>
    </w:rPr>
  </w:style>
  <w:style w:type="paragraph" w:customStyle="1" w:styleId="558">
    <w:name w:val="xl56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559">
    <w:name w:val="xl733"/>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560">
    <w:name w:val="xl115"/>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561">
    <w:name w:val="xl57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562">
    <w:name w:val="xl56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563">
    <w:name w:val="xl688"/>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564">
    <w:name w:val="Char"/>
    <w:basedOn w:val="1"/>
    <w:uiPriority w:val="0"/>
    <w:rPr>
      <w:rFonts w:ascii="Tahoma" w:hAnsi="Tahoma"/>
      <w:sz w:val="24"/>
      <w:szCs w:val="20"/>
    </w:rPr>
  </w:style>
  <w:style w:type="paragraph" w:customStyle="1" w:styleId="565">
    <w:name w:val="xl827"/>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Cs w:val="21"/>
    </w:rPr>
  </w:style>
  <w:style w:type="paragraph" w:customStyle="1" w:styleId="566">
    <w:name w:val="xl551"/>
    <w:basedOn w:val="1"/>
    <w:uiPriority w:val="0"/>
    <w:pPr>
      <w:widowControl/>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567">
    <w:name w:val="font0"/>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68">
    <w:name w:val="列出段落4"/>
    <w:basedOn w:val="1"/>
    <w:uiPriority w:val="0"/>
    <w:pPr>
      <w:spacing w:before="156" w:beforeLines="50" w:after="156" w:afterLines="50" w:line="360" w:lineRule="auto"/>
      <w:ind w:left="105" w:leftChars="50" w:right="105" w:rightChars="50" w:firstLine="420" w:firstLineChars="200"/>
    </w:pPr>
    <w:rPr>
      <w:rFonts w:eastAsia="微软雅黑"/>
      <w:sz w:val="24"/>
      <w:szCs w:val="20"/>
    </w:rPr>
  </w:style>
  <w:style w:type="paragraph" w:customStyle="1" w:styleId="569">
    <w:name w:val="xl606"/>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570">
    <w:name w:val="xl32"/>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微软雅黑" w:hAnsi="宋体" w:eastAsia="微软雅黑" w:cs="宋体"/>
      <w:kern w:val="0"/>
      <w:sz w:val="20"/>
      <w:szCs w:val="20"/>
    </w:rPr>
  </w:style>
  <w:style w:type="paragraph" w:customStyle="1" w:styleId="571">
    <w:name w:val="正文格式（小四）"/>
    <w:basedOn w:val="1"/>
    <w:uiPriority w:val="0"/>
    <w:pPr>
      <w:widowControl/>
      <w:adjustRightInd w:val="0"/>
      <w:snapToGrid w:val="0"/>
      <w:spacing w:line="360" w:lineRule="auto"/>
      <w:ind w:firstLine="482"/>
      <w:jc w:val="left"/>
      <w:textAlignment w:val="baseline"/>
    </w:pPr>
    <w:rPr>
      <w:color w:val="000000"/>
      <w:kern w:val="24"/>
      <w:sz w:val="24"/>
    </w:rPr>
  </w:style>
  <w:style w:type="paragraph" w:customStyle="1" w:styleId="572">
    <w:name w:val="xl112"/>
    <w:basedOn w:val="1"/>
    <w:uiPriority w:val="0"/>
    <w:pPr>
      <w:widowControl/>
      <w:pBdr>
        <w:top w:val="single" w:color="auto" w:sz="4" w:space="0"/>
        <w:left w:val="single" w:color="auto" w:sz="8" w:space="0"/>
        <w:bottom w:val="single" w:color="auto" w:sz="8"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573">
    <w:name w:val="xl53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574">
    <w:name w:val="xl552"/>
    <w:basedOn w:val="1"/>
    <w:uiPriority w:val="0"/>
    <w:pPr>
      <w:widowControl/>
      <w:spacing w:before="100" w:beforeLines="0" w:beforeAutospacing="1" w:after="100" w:afterLines="0" w:afterAutospacing="1"/>
      <w:jc w:val="left"/>
      <w:textAlignment w:val="center"/>
    </w:pPr>
    <w:rPr>
      <w:rFonts w:ascii="宋体" w:hAnsi="宋体" w:cs="宋体"/>
      <w:b/>
      <w:bCs/>
      <w:kern w:val="0"/>
      <w:sz w:val="24"/>
    </w:rPr>
  </w:style>
  <w:style w:type="paragraph" w:customStyle="1" w:styleId="575">
    <w:name w:val="xl51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576">
    <w:name w:val="font9"/>
    <w:basedOn w:val="1"/>
    <w:uiPriority w:val="0"/>
    <w:pPr>
      <w:widowControl/>
      <w:spacing w:before="100" w:beforeLines="0" w:beforeAutospacing="1" w:after="100" w:afterLines="0" w:afterAutospacing="1"/>
      <w:jc w:val="left"/>
    </w:pPr>
    <w:rPr>
      <w:rFonts w:ascii="Arial" w:hAnsi="Arial" w:cs="Arial"/>
      <w:color w:val="000000"/>
      <w:kern w:val="0"/>
      <w:szCs w:val="21"/>
    </w:rPr>
  </w:style>
  <w:style w:type="paragraph" w:customStyle="1" w:styleId="577">
    <w:name w:val="xl582"/>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578">
    <w:name w:val="xl591"/>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579">
    <w:name w:val="xl801"/>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580">
    <w:name w:val="msolistparagraph"/>
    <w:basedOn w:val="1"/>
    <w:uiPriority w:val="0"/>
    <w:pPr>
      <w:spacing w:line="360" w:lineRule="auto"/>
      <w:ind w:firstLine="420" w:firstLineChars="200"/>
    </w:pPr>
    <w:rPr>
      <w:rFonts w:ascii="Calibri" w:hAnsi="Calibri"/>
      <w:sz w:val="24"/>
      <w:szCs w:val="22"/>
    </w:rPr>
  </w:style>
  <w:style w:type="paragraph" w:customStyle="1" w:styleId="581">
    <w:name w:val="et3"/>
    <w:basedOn w:val="1"/>
    <w:uiPriority w:val="0"/>
    <w:pPr>
      <w:widowControl/>
      <w:spacing w:before="100" w:beforeLines="0" w:beforeAutospacing="1" w:after="100" w:afterLines="0" w:afterAutospacing="1"/>
      <w:jc w:val="left"/>
      <w:textAlignment w:val="center"/>
    </w:pPr>
    <w:rPr>
      <w:rFonts w:ascii="宋体" w:hAnsi="宋体" w:cs="宋体"/>
      <w:color w:val="000000"/>
      <w:kern w:val="0"/>
      <w:sz w:val="24"/>
    </w:rPr>
  </w:style>
  <w:style w:type="paragraph" w:customStyle="1" w:styleId="582">
    <w:name w:val="xl720"/>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583">
    <w:name w:val="xl78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584">
    <w:name w:val="xl40"/>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585">
    <w:name w:val="xl100"/>
    <w:basedOn w:val="1"/>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586">
    <w:name w:val="xl502"/>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587">
    <w:name w:val="xl501"/>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588">
    <w:name w:val="xl509"/>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589">
    <w:name w:val="xl108"/>
    <w:basedOn w:val="1"/>
    <w:uiPriority w:val="0"/>
    <w:pPr>
      <w:widowControl/>
      <w:pBdr>
        <w:top w:val="single" w:color="auto" w:sz="8" w:space="0"/>
        <w:left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590">
    <w:name w:val="xl760"/>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591">
    <w:name w:val="Item List in Table"/>
    <w:basedOn w:val="1"/>
    <w:uiPriority w:val="0"/>
    <w:pPr>
      <w:tabs>
        <w:tab w:val="left" w:pos="420"/>
      </w:tabs>
      <w:ind w:left="420" w:hanging="420"/>
      <w:jc w:val="left"/>
    </w:pPr>
  </w:style>
  <w:style w:type="paragraph" w:customStyle="1" w:styleId="592">
    <w:name w:val="xl735"/>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593">
    <w:name w:val="style11"/>
    <w:basedOn w:val="1"/>
    <w:uiPriority w:val="0"/>
    <w:pPr>
      <w:widowControl/>
      <w:spacing w:before="100" w:beforeLines="0" w:beforeAutospacing="1" w:after="100" w:afterLines="0" w:afterAutospacing="1"/>
      <w:jc w:val="left"/>
    </w:pPr>
    <w:rPr>
      <w:rFonts w:ascii="宋体" w:hAnsi="宋体" w:cs="宋体"/>
      <w:kern w:val="0"/>
      <w:sz w:val="20"/>
      <w:szCs w:val="20"/>
    </w:rPr>
  </w:style>
  <w:style w:type="paragraph" w:customStyle="1" w:styleId="594">
    <w:name w:val="xl610"/>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595">
    <w:name w:val="xl616"/>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596">
    <w:name w:val="xl598"/>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597">
    <w:name w:val="xl88"/>
    <w:basedOn w:val="1"/>
    <w:uiPriority w:val="0"/>
    <w:pPr>
      <w:widowControl/>
      <w:pBdr>
        <w:top w:val="single" w:color="auto" w:sz="8" w:space="0"/>
        <w:left w:val="single" w:color="auto" w:sz="4" w:space="0"/>
        <w:bottom w:val="single" w:color="auto" w:sz="4" w:space="0"/>
        <w:right w:val="single" w:color="auto" w:sz="4" w:space="0"/>
      </w:pBdr>
      <w:shd w:val="clear" w:color="FFFFFF" w:fill="FFFFFF"/>
      <w:spacing w:before="100" w:beforeLines="0" w:beforeAutospacing="1" w:after="100" w:afterLines="0" w:afterAutospacing="1"/>
      <w:jc w:val="center"/>
    </w:pPr>
    <w:rPr>
      <w:rFonts w:ascii="宋体" w:hAnsi="宋体" w:cs="宋体"/>
      <w:kern w:val="0"/>
      <w:sz w:val="20"/>
      <w:szCs w:val="20"/>
    </w:rPr>
  </w:style>
  <w:style w:type="paragraph" w:customStyle="1" w:styleId="598">
    <w:name w:val="xl35"/>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599">
    <w:name w:val="xl682"/>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600">
    <w:name w:val="xl45"/>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601">
    <w:name w:val="xl31"/>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微软雅黑" w:hAnsi="宋体" w:eastAsia="微软雅黑" w:cs="宋体"/>
      <w:color w:val="000000"/>
      <w:kern w:val="0"/>
      <w:sz w:val="20"/>
      <w:szCs w:val="20"/>
    </w:rPr>
  </w:style>
  <w:style w:type="paragraph" w:customStyle="1" w:styleId="602">
    <w:name w:val="xl791"/>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603">
    <w:name w:val="xl94"/>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604">
    <w:name w:val="xl712"/>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4"/>
    </w:rPr>
  </w:style>
  <w:style w:type="paragraph" w:customStyle="1" w:styleId="605">
    <w:name w:val="xl81"/>
    <w:basedOn w:val="1"/>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0"/>
      <w:szCs w:val="20"/>
    </w:rPr>
  </w:style>
  <w:style w:type="paragraph" w:customStyle="1" w:styleId="606">
    <w:name w:val="正文文本 21"/>
    <w:basedOn w:val="1"/>
    <w:uiPriority w:val="0"/>
    <w:pPr>
      <w:widowControl/>
      <w:overflowPunct w:val="0"/>
      <w:autoSpaceDE w:val="0"/>
      <w:autoSpaceDN w:val="0"/>
      <w:adjustRightInd w:val="0"/>
      <w:jc w:val="left"/>
      <w:textAlignment w:val="baseline"/>
    </w:pPr>
    <w:rPr>
      <w:kern w:val="0"/>
      <w:sz w:val="16"/>
    </w:rPr>
  </w:style>
  <w:style w:type="paragraph" w:customStyle="1" w:styleId="607">
    <w:name w:val="xl493"/>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608">
    <w:name w:val="xl58"/>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609">
    <w:name w:val="xl53"/>
    <w:basedOn w:val="1"/>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610">
    <w:name w:val="xl107"/>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611">
    <w:name w:val="xl743"/>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612">
    <w:name w:val="font1"/>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613">
    <w:name w:val="xl75"/>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0"/>
      <w:szCs w:val="20"/>
    </w:rPr>
  </w:style>
  <w:style w:type="paragraph" w:customStyle="1" w:styleId="614">
    <w:name w:val="et20"/>
    <w:basedOn w:val="1"/>
    <w:uiPriority w:val="0"/>
    <w:pPr>
      <w:widowControl/>
      <w:spacing w:before="100" w:beforeLines="0" w:beforeAutospacing="1" w:after="100" w:afterLines="0" w:afterAutospacing="1"/>
      <w:jc w:val="left"/>
      <w:textAlignment w:val="center"/>
    </w:pPr>
    <w:rPr>
      <w:rFonts w:ascii="宋体" w:hAnsi="宋体" w:cs="宋体"/>
      <w:color w:val="000000"/>
      <w:kern w:val="0"/>
      <w:sz w:val="24"/>
    </w:rPr>
  </w:style>
  <w:style w:type="paragraph" w:customStyle="1" w:styleId="615">
    <w:name w:val="xl618"/>
    <w:basedOn w:val="1"/>
    <w:uiPriority w:val="0"/>
    <w:pPr>
      <w:widowControl/>
      <w:spacing w:before="100" w:beforeLines="0" w:beforeAutospacing="1" w:after="100" w:afterLines="0" w:afterAutospacing="1"/>
      <w:jc w:val="center"/>
      <w:textAlignment w:val="center"/>
    </w:pPr>
    <w:rPr>
      <w:rFonts w:ascii="宋体" w:hAnsi="宋体" w:cs="宋体"/>
      <w:b/>
      <w:bCs/>
      <w:kern w:val="0"/>
      <w:sz w:val="36"/>
      <w:szCs w:val="36"/>
    </w:rPr>
  </w:style>
  <w:style w:type="paragraph" w:customStyle="1" w:styleId="616">
    <w:name w:val="xl707"/>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617">
    <w:name w:val="xl89"/>
    <w:basedOn w:val="1"/>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left"/>
    </w:pPr>
    <w:rPr>
      <w:rFonts w:ascii="宋体" w:hAnsi="宋体" w:cs="宋体"/>
      <w:kern w:val="0"/>
      <w:sz w:val="20"/>
      <w:szCs w:val="20"/>
    </w:rPr>
  </w:style>
  <w:style w:type="paragraph" w:customStyle="1" w:styleId="618">
    <w:name w:val="xl537"/>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619">
    <w:name w:val="xl605"/>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620">
    <w:name w:val="xl102"/>
    <w:basedOn w:val="1"/>
    <w:uiPriority w:val="0"/>
    <w:pPr>
      <w:widowControl/>
      <w:pBdr>
        <w:top w:val="single" w:color="auto" w:sz="4" w:space="0"/>
        <w:left w:val="single" w:color="auto" w:sz="8" w:space="0"/>
        <w:bottom w:val="single" w:color="auto" w:sz="8"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621">
    <w:name w:val="Char1 Char Char Char Char Char Char1"/>
    <w:basedOn w:val="1"/>
    <w:uiPriority w:val="0"/>
    <w:rPr>
      <w:rFonts w:ascii="Tahoma" w:hAnsi="Tahoma"/>
      <w:sz w:val="24"/>
      <w:szCs w:val="20"/>
    </w:rPr>
  </w:style>
  <w:style w:type="paragraph" w:customStyle="1" w:styleId="622">
    <w:name w:val="et6"/>
    <w:basedOn w:val="1"/>
    <w:uiPriority w:val="0"/>
    <w:pPr>
      <w:widowControl/>
      <w:spacing w:before="100" w:beforeLines="0" w:beforeAutospacing="1" w:after="100" w:afterLines="0" w:afterAutospacing="1"/>
      <w:jc w:val="left"/>
      <w:textAlignment w:val="center"/>
    </w:pPr>
    <w:rPr>
      <w:rFonts w:ascii="宋体" w:hAnsi="宋体" w:cs="宋体"/>
      <w:color w:val="000000"/>
      <w:kern w:val="0"/>
      <w:sz w:val="24"/>
    </w:rPr>
  </w:style>
  <w:style w:type="paragraph" w:customStyle="1" w:styleId="623">
    <w:name w:val="font6"/>
    <w:basedOn w:val="1"/>
    <w:uiPriority w:val="0"/>
    <w:pPr>
      <w:widowControl/>
      <w:spacing w:before="100" w:beforeLines="0" w:beforeAutospacing="1" w:after="100" w:afterLines="0" w:afterAutospacing="1"/>
      <w:jc w:val="left"/>
    </w:pPr>
    <w:rPr>
      <w:rFonts w:ascii="宋体" w:hAnsi="宋体" w:cs="宋体"/>
      <w:color w:val="000000"/>
      <w:kern w:val="0"/>
      <w:sz w:val="20"/>
      <w:szCs w:val="20"/>
    </w:rPr>
  </w:style>
  <w:style w:type="paragraph" w:customStyle="1" w:styleId="624">
    <w:name w:val="Heading 2"/>
    <w:basedOn w:val="1"/>
    <w:qFormat/>
    <w:uiPriority w:val="1"/>
    <w:pPr>
      <w:ind w:left="1018"/>
      <w:outlineLvl w:val="2"/>
    </w:pPr>
    <w:rPr>
      <w:b/>
      <w:bCs/>
      <w:sz w:val="21"/>
      <w:szCs w:val="21"/>
    </w:rPr>
  </w:style>
  <w:style w:type="paragraph" w:customStyle="1" w:styleId="625">
    <w:name w:val="文档内容"/>
    <w:basedOn w:val="1"/>
    <w:next w:val="1"/>
    <w:uiPriority w:val="0"/>
    <w:pPr>
      <w:widowControl/>
      <w:adjustRightInd w:val="0"/>
      <w:snapToGrid w:val="0"/>
      <w:spacing w:line="360" w:lineRule="auto"/>
      <w:ind w:firstLine="200" w:firstLineChars="200"/>
      <w:textAlignment w:val="baseline"/>
    </w:pPr>
    <w:rPr>
      <w:rFonts w:hint="eastAsia"/>
      <w:kern w:val="0"/>
      <w:sz w:val="24"/>
      <w:szCs w:val="20"/>
    </w:rPr>
  </w:style>
  <w:style w:type="paragraph" w:customStyle="1" w:styleId="626">
    <w:name w:val="xl4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627">
    <w:name w:val="xl56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628">
    <w:name w:val="xl48"/>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0"/>
      <w:szCs w:val="20"/>
    </w:rPr>
  </w:style>
  <w:style w:type="paragraph" w:customStyle="1" w:styleId="629">
    <w:name w:val="xl77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630">
    <w:name w:val="xl727"/>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631">
    <w:name w:val="样式 正文缩进表正文正文非缩进段1特点Alt+Xmr正文缩进正文缩进 Char正文缩进（首行缩进两字）Inde...2"/>
    <w:basedOn w:val="1"/>
    <w:qFormat/>
    <w:uiPriority w:val="0"/>
    <w:pPr>
      <w:numPr>
        <w:ilvl w:val="0"/>
        <w:numId w:val="1"/>
      </w:numPr>
      <w:spacing w:line="360" w:lineRule="auto"/>
    </w:pPr>
    <w:rPr>
      <w:sz w:val="24"/>
    </w:rPr>
  </w:style>
  <w:style w:type="paragraph" w:customStyle="1" w:styleId="632">
    <w:name w:val="xl57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color w:val="000000"/>
      <w:kern w:val="0"/>
      <w:sz w:val="24"/>
    </w:rPr>
  </w:style>
  <w:style w:type="paragraph" w:customStyle="1" w:styleId="633">
    <w:name w:val="样式 仿宋_GB2312 小四 段前: 7.8 磅"/>
    <w:basedOn w:val="1"/>
    <w:qFormat/>
    <w:uiPriority w:val="0"/>
    <w:pPr>
      <w:spacing w:before="156" w:beforeLines="0" w:line="360" w:lineRule="auto"/>
      <w:ind w:firstLine="480" w:firstLineChars="200"/>
    </w:pPr>
    <w:rPr>
      <w:rFonts w:ascii="仿宋_GB2312" w:eastAsia="仿宋_GB2312" w:cs="宋体"/>
      <w:sz w:val="24"/>
      <w:szCs w:val="20"/>
    </w:rPr>
  </w:style>
  <w:style w:type="paragraph" w:customStyle="1" w:styleId="634">
    <w:name w:val="xl51"/>
    <w:basedOn w:val="1"/>
    <w:qFormat/>
    <w:uiPriority w:val="0"/>
    <w:pPr>
      <w:widowControl/>
      <w:pBdr>
        <w:top w:val="single" w:color="auto" w:sz="4" w:space="0"/>
        <w:bottom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635">
    <w:name w:val="xl664"/>
    <w:basedOn w:val="1"/>
    <w:qFormat/>
    <w:uiPriority w:val="0"/>
    <w:pPr>
      <w:widowControl/>
      <w:spacing w:before="100" w:beforeLines="0" w:beforeAutospacing="1" w:after="100" w:afterLines="0" w:afterAutospacing="1"/>
      <w:jc w:val="center"/>
      <w:textAlignment w:val="center"/>
    </w:pPr>
    <w:rPr>
      <w:rFonts w:ascii="宋体" w:hAnsi="宋体" w:cs="宋体"/>
      <w:b/>
      <w:bCs/>
      <w:kern w:val="0"/>
      <w:sz w:val="28"/>
      <w:szCs w:val="28"/>
    </w:rPr>
  </w:style>
  <w:style w:type="paragraph" w:customStyle="1" w:styleId="636">
    <w:name w:val="xl111"/>
    <w:basedOn w:val="1"/>
    <w:qFormat/>
    <w:uiPriority w:val="0"/>
    <w:pPr>
      <w:widowControl/>
      <w:pBdr>
        <w:left w:val="single" w:color="auto" w:sz="4" w:space="0"/>
        <w:bottom w:val="single" w:color="auto" w:sz="8"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637">
    <w:name w:val="xl57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638">
    <w:name w:val="xl57"/>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639">
    <w:name w:val="xl71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640">
    <w:name w:val="xl49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641">
    <w:name w:val="xl506"/>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642">
    <w:name w:val="xl41"/>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w:hAnsi="Arial" w:cs="Arial"/>
      <w:kern w:val="0"/>
      <w:sz w:val="20"/>
      <w:szCs w:val="20"/>
    </w:rPr>
  </w:style>
  <w:style w:type="paragraph" w:customStyle="1" w:styleId="643">
    <w:name w:val="xl555"/>
    <w:basedOn w:val="1"/>
    <w:qFormat/>
    <w:uiPriority w:val="0"/>
    <w:pPr>
      <w:widowControl/>
      <w:spacing w:before="100" w:beforeLines="0" w:beforeAutospacing="1" w:after="100" w:afterLines="0" w:afterAutospacing="1"/>
      <w:jc w:val="left"/>
      <w:textAlignment w:val="center"/>
    </w:pPr>
    <w:rPr>
      <w:rFonts w:ascii="宋体" w:hAnsi="宋体" w:cs="宋体"/>
      <w:kern w:val="0"/>
      <w:sz w:val="28"/>
      <w:szCs w:val="28"/>
    </w:rPr>
  </w:style>
  <w:style w:type="paragraph" w:customStyle="1" w:styleId="644">
    <w:name w:val="xl56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6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w:hAnsi="Arial" w:cs="Arial"/>
      <w:color w:val="000000"/>
      <w:kern w:val="0"/>
      <w:sz w:val="20"/>
      <w:szCs w:val="20"/>
    </w:rPr>
  </w:style>
  <w:style w:type="paragraph" w:customStyle="1" w:styleId="646">
    <w:name w:val="正文-宋体五号"/>
    <w:basedOn w:val="1"/>
    <w:uiPriority w:val="0"/>
    <w:pPr>
      <w:widowControl/>
      <w:spacing w:after="160" w:afterLines="0" w:line="240" w:lineRule="exact"/>
      <w:jc w:val="left"/>
    </w:pPr>
    <w:rPr>
      <w:rFonts w:ascii="Verdana" w:hAnsi="Verdana"/>
      <w:kern w:val="0"/>
      <w:sz w:val="20"/>
      <w:szCs w:val="20"/>
      <w:lang w:eastAsia="en-US"/>
    </w:rPr>
  </w:style>
  <w:style w:type="paragraph" w:customStyle="1" w:styleId="647">
    <w:name w:val="font11"/>
    <w:basedOn w:val="1"/>
    <w:qFormat/>
    <w:uiPriority w:val="0"/>
    <w:pPr>
      <w:widowControl/>
      <w:spacing w:before="100" w:beforeLines="0" w:beforeAutospacing="1" w:after="100" w:afterLines="0" w:afterAutospacing="1"/>
      <w:jc w:val="left"/>
    </w:pPr>
    <w:rPr>
      <w:rFonts w:ascii="Arial" w:hAnsi="Arial" w:cs="Arial"/>
      <w:kern w:val="0"/>
      <w:sz w:val="20"/>
      <w:szCs w:val="20"/>
    </w:rPr>
  </w:style>
  <w:style w:type="paragraph" w:customStyle="1" w:styleId="648">
    <w:name w:val="xl26"/>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649">
    <w:name w:val="xl78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650">
    <w:name w:val="xl103"/>
    <w:basedOn w:val="1"/>
    <w:qFormat/>
    <w:uiPriority w:val="0"/>
    <w:pPr>
      <w:widowControl/>
      <w:pBdr>
        <w:top w:val="single" w:color="auto" w:sz="8" w:space="0"/>
        <w:left w:val="single" w:color="auto" w:sz="8"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651">
    <w:name w:val="xl535"/>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652">
    <w:name w:val="xl77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653">
    <w:name w:val="et4"/>
    <w:basedOn w:val="1"/>
    <w:qFormat/>
    <w:uiPriority w:val="0"/>
    <w:pPr>
      <w:widowControl/>
      <w:spacing w:before="100" w:beforeLines="0" w:beforeAutospacing="1" w:after="100" w:afterLines="0" w:afterAutospacing="1"/>
      <w:jc w:val="left"/>
      <w:textAlignment w:val="center"/>
    </w:pPr>
    <w:rPr>
      <w:rFonts w:ascii="宋体" w:hAnsi="宋体" w:cs="宋体"/>
      <w:color w:val="000000"/>
      <w:kern w:val="0"/>
      <w:sz w:val="24"/>
    </w:rPr>
  </w:style>
  <w:style w:type="paragraph" w:customStyle="1" w:styleId="654">
    <w:name w:val="xl541"/>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655">
    <w:name w:val="xl51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656">
    <w:name w:val="xl788"/>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657">
    <w:name w:val="xl815"/>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658">
    <w:name w:val="xl678"/>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659">
    <w:name w:val="xl741"/>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660">
    <w:name w:val="xl693"/>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661">
    <w:name w:val="et11"/>
    <w:basedOn w:val="1"/>
    <w:uiPriority w:val="0"/>
    <w:pPr>
      <w:widowControl/>
      <w:spacing w:before="100" w:beforeLines="0" w:beforeAutospacing="1" w:after="100" w:afterLines="0" w:afterAutospacing="1"/>
      <w:jc w:val="left"/>
      <w:textAlignment w:val="center"/>
    </w:pPr>
    <w:rPr>
      <w:rFonts w:ascii="宋体" w:hAnsi="宋体" w:cs="宋体"/>
      <w:color w:val="000000"/>
      <w:kern w:val="0"/>
      <w:sz w:val="24"/>
    </w:rPr>
  </w:style>
  <w:style w:type="paragraph" w:customStyle="1" w:styleId="662">
    <w:name w:val="xl37"/>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微软雅黑" w:hAnsi="宋体" w:eastAsia="微软雅黑" w:cs="宋体"/>
      <w:kern w:val="0"/>
      <w:sz w:val="20"/>
      <w:szCs w:val="20"/>
    </w:rPr>
  </w:style>
  <w:style w:type="paragraph" w:customStyle="1" w:styleId="663">
    <w:name w:val="Pa2"/>
    <w:basedOn w:val="1"/>
    <w:next w:val="1"/>
    <w:uiPriority w:val="0"/>
    <w:pPr>
      <w:autoSpaceDE w:val="0"/>
      <w:autoSpaceDN w:val="0"/>
      <w:adjustRightInd w:val="0"/>
      <w:jc w:val="left"/>
    </w:pPr>
    <w:rPr>
      <w:rFonts w:ascii="黑体" w:eastAsia="黑体"/>
      <w:kern w:val="0"/>
      <w:sz w:val="24"/>
    </w:rPr>
  </w:style>
  <w:style w:type="paragraph" w:customStyle="1" w:styleId="664">
    <w:name w:val="xl803"/>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665">
    <w:name w:val="xl793"/>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666">
    <w:name w:val="xl489"/>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667">
    <w:name w:val="xl762"/>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668">
    <w:name w:val="xl679"/>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669">
    <w:name w:val="xl608"/>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670">
    <w:name w:val="et23"/>
    <w:basedOn w:val="1"/>
    <w:uiPriority w:val="0"/>
    <w:pPr>
      <w:widowControl/>
      <w:spacing w:before="100" w:beforeLines="0" w:beforeAutospacing="1" w:after="100" w:afterLines="0" w:afterAutospacing="1"/>
      <w:jc w:val="left"/>
      <w:textAlignment w:val="center"/>
    </w:pPr>
    <w:rPr>
      <w:rFonts w:ascii="宋体" w:hAnsi="宋体" w:cs="宋体"/>
      <w:color w:val="000000"/>
      <w:kern w:val="0"/>
      <w:sz w:val="24"/>
    </w:rPr>
  </w:style>
  <w:style w:type="paragraph" w:customStyle="1" w:styleId="671">
    <w:name w:val="xl601"/>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672">
    <w:name w:val="xl763"/>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673">
    <w:name w:val="xl78"/>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0"/>
      <w:szCs w:val="20"/>
    </w:rPr>
  </w:style>
  <w:style w:type="paragraph" w:customStyle="1" w:styleId="674">
    <w:name w:val="xl479"/>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675">
    <w:name w:val="xl81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676">
    <w:name w:val="xl62"/>
    <w:basedOn w:val="1"/>
    <w:uiPriority w:val="0"/>
    <w:pPr>
      <w:widowControl/>
      <w:pBdr>
        <w:top w:val="single" w:color="auto" w:sz="4" w:space="0"/>
        <w:lef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677">
    <w:name w:val="表格标题头"/>
    <w:basedOn w:val="329"/>
    <w:uiPriority w:val="0"/>
    <w:rPr>
      <w:b/>
    </w:rPr>
  </w:style>
  <w:style w:type="paragraph" w:customStyle="1" w:styleId="678">
    <w:name w:val="xl82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679">
    <w:name w:val="xl571"/>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680">
    <w:name w:val="xl77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681">
    <w:name w:val="xl597"/>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682">
    <w:name w:val="xl96"/>
    <w:basedOn w:val="1"/>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683">
    <w:name w:val="xl600"/>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684">
    <w:name w:val="xl113"/>
    <w:basedOn w:val="1"/>
    <w:uiPriority w:val="0"/>
    <w:pPr>
      <w:widowControl/>
      <w:pBdr>
        <w:left w:val="single" w:color="auto" w:sz="4" w:space="0"/>
        <w:bottom w:val="single" w:color="auto" w:sz="4" w:space="0"/>
        <w:right w:val="single" w:color="auto" w:sz="8" w:space="0"/>
      </w:pBdr>
      <w:spacing w:before="100" w:beforeLines="0" w:beforeAutospacing="1" w:after="100" w:afterLines="0" w:afterAutospacing="1"/>
      <w:jc w:val="left"/>
    </w:pPr>
    <w:rPr>
      <w:rFonts w:ascii="宋体" w:hAnsi="宋体" w:cs="宋体"/>
      <w:kern w:val="0"/>
      <w:sz w:val="20"/>
      <w:szCs w:val="20"/>
    </w:rPr>
  </w:style>
  <w:style w:type="paragraph" w:customStyle="1" w:styleId="685">
    <w:name w:val="xl556"/>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b/>
      <w:bCs/>
      <w:kern w:val="0"/>
      <w:sz w:val="20"/>
      <w:szCs w:val="20"/>
    </w:rPr>
  </w:style>
  <w:style w:type="paragraph" w:customStyle="1" w:styleId="686">
    <w:name w:val="xl745"/>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687">
    <w:name w:val="xl33"/>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688">
    <w:name w:val="xl599"/>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689">
    <w:name w:val="xl58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690">
    <w:name w:val="xl114"/>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691">
    <w:name w:val="xl58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692">
    <w:name w:val="xl503"/>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693">
    <w:name w:val="et13"/>
    <w:basedOn w:val="1"/>
    <w:qFormat/>
    <w:uiPriority w:val="0"/>
    <w:pPr>
      <w:widowControl/>
      <w:spacing w:before="100" w:beforeLines="0" w:beforeAutospacing="1" w:after="100" w:afterLines="0" w:afterAutospacing="1"/>
      <w:jc w:val="left"/>
      <w:textAlignment w:val="center"/>
    </w:pPr>
    <w:rPr>
      <w:rFonts w:ascii="宋体" w:hAnsi="宋体" w:cs="宋体"/>
      <w:color w:val="000000"/>
      <w:kern w:val="0"/>
      <w:sz w:val="24"/>
    </w:rPr>
  </w:style>
  <w:style w:type="paragraph" w:customStyle="1" w:styleId="694">
    <w:name w:val="xl80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695">
    <w:name w:val="xl42"/>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top"/>
    </w:pPr>
    <w:rPr>
      <w:rFonts w:ascii="宋体" w:hAnsi="宋体" w:cs="宋体"/>
      <w:kern w:val="0"/>
      <w:sz w:val="20"/>
      <w:szCs w:val="20"/>
    </w:rPr>
  </w:style>
  <w:style w:type="paragraph" w:customStyle="1" w:styleId="696">
    <w:name w:val="xl61"/>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微软雅黑" w:hAnsi="宋体" w:eastAsia="微软雅黑" w:cs="宋体"/>
      <w:kern w:val="0"/>
      <w:sz w:val="20"/>
      <w:szCs w:val="20"/>
    </w:rPr>
  </w:style>
  <w:style w:type="paragraph" w:customStyle="1" w:styleId="697">
    <w:name w:val="xl69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698">
    <w:name w:val="Char Char1 Char Char Char Char Char Char11"/>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699">
    <w:name w:val="xl613"/>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700">
    <w:name w:val="et8"/>
    <w:basedOn w:val="1"/>
    <w:qFormat/>
    <w:uiPriority w:val="0"/>
    <w:pPr>
      <w:widowControl/>
      <w:spacing w:before="100" w:beforeLines="0" w:beforeAutospacing="1" w:after="100" w:afterLines="0" w:afterAutospacing="1"/>
      <w:jc w:val="left"/>
      <w:textAlignment w:val="center"/>
    </w:pPr>
    <w:rPr>
      <w:rFonts w:ascii="宋体" w:hAnsi="宋体" w:cs="宋体"/>
      <w:color w:val="000000"/>
      <w:kern w:val="0"/>
      <w:sz w:val="24"/>
    </w:rPr>
  </w:style>
  <w:style w:type="paragraph" w:customStyle="1" w:styleId="701">
    <w:name w:val="p0"/>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702">
    <w:name w:val="xl718"/>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703">
    <w:name w:val="xl538"/>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704">
    <w:name w:val="xl79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705">
    <w:name w:val="Default Text:1"/>
    <w:basedOn w:val="1"/>
    <w:qFormat/>
    <w:uiPriority w:val="0"/>
    <w:pPr>
      <w:widowControl/>
      <w:overflowPunct w:val="0"/>
      <w:autoSpaceDE w:val="0"/>
      <w:autoSpaceDN w:val="0"/>
      <w:adjustRightInd w:val="0"/>
      <w:jc w:val="left"/>
    </w:pPr>
    <w:rPr>
      <w:kern w:val="0"/>
      <w:sz w:val="24"/>
      <w:szCs w:val="20"/>
    </w:rPr>
  </w:style>
  <w:style w:type="paragraph" w:customStyle="1" w:styleId="706">
    <w:name w:val="标题1"/>
    <w:basedOn w:val="1"/>
    <w:qFormat/>
    <w:uiPriority w:val="0"/>
    <w:pPr>
      <w:numPr>
        <w:ilvl w:val="0"/>
        <w:numId w:val="2"/>
      </w:numPr>
      <w:adjustRightInd w:val="0"/>
      <w:snapToGrid w:val="0"/>
      <w:spacing w:line="360" w:lineRule="auto"/>
      <w:jc w:val="center"/>
    </w:pPr>
    <w:rPr>
      <w:rFonts w:ascii="黑体" w:eastAsia="黑体"/>
      <w:color w:val="000000"/>
      <w:sz w:val="32"/>
      <w:szCs w:val="32"/>
    </w:rPr>
  </w:style>
  <w:style w:type="paragraph" w:customStyle="1" w:styleId="7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68</Pages>
  <Words>32853</Words>
  <Characters>34655</Characters>
  <Lines>266</Lines>
  <Paragraphs>75</Paragraphs>
  <TotalTime>33</TotalTime>
  <ScaleCrop>false</ScaleCrop>
  <LinksUpToDate>false</LinksUpToDate>
  <CharactersWithSpaces>37695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2020-05-06T04:40:00Z</dcterms:created>
  <dc:creator>Jamlee</dc:creator>
  <cp:lastModifiedBy>风水轻</cp:lastModifiedBy>
  <cp:lastPrinted>2018-02-05T02:52:00Z</cp:lastPrinted>
  <dcterms:modified xsi:type="dcterms:W3CDTF">2022-04-22T10:43:56Z</dcterms:modified>
  <dc:title>北京工业大学2009年设备政府采购项目(一)</dc:title>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86BC6541591A4337B9FFA7214EF4B510</vt:lpwstr>
  </property>
  <property fmtid="{D5CDD505-2E9C-101B-9397-08002B2CF9AE}" pid="4" name="commondata">
    <vt:lpwstr>eyJoZGlkIjoiZGJhMDFkZGQ2NDZjOThhZTY3OTFiZDVhMGM3NzM5NDgifQ==</vt:lpwstr>
  </property>
</Properties>
</file>