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855"/>
        <w:gridCol w:w="4601"/>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355" w:hRule="atLeast"/>
        </w:trPr>
        <w:tc>
          <w:tcPr>
            <w:tcW w:w="855" w:type="dxa"/>
            <w:vMerge w:val="restart"/>
          </w:tcPr>
          <w:p>
            <w:pPr>
              <w:pStyle w:val="29"/>
              <w:jc w:val="center"/>
              <w:rPr>
                <w:rFonts w:hint="eastAsia" w:ascii="宋体" w:hAnsi="宋体" w:eastAsia="宋体" w:cs="宋体"/>
                <w:color w:val="auto"/>
                <w:spacing w:val="0"/>
                <w:w w:val="100"/>
                <w:position w:val="0"/>
                <w:sz w:val="16"/>
                <w:szCs w:val="20"/>
                <w:highlight w:val="none"/>
                <w:lang w:eastAsia="zh-CN"/>
              </w:rPr>
            </w:pPr>
            <w:r>
              <w:rPr>
                <w:rFonts w:hint="eastAsia" w:ascii="宋体" w:hAnsi="宋体" w:eastAsia="宋体" w:cs="宋体"/>
                <w:color w:val="auto"/>
                <w:spacing w:val="0"/>
                <w:w w:val="100"/>
                <w:position w:val="0"/>
                <w:sz w:val="16"/>
                <w:szCs w:val="20"/>
                <w:highlight w:val="none"/>
                <w:lang w:eastAsia="zh-CN"/>
              </w:rPr>
              <w:drawing>
                <wp:anchor distT="0" distB="0" distL="114300" distR="114300" simplePos="0" relativeHeight="251662336" behindDoc="0" locked="0" layoutInCell="1" allowOverlap="1">
                  <wp:simplePos x="0" y="0"/>
                  <wp:positionH relativeFrom="column">
                    <wp:posOffset>0</wp:posOffset>
                  </wp:positionH>
                  <wp:positionV relativeFrom="paragraph">
                    <wp:posOffset>95250</wp:posOffset>
                  </wp:positionV>
                  <wp:extent cx="540385" cy="316230"/>
                  <wp:effectExtent l="0" t="0" r="12065" b="7620"/>
                  <wp:wrapNone/>
                  <wp:docPr id="2" name="图片 2"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logo"/>
                          <pic:cNvPicPr>
                            <a:picLocks noChangeAspect="1"/>
                          </pic:cNvPicPr>
                        </pic:nvPicPr>
                        <pic:blipFill>
                          <a:blip r:embed="rId15"/>
                          <a:stretch>
                            <a:fillRect/>
                          </a:stretch>
                        </pic:blipFill>
                        <pic:spPr>
                          <a:xfrm>
                            <a:off x="0" y="0"/>
                            <a:ext cx="540385" cy="316230"/>
                          </a:xfrm>
                          <a:prstGeom prst="rect">
                            <a:avLst/>
                          </a:prstGeom>
                        </pic:spPr>
                      </pic:pic>
                    </a:graphicData>
                  </a:graphic>
                </wp:anchor>
              </w:drawing>
            </w:r>
          </w:p>
        </w:tc>
        <w:tc>
          <w:tcPr>
            <w:tcW w:w="4601" w:type="dxa"/>
          </w:tcPr>
          <w:p>
            <w:pPr>
              <w:pStyle w:val="29"/>
              <w:spacing w:before="23"/>
              <w:ind w:left="44" w:right="141"/>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新疆华恒惠欣工程项目管理有限责任公司</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231" w:hRule="atLeast"/>
        </w:trPr>
        <w:tc>
          <w:tcPr>
            <w:tcW w:w="855" w:type="dxa"/>
            <w:vMerge w:val="continue"/>
            <w:tcBorders>
              <w:top w:val="nil"/>
            </w:tcBorders>
          </w:tcPr>
          <w:p>
            <w:pPr>
              <w:rPr>
                <w:rFonts w:hint="eastAsia" w:ascii="宋体" w:hAnsi="宋体" w:eastAsia="宋体" w:cs="宋体"/>
                <w:color w:val="auto"/>
                <w:spacing w:val="0"/>
                <w:w w:val="100"/>
                <w:position w:val="0"/>
                <w:sz w:val="2"/>
                <w:szCs w:val="2"/>
                <w:highlight w:val="none"/>
              </w:rPr>
            </w:pPr>
          </w:p>
        </w:tc>
        <w:tc>
          <w:tcPr>
            <w:tcW w:w="4601" w:type="dxa"/>
          </w:tcPr>
          <w:p>
            <w:pPr>
              <w:pStyle w:val="29"/>
              <w:spacing w:before="10" w:line="200" w:lineRule="exact"/>
              <w:ind w:left="134" w:right="141"/>
              <w:jc w:val="center"/>
              <w:rPr>
                <w:rFonts w:hint="eastAsia" w:ascii="宋体" w:hAnsi="宋体" w:eastAsia="宋体" w:cs="宋体"/>
                <w:b/>
                <w:color w:val="auto"/>
                <w:spacing w:val="0"/>
                <w:w w:val="100"/>
                <w:position w:val="0"/>
                <w:sz w:val="15"/>
                <w:szCs w:val="20"/>
                <w:highlight w:val="none"/>
              </w:rPr>
            </w:pPr>
            <w:r>
              <w:rPr>
                <w:rFonts w:hint="eastAsia" w:ascii="宋体" w:hAnsi="宋体" w:eastAsia="宋体" w:cs="宋体"/>
                <w:b/>
                <w:color w:val="auto"/>
                <w:spacing w:val="0"/>
                <w:w w:val="100"/>
                <w:position w:val="0"/>
                <w:sz w:val="15"/>
                <w:szCs w:val="20"/>
                <w:highlight w:val="none"/>
              </w:rPr>
              <w:t>Xinjiang huaheng huixin engineering project management co., ltd</w:t>
            </w:r>
          </w:p>
        </w:tc>
      </w:tr>
    </w:tbl>
    <w:p>
      <w:pPr>
        <w:pStyle w:val="11"/>
        <w:rPr>
          <w:rFonts w:hint="eastAsia" w:ascii="宋体" w:hAnsi="宋体" w:eastAsia="宋体" w:cs="宋体"/>
          <w:color w:val="auto"/>
          <w:spacing w:val="0"/>
          <w:w w:val="100"/>
          <w:position w:val="0"/>
          <w:sz w:val="16"/>
          <w:szCs w:val="21"/>
          <w:highlight w:val="none"/>
        </w:rPr>
      </w:pPr>
    </w:p>
    <w:p>
      <w:pPr>
        <w:pStyle w:val="11"/>
        <w:spacing w:before="1"/>
        <w:rPr>
          <w:rFonts w:hint="eastAsia" w:ascii="宋体" w:hAnsi="宋体" w:eastAsia="宋体" w:cs="宋体"/>
          <w:b/>
          <w:color w:val="auto"/>
          <w:spacing w:val="0"/>
          <w:w w:val="100"/>
          <w:position w:val="0"/>
          <w:sz w:val="96"/>
          <w:szCs w:val="24"/>
          <w:highlight w:val="none"/>
        </w:rPr>
      </w:pPr>
    </w:p>
    <w:p>
      <w:pPr>
        <w:pStyle w:val="12"/>
        <w:rPr>
          <w:rFonts w:hint="eastAsia" w:ascii="宋体" w:hAnsi="宋体" w:eastAsia="宋体" w:cs="宋体"/>
          <w:b/>
          <w:color w:val="auto"/>
          <w:spacing w:val="0"/>
          <w:w w:val="100"/>
          <w:position w:val="0"/>
          <w:sz w:val="96"/>
          <w:szCs w:val="24"/>
          <w:highlight w:val="none"/>
        </w:rPr>
      </w:pPr>
    </w:p>
    <w:p>
      <w:pPr>
        <w:pStyle w:val="5"/>
        <w:spacing w:before="1" w:line="240" w:lineRule="auto"/>
        <w:ind w:right="70" w:rightChars="0"/>
        <w:jc w:val="center"/>
        <w:outlineLvl w:val="9"/>
        <w:rPr>
          <w:rFonts w:hint="eastAsia" w:ascii="宋体" w:hAnsi="宋体" w:eastAsia="宋体" w:cs="宋体"/>
          <w:color w:val="auto"/>
          <w:spacing w:val="0"/>
          <w:w w:val="100"/>
          <w:position w:val="0"/>
          <w:sz w:val="112"/>
          <w:szCs w:val="112"/>
          <w:highlight w:val="none"/>
          <w:lang w:eastAsia="zh-CN"/>
        </w:rPr>
      </w:pPr>
      <w:r>
        <w:rPr>
          <w:rFonts w:hint="eastAsia" w:ascii="宋体" w:hAnsi="宋体" w:eastAsia="宋体" w:cs="宋体"/>
          <w:b/>
          <w:bCs w:val="0"/>
          <w:color w:val="auto"/>
          <w:spacing w:val="0"/>
          <w:w w:val="100"/>
          <w:position w:val="0"/>
          <w:sz w:val="112"/>
          <w:szCs w:val="112"/>
          <w:highlight w:val="none"/>
          <w:lang w:val="en-US" w:eastAsia="zh-CN"/>
        </w:rPr>
        <w:t>招 标 文 件</w:t>
      </w:r>
    </w:p>
    <w:p>
      <w:pPr>
        <w:pStyle w:val="5"/>
        <w:spacing w:before="1" w:line="364" w:lineRule="auto"/>
        <w:ind w:right="1127"/>
        <w:jc w:val="both"/>
        <w:outlineLvl w:val="9"/>
        <w:rPr>
          <w:rFonts w:hint="eastAsia" w:ascii="宋体" w:hAnsi="宋体" w:eastAsia="宋体" w:cs="宋体"/>
          <w:color w:val="auto"/>
          <w:spacing w:val="0"/>
          <w:w w:val="100"/>
          <w:position w:val="0"/>
          <w:sz w:val="28"/>
          <w:szCs w:val="28"/>
          <w:highlight w:val="none"/>
        </w:rPr>
      </w:pP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项目名称：</w:t>
      </w:r>
      <w:r>
        <w:rPr>
          <w:rFonts w:hint="eastAsia" w:cs="宋体"/>
          <w:b/>
          <w:color w:val="auto"/>
          <w:spacing w:val="0"/>
          <w:w w:val="100"/>
          <w:position w:val="0"/>
          <w:sz w:val="28"/>
          <w:szCs w:val="28"/>
          <w:highlight w:val="none"/>
          <w:lang w:eastAsia="zh-CN"/>
        </w:rPr>
        <w:t>自治区计量院第一批测量设备采购项目（一）</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项目编号：</w:t>
      </w:r>
      <w:r>
        <w:rPr>
          <w:rFonts w:hint="eastAsia" w:ascii="宋体" w:hAnsi="宋体" w:eastAsia="宋体" w:cs="宋体"/>
          <w:b/>
          <w:color w:val="auto"/>
          <w:spacing w:val="0"/>
          <w:w w:val="100"/>
          <w:position w:val="0"/>
          <w:sz w:val="28"/>
          <w:szCs w:val="28"/>
          <w:highlight w:val="none"/>
          <w:lang w:eastAsia="zh-CN"/>
        </w:rPr>
        <w:t>Hhhx2208-Zjly001</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lang w:val="en-US" w:eastAsia="zh-CN"/>
        </w:rPr>
      </w:pPr>
      <w:r>
        <w:rPr>
          <w:rFonts w:hint="eastAsia" w:ascii="宋体" w:hAnsi="宋体" w:eastAsia="宋体" w:cs="宋体"/>
          <w:b/>
          <w:color w:val="auto"/>
          <w:spacing w:val="0"/>
          <w:w w:val="100"/>
          <w:position w:val="0"/>
          <w:sz w:val="28"/>
          <w:szCs w:val="28"/>
          <w:highlight w:val="none"/>
          <w:lang w:val="en-US" w:eastAsia="zh-CN"/>
        </w:rPr>
        <w:t>包号：第一包</w:t>
      </w:r>
    </w:p>
    <w:p>
      <w:pPr>
        <w:keepNext w:val="0"/>
        <w:keepLines w:val="0"/>
        <w:pageBreakBefore w:val="0"/>
        <w:widowControl w:val="0"/>
        <w:kinsoku/>
        <w:wordWrap/>
        <w:overflowPunct/>
        <w:topLinePunct w:val="0"/>
        <w:autoSpaceDE w:val="0"/>
        <w:autoSpaceDN w:val="0"/>
        <w:bidi w:val="0"/>
        <w:adjustRightInd/>
        <w:snapToGrid/>
        <w:spacing w:before="212"/>
        <w:ind w:left="1964" w:leftChars="254" w:right="0" w:hanging="1405" w:hangingChars="500"/>
        <w:jc w:val="left"/>
        <w:textAlignment w:val="auto"/>
        <w:rPr>
          <w:rFonts w:hint="eastAsia" w:ascii="宋体" w:hAnsi="宋体" w:eastAsia="宋体" w:cs="宋体"/>
          <w:b/>
          <w:color w:val="auto"/>
          <w:spacing w:val="0"/>
          <w:w w:val="100"/>
          <w:position w:val="0"/>
          <w:sz w:val="28"/>
          <w:szCs w:val="28"/>
          <w:highlight w:val="none"/>
        </w:rPr>
      </w:pPr>
      <w:r>
        <w:rPr>
          <w:rFonts w:hint="eastAsia" w:ascii="宋体" w:hAnsi="宋体" w:eastAsia="宋体" w:cs="宋体"/>
          <w:b/>
          <w:color w:val="auto"/>
          <w:spacing w:val="0"/>
          <w:w w:val="100"/>
          <w:position w:val="0"/>
          <w:sz w:val="28"/>
          <w:szCs w:val="28"/>
          <w:highlight w:val="none"/>
        </w:rPr>
        <w:t>包件名称</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测量设备采购项目（第一包）</w:t>
      </w: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pStyle w:val="12"/>
        <w:rPr>
          <w:rFonts w:hint="eastAsia" w:ascii="宋体" w:hAnsi="宋体" w:eastAsia="宋体" w:cs="宋体"/>
          <w:b/>
          <w:color w:val="auto"/>
          <w:spacing w:val="0"/>
          <w:w w:val="100"/>
          <w:position w:val="0"/>
          <w:sz w:val="28"/>
          <w:szCs w:val="28"/>
          <w:highlight w:val="none"/>
        </w:rPr>
      </w:pPr>
    </w:p>
    <w:p>
      <w:pPr>
        <w:widowControl w:val="0"/>
        <w:autoSpaceDE w:val="0"/>
        <w:autoSpaceDN w:val="0"/>
        <w:spacing w:before="0" w:after="0" w:line="240" w:lineRule="auto"/>
        <w:ind w:left="0" w:right="0"/>
        <w:jc w:val="left"/>
        <w:rPr>
          <w:rFonts w:hint="eastAsia" w:ascii="宋体" w:hAnsi="宋体" w:eastAsia="宋体" w:cs="宋体"/>
          <w:b/>
          <w:color w:val="auto"/>
          <w:spacing w:val="0"/>
          <w:w w:val="100"/>
          <w:position w:val="0"/>
          <w:sz w:val="28"/>
          <w:szCs w:val="28"/>
          <w:highlight w:val="none"/>
          <w:lang w:val="zh-CN" w:eastAsia="zh-CN" w:bidi="zh-CN"/>
        </w:rPr>
      </w:pP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采购人：</w:t>
      </w:r>
      <w:r>
        <w:rPr>
          <w:rFonts w:hint="eastAsia" w:ascii="宋体" w:hAnsi="宋体" w:eastAsia="宋体" w:cs="宋体"/>
          <w:b/>
          <w:color w:val="auto"/>
          <w:spacing w:val="0"/>
          <w:w w:val="100"/>
          <w:position w:val="0"/>
          <w:sz w:val="28"/>
          <w:szCs w:val="28"/>
          <w:highlight w:val="none"/>
          <w:u w:val="single"/>
          <w:lang w:eastAsia="zh-CN"/>
        </w:rPr>
        <w:t>新疆维吾尔自治区计量测试研究院</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盖章</w:t>
      </w:r>
      <w:r>
        <w:rPr>
          <w:rFonts w:hint="eastAsia" w:ascii="宋体" w:hAnsi="宋体" w:eastAsia="宋体" w:cs="宋体"/>
          <w:b/>
          <w:color w:val="auto"/>
          <w:spacing w:val="0"/>
          <w:w w:val="100"/>
          <w:position w:val="0"/>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b/>
          <w:color w:val="auto"/>
          <w:spacing w:val="0"/>
          <w:w w:val="100"/>
          <w:position w:val="0"/>
          <w:sz w:val="28"/>
          <w:szCs w:val="28"/>
          <w:highlight w:val="none"/>
          <w:lang w:eastAsia="zh-CN"/>
        </w:rPr>
      </w:pPr>
      <w:r>
        <w:rPr>
          <w:rFonts w:hint="eastAsia" w:ascii="宋体" w:hAnsi="宋体" w:eastAsia="宋体" w:cs="宋体"/>
          <w:b/>
          <w:color w:val="auto"/>
          <w:spacing w:val="0"/>
          <w:w w:val="100"/>
          <w:position w:val="0"/>
          <w:sz w:val="28"/>
          <w:szCs w:val="28"/>
          <w:highlight w:val="none"/>
        </w:rPr>
        <w:t>采购代理机构：</w:t>
      </w:r>
      <w:r>
        <w:rPr>
          <w:rFonts w:hint="eastAsia" w:ascii="宋体" w:hAnsi="宋体" w:eastAsia="宋体" w:cs="宋体"/>
          <w:b/>
          <w:color w:val="auto"/>
          <w:spacing w:val="0"/>
          <w:w w:val="100"/>
          <w:position w:val="0"/>
          <w:sz w:val="28"/>
          <w:szCs w:val="28"/>
          <w:highlight w:val="none"/>
          <w:u w:val="single"/>
          <w:lang w:eastAsia="zh-CN"/>
        </w:rPr>
        <w:t>新疆华恒惠欣工程项目管理有限责任公司</w:t>
      </w:r>
      <w:r>
        <w:rPr>
          <w:rFonts w:hint="eastAsia" w:ascii="宋体" w:hAnsi="宋体" w:eastAsia="宋体" w:cs="宋体"/>
          <w:b/>
          <w:color w:val="auto"/>
          <w:spacing w:val="0"/>
          <w:w w:val="100"/>
          <w:position w:val="0"/>
          <w:sz w:val="28"/>
          <w:szCs w:val="28"/>
          <w:highlight w:val="none"/>
          <w:lang w:eastAsia="zh-CN"/>
        </w:rPr>
        <w:t>（</w:t>
      </w:r>
      <w:r>
        <w:rPr>
          <w:rFonts w:hint="eastAsia" w:ascii="宋体" w:hAnsi="宋体" w:eastAsia="宋体" w:cs="宋体"/>
          <w:b/>
          <w:color w:val="auto"/>
          <w:spacing w:val="0"/>
          <w:w w:val="100"/>
          <w:position w:val="0"/>
          <w:sz w:val="28"/>
          <w:szCs w:val="28"/>
          <w:highlight w:val="none"/>
          <w:lang w:val="en-US" w:eastAsia="zh-CN"/>
        </w:rPr>
        <w:t>盖章</w:t>
      </w:r>
      <w:r>
        <w:rPr>
          <w:rFonts w:hint="eastAsia" w:ascii="宋体" w:hAnsi="宋体" w:eastAsia="宋体" w:cs="宋体"/>
          <w:b/>
          <w:color w:val="auto"/>
          <w:spacing w:val="0"/>
          <w:w w:val="100"/>
          <w:position w:val="0"/>
          <w:sz w:val="28"/>
          <w:szCs w:val="28"/>
          <w:highlight w:val="none"/>
          <w:lang w:eastAsia="zh-CN"/>
        </w:rPr>
        <w:t>）</w:t>
      </w:r>
    </w:p>
    <w:p>
      <w:pPr>
        <w:keepNext w:val="0"/>
        <w:keepLines w:val="0"/>
        <w:pageBreakBefore w:val="0"/>
        <w:widowControl w:val="0"/>
        <w:kinsoku/>
        <w:wordWrap/>
        <w:overflowPunct/>
        <w:topLinePunct w:val="0"/>
        <w:autoSpaceDE w:val="0"/>
        <w:autoSpaceDN w:val="0"/>
        <w:bidi w:val="0"/>
        <w:adjustRightInd/>
        <w:snapToGrid/>
        <w:spacing w:before="0" w:line="480" w:lineRule="auto"/>
        <w:ind w:right="0"/>
        <w:jc w:val="center"/>
        <w:textAlignment w:val="auto"/>
        <w:rPr>
          <w:rFonts w:hint="eastAsia" w:ascii="宋体" w:hAnsi="宋体" w:eastAsia="宋体" w:cs="宋体"/>
          <w:color w:val="auto"/>
          <w:spacing w:val="0"/>
          <w:w w:val="100"/>
          <w:position w:val="0"/>
          <w:sz w:val="24"/>
          <w:szCs w:val="20"/>
          <w:highlight w:val="none"/>
        </w:rPr>
      </w:pPr>
      <w:r>
        <w:rPr>
          <w:rFonts w:hint="eastAsia" w:ascii="宋体" w:hAnsi="宋体" w:eastAsia="宋体" w:cs="宋体"/>
          <w:b/>
          <w:color w:val="auto"/>
          <w:spacing w:val="0"/>
          <w:w w:val="100"/>
          <w:position w:val="0"/>
          <w:sz w:val="28"/>
          <w:szCs w:val="28"/>
          <w:highlight w:val="none"/>
          <w:lang w:eastAsia="zh-CN"/>
        </w:rPr>
        <w:t>二〇二</w:t>
      </w:r>
      <w:r>
        <w:rPr>
          <w:rFonts w:hint="eastAsia" w:ascii="宋体" w:hAnsi="宋体" w:eastAsia="宋体" w:cs="宋体"/>
          <w:b/>
          <w:color w:val="auto"/>
          <w:spacing w:val="0"/>
          <w:w w:val="100"/>
          <w:position w:val="0"/>
          <w:sz w:val="28"/>
          <w:szCs w:val="28"/>
          <w:highlight w:val="none"/>
          <w:lang w:val="en-US" w:eastAsia="zh-CN"/>
        </w:rPr>
        <w:t>二</w:t>
      </w:r>
      <w:r>
        <w:rPr>
          <w:rFonts w:hint="eastAsia" w:ascii="宋体" w:hAnsi="宋体" w:eastAsia="宋体" w:cs="宋体"/>
          <w:b/>
          <w:color w:val="auto"/>
          <w:spacing w:val="0"/>
          <w:w w:val="100"/>
          <w:position w:val="0"/>
          <w:sz w:val="28"/>
          <w:szCs w:val="28"/>
          <w:highlight w:val="none"/>
          <w:lang w:eastAsia="zh-CN"/>
        </w:rPr>
        <w:t>年</w:t>
      </w:r>
      <w:r>
        <w:rPr>
          <w:rFonts w:hint="eastAsia" w:ascii="宋体" w:hAnsi="宋体" w:eastAsia="宋体" w:cs="宋体"/>
          <w:b/>
          <w:color w:val="auto"/>
          <w:spacing w:val="0"/>
          <w:w w:val="100"/>
          <w:position w:val="0"/>
          <w:sz w:val="28"/>
          <w:szCs w:val="28"/>
          <w:highlight w:val="none"/>
          <w:lang w:val="en-US" w:eastAsia="zh-CN"/>
        </w:rPr>
        <w:t>四</w:t>
      </w:r>
      <w:r>
        <w:rPr>
          <w:rFonts w:hint="eastAsia" w:ascii="宋体" w:hAnsi="宋体" w:eastAsia="宋体" w:cs="宋体"/>
          <w:b/>
          <w:color w:val="auto"/>
          <w:spacing w:val="0"/>
          <w:w w:val="100"/>
          <w:position w:val="0"/>
          <w:sz w:val="28"/>
          <w:szCs w:val="28"/>
          <w:highlight w:val="none"/>
          <w:lang w:eastAsia="zh-CN"/>
        </w:rPr>
        <w:t>月</w:t>
      </w:r>
      <w:r>
        <w:rPr>
          <w:rFonts w:hint="eastAsia" w:ascii="宋体" w:hAnsi="宋体" w:eastAsia="宋体" w:cs="宋体"/>
          <w:color w:val="auto"/>
          <w:spacing w:val="0"/>
          <w:w w:val="100"/>
          <w:position w:val="0"/>
          <w:sz w:val="24"/>
          <w:szCs w:val="20"/>
          <w:highlight w:val="none"/>
        </w:rPr>
        <w:br w:type="page"/>
      </w:r>
    </w:p>
    <w:p>
      <w:pPr>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br w:type="page"/>
      </w:r>
    </w:p>
    <w:p>
      <w:pPr>
        <w:pStyle w:val="26"/>
        <w:rPr>
          <w:rFonts w:hint="eastAsia" w:ascii="宋体" w:hAnsi="宋体" w:eastAsia="宋体" w:cs="宋体"/>
          <w:color w:val="auto"/>
          <w:sz w:val="20"/>
          <w:szCs w:val="20"/>
          <w:highlight w:val="none"/>
        </w:rPr>
        <w:sectPr>
          <w:headerReference r:id="rId5" w:type="default"/>
          <w:footerReference r:id="rId6" w:type="default"/>
          <w:type w:val="continuous"/>
          <w:pgSz w:w="11910" w:h="16840"/>
          <w:pgMar w:top="1440" w:right="1080" w:bottom="1440" w:left="1080" w:header="850" w:footer="998" w:gutter="0"/>
          <w:pgBorders>
            <w:top w:val="none" w:sz="0" w:space="0"/>
            <w:left w:val="none" w:sz="0" w:space="0"/>
            <w:bottom w:val="none" w:sz="0" w:space="0"/>
            <w:right w:val="none" w:sz="0" w:space="0"/>
          </w:pgBorders>
          <w:cols w:space="720" w:num="1"/>
        </w:sectPr>
      </w:pPr>
    </w:p>
    <w:sdt>
      <w:sdtPr>
        <w:rPr>
          <w:rFonts w:hint="eastAsia" w:ascii="宋体" w:hAnsi="宋体" w:eastAsia="宋体" w:cs="宋体"/>
          <w:b/>
          <w:bCs/>
          <w:color w:val="auto"/>
          <w:sz w:val="32"/>
          <w:szCs w:val="32"/>
          <w:highlight w:val="none"/>
          <w:lang w:val="zh-CN" w:eastAsia="zh-CN" w:bidi="zh-CN"/>
        </w:rPr>
        <w:id w:val="147455356"/>
        <w15:color w:val="DBDBDB"/>
        <w:docPartObj>
          <w:docPartGallery w:val="Table of Contents"/>
          <w:docPartUnique/>
        </w:docPartObj>
      </w:sdtPr>
      <w:sdtEndPr>
        <w:rPr>
          <w:rFonts w:hint="eastAsia" w:ascii="宋体" w:hAnsi="宋体" w:eastAsia="宋体" w:cs="宋体"/>
          <w:b/>
          <w:bCs/>
          <w:color w:val="auto"/>
          <w:sz w:val="28"/>
          <w:szCs w:val="28"/>
          <w:highlight w:val="none"/>
          <w:lang w:val="zh-CN" w:eastAsia="zh-CN" w:bidi="zh-CN"/>
        </w:rPr>
      </w:sdtEndPr>
      <w:sdtContent>
        <w:p>
          <w:pPr>
            <w:spacing w:before="0" w:beforeLines="0" w:after="0" w:afterLines="0" w:line="240" w:lineRule="auto"/>
            <w:ind w:left="0" w:leftChars="0" w:right="0" w:rightChars="0" w:firstLine="0" w:firstLineChars="0"/>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目录</w:t>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 w:val="21"/>
              <w:szCs w:val="21"/>
              <w:highlight w:val="none"/>
            </w:rPr>
            <w:fldChar w:fldCharType="begin"/>
          </w:r>
          <w:r>
            <w:rPr>
              <w:rFonts w:hint="eastAsia" w:ascii="宋体" w:hAnsi="宋体" w:eastAsia="宋体" w:cs="宋体"/>
              <w:color w:val="auto"/>
              <w:sz w:val="21"/>
              <w:szCs w:val="21"/>
              <w:highlight w:val="none"/>
            </w:rPr>
            <w:instrText xml:space="preserve">TOC \o "1-2" \h \u </w:instrText>
          </w:r>
          <w:r>
            <w:rPr>
              <w:rFonts w:hint="eastAsia" w:ascii="宋体" w:hAnsi="宋体" w:eastAsia="宋体" w:cs="宋体"/>
              <w:color w:val="auto"/>
              <w:sz w:val="21"/>
              <w:szCs w:val="21"/>
              <w:highlight w:val="none"/>
            </w:rPr>
            <w:fldChar w:fldCharType="separate"/>
          </w:r>
          <w:r>
            <w:rPr>
              <w:rFonts w:hint="eastAsia" w:ascii="宋体" w:hAnsi="宋体" w:eastAsia="宋体" w:cs="宋体"/>
              <w:color w:val="auto"/>
              <w:szCs w:val="21"/>
              <w:highlight w:val="none"/>
            </w:rPr>
            <w:fldChar w:fldCharType="begin"/>
          </w:r>
          <w:r>
            <w:rPr>
              <w:rFonts w:hint="eastAsia" w:ascii="宋体" w:hAnsi="宋体" w:eastAsia="宋体" w:cs="宋体"/>
              <w:color w:val="auto"/>
              <w:szCs w:val="21"/>
              <w:highlight w:val="none"/>
            </w:rPr>
            <w:instrText xml:space="preserve"> HYPERLINK \l _Toc2603 </w:instrText>
          </w:r>
          <w:r>
            <w:rPr>
              <w:rFonts w:hint="eastAsia" w:ascii="宋体" w:hAnsi="宋体" w:eastAsia="宋体" w:cs="宋体"/>
              <w:color w:val="auto"/>
              <w:szCs w:val="21"/>
              <w:highlight w:val="none"/>
            </w:rPr>
            <w:fldChar w:fldCharType="separate"/>
          </w:r>
          <w:r>
            <w:rPr>
              <w:rFonts w:hint="eastAsia" w:ascii="宋体" w:hAnsi="宋体" w:eastAsia="宋体" w:cs="宋体"/>
              <w:color w:val="auto"/>
              <w:spacing w:val="0"/>
              <w:w w:val="100"/>
              <w:position w:val="0"/>
              <w:szCs w:val="32"/>
              <w:highlight w:val="none"/>
            </w:rPr>
            <w:t>第一章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投标邀请</w:t>
          </w:r>
          <w:r>
            <w:rPr>
              <w:color w:val="auto"/>
            </w:rPr>
            <w:tab/>
          </w:r>
          <w:r>
            <w:rPr>
              <w:color w:val="auto"/>
            </w:rPr>
            <w:fldChar w:fldCharType="begin"/>
          </w:r>
          <w:r>
            <w:rPr>
              <w:color w:val="auto"/>
            </w:rPr>
            <w:instrText xml:space="preserve"> PAGEREF _Toc2603 \h </w:instrText>
          </w:r>
          <w:r>
            <w:rPr>
              <w:color w:val="auto"/>
            </w:rPr>
            <w:fldChar w:fldCharType="separate"/>
          </w:r>
          <w:r>
            <w:rPr>
              <w:color w:val="auto"/>
            </w:rPr>
            <w:t>- 1 -</w:t>
          </w:r>
          <w:r>
            <w:rPr>
              <w:color w:val="auto"/>
            </w:rPr>
            <w:fldChar w:fldCharType="end"/>
          </w:r>
          <w:r>
            <w:rPr>
              <w:rFonts w:hint="eastAsia" w:ascii="宋体" w:hAnsi="宋体" w:eastAsia="宋体" w:cs="宋体"/>
              <w:color w:val="auto"/>
              <w:szCs w:val="21"/>
              <w:highlight w:val="none"/>
            </w:rPr>
            <w:fldChar w:fldCharType="end"/>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_Toc15432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第二章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投标人须知前附表和投标人须知</w:t>
          </w:r>
          <w:r>
            <w:rPr>
              <w:color w:val="auto"/>
            </w:rPr>
            <w:tab/>
          </w:r>
          <w:r>
            <w:rPr>
              <w:color w:val="auto"/>
            </w:rPr>
            <w:fldChar w:fldCharType="begin"/>
          </w:r>
          <w:r>
            <w:rPr>
              <w:color w:val="auto"/>
            </w:rPr>
            <w:instrText xml:space="preserve"> PAGEREF _Toc15432 \h </w:instrText>
          </w:r>
          <w:r>
            <w:rPr>
              <w:color w:val="auto"/>
            </w:rPr>
            <w:fldChar w:fldCharType="separate"/>
          </w:r>
          <w:r>
            <w:rPr>
              <w:color w:val="auto"/>
            </w:rPr>
            <w:t>- 5 -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_Toc23090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投标人须知前附表</w:t>
          </w:r>
          <w:r>
            <w:rPr>
              <w:color w:val="auto"/>
            </w:rPr>
            <w:tab/>
          </w:r>
          <w:r>
            <w:rPr>
              <w:color w:val="auto"/>
            </w:rPr>
            <w:fldChar w:fldCharType="begin"/>
          </w:r>
          <w:r>
            <w:rPr>
              <w:color w:val="auto"/>
            </w:rPr>
            <w:instrText xml:space="preserve"> PAGEREF _Toc23090 \h </w:instrText>
          </w:r>
          <w:r>
            <w:rPr>
              <w:color w:val="auto"/>
            </w:rPr>
            <w:fldChar w:fldCharType="separate"/>
          </w:r>
          <w:r>
            <w:rPr>
              <w:color w:val="auto"/>
            </w:rPr>
            <w:t>- 5 -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_Toc19549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投标人须知</w:t>
          </w:r>
          <w:r>
            <w:rPr>
              <w:color w:val="auto"/>
            </w:rPr>
            <w:tab/>
          </w:r>
          <w:r>
            <w:rPr>
              <w:color w:val="auto"/>
            </w:rPr>
            <w:fldChar w:fldCharType="begin"/>
          </w:r>
          <w:r>
            <w:rPr>
              <w:color w:val="auto"/>
            </w:rPr>
            <w:instrText xml:space="preserve"> PAGEREF _Toc19549 \h </w:instrText>
          </w:r>
          <w:r>
            <w:rPr>
              <w:color w:val="auto"/>
            </w:rPr>
            <w:fldChar w:fldCharType="separate"/>
          </w:r>
          <w:r>
            <w:rPr>
              <w:color w:val="auto"/>
            </w:rPr>
            <w:t>- 12 -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_Toc6163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一、说 明</w:t>
          </w:r>
          <w:r>
            <w:rPr>
              <w:color w:val="auto"/>
            </w:rPr>
            <w:tab/>
          </w:r>
          <w:r>
            <w:rPr>
              <w:color w:val="auto"/>
            </w:rPr>
            <w:fldChar w:fldCharType="begin"/>
          </w:r>
          <w:r>
            <w:rPr>
              <w:color w:val="auto"/>
            </w:rPr>
            <w:instrText xml:space="preserve"> PAGEREF _Toc6163 \h </w:instrText>
          </w:r>
          <w:r>
            <w:rPr>
              <w:color w:val="auto"/>
            </w:rPr>
            <w:fldChar w:fldCharType="separate"/>
          </w:r>
          <w:r>
            <w:rPr>
              <w:color w:val="auto"/>
            </w:rPr>
            <w:t>- 12 -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_Toc31872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二、招标文件</w:t>
          </w:r>
          <w:r>
            <w:rPr>
              <w:color w:val="auto"/>
            </w:rPr>
            <w:tab/>
          </w:r>
          <w:r>
            <w:rPr>
              <w:color w:val="auto"/>
            </w:rPr>
            <w:fldChar w:fldCharType="begin"/>
          </w:r>
          <w:r>
            <w:rPr>
              <w:color w:val="auto"/>
            </w:rPr>
            <w:instrText xml:space="preserve"> PAGEREF _Toc31872 \h </w:instrText>
          </w:r>
          <w:r>
            <w:rPr>
              <w:color w:val="auto"/>
            </w:rPr>
            <w:fldChar w:fldCharType="separate"/>
          </w:r>
          <w:r>
            <w:rPr>
              <w:color w:val="auto"/>
            </w:rPr>
            <w:t>- 15 -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_Toc11774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三、投标文件的编制</w:t>
          </w:r>
          <w:r>
            <w:rPr>
              <w:color w:val="auto"/>
            </w:rPr>
            <w:tab/>
          </w:r>
          <w:r>
            <w:rPr>
              <w:color w:val="auto"/>
            </w:rPr>
            <w:fldChar w:fldCharType="begin"/>
          </w:r>
          <w:r>
            <w:rPr>
              <w:color w:val="auto"/>
            </w:rPr>
            <w:instrText xml:space="preserve"> PAGEREF _Toc11774 \h </w:instrText>
          </w:r>
          <w:r>
            <w:rPr>
              <w:color w:val="auto"/>
            </w:rPr>
            <w:fldChar w:fldCharType="separate"/>
          </w:r>
          <w:r>
            <w:rPr>
              <w:color w:val="auto"/>
            </w:rPr>
            <w:t>- 18 -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_Toc7399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四、投标文件的递交</w:t>
          </w:r>
          <w:r>
            <w:rPr>
              <w:color w:val="auto"/>
            </w:rPr>
            <w:tab/>
          </w:r>
          <w:r>
            <w:rPr>
              <w:color w:val="auto"/>
            </w:rPr>
            <w:fldChar w:fldCharType="begin"/>
          </w:r>
          <w:r>
            <w:rPr>
              <w:color w:val="auto"/>
            </w:rPr>
            <w:instrText xml:space="preserve"> PAGEREF _Toc7399 \h </w:instrText>
          </w:r>
          <w:r>
            <w:rPr>
              <w:color w:val="auto"/>
            </w:rPr>
            <w:fldChar w:fldCharType="separate"/>
          </w:r>
          <w:r>
            <w:rPr>
              <w:color w:val="auto"/>
            </w:rPr>
            <w:t>- 20 -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_Toc9969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五、开标与评标</w:t>
          </w:r>
          <w:r>
            <w:rPr>
              <w:color w:val="auto"/>
            </w:rPr>
            <w:tab/>
          </w:r>
          <w:r>
            <w:rPr>
              <w:color w:val="auto"/>
            </w:rPr>
            <w:fldChar w:fldCharType="begin"/>
          </w:r>
          <w:r>
            <w:rPr>
              <w:color w:val="auto"/>
            </w:rPr>
            <w:instrText xml:space="preserve"> PAGEREF _Toc9969 \h </w:instrText>
          </w:r>
          <w:r>
            <w:rPr>
              <w:color w:val="auto"/>
            </w:rPr>
            <w:fldChar w:fldCharType="separate"/>
          </w:r>
          <w:r>
            <w:rPr>
              <w:color w:val="auto"/>
            </w:rPr>
            <w:t>- 21 -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_Toc8625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六、授予合同</w:t>
          </w:r>
          <w:r>
            <w:rPr>
              <w:color w:val="auto"/>
            </w:rPr>
            <w:tab/>
          </w:r>
          <w:r>
            <w:rPr>
              <w:color w:val="auto"/>
            </w:rPr>
            <w:fldChar w:fldCharType="begin"/>
          </w:r>
          <w:r>
            <w:rPr>
              <w:color w:val="auto"/>
            </w:rPr>
            <w:instrText xml:space="preserve"> PAGEREF _Toc8625 \h </w:instrText>
          </w:r>
          <w:r>
            <w:rPr>
              <w:color w:val="auto"/>
            </w:rPr>
            <w:fldChar w:fldCharType="separate"/>
          </w:r>
          <w:r>
            <w:rPr>
              <w:color w:val="auto"/>
            </w:rPr>
            <w:t>- 30 -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_Toc20292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4"/>
              <w:highlight w:val="none"/>
            </w:rPr>
            <w:t>七、其他</w:t>
          </w:r>
          <w:r>
            <w:rPr>
              <w:color w:val="auto"/>
            </w:rPr>
            <w:tab/>
          </w:r>
          <w:r>
            <w:rPr>
              <w:color w:val="auto"/>
            </w:rPr>
            <w:fldChar w:fldCharType="begin"/>
          </w:r>
          <w:r>
            <w:rPr>
              <w:color w:val="auto"/>
            </w:rPr>
            <w:instrText xml:space="preserve"> PAGEREF _Toc20292 \h </w:instrText>
          </w:r>
          <w:r>
            <w:rPr>
              <w:color w:val="auto"/>
            </w:rPr>
            <w:fldChar w:fldCharType="separate"/>
          </w:r>
          <w:r>
            <w:rPr>
              <w:color w:val="auto"/>
            </w:rPr>
            <w:t>- 32 -</w:t>
          </w:r>
          <w:r>
            <w:rPr>
              <w:color w:val="auto"/>
            </w:rPr>
            <w:fldChar w:fldCharType="end"/>
          </w:r>
          <w:r>
            <w:rPr>
              <w:rFonts w:hint="eastAsia" w:ascii="宋体" w:hAnsi="宋体" w:eastAsia="宋体" w:cs="宋体"/>
              <w:color w:val="auto"/>
              <w:szCs w:val="20"/>
              <w:highlight w:val="none"/>
            </w:rPr>
            <w:fldChar w:fldCharType="end"/>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_Toc29637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w:t>
          </w:r>
          <w:r>
            <w:rPr>
              <w:rFonts w:hint="eastAsia" w:ascii="宋体" w:hAnsi="宋体" w:eastAsia="宋体" w:cs="宋体"/>
              <w:color w:val="auto"/>
              <w:spacing w:val="0"/>
              <w:w w:val="100"/>
              <w:position w:val="0"/>
              <w:szCs w:val="32"/>
              <w:highlight w:val="none"/>
              <w:lang w:val="en-US" w:eastAsia="zh-CN"/>
            </w:rPr>
            <w:t>三</w:t>
          </w:r>
          <w:r>
            <w:rPr>
              <w:rFonts w:hint="eastAsia" w:ascii="宋体" w:hAnsi="宋体" w:eastAsia="宋体" w:cs="宋体"/>
              <w:color w:val="auto"/>
              <w:spacing w:val="0"/>
              <w:w w:val="100"/>
              <w:position w:val="0"/>
              <w:szCs w:val="32"/>
              <w:highlight w:val="none"/>
            </w:rPr>
            <w:t>章</w:t>
          </w:r>
          <w:r>
            <w:rPr>
              <w:rFonts w:hint="eastAsia" w:ascii="宋体" w:hAnsi="宋体" w:eastAsia="宋体" w:cs="宋体"/>
              <w:color w:val="auto"/>
              <w:spacing w:val="0"/>
              <w:w w:val="100"/>
              <w:position w:val="0"/>
              <w:szCs w:val="32"/>
              <w:highlight w:val="none"/>
              <w:lang w:val="en-US" w:eastAsia="zh-CN"/>
            </w:rPr>
            <w:t xml:space="preserve"> 采购需求</w:t>
          </w:r>
          <w:r>
            <w:rPr>
              <w:color w:val="auto"/>
            </w:rPr>
            <w:tab/>
          </w:r>
          <w:r>
            <w:rPr>
              <w:color w:val="auto"/>
            </w:rPr>
            <w:fldChar w:fldCharType="begin"/>
          </w:r>
          <w:r>
            <w:rPr>
              <w:color w:val="auto"/>
            </w:rPr>
            <w:instrText xml:space="preserve"> PAGEREF _Toc29637 \h </w:instrText>
          </w:r>
          <w:r>
            <w:rPr>
              <w:color w:val="auto"/>
            </w:rPr>
            <w:fldChar w:fldCharType="separate"/>
          </w:r>
          <w:r>
            <w:rPr>
              <w:color w:val="auto"/>
            </w:rPr>
            <w:t>- 35 -</w:t>
          </w:r>
          <w:r>
            <w:rPr>
              <w:color w:val="auto"/>
            </w:rPr>
            <w:fldChar w:fldCharType="end"/>
          </w:r>
          <w:r>
            <w:rPr>
              <w:rFonts w:hint="eastAsia" w:ascii="宋体" w:hAnsi="宋体" w:eastAsia="宋体" w:cs="宋体"/>
              <w:color w:val="auto"/>
              <w:szCs w:val="20"/>
              <w:highlight w:val="none"/>
            </w:rPr>
            <w:fldChar w:fldCharType="end"/>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_Toc10884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w:t>
          </w:r>
          <w:r>
            <w:rPr>
              <w:rFonts w:hint="eastAsia" w:ascii="宋体" w:hAnsi="宋体" w:eastAsia="宋体" w:cs="宋体"/>
              <w:color w:val="auto"/>
              <w:spacing w:val="0"/>
              <w:w w:val="100"/>
              <w:position w:val="0"/>
              <w:szCs w:val="32"/>
              <w:highlight w:val="none"/>
              <w:lang w:val="en-US" w:eastAsia="zh-CN"/>
            </w:rPr>
            <w:t>四</w:t>
          </w:r>
          <w:r>
            <w:rPr>
              <w:rFonts w:hint="eastAsia" w:ascii="宋体" w:hAnsi="宋体" w:eastAsia="宋体" w:cs="宋体"/>
              <w:color w:val="auto"/>
              <w:spacing w:val="0"/>
              <w:w w:val="100"/>
              <w:position w:val="0"/>
              <w:szCs w:val="32"/>
              <w:highlight w:val="none"/>
            </w:rPr>
            <w:t>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评标方法和评标标准</w:t>
          </w:r>
          <w:r>
            <w:rPr>
              <w:color w:val="auto"/>
            </w:rPr>
            <w:tab/>
          </w:r>
          <w:r>
            <w:rPr>
              <w:color w:val="auto"/>
            </w:rPr>
            <w:fldChar w:fldCharType="begin"/>
          </w:r>
          <w:r>
            <w:rPr>
              <w:color w:val="auto"/>
            </w:rPr>
            <w:instrText xml:space="preserve"> PAGEREF _Toc10884 \h </w:instrText>
          </w:r>
          <w:r>
            <w:rPr>
              <w:color w:val="auto"/>
            </w:rPr>
            <w:fldChar w:fldCharType="separate"/>
          </w:r>
          <w:r>
            <w:rPr>
              <w:color w:val="auto"/>
            </w:rPr>
            <w:t>- 42 -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_Toc21938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一、评标方法</w:t>
          </w:r>
          <w:r>
            <w:rPr>
              <w:color w:val="auto"/>
            </w:rPr>
            <w:tab/>
          </w:r>
          <w:r>
            <w:rPr>
              <w:color w:val="auto"/>
            </w:rPr>
            <w:fldChar w:fldCharType="begin"/>
          </w:r>
          <w:r>
            <w:rPr>
              <w:color w:val="auto"/>
            </w:rPr>
            <w:instrText xml:space="preserve"> PAGEREF _Toc21938 \h </w:instrText>
          </w:r>
          <w:r>
            <w:rPr>
              <w:color w:val="auto"/>
            </w:rPr>
            <w:fldChar w:fldCharType="separate"/>
          </w:r>
          <w:r>
            <w:rPr>
              <w:color w:val="auto"/>
            </w:rPr>
            <w:t>- 42 -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_Toc29012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二、评标程序</w:t>
          </w:r>
          <w:r>
            <w:rPr>
              <w:color w:val="auto"/>
            </w:rPr>
            <w:tab/>
          </w:r>
          <w:r>
            <w:rPr>
              <w:color w:val="auto"/>
            </w:rPr>
            <w:fldChar w:fldCharType="begin"/>
          </w:r>
          <w:r>
            <w:rPr>
              <w:color w:val="auto"/>
            </w:rPr>
            <w:instrText xml:space="preserve"> PAGEREF _Toc29012 \h </w:instrText>
          </w:r>
          <w:r>
            <w:rPr>
              <w:color w:val="auto"/>
            </w:rPr>
            <w:fldChar w:fldCharType="separate"/>
          </w:r>
          <w:r>
            <w:rPr>
              <w:color w:val="auto"/>
            </w:rPr>
            <w:t>- 43 -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_Toc25757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三</w:t>
          </w:r>
          <w:r>
            <w:rPr>
              <w:rFonts w:hint="eastAsia" w:ascii="宋体" w:hAnsi="宋体" w:eastAsia="宋体" w:cs="宋体"/>
              <w:color w:val="auto"/>
              <w:spacing w:val="0"/>
              <w:w w:val="100"/>
              <w:position w:val="0"/>
              <w:szCs w:val="28"/>
              <w:highlight w:val="none"/>
            </w:rPr>
            <w:t>、评标中的落实政府采购政策具体办法</w:t>
          </w:r>
          <w:r>
            <w:rPr>
              <w:color w:val="auto"/>
            </w:rPr>
            <w:tab/>
          </w:r>
          <w:r>
            <w:rPr>
              <w:color w:val="auto"/>
            </w:rPr>
            <w:fldChar w:fldCharType="begin"/>
          </w:r>
          <w:r>
            <w:rPr>
              <w:color w:val="auto"/>
            </w:rPr>
            <w:instrText xml:space="preserve"> PAGEREF _Toc25757 \h </w:instrText>
          </w:r>
          <w:r>
            <w:rPr>
              <w:color w:val="auto"/>
            </w:rPr>
            <w:fldChar w:fldCharType="separate"/>
          </w:r>
          <w:r>
            <w:rPr>
              <w:color w:val="auto"/>
            </w:rPr>
            <w:t>- 47 -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_Toc7979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四、评标标准</w:t>
          </w:r>
          <w:r>
            <w:rPr>
              <w:color w:val="auto"/>
            </w:rPr>
            <w:tab/>
          </w:r>
          <w:r>
            <w:rPr>
              <w:color w:val="auto"/>
            </w:rPr>
            <w:fldChar w:fldCharType="begin"/>
          </w:r>
          <w:r>
            <w:rPr>
              <w:color w:val="auto"/>
            </w:rPr>
            <w:instrText xml:space="preserve"> PAGEREF _Toc7979 \h </w:instrText>
          </w:r>
          <w:r>
            <w:rPr>
              <w:color w:val="auto"/>
            </w:rPr>
            <w:fldChar w:fldCharType="separate"/>
          </w:r>
          <w:r>
            <w:rPr>
              <w:color w:val="auto"/>
            </w:rPr>
            <w:t>- 50 -</w:t>
          </w:r>
          <w:r>
            <w:rPr>
              <w:color w:val="auto"/>
            </w:rPr>
            <w:fldChar w:fldCharType="end"/>
          </w:r>
          <w:r>
            <w:rPr>
              <w:rFonts w:hint="eastAsia" w:ascii="宋体" w:hAnsi="宋体" w:eastAsia="宋体" w:cs="宋体"/>
              <w:color w:val="auto"/>
              <w:szCs w:val="20"/>
              <w:highlight w:val="none"/>
            </w:rPr>
            <w:fldChar w:fldCharType="end"/>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_Toc15734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第五章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拟签订的合同文本</w:t>
          </w:r>
          <w:r>
            <w:rPr>
              <w:color w:val="auto"/>
            </w:rPr>
            <w:tab/>
          </w:r>
          <w:r>
            <w:rPr>
              <w:color w:val="auto"/>
            </w:rPr>
            <w:fldChar w:fldCharType="begin"/>
          </w:r>
          <w:r>
            <w:rPr>
              <w:color w:val="auto"/>
            </w:rPr>
            <w:instrText xml:space="preserve"> PAGEREF _Toc15734 \h </w:instrText>
          </w:r>
          <w:r>
            <w:rPr>
              <w:color w:val="auto"/>
            </w:rPr>
            <w:fldChar w:fldCharType="separate"/>
          </w:r>
          <w:r>
            <w:rPr>
              <w:color w:val="auto"/>
            </w:rPr>
            <w:t>- 53 -</w:t>
          </w:r>
          <w:r>
            <w:rPr>
              <w:color w:val="auto"/>
            </w:rPr>
            <w:fldChar w:fldCharType="end"/>
          </w:r>
          <w:r>
            <w:rPr>
              <w:rFonts w:hint="eastAsia" w:ascii="宋体" w:hAnsi="宋体" w:eastAsia="宋体" w:cs="宋体"/>
              <w:color w:val="auto"/>
              <w:szCs w:val="20"/>
              <w:highlight w:val="none"/>
            </w:rPr>
            <w:fldChar w:fldCharType="end"/>
          </w:r>
        </w:p>
        <w:p>
          <w:pPr>
            <w:pStyle w:val="17"/>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_Toc5925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32"/>
              <w:highlight w:val="none"/>
            </w:rPr>
            <w:t>第六章</w:t>
          </w:r>
          <w:r>
            <w:rPr>
              <w:rFonts w:hint="eastAsia" w:ascii="宋体" w:hAnsi="宋体" w:eastAsia="宋体" w:cs="宋体"/>
              <w:color w:val="auto"/>
              <w:spacing w:val="0"/>
              <w:w w:val="100"/>
              <w:position w:val="0"/>
              <w:szCs w:val="32"/>
              <w:highlight w:val="none"/>
              <w:lang w:val="en-US" w:eastAsia="zh-CN"/>
            </w:rPr>
            <w:t xml:space="preserve"> </w:t>
          </w:r>
          <w:r>
            <w:rPr>
              <w:rFonts w:hint="eastAsia" w:ascii="宋体" w:hAnsi="宋体" w:eastAsia="宋体" w:cs="宋体"/>
              <w:color w:val="auto"/>
              <w:spacing w:val="0"/>
              <w:w w:val="100"/>
              <w:position w:val="0"/>
              <w:szCs w:val="32"/>
              <w:highlight w:val="none"/>
            </w:rPr>
            <w:t>投标文件格式</w:t>
          </w:r>
          <w:r>
            <w:rPr>
              <w:color w:val="auto"/>
            </w:rPr>
            <w:tab/>
          </w:r>
          <w:r>
            <w:rPr>
              <w:color w:val="auto"/>
            </w:rPr>
            <w:fldChar w:fldCharType="begin"/>
          </w:r>
          <w:r>
            <w:rPr>
              <w:color w:val="auto"/>
            </w:rPr>
            <w:instrText xml:space="preserve"> PAGEREF _Toc5925 \h </w:instrText>
          </w:r>
          <w:r>
            <w:rPr>
              <w:color w:val="auto"/>
            </w:rPr>
            <w:fldChar w:fldCharType="separate"/>
          </w:r>
          <w:r>
            <w:rPr>
              <w:color w:val="auto"/>
            </w:rPr>
            <w:t>- 57 -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_Toc20754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投标</w:t>
          </w:r>
          <w:r>
            <w:rPr>
              <w:rFonts w:hint="eastAsia" w:ascii="宋体" w:hAnsi="宋体" w:eastAsia="宋体" w:cs="宋体"/>
              <w:color w:val="auto"/>
              <w:spacing w:val="0"/>
              <w:w w:val="100"/>
              <w:position w:val="0"/>
              <w:szCs w:val="28"/>
              <w:highlight w:val="none"/>
            </w:rPr>
            <w:t>文件封面建议格式</w:t>
          </w:r>
          <w:r>
            <w:rPr>
              <w:color w:val="auto"/>
            </w:rPr>
            <w:tab/>
          </w:r>
          <w:r>
            <w:rPr>
              <w:color w:val="auto"/>
            </w:rPr>
            <w:fldChar w:fldCharType="begin"/>
          </w:r>
          <w:r>
            <w:rPr>
              <w:color w:val="auto"/>
            </w:rPr>
            <w:instrText xml:space="preserve"> PAGEREF _Toc20754 \h </w:instrText>
          </w:r>
          <w:r>
            <w:rPr>
              <w:color w:val="auto"/>
            </w:rPr>
            <w:fldChar w:fldCharType="separate"/>
          </w:r>
          <w:r>
            <w:rPr>
              <w:color w:val="auto"/>
            </w:rPr>
            <w:t>- 58 -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_Toc24649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 投标函格式</w:t>
          </w:r>
          <w:r>
            <w:rPr>
              <w:color w:val="auto"/>
            </w:rPr>
            <w:tab/>
          </w:r>
          <w:r>
            <w:rPr>
              <w:color w:val="auto"/>
            </w:rPr>
            <w:fldChar w:fldCharType="begin"/>
          </w:r>
          <w:r>
            <w:rPr>
              <w:color w:val="auto"/>
            </w:rPr>
            <w:instrText xml:space="preserve"> PAGEREF _Toc24649 \h </w:instrText>
          </w:r>
          <w:r>
            <w:rPr>
              <w:color w:val="auto"/>
            </w:rPr>
            <w:fldChar w:fldCharType="separate"/>
          </w:r>
          <w:r>
            <w:rPr>
              <w:color w:val="auto"/>
            </w:rPr>
            <w:t>- 60 -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_Toc1502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2 开标一览表格式</w:t>
          </w:r>
          <w:r>
            <w:rPr>
              <w:color w:val="auto"/>
            </w:rPr>
            <w:tab/>
          </w:r>
          <w:r>
            <w:rPr>
              <w:color w:val="auto"/>
            </w:rPr>
            <w:fldChar w:fldCharType="begin"/>
          </w:r>
          <w:r>
            <w:rPr>
              <w:color w:val="auto"/>
            </w:rPr>
            <w:instrText xml:space="preserve"> PAGEREF _Toc1502 \h </w:instrText>
          </w:r>
          <w:r>
            <w:rPr>
              <w:color w:val="auto"/>
            </w:rPr>
            <w:fldChar w:fldCharType="separate"/>
          </w:r>
          <w:r>
            <w:rPr>
              <w:color w:val="auto"/>
            </w:rPr>
            <w:t>- 62 -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_Toc15586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3 投标分项报价表格式</w:t>
          </w:r>
          <w:r>
            <w:rPr>
              <w:color w:val="auto"/>
            </w:rPr>
            <w:tab/>
          </w:r>
          <w:r>
            <w:rPr>
              <w:color w:val="auto"/>
            </w:rPr>
            <w:fldChar w:fldCharType="begin"/>
          </w:r>
          <w:r>
            <w:rPr>
              <w:color w:val="auto"/>
            </w:rPr>
            <w:instrText xml:space="preserve"> PAGEREF _Toc15586 \h </w:instrText>
          </w:r>
          <w:r>
            <w:rPr>
              <w:color w:val="auto"/>
            </w:rPr>
            <w:fldChar w:fldCharType="separate"/>
          </w:r>
          <w:r>
            <w:rPr>
              <w:color w:val="auto"/>
            </w:rPr>
            <w:t>- 64 -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_Toc31803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4 技术服务需求偏离表格式</w:t>
          </w:r>
          <w:r>
            <w:rPr>
              <w:color w:val="auto"/>
            </w:rPr>
            <w:tab/>
          </w:r>
          <w:r>
            <w:rPr>
              <w:color w:val="auto"/>
            </w:rPr>
            <w:fldChar w:fldCharType="begin"/>
          </w:r>
          <w:r>
            <w:rPr>
              <w:color w:val="auto"/>
            </w:rPr>
            <w:instrText xml:space="preserve"> PAGEREF _Toc31803 \h </w:instrText>
          </w:r>
          <w:r>
            <w:rPr>
              <w:color w:val="auto"/>
            </w:rPr>
            <w:fldChar w:fldCharType="separate"/>
          </w:r>
          <w:r>
            <w:rPr>
              <w:color w:val="auto"/>
            </w:rPr>
            <w:t>- 65 -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_Toc15853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5 商务条款偏离表格式</w:t>
          </w:r>
          <w:r>
            <w:rPr>
              <w:color w:val="auto"/>
            </w:rPr>
            <w:tab/>
          </w:r>
          <w:r>
            <w:rPr>
              <w:color w:val="auto"/>
            </w:rPr>
            <w:fldChar w:fldCharType="begin"/>
          </w:r>
          <w:r>
            <w:rPr>
              <w:color w:val="auto"/>
            </w:rPr>
            <w:instrText xml:space="preserve"> PAGEREF _Toc15853 \h </w:instrText>
          </w:r>
          <w:r>
            <w:rPr>
              <w:color w:val="auto"/>
            </w:rPr>
            <w:fldChar w:fldCharType="separate"/>
          </w:r>
          <w:r>
            <w:rPr>
              <w:color w:val="auto"/>
            </w:rPr>
            <w:t>- 66 -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_Toc13009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6 法定代表人授权书格式</w:t>
          </w:r>
          <w:r>
            <w:rPr>
              <w:color w:val="auto"/>
            </w:rPr>
            <w:tab/>
          </w:r>
          <w:r>
            <w:rPr>
              <w:color w:val="auto"/>
            </w:rPr>
            <w:fldChar w:fldCharType="begin"/>
          </w:r>
          <w:r>
            <w:rPr>
              <w:color w:val="auto"/>
            </w:rPr>
            <w:instrText xml:space="preserve"> PAGEREF _Toc13009 \h </w:instrText>
          </w:r>
          <w:r>
            <w:rPr>
              <w:color w:val="auto"/>
            </w:rPr>
            <w:fldChar w:fldCharType="separate"/>
          </w:r>
          <w:r>
            <w:rPr>
              <w:color w:val="auto"/>
            </w:rPr>
            <w:t>- 67 -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_Toc15014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7 投标保证金承诺函格式</w:t>
          </w:r>
          <w:r>
            <w:rPr>
              <w:rFonts w:hint="eastAsia" w:ascii="宋体" w:hAnsi="宋体" w:eastAsia="宋体" w:cs="宋体"/>
              <w:color w:val="auto"/>
              <w:spacing w:val="0"/>
              <w:w w:val="100"/>
              <w:position w:val="0"/>
              <w:szCs w:val="28"/>
              <w:highlight w:val="none"/>
              <w:lang w:val="en-US" w:eastAsia="zh-CN"/>
            </w:rPr>
            <w:t>和</w:t>
          </w:r>
          <w:r>
            <w:rPr>
              <w:rFonts w:hint="eastAsia" w:ascii="宋体" w:hAnsi="宋体" w:eastAsia="宋体" w:cs="宋体"/>
              <w:bCs/>
              <w:color w:val="auto"/>
              <w:kern w:val="0"/>
              <w:szCs w:val="22"/>
              <w:highlight w:val="none"/>
              <w:lang w:val="en-US" w:eastAsia="zh-CN" w:bidi="ar-SA"/>
            </w:rPr>
            <w:t>退还保证金说明函</w:t>
          </w:r>
          <w:r>
            <w:rPr>
              <w:color w:val="auto"/>
            </w:rPr>
            <w:tab/>
          </w:r>
          <w:r>
            <w:rPr>
              <w:color w:val="auto"/>
            </w:rPr>
            <w:fldChar w:fldCharType="begin"/>
          </w:r>
          <w:r>
            <w:rPr>
              <w:color w:val="auto"/>
            </w:rPr>
            <w:instrText xml:space="preserve"> PAGEREF _Toc15014 \h </w:instrText>
          </w:r>
          <w:r>
            <w:rPr>
              <w:color w:val="auto"/>
            </w:rPr>
            <w:fldChar w:fldCharType="separate"/>
          </w:r>
          <w:r>
            <w:rPr>
              <w:color w:val="auto"/>
            </w:rPr>
            <w:t>- 68 -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pos="3200"/>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_Toc29268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8</w:t>
          </w:r>
          <w:r>
            <w:rPr>
              <w:rFonts w:hint="eastAsia" w:ascii="宋体" w:hAnsi="宋体" w:eastAsia="宋体" w:cs="宋体"/>
              <w:color w:val="auto"/>
              <w:spacing w:val="0"/>
              <w:w w:val="100"/>
              <w:position w:val="0"/>
              <w:szCs w:val="28"/>
              <w:highlight w:val="none"/>
            </w:rPr>
            <w:tab/>
          </w:r>
          <w:r>
            <w:rPr>
              <w:rFonts w:hint="eastAsia" w:ascii="宋体" w:hAnsi="宋体" w:eastAsia="宋体" w:cs="宋体"/>
              <w:color w:val="auto"/>
              <w:spacing w:val="0"/>
              <w:w w:val="100"/>
              <w:position w:val="0"/>
              <w:szCs w:val="28"/>
              <w:highlight w:val="none"/>
            </w:rPr>
            <w:t>代理服务费承诺函格式</w:t>
          </w:r>
          <w:r>
            <w:rPr>
              <w:color w:val="auto"/>
            </w:rPr>
            <w:tab/>
          </w:r>
          <w:r>
            <w:rPr>
              <w:color w:val="auto"/>
            </w:rPr>
            <w:fldChar w:fldCharType="begin"/>
          </w:r>
          <w:r>
            <w:rPr>
              <w:color w:val="auto"/>
            </w:rPr>
            <w:instrText xml:space="preserve"> PAGEREF _Toc29268 \h </w:instrText>
          </w:r>
          <w:r>
            <w:rPr>
              <w:color w:val="auto"/>
            </w:rPr>
            <w:fldChar w:fldCharType="separate"/>
          </w:r>
          <w:r>
            <w:rPr>
              <w:color w:val="auto"/>
            </w:rPr>
            <w:t>- 70 -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_Toc5555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9 投标人情况表建议格式</w:t>
          </w:r>
          <w:r>
            <w:rPr>
              <w:color w:val="auto"/>
            </w:rPr>
            <w:tab/>
          </w:r>
          <w:r>
            <w:rPr>
              <w:color w:val="auto"/>
            </w:rPr>
            <w:fldChar w:fldCharType="begin"/>
          </w:r>
          <w:r>
            <w:rPr>
              <w:color w:val="auto"/>
            </w:rPr>
            <w:instrText xml:space="preserve"> PAGEREF _Toc5555 \h </w:instrText>
          </w:r>
          <w:r>
            <w:rPr>
              <w:color w:val="auto"/>
            </w:rPr>
            <w:fldChar w:fldCharType="separate"/>
          </w:r>
          <w:r>
            <w:rPr>
              <w:color w:val="auto"/>
            </w:rPr>
            <w:t>- 72 -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_Toc25743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10 详细的技术服务响应</w:t>
          </w:r>
          <w:r>
            <w:rPr>
              <w:color w:val="auto"/>
            </w:rPr>
            <w:tab/>
          </w:r>
          <w:r>
            <w:rPr>
              <w:color w:val="auto"/>
            </w:rPr>
            <w:fldChar w:fldCharType="begin"/>
          </w:r>
          <w:r>
            <w:rPr>
              <w:color w:val="auto"/>
            </w:rPr>
            <w:instrText xml:space="preserve"> PAGEREF _Toc25743 \h </w:instrText>
          </w:r>
          <w:r>
            <w:rPr>
              <w:color w:val="auto"/>
            </w:rPr>
            <w:fldChar w:fldCharType="separate"/>
          </w:r>
          <w:r>
            <w:rPr>
              <w:color w:val="auto"/>
            </w:rPr>
            <w:t>- 73 -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_Toc17541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rPr>
            <w:t>附件 11 其他商务技术文件材料</w:t>
          </w:r>
          <w:r>
            <w:rPr>
              <w:color w:val="auto"/>
            </w:rPr>
            <w:tab/>
          </w:r>
          <w:r>
            <w:rPr>
              <w:color w:val="auto"/>
            </w:rPr>
            <w:fldChar w:fldCharType="begin"/>
          </w:r>
          <w:r>
            <w:rPr>
              <w:color w:val="auto"/>
            </w:rPr>
            <w:instrText xml:space="preserve"> PAGEREF _Toc17541 \h </w:instrText>
          </w:r>
          <w:r>
            <w:rPr>
              <w:color w:val="auto"/>
            </w:rPr>
            <w:fldChar w:fldCharType="separate"/>
          </w:r>
          <w:r>
            <w:rPr>
              <w:color w:val="auto"/>
            </w:rPr>
            <w:t>- 76 -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_Toc6324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附件 12 政府采购政策的证明文件</w:t>
          </w:r>
          <w:r>
            <w:rPr>
              <w:color w:val="auto"/>
            </w:rPr>
            <w:tab/>
          </w:r>
          <w:r>
            <w:rPr>
              <w:color w:val="auto"/>
            </w:rPr>
            <w:fldChar w:fldCharType="begin"/>
          </w:r>
          <w:r>
            <w:rPr>
              <w:color w:val="auto"/>
            </w:rPr>
            <w:instrText xml:space="preserve"> PAGEREF _Toc6324 \h </w:instrText>
          </w:r>
          <w:r>
            <w:rPr>
              <w:color w:val="auto"/>
            </w:rPr>
            <w:fldChar w:fldCharType="separate"/>
          </w:r>
          <w:r>
            <w:rPr>
              <w:color w:val="auto"/>
            </w:rPr>
            <w:t>- 77 -</w:t>
          </w:r>
          <w:r>
            <w:rPr>
              <w:color w:val="auto"/>
            </w:rPr>
            <w:fldChar w:fldCharType="end"/>
          </w:r>
          <w:r>
            <w:rPr>
              <w:rFonts w:hint="eastAsia" w:ascii="宋体" w:hAnsi="宋体" w:eastAsia="宋体" w:cs="宋体"/>
              <w:color w:val="auto"/>
              <w:szCs w:val="20"/>
              <w:highlight w:val="none"/>
            </w:rPr>
            <w:fldChar w:fldCharType="end"/>
          </w:r>
        </w:p>
        <w:p>
          <w:pPr>
            <w:pStyle w:val="20"/>
            <w:keepNext w:val="0"/>
            <w:keepLines w:val="0"/>
            <w:pageBreakBefore w:val="0"/>
            <w:widowControl w:val="0"/>
            <w:tabs>
              <w:tab w:val="right" w:leader="dot" w:pos="9750"/>
            </w:tabs>
            <w:kinsoku/>
            <w:wordWrap/>
            <w:overflowPunct/>
            <w:topLinePunct w:val="0"/>
            <w:autoSpaceDE w:val="0"/>
            <w:autoSpaceDN w:val="0"/>
            <w:bidi w:val="0"/>
            <w:adjustRightInd/>
            <w:snapToGrid/>
            <w:spacing w:line="288" w:lineRule="auto"/>
            <w:textAlignment w:val="auto"/>
            <w:rPr>
              <w:color w:val="auto"/>
            </w:rPr>
          </w:pPr>
          <w:r>
            <w:rPr>
              <w:rFonts w:hint="eastAsia" w:ascii="宋体" w:hAnsi="宋体" w:eastAsia="宋体" w:cs="宋体"/>
              <w:color w:val="auto"/>
              <w:szCs w:val="20"/>
              <w:highlight w:val="none"/>
            </w:rPr>
            <w:fldChar w:fldCharType="begin"/>
          </w:r>
          <w:r>
            <w:rPr>
              <w:rFonts w:hint="eastAsia" w:ascii="宋体" w:hAnsi="宋体" w:eastAsia="宋体" w:cs="宋体"/>
              <w:color w:val="auto"/>
              <w:szCs w:val="20"/>
              <w:highlight w:val="none"/>
            </w:rPr>
            <w:instrText xml:space="preserve"> HYPERLINK \l _Toc29413 </w:instrText>
          </w:r>
          <w:r>
            <w:rPr>
              <w:rFonts w:hint="eastAsia" w:ascii="宋体" w:hAnsi="宋体" w:eastAsia="宋体" w:cs="宋体"/>
              <w:color w:val="auto"/>
              <w:szCs w:val="20"/>
              <w:highlight w:val="none"/>
            </w:rPr>
            <w:fldChar w:fldCharType="separate"/>
          </w:r>
          <w:r>
            <w:rPr>
              <w:rFonts w:hint="eastAsia" w:ascii="宋体" w:hAnsi="宋体" w:eastAsia="宋体" w:cs="宋体"/>
              <w:color w:val="auto"/>
              <w:spacing w:val="0"/>
              <w:w w:val="100"/>
              <w:position w:val="0"/>
              <w:szCs w:val="28"/>
              <w:highlight w:val="none"/>
              <w:lang w:val="en-US" w:eastAsia="zh-CN"/>
            </w:rPr>
            <w:t>附件 13 资格、资信证明文件</w:t>
          </w:r>
          <w:r>
            <w:rPr>
              <w:color w:val="auto"/>
            </w:rPr>
            <w:tab/>
          </w:r>
          <w:r>
            <w:rPr>
              <w:color w:val="auto"/>
            </w:rPr>
            <w:fldChar w:fldCharType="begin"/>
          </w:r>
          <w:r>
            <w:rPr>
              <w:color w:val="auto"/>
            </w:rPr>
            <w:instrText xml:space="preserve"> PAGEREF _Toc29413 \h </w:instrText>
          </w:r>
          <w:r>
            <w:rPr>
              <w:color w:val="auto"/>
            </w:rPr>
            <w:fldChar w:fldCharType="separate"/>
          </w:r>
          <w:r>
            <w:rPr>
              <w:color w:val="auto"/>
            </w:rPr>
            <w:t>- 81 -</w:t>
          </w:r>
          <w:r>
            <w:rPr>
              <w:color w:val="auto"/>
            </w:rPr>
            <w:fldChar w:fldCharType="end"/>
          </w:r>
          <w:r>
            <w:rPr>
              <w:rFonts w:hint="eastAsia" w:ascii="宋体" w:hAnsi="宋体" w:eastAsia="宋体" w:cs="宋体"/>
              <w:color w:val="auto"/>
              <w:szCs w:val="20"/>
              <w:highlight w:val="none"/>
            </w:rPr>
            <w:fldChar w:fldCharType="end"/>
          </w:r>
        </w:p>
        <w:p>
          <w:pPr>
            <w:rPr>
              <w:rFonts w:hint="eastAsia" w:ascii="宋体" w:hAnsi="宋体" w:eastAsia="宋体" w:cs="宋体"/>
              <w:color w:val="auto"/>
              <w:sz w:val="20"/>
              <w:szCs w:val="20"/>
              <w:highlight w:val="none"/>
            </w:rPr>
          </w:pPr>
          <w:r>
            <w:rPr>
              <w:rFonts w:hint="eastAsia" w:ascii="宋体" w:hAnsi="宋体" w:eastAsia="宋体" w:cs="宋体"/>
              <w:color w:val="auto"/>
              <w:szCs w:val="20"/>
              <w:highlight w:val="none"/>
            </w:rPr>
            <w:fldChar w:fldCharType="end"/>
          </w:r>
        </w:p>
      </w:sdtContent>
    </w:sdt>
    <w:p>
      <w:pPr>
        <w:pStyle w:val="4"/>
        <w:tabs>
          <w:tab w:val="left" w:pos="1164"/>
        </w:tabs>
        <w:spacing w:before="39"/>
        <w:ind w:right="115"/>
        <w:outlineLvl w:val="0"/>
        <w:rPr>
          <w:rFonts w:hint="eastAsia" w:ascii="宋体" w:hAnsi="宋体" w:eastAsia="宋体" w:cs="宋体"/>
          <w:color w:val="auto"/>
          <w:spacing w:val="0"/>
          <w:w w:val="100"/>
          <w:position w:val="0"/>
          <w:sz w:val="28"/>
          <w:szCs w:val="28"/>
          <w:highlight w:val="none"/>
        </w:rPr>
        <w:sectPr>
          <w:headerReference r:id="rId7" w:type="default"/>
          <w:footerReference r:id="rId8" w:type="default"/>
          <w:pgSz w:w="11910" w:h="16840"/>
          <w:pgMar w:top="1440" w:right="1080" w:bottom="1440" w:left="1080" w:header="850" w:footer="998" w:gutter="0"/>
          <w:pgBorders>
            <w:top w:val="none" w:sz="0" w:space="0"/>
            <w:left w:val="none" w:sz="0" w:space="0"/>
            <w:bottom w:val="none" w:sz="0" w:space="0"/>
            <w:right w:val="none" w:sz="0" w:space="0"/>
          </w:pgBorders>
          <w:cols w:space="720" w:num="1"/>
        </w:sectPr>
      </w:pPr>
    </w:p>
    <w:p>
      <w:pPr>
        <w:pStyle w:val="4"/>
        <w:tabs>
          <w:tab w:val="left" w:pos="1164"/>
        </w:tabs>
        <w:spacing w:before="39"/>
        <w:ind w:right="115"/>
        <w:outlineLvl w:val="0"/>
        <w:rPr>
          <w:rFonts w:hint="eastAsia" w:ascii="宋体" w:hAnsi="宋体" w:eastAsia="宋体" w:cs="宋体"/>
          <w:color w:val="auto"/>
          <w:spacing w:val="0"/>
          <w:w w:val="100"/>
          <w:position w:val="0"/>
          <w:sz w:val="32"/>
          <w:szCs w:val="32"/>
          <w:highlight w:val="none"/>
        </w:rPr>
      </w:pPr>
      <w:bookmarkStart w:id="0" w:name="_Toc2603"/>
      <w:r>
        <w:rPr>
          <w:rFonts w:hint="eastAsia" w:ascii="宋体" w:hAnsi="宋体" w:eastAsia="宋体" w:cs="宋体"/>
          <w:color w:val="auto"/>
          <w:spacing w:val="0"/>
          <w:w w:val="100"/>
          <w:position w:val="0"/>
          <w:sz w:val="32"/>
          <w:szCs w:val="32"/>
          <w:highlight w:val="none"/>
        </w:rPr>
        <w:t>第一章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投标邀请</w:t>
      </w:r>
      <w:bookmarkEnd w:id="0"/>
    </w:p>
    <w:p>
      <w:pPr>
        <w:bidi w:val="0"/>
        <w:jc w:val="center"/>
        <w:outlineLvl w:val="9"/>
        <w:rPr>
          <w:rFonts w:hint="eastAsia" w:ascii="宋体" w:hAnsi="宋体" w:eastAsia="宋体" w:cs="宋体"/>
          <w:b/>
          <w:bCs/>
          <w:color w:val="auto"/>
          <w:sz w:val="28"/>
          <w:szCs w:val="28"/>
        </w:rPr>
      </w:pPr>
      <w:bookmarkStart w:id="1" w:name="_bookmark1"/>
      <w:bookmarkEnd w:id="1"/>
      <w:r>
        <w:rPr>
          <w:rFonts w:hint="eastAsia" w:cs="宋体"/>
          <w:b/>
          <w:bCs/>
          <w:color w:val="auto"/>
          <w:sz w:val="28"/>
          <w:szCs w:val="28"/>
          <w:lang w:eastAsia="zh-CN"/>
        </w:rPr>
        <w:t>自治区计量院第一批测量设备采购项目（一）</w:t>
      </w:r>
      <w:r>
        <w:rPr>
          <w:rFonts w:hint="eastAsia" w:ascii="宋体" w:hAnsi="宋体" w:eastAsia="宋体" w:cs="宋体"/>
          <w:b/>
          <w:bCs/>
          <w:color w:val="auto"/>
          <w:sz w:val="28"/>
          <w:szCs w:val="28"/>
        </w:rPr>
        <w:t>公开招标公告</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项目概况</w:t>
      </w:r>
    </w:p>
    <w:p>
      <w:pPr>
        <w:keepNext w:val="0"/>
        <w:keepLines w:val="0"/>
        <w:pageBreakBefore w:val="0"/>
        <w:widowControl/>
        <w:pBdr>
          <w:top w:val="single" w:color="auto" w:sz="4" w:space="0"/>
          <w:left w:val="single" w:color="auto" w:sz="4" w:space="0"/>
          <w:bottom w:val="single" w:color="auto" w:sz="4" w:space="0"/>
          <w:right w:val="single" w:color="auto" w:sz="4" w:space="0"/>
        </w:pBdr>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cs="宋体"/>
          <w:color w:val="auto"/>
          <w:kern w:val="0"/>
          <w:sz w:val="21"/>
          <w:szCs w:val="21"/>
          <w:lang w:val="zh-CN" w:eastAsia="zh-CN" w:bidi="zh-CN"/>
        </w:rPr>
        <w:t>自治区计量院第一批测量设备采购项目（一）</w:t>
      </w:r>
      <w:r>
        <w:rPr>
          <w:rFonts w:hint="eastAsia" w:ascii="宋体" w:hAnsi="宋体" w:eastAsia="宋体" w:cs="宋体"/>
          <w:color w:val="auto"/>
          <w:kern w:val="0"/>
          <w:sz w:val="21"/>
          <w:szCs w:val="21"/>
          <w:lang w:val="zh-CN" w:eastAsia="zh-CN" w:bidi="zh-CN"/>
        </w:rPr>
        <w:t>招标项目的潜在投标人应在</w:t>
      </w:r>
      <w:r>
        <w:rPr>
          <w:rFonts w:hint="eastAsia" w:ascii="宋体" w:hAnsi="宋体" w:eastAsia="宋体" w:cs="宋体"/>
          <w:color w:val="auto"/>
          <w:kern w:val="0"/>
          <w:sz w:val="21"/>
          <w:szCs w:val="21"/>
          <w:lang w:val="en-US" w:eastAsia="zh-CN" w:bidi="zh-CN"/>
        </w:rPr>
        <w:t>邮箱</w:t>
      </w:r>
      <w:r>
        <w:rPr>
          <w:rFonts w:hint="eastAsia" w:ascii="宋体" w:hAnsi="宋体" w:eastAsia="宋体" w:cs="宋体"/>
          <w:color w:val="auto"/>
          <w:kern w:val="0"/>
          <w:sz w:val="21"/>
          <w:szCs w:val="21"/>
          <w:lang w:val="zh-CN" w:eastAsia="zh-CN" w:bidi="zh-CN"/>
        </w:rPr>
        <w:t>获取招标文件，并于2022年0</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日 11:00（北京时间）前递交投标文件。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一、项目基本情况</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项目编号：Hhhx2208-Zjly001</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项目名称：</w:t>
      </w:r>
      <w:r>
        <w:rPr>
          <w:rFonts w:hint="eastAsia" w:cs="宋体"/>
          <w:color w:val="auto"/>
          <w:kern w:val="0"/>
          <w:sz w:val="21"/>
          <w:szCs w:val="21"/>
          <w:lang w:val="en-US" w:eastAsia="zh-CN" w:bidi="zh-CN"/>
        </w:rPr>
        <w:t>自治区计量院第一批测量设备采购项目（一）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预算金额（元）：5222492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最高限价（元）：1200000</w:t>
      </w:r>
      <w:r>
        <w:rPr>
          <w:rFonts w:hint="eastAsia" w:ascii="宋体" w:hAnsi="宋体" w:eastAsia="宋体" w:cs="宋体"/>
          <w:color w:val="auto"/>
          <w:kern w:val="0"/>
          <w:sz w:val="21"/>
          <w:szCs w:val="21"/>
          <w:lang w:val="en-US" w:eastAsia="zh-CN" w:bidi="zh-CN"/>
        </w:rPr>
        <w:t>，1196000，595000，1206000，1025492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采购需求：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第一包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预算金额（元）:1200000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简要规格描述或项目基本概况介绍、用途：全自动压力校验系统</w:t>
      </w:r>
      <w:r>
        <w:rPr>
          <w:rFonts w:hint="eastAsia" w:ascii="宋体" w:hAnsi="宋体" w:eastAsia="宋体" w:cs="宋体"/>
          <w:color w:val="auto"/>
          <w:kern w:val="0"/>
          <w:sz w:val="21"/>
          <w:szCs w:val="21"/>
          <w:lang w:val="en-US" w:eastAsia="zh-CN" w:bidi="zh-CN"/>
        </w:rPr>
        <w:t>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标项二</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第二包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预算金额（元）:1196000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简要规格描述或项目基本概况介绍、用途：便携式固定点装置</w:t>
      </w:r>
      <w:r>
        <w:rPr>
          <w:rFonts w:hint="eastAsia" w:ascii="宋体" w:hAnsi="宋体" w:eastAsia="宋体" w:cs="宋体"/>
          <w:color w:val="auto"/>
          <w:kern w:val="0"/>
          <w:sz w:val="21"/>
          <w:szCs w:val="21"/>
          <w:lang w:val="en-US" w:eastAsia="zh-CN" w:bidi="zh-CN"/>
        </w:rPr>
        <w:t>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标项三</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第三包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预算金额（元）:595000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简要规格描述或项目基本概况介绍、用途：定制高真空配置装置</w:t>
      </w:r>
      <w:r>
        <w:rPr>
          <w:rFonts w:hint="eastAsia" w:ascii="宋体" w:hAnsi="宋体" w:eastAsia="宋体" w:cs="宋体"/>
          <w:color w:val="auto"/>
          <w:kern w:val="0"/>
          <w:sz w:val="21"/>
          <w:szCs w:val="21"/>
          <w:lang w:val="en-US" w:eastAsia="zh-CN" w:bidi="zh-CN"/>
        </w:rPr>
        <w:t>、定制洗瓶机、定制6工位混匀装置采购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w:t>
      </w:r>
      <w:r>
        <w:rPr>
          <w:rFonts w:hint="eastAsia" w:ascii="宋体" w:hAnsi="宋体" w:eastAsia="宋体" w:cs="宋体"/>
          <w:color w:val="auto"/>
          <w:kern w:val="0"/>
          <w:sz w:val="21"/>
          <w:szCs w:val="21"/>
          <w:lang w:val="en-US" w:eastAsia="zh-CN" w:bidi="zh-CN"/>
        </w:rPr>
        <w:t>四</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第四包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w:t>
      </w:r>
      <w:r>
        <w:rPr>
          <w:rFonts w:hint="eastAsia" w:ascii="宋体" w:hAnsi="宋体" w:eastAsia="宋体" w:cs="宋体"/>
          <w:color w:val="auto"/>
          <w:kern w:val="0"/>
          <w:sz w:val="21"/>
          <w:szCs w:val="21"/>
          <w:lang w:val="en-US" w:eastAsia="zh-CN" w:bidi="zh-CN"/>
        </w:rPr>
        <w:t>1206000</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简要规格描述或项目基本概况介绍、用途：继电保护测试仪（模拟+数字）检定装置</w:t>
      </w:r>
      <w:r>
        <w:rPr>
          <w:rFonts w:hint="eastAsia" w:ascii="宋体" w:hAnsi="宋体" w:eastAsia="宋体" w:cs="宋体"/>
          <w:color w:val="auto"/>
          <w:kern w:val="0"/>
          <w:sz w:val="21"/>
          <w:szCs w:val="21"/>
          <w:lang w:val="en-US" w:eastAsia="zh-CN" w:bidi="zh-CN"/>
        </w:rPr>
        <w:t>、温度（中温）检定系统、紫外烟气分析仪采购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w:t>
      </w:r>
      <w:r>
        <w:rPr>
          <w:rFonts w:hint="eastAsia" w:ascii="宋体" w:hAnsi="宋体" w:eastAsia="宋体" w:cs="宋体"/>
          <w:color w:val="auto"/>
          <w:kern w:val="0"/>
          <w:sz w:val="21"/>
          <w:szCs w:val="21"/>
          <w:lang w:val="en-US" w:eastAsia="zh-CN" w:bidi="zh-CN"/>
        </w:rPr>
        <w:t>五</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标项名称：</w:t>
      </w:r>
      <w:r>
        <w:rPr>
          <w:rFonts w:hint="eastAsia" w:ascii="宋体" w:hAnsi="宋体" w:eastAsia="宋体" w:cs="宋体"/>
          <w:color w:val="auto"/>
          <w:kern w:val="0"/>
          <w:sz w:val="21"/>
          <w:szCs w:val="21"/>
          <w:lang w:val="en-US" w:eastAsia="zh-CN" w:bidi="zh-CN"/>
        </w:rPr>
        <w:t>测量设备采购项目</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第五包</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数量：</w:t>
      </w:r>
      <w:r>
        <w:rPr>
          <w:rFonts w:hint="eastAsia" w:ascii="宋体" w:hAnsi="宋体" w:eastAsia="宋体" w:cs="宋体"/>
          <w:color w:val="auto"/>
          <w:kern w:val="0"/>
          <w:sz w:val="21"/>
          <w:szCs w:val="21"/>
          <w:lang w:val="en-US" w:eastAsia="zh-CN" w:bidi="zh-CN"/>
        </w:rPr>
        <w:t>1批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预算金额（元）:</w:t>
      </w:r>
      <w:r>
        <w:rPr>
          <w:rFonts w:hint="eastAsia" w:ascii="宋体" w:hAnsi="宋体" w:eastAsia="宋体" w:cs="宋体"/>
          <w:color w:val="auto"/>
          <w:kern w:val="0"/>
          <w:sz w:val="21"/>
          <w:szCs w:val="21"/>
          <w:lang w:val="en-US" w:eastAsia="zh-CN" w:bidi="zh-CN"/>
        </w:rPr>
        <w:t>1025492</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简要规格描述或项目基本概况介绍、用途：标准量块、投影立式光学计、量块专用检具（块规夹子5个组）、双通道温度巡检仪、快速测温仪（恒温浴校准装置）、软热电偶、减压阀、真空泵、数字压力表、激光测距仪、金属探伤仪校准装置、数显标准测力仪、砝码、宽频分压器、感应分压器、程控射频开关、酸度计、在线浊度计、复合式气体检测报警器、材料烧结用高温炉、三相电能表现场校验仪、气相色谱仪(双FID+转化炉)</w:t>
      </w:r>
      <w:r>
        <w:rPr>
          <w:rFonts w:hint="eastAsia" w:ascii="宋体" w:hAnsi="宋体" w:eastAsia="宋体" w:cs="宋体"/>
          <w:color w:val="auto"/>
          <w:kern w:val="0"/>
          <w:sz w:val="21"/>
          <w:szCs w:val="21"/>
          <w:lang w:val="en-US" w:eastAsia="zh-CN" w:bidi="zh-CN"/>
        </w:rPr>
        <w:t>采购</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具体参数</w:t>
      </w:r>
      <w:r>
        <w:rPr>
          <w:rFonts w:hint="eastAsia" w:ascii="宋体" w:hAnsi="宋体" w:eastAsia="宋体" w:cs="宋体"/>
          <w:color w:val="auto"/>
          <w:kern w:val="0"/>
          <w:sz w:val="21"/>
          <w:szCs w:val="21"/>
          <w:lang w:val="zh-CN" w:eastAsia="zh-CN" w:bidi="zh-CN"/>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220" w:leftChars="10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备注：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合同履行期限：标项 1、2、3、</w:t>
      </w:r>
      <w:r>
        <w:rPr>
          <w:rFonts w:hint="eastAsia" w:ascii="宋体" w:hAnsi="宋体" w:eastAsia="宋体" w:cs="宋体"/>
          <w:color w:val="auto"/>
          <w:kern w:val="0"/>
          <w:sz w:val="21"/>
          <w:szCs w:val="21"/>
          <w:lang w:val="en-US" w:eastAsia="zh-CN" w:bidi="zh-CN"/>
        </w:rPr>
        <w:t>4、5</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zh-CN" w:eastAsia="zh-CN" w:bidi="ar"/>
        </w:rPr>
        <w:t>详见招标文件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本项目（否）接受联合体投标。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二、申请人的资格要求：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1.满足《中华人民共和国政府采购法》第二十二条规定；</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2.落实政府采购政策需满足的资格要求：</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（1）采购政策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政府采购应当优先采购本国货物、工程和服务，并执行节能产品、环境标志产品、中小企业、残疾人福利性单位、监</w:t>
      </w:r>
      <w:r>
        <w:rPr>
          <w:rFonts w:hint="eastAsia" w:cs="宋体"/>
          <w:color w:val="auto"/>
          <w:kern w:val="0"/>
          <w:sz w:val="21"/>
          <w:szCs w:val="21"/>
          <w:lang w:val="en-US" w:eastAsia="zh-CN" w:bidi="zh-CN"/>
        </w:rPr>
        <w:t xml:space="preserve"> </w:t>
      </w:r>
      <w:r>
        <w:rPr>
          <w:rFonts w:hint="eastAsia" w:ascii="宋体" w:hAnsi="宋体" w:eastAsia="宋体" w:cs="宋体"/>
          <w:color w:val="auto"/>
          <w:kern w:val="0"/>
          <w:sz w:val="21"/>
          <w:szCs w:val="21"/>
          <w:lang w:val="zh-CN" w:eastAsia="zh-CN" w:bidi="zh-CN"/>
        </w:rPr>
        <w:t>狱企业、商品外包装等适宜本项目的政府采购政策。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（2）政策依据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1）财政部、国家发展改革委、生态环境部、市场监管总局《关于调整优化节能产品、环境标志产品政府采购执行机制的通知》（财库[2019]9号文）；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2）财政部、生态环境部《关于印发环境标志产品政府采购品目清单的通知》（财库[2019]18号文）；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3）财政部、发展改革委《关于印发节能产品政府采购品目清单的通知》（财库[2019]19号文）；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4）市场监管总局《市场监管总局关于发布参与实施政府采购节能产品、环境标志产品认证机构名录的公告》（2019年第16号）；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5）财政部、工业和信息化部《关于印发《政府采购促进中小企业发展管理办法》的通知》（财库〔2020〕46号）；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6）财政部、民政部、中国残疾人联合会《关于促进残疾人就业政府采购政策的通知》（财库[2017]141号）； </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7）财政部、司</w:t>
      </w:r>
      <w:r>
        <w:rPr>
          <w:rFonts w:hint="eastAsia" w:cs="宋体"/>
          <w:color w:val="auto"/>
          <w:kern w:val="0"/>
          <w:sz w:val="21"/>
          <w:szCs w:val="21"/>
          <w:lang w:val="en-US" w:eastAsia="zh-CN" w:bidi="zh-CN"/>
        </w:rPr>
        <w:t xml:space="preserve"> </w:t>
      </w:r>
      <w:r>
        <w:rPr>
          <w:rFonts w:hint="eastAsia" w:ascii="宋体" w:hAnsi="宋体" w:eastAsia="宋体" w:cs="宋体"/>
          <w:color w:val="auto"/>
          <w:kern w:val="0"/>
          <w:sz w:val="21"/>
          <w:szCs w:val="21"/>
          <w:lang w:val="zh-CN" w:eastAsia="zh-CN" w:bidi="zh-CN"/>
        </w:rPr>
        <w:t>法部《关于政府采购支持监</w:t>
      </w:r>
      <w:r>
        <w:rPr>
          <w:rFonts w:hint="eastAsia" w:cs="宋体"/>
          <w:color w:val="auto"/>
          <w:kern w:val="0"/>
          <w:sz w:val="21"/>
          <w:szCs w:val="21"/>
          <w:lang w:val="en-US" w:eastAsia="zh-CN" w:bidi="zh-CN"/>
        </w:rPr>
        <w:t xml:space="preserve"> </w:t>
      </w:r>
      <w:r>
        <w:rPr>
          <w:rFonts w:hint="eastAsia" w:ascii="宋体" w:hAnsi="宋体" w:eastAsia="宋体" w:cs="宋体"/>
          <w:color w:val="auto"/>
          <w:kern w:val="0"/>
          <w:sz w:val="21"/>
          <w:szCs w:val="21"/>
          <w:lang w:val="zh-CN" w:eastAsia="zh-CN" w:bidi="zh-CN"/>
        </w:rPr>
        <w:t>狱企业发展有关问题的通知》（财库[2014]68号文）；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en-US" w:eastAsia="zh-CN" w:bidi="zh-CN"/>
        </w:rPr>
        <w:t>8</w:t>
      </w:r>
      <w:r>
        <w:rPr>
          <w:rFonts w:hint="eastAsia" w:ascii="宋体" w:hAnsi="宋体" w:eastAsia="宋体" w:cs="宋体"/>
          <w:color w:val="auto"/>
          <w:kern w:val="0"/>
          <w:sz w:val="21"/>
          <w:szCs w:val="21"/>
          <w:lang w:val="zh-CN" w:eastAsia="zh-CN" w:bidi="zh-CN"/>
        </w:rPr>
        <w:t>）财政部、生态环境部、国家邮政局《关于印发《商品包装政府采购需求标准（试行）》、 《快递包装政府采购需求标准（试行）》的通知》（财办库〔2020〕123号）。</w:t>
      </w:r>
    </w:p>
    <w:p>
      <w:pPr>
        <w:keepNext w:val="0"/>
        <w:keepLines w:val="0"/>
        <w:widowControl/>
        <w:suppressLineNumbers w:val="0"/>
        <w:autoSpaceDE w:val="0"/>
        <w:autoSpaceDN w:val="0"/>
        <w:spacing w:before="0" w:after="0" w:line="300" w:lineRule="atLeast"/>
        <w:ind w:left="0" w:right="0" w:firstLine="420"/>
        <w:jc w:val="left"/>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3.本项目的特定资格要求：标项1、2、3、</w:t>
      </w:r>
      <w:r>
        <w:rPr>
          <w:rFonts w:hint="eastAsia" w:ascii="宋体" w:hAnsi="宋体" w:eastAsia="宋体"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1</w:t>
      </w:r>
      <w:r>
        <w:rPr>
          <w:rFonts w:hint="eastAsia" w:ascii="宋体" w:hAnsi="宋体" w:eastAsia="宋体" w:cs="宋体"/>
          <w:color w:val="auto"/>
          <w:kern w:val="0"/>
          <w:sz w:val="21"/>
          <w:szCs w:val="21"/>
          <w:lang w:val="zh-CN" w:eastAsia="zh-CN" w:bidi="zh-CN"/>
        </w:rPr>
        <w:t>）有效的工商营业执照、税务登记证、组织机构代码证或“三证合一”的营业执照或当地公证处出具的此资质的公证书；</w:t>
      </w:r>
    </w:p>
    <w:p>
      <w:pPr>
        <w:keepNext w:val="0"/>
        <w:keepLines w:val="0"/>
        <w:pageBreakBefore w:val="0"/>
        <w:widowControl/>
        <w:kinsoku/>
        <w:wordWrap w:val="0"/>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3</w:t>
      </w:r>
      <w:r>
        <w:rPr>
          <w:rFonts w:hint="eastAsia" w:ascii="宋体" w:hAnsi="宋体" w:eastAsia="宋体" w:cs="宋体"/>
          <w:color w:val="auto"/>
          <w:kern w:val="0"/>
          <w:sz w:val="21"/>
          <w:szCs w:val="21"/>
          <w:lang w:val="zh-CN" w:eastAsia="zh-CN" w:bidi="zh-CN"/>
        </w:rPr>
        <w:t>）单位负责人为同一人或者存在直接控股、管理关系的不同供应商，不得参加同一合同项下的政府采购活动；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）本项目不接受进口产品投标。</w:t>
      </w:r>
    </w:p>
    <w:p>
      <w:pPr>
        <w:widowControl w:val="0"/>
        <w:spacing w:line="300" w:lineRule="auto"/>
        <w:ind w:firstLine="420" w:firstLineChars="200"/>
        <w:jc w:val="both"/>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标项</w:t>
      </w:r>
      <w:r>
        <w:rPr>
          <w:rFonts w:hint="eastAsia" w:ascii="宋体" w:hAnsi="宋体" w:eastAsia="宋体" w:cs="宋体"/>
          <w:color w:val="auto"/>
          <w:kern w:val="0"/>
          <w:sz w:val="21"/>
          <w:szCs w:val="21"/>
          <w:lang w:val="en-US" w:eastAsia="zh-CN" w:bidi="zh-CN"/>
        </w:rPr>
        <w:t>4：</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（1）</w:t>
      </w:r>
      <w:r>
        <w:rPr>
          <w:rFonts w:hint="eastAsia" w:ascii="宋体" w:hAnsi="宋体" w:eastAsia="宋体" w:cs="宋体"/>
          <w:color w:val="auto"/>
          <w:spacing w:val="0"/>
          <w:w w:val="100"/>
          <w:position w:val="0"/>
          <w:sz w:val="21"/>
          <w:szCs w:val="21"/>
          <w:highlight w:val="none"/>
          <w:vertAlign w:val="baseline"/>
          <w:lang w:val="zh-CN" w:eastAsia="zh-CN"/>
        </w:rPr>
        <w:t>本标项专门面向中小企业采购,</w:t>
      </w:r>
      <w:r>
        <w:rPr>
          <w:rFonts w:hint="eastAsia" w:cs="宋体"/>
          <w:color w:val="auto"/>
          <w:spacing w:val="0"/>
          <w:w w:val="100"/>
          <w:position w:val="0"/>
          <w:sz w:val="21"/>
          <w:szCs w:val="21"/>
          <w:highlight w:val="none"/>
          <w:vertAlign w:val="baseline"/>
          <w:lang w:val="en-US" w:eastAsia="zh-CN"/>
        </w:rPr>
        <w:t>所投货物均由中小企业制造，即货物由中小企业生产且使用该中小企业商号或者注册商标，提供《中小企业声明函》</w:t>
      </w:r>
      <w:r>
        <w:rPr>
          <w:rFonts w:hint="eastAsia" w:ascii="宋体" w:hAnsi="宋体" w:eastAsia="宋体" w:cs="宋体"/>
          <w:color w:val="auto"/>
          <w:spacing w:val="0"/>
          <w:w w:val="100"/>
          <w:position w:val="0"/>
          <w:sz w:val="21"/>
          <w:szCs w:val="21"/>
          <w:highlight w:val="none"/>
          <w:vertAlign w:val="baseline"/>
          <w:lang w:val="zh-CN" w:eastAsia="zh-CN"/>
        </w:rPr>
        <w:t>。</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）有效的工商营业执照、税务登记证、组织机构代码证或“三证合一”的营业执照或当地公证处出具的此资质的公证书；</w:t>
      </w:r>
    </w:p>
    <w:p>
      <w:pPr>
        <w:keepNext w:val="0"/>
        <w:keepLines w:val="0"/>
        <w:pageBreakBefore w:val="0"/>
        <w:widowControl/>
        <w:kinsoku/>
        <w:wordWrap w:val="0"/>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3</w:t>
      </w:r>
      <w:r>
        <w:rPr>
          <w:rFonts w:hint="eastAsia" w:ascii="宋体" w:hAnsi="宋体" w:eastAsia="宋体" w:cs="宋体"/>
          <w:color w:val="auto"/>
          <w:kern w:val="0"/>
          <w:sz w:val="21"/>
          <w:szCs w:val="21"/>
          <w:lang w:val="zh-CN" w:eastAsia="zh-CN" w:bidi="zh-CN"/>
        </w:rPr>
        <w:t>）</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）单位负责人为同一人或者存在直接控股、管理关系的不同供应商，不得参加同一合同项下的政府采购活动；</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default"/>
          <w:color w:val="auto"/>
          <w:lang w:val="en-US" w:eastAsia="zh-CN"/>
        </w:rPr>
      </w:pPr>
      <w:r>
        <w:rPr>
          <w:rFonts w:hint="eastAsia" w:ascii="宋体" w:hAnsi="宋体" w:eastAsia="宋体" w:cs="宋体"/>
          <w:color w:val="auto"/>
          <w:kern w:val="0"/>
          <w:sz w:val="21"/>
          <w:szCs w:val="21"/>
          <w:lang w:val="zh-CN" w:eastAsia="zh-CN" w:bidi="zh-CN"/>
        </w:rPr>
        <w:t>（</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）本项目不接受进口产品投标。</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三、获取招标文件</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年0</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15</w:t>
      </w:r>
      <w:r>
        <w:rPr>
          <w:rFonts w:hint="eastAsia" w:ascii="宋体" w:hAnsi="宋体" w:eastAsia="宋体" w:cs="宋体"/>
          <w:color w:val="auto"/>
          <w:kern w:val="0"/>
          <w:sz w:val="21"/>
          <w:szCs w:val="21"/>
          <w:lang w:val="zh-CN" w:eastAsia="zh-CN" w:bidi="zh-CN"/>
        </w:rPr>
        <w:t>日至 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04</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22</w:t>
      </w:r>
      <w:r>
        <w:rPr>
          <w:rFonts w:hint="eastAsia" w:ascii="宋体" w:hAnsi="宋体" w:eastAsia="宋体" w:cs="宋体"/>
          <w:color w:val="auto"/>
          <w:kern w:val="0"/>
          <w:sz w:val="21"/>
          <w:szCs w:val="21"/>
          <w:lang w:val="zh-CN" w:eastAsia="zh-CN" w:bidi="zh-CN"/>
        </w:rPr>
        <w:t>日，每天上午</w:t>
      </w:r>
      <w:r>
        <w:rPr>
          <w:rFonts w:hint="eastAsia" w:ascii="宋体" w:hAnsi="宋体" w:eastAsia="宋体"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0至1</w:t>
      </w:r>
      <w:r>
        <w:rPr>
          <w:rFonts w:hint="eastAsia" w:ascii="宋体" w:hAnsi="宋体" w:eastAsia="宋体" w:cs="宋体"/>
          <w:color w:val="auto"/>
          <w:kern w:val="0"/>
          <w:sz w:val="21"/>
          <w:szCs w:val="21"/>
          <w:lang w:val="en-US" w:eastAsia="zh-CN" w:bidi="zh-CN"/>
        </w:rPr>
        <w:t>4</w:t>
      </w:r>
      <w:r>
        <w:rPr>
          <w:rFonts w:hint="eastAsia" w:ascii="宋体" w:hAnsi="宋体" w:eastAsia="宋体" w:cs="宋体"/>
          <w:color w:val="auto"/>
          <w:kern w:val="0"/>
          <w:sz w:val="21"/>
          <w:szCs w:val="21"/>
          <w:lang w:val="zh-CN" w:eastAsia="zh-CN" w:bidi="zh-CN"/>
        </w:rPr>
        <w:t>:00，下午1</w:t>
      </w:r>
      <w:r>
        <w:rPr>
          <w:rFonts w:hint="eastAsia" w:ascii="宋体" w:hAnsi="宋体" w:eastAsia="宋体"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:00至1</w:t>
      </w:r>
      <w:r>
        <w:rPr>
          <w:rFonts w:hint="eastAsia" w:ascii="宋体" w:hAnsi="宋体" w:eastAsia="宋体" w:cs="宋体"/>
          <w:color w:val="auto"/>
          <w:kern w:val="0"/>
          <w:sz w:val="21"/>
          <w:szCs w:val="21"/>
          <w:lang w:val="en-US" w:eastAsia="zh-CN" w:bidi="zh-CN"/>
        </w:rPr>
        <w:t>9</w:t>
      </w:r>
      <w:r>
        <w:rPr>
          <w:rFonts w:hint="eastAsia" w:ascii="宋体" w:hAnsi="宋体" w:eastAsia="宋体" w:cs="宋体"/>
          <w:color w:val="auto"/>
          <w:kern w:val="0"/>
          <w:sz w:val="21"/>
          <w:szCs w:val="21"/>
          <w:lang w:val="zh-CN" w:eastAsia="zh-CN" w:bidi="zh-CN"/>
        </w:rPr>
        <w:t>:</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0。（北京时间，法定节假日除外）</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地点：</w:t>
      </w:r>
      <w:r>
        <w:rPr>
          <w:rFonts w:hint="eastAsia" w:ascii="宋体" w:hAnsi="宋体" w:eastAsia="宋体" w:cs="宋体"/>
          <w:color w:val="auto"/>
          <w:kern w:val="0"/>
          <w:sz w:val="21"/>
          <w:szCs w:val="21"/>
          <w:lang w:val="en-US" w:eastAsia="zh-CN" w:bidi="zh-CN"/>
        </w:rPr>
        <w:t>邮箱</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方式：</w:t>
      </w:r>
      <w:r>
        <w:rPr>
          <w:rFonts w:hint="eastAsia" w:ascii="宋体" w:hAnsi="宋体" w:eastAsia="宋体" w:cs="宋体"/>
          <w:color w:val="auto"/>
          <w:kern w:val="0"/>
          <w:sz w:val="21"/>
          <w:szCs w:val="21"/>
          <w:lang w:val="en-US" w:eastAsia="zh-CN" w:bidi="zh-CN"/>
        </w:rPr>
        <w:t>邮箱</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en-US" w:eastAsia="zh-CN" w:bidi="zh-CN"/>
        </w:rPr>
      </w:pPr>
      <w:r>
        <w:rPr>
          <w:rFonts w:hint="eastAsia" w:ascii="宋体" w:hAnsi="宋体" w:eastAsia="宋体" w:cs="宋体"/>
          <w:color w:val="auto"/>
          <w:kern w:val="0"/>
          <w:sz w:val="21"/>
          <w:szCs w:val="21"/>
          <w:lang w:val="zh-CN" w:eastAsia="zh-CN" w:bidi="zh-CN"/>
        </w:rPr>
        <w:t>售价：200元</w:t>
      </w:r>
      <w:r>
        <w:rPr>
          <w:rFonts w:hint="eastAsia" w:ascii="宋体" w:hAnsi="宋体" w:eastAsia="宋体" w:cs="宋体"/>
          <w:color w:val="auto"/>
          <w:kern w:val="0"/>
          <w:sz w:val="21"/>
          <w:szCs w:val="21"/>
          <w:lang w:val="en-US" w:eastAsia="zh-CN" w:bidi="zh-CN"/>
        </w:rPr>
        <w:t>/包，售后不退。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四、提交投标文件截止时间、开标时间和地点</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提交投标文件截止时间：202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 xml:space="preserve">日 </w:t>
      </w:r>
      <w:r>
        <w:rPr>
          <w:rFonts w:hint="eastAsia" w:ascii="宋体" w:hAnsi="宋体" w:eastAsia="宋体" w:cs="宋体"/>
          <w:color w:val="auto"/>
          <w:kern w:val="0"/>
          <w:sz w:val="21"/>
          <w:szCs w:val="21"/>
          <w:lang w:val="en-US" w:eastAsia="zh-CN" w:bidi="zh-CN"/>
        </w:rPr>
        <w:t>11</w:t>
      </w:r>
      <w:r>
        <w:rPr>
          <w:rFonts w:hint="eastAsia" w:ascii="宋体" w:hAnsi="宋体" w:eastAsia="宋体" w:cs="宋体"/>
          <w:color w:val="auto"/>
          <w:kern w:val="0"/>
          <w:sz w:val="21"/>
          <w:szCs w:val="21"/>
          <w:lang w:val="zh-CN" w:eastAsia="zh-CN" w:bidi="zh-CN"/>
        </w:rPr>
        <w:t>点</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0分（北京时间）</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开标时间：202</w:t>
      </w:r>
      <w:r>
        <w:rPr>
          <w:rFonts w:hint="eastAsia" w:ascii="宋体" w:hAnsi="宋体" w:eastAsia="宋体" w:cs="宋体"/>
          <w:color w:val="auto"/>
          <w:kern w:val="0"/>
          <w:sz w:val="21"/>
          <w:szCs w:val="21"/>
          <w:lang w:val="en-US" w:eastAsia="zh-CN" w:bidi="zh-CN"/>
        </w:rPr>
        <w:t>2</w:t>
      </w:r>
      <w:r>
        <w:rPr>
          <w:rFonts w:hint="eastAsia" w:ascii="宋体" w:hAnsi="宋体" w:eastAsia="宋体" w:cs="宋体"/>
          <w:color w:val="auto"/>
          <w:kern w:val="0"/>
          <w:sz w:val="21"/>
          <w:szCs w:val="21"/>
          <w:lang w:val="zh-CN" w:eastAsia="zh-CN" w:bidi="zh-CN"/>
        </w:rPr>
        <w:t>年</w:t>
      </w:r>
      <w:r>
        <w:rPr>
          <w:rFonts w:hint="eastAsia" w:ascii="宋体" w:hAnsi="宋体" w:eastAsia="宋体" w:cs="宋体"/>
          <w:color w:val="auto"/>
          <w:kern w:val="0"/>
          <w:sz w:val="21"/>
          <w:szCs w:val="21"/>
          <w:lang w:val="en-US" w:eastAsia="zh-CN" w:bidi="zh-CN"/>
        </w:rPr>
        <w:t>0</w:t>
      </w:r>
      <w:r>
        <w:rPr>
          <w:rFonts w:hint="eastAsia" w:cs="宋体"/>
          <w:color w:val="auto"/>
          <w:kern w:val="0"/>
          <w:sz w:val="21"/>
          <w:szCs w:val="21"/>
          <w:lang w:val="en-US" w:eastAsia="zh-CN" w:bidi="zh-CN"/>
        </w:rPr>
        <w:t>5</w:t>
      </w:r>
      <w:r>
        <w:rPr>
          <w:rFonts w:hint="eastAsia" w:ascii="宋体" w:hAnsi="宋体" w:eastAsia="宋体" w:cs="宋体"/>
          <w:color w:val="auto"/>
          <w:kern w:val="0"/>
          <w:sz w:val="21"/>
          <w:szCs w:val="21"/>
          <w:lang w:val="zh-CN" w:eastAsia="zh-CN" w:bidi="zh-CN"/>
        </w:rPr>
        <w:t>月</w:t>
      </w:r>
      <w:r>
        <w:rPr>
          <w:rFonts w:hint="eastAsia" w:cs="宋体"/>
          <w:color w:val="auto"/>
          <w:kern w:val="0"/>
          <w:sz w:val="21"/>
          <w:szCs w:val="21"/>
          <w:lang w:val="en-US" w:eastAsia="zh-CN" w:bidi="zh-CN"/>
        </w:rPr>
        <w:t>10</w:t>
      </w:r>
      <w:r>
        <w:rPr>
          <w:rFonts w:hint="eastAsia" w:ascii="宋体" w:hAnsi="宋体" w:eastAsia="宋体" w:cs="宋体"/>
          <w:color w:val="auto"/>
          <w:kern w:val="0"/>
          <w:sz w:val="21"/>
          <w:szCs w:val="21"/>
          <w:lang w:val="zh-CN" w:eastAsia="zh-CN" w:bidi="zh-CN"/>
        </w:rPr>
        <w:t xml:space="preserve">日 </w:t>
      </w:r>
      <w:r>
        <w:rPr>
          <w:rFonts w:hint="eastAsia" w:ascii="宋体" w:hAnsi="宋体" w:eastAsia="宋体" w:cs="宋体"/>
          <w:color w:val="auto"/>
          <w:kern w:val="0"/>
          <w:sz w:val="21"/>
          <w:szCs w:val="21"/>
          <w:lang w:val="en-US" w:eastAsia="zh-CN" w:bidi="zh-CN"/>
        </w:rPr>
        <w:t>11</w:t>
      </w:r>
      <w:r>
        <w:rPr>
          <w:rFonts w:hint="eastAsia" w:ascii="宋体" w:hAnsi="宋体" w:eastAsia="宋体" w:cs="宋体"/>
          <w:color w:val="auto"/>
          <w:kern w:val="0"/>
          <w:sz w:val="21"/>
          <w:szCs w:val="21"/>
          <w:lang w:val="zh-CN" w:eastAsia="zh-CN" w:bidi="zh-CN"/>
        </w:rPr>
        <w:t>点</w:t>
      </w:r>
      <w:r>
        <w:rPr>
          <w:rFonts w:hint="eastAsia" w:ascii="宋体" w:hAnsi="宋体" w:eastAsia="宋体" w:cs="宋体"/>
          <w:color w:val="auto"/>
          <w:kern w:val="0"/>
          <w:sz w:val="21"/>
          <w:szCs w:val="21"/>
          <w:lang w:val="en-US" w:eastAsia="zh-CN" w:bidi="zh-CN"/>
        </w:rPr>
        <w:t>0</w:t>
      </w:r>
      <w:r>
        <w:rPr>
          <w:rFonts w:hint="eastAsia" w:ascii="宋体" w:hAnsi="宋体" w:eastAsia="宋体" w:cs="宋体"/>
          <w:color w:val="auto"/>
          <w:kern w:val="0"/>
          <w:sz w:val="21"/>
          <w:szCs w:val="21"/>
          <w:lang w:val="zh-CN" w:eastAsia="zh-CN" w:bidi="zh-CN"/>
        </w:rPr>
        <w:t>0分（北京时间）</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地点：乌鲁木齐市经济技术开发区上海路浦东街三号创新空间一楼会议室</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五、公告期限</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zh-CN" w:eastAsia="zh-CN" w:bidi="zh-CN"/>
        </w:rPr>
        <w:t>自本公告发布之日起5个工作日。</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六、其他补充事宜</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1</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w:t>
      </w: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本次招标公告在</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新疆</w:t>
      </w: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政府采购网上发布，其他媒体转载无效。 </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2.凡有意参加本次政府采购的企业请按以下内容发送至邮箱1767495113@qq.com：</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（1）供应商发送邮箱“主题”包含项目名称及编号；</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（2）供应商发送邮箱“正文”包含以下内容：1）项目名称（包号）、2）项目编号；3）公司名称；4）联系人；5）联系电话；6）邮箱号；</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left="0" w:right="0" w:firstLine="420" w:firstLineChars="200"/>
        <w:jc w:val="left"/>
        <w:textAlignment w:val="auto"/>
        <w:outlineLvl w:val="9"/>
        <w:rPr>
          <w:rFonts w:hint="default"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zh-CN" w:eastAsia="zh-CN" w:bidi="zh-CN"/>
        </w:rPr>
        <w:t>（3）供应商发送邮箱“附件”包含：法定代表人证明或身份证扫描件、授权委托书和本人身份证扫描件（法定代表人不需要）、营业执照副本扫描件，扫描件需加盖公章。</w:t>
      </w:r>
      <w:r>
        <w:rPr>
          <w:rFonts w:hint="eastAsia" w:cs="宋体"/>
          <w:i w:val="0"/>
          <w:iCs w:val="0"/>
          <w:caps w:val="0"/>
          <w:color w:val="auto"/>
          <w:spacing w:val="0"/>
          <w:kern w:val="0"/>
          <w:sz w:val="21"/>
          <w:szCs w:val="21"/>
          <w:highlight w:val="none"/>
          <w:shd w:val="clear" w:fill="FFFFFF"/>
          <w:vertAlign w:val="baseline"/>
          <w:lang w:val="en-US" w:eastAsia="zh-CN" w:bidi="zh-CN"/>
        </w:rPr>
        <w:t>报名第四包时需要提供《中小企业声明函》（格式详见附件）扫描件（本项目</w:t>
      </w:r>
      <w:r>
        <w:rPr>
          <w:rFonts w:hint="eastAsia" w:ascii="宋体" w:hAnsi="宋体" w:eastAsia="宋体" w:cs="宋体"/>
          <w:color w:val="auto"/>
          <w:spacing w:val="0"/>
          <w:w w:val="100"/>
          <w:kern w:val="0"/>
          <w:position w:val="0"/>
          <w:sz w:val="21"/>
          <w:szCs w:val="21"/>
          <w:highlight w:val="none"/>
          <w:lang w:val="en-US" w:eastAsia="zh-CN" w:bidi="ar"/>
        </w:rPr>
        <w:t>中小企业划分标准所属行业</w:t>
      </w:r>
      <w:r>
        <w:rPr>
          <w:rFonts w:hint="eastAsia" w:cs="宋体"/>
          <w:color w:val="auto"/>
          <w:spacing w:val="0"/>
          <w:w w:val="100"/>
          <w:kern w:val="0"/>
          <w:position w:val="0"/>
          <w:sz w:val="21"/>
          <w:szCs w:val="21"/>
          <w:highlight w:val="none"/>
          <w:lang w:val="en-US" w:eastAsia="zh-CN" w:bidi="ar"/>
        </w:rPr>
        <w:t>为工业（制造业）</w:t>
      </w:r>
      <w:r>
        <w:rPr>
          <w:rFonts w:hint="eastAsia" w:cs="宋体"/>
          <w:i w:val="0"/>
          <w:iCs w:val="0"/>
          <w:caps w:val="0"/>
          <w:color w:val="auto"/>
          <w:spacing w:val="0"/>
          <w:kern w:val="0"/>
          <w:sz w:val="21"/>
          <w:szCs w:val="21"/>
          <w:highlight w:val="none"/>
          <w:shd w:val="clear" w:fill="FFFFFF"/>
          <w:vertAlign w:val="baseline"/>
          <w:lang w:val="en-US" w:eastAsia="zh-CN" w:bidi="zh-CN"/>
        </w:rPr>
        <w:t>）。</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3.监督电话：</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监</w:t>
      </w:r>
      <w:r>
        <w:rPr>
          <w:rFonts w:hint="eastAsia" w:cs="宋体"/>
          <w:i w:val="0"/>
          <w:iCs w:val="0"/>
          <w:caps w:val="0"/>
          <w:color w:val="auto"/>
          <w:spacing w:val="0"/>
          <w:kern w:val="0"/>
          <w:sz w:val="21"/>
          <w:szCs w:val="21"/>
          <w:highlight w:val="none"/>
          <w:shd w:val="clear" w:fill="FFFFFF"/>
          <w:vertAlign w:val="baseline"/>
          <w:lang w:val="en-US" w:eastAsia="zh-CN" w:bidi="zh-CN"/>
        </w:rPr>
        <w:t xml:space="preserve">    </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督：驻新疆维吾尔自治区市场监督管理局纪检组</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监督电话：0991-2841556</w:t>
      </w:r>
    </w:p>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right="0" w:firstLine="420" w:firstLineChars="200"/>
        <w:jc w:val="left"/>
        <w:textAlignment w:val="baseline"/>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pPr>
      <w:r>
        <w:rPr>
          <w:rFonts w:hint="eastAsia" w:cs="宋体"/>
          <w:i w:val="0"/>
          <w:iCs w:val="0"/>
          <w:caps w:val="0"/>
          <w:color w:val="auto"/>
          <w:spacing w:val="0"/>
          <w:kern w:val="0"/>
          <w:sz w:val="21"/>
          <w:szCs w:val="21"/>
          <w:highlight w:val="none"/>
          <w:shd w:val="clear" w:fill="FFFFFF"/>
          <w:vertAlign w:val="baseline"/>
          <w:lang w:val="en-US" w:eastAsia="zh-CN" w:bidi="zh-CN"/>
        </w:rPr>
        <w:t>4</w:t>
      </w: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w:t>
      </w:r>
      <w:r>
        <w:rPr>
          <w:rFonts w:hint="eastAsia" w:ascii="宋体" w:hAnsi="宋体" w:eastAsia="宋体" w:cs="宋体"/>
          <w:color w:val="auto"/>
          <w:kern w:val="0"/>
          <w:sz w:val="21"/>
          <w:szCs w:val="21"/>
          <w:lang w:val="zh-CN" w:eastAsia="zh-CN" w:bidi="zh-CN"/>
        </w:rPr>
        <w:t>售价：200元</w:t>
      </w:r>
      <w:r>
        <w:rPr>
          <w:rFonts w:hint="eastAsia" w:ascii="宋体" w:hAnsi="宋体" w:eastAsia="宋体" w:cs="宋体"/>
          <w:color w:val="auto"/>
          <w:kern w:val="0"/>
          <w:sz w:val="21"/>
          <w:szCs w:val="21"/>
          <w:lang w:val="en-US" w:eastAsia="zh-CN" w:bidi="zh-CN"/>
        </w:rPr>
        <w:t>/包，售后不退。</w:t>
      </w:r>
    </w:p>
    <w:p>
      <w:pPr>
        <w:keepNext w:val="0"/>
        <w:keepLines w:val="0"/>
        <w:pageBreakBefore w:val="0"/>
        <w:widowControl/>
        <w:kinsoku/>
        <w:wordWrap/>
        <w:overflowPunct/>
        <w:topLinePunct w:val="0"/>
        <w:autoSpaceDE/>
        <w:autoSpaceDN/>
        <w:bidi w:val="0"/>
        <w:adjustRightInd/>
        <w:snapToGrid/>
        <w:spacing w:before="75" w:beforeAutospacing="0" w:after="75" w:afterAutospacing="0" w:line="240" w:lineRule="auto"/>
        <w:ind w:right="0"/>
        <w:jc w:val="left"/>
        <w:textAlignment w:val="auto"/>
        <w:outlineLvl w:val="9"/>
        <w:rPr>
          <w:rFonts w:hint="eastAsia" w:ascii="宋体" w:hAnsi="宋体" w:eastAsia="宋体" w:cs="宋体"/>
          <w:b/>
          <w:bCs/>
          <w:color w:val="auto"/>
          <w:kern w:val="0"/>
          <w:sz w:val="21"/>
          <w:szCs w:val="21"/>
          <w:lang w:val="zh-CN" w:eastAsia="zh-CN" w:bidi="zh-CN"/>
        </w:rPr>
      </w:pPr>
      <w:r>
        <w:rPr>
          <w:rFonts w:hint="eastAsia" w:ascii="宋体" w:hAnsi="宋体" w:eastAsia="宋体" w:cs="宋体"/>
          <w:b/>
          <w:bCs/>
          <w:color w:val="auto"/>
          <w:kern w:val="0"/>
          <w:sz w:val="21"/>
          <w:szCs w:val="21"/>
          <w:lang w:val="zh-CN" w:eastAsia="zh-CN" w:bidi="zh-CN"/>
        </w:rPr>
        <w:t>七、对本次招标提出询问，请按以下方式联系。</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1.采购人信息</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名 称：新疆维吾尔自治区计量测试研究院</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地 址：乌鲁木齐市河北东路188号</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联系方式：0991-3191512</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2.采购代理机构信息</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名 称：新疆华恒惠欣工程项目管理有限责任公司</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地 址：乌鲁木齐市经济技术开发区上海路浦东街三号</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联系方式：18130912292</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3.项目联系方式</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项目联系人：冯工</w:t>
      </w:r>
    </w:p>
    <w:p>
      <w:pPr>
        <w:keepNext w:val="0"/>
        <w:keepLines w:val="0"/>
        <w:pageBreakBefore w:val="0"/>
        <w:widowControl/>
        <w:suppressLineNumbers w:val="0"/>
        <w:kinsoku/>
        <w:wordWrap/>
        <w:overflowPunct/>
        <w:topLinePunct w:val="0"/>
        <w:autoSpaceDE w:val="0"/>
        <w:autoSpaceDN w:val="0"/>
        <w:bidi w:val="0"/>
        <w:adjustRightInd/>
        <w:snapToGrid/>
        <w:spacing w:before="0" w:beforeAutospacing="0" w:after="0" w:afterAutospacing="0" w:line="240" w:lineRule="auto"/>
        <w:ind w:left="440" w:leftChars="200" w:right="0" w:firstLine="0"/>
        <w:jc w:val="left"/>
        <w:textAlignment w:val="auto"/>
        <w:rPr>
          <w:rFonts w:hint="eastAsia" w:ascii="宋体" w:hAnsi="宋体" w:eastAsia="宋体" w:cs="宋体"/>
          <w:i w:val="0"/>
          <w:caps w:val="0"/>
          <w:color w:val="auto"/>
          <w:spacing w:val="0"/>
          <w:sz w:val="21"/>
          <w:szCs w:val="21"/>
          <w:lang w:val="en-US" w:eastAsia="zh-CN" w:bidi="zh-CN"/>
        </w:rPr>
      </w:pPr>
      <w:r>
        <w:rPr>
          <w:rFonts w:hint="eastAsia" w:ascii="宋体" w:hAnsi="宋体" w:eastAsia="宋体" w:cs="宋体"/>
          <w:i w:val="0"/>
          <w:caps w:val="0"/>
          <w:color w:val="auto"/>
          <w:spacing w:val="0"/>
          <w:sz w:val="21"/>
          <w:szCs w:val="21"/>
          <w:lang w:val="en-US" w:eastAsia="zh-CN" w:bidi="zh-CN"/>
        </w:rPr>
        <w:t>电 话：18130912292</w:t>
      </w:r>
    </w:p>
    <w:p>
      <w:pPr>
        <w:widowControl/>
        <w:autoSpaceDE w:val="0"/>
        <w:autoSpaceDN w:val="0"/>
        <w:spacing w:before="75" w:beforeAutospacing="0" w:after="75" w:afterAutospacing="0" w:line="240" w:lineRule="auto"/>
        <w:ind w:left="0" w:right="0"/>
        <w:jc w:val="right"/>
        <w:outlineLvl w:val="9"/>
        <w:rPr>
          <w:rFonts w:hint="eastAsia" w:ascii="宋体" w:hAnsi="宋体" w:eastAsia="宋体" w:cs="宋体"/>
          <w:b w:val="0"/>
          <w:bCs/>
          <w:color w:val="auto"/>
          <w:kern w:val="0"/>
          <w:sz w:val="21"/>
          <w:szCs w:val="21"/>
          <w:lang w:val="zh-CN" w:eastAsia="zh-CN" w:bidi="zh-CN"/>
        </w:rPr>
      </w:pPr>
    </w:p>
    <w:p>
      <w:pPr>
        <w:widowControl/>
        <w:autoSpaceDE w:val="0"/>
        <w:autoSpaceDN w:val="0"/>
        <w:spacing w:before="75" w:beforeAutospacing="0" w:after="75" w:afterAutospacing="0" w:line="240" w:lineRule="auto"/>
        <w:ind w:left="0" w:right="0"/>
        <w:jc w:val="right"/>
        <w:outlineLvl w:val="9"/>
        <w:rPr>
          <w:rFonts w:hint="eastAsia" w:ascii="宋体" w:hAnsi="宋体" w:eastAsia="宋体" w:cs="宋体"/>
          <w:color w:val="auto"/>
          <w:kern w:val="0"/>
          <w:sz w:val="21"/>
          <w:szCs w:val="21"/>
          <w:lang w:val="zh-CN" w:eastAsia="zh-CN" w:bidi="zh-CN"/>
        </w:rPr>
      </w:pPr>
      <w:r>
        <w:rPr>
          <w:rFonts w:hint="eastAsia" w:ascii="宋体" w:hAnsi="宋体" w:eastAsia="宋体" w:cs="宋体"/>
          <w:color w:val="auto"/>
          <w:kern w:val="0"/>
          <w:sz w:val="21"/>
          <w:szCs w:val="21"/>
          <w:lang w:val="en-US" w:eastAsia="zh-CN" w:bidi="zh-CN"/>
        </w:rPr>
        <w:t>新疆华恒惠欣工程项目管理有限责任公司</w:t>
      </w:r>
    </w:p>
    <w:p>
      <w:pPr>
        <w:wordWrap w:val="0"/>
        <w:jc w:val="right"/>
        <w:rPr>
          <w:rFonts w:hint="eastAsia" w:ascii="宋体" w:hAnsi="宋体" w:eastAsia="宋体" w:cs="宋体"/>
          <w:color w:val="auto"/>
          <w:sz w:val="20"/>
          <w:szCs w:val="20"/>
          <w:lang w:val="en-US"/>
        </w:rPr>
      </w:pPr>
      <w:r>
        <w:rPr>
          <w:rFonts w:hint="eastAsia" w:ascii="宋体" w:hAnsi="宋体" w:eastAsia="宋体" w:cs="宋体"/>
          <w:color w:val="auto"/>
          <w:kern w:val="0"/>
          <w:sz w:val="21"/>
          <w:szCs w:val="21"/>
          <w:lang w:val="en-US" w:eastAsia="zh-CN" w:bidi="zh-CN"/>
        </w:rPr>
        <w:t>2022年04月</w:t>
      </w:r>
      <w:r>
        <w:rPr>
          <w:rFonts w:hint="eastAsia" w:cs="宋体"/>
          <w:color w:val="auto"/>
          <w:kern w:val="0"/>
          <w:sz w:val="21"/>
          <w:szCs w:val="21"/>
          <w:lang w:val="en-US" w:eastAsia="zh-CN" w:bidi="zh-CN"/>
        </w:rPr>
        <w:t>15</w:t>
      </w:r>
      <w:r>
        <w:rPr>
          <w:rFonts w:hint="eastAsia" w:ascii="宋体" w:hAnsi="宋体" w:eastAsia="宋体" w:cs="宋体"/>
          <w:color w:val="auto"/>
          <w:kern w:val="0"/>
          <w:sz w:val="21"/>
          <w:szCs w:val="21"/>
          <w:lang w:val="en-US" w:eastAsia="zh-CN" w:bidi="zh-CN"/>
        </w:rPr>
        <w:t xml:space="preserve">日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tabs>
          <w:tab w:val="left" w:pos="1163"/>
        </w:tabs>
        <w:ind w:right="125"/>
        <w:outlineLvl w:val="0"/>
        <w:rPr>
          <w:rFonts w:hint="eastAsia" w:ascii="宋体" w:hAnsi="宋体" w:eastAsia="宋体" w:cs="宋体"/>
          <w:color w:val="auto"/>
          <w:spacing w:val="0"/>
          <w:w w:val="100"/>
          <w:position w:val="0"/>
          <w:sz w:val="32"/>
          <w:szCs w:val="32"/>
          <w:highlight w:val="none"/>
        </w:rPr>
      </w:pPr>
      <w:bookmarkStart w:id="2" w:name="_Toc15432"/>
      <w:r>
        <w:rPr>
          <w:rFonts w:hint="eastAsia" w:ascii="宋体" w:hAnsi="宋体" w:eastAsia="宋体" w:cs="宋体"/>
          <w:color w:val="auto"/>
          <w:spacing w:val="0"/>
          <w:w w:val="100"/>
          <w:position w:val="0"/>
          <w:sz w:val="32"/>
          <w:szCs w:val="32"/>
          <w:highlight w:val="none"/>
        </w:rPr>
        <w:t>第二章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投标人须知前附表和投标人须知</w:t>
      </w:r>
      <w:bookmarkEnd w:id="2"/>
    </w:p>
    <w:p>
      <w:pPr>
        <w:pStyle w:val="4"/>
        <w:spacing w:before="239"/>
        <w:ind w:right="119"/>
        <w:outlineLvl w:val="1"/>
        <w:rPr>
          <w:rFonts w:hint="eastAsia" w:ascii="宋体" w:hAnsi="宋体" w:eastAsia="宋体" w:cs="宋体"/>
          <w:color w:val="auto"/>
          <w:spacing w:val="0"/>
          <w:w w:val="100"/>
          <w:position w:val="0"/>
          <w:sz w:val="28"/>
          <w:szCs w:val="28"/>
          <w:highlight w:val="none"/>
        </w:rPr>
      </w:pPr>
      <w:bookmarkStart w:id="3" w:name="_Toc23090"/>
      <w:r>
        <w:rPr>
          <w:rFonts w:hint="eastAsia" w:ascii="宋体" w:hAnsi="宋体" w:eastAsia="宋体" w:cs="宋体"/>
          <w:color w:val="auto"/>
          <w:spacing w:val="0"/>
          <w:w w:val="100"/>
          <w:position w:val="0"/>
          <w:sz w:val="28"/>
          <w:szCs w:val="28"/>
          <w:highlight w:val="none"/>
        </w:rPr>
        <w:t>投标人须知前附表</w:t>
      </w:r>
      <w:bookmarkEnd w:id="3"/>
    </w:p>
    <w:p>
      <w:pPr>
        <w:pStyle w:val="11"/>
        <w:spacing w:before="215" w:line="302" w:lineRule="auto"/>
        <w:ind w:left="228" w:right="341" w:firstLine="4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投标人须知前附表是对投标人须知的具体说明、补充和修改，表格中的“对应条款号” 是对应投标人须知中的条款编号，如与投标人须知有矛盾，应以本表为准。</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58"/>
        <w:gridCol w:w="915"/>
        <w:gridCol w:w="75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leftChars="0" w:right="0" w:rightChars="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序号及内容</w:t>
            </w:r>
          </w:p>
        </w:tc>
        <w:tc>
          <w:tcPr>
            <w:tcW w:w="915"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对应条款号</w:t>
            </w:r>
          </w:p>
        </w:tc>
        <w:tc>
          <w:tcPr>
            <w:tcW w:w="7593" w:type="dxa"/>
            <w:vAlign w:val="center"/>
          </w:tcPr>
          <w:p>
            <w:pPr>
              <w:keepNext w:val="0"/>
              <w:keepLines w:val="0"/>
              <w:pageBreakBefore w:val="0"/>
              <w:widowControl/>
              <w:suppressLineNumbers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一、说明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1.项目概述</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1.1</w:t>
            </w:r>
          </w:p>
        </w:tc>
        <w:tc>
          <w:tcPr>
            <w:tcW w:w="7593" w:type="dxa"/>
            <w:vAlign w:val="center"/>
          </w:tcPr>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1、项目名称：</w:t>
            </w:r>
            <w:r>
              <w:rPr>
                <w:rFonts w:hint="eastAsia"/>
                <w:color w:val="auto"/>
                <w:sz w:val="21"/>
                <w:szCs w:val="21"/>
                <w:lang w:val="zh-CN" w:eastAsia="zh-CN"/>
              </w:rPr>
              <w:t>自治区计量院第一批测量设备采购项目（一）</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2、项目编号：</w:t>
            </w:r>
            <w:r>
              <w:rPr>
                <w:rFonts w:hint="eastAsia"/>
                <w:color w:val="auto"/>
                <w:sz w:val="21"/>
                <w:szCs w:val="21"/>
                <w:lang w:val="zh-CN" w:eastAsia="zh-CN"/>
              </w:rPr>
              <w:t>Hhhx2208-Zjly001</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3、招标范围：本次</w:t>
            </w:r>
            <w:r>
              <w:rPr>
                <w:rFonts w:hint="eastAsia"/>
                <w:color w:val="auto"/>
                <w:sz w:val="21"/>
                <w:szCs w:val="21"/>
                <w:lang w:val="zh-CN" w:eastAsia="zh-CN"/>
              </w:rPr>
              <w:t>自治区计量院第一批测量设备采购项目（一）</w:t>
            </w:r>
            <w:r>
              <w:rPr>
                <w:rFonts w:hint="eastAsia"/>
                <w:color w:val="auto"/>
                <w:sz w:val="21"/>
                <w:szCs w:val="21"/>
                <w:lang w:val="en-US" w:eastAsia="zh-CN"/>
              </w:rPr>
              <w:t>，共5个包，具体详见采购清单：</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第一包：</w:t>
            </w:r>
            <w:r>
              <w:rPr>
                <w:rFonts w:hint="eastAsia"/>
                <w:color w:val="auto"/>
                <w:sz w:val="21"/>
                <w:szCs w:val="21"/>
                <w:lang w:val="zh-CN" w:eastAsia="zh-CN"/>
              </w:rPr>
              <w:t>全自动压力校验系统</w:t>
            </w:r>
            <w:r>
              <w:rPr>
                <w:rFonts w:hint="eastAsia"/>
                <w:color w:val="auto"/>
                <w:sz w:val="21"/>
                <w:szCs w:val="21"/>
                <w:lang w:val="en-US" w:eastAsia="zh-CN"/>
              </w:rPr>
              <w:t>采购。</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4、项目地点：采购人指定地点</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5、招标方式：公开招标</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6、交货期：详见“采购需求”，送至采购人指定地点。</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7、</w:t>
            </w:r>
            <w:r>
              <w:rPr>
                <w:rFonts w:hint="eastAsia"/>
                <w:color w:val="auto"/>
                <w:sz w:val="21"/>
                <w:szCs w:val="21"/>
              </w:rPr>
              <w:t>资金来源及比例</w:t>
            </w:r>
            <w:r>
              <w:rPr>
                <w:rFonts w:hint="eastAsia"/>
                <w:color w:val="auto"/>
                <w:sz w:val="21"/>
                <w:szCs w:val="21"/>
                <w:lang w:eastAsia="zh-CN"/>
              </w:rPr>
              <w:t>：</w:t>
            </w:r>
            <w:r>
              <w:rPr>
                <w:rFonts w:hint="eastAsia"/>
                <w:color w:val="auto"/>
                <w:sz w:val="21"/>
                <w:szCs w:val="21"/>
                <w:lang w:val="en-US" w:eastAsia="zh-CN"/>
              </w:rPr>
              <w:t>自筹</w:t>
            </w:r>
            <w:r>
              <w:rPr>
                <w:rFonts w:hint="eastAsia"/>
                <w:color w:val="auto"/>
                <w:sz w:val="21"/>
                <w:szCs w:val="21"/>
                <w:lang w:eastAsia="zh-CN"/>
              </w:rPr>
              <w:t>资金</w:t>
            </w:r>
            <w:r>
              <w:rPr>
                <w:rFonts w:hint="eastAsia"/>
                <w:color w:val="auto"/>
                <w:sz w:val="21"/>
                <w:szCs w:val="21"/>
              </w:rPr>
              <w:t>100%</w:t>
            </w:r>
            <w:r>
              <w:rPr>
                <w:rFonts w:hint="eastAsia"/>
                <w:color w:val="auto"/>
                <w:sz w:val="21"/>
                <w:szCs w:val="21"/>
                <w:lang w:eastAsia="zh-CN"/>
              </w:rPr>
              <w:t>。</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8、资金落实情况：已落实</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9、采购人</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名称：新疆维吾尔自治区计量测试研究院</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地址：乌鲁木齐市河北东路188号</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联系人：张波</w:t>
            </w:r>
          </w:p>
          <w:p>
            <w:pPr>
              <w:keepNext w:val="0"/>
              <w:keepLines w:val="0"/>
              <w:widowControl/>
              <w:numPr>
                <w:ilvl w:val="0"/>
                <w:numId w:val="0"/>
              </w:numPr>
              <w:suppressLineNumbers w:val="0"/>
              <w:autoSpaceDE w:val="0"/>
              <w:autoSpaceDN w:val="0"/>
              <w:spacing w:before="0" w:after="0" w:line="240" w:lineRule="auto"/>
              <w:ind w:left="0" w:leftChars="0" w:right="0" w:rightChars="0"/>
              <w:jc w:val="left"/>
              <w:rPr>
                <w:rFonts w:hint="eastAsia"/>
                <w:color w:val="auto"/>
                <w:sz w:val="21"/>
                <w:szCs w:val="21"/>
                <w:lang w:val="en-US" w:eastAsia="zh-CN"/>
              </w:rPr>
            </w:pPr>
            <w:r>
              <w:rPr>
                <w:rFonts w:hint="eastAsia"/>
                <w:color w:val="auto"/>
                <w:sz w:val="21"/>
                <w:szCs w:val="21"/>
                <w:lang w:val="en-US" w:eastAsia="zh-CN"/>
              </w:rPr>
              <w:t>电话：0991-3191512</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10、采购代理机构</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名称：新疆华恒惠欣工程项目管理有限责任公司</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地址：乌鲁木齐市经济技术开发区上海路浦东街三号</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联系人：冯工</w:t>
            </w:r>
          </w:p>
          <w:p>
            <w:pPr>
              <w:keepNext w:val="0"/>
              <w:keepLines w:val="0"/>
              <w:widowControl/>
              <w:suppressLineNumbers w:val="0"/>
              <w:jc w:val="left"/>
              <w:rPr>
                <w:rFonts w:hint="eastAsia"/>
                <w:color w:val="auto"/>
                <w:sz w:val="21"/>
                <w:szCs w:val="21"/>
                <w:lang w:val="en-US" w:eastAsia="zh-CN"/>
              </w:rPr>
            </w:pPr>
            <w:r>
              <w:rPr>
                <w:rFonts w:hint="eastAsia"/>
                <w:color w:val="auto"/>
                <w:sz w:val="21"/>
                <w:szCs w:val="21"/>
                <w:lang w:val="en-US" w:eastAsia="zh-CN"/>
              </w:rPr>
              <w:t>电话：18016893069</w:t>
            </w:r>
          </w:p>
          <w:p>
            <w:pPr>
              <w:pStyle w:val="26"/>
              <w:ind w:left="0" w:leftChars="0" w:firstLine="0" w:firstLineChars="0"/>
              <w:rPr>
                <w:rFonts w:hint="eastAsia"/>
                <w:color w:val="auto"/>
                <w:sz w:val="21"/>
                <w:szCs w:val="21"/>
                <w:lang w:val="en-US" w:eastAsia="zh-CN"/>
              </w:rPr>
            </w:pPr>
            <w:r>
              <w:rPr>
                <w:rFonts w:hint="eastAsia"/>
                <w:color w:val="auto"/>
                <w:sz w:val="21"/>
                <w:szCs w:val="21"/>
                <w:lang w:val="en-US" w:eastAsia="zh-CN"/>
              </w:rPr>
              <w:t>11.监督：</w:t>
            </w:r>
          </w:p>
          <w:p>
            <w:pPr>
              <w:pStyle w:val="26"/>
              <w:ind w:left="0" w:leftChars="0" w:firstLine="0" w:firstLineChars="0"/>
              <w:rPr>
                <w:rFonts w:hint="eastAsia"/>
                <w:color w:val="auto"/>
                <w:sz w:val="21"/>
                <w:szCs w:val="21"/>
                <w:lang w:val="en-US" w:eastAsia="zh-CN"/>
              </w:rPr>
            </w:pPr>
            <w:r>
              <w:rPr>
                <w:rFonts w:hint="eastAsia"/>
                <w:color w:val="auto"/>
                <w:sz w:val="21"/>
                <w:szCs w:val="21"/>
                <w:lang w:val="en-US" w:eastAsia="zh-CN"/>
              </w:rPr>
              <w:t>监    督：驻新疆维吾尔自治区市场监督管理局纪检组</w:t>
            </w:r>
          </w:p>
          <w:p>
            <w:pPr>
              <w:pStyle w:val="26"/>
              <w:ind w:left="0" w:leftChars="0" w:firstLine="0" w:firstLineChars="0"/>
              <w:rPr>
                <w:rFonts w:hint="eastAsia"/>
                <w:color w:val="auto"/>
                <w:lang w:val="en-US" w:eastAsia="zh-CN"/>
              </w:rPr>
            </w:pPr>
            <w:r>
              <w:rPr>
                <w:rFonts w:hint="eastAsia"/>
                <w:color w:val="auto"/>
                <w:sz w:val="21"/>
                <w:szCs w:val="21"/>
                <w:lang w:val="en-US" w:eastAsia="zh-CN"/>
              </w:rPr>
              <w:t>监督电话：0991-2841556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2.采购项目的属性</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3.采购标的对应的中小企业划分标准所属行业</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1.3</w:t>
            </w:r>
          </w:p>
        </w:tc>
        <w:tc>
          <w:tcPr>
            <w:tcW w:w="7593" w:type="dxa"/>
            <w:vAlign w:val="center"/>
          </w:tcPr>
          <w:p>
            <w:pPr>
              <w:shd w:val="clear"/>
              <w:spacing w:before="0" w:after="0" w:line="240" w:lineRule="auto"/>
              <w:ind w:left="0" w:right="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Cs/>
                <w:color w:val="auto"/>
                <w:sz w:val="21"/>
                <w:szCs w:val="21"/>
                <w:highlight w:val="none"/>
                <w:shd w:val="clear" w:color="auto" w:fill="auto"/>
                <w:lang w:val="en-US" w:eastAsia="zh-CN"/>
              </w:rPr>
              <w:t>依据《关于印发中小企业划型标准规定的通知》（工信部联企业〔2011〕300 号），本项目采购标的所属行业为：</w:t>
            </w:r>
            <w:r>
              <w:rPr>
                <w:rFonts w:hint="eastAsia" w:cs="宋体"/>
                <w:color w:val="auto"/>
                <w:spacing w:val="0"/>
                <w:w w:val="100"/>
                <w:kern w:val="0"/>
                <w:position w:val="0"/>
                <w:sz w:val="21"/>
                <w:szCs w:val="21"/>
                <w:highlight w:val="none"/>
                <w:lang w:val="en-US" w:eastAsia="zh-CN" w:bidi="ar"/>
              </w:rPr>
              <w:t>工业（制造业）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4.投标人资格要求</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1、满足《中华人民共和国政府采购法》第二十二条的规定，包括：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（1）具有独立承担民事责任的能力；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（2）具有良好的商业信誉和健全的财务会计制度；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（3）具有履行合同所必需的设备和专业技术能力；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（4）有依法缴纳税收和社会保障资金的良好记录；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（5）参加此采购活动前三年内，在经营活动中没有重大违法记录；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（6）法律、行政法规规定的其他条件。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2、落实政府采购政策需满足的资格要求：</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（1）采购政策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政府采购应当优先采购本国货物、工程和服务，并执行节能产品、环境标志产品、中小企业、残疾人福利性单位、监狱企业、商品外包装等适宜本项目的政府采购政策。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（2）政策依据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1）财政部、国家发展改革委、生态环境部、市场监管总局《关于调整优化节能产品、环境标志产品政府采购执行机制的通知》（财库[2019]9号文）；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2）财政部、生态环境部《关于印发环境标志产品政府采购品目清单的通知》（财库[2019]18号文）；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3）财政部、发展改革委《关于印发节能产品政府采购品目清单的通知》（财库[2019]19号文）；</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4）市场监管总局《市场监管总局关于发布参与实施政府采购节能产品、环境标志产品认证机构名录的公告》（2019年第16号）；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5）财政部、工业和信息化部《关于印发《政府采购促进中小企业发展管理办法》的通知》（财库〔2020〕46号）；</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6）财政部、民政部、中国残疾人联合会《关于促进残疾人就业政府采购政策的通知》（财库[2017]141号）；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7）财政部、司法部《关于政府采购支持监狱企业发展有关问题的通知》（财库[2014]68号文）；</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8）财政部、生态环境部、国家邮政局《关于印发《商品包装政府采购需求标准（试行）》、 《快递包装政府采购需求标准（试行）》的通知》（财办库〔2020〕123号）。</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spacing w:val="0"/>
                <w:w w:val="100"/>
                <w:kern w:val="0"/>
                <w:position w:val="0"/>
                <w:sz w:val="21"/>
                <w:szCs w:val="21"/>
                <w:highlight w:val="none"/>
                <w:lang w:val="zh-CN" w:bidi="zh-CN"/>
              </w:rPr>
            </w:pPr>
            <w:r>
              <w:rPr>
                <w:rFonts w:hint="eastAsia" w:ascii="宋体" w:hAnsi="宋体" w:eastAsia="宋体" w:cs="宋体"/>
                <w:color w:val="auto"/>
                <w:spacing w:val="0"/>
                <w:w w:val="100"/>
                <w:kern w:val="0"/>
                <w:position w:val="0"/>
                <w:sz w:val="21"/>
                <w:szCs w:val="21"/>
                <w:highlight w:val="none"/>
                <w:lang w:val="en-US" w:eastAsia="zh-CN" w:bidi="ar"/>
              </w:rPr>
              <w:t xml:space="preserve">3、本项目的特定资格要求： </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1</w:t>
            </w:r>
            <w:r>
              <w:rPr>
                <w:rFonts w:hint="eastAsia" w:ascii="宋体" w:hAnsi="宋体" w:eastAsia="宋体" w:cs="宋体"/>
                <w:color w:val="auto"/>
                <w:kern w:val="0"/>
                <w:sz w:val="21"/>
                <w:szCs w:val="21"/>
                <w:highlight w:val="none"/>
                <w:lang w:val="zh-CN" w:eastAsia="zh-CN" w:bidi="zh-CN"/>
              </w:rPr>
              <w:t>）有效的工商营业执照、税务登记证、组织机构代码证或“三证合一”的营业执照或当地公证处出具的此资质的公证书；</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2</w:t>
            </w: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投标人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投标人需提供相关证明资料）；</w:t>
            </w:r>
          </w:p>
          <w:p>
            <w:pPr>
              <w:keepNext w:val="0"/>
              <w:keepLines w:val="0"/>
              <w:widowControl/>
              <w:numPr>
                <w:ilvl w:val="0"/>
                <w:numId w:val="0"/>
              </w:numPr>
              <w:suppressLineNumbers w:val="0"/>
              <w:autoSpaceDE w:val="0"/>
              <w:autoSpaceDN w:val="0"/>
              <w:spacing w:before="0" w:after="0" w:line="240" w:lineRule="auto"/>
              <w:ind w:left="0" w:right="0" w:rightChars="0"/>
              <w:jc w:val="left"/>
              <w:rPr>
                <w:rFonts w:hint="eastAsia" w:ascii="宋体" w:hAnsi="宋体" w:eastAsia="宋体" w:cs="宋体"/>
                <w:color w:val="auto"/>
                <w:kern w:val="0"/>
                <w:sz w:val="21"/>
                <w:szCs w:val="21"/>
                <w:highlight w:val="none"/>
                <w:lang w:val="zh-CN" w:eastAsia="zh-CN" w:bidi="zh-CN"/>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3</w:t>
            </w:r>
            <w:r>
              <w:rPr>
                <w:rFonts w:hint="eastAsia" w:ascii="宋体" w:hAnsi="宋体" w:eastAsia="宋体" w:cs="宋体"/>
                <w:color w:val="auto"/>
                <w:kern w:val="0"/>
                <w:sz w:val="21"/>
                <w:szCs w:val="21"/>
                <w:highlight w:val="none"/>
                <w:lang w:val="zh-CN" w:eastAsia="zh-CN" w:bidi="zh-CN"/>
              </w:rPr>
              <w:t>）单位负责人为同一人或者存在直接控股、管理关系的不同投标人，不得参加同一合同项下的政府采购活动；</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kern w:val="0"/>
                <w:sz w:val="21"/>
                <w:szCs w:val="21"/>
                <w:highlight w:val="none"/>
                <w:lang w:val="zh-CN" w:eastAsia="zh-CN" w:bidi="zh-CN"/>
              </w:rPr>
              <w:t>（</w:t>
            </w:r>
            <w:r>
              <w:rPr>
                <w:rFonts w:hint="eastAsia" w:ascii="宋体" w:hAnsi="宋体" w:eastAsia="宋体" w:cs="宋体"/>
                <w:color w:val="auto"/>
                <w:kern w:val="0"/>
                <w:sz w:val="21"/>
                <w:szCs w:val="21"/>
                <w:highlight w:val="none"/>
                <w:lang w:val="en-US" w:eastAsia="zh-CN" w:bidi="zh-CN"/>
              </w:rPr>
              <w:t>4</w:t>
            </w:r>
            <w:r>
              <w:rPr>
                <w:rFonts w:hint="eastAsia" w:ascii="宋体" w:hAnsi="宋体" w:eastAsia="宋体" w:cs="宋体"/>
                <w:color w:val="auto"/>
                <w:kern w:val="0"/>
                <w:sz w:val="21"/>
                <w:szCs w:val="21"/>
                <w:highlight w:val="none"/>
                <w:lang w:val="zh-CN" w:eastAsia="zh-CN" w:bidi="zh-CN"/>
              </w:rPr>
              <w:t>）本项目不接受进口产品投标。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5.对联合体投标的具体要求</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3.3</w:t>
            </w:r>
          </w:p>
        </w:tc>
        <w:tc>
          <w:tcPr>
            <w:tcW w:w="7593" w:type="dxa"/>
            <w:vAlign w:val="center"/>
          </w:tcPr>
          <w:p>
            <w:pPr>
              <w:keepNext w:val="0"/>
              <w:keepLines w:val="0"/>
              <w:widowControl/>
              <w:suppressLineNumbers w:val="0"/>
              <w:jc w:val="lef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接受</w:t>
            </w:r>
            <w:r>
              <w:rPr>
                <w:rFonts w:hint="eastAsia" w:ascii="宋体" w:hAnsi="宋体" w:eastAsia="宋体" w:cs="宋体"/>
                <w:b/>
                <w:bCs/>
                <w:color w:val="auto"/>
                <w:sz w:val="21"/>
                <w:szCs w:val="21"/>
                <w:highlight w:val="none"/>
              </w:rPr>
              <w:t>√</w:t>
            </w:r>
            <w:r>
              <w:rPr>
                <w:rFonts w:hint="eastAsia" w:ascii="宋体" w:hAnsi="宋体" w:eastAsia="宋体" w:cs="宋体"/>
                <w:color w:val="auto"/>
                <w:sz w:val="21"/>
                <w:szCs w:val="21"/>
                <w:highlight w:val="none"/>
              </w:rPr>
              <w:t>不接受</w:t>
            </w:r>
          </w:p>
          <w:p>
            <w:pPr>
              <w:keepNext w:val="0"/>
              <w:keepLines w:val="0"/>
              <w:widowControl/>
              <w:suppressLineNumbers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对联合体各方的要求：无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6.是否允许采购进口产品</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4.1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本项目</w:t>
            </w:r>
            <w:r>
              <w:rPr>
                <w:rFonts w:hint="eastAsia" w:ascii="宋体" w:hAnsi="宋体" w:eastAsia="宋体" w:cs="宋体"/>
                <w:b/>
                <w:color w:val="auto"/>
                <w:spacing w:val="0"/>
                <w:w w:val="100"/>
                <w:kern w:val="0"/>
                <w:position w:val="0"/>
                <w:sz w:val="21"/>
                <w:szCs w:val="21"/>
                <w:highlight w:val="none"/>
                <w:lang w:val="en-US" w:eastAsia="zh-CN" w:bidi="ar"/>
              </w:rPr>
              <w:t>不允许</w:t>
            </w:r>
            <w:r>
              <w:rPr>
                <w:rFonts w:hint="eastAsia" w:ascii="宋体" w:hAnsi="宋体" w:eastAsia="宋体" w:cs="宋体"/>
                <w:color w:val="auto"/>
                <w:spacing w:val="0"/>
                <w:w w:val="100"/>
                <w:kern w:val="0"/>
                <w:position w:val="0"/>
                <w:sz w:val="21"/>
                <w:szCs w:val="21"/>
                <w:highlight w:val="none"/>
                <w:lang w:val="en-US" w:eastAsia="zh-CN" w:bidi="ar"/>
              </w:rPr>
              <w:t>进口产品投标。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二、招标文件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7.现场踏勘</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9.3</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不组织</w:t>
            </w:r>
          </w:p>
          <w:p>
            <w:pPr>
              <w:widowControl w:val="0"/>
              <w:autoSpaceDE w:val="0"/>
              <w:autoSpaceDN w:val="0"/>
              <w:adjustRightInd w:val="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组织</w:t>
            </w:r>
          </w:p>
          <w:p>
            <w:pPr>
              <w:widowControl/>
              <w:rPr>
                <w:rFonts w:hint="eastAsia" w:ascii="宋体" w:hAnsi="宋体" w:eastAsia="宋体" w:cs="宋体"/>
                <w:color w:val="auto"/>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现场踏勘</w:t>
            </w:r>
            <w:r>
              <w:rPr>
                <w:rFonts w:hint="eastAsia" w:ascii="宋体" w:hAnsi="宋体" w:eastAsia="宋体" w:cs="宋体"/>
                <w:color w:val="auto"/>
                <w:sz w:val="21"/>
                <w:szCs w:val="21"/>
                <w:highlight w:val="none"/>
              </w:rPr>
              <w:t>时间：/</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现场踏勘</w:t>
            </w:r>
            <w:r>
              <w:rPr>
                <w:rFonts w:hint="eastAsia" w:ascii="宋体" w:hAnsi="宋体" w:eastAsia="宋体" w:cs="宋体"/>
                <w:color w:val="auto"/>
                <w:sz w:val="21"/>
                <w:szCs w:val="21"/>
                <w:highlight w:val="none"/>
              </w:rPr>
              <w:t>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8.标前会</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9.4</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不召开</w:t>
            </w:r>
          </w:p>
          <w:p>
            <w:pPr>
              <w:widowControl w:val="0"/>
              <w:autoSpaceDE w:val="0"/>
              <w:autoSpaceDN w:val="0"/>
              <w:adjustRightInd w:val="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召开</w:t>
            </w:r>
          </w:p>
          <w:p>
            <w:pPr>
              <w:widowControl/>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召开开标前答疑会时间：/</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rPr>
              <w:t>召开开标前答疑会地点：/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9</w:t>
            </w:r>
            <w:r>
              <w:rPr>
                <w:rFonts w:hint="eastAsia" w:ascii="宋体" w:hAnsi="宋体" w:eastAsia="宋体" w:cs="宋体"/>
                <w:color w:val="auto"/>
                <w:sz w:val="21"/>
                <w:szCs w:val="21"/>
                <w:highlight w:val="none"/>
              </w:rPr>
              <w:t>支持中小企业发展</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Align w:val="center"/>
          </w:tcPr>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1.是否为专门面向中小企业采购：否</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2.是否为本项目面向中小企业采购预留份额：</w:t>
            </w:r>
            <w:r>
              <w:rPr>
                <w:rFonts w:hint="eastAsia" w:cs="宋体"/>
                <w:color w:val="auto"/>
                <w:kern w:val="2"/>
                <w:sz w:val="21"/>
                <w:szCs w:val="21"/>
                <w:highlight w:val="none"/>
                <w:lang w:val="en-US" w:eastAsia="zh-CN" w:bidi="ar-SA"/>
              </w:rPr>
              <w:t>是，第四包为中小企业预览份额。</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3.符合要求的中小型和微型企业扣除比例：</w:t>
            </w:r>
          </w:p>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对符合规定的小微企业报价给予 6%—10%（工程项目为 3%—5%）的扣除，用扣除后的价格参与评标，本项目具体扣除比例为6%。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政府采购支持中小企业融资</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Merge w:val="restart"/>
            <w:vAlign w:val="center"/>
          </w:tcPr>
          <w:p>
            <w:pPr>
              <w:widowControl w:val="0"/>
              <w:autoSpaceDE w:val="0"/>
              <w:autoSpaceDN w:val="0"/>
              <w:adjustRightInd w:val="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中小企业在融资、投标保证、履约保证等方面有需求的，可查询当地政府采购管理部门相关政策，通过专业化的担保途径解决。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政府采购信用担保</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Merge w:val="continue"/>
            <w:vAlign w:val="center"/>
          </w:tcPr>
          <w:p>
            <w:pPr>
              <w:keepNext w:val="0"/>
              <w:keepLines w:val="0"/>
              <w:widowControl/>
              <w:suppressLineNumbers w:val="0"/>
              <w:jc w:val="left"/>
              <w:rPr>
                <w:rFonts w:hint="eastAsia" w:ascii="宋体" w:hAnsi="宋体" w:eastAsia="宋体" w:cs="宋体"/>
                <w:color w:val="auto"/>
                <w:sz w:val="21"/>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12</w:t>
            </w:r>
            <w:r>
              <w:rPr>
                <w:rFonts w:hint="eastAsia" w:ascii="宋体" w:hAnsi="宋体" w:eastAsia="宋体" w:cs="宋体"/>
                <w:color w:val="auto"/>
                <w:sz w:val="21"/>
                <w:szCs w:val="21"/>
                <w:highlight w:val="none"/>
              </w:rPr>
              <w:t>政府采购促进残疾人就业</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政府采购支持监狱企业发展</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10.1</w:t>
            </w:r>
          </w:p>
        </w:tc>
        <w:tc>
          <w:tcPr>
            <w:tcW w:w="7593" w:type="dxa"/>
            <w:vAlign w:val="center"/>
          </w:tcPr>
          <w:p>
            <w:pPr>
              <w:numPr>
                <w:ilvl w:val="0"/>
                <w:numId w:val="0"/>
              </w:numPr>
              <w:spacing w:line="300" w:lineRule="exact"/>
              <w:ind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符合条件的残疾人福利性单位在参加政府采购活动时，应当提供规定的《残疾人福利性单位声明函》（见附件），并对声明的真实性负责。任何单位或者个人在政府采购活动中均不得要求残疾人福利性单位提供其他证明声明函内容的材料。残疾人福利性单位视同小型、微型企业，享受评标中价格扣除等促进中小企业发展的政府采购政策。</w:t>
            </w:r>
            <w:r>
              <w:rPr>
                <w:rFonts w:hint="eastAsia" w:ascii="宋体" w:hAnsi="宋体" w:eastAsia="宋体" w:cs="宋体"/>
                <w:b/>
                <w:bCs/>
                <w:color w:val="auto"/>
                <w:kern w:val="2"/>
                <w:sz w:val="21"/>
                <w:szCs w:val="21"/>
                <w:highlight w:val="none"/>
                <w:lang w:val="en-US" w:eastAsia="zh-CN" w:bidi="ar-SA"/>
              </w:rPr>
              <w:t>本项目具体扣除比例为6%。</w:t>
            </w:r>
          </w:p>
          <w:p>
            <w:pPr>
              <w:pStyle w:val="22"/>
              <w:numPr>
                <w:ilvl w:val="0"/>
                <w:numId w:val="0"/>
              </w:numPr>
              <w:ind w:right="0" w:rightChars="0"/>
              <w:rPr>
                <w:rFonts w:hint="eastAsia" w:ascii="宋体" w:hAnsi="宋体" w:eastAsia="宋体" w:cs="宋体"/>
                <w:color w:val="auto"/>
                <w:sz w:val="21"/>
                <w:szCs w:val="21"/>
                <w:highlight w:val="none"/>
              </w:rPr>
            </w:pPr>
            <w:r>
              <w:rPr>
                <w:rFonts w:hint="eastAsia" w:ascii="宋体" w:hAnsi="宋体" w:eastAsia="宋体" w:cs="宋体"/>
                <w:snapToGrid/>
                <w:color w:val="auto"/>
                <w:sz w:val="21"/>
                <w:szCs w:val="21"/>
                <w:highlight w:val="none"/>
                <w:lang w:val="en-US" w:eastAsia="zh-CN"/>
              </w:rPr>
              <w:t>2.</w:t>
            </w:r>
            <w:r>
              <w:rPr>
                <w:rFonts w:hint="eastAsia" w:ascii="宋体" w:hAnsi="宋体" w:eastAsia="宋体" w:cs="宋体"/>
                <w:snapToGrid/>
                <w:color w:val="auto"/>
                <w:sz w:val="21"/>
                <w:szCs w:val="21"/>
                <w:highlight w:val="none"/>
              </w:rPr>
              <w:t>根据财政部、司法部印发的《关于政府采购支持监狱企业发展有关问题的通知》</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财库〔2014〕68号</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文件规定，凡监狱企业参加政府采购活动视同小型、微型企业，享受评审价格扣除的政府采购优惠政策。</w:t>
            </w:r>
            <w:r>
              <w:rPr>
                <w:rFonts w:hint="eastAsia" w:ascii="宋体" w:hAnsi="宋体" w:eastAsia="宋体" w:cs="宋体"/>
                <w:b/>
                <w:bCs/>
                <w:color w:val="auto"/>
                <w:kern w:val="0"/>
                <w:sz w:val="21"/>
                <w:szCs w:val="21"/>
                <w:highlight w:val="none"/>
              </w:rPr>
              <w:t>本项目具体扣除比例为6%</w:t>
            </w:r>
            <w:r>
              <w:rPr>
                <w:rFonts w:hint="eastAsia" w:ascii="宋体" w:hAnsi="宋体" w:eastAsia="宋体" w:cs="宋体"/>
                <w:snapToGrid/>
                <w:color w:val="auto"/>
                <w:sz w:val="21"/>
                <w:szCs w:val="21"/>
                <w:highlight w:val="none"/>
              </w:rPr>
              <w:t>，但必须提供由省级以上监狱管理局、戒毒管理局</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含新疆生产建设兵团</w:t>
            </w:r>
            <w:r>
              <w:rPr>
                <w:rFonts w:hint="eastAsia" w:ascii="宋体" w:hAnsi="宋体" w:eastAsia="宋体" w:cs="宋体"/>
                <w:snapToGrid/>
                <w:color w:val="auto"/>
                <w:sz w:val="21"/>
                <w:szCs w:val="21"/>
                <w:highlight w:val="none"/>
                <w:lang w:eastAsia="zh-CN"/>
              </w:rPr>
              <w:t>）</w:t>
            </w:r>
            <w:r>
              <w:rPr>
                <w:rFonts w:hint="eastAsia" w:ascii="宋体" w:hAnsi="宋体" w:eastAsia="宋体" w:cs="宋体"/>
                <w:snapToGrid/>
                <w:color w:val="auto"/>
                <w:sz w:val="21"/>
                <w:szCs w:val="21"/>
                <w:highlight w:val="none"/>
              </w:rPr>
              <w:t>出具的属于监狱企业的证明文件，否则评审时不予价格扣除优惠。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三、投标文件的编制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13.资格、资信证明部分构成</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b/>
                <w:color w:val="auto"/>
                <w:spacing w:val="0"/>
                <w:w w:val="100"/>
                <w:kern w:val="0"/>
                <w:position w:val="0"/>
                <w:sz w:val="21"/>
                <w:szCs w:val="21"/>
                <w:highlight w:val="none"/>
                <w:lang w:val="en-US" w:eastAsia="zh-CN" w:bidi="ar"/>
              </w:rPr>
              <w:t>基本资格、资信证明文件：</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（1）法人或者其他组织的有效营业执照等证明文件，</w:t>
            </w:r>
            <w:r>
              <w:rPr>
                <w:rFonts w:hint="eastAsia" w:ascii="宋体" w:hAnsi="宋体" w:eastAsia="宋体" w:cs="宋体"/>
                <w:b/>
                <w:bCs/>
                <w:color w:val="auto"/>
                <w:spacing w:val="0"/>
                <w:w w:val="100"/>
                <w:kern w:val="0"/>
                <w:position w:val="0"/>
                <w:sz w:val="21"/>
                <w:szCs w:val="21"/>
                <w:highlight w:val="none"/>
                <w:lang w:val="en-US" w:eastAsia="zh-CN" w:bidi="ar"/>
              </w:rPr>
              <w:t>其中：</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投标人是企业（包括合伙企业）的，应提供其在工商部门注册的有效“营业执照”复印件；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投标人是事业单位的，应提供其有效的“事业单位法人证书”复印件；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投标人是非企业专业服务机构的，应提供其有效的“执业许可证”复印件；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投标人是民办非企业单位的，应提供其有效的登记证书复印件；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投标人是个体工商户的，应提供其有效的“营业执照”复印件；</w:t>
            </w:r>
          </w:p>
          <w:p>
            <w:pPr>
              <w:keepNext w:val="0"/>
              <w:keepLines w:val="0"/>
              <w:widowControl/>
              <w:numPr>
                <w:ilvl w:val="0"/>
                <w:numId w:val="0"/>
              </w:numPr>
              <w:suppressLineNumbers w:val="0"/>
              <w:autoSpaceDE/>
              <w:autoSpaceDN/>
              <w:spacing w:before="0" w:after="0" w:line="240" w:lineRule="auto"/>
              <w:ind w:left="0" w:leftChars="0" w:right="0" w:rightChars="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投标人是自然人的，应提供其有效的自然人身份证明复印件；</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（2）财务状况报告：</w:t>
            </w:r>
          </w:p>
          <w:p>
            <w:pPr>
              <w:keepNext w:val="0"/>
              <w:keepLines w:val="0"/>
              <w:widowControl/>
              <w:numPr>
                <w:ilvl w:val="0"/>
                <w:numId w:val="0"/>
              </w:numPr>
              <w:suppressLineNumbers w:val="0"/>
              <w:autoSpaceDE/>
              <w:autoSpaceDN/>
              <w:spacing w:before="0" w:after="0" w:line="240" w:lineRule="auto"/>
              <w:ind w:left="0" w:leftChars="0" w:right="0" w:rightChars="0" w:firstLine="420" w:firstLineChars="20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color w:val="auto"/>
                <w:spacing w:val="0"/>
                <w:w w:val="100"/>
                <w:kern w:val="0"/>
                <w:position w:val="0"/>
                <w:sz w:val="21"/>
                <w:szCs w:val="21"/>
                <w:highlight w:val="none"/>
                <w:lang w:val="en-US" w:eastAsia="zh-CN" w:bidi="ar"/>
              </w:rPr>
              <w:t>近一年由会计师事务所出具财务审计报告或提供由开标日前三个月内投标人开户银行出具的资信证明；新成立公司提供银行出具的有效期内的资信证明；其他组织和自然人，没有经审计的财务报告，提供银行出具的资信证明；或者投标人财务状况的承诺函。</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（3）依法缴纳税收的相关材料：</w:t>
            </w:r>
          </w:p>
          <w:p>
            <w:pPr>
              <w:keepNext w:val="0"/>
              <w:keepLines w:val="0"/>
              <w:widowControl/>
              <w:numPr>
                <w:ilvl w:val="0"/>
                <w:numId w:val="0"/>
              </w:numPr>
              <w:suppressLineNumbers w:val="0"/>
              <w:autoSpaceDE/>
              <w:autoSpaceDN/>
              <w:spacing w:before="0" w:after="0" w:line="240" w:lineRule="auto"/>
              <w:ind w:left="0" w:right="0" w:rightChars="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w:t>
            </w:r>
          </w:p>
          <w:p>
            <w:pPr>
              <w:keepNext w:val="0"/>
              <w:keepLines w:val="0"/>
              <w:widowControl/>
              <w:suppressLineNumbers w:val="0"/>
              <w:autoSpaceDE/>
              <w:autoSpaceDN/>
              <w:spacing w:before="0" w:after="0" w:line="240" w:lineRule="auto"/>
              <w:ind w:left="0" w:right="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缴纳凭证复印件须清晰可辨，并能显示出税种种类，单位代扣代缴的个人所得税不能作为单位纳税的凭证；</w:t>
            </w:r>
          </w:p>
          <w:p>
            <w:pPr>
              <w:keepNext w:val="0"/>
              <w:keepLines w:val="0"/>
              <w:widowControl/>
              <w:suppressLineNumbers w:val="0"/>
              <w:autoSpaceDE/>
              <w:autoSpaceDN/>
              <w:spacing w:before="0" w:after="0" w:line="240" w:lineRule="auto"/>
              <w:ind w:left="0" w:right="0" w:firstLine="210" w:firstLineChars="1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依法免税的投标人，应提供相应文件证明其依法免税；</w:t>
            </w:r>
          </w:p>
          <w:p>
            <w:pPr>
              <w:keepNext w:val="0"/>
              <w:keepLines w:val="0"/>
              <w:widowControl/>
              <w:numPr>
                <w:ilvl w:val="0"/>
                <w:numId w:val="0"/>
              </w:numPr>
              <w:suppressLineNumbers w:val="0"/>
              <w:autoSpaceDE/>
              <w:autoSpaceDN/>
              <w:spacing w:before="0" w:after="0" w:line="240" w:lineRule="auto"/>
              <w:ind w:left="0" w:right="0" w:rightChars="0" w:firstLine="420" w:firstLineChars="2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或者依法缴纳税收的承诺函。</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（4）依法缴纳社会保障资金的相关材料：</w:t>
            </w:r>
          </w:p>
          <w:p>
            <w:pPr>
              <w:keepNext w:val="0"/>
              <w:keepLines w:val="0"/>
              <w:widowControl/>
              <w:numPr>
                <w:ilvl w:val="0"/>
                <w:numId w:val="0"/>
              </w:numPr>
              <w:suppressLineNumbers w:val="0"/>
              <w:autoSpaceDE/>
              <w:autoSpaceDN/>
              <w:spacing w:before="0" w:after="0" w:line="240" w:lineRule="auto"/>
              <w:ind w:left="0" w:leftChars="0" w:right="0" w:firstLine="420" w:firstLineChars="20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或者投标人依法缴纳社会保障资金的承诺函。</w:t>
            </w:r>
          </w:p>
          <w:p>
            <w:pPr>
              <w:keepNext w:val="0"/>
              <w:keepLines w:val="0"/>
              <w:widowControl/>
              <w:numPr>
                <w:ilvl w:val="0"/>
                <w:numId w:val="0"/>
              </w:numPr>
              <w:suppressLineNumbers w:val="0"/>
              <w:autoSpaceDE/>
              <w:autoSpaceDN/>
              <w:spacing w:before="0" w:after="0" w:line="240" w:lineRule="auto"/>
              <w:ind w:left="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（5）具备履行合同所必需的设备和专业技术能力的说明函</w:t>
            </w:r>
            <w:r>
              <w:rPr>
                <w:rFonts w:hint="eastAsia" w:ascii="宋体" w:hAnsi="宋体" w:eastAsia="宋体" w:cs="宋体"/>
                <w:color w:val="auto"/>
                <w:spacing w:val="0"/>
                <w:w w:val="100"/>
                <w:kern w:val="0"/>
                <w:position w:val="0"/>
                <w:sz w:val="21"/>
                <w:szCs w:val="21"/>
                <w:highlight w:val="none"/>
                <w:lang w:val="en-US" w:eastAsia="zh-CN" w:bidi="ar"/>
              </w:rPr>
              <w:t>（投标人自行出具，格式自拟，加盖公章）</w:t>
            </w:r>
          </w:p>
          <w:p>
            <w:pPr>
              <w:numPr>
                <w:ilvl w:val="0"/>
                <w:numId w:val="0"/>
              </w:numPr>
              <w:shd w:val="clear" w:color="auto" w:fill="auto"/>
              <w:autoSpaceDE/>
              <w:autoSpaceDN/>
              <w:spacing w:before="0" w:after="0" w:line="240" w:lineRule="auto"/>
              <w:ind w:left="0" w:right="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（6）信用查询</w:t>
            </w:r>
          </w:p>
          <w:p>
            <w:pPr>
              <w:keepNext w:val="0"/>
              <w:keepLines w:val="0"/>
              <w:pageBreakBefore w:val="0"/>
              <w:widowControl/>
              <w:numPr>
                <w:ilvl w:val="0"/>
                <w:numId w:val="0"/>
              </w:numPr>
              <w:suppressLineNumbers w:val="0"/>
              <w:kinsoku/>
              <w:wordWrap w:val="0"/>
              <w:overflowPunct/>
              <w:topLinePunct w:val="0"/>
              <w:autoSpaceDE/>
              <w:autoSpaceDN/>
              <w:bidi w:val="0"/>
              <w:adjustRightInd/>
              <w:snapToGrid/>
              <w:spacing w:before="0" w:after="0" w:line="240" w:lineRule="auto"/>
              <w:ind w:left="0" w:leftChars="0" w:right="0" w:firstLine="420" w:firstLineChars="20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投标人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响应文件截止日当天核查结果为准，如相关失信记录已失效，投标人需提供相关证明资料）；</w:t>
            </w:r>
          </w:p>
          <w:p>
            <w:pPr>
              <w:keepNext w:val="0"/>
              <w:keepLines w:val="0"/>
              <w:widowControl/>
              <w:numPr>
                <w:ilvl w:val="0"/>
                <w:numId w:val="0"/>
              </w:numPr>
              <w:suppressLineNumbers w:val="0"/>
              <w:autoSpaceDE/>
              <w:autoSpaceDN/>
              <w:spacing w:before="0" w:after="0" w:line="240" w:lineRule="auto"/>
              <w:ind w:left="0" w:leftChars="0" w:right="0"/>
              <w:jc w:val="left"/>
              <w:rPr>
                <w:rFonts w:hint="eastAsia" w:ascii="宋体" w:hAnsi="宋体" w:eastAsia="宋体" w:cs="宋体"/>
                <w:color w:val="auto"/>
                <w:spacing w:val="0"/>
                <w:w w:val="100"/>
                <w:kern w:val="2"/>
                <w:position w:val="0"/>
                <w:sz w:val="21"/>
                <w:szCs w:val="21"/>
                <w:highlight w:val="none"/>
                <w:lang w:val="en-US" w:bidi="ar-SA"/>
              </w:rPr>
            </w:pPr>
            <w:r>
              <w:rPr>
                <w:rFonts w:hint="eastAsia" w:ascii="宋体" w:hAnsi="宋体" w:eastAsia="宋体" w:cs="宋体"/>
                <w:b/>
                <w:color w:val="auto"/>
                <w:spacing w:val="0"/>
                <w:w w:val="100"/>
                <w:kern w:val="0"/>
                <w:position w:val="0"/>
                <w:sz w:val="21"/>
                <w:szCs w:val="21"/>
                <w:highlight w:val="none"/>
                <w:lang w:val="en-US" w:eastAsia="zh-CN" w:bidi="ar"/>
              </w:rPr>
              <w:t>（7）投标人须提供投标单位（投标人）参加政府采购活动前3年内在经营活动中没有重大违法记录的书面声明</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numPr>
                <w:ilvl w:val="0"/>
                <w:numId w:val="0"/>
              </w:numPr>
              <w:suppressLineNumbers w:val="0"/>
              <w:ind w:leftChars="0" w:right="0" w:rightChars="0"/>
              <w:jc w:val="left"/>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b/>
                <w:color w:val="auto"/>
                <w:spacing w:val="0"/>
                <w:w w:val="100"/>
                <w:kern w:val="0"/>
                <w:position w:val="0"/>
                <w:sz w:val="21"/>
                <w:szCs w:val="21"/>
                <w:highlight w:val="none"/>
                <w:lang w:val="en-US" w:eastAsia="zh-CN" w:bidi="ar"/>
              </w:rPr>
              <w:t>（8）投标人针对投标人限制行为的声明</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本表内所有内容未注明提供原件的，均可提供复印件。除以上内容外，其他投标文件纸质材料均应编入投标文件。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14.商务技术部分构成</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*1.投标函（格式见第六章附件 1）；</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*2.开标一览表（格式见第六章附件 2）；</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*3.投标分项报价表（格式见第六章附件 3）；</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*4.技术服务需求偏离表（格式见第六章附件 4）；</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*5.商务条款偏离表（格式见第六章附件 5）；</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*6.法定代表人授权书（格式见第六章附件 6） 或 法定代表人身份证明复印件（加注“*”的投标文件构成其他文件均由法定代表人在相应位置直接签署时，则无需提供法定代表人授权书，此情况下应提供法定代表人身份证明复印件）；</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*7.投标保证金承诺函（格式见第六章附件 7）；</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*8.代理服务费承诺函（格式见第六章附件 8）；</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9.投标人情况表（建议格式见第六章附件 9）；</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10.详细的技术服务响应方案（按照详细技术响应的相关要求编写）；</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11.第三章评标标准中提及的相关评审证明材料以及投标人认为需要提供的其他材料。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15.投标文件内容其他要求或注意事项</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12.2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1、货物及服务主要技术指标和性能的详细说明，应提供详细技术支持材料。技术支持材料形式为以下几种中的一种：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①第三方机构出具的检测报告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②投标产品制造商公开发布的印刷资料（或网页资料）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③产品技术手册/说明书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④产品制造商出具的技术参数承诺（加盖制造商公章） 或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⑤招标文件规定认可的其他形式。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投标人提供的多种技术支持材料内容出现矛盾的，按照从①至⑤的优先顺序进行认定（①为最优先）。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对照招标文件技术要求，说明所提供货物和服务已对采购人的技术要求逐项作出了明确响应，并申明与技术要求条文的偏差和例外。在填写技术服务需求偏离表时，对于可以用量化形式表示的条款，投标人应量化明确应答；对于非量化的条款投标人应以功能或性能描述应答，指出所提供的货物和服务是否满足，投标人应提供明确的说明文件及证明文件在投标文件中的页码索引，未提供索引或索引错误的后果由投标人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16.投标文件份数</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13.1</w:t>
            </w:r>
          </w:p>
        </w:tc>
        <w:tc>
          <w:tcPr>
            <w:tcW w:w="7593" w:type="dxa"/>
            <w:vAlign w:val="center"/>
          </w:tcPr>
          <w:p>
            <w:pPr>
              <w:keepNext w:val="0"/>
              <w:keepLines w:val="0"/>
              <w:widowControl/>
              <w:numPr>
                <w:ilvl w:val="0"/>
                <w:numId w:val="1"/>
              </w:numPr>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b/>
                <w:bCs/>
                <w:color w:val="auto"/>
                <w:spacing w:val="0"/>
                <w:w w:val="100"/>
                <w:kern w:val="0"/>
                <w:position w:val="0"/>
                <w:sz w:val="21"/>
                <w:szCs w:val="21"/>
                <w:highlight w:val="none"/>
                <w:lang w:val="en-US" w:eastAsia="zh-CN" w:bidi="ar"/>
              </w:rPr>
              <w:t>《投标文件》</w:t>
            </w:r>
            <w:r>
              <w:rPr>
                <w:rFonts w:hint="eastAsia" w:ascii="宋体" w:hAnsi="宋体" w:eastAsia="宋体" w:cs="宋体"/>
                <w:color w:val="auto"/>
                <w:spacing w:val="0"/>
                <w:w w:val="100"/>
                <w:kern w:val="0"/>
                <w:position w:val="0"/>
                <w:sz w:val="21"/>
                <w:szCs w:val="21"/>
                <w:highlight w:val="none"/>
                <w:lang w:val="en-US" w:eastAsia="zh-CN" w:bidi="ar"/>
              </w:rPr>
              <w:t>：正本1份，副本4份；</w:t>
            </w:r>
          </w:p>
          <w:p>
            <w:pPr>
              <w:pStyle w:val="22"/>
              <w:numPr>
                <w:ilvl w:val="0"/>
                <w:numId w:val="0"/>
              </w:numPr>
              <w:ind w:right="0" w:rightChars="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投标文件纸质正本及副本须在封面清楚地标明“正本”或“副本”，若投标文件有其他纸质组成部分或再分为多册装订等情况，则除了在封面清楚地标明“正本” 或“副本”外，还应尽量注明该纸质文件的内容（例如“上册”、“下册”、“图纸” 或“附件”等）。若投标文件副本与正本不符，以正本为准。电子版与纸制文件不符， 以纸制文件为准。</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w:t>
            </w:r>
            <w:r>
              <w:rPr>
                <w:rFonts w:hint="eastAsia" w:ascii="宋体" w:hAnsi="宋体" w:eastAsia="宋体" w:cs="宋体"/>
                <w:b/>
                <w:bCs/>
                <w:color w:val="auto"/>
                <w:spacing w:val="0"/>
                <w:w w:val="100"/>
                <w:kern w:val="0"/>
                <w:position w:val="0"/>
                <w:sz w:val="21"/>
                <w:szCs w:val="21"/>
                <w:highlight w:val="none"/>
                <w:lang w:val="en-US" w:eastAsia="zh-CN" w:bidi="ar"/>
              </w:rPr>
              <w:t>《电子文档》</w:t>
            </w:r>
            <w:r>
              <w:rPr>
                <w:rFonts w:hint="eastAsia" w:ascii="宋体" w:hAnsi="宋体" w:eastAsia="宋体" w:cs="宋体"/>
                <w:color w:val="auto"/>
                <w:spacing w:val="0"/>
                <w:w w:val="100"/>
                <w:kern w:val="0"/>
                <w:position w:val="0"/>
                <w:sz w:val="21"/>
                <w:szCs w:val="21"/>
                <w:highlight w:val="none"/>
                <w:lang w:val="en-US" w:eastAsia="zh-CN" w:bidi="ar"/>
              </w:rPr>
              <w:t>：1份（以U盘形式提供）</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投标文件电子版必须与纸质投标文件一致，内容必须包括：</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①投标文件所有页面的扫描件（含所有签字及盖章部分）电子版，为保证电子版不可编辑，格式必须为PDF或JPEG（电子版可以将签字盖章部分扫描后插入投标文件电子文档后以PDF或JPEG格式输出生成）。</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②投标报价明细表电子版，格式为Word或Excel。</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投标文件电子版要求包含投标文件全部内容，投标文件电子版与纸质版文件不一致时以纸质版文件为准。投标文件必须使用胶粘装订，如果出现拉杆或活页装订等活页装订将导致投标无效。</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w:t>
            </w:r>
            <w:r>
              <w:rPr>
                <w:rFonts w:hint="eastAsia" w:ascii="宋体" w:hAnsi="宋体" w:eastAsia="宋体" w:cs="宋体"/>
                <w:b/>
                <w:bCs/>
                <w:color w:val="auto"/>
                <w:spacing w:val="0"/>
                <w:w w:val="100"/>
                <w:kern w:val="0"/>
                <w:position w:val="0"/>
                <w:sz w:val="21"/>
                <w:szCs w:val="21"/>
                <w:highlight w:val="none"/>
                <w:lang w:val="en-US" w:eastAsia="zh-CN" w:bidi="ar"/>
              </w:rPr>
              <w:t>《开标一览表》</w:t>
            </w:r>
            <w:r>
              <w:rPr>
                <w:rFonts w:hint="eastAsia" w:ascii="宋体" w:hAnsi="宋体" w:eastAsia="宋体" w:cs="宋体"/>
                <w:color w:val="auto"/>
                <w:spacing w:val="0"/>
                <w:w w:val="100"/>
                <w:kern w:val="0"/>
                <w:position w:val="0"/>
                <w:sz w:val="21"/>
                <w:szCs w:val="21"/>
                <w:highlight w:val="none"/>
                <w:lang w:val="en-US" w:eastAsia="zh-CN" w:bidi="ar"/>
              </w:rPr>
              <w:t xml:space="preserve">：1 份（单独密封，应与《投标文件》中内容保持一致）；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4、</w:t>
            </w:r>
            <w:r>
              <w:rPr>
                <w:rFonts w:hint="eastAsia" w:ascii="宋体" w:hAnsi="宋体" w:eastAsia="宋体" w:cs="宋体"/>
                <w:b/>
                <w:bCs/>
                <w:color w:val="auto"/>
                <w:spacing w:val="0"/>
                <w:w w:val="100"/>
                <w:kern w:val="0"/>
                <w:position w:val="0"/>
                <w:sz w:val="21"/>
                <w:szCs w:val="21"/>
                <w:highlight w:val="none"/>
                <w:lang w:val="en-US" w:eastAsia="zh-CN" w:bidi="ar"/>
              </w:rPr>
              <w:t>《投标保证金缴纳凭证》</w:t>
            </w:r>
            <w:r>
              <w:rPr>
                <w:rFonts w:hint="eastAsia" w:ascii="宋体" w:hAnsi="宋体" w:eastAsia="宋体" w:cs="宋体"/>
                <w:color w:val="auto"/>
                <w:spacing w:val="0"/>
                <w:w w:val="100"/>
                <w:kern w:val="0"/>
                <w:position w:val="0"/>
                <w:sz w:val="21"/>
                <w:szCs w:val="21"/>
                <w:highlight w:val="none"/>
                <w:lang w:val="en-US" w:eastAsia="zh-CN" w:bidi="ar"/>
              </w:rPr>
              <w:t>（电汇时为电汇底单复印件）、</w:t>
            </w:r>
            <w:r>
              <w:rPr>
                <w:rFonts w:hint="eastAsia" w:ascii="宋体" w:hAnsi="宋体" w:eastAsia="宋体" w:cs="宋体"/>
                <w:b/>
                <w:bCs/>
                <w:color w:val="auto"/>
                <w:spacing w:val="0"/>
                <w:w w:val="100"/>
                <w:kern w:val="0"/>
                <w:position w:val="0"/>
                <w:sz w:val="21"/>
                <w:szCs w:val="21"/>
                <w:highlight w:val="none"/>
                <w:lang w:val="en-US" w:eastAsia="zh-CN" w:bidi="ar"/>
              </w:rPr>
              <w:t>《投标人开票信息表》、《退还保证金说明函》</w:t>
            </w:r>
            <w:r>
              <w:rPr>
                <w:rFonts w:hint="eastAsia" w:ascii="宋体" w:hAnsi="宋体" w:eastAsia="宋体" w:cs="宋体"/>
                <w:color w:val="auto"/>
                <w:spacing w:val="0"/>
                <w:w w:val="100"/>
                <w:kern w:val="0"/>
                <w:position w:val="0"/>
                <w:sz w:val="21"/>
                <w:szCs w:val="21"/>
                <w:highlight w:val="none"/>
                <w:lang w:val="en-US" w:eastAsia="zh-CN" w:bidi="ar"/>
              </w:rPr>
              <w:t>：各 1 份（三者一起包装，应与《投标文件》中内容保持一致）。</w:t>
            </w:r>
          </w:p>
          <w:p>
            <w:pPr>
              <w:keepNext w:val="0"/>
              <w:keepLines w:val="0"/>
              <w:widowControl/>
              <w:suppressLineNumbers w:val="0"/>
              <w:jc w:val="left"/>
              <w:rPr>
                <w:rFonts w:hint="eastAsia" w:ascii="宋体" w:hAnsi="宋体" w:eastAsia="宋体" w:cs="宋体"/>
                <w:color w:val="auto"/>
                <w:sz w:val="20"/>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5、投标文件的退还：</w:t>
            </w:r>
            <w:r>
              <w:rPr>
                <w:rFonts w:hint="eastAsia" w:ascii="宋体" w:hAnsi="宋体" w:eastAsia="宋体" w:cs="宋体"/>
                <w:b/>
                <w:bCs/>
                <w:color w:val="auto"/>
                <w:spacing w:val="0"/>
                <w:w w:val="100"/>
                <w:kern w:val="0"/>
                <w:position w:val="0"/>
                <w:sz w:val="21"/>
                <w:szCs w:val="21"/>
                <w:highlight w:val="none"/>
                <w:lang w:val="en-US" w:eastAsia="zh-CN" w:bidi="ar"/>
              </w:rPr>
              <w:t>所有响应招标文件要求合格投标人的投标文件正本一套、副本一套及随文件同时递交的图纸、U盘等附件不予退回，其余投标文件副本均予评标结束后退回。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restart"/>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17.投标报价</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开标一览表具体格式见“附件 2”</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报价方式：</w:t>
            </w:r>
            <w:r>
              <w:rPr>
                <w:rFonts w:hint="eastAsia" w:ascii="宋体" w:hAnsi="宋体" w:eastAsia="宋体" w:cs="宋体"/>
                <w:b/>
                <w:color w:val="auto"/>
                <w:spacing w:val="0"/>
                <w:w w:val="100"/>
                <w:kern w:val="0"/>
                <w:position w:val="0"/>
                <w:sz w:val="21"/>
                <w:szCs w:val="21"/>
                <w:highlight w:val="none"/>
                <w:lang w:val="en-US" w:eastAsia="zh-CN" w:bidi="ar"/>
              </w:rPr>
              <w:t>（货到）项目现场完税价。</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采购人就本合同约定内容将不再支付投标报价以外的费用。因投标发生的费用缺漏项将是投标人的风险，投标人将无条件给予补充完备，且投标价不变，否则其</w:t>
            </w:r>
            <w:r>
              <w:rPr>
                <w:rFonts w:hint="eastAsia" w:ascii="宋体" w:hAnsi="宋体" w:eastAsia="宋体" w:cs="宋体"/>
                <w:b/>
                <w:color w:val="auto"/>
                <w:spacing w:val="0"/>
                <w:w w:val="100"/>
                <w:kern w:val="0"/>
                <w:position w:val="0"/>
                <w:sz w:val="21"/>
                <w:szCs w:val="21"/>
                <w:highlight w:val="none"/>
                <w:lang w:val="en-US" w:eastAsia="zh-CN" w:bidi="ar"/>
              </w:rPr>
              <w:t>投标将被否决。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Merge w:val="continue"/>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报价币种及单位：人民币元，币种及单位不符合该要求的投标将被否决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18.最高限价</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14.5</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最高限价（最高投标限价）：第一包：1200000</w:t>
            </w:r>
            <w:r>
              <w:rPr>
                <w:rFonts w:hint="eastAsia" w:ascii="宋体" w:hAnsi="宋体" w:eastAsia="宋体" w:cs="宋体"/>
                <w:color w:val="auto"/>
                <w:kern w:val="0"/>
                <w:sz w:val="21"/>
                <w:szCs w:val="21"/>
                <w:highlight w:val="none"/>
                <w:lang w:val="en-US" w:eastAsia="zh-CN" w:bidi="zh-CN"/>
              </w:rPr>
              <w:t>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19.投标有效期</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15.1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自投标截止时间之日起 60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20.投标保证金</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15.2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投标保证金金额：第一包：人民币 24000 元（贰万肆仟元整）</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投标保证金形式：支票、汇票、本票、网上银行支付、金融机构或担保机构出具的保函等非现金形式</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提交截止时间：投标人应在提交首次响应文件截止时间前按采购文件规定的金额、形式等，将投标保证金交到保证金收款账户（采用电汇或网上银行支付的，须在提交首次响应文件截止时间前到账，并注明</w:t>
            </w:r>
            <w:r>
              <w:rPr>
                <w:rFonts w:hint="eastAsia" w:ascii="宋体" w:hAnsi="宋体" w:eastAsia="宋体" w:cs="宋体"/>
                <w:b/>
                <w:bCs/>
                <w:color w:val="auto"/>
                <w:spacing w:val="0"/>
                <w:w w:val="100"/>
                <w:kern w:val="0"/>
                <w:position w:val="0"/>
                <w:sz w:val="21"/>
                <w:szCs w:val="21"/>
                <w:highlight w:val="none"/>
                <w:lang w:val="en-US" w:eastAsia="zh-CN" w:bidi="ar"/>
              </w:rPr>
              <w:t>“交计量院第一批设备采购包1投标保证金”</w:t>
            </w:r>
            <w:r>
              <w:rPr>
                <w:rFonts w:hint="eastAsia" w:ascii="宋体" w:hAnsi="宋体" w:eastAsia="宋体" w:cs="宋体"/>
                <w:color w:val="auto"/>
                <w:spacing w:val="0"/>
                <w:w w:val="100"/>
                <w:kern w:val="0"/>
                <w:position w:val="0"/>
                <w:sz w:val="21"/>
                <w:szCs w:val="21"/>
                <w:highlight w:val="none"/>
                <w:lang w:val="en-US" w:eastAsia="zh-CN" w:bidi="ar"/>
              </w:rPr>
              <w:t>）</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投标保证金银行账号：</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开户名称：新疆华恒惠欣工程项目管理有限责任公司</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账号：632815927</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开户银行：中国民生银行乌鲁木齐分行营业部</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行号：305881088014</w:t>
            </w:r>
          </w:p>
          <w:p>
            <w:pPr>
              <w:keepNext w:val="0"/>
              <w:keepLines w:val="0"/>
              <w:widowControl/>
              <w:suppressLineNumbers w:val="0"/>
              <w:jc w:val="left"/>
              <w:rPr>
                <w:rFonts w:hint="eastAsia" w:ascii="宋体" w:hAnsi="宋体" w:eastAsia="宋体" w:cs="宋体"/>
                <w:color w:val="auto"/>
                <w:sz w:val="20"/>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（汇款时，请输入开户银行全称，以避免出现汇款不成功）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四、投标文件的递交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21.投标文件的外包装</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16.1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1、投标人应将投标文件纸质正本和副本进行包装，在包装袋上标明投标项目名称、项目编号、包件号、包件名称、投标人名称、“正本”或“副本”和“于【投标截止时间】之前不得启封”的字样。</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2、投标人应将正本的“开标一览表”单独置于一个包装袋内，在包装袋上标明投标项目名称、项目编号、包件号、包件名称、投标人名称、并在该密封包装袋上标明“开标一览表”字样。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3、投标人应将投标文件电子文档单独置于一个包装袋内，并在该包装袋上标明投标项目名称、项目编号、包件号、包件名称、投标人名称、“电子文档”和“于【投标截止时间】之前不得启封”的字样。4、投标保证金或其凭证、投标人开票信息表和退还保证金说明函单独置于一个包装袋内，并在该包装袋上标明投标项目名称、项目编号、包件号、包件名称、投标人名称、“投标保证金、开票信息和退还说明”和“于【投标截止时间】之前不得启封”的字样。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5、投标人在投标截止时间前提交对其投标文件的修改（包括对开标一览表中价格的修改）的通知（如有）的，应按投标人须知 19.2 条规定施加明显标记并包装和密封，以便在开标时一并唱出。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22.</w:t>
            </w:r>
            <w:r>
              <w:rPr>
                <w:rFonts w:hint="eastAsia" w:ascii="宋体" w:hAnsi="宋体" w:eastAsia="宋体" w:cs="宋体"/>
                <w:color w:val="auto"/>
                <w:sz w:val="21"/>
                <w:szCs w:val="21"/>
                <w:highlight w:val="none"/>
              </w:rPr>
              <w:t>样品</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16.3</w:t>
            </w:r>
          </w:p>
        </w:tc>
        <w:tc>
          <w:tcPr>
            <w:tcW w:w="7593" w:type="dxa"/>
            <w:vAlign w:val="center"/>
          </w:tcPr>
          <w:p>
            <w:pPr>
              <w:widowControl w:val="0"/>
              <w:autoSpaceDE w:val="0"/>
              <w:autoSpaceDN w:val="0"/>
              <w:adjustRightInd w:val="0"/>
              <w:spacing w:line="34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无</w:t>
            </w:r>
          </w:p>
          <w:p>
            <w:pPr>
              <w:widowControl w:val="0"/>
              <w:autoSpaceDE w:val="0"/>
              <w:autoSpaceDN w:val="0"/>
              <w:adjustRightInd w:val="0"/>
              <w:spacing w:line="340" w:lineRule="exact"/>
              <w:jc w:val="both"/>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23.投标文件提交地点及截止时间</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18.1</w:t>
            </w:r>
          </w:p>
        </w:tc>
        <w:tc>
          <w:tcPr>
            <w:tcW w:w="7593" w:type="dxa"/>
            <w:vAlign w:val="center"/>
          </w:tcPr>
          <w:p>
            <w:pPr>
              <w:adjustRightInd w:val="0"/>
              <w:snapToGrid w:val="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提交地点：</w:t>
            </w:r>
            <w:r>
              <w:rPr>
                <w:rFonts w:hint="eastAsia" w:ascii="宋体" w:hAnsi="宋体" w:eastAsia="宋体" w:cs="宋体"/>
                <w:color w:val="auto"/>
                <w:sz w:val="21"/>
                <w:szCs w:val="21"/>
                <w:highlight w:val="none"/>
                <w:lang w:val="en-US" w:eastAsia="zh-CN"/>
              </w:rPr>
              <w:t>详见“第一章投标邀请”</w:t>
            </w:r>
          </w:p>
          <w:p>
            <w:pPr>
              <w:adjustRightInd w:val="0"/>
              <w:snapToGrid w:val="0"/>
              <w:rPr>
                <w:rFonts w:hint="eastAsia" w:ascii="宋体" w:hAnsi="宋体" w:eastAsia="宋体" w:cs="宋体"/>
                <w:color w:val="auto"/>
                <w:sz w:val="20"/>
                <w:szCs w:val="20"/>
                <w:highlight w:val="none"/>
              </w:rPr>
            </w:pPr>
            <w:r>
              <w:rPr>
                <w:rFonts w:hint="eastAsia" w:ascii="宋体" w:hAnsi="宋体" w:eastAsia="宋体" w:cs="宋体"/>
                <w:color w:val="auto"/>
                <w:sz w:val="21"/>
                <w:szCs w:val="21"/>
                <w:highlight w:val="none"/>
              </w:rPr>
              <w:t>投标截止时间：</w:t>
            </w:r>
            <w:r>
              <w:rPr>
                <w:rFonts w:hint="eastAsia" w:ascii="宋体" w:hAnsi="宋体" w:eastAsia="宋体" w:cs="宋体"/>
                <w:color w:val="auto"/>
                <w:sz w:val="21"/>
                <w:szCs w:val="21"/>
                <w:highlight w:val="none"/>
                <w:lang w:val="en-US" w:eastAsia="zh-CN"/>
              </w:rPr>
              <w:t>详见“第一章投标邀请”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color w:val="auto"/>
                <w:spacing w:val="0"/>
                <w:w w:val="100"/>
                <w:kern w:val="0"/>
                <w:position w:val="0"/>
                <w:sz w:val="21"/>
                <w:szCs w:val="21"/>
                <w:highlight w:val="none"/>
                <w:lang w:val="en-US" w:eastAsia="zh-CN" w:bidi="ar"/>
              </w:rPr>
              <w:t>五、开标与评标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24.开标时间和地点</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20.1</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开标时间：详见“第一章投标邀请”</w:t>
            </w:r>
          </w:p>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开标地点：详见“第一章投标邀请”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25.评标委员会组成</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21.3</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评标委员会构成：5人，业主代表1人，专家4人。</w:t>
            </w:r>
          </w:p>
          <w:p>
            <w:pPr>
              <w:widowControl w:val="0"/>
              <w:autoSpaceDE w:val="0"/>
              <w:autoSpaceDN w:val="0"/>
              <w:adjustRightInd w:val="0"/>
              <w:spacing w:line="32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评标专家确定方式：随机抽取。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46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26.评标办法</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22.1</w:t>
            </w:r>
          </w:p>
        </w:tc>
        <w:tc>
          <w:tcPr>
            <w:tcW w:w="7593" w:type="dxa"/>
            <w:vAlign w:val="center"/>
          </w:tcPr>
          <w:p>
            <w:pPr>
              <w:widowControl w:val="0"/>
              <w:autoSpaceDE w:val="0"/>
              <w:autoSpaceDN w:val="0"/>
              <w:adjustRightInd w:val="0"/>
              <w:spacing w:line="34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√综合评分法</w:t>
            </w:r>
          </w:p>
          <w:p>
            <w:pPr>
              <w:widowControl w:val="0"/>
              <w:autoSpaceDE w:val="0"/>
              <w:autoSpaceDN w:val="0"/>
              <w:adjustRightInd w:val="0"/>
              <w:spacing w:line="34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SA"/>
              </w:rPr>
              <w:t>□最低评标价法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27.其它无效投标情况</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22.2.3</w:t>
            </w:r>
          </w:p>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 xml:space="preserve">1）货物招标时，投标分项报价表中对采购需求一览表中所列货物的缺项或数量缺少都将被视为未实质性响应招标文件； </w:t>
            </w:r>
          </w:p>
          <w:p>
            <w:pPr>
              <w:keepNext w:val="0"/>
              <w:keepLines w:val="0"/>
              <w:widowControl/>
              <w:suppressLineNumbers w:val="0"/>
              <w:ind w:left="0" w:leftChars="0" w:right="0" w:rightChars="0"/>
              <w:jc w:val="left"/>
              <w:rPr>
                <w:rFonts w:hint="eastAsia" w:ascii="宋体" w:hAnsi="宋体" w:eastAsia="宋体" w:cs="宋体"/>
                <w:b/>
                <w:bCs/>
                <w:color w:val="auto"/>
                <w:sz w:val="21"/>
                <w:szCs w:val="21"/>
                <w:highlight w:val="none"/>
              </w:rPr>
            </w:pPr>
            <w:r>
              <w:rPr>
                <w:rFonts w:hint="eastAsia" w:ascii="宋体" w:hAnsi="宋体" w:eastAsia="宋体" w:cs="宋体"/>
                <w:color w:val="auto"/>
                <w:spacing w:val="0"/>
                <w:w w:val="100"/>
                <w:kern w:val="0"/>
                <w:position w:val="0"/>
                <w:sz w:val="21"/>
                <w:szCs w:val="21"/>
                <w:highlight w:val="none"/>
                <w:lang w:val="en-US" w:eastAsia="zh-CN" w:bidi="ar"/>
              </w:rPr>
              <w:t>2）评标委员会认为投标人的报价明显低于其他通过符合性审查投标人的报价，有可能影响产品质量或者不能诚信履约的，在要求其在评标现场合理的时间内提供书面说明或相关证明材料后，投标人不能证明其报价合理性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28.核心产品</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22.2.6</w:t>
            </w:r>
          </w:p>
        </w:tc>
        <w:tc>
          <w:tcPr>
            <w:tcW w:w="7593" w:type="dxa"/>
            <w:vAlign w:val="center"/>
          </w:tcPr>
          <w:p>
            <w:pPr>
              <w:keepNext w:val="0"/>
              <w:keepLines w:val="0"/>
              <w:widowControl/>
              <w:suppressLineNumbers w:val="0"/>
              <w:jc w:val="left"/>
              <w:rPr>
                <w:rFonts w:hint="eastAsia" w:ascii="宋体" w:hAnsi="宋体" w:eastAsia="宋体" w:cs="宋体"/>
                <w:color w:val="auto"/>
                <w:sz w:val="20"/>
                <w:szCs w:val="20"/>
                <w:highlight w:val="none"/>
                <w:lang w:val="en-US" w:eastAsia="zh-CN"/>
              </w:rPr>
            </w:pPr>
            <w:r>
              <w:rPr>
                <w:rFonts w:hint="eastAsia" w:ascii="宋体" w:hAnsi="宋体" w:eastAsia="宋体" w:cs="宋体"/>
                <w:color w:val="auto"/>
                <w:spacing w:val="0"/>
                <w:w w:val="100"/>
                <w:kern w:val="0"/>
                <w:position w:val="0"/>
                <w:sz w:val="21"/>
                <w:szCs w:val="21"/>
                <w:highlight w:val="none"/>
                <w:lang w:val="en-US" w:eastAsia="zh-CN" w:bidi="ar"/>
              </w:rPr>
              <w:t>本项目核心产品：本包为单一产品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29.提供相同品牌产品的不同投标人的中标候选人推荐原则</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23.1.5</w:t>
            </w:r>
          </w:p>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23.1.6</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lang w:val="en-US"/>
              </w:rPr>
            </w:pPr>
            <w:r>
              <w:rPr>
                <w:rFonts w:hint="eastAsia" w:ascii="宋体" w:hAnsi="宋体" w:eastAsia="宋体" w:cs="宋体"/>
                <w:color w:val="auto"/>
                <w:spacing w:val="0"/>
                <w:w w:val="100"/>
                <w:kern w:val="0"/>
                <w:position w:val="0"/>
                <w:sz w:val="21"/>
                <w:szCs w:val="21"/>
                <w:highlight w:val="none"/>
                <w:lang w:val="en-US" w:eastAsia="zh-CN" w:bidi="ar"/>
              </w:rPr>
              <w:t>提供相同品牌产品的不同投标人的中标候选人推荐原则是综合得分最高的为第一中标候选人。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30.兼投不兼中说明</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lang w:val="en-US" w:eastAsia="zh-CN"/>
              </w:rPr>
              <w:t>23.1.7</w:t>
            </w:r>
          </w:p>
        </w:tc>
        <w:tc>
          <w:tcPr>
            <w:tcW w:w="7593" w:type="dxa"/>
            <w:vAlign w:val="center"/>
          </w:tcPr>
          <w:p>
            <w:pPr>
              <w:keepNext w:val="0"/>
              <w:keepLines w:val="0"/>
              <w:widowControl/>
              <w:numPr>
                <w:ilvl w:val="0"/>
                <w:numId w:val="0"/>
              </w:numPr>
              <w:suppressLineNumbers w:val="0"/>
              <w:ind w:leftChars="0"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是否兼投不兼中：（是</w:t>
            </w:r>
            <w:r>
              <w:rPr>
                <w:rFonts w:hint="eastAsia" w:cs="宋体"/>
                <w:color w:val="auto"/>
                <w:spacing w:val="0"/>
                <w:w w:val="100"/>
                <w:kern w:val="0"/>
                <w:position w:val="0"/>
                <w:sz w:val="21"/>
                <w:szCs w:val="21"/>
                <w:highlight w:val="none"/>
                <w:lang w:val="en-US" w:eastAsia="zh-CN" w:bidi="ar"/>
              </w:rPr>
              <w:t>□</w:t>
            </w:r>
            <w:r>
              <w:rPr>
                <w:rFonts w:hint="eastAsia" w:ascii="宋体" w:hAnsi="宋体" w:eastAsia="宋体" w:cs="宋体"/>
                <w:color w:val="auto"/>
                <w:spacing w:val="0"/>
                <w:w w:val="100"/>
                <w:kern w:val="0"/>
                <w:position w:val="0"/>
                <w:sz w:val="21"/>
                <w:szCs w:val="21"/>
                <w:highlight w:val="none"/>
                <w:lang w:val="en-US" w:eastAsia="zh-CN" w:bidi="ar"/>
              </w:rPr>
              <w:t xml:space="preserve"> 否 </w:t>
            </w:r>
            <w:r>
              <w:rPr>
                <w:rFonts w:hint="eastAsia" w:cs="宋体"/>
                <w:color w:val="auto"/>
                <w:spacing w:val="0"/>
                <w:w w:val="100"/>
                <w:kern w:val="0"/>
                <w:position w:val="0"/>
                <w:sz w:val="21"/>
                <w:szCs w:val="21"/>
                <w:highlight w:val="none"/>
                <w:lang w:val="en-US" w:eastAsia="zh-CN" w:bidi="ar"/>
              </w:rPr>
              <w:t>☑</w:t>
            </w:r>
            <w:r>
              <w:rPr>
                <w:rFonts w:hint="eastAsia" w:ascii="宋体" w:hAnsi="宋体" w:eastAsia="宋体" w:cs="宋体"/>
                <w:color w:val="auto"/>
                <w:spacing w:val="0"/>
                <w:w w:val="100"/>
                <w:kern w:val="0"/>
                <w:position w:val="0"/>
                <w:sz w:val="21"/>
                <w:szCs w:val="21"/>
                <w:highlight w:val="none"/>
                <w:lang w:val="en-US" w:eastAsia="zh-CN" w:bidi="ar"/>
              </w:rPr>
              <w:t xml:space="preserve">）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本项目可以兼投兼中。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widowControl w:val="0"/>
              <w:autoSpaceDE w:val="0"/>
              <w:autoSpaceDN w:val="0"/>
              <w:adjustRightInd w:val="0"/>
              <w:spacing w:line="320" w:lineRule="exact"/>
              <w:jc w:val="center"/>
              <w:rPr>
                <w:rFonts w:hint="eastAsia" w:ascii="宋体" w:hAnsi="宋体" w:eastAsia="宋体" w:cs="宋体"/>
                <w:color w:val="auto"/>
                <w:spacing w:val="0"/>
                <w:w w:val="100"/>
                <w:kern w:val="2"/>
                <w:position w:val="0"/>
                <w:sz w:val="21"/>
                <w:szCs w:val="21"/>
                <w:highlight w:val="none"/>
                <w:vertAlign w:val="baseline"/>
                <w:lang w:val="en-US" w:eastAsia="zh-CN" w:bidi="ar-SA"/>
              </w:rPr>
            </w:pPr>
            <w:r>
              <w:rPr>
                <w:rFonts w:hint="eastAsia" w:ascii="宋体" w:hAnsi="宋体" w:eastAsia="宋体" w:cs="宋体"/>
                <w:color w:val="auto"/>
                <w:kern w:val="2"/>
                <w:sz w:val="21"/>
                <w:szCs w:val="21"/>
                <w:highlight w:val="none"/>
                <w:lang w:val="en-US" w:eastAsia="zh-CN" w:bidi="ar-SA"/>
              </w:rPr>
              <w:t>31.推荐的中标候选人数量</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23.3</w:t>
            </w:r>
          </w:p>
        </w:tc>
        <w:tc>
          <w:tcPr>
            <w:tcW w:w="7593" w:type="dxa"/>
            <w:vAlign w:val="center"/>
          </w:tcPr>
          <w:p>
            <w:pPr>
              <w:widowControl w:val="0"/>
              <w:autoSpaceDE w:val="0"/>
              <w:autoSpaceDN w:val="0"/>
              <w:adjustRightInd w:val="0"/>
              <w:spacing w:line="460" w:lineRule="exact"/>
              <w:jc w:val="both"/>
              <w:rPr>
                <w:rFonts w:hint="eastAsia" w:ascii="宋体" w:hAnsi="宋体" w:eastAsia="宋体" w:cs="宋体"/>
                <w:b/>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推荐的中标候选人数：3名。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六、授予合同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32.定标主体</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28.1</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采购人确定中标人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33.中标候选人并列的处理</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28.2</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中标候选人并列的，采购人将确定报价得分较高者为中标人。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34.</w:t>
            </w:r>
            <w:r>
              <w:rPr>
                <w:rFonts w:hint="eastAsia" w:ascii="宋体" w:hAnsi="宋体" w:eastAsia="宋体" w:cs="宋体"/>
                <w:color w:val="auto"/>
                <w:sz w:val="21"/>
                <w:szCs w:val="21"/>
                <w:highlight w:val="none"/>
              </w:rPr>
              <w:t>财政部门指定的媒体</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29.1</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kern w:val="2"/>
                <w:sz w:val="21"/>
                <w:szCs w:val="21"/>
                <w:highlight w:val="none"/>
                <w:lang w:val="en-US" w:eastAsia="zh-CN" w:bidi="ar-SA"/>
              </w:rPr>
              <w:t>新疆政府采购网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position w:val="0"/>
                <w:sz w:val="21"/>
                <w:szCs w:val="21"/>
                <w:highlight w:val="none"/>
                <w:vertAlign w:val="baseline"/>
                <w:lang w:val="en-US" w:eastAsia="zh-CN" w:bidi="zh-CN"/>
              </w:rPr>
            </w:pPr>
            <w:r>
              <w:rPr>
                <w:rFonts w:hint="eastAsia" w:ascii="宋体" w:hAnsi="宋体" w:eastAsia="宋体" w:cs="宋体"/>
                <w:color w:val="auto"/>
                <w:spacing w:val="0"/>
                <w:w w:val="100"/>
                <w:kern w:val="0"/>
                <w:position w:val="0"/>
                <w:sz w:val="21"/>
                <w:szCs w:val="21"/>
                <w:highlight w:val="none"/>
                <w:lang w:val="en-US" w:eastAsia="zh-CN" w:bidi="ar"/>
              </w:rPr>
              <w:t>35.分包要求</w:t>
            </w:r>
          </w:p>
        </w:tc>
        <w:tc>
          <w:tcPr>
            <w:tcW w:w="915" w:type="dxa"/>
            <w:vAlign w:val="center"/>
          </w:tcPr>
          <w:p>
            <w:pPr>
              <w:keepNext w:val="0"/>
              <w:keepLines w:val="0"/>
              <w:widowControl/>
              <w:suppressLineNumbers w:val="0"/>
              <w:ind w:left="0" w:leftChars="0" w:right="0" w:rightChars="0"/>
              <w:jc w:val="center"/>
              <w:rPr>
                <w:rFonts w:hint="eastAsia" w:ascii="宋体" w:hAnsi="宋体" w:eastAsia="宋体" w:cs="宋体"/>
                <w:color w:val="auto"/>
                <w:spacing w:val="0"/>
                <w:w w:val="100"/>
                <w:position w:val="0"/>
                <w:sz w:val="21"/>
                <w:szCs w:val="21"/>
                <w:highlight w:val="none"/>
                <w:vertAlign w:val="baseline"/>
                <w:lang w:val="en-US" w:eastAsia="zh-CN" w:bidi="zh-CN"/>
              </w:rPr>
            </w:pPr>
            <w:r>
              <w:rPr>
                <w:rFonts w:hint="eastAsia" w:ascii="宋体" w:hAnsi="宋体" w:eastAsia="宋体" w:cs="宋体"/>
                <w:color w:val="auto"/>
                <w:spacing w:val="0"/>
                <w:w w:val="100"/>
                <w:position w:val="0"/>
                <w:sz w:val="21"/>
                <w:szCs w:val="21"/>
                <w:highlight w:val="none"/>
                <w:vertAlign w:val="baseline"/>
                <w:lang w:val="en-US" w:eastAsia="zh-CN"/>
              </w:rPr>
              <w:t>31.6</w:t>
            </w:r>
          </w:p>
        </w:tc>
        <w:tc>
          <w:tcPr>
            <w:tcW w:w="7593" w:type="dxa"/>
            <w:vAlign w:val="center"/>
          </w:tcPr>
          <w:p>
            <w:pPr>
              <w:keepNext w:val="0"/>
              <w:keepLines w:val="0"/>
              <w:widowControl/>
              <w:suppressLineNumbers w:val="0"/>
              <w:ind w:left="0" w:leftChars="0" w:right="0" w:rightChars="0"/>
              <w:jc w:val="left"/>
              <w:rPr>
                <w:rFonts w:hint="eastAsia" w:ascii="宋体" w:hAnsi="宋体" w:eastAsia="宋体" w:cs="宋体"/>
                <w:color w:val="auto"/>
                <w:spacing w:val="0"/>
                <w:w w:val="100"/>
                <w:position w:val="0"/>
                <w:sz w:val="21"/>
                <w:szCs w:val="21"/>
                <w:highlight w:val="none"/>
                <w:vertAlign w:val="baseline"/>
                <w:lang w:val="zh-CN" w:eastAsia="zh-CN" w:bidi="zh-CN"/>
              </w:rPr>
            </w:pPr>
            <w:r>
              <w:rPr>
                <w:rFonts w:hint="eastAsia" w:ascii="宋体" w:hAnsi="宋体" w:eastAsia="宋体" w:cs="宋体"/>
                <w:color w:val="auto"/>
                <w:spacing w:val="0"/>
                <w:w w:val="100"/>
                <w:kern w:val="0"/>
                <w:position w:val="0"/>
                <w:sz w:val="21"/>
                <w:szCs w:val="21"/>
                <w:highlight w:val="none"/>
                <w:lang w:val="en-US" w:eastAsia="zh-CN" w:bidi="ar"/>
              </w:rPr>
              <w:t>不允许分包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36.</w:t>
            </w:r>
            <w:r>
              <w:rPr>
                <w:rFonts w:hint="eastAsia" w:ascii="宋体" w:hAnsi="宋体" w:eastAsia="宋体" w:cs="宋体"/>
                <w:color w:val="auto"/>
                <w:sz w:val="21"/>
                <w:szCs w:val="21"/>
                <w:highlight w:val="none"/>
              </w:rPr>
              <w:t>采购代理服务费金额、</w:t>
            </w:r>
            <w:r>
              <w:rPr>
                <w:rFonts w:hint="eastAsia" w:ascii="宋体" w:hAnsi="宋体" w:eastAsia="宋体" w:cs="宋体"/>
                <w:color w:val="auto"/>
                <w:sz w:val="21"/>
                <w:szCs w:val="21"/>
                <w:highlight w:val="none"/>
                <w:lang w:eastAsia="zh-CN"/>
              </w:rPr>
              <w:t>缴纳</w:t>
            </w:r>
            <w:r>
              <w:rPr>
                <w:rFonts w:hint="eastAsia" w:ascii="宋体" w:hAnsi="宋体" w:eastAsia="宋体" w:cs="宋体"/>
                <w:color w:val="auto"/>
                <w:sz w:val="21"/>
                <w:szCs w:val="21"/>
                <w:highlight w:val="none"/>
              </w:rPr>
              <w:t>方式和时限</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33.1</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采购代理服务费的计算与收取：中标人支付。</w:t>
            </w:r>
          </w:p>
          <w:p>
            <w:pPr>
              <w:pStyle w:val="29"/>
              <w:adjustRightInd w:val="0"/>
              <w:snapToGrid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依据《中华人民共和国国家发展和改革委员会令》（第31号），执行《政府采购代理机构管理暂行办法》（财库[2018]2号）的规定。</w:t>
            </w:r>
            <w:r>
              <w:rPr>
                <w:rFonts w:hint="eastAsia" w:ascii="宋体" w:hAnsi="宋体" w:eastAsia="宋体" w:cs="宋体"/>
                <w:color w:val="auto"/>
                <w:sz w:val="21"/>
                <w:szCs w:val="21"/>
                <w:highlight w:val="none"/>
                <w:lang w:val="en-US" w:eastAsia="zh-CN"/>
              </w:rPr>
              <w:t>本项目采购代理服务收费</w:t>
            </w:r>
            <w:r>
              <w:rPr>
                <w:rFonts w:hint="eastAsia" w:ascii="宋体" w:hAnsi="宋体" w:eastAsia="宋体" w:cs="宋体"/>
                <w:color w:val="auto"/>
                <w:sz w:val="21"/>
                <w:szCs w:val="21"/>
                <w:highlight w:val="none"/>
              </w:rPr>
              <w:t>参照《依据国家发展计划委员会文件关于印发《招标代理服务费管理暂行办法》的通知》（计价格〔2002〕1980号）中招标代理服务收费标准收取。由</w:t>
            </w:r>
            <w:r>
              <w:rPr>
                <w:rFonts w:hint="eastAsia" w:ascii="宋体" w:hAnsi="宋体" w:eastAsia="宋体" w:cs="宋体"/>
                <w:color w:val="auto"/>
                <w:sz w:val="21"/>
                <w:szCs w:val="21"/>
                <w:highlight w:val="none"/>
                <w:lang w:val="en-US" w:eastAsia="zh-CN"/>
              </w:rPr>
              <w:t>中标人</w:t>
            </w:r>
            <w:r>
              <w:rPr>
                <w:rFonts w:hint="eastAsia" w:ascii="宋体" w:hAnsi="宋体" w:eastAsia="宋体" w:cs="宋体"/>
                <w:color w:val="auto"/>
                <w:sz w:val="21"/>
                <w:szCs w:val="21"/>
                <w:highlight w:val="none"/>
              </w:rPr>
              <w:t>在领取</w:t>
            </w:r>
            <w:r>
              <w:rPr>
                <w:rFonts w:hint="eastAsia" w:ascii="宋体" w:hAnsi="宋体" w:eastAsia="宋体" w:cs="宋体"/>
                <w:color w:val="auto"/>
                <w:sz w:val="21"/>
                <w:szCs w:val="21"/>
                <w:highlight w:val="none"/>
                <w:lang w:val="en-US" w:eastAsia="zh-CN"/>
              </w:rPr>
              <w:t>中标</w:t>
            </w:r>
            <w:r>
              <w:rPr>
                <w:rFonts w:hint="eastAsia" w:ascii="宋体" w:hAnsi="宋体" w:eastAsia="宋体" w:cs="宋体"/>
                <w:color w:val="auto"/>
                <w:sz w:val="21"/>
                <w:szCs w:val="21"/>
                <w:highlight w:val="none"/>
              </w:rPr>
              <w:t>通知书时一次性向代理机构支付。</w:t>
            </w:r>
          </w:p>
          <w:p>
            <w:pPr>
              <w:pStyle w:val="29"/>
              <w:adjustRightInd w:val="0"/>
              <w:snapToGrid w:val="0"/>
              <w:spacing w:line="360" w:lineRule="exact"/>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注：采购代理服务收费按差额定率累进法计算，不足3000元按3000元收取。</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代理服务费银行账号：</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收款单位：</w:t>
            </w:r>
            <w:r>
              <w:rPr>
                <w:rFonts w:hint="eastAsia" w:ascii="宋体" w:hAnsi="宋体" w:eastAsia="宋体" w:cs="宋体"/>
                <w:color w:val="auto"/>
                <w:spacing w:val="0"/>
                <w:w w:val="100"/>
                <w:kern w:val="0"/>
                <w:position w:val="0"/>
                <w:sz w:val="21"/>
                <w:szCs w:val="21"/>
                <w:highlight w:val="none"/>
                <w:lang w:val="en-US" w:eastAsia="zh-CN" w:bidi="ar"/>
              </w:rPr>
              <w:t>新疆华恒惠欣工程项目管理有限责任公司</w:t>
            </w:r>
            <w:r>
              <w:rPr>
                <w:rFonts w:hint="eastAsia" w:ascii="宋体" w:hAnsi="宋体" w:eastAsia="宋体" w:cs="宋体"/>
                <w:color w:val="auto"/>
                <w:sz w:val="21"/>
                <w:szCs w:val="21"/>
                <w:highlight w:val="none"/>
                <w:lang w:val="en-US" w:eastAsia="zh-CN"/>
              </w:rPr>
              <w:t xml:space="preserve"> </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银行账号：65050161665000001758</w:t>
            </w:r>
          </w:p>
          <w:p>
            <w:pPr>
              <w:pStyle w:val="29"/>
              <w:adjustRightInd w:val="0"/>
              <w:snapToGrid w:val="0"/>
              <w:spacing w:line="360" w:lineRule="exact"/>
              <w:jc w:val="both"/>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开 户 行：中国建设银行股份有限公司乌鲁木齐经济技术开发区支行  </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lang w:val="en-US" w:eastAsia="zh-CN"/>
              </w:rPr>
              <w:t xml:space="preserve">开户行行号：105881000454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七、其他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37.接收质疑方式及联系方式</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34</w:t>
            </w:r>
          </w:p>
        </w:tc>
        <w:tc>
          <w:tcPr>
            <w:tcW w:w="7593" w:type="dxa"/>
            <w:vAlign w:val="center"/>
          </w:tcPr>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（1）质疑函及必要的证明材料应通过以下方式之一递交至采购代理机构：</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1）当面送达原件；</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2）信函邮寄、快递原件，采用此方式时，采购代理机构不受理逾期送达的质疑，投标人自行承担邮件误投、逾期或丢失的风险和责任；</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 xml:space="preserve">3）电子邮件将原件的扫描版发送至下列指定电子邮箱，采用此方式提出质疑的，投标人应在电子邮件发出后立即电话告知采购代理机构；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 xml:space="preserve">（2）采购代理机构接收质疑函的联系方式如下： </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联系人：陆工</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电话：15299129605</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邮箱：645709441@qq.com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z w:val="21"/>
                <w:szCs w:val="21"/>
                <w:highlight w:val="none"/>
                <w:lang w:val="en-US" w:eastAsia="zh-CN"/>
              </w:rPr>
              <w:t>38.</w:t>
            </w:r>
            <w:r>
              <w:rPr>
                <w:rFonts w:hint="eastAsia" w:ascii="宋体" w:hAnsi="宋体" w:eastAsia="宋体" w:cs="宋体"/>
                <w:color w:val="auto"/>
                <w:sz w:val="21"/>
                <w:szCs w:val="21"/>
                <w:highlight w:val="none"/>
              </w:rPr>
              <w:t>招标会现场投标人需提供的证件原件</w:t>
            </w:r>
          </w:p>
        </w:tc>
        <w:tc>
          <w:tcPr>
            <w:tcW w:w="915" w:type="dxa"/>
            <w:vAlign w:val="center"/>
          </w:tcPr>
          <w:p>
            <w:pPr>
              <w:keepNext w:val="0"/>
              <w:keepLines w:val="0"/>
              <w:widowControl/>
              <w:suppressLineNumbers w:val="0"/>
              <w:jc w:val="center"/>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w:t>
            </w:r>
          </w:p>
        </w:tc>
        <w:tc>
          <w:tcPr>
            <w:tcW w:w="7593" w:type="dxa"/>
            <w:vAlign w:val="center"/>
          </w:tcPr>
          <w:p>
            <w:pPr>
              <w:pStyle w:val="29"/>
              <w:adjustRightInd w:val="0"/>
              <w:snapToGrid w:val="0"/>
              <w:spacing w:line="360" w:lineRule="exact"/>
              <w:ind w:firstLine="210" w:firstLineChars="100"/>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color w:val="auto"/>
                <w:sz w:val="21"/>
                <w:szCs w:val="21"/>
                <w:highlight w:val="none"/>
                <w:lang w:eastAsia="zh-CN"/>
              </w:rPr>
              <w:t>开标前，将由监标人员和采购人</w:t>
            </w:r>
            <w:r>
              <w:rPr>
                <w:rFonts w:hint="eastAsia" w:ascii="宋体" w:hAnsi="宋体" w:eastAsia="宋体" w:cs="宋体"/>
                <w:b w:val="0"/>
                <w:bCs/>
                <w:color w:val="auto"/>
                <w:sz w:val="21"/>
                <w:szCs w:val="21"/>
                <w:highlight w:val="none"/>
                <w:lang w:eastAsia="zh-CN"/>
              </w:rPr>
              <w:t>审查投标人下列资格证件原件：</w:t>
            </w:r>
          </w:p>
          <w:p>
            <w:pPr>
              <w:pStyle w:val="29"/>
              <w:shd w:val="clear" w:color="auto" w:fill="auto"/>
              <w:adjustRightInd w:val="0"/>
              <w:snapToGrid w:val="0"/>
              <w:spacing w:line="360" w:lineRule="exact"/>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（1）企业法人营业执照副本原件（未办理三证合一的同时提供税务登记证和组织机构代码证原件）；</w:t>
            </w:r>
          </w:p>
          <w:p>
            <w:pPr>
              <w:pStyle w:val="29"/>
              <w:shd w:val="clear" w:color="auto" w:fill="auto"/>
              <w:adjustRightInd w:val="0"/>
              <w:snapToGrid w:val="0"/>
              <w:spacing w:line="360" w:lineRule="exact"/>
              <w:jc w:val="both"/>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（2）法人授权委托书原件和被授权人身份证原件；</w:t>
            </w:r>
          </w:p>
          <w:p>
            <w:pPr>
              <w:pStyle w:val="29"/>
              <w:shd w:val="clear" w:color="auto" w:fill="auto"/>
              <w:adjustRightInd w:val="0"/>
              <w:snapToGrid w:val="0"/>
              <w:spacing w:line="360" w:lineRule="exact"/>
              <w:jc w:val="both"/>
              <w:rPr>
                <w:rFonts w:hint="eastAsia" w:ascii="宋体" w:hAnsi="宋体" w:eastAsia="宋体" w:cs="宋体"/>
                <w:b w:val="0"/>
                <w:bCs/>
                <w:color w:val="auto"/>
                <w:sz w:val="21"/>
                <w:szCs w:val="21"/>
                <w:highlight w:val="none"/>
                <w:lang w:eastAsia="zh-CN"/>
              </w:rPr>
            </w:pPr>
            <w:r>
              <w:rPr>
                <w:rFonts w:hint="eastAsia" w:ascii="宋体" w:hAnsi="宋体" w:eastAsia="宋体" w:cs="宋体"/>
                <w:bCs/>
                <w:color w:val="auto"/>
                <w:sz w:val="21"/>
                <w:szCs w:val="21"/>
                <w:highlight w:val="none"/>
              </w:rPr>
              <w:t>（</w:t>
            </w:r>
            <w:r>
              <w:rPr>
                <w:rFonts w:hint="eastAsia" w:ascii="宋体" w:hAnsi="宋体" w:eastAsia="宋体" w:cs="宋体"/>
                <w:bCs/>
                <w:color w:val="auto"/>
                <w:sz w:val="21"/>
                <w:szCs w:val="21"/>
                <w:highlight w:val="none"/>
                <w:lang w:val="en-US" w:eastAsia="zh-CN"/>
              </w:rPr>
              <w:t>3</w:t>
            </w:r>
            <w:r>
              <w:rPr>
                <w:rFonts w:hint="eastAsia" w:ascii="宋体" w:hAnsi="宋体" w:eastAsia="宋体" w:cs="宋体"/>
                <w:bCs/>
                <w:color w:val="auto"/>
                <w:sz w:val="21"/>
                <w:szCs w:val="21"/>
                <w:highlight w:val="none"/>
              </w:rPr>
              <w:t>）投标保证金汇款凭证。</w:t>
            </w:r>
          </w:p>
          <w:p>
            <w:pPr>
              <w:keepNext w:val="0"/>
              <w:keepLines w:val="0"/>
              <w:widowControl/>
              <w:suppressLineNumbers w:val="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b w:val="0"/>
                <w:bCs/>
                <w:color w:val="auto"/>
                <w:sz w:val="21"/>
                <w:szCs w:val="21"/>
                <w:highlight w:val="none"/>
              </w:rPr>
              <w:t>上述要求（1）--（</w:t>
            </w:r>
            <w:r>
              <w:rPr>
                <w:rFonts w:hint="eastAsia" w:ascii="宋体" w:hAnsi="宋体" w:eastAsia="宋体" w:cs="宋体"/>
                <w:b w:val="0"/>
                <w:bCs/>
                <w:color w:val="auto"/>
                <w:sz w:val="21"/>
                <w:szCs w:val="21"/>
                <w:highlight w:val="none"/>
                <w:lang w:val="en-US" w:eastAsia="zh-CN"/>
              </w:rPr>
              <w:t>3</w:t>
            </w:r>
            <w:r>
              <w:rPr>
                <w:rFonts w:hint="eastAsia" w:ascii="宋体" w:hAnsi="宋体" w:eastAsia="宋体" w:cs="宋体"/>
                <w:b w:val="0"/>
                <w:bCs/>
                <w:color w:val="auto"/>
                <w:sz w:val="21"/>
                <w:szCs w:val="21"/>
                <w:highlight w:val="none"/>
              </w:rPr>
              <w:t>）投标人必须提供，否则投标无效。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6" w:type="dxa"/>
            <w:gridSpan w:val="3"/>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b/>
                <w:bCs/>
                <w:color w:val="auto"/>
                <w:spacing w:val="0"/>
                <w:w w:val="100"/>
                <w:position w:val="0"/>
                <w:sz w:val="21"/>
                <w:szCs w:val="21"/>
                <w:highlight w:val="none"/>
                <w:vertAlign w:val="baseline"/>
                <w:lang w:val="en-US" w:eastAsia="zh-CN"/>
              </w:rPr>
              <w:t>补充条款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keepNext w:val="0"/>
              <w:keepLines w:val="0"/>
              <w:widowControl/>
              <w:suppressLineNumbers w:val="0"/>
              <w:jc w:val="center"/>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kern w:val="0"/>
                <w:position w:val="0"/>
                <w:sz w:val="21"/>
                <w:szCs w:val="21"/>
                <w:highlight w:val="none"/>
                <w:lang w:val="en-US" w:eastAsia="zh-CN" w:bidi="ar"/>
              </w:rPr>
              <w:t>38.履约保证金</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38</w:t>
            </w:r>
          </w:p>
        </w:tc>
        <w:tc>
          <w:tcPr>
            <w:tcW w:w="7593" w:type="dxa"/>
            <w:vAlign w:val="center"/>
          </w:tcPr>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履约保证金的金额：/%。</w:t>
            </w:r>
          </w:p>
          <w:p>
            <w:pPr>
              <w:widowControl w:val="0"/>
              <w:autoSpaceDE w:val="0"/>
              <w:autoSpaceDN w:val="0"/>
              <w:adjustRightInd w:val="0"/>
              <w:spacing w:line="320" w:lineRule="exact"/>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履约保证金的形式：转账或银行保函</w:t>
            </w:r>
          </w:p>
          <w:p>
            <w:pPr>
              <w:keepNext w:val="0"/>
              <w:keepLines w:val="0"/>
              <w:widowControl/>
              <w:suppressLineNumbers w:val="0"/>
              <w:jc w:val="left"/>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z w:val="21"/>
                <w:szCs w:val="21"/>
                <w:highlight w:val="none"/>
              </w:rPr>
              <w:t>履约保证金的缴纳方式：在收到中标通知书后，中标人须在</w:t>
            </w: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rPr>
              <w:t>个工作日内向招标人提交履约保证金，否则</w:t>
            </w:r>
            <w:r>
              <w:rPr>
                <w:rFonts w:hint="eastAsia" w:ascii="宋体" w:hAnsi="宋体" w:eastAsia="宋体" w:cs="宋体"/>
                <w:color w:val="auto"/>
                <w:sz w:val="21"/>
                <w:szCs w:val="21"/>
                <w:highlight w:val="none"/>
                <w:lang w:eastAsia="zh-CN"/>
              </w:rPr>
              <w:t>视为自动放弃</w:t>
            </w:r>
            <w:r>
              <w:rPr>
                <w:rFonts w:hint="eastAsia" w:ascii="宋体" w:hAnsi="宋体" w:eastAsia="宋体" w:cs="宋体"/>
                <w:color w:val="auto"/>
                <w:sz w:val="21"/>
                <w:szCs w:val="21"/>
                <w:highlight w:val="none"/>
              </w:rPr>
              <w:t>中标资格。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8"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position w:val="0"/>
                <w:sz w:val="21"/>
                <w:szCs w:val="21"/>
                <w:highlight w:val="none"/>
                <w:lang w:val="en-US" w:eastAsia="zh-CN"/>
              </w:rPr>
              <w:t>39.</w:t>
            </w:r>
            <w:r>
              <w:rPr>
                <w:rFonts w:hint="eastAsia" w:ascii="宋体" w:hAnsi="宋体" w:eastAsia="宋体" w:cs="宋体"/>
                <w:color w:val="auto"/>
                <w:spacing w:val="0"/>
                <w:w w:val="100"/>
                <w:position w:val="0"/>
                <w:sz w:val="21"/>
                <w:szCs w:val="21"/>
                <w:highlight w:val="none"/>
              </w:rPr>
              <w:t>解释权</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w:t>
            </w:r>
          </w:p>
        </w:tc>
        <w:tc>
          <w:tcPr>
            <w:tcW w:w="7593"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left"/>
              <w:textAlignment w:val="auto"/>
              <w:rPr>
                <w:rFonts w:hint="eastAsia" w:ascii="宋体" w:hAnsi="宋体" w:eastAsia="宋体" w:cs="宋体"/>
                <w:color w:val="auto"/>
                <w:spacing w:val="0"/>
                <w:w w:val="100"/>
                <w:position w:val="0"/>
                <w:sz w:val="21"/>
                <w:szCs w:val="21"/>
                <w:highlight w:val="none"/>
                <w:vertAlign w:val="baseline"/>
              </w:rPr>
            </w:pPr>
            <w:r>
              <w:rPr>
                <w:rFonts w:hint="eastAsia" w:ascii="宋体" w:hAnsi="宋体" w:eastAsia="宋体" w:cs="宋体"/>
                <w:color w:val="auto"/>
                <w:spacing w:val="0"/>
                <w:w w:val="100"/>
                <w:position w:val="0"/>
                <w:sz w:val="21"/>
                <w:szCs w:val="21"/>
                <w:highlight w:val="none"/>
              </w:rPr>
              <w:t>本</w:t>
            </w:r>
            <w:r>
              <w:rPr>
                <w:rFonts w:hint="eastAsia" w:ascii="宋体" w:hAnsi="宋体" w:eastAsia="宋体" w:cs="宋体"/>
                <w:color w:val="auto"/>
                <w:spacing w:val="0"/>
                <w:w w:val="100"/>
                <w:position w:val="0"/>
                <w:sz w:val="21"/>
                <w:szCs w:val="21"/>
                <w:highlight w:val="none"/>
                <w:lang w:val="en-US" w:eastAsia="zh-CN"/>
              </w:rPr>
              <w:t>招标</w:t>
            </w:r>
            <w:r>
              <w:rPr>
                <w:rFonts w:hint="eastAsia" w:ascii="宋体" w:hAnsi="宋体" w:eastAsia="宋体" w:cs="宋体"/>
                <w:color w:val="auto"/>
                <w:spacing w:val="0"/>
                <w:w w:val="100"/>
                <w:position w:val="0"/>
                <w:sz w:val="21"/>
                <w:szCs w:val="21"/>
                <w:highlight w:val="none"/>
              </w:rPr>
              <w:t>文件的解释权属于采购人。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23" w:hRule="atLeast"/>
        </w:trPr>
        <w:tc>
          <w:tcPr>
            <w:tcW w:w="1458"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40.其他</w:t>
            </w:r>
          </w:p>
        </w:tc>
        <w:tc>
          <w:tcPr>
            <w:tcW w:w="915"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1"/>
                <w:highlight w:val="none"/>
                <w:vertAlign w:val="baseline"/>
                <w:lang w:val="en-US" w:eastAsia="zh-CN"/>
              </w:rPr>
            </w:pPr>
            <w:r>
              <w:rPr>
                <w:rFonts w:hint="eastAsia" w:ascii="宋体" w:hAnsi="宋体" w:eastAsia="宋体" w:cs="宋体"/>
                <w:color w:val="auto"/>
                <w:spacing w:val="0"/>
                <w:w w:val="100"/>
                <w:position w:val="0"/>
                <w:sz w:val="21"/>
                <w:szCs w:val="21"/>
                <w:highlight w:val="none"/>
                <w:vertAlign w:val="baseline"/>
                <w:lang w:val="en-US" w:eastAsia="zh-CN"/>
              </w:rPr>
              <w:t>/</w:t>
            </w:r>
          </w:p>
        </w:tc>
        <w:tc>
          <w:tcPr>
            <w:tcW w:w="7593" w:type="dxa"/>
            <w:vAlign w:val="center"/>
          </w:tcPr>
          <w:p>
            <w:pPr>
              <w:pStyle w:val="11"/>
              <w:keepNext w:val="0"/>
              <w:keepLines w:val="0"/>
              <w:pageBreakBefore w:val="0"/>
              <w:kinsoku/>
              <w:wordWrap/>
              <w:overflowPunct/>
              <w:topLinePunct w:val="0"/>
              <w:autoSpaceDE w:val="0"/>
              <w:autoSpaceDN w:val="0"/>
              <w:bidi w:val="0"/>
              <w:adjustRightInd/>
              <w:snapToGrid/>
              <w:spacing w:before="0" w:line="240" w:lineRule="auto"/>
              <w:ind w:left="0" w:leftChars="0" w:right="0" w:rightChars="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z w:val="21"/>
                <w:szCs w:val="21"/>
                <w:highlight w:val="none"/>
              </w:rPr>
              <w:t>本表是对“投标人须知</w:t>
            </w:r>
            <w:r>
              <w:rPr>
                <w:rFonts w:hint="eastAsia" w:ascii="宋体" w:hAnsi="宋体" w:eastAsia="宋体" w:cs="宋体"/>
                <w:color w:val="auto"/>
                <w:sz w:val="21"/>
                <w:szCs w:val="21"/>
                <w:highlight w:val="none"/>
                <w:lang w:val="en-US" w:eastAsia="zh-CN"/>
              </w:rPr>
              <w:t>正文</w:t>
            </w:r>
            <w:r>
              <w:rPr>
                <w:rFonts w:hint="eastAsia" w:ascii="宋体" w:hAnsi="宋体" w:eastAsia="宋体" w:cs="宋体"/>
                <w:color w:val="auto"/>
                <w:sz w:val="21"/>
                <w:szCs w:val="21"/>
                <w:highlight w:val="none"/>
              </w:rPr>
              <w:t>”的具体补充和修改，如有矛盾，应以本表内容为准。</w:t>
            </w:r>
          </w:p>
        </w:tc>
      </w:tr>
    </w:tbl>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31" w:line="364" w:lineRule="auto"/>
        <w:ind w:left="0" w:leftChars="0" w:right="70" w:rightChars="0" w:firstLine="0" w:firstLineChars="0"/>
        <w:outlineLvl w:val="1"/>
        <w:rPr>
          <w:rFonts w:hint="eastAsia" w:ascii="宋体" w:hAnsi="宋体" w:eastAsia="宋体" w:cs="宋体"/>
          <w:color w:val="auto"/>
          <w:spacing w:val="0"/>
          <w:w w:val="100"/>
          <w:position w:val="0"/>
          <w:sz w:val="28"/>
          <w:szCs w:val="28"/>
          <w:highlight w:val="none"/>
        </w:rPr>
      </w:pPr>
      <w:bookmarkStart w:id="4" w:name="_bookmark26"/>
      <w:bookmarkEnd w:id="4"/>
      <w:bookmarkStart w:id="5" w:name="_bookmark25"/>
      <w:bookmarkEnd w:id="5"/>
      <w:bookmarkStart w:id="6" w:name="_bookmark24"/>
      <w:bookmarkEnd w:id="6"/>
      <w:bookmarkStart w:id="7" w:name="_bookmark10"/>
      <w:bookmarkEnd w:id="7"/>
      <w:bookmarkStart w:id="8" w:name="_bookmark8"/>
      <w:bookmarkEnd w:id="8"/>
      <w:bookmarkStart w:id="9" w:name="_bookmark28"/>
      <w:bookmarkEnd w:id="9"/>
      <w:bookmarkStart w:id="10" w:name="_bookmark2"/>
      <w:bookmarkEnd w:id="10"/>
      <w:bookmarkStart w:id="11" w:name="_bookmark19"/>
      <w:bookmarkEnd w:id="11"/>
      <w:bookmarkStart w:id="12" w:name="_bookmark23"/>
      <w:bookmarkEnd w:id="12"/>
      <w:bookmarkStart w:id="13" w:name="_bookmark20"/>
      <w:bookmarkEnd w:id="13"/>
      <w:bookmarkStart w:id="14" w:name="_bookmark9"/>
      <w:bookmarkEnd w:id="14"/>
      <w:bookmarkStart w:id="15" w:name="_bookmark22"/>
      <w:bookmarkEnd w:id="15"/>
      <w:bookmarkStart w:id="16" w:name="_bookmark21"/>
      <w:bookmarkEnd w:id="16"/>
      <w:bookmarkStart w:id="17" w:name="_Toc19549"/>
      <w:r>
        <w:rPr>
          <w:rFonts w:hint="eastAsia" w:ascii="宋体" w:hAnsi="宋体" w:eastAsia="宋体" w:cs="宋体"/>
          <w:color w:val="auto"/>
          <w:spacing w:val="0"/>
          <w:w w:val="100"/>
          <w:position w:val="0"/>
          <w:sz w:val="28"/>
          <w:szCs w:val="28"/>
          <w:highlight w:val="none"/>
        </w:rPr>
        <w:t>投标人须知</w:t>
      </w:r>
      <w:bookmarkEnd w:id="17"/>
      <w:bookmarkStart w:id="18" w:name="_bookmark29"/>
      <w:bookmarkEnd w:id="18"/>
    </w:p>
    <w:p>
      <w:pPr>
        <w:pStyle w:val="5"/>
        <w:spacing w:before="31" w:line="364" w:lineRule="auto"/>
        <w:ind w:left="0" w:leftChars="0" w:right="70" w:rightChars="0" w:firstLine="0" w:firstLineChars="0"/>
        <w:outlineLvl w:val="1"/>
        <w:rPr>
          <w:rFonts w:hint="eastAsia" w:ascii="宋体" w:hAnsi="宋体" w:eastAsia="宋体" w:cs="宋体"/>
          <w:color w:val="auto"/>
          <w:spacing w:val="0"/>
          <w:w w:val="100"/>
          <w:position w:val="0"/>
          <w:sz w:val="24"/>
          <w:szCs w:val="24"/>
          <w:highlight w:val="none"/>
        </w:rPr>
      </w:pPr>
      <w:bookmarkStart w:id="19" w:name="_Toc6163"/>
      <w:r>
        <w:rPr>
          <w:rFonts w:hint="eastAsia" w:ascii="宋体" w:hAnsi="宋体" w:eastAsia="宋体" w:cs="宋体"/>
          <w:color w:val="auto"/>
          <w:spacing w:val="0"/>
          <w:w w:val="100"/>
          <w:position w:val="0"/>
          <w:sz w:val="24"/>
          <w:szCs w:val="24"/>
          <w:highlight w:val="none"/>
        </w:rPr>
        <w:t>一、说 明</w:t>
      </w:r>
      <w:bookmarkEnd w:id="19"/>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1 </w:t>
      </w:r>
      <w:r>
        <w:rPr>
          <w:rFonts w:hint="eastAsia" w:ascii="宋体" w:hAnsi="宋体" w:eastAsia="宋体" w:cs="宋体"/>
          <w:color w:val="auto"/>
          <w:spacing w:val="0"/>
          <w:w w:val="100"/>
          <w:position w:val="0"/>
          <w:sz w:val="21"/>
          <w:szCs w:val="21"/>
          <w:highlight w:val="none"/>
        </w:rPr>
        <w:t>概述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0" w:name="_bookmark30"/>
      <w:bookmarkEnd w:id="20"/>
      <w:bookmarkStart w:id="21" w:name="_bookmark30"/>
      <w:bookmarkEnd w:id="21"/>
      <w:r>
        <w:rPr>
          <w:rFonts w:hint="eastAsia" w:ascii="宋体" w:hAnsi="宋体" w:eastAsia="宋体" w:cs="宋体"/>
          <w:color w:val="auto"/>
          <w:spacing w:val="0"/>
          <w:w w:val="100"/>
          <w:position w:val="0"/>
          <w:sz w:val="21"/>
          <w:szCs w:val="21"/>
          <w:highlight w:val="none"/>
          <w:lang w:val="en-US" w:eastAsia="zh-CN"/>
        </w:rPr>
        <w:t xml:space="preserve">1.1 </w:t>
      </w:r>
      <w:r>
        <w:rPr>
          <w:rFonts w:hint="eastAsia" w:ascii="宋体" w:hAnsi="宋体" w:eastAsia="宋体" w:cs="宋体"/>
          <w:color w:val="auto"/>
          <w:spacing w:val="0"/>
          <w:w w:val="100"/>
          <w:position w:val="0"/>
          <w:sz w:val="21"/>
          <w:szCs w:val="21"/>
          <w:highlight w:val="none"/>
        </w:rPr>
        <w:t>项目概述见《投标人须知前附表》。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2" w:name="_bookmark31"/>
      <w:bookmarkEnd w:id="22"/>
      <w:bookmarkStart w:id="23" w:name="_bookmark31"/>
      <w:bookmarkEnd w:id="23"/>
      <w:r>
        <w:rPr>
          <w:rFonts w:hint="eastAsia" w:ascii="宋体" w:hAnsi="宋体" w:eastAsia="宋体" w:cs="宋体"/>
          <w:color w:val="auto"/>
          <w:spacing w:val="0"/>
          <w:w w:val="100"/>
          <w:position w:val="0"/>
          <w:sz w:val="21"/>
          <w:szCs w:val="21"/>
          <w:highlight w:val="none"/>
          <w:lang w:val="en-US" w:eastAsia="zh-CN"/>
        </w:rPr>
        <w:t xml:space="preserve">1.2 </w:t>
      </w:r>
      <w:r>
        <w:rPr>
          <w:rFonts w:hint="eastAsia" w:ascii="宋体" w:hAnsi="宋体" w:eastAsia="宋体" w:cs="宋体"/>
          <w:color w:val="auto"/>
          <w:spacing w:val="0"/>
          <w:w w:val="100"/>
          <w:position w:val="0"/>
          <w:sz w:val="21"/>
          <w:szCs w:val="21"/>
          <w:highlight w:val="none"/>
        </w:rPr>
        <w:t>按照《政府采购货物和服务招标投标管理办法》第七条规定，采购人确定本次采购项目的属性见《投标人须知前附表》。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4" w:name="_bookmark32"/>
      <w:bookmarkEnd w:id="24"/>
      <w:bookmarkStart w:id="25" w:name="_bookmark32"/>
      <w:bookmarkEnd w:id="25"/>
      <w:r>
        <w:rPr>
          <w:rFonts w:hint="eastAsia" w:ascii="宋体" w:hAnsi="宋体" w:eastAsia="宋体" w:cs="宋体"/>
          <w:color w:val="auto"/>
          <w:spacing w:val="0"/>
          <w:w w:val="100"/>
          <w:position w:val="0"/>
          <w:sz w:val="21"/>
          <w:szCs w:val="21"/>
          <w:highlight w:val="none"/>
          <w:lang w:val="en-US" w:eastAsia="zh-CN"/>
        </w:rPr>
        <w:t xml:space="preserve">1.3 </w:t>
      </w:r>
      <w:r>
        <w:rPr>
          <w:rFonts w:hint="eastAsia" w:ascii="宋体" w:hAnsi="宋体" w:eastAsia="宋体" w:cs="宋体"/>
          <w:color w:val="auto"/>
          <w:spacing w:val="0"/>
          <w:w w:val="100"/>
          <w:position w:val="0"/>
          <w:sz w:val="21"/>
          <w:szCs w:val="21"/>
          <w:highlight w:val="none"/>
        </w:rPr>
        <w:t>按照《政府采购促进中小企业发展管理办法》第十二条规定，明确采购标的对应的中小企业划分标准所属行业详见《投标人须知前附表》。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 定义</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“采购人”是指依法进行政府采购的国家机关、事业单位、团体组织。采购人名称、地址、电话、联系人见</w:t>
      </w:r>
      <w:r>
        <w:rPr>
          <w:rFonts w:hint="eastAsia" w:ascii="宋体" w:hAnsi="宋体" w:eastAsia="宋体" w:cs="宋体"/>
          <w:color w:val="auto"/>
          <w:spacing w:val="0"/>
          <w:w w:val="100"/>
          <w:position w:val="0"/>
          <w:sz w:val="21"/>
          <w:szCs w:val="21"/>
          <w:highlight w:val="none"/>
        </w:rPr>
        <w:t>《投标人须知前附表》</w:t>
      </w:r>
      <w:r>
        <w:rPr>
          <w:rFonts w:hint="eastAsia" w:ascii="宋体" w:hAnsi="宋体" w:eastAsia="宋体" w:cs="宋体"/>
          <w:color w:val="auto"/>
          <w:sz w:val="21"/>
          <w:szCs w:val="21"/>
          <w:highlight w:val="none"/>
        </w:rPr>
        <w:t>。</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“采购代理机构”是指接受采购人委托，代理采购项目的集中采购机构和其他采购代理机构。采购代理机构名称、地址、电话、联系人见《投标人须知前附表》。</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“投标人”是指响应招标、参加投标竞争的法人、其他组织或者自然人。</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“货物”是指各种形态和种类的物品，包括原材料、燃料、设备、产品等，详见《政府采购品目分类目录》（财库[2013]189号）。</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2.5 </w:t>
      </w:r>
      <w:r>
        <w:rPr>
          <w:rFonts w:hint="eastAsia" w:ascii="宋体" w:hAnsi="宋体" w:eastAsia="宋体" w:cs="宋体"/>
          <w:color w:val="auto"/>
          <w:sz w:val="21"/>
          <w:szCs w:val="21"/>
          <w:highlight w:val="none"/>
        </w:rPr>
        <w:t>“服务”系指按合同规定卖方须承担的运输、装卸、技术协助和交付使用后保修期内应履行的义务及售后服务等其他类似的义务。</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2.6 </w:t>
      </w:r>
      <w:r>
        <w:rPr>
          <w:rFonts w:hint="eastAsia" w:ascii="宋体" w:hAnsi="宋体" w:eastAsia="宋体" w:cs="宋体"/>
          <w:color w:val="auto"/>
          <w:sz w:val="21"/>
          <w:szCs w:val="21"/>
          <w:highlight w:val="none"/>
        </w:rPr>
        <w:t>“卖方”系指提供合同货物和服务的经济实体。</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2.7 </w:t>
      </w:r>
      <w:r>
        <w:rPr>
          <w:rFonts w:hint="eastAsia" w:ascii="宋体" w:hAnsi="宋体" w:eastAsia="宋体" w:cs="宋体"/>
          <w:color w:val="auto"/>
          <w:sz w:val="21"/>
          <w:szCs w:val="21"/>
          <w:highlight w:val="none"/>
        </w:rPr>
        <w:t>“买方”系指购买货物和服务的单位。</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8 </w:t>
      </w:r>
      <w:r>
        <w:rPr>
          <w:rFonts w:hint="eastAsia" w:ascii="宋体" w:hAnsi="宋体" w:eastAsia="宋体" w:cs="宋体"/>
          <w:color w:val="auto"/>
          <w:sz w:val="21"/>
          <w:szCs w:val="21"/>
          <w:highlight w:val="none"/>
        </w:rPr>
        <w:t>“节能产品”或者“环保产品”是指财政部发布的《节能产品政府采购清单》或者《环境标志产品政府采购清单》的产品。</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9 </w:t>
      </w:r>
      <w:r>
        <w:rPr>
          <w:rFonts w:hint="eastAsia" w:ascii="宋体" w:hAnsi="宋体" w:eastAsia="宋体" w:cs="宋体"/>
          <w:color w:val="auto"/>
          <w:sz w:val="21"/>
          <w:szCs w:val="21"/>
          <w:highlight w:val="none"/>
        </w:rPr>
        <w:t>“进口产品”是指通过中国海关报关验放进入中国境内且产自关境外的产品，详见</w:t>
      </w:r>
      <w:r>
        <w:rPr>
          <w:rFonts w:hint="eastAsia" w:ascii="宋体" w:hAnsi="宋体" w:eastAsia="宋体" w:cs="宋体"/>
          <w:color w:val="auto"/>
          <w:spacing w:val="0"/>
          <w:w w:val="100"/>
          <w:position w:val="0"/>
          <w:sz w:val="21"/>
          <w:szCs w:val="21"/>
          <w:highlight w:val="none"/>
        </w:rPr>
        <w:t>《政府采购进口产品管理办法》（财库［2007］119 号文）、《关于政府采购进口产品管理有关问题的通知》（财办库［2008］248 号文）</w:t>
      </w:r>
      <w:r>
        <w:rPr>
          <w:rFonts w:hint="eastAsia" w:ascii="宋体" w:hAnsi="宋体" w:eastAsia="宋体" w:cs="宋体"/>
          <w:color w:val="auto"/>
          <w:sz w:val="21"/>
          <w:szCs w:val="21"/>
          <w:highlight w:val="none"/>
        </w:rPr>
        <w:t>。</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10 </w:t>
      </w:r>
      <w:r>
        <w:rPr>
          <w:rFonts w:hint="eastAsia" w:ascii="宋体" w:hAnsi="宋体" w:eastAsia="宋体" w:cs="宋体"/>
          <w:color w:val="auto"/>
          <w:sz w:val="21"/>
          <w:szCs w:val="21"/>
          <w:highlight w:val="none"/>
        </w:rPr>
        <w:t>偏离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本条所称偏离为投标文件对招标</w:t>
      </w:r>
      <w:r>
        <w:rPr>
          <w:rFonts w:hint="eastAsia" w:ascii="宋体" w:hAnsi="宋体" w:eastAsia="宋体" w:cs="宋体"/>
          <w:color w:val="auto"/>
          <w:sz w:val="21"/>
          <w:szCs w:val="21"/>
          <w:highlight w:val="none"/>
          <w:lang w:eastAsia="zh-CN"/>
        </w:rPr>
        <w:t>文件</w:t>
      </w:r>
      <w:r>
        <w:rPr>
          <w:rFonts w:hint="eastAsia" w:ascii="宋体" w:hAnsi="宋体" w:eastAsia="宋体" w:cs="宋体"/>
          <w:color w:val="auto"/>
          <w:sz w:val="21"/>
          <w:szCs w:val="21"/>
          <w:highlight w:val="none"/>
        </w:rPr>
        <w:t>的偏离，即不满足</w:t>
      </w:r>
      <w:r>
        <w:rPr>
          <w:rFonts w:hint="eastAsia" w:ascii="宋体" w:hAnsi="宋体" w:eastAsia="宋体" w:cs="宋体"/>
          <w:color w:val="auto"/>
          <w:sz w:val="21"/>
          <w:szCs w:val="21"/>
          <w:highlight w:val="none"/>
          <w:lang w:eastAsia="zh-CN"/>
        </w:rPr>
        <w:t>或</w:t>
      </w:r>
      <w:r>
        <w:rPr>
          <w:rFonts w:hint="eastAsia" w:ascii="宋体" w:hAnsi="宋体" w:eastAsia="宋体" w:cs="宋体"/>
          <w:color w:val="auto"/>
          <w:sz w:val="21"/>
          <w:szCs w:val="21"/>
          <w:highlight w:val="none"/>
        </w:rPr>
        <w:t>不响应招标文件的要求。偏离分为对招标文件的实质性要求条款偏离和对招标文件的一般商务和技术条款偏离。</w:t>
      </w:r>
    </w:p>
    <w:p>
      <w:pPr>
        <w:pStyle w:val="31"/>
        <w:snapToGrid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10</w:t>
      </w:r>
      <w:r>
        <w:rPr>
          <w:rFonts w:hint="eastAsia" w:ascii="宋体" w:hAnsi="宋体" w:eastAsia="宋体" w:cs="宋体"/>
          <w:b/>
          <w:bCs/>
          <w:color w:val="auto"/>
          <w:sz w:val="21"/>
          <w:szCs w:val="21"/>
          <w:highlight w:val="none"/>
        </w:rPr>
        <w:t>.2</w:t>
      </w:r>
      <w:r>
        <w:rPr>
          <w:rFonts w:hint="eastAsia" w:ascii="宋体" w:hAnsi="宋体" w:eastAsia="宋体" w:cs="宋体"/>
          <w:b/>
          <w:bCs/>
          <w:color w:val="auto"/>
          <w:sz w:val="21"/>
          <w:szCs w:val="21"/>
          <w:highlight w:val="none"/>
          <w:lang w:val="en-US" w:eastAsia="zh-CN"/>
        </w:rPr>
        <w:t xml:space="preserve"> </w:t>
      </w:r>
      <w:r>
        <w:rPr>
          <w:rFonts w:hint="eastAsia" w:ascii="宋体" w:hAnsi="宋体" w:eastAsia="宋体" w:cs="宋体"/>
          <w:b/>
          <w:bCs/>
          <w:color w:val="auto"/>
          <w:sz w:val="21"/>
          <w:szCs w:val="21"/>
          <w:highlight w:val="none"/>
        </w:rPr>
        <w:t>除法律、法规和规章规定外，招标文件中用“拒绝”、“不接受”、“无效”、“不得”等文字规定或标注“</w:t>
      </w:r>
      <w:r>
        <w:rPr>
          <w:rFonts w:hint="eastAsia" w:ascii="宋体" w:hAnsi="宋体" w:eastAsia="宋体" w:cs="宋体"/>
          <w:b/>
          <w:bCs/>
          <w:color w:val="auto"/>
          <w:sz w:val="21"/>
          <w:szCs w:val="21"/>
          <w:highlight w:val="none"/>
          <w:lang w:eastAsia="zh-CN"/>
        </w:rPr>
        <w:t>*</w:t>
      </w:r>
      <w:r>
        <w:rPr>
          <w:rFonts w:hint="eastAsia" w:ascii="宋体" w:hAnsi="宋体" w:eastAsia="宋体" w:cs="宋体"/>
          <w:b/>
          <w:bCs/>
          <w:color w:val="auto"/>
          <w:sz w:val="21"/>
          <w:szCs w:val="21"/>
          <w:highlight w:val="none"/>
        </w:rPr>
        <w:t>”符号的条款为实质性要求条款（即重要条款），对其中任何一条的偏离，在评标时将其视为无效投标</w:t>
      </w:r>
      <w:r>
        <w:rPr>
          <w:rFonts w:hint="eastAsia" w:ascii="宋体" w:hAnsi="宋体" w:eastAsia="宋体" w:cs="宋体"/>
          <w:color w:val="auto"/>
          <w:sz w:val="21"/>
          <w:szCs w:val="21"/>
          <w:highlight w:val="none"/>
        </w:rPr>
        <w:t>。未用上述文字规定或符号标注的条款为非实质性要求条款（即一般条款）。</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11 </w:t>
      </w:r>
      <w:r>
        <w:rPr>
          <w:rFonts w:hint="eastAsia" w:ascii="宋体" w:hAnsi="宋体" w:eastAsia="宋体" w:cs="宋体"/>
          <w:color w:val="auto"/>
          <w:spacing w:val="-13"/>
          <w:kern w:val="0"/>
          <w:sz w:val="21"/>
          <w:szCs w:val="21"/>
          <w:highlight w:val="none"/>
        </w:rPr>
        <w:t>若采购人员及相关人员与投标人（即投标人）有下列利害关系之一的，应当回避：</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参加采购活动前3年内与投标人存在劳动关系；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参加采购活动前3年内担任投标人的董事、监事；</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参加采购活动前3年内是投标人的控股股东或者实际控制人；</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与投标人的法定代表人或者负责人有夫妻、直系血亲、三代以内旁系血亲或者近姻亲关系；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与投标人有其他可能影响政府采购活动公平、公正进行的关系；</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11</w:t>
      </w:r>
      <w:r>
        <w:rPr>
          <w:rFonts w:hint="eastAsia" w:ascii="宋体" w:hAnsi="宋体" w:eastAsia="宋体" w:cs="宋体"/>
          <w:color w:val="auto"/>
          <w:kern w:val="0"/>
          <w:sz w:val="21"/>
          <w:szCs w:val="21"/>
          <w:highlight w:val="none"/>
        </w:rPr>
        <w:t>.6</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投标人认为采购人员及相关人员与其他投标人有利害关系的，可以向采购人或者采购代理机构书面提出回避申请，并说明理由。采购人或者采购代理机构应当及时询问被申请回避人员，有利害关系的被申请回避人员应当回避。</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12 </w:t>
      </w:r>
      <w:r>
        <w:rPr>
          <w:rFonts w:hint="eastAsia" w:ascii="宋体" w:hAnsi="宋体" w:eastAsia="宋体" w:cs="宋体"/>
          <w:color w:val="auto"/>
          <w:kern w:val="0"/>
          <w:sz w:val="21"/>
          <w:szCs w:val="21"/>
          <w:highlight w:val="none"/>
        </w:rPr>
        <w:t>采购人或者采购代理机构有下列情形之一的，属于以不合理的条件对投标人（即投标人）实行差别待遇或者歧视待遇：</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就同一采购项目向投标人提供有差别的项目信息；</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设定的资格、技术、商务条件与采购项目的具体特点和实际需要不相适应或者与合同履行无关；</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采购需求中的技术、服务等要求指向特定投标人、特定产品；</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对投标人采取不同的资格审查或者评标标准；</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.5</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限定或者指定特定的专利、商标、品牌或者投标人；</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.6</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非法限定投标人的所有制形式、组织形式或者所在地；</w:t>
      </w:r>
    </w:p>
    <w:p>
      <w:pPr>
        <w:widowControl/>
        <w:adjustRightInd w:val="0"/>
        <w:snapToGrid w:val="0"/>
        <w:spacing w:line="360" w:lineRule="auto"/>
        <w:ind w:firstLine="420" w:firstLineChars="200"/>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12</w:t>
      </w:r>
      <w:r>
        <w:rPr>
          <w:rFonts w:hint="eastAsia" w:ascii="宋体" w:hAnsi="宋体" w:eastAsia="宋体" w:cs="宋体"/>
          <w:color w:val="auto"/>
          <w:kern w:val="0"/>
          <w:sz w:val="21"/>
          <w:szCs w:val="21"/>
          <w:highlight w:val="none"/>
        </w:rPr>
        <w:t>.7</w:t>
      </w:r>
      <w:r>
        <w:rPr>
          <w:rFonts w:hint="eastAsia" w:ascii="宋体" w:hAnsi="宋体" w:eastAsia="宋体" w:cs="宋体"/>
          <w:color w:val="auto"/>
          <w:kern w:val="0"/>
          <w:sz w:val="21"/>
          <w:szCs w:val="21"/>
          <w:highlight w:val="none"/>
          <w:lang w:val="en-US" w:eastAsia="zh-CN"/>
        </w:rPr>
        <w:t xml:space="preserve"> </w:t>
      </w:r>
      <w:r>
        <w:rPr>
          <w:rFonts w:hint="eastAsia" w:ascii="宋体" w:hAnsi="宋体" w:eastAsia="宋体" w:cs="宋体"/>
          <w:color w:val="auto"/>
          <w:kern w:val="0"/>
          <w:sz w:val="21"/>
          <w:szCs w:val="21"/>
          <w:highlight w:val="none"/>
        </w:rPr>
        <w:t>以其他不合理条件限制或者排斥潜在投标人。</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13 </w:t>
      </w:r>
      <w:r>
        <w:rPr>
          <w:rFonts w:hint="eastAsia" w:ascii="宋体" w:hAnsi="宋体" w:eastAsia="宋体" w:cs="宋体"/>
          <w:color w:val="auto"/>
          <w:sz w:val="21"/>
          <w:szCs w:val="21"/>
          <w:highlight w:val="none"/>
        </w:rPr>
        <w:t>特别说明</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在本次招标活动中，必须遵循《中华人民共和国政府采购法》、《中华人民共和国政府采购法实施条例》、《政府采购货物和服务招标投标管理办法》（财政部令第84号）等相关法律、法规的规定。凡参加投标的投标人必须具有履行本招标文件规定的有关要求的能力，信誉良好；</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投标人参加投标所使用的资格、信誉、荣誉与相关认证等必须为投标人所拥有；</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投标人应仔细阅读招标文件的所有内容，按照招标文件的要求提交投标文件，并对所提供的全部资料的真实性承担法律责任；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13</w:t>
      </w:r>
      <w:r>
        <w:rPr>
          <w:rFonts w:hint="eastAsia" w:ascii="宋体" w:hAnsi="宋体" w:eastAsia="宋体" w:cs="宋体"/>
          <w:color w:val="auto"/>
          <w:sz w:val="21"/>
          <w:szCs w:val="21"/>
          <w:highlight w:val="none"/>
        </w:rPr>
        <w:t>.4</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投标人在投标活动中提供任何虚假材料，其</w:t>
      </w:r>
      <w:r>
        <w:rPr>
          <w:rFonts w:hint="eastAsia" w:ascii="宋体" w:hAnsi="宋体" w:eastAsia="宋体" w:cs="宋体"/>
          <w:b/>
          <w:bCs/>
          <w:color w:val="auto"/>
          <w:sz w:val="21"/>
          <w:szCs w:val="21"/>
          <w:highlight w:val="none"/>
        </w:rPr>
        <w:t>投标无效</w:t>
      </w:r>
      <w:r>
        <w:rPr>
          <w:rFonts w:hint="eastAsia" w:ascii="宋体" w:hAnsi="宋体" w:eastAsia="宋体" w:cs="宋体"/>
          <w:color w:val="auto"/>
          <w:sz w:val="21"/>
          <w:szCs w:val="21"/>
          <w:highlight w:val="none"/>
        </w:rPr>
        <w:t>并承担相应法律责任。</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 </w:t>
      </w:r>
      <w:r>
        <w:rPr>
          <w:rFonts w:hint="eastAsia" w:ascii="宋体" w:hAnsi="宋体" w:eastAsia="宋体" w:cs="宋体"/>
          <w:color w:val="auto"/>
          <w:spacing w:val="0"/>
          <w:w w:val="100"/>
          <w:position w:val="0"/>
          <w:sz w:val="21"/>
          <w:szCs w:val="21"/>
          <w:highlight w:val="none"/>
        </w:rPr>
        <w:t>合格投标人</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3.1 </w:t>
      </w:r>
      <w:r>
        <w:rPr>
          <w:rFonts w:hint="eastAsia" w:ascii="宋体" w:hAnsi="宋体" w:eastAsia="宋体" w:cs="宋体"/>
          <w:color w:val="auto"/>
          <w:spacing w:val="0"/>
          <w:w w:val="100"/>
          <w:position w:val="0"/>
          <w:sz w:val="21"/>
          <w:szCs w:val="21"/>
          <w:highlight w:val="none"/>
        </w:rPr>
        <w:t>“投标人”（也称为“申请人”）系指响应招标、参加本次投标竞争的法人、其他组织。</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26" w:name="_bookmark33"/>
      <w:bookmarkEnd w:id="26"/>
      <w:bookmarkStart w:id="27" w:name="_bookmark33"/>
      <w:bookmarkEnd w:id="27"/>
      <w:r>
        <w:rPr>
          <w:rFonts w:hint="eastAsia" w:ascii="宋体" w:hAnsi="宋体" w:eastAsia="宋体" w:cs="宋体"/>
          <w:color w:val="auto"/>
          <w:spacing w:val="0"/>
          <w:w w:val="100"/>
          <w:position w:val="0"/>
          <w:sz w:val="21"/>
          <w:szCs w:val="21"/>
          <w:highlight w:val="none"/>
          <w:lang w:val="en-US" w:eastAsia="zh-CN"/>
        </w:rPr>
        <w:t xml:space="preserve">3.2 </w:t>
      </w:r>
      <w:r>
        <w:rPr>
          <w:rFonts w:hint="eastAsia" w:ascii="宋体" w:hAnsi="宋体" w:eastAsia="宋体" w:cs="宋体"/>
          <w:color w:val="auto"/>
          <w:spacing w:val="0"/>
          <w:w w:val="100"/>
          <w:position w:val="0"/>
          <w:sz w:val="21"/>
          <w:szCs w:val="21"/>
          <w:highlight w:val="none"/>
        </w:rPr>
        <w:t>“合格的投标人”系指符合《投标人须知前附表》投标人资格要求的投标人。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28" w:name="_bookmark34"/>
      <w:bookmarkEnd w:id="28"/>
      <w:bookmarkStart w:id="29" w:name="_bookmark34"/>
      <w:bookmarkEnd w:id="29"/>
      <w:r>
        <w:rPr>
          <w:rFonts w:hint="eastAsia" w:ascii="宋体" w:hAnsi="宋体" w:eastAsia="宋体" w:cs="宋体"/>
          <w:color w:val="auto"/>
          <w:spacing w:val="0"/>
          <w:w w:val="100"/>
          <w:position w:val="0"/>
          <w:sz w:val="21"/>
          <w:szCs w:val="21"/>
          <w:highlight w:val="none"/>
          <w:lang w:val="en-US" w:eastAsia="zh-CN"/>
        </w:rPr>
        <w:t xml:space="preserve">3.3 </w:t>
      </w:r>
      <w:r>
        <w:rPr>
          <w:rFonts w:hint="eastAsia" w:ascii="宋体" w:hAnsi="宋体" w:eastAsia="宋体" w:cs="宋体"/>
          <w:b/>
          <w:color w:val="auto"/>
          <w:kern w:val="0"/>
          <w:sz w:val="21"/>
          <w:szCs w:val="21"/>
          <w:highlight w:val="none"/>
        </w:rPr>
        <w:t>联合体投标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3.3.1 </w:t>
      </w:r>
      <w:r>
        <w:rPr>
          <w:rFonts w:hint="eastAsia" w:ascii="宋体" w:hAnsi="宋体" w:eastAsia="宋体" w:cs="宋体"/>
          <w:color w:val="auto"/>
          <w:spacing w:val="0"/>
          <w:w w:val="100"/>
          <w:position w:val="0"/>
          <w:sz w:val="21"/>
          <w:szCs w:val="21"/>
          <w:highlight w:val="none"/>
        </w:rPr>
        <w:t xml:space="preserve">对于本须知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rPr>
        <w:t xml:space="preserve">.2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条中明确</w:t>
      </w:r>
      <w:r>
        <w:rPr>
          <w:rFonts w:hint="eastAsia" w:ascii="宋体" w:hAnsi="宋体" w:eastAsia="宋体" w:cs="宋体"/>
          <w:b/>
          <w:color w:val="auto"/>
          <w:spacing w:val="0"/>
          <w:w w:val="100"/>
          <w:position w:val="0"/>
          <w:sz w:val="21"/>
          <w:szCs w:val="21"/>
          <w:highlight w:val="none"/>
        </w:rPr>
        <w:t>接受</w:t>
      </w:r>
      <w:r>
        <w:rPr>
          <w:rFonts w:hint="eastAsia" w:ascii="宋体" w:hAnsi="宋体" w:eastAsia="宋体" w:cs="宋体"/>
          <w:color w:val="auto"/>
          <w:spacing w:val="0"/>
          <w:w w:val="100"/>
          <w:position w:val="0"/>
          <w:sz w:val="21"/>
          <w:szCs w:val="21"/>
          <w:highlight w:val="none"/>
        </w:rPr>
        <w:t xml:space="preserve">联合体投标的，对联合体的具体要求见《投标人须知前附表》；对于本须知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rPr>
        <w:t xml:space="preserve">.2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条中明确</w:t>
      </w:r>
      <w:r>
        <w:rPr>
          <w:rFonts w:hint="eastAsia" w:ascii="宋体" w:hAnsi="宋体" w:eastAsia="宋体" w:cs="宋体"/>
          <w:b/>
          <w:color w:val="auto"/>
          <w:spacing w:val="0"/>
          <w:w w:val="100"/>
          <w:position w:val="0"/>
          <w:sz w:val="21"/>
          <w:szCs w:val="21"/>
          <w:highlight w:val="none"/>
        </w:rPr>
        <w:t>不接受</w:t>
      </w:r>
      <w:r>
        <w:rPr>
          <w:rFonts w:hint="eastAsia" w:ascii="宋体" w:hAnsi="宋体" w:eastAsia="宋体" w:cs="宋体"/>
          <w:color w:val="auto"/>
          <w:spacing w:val="0"/>
          <w:w w:val="100"/>
          <w:position w:val="0"/>
          <w:sz w:val="21"/>
          <w:szCs w:val="21"/>
          <w:highlight w:val="none"/>
        </w:rPr>
        <w:t>联合体投标的，联合体具体要求不适用。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3.3.2</w:t>
      </w:r>
      <w:r>
        <w:rPr>
          <w:rFonts w:hint="eastAsia" w:ascii="宋体" w:hAnsi="宋体" w:eastAsia="宋体" w:cs="宋体"/>
          <w:color w:val="auto"/>
          <w:spacing w:val="0"/>
          <w:w w:val="100"/>
          <w:position w:val="0"/>
          <w:sz w:val="21"/>
          <w:szCs w:val="21"/>
          <w:highlight w:val="none"/>
        </w:rPr>
        <w:t>联合体是指两个以上的法人或者其他组织可以组成一个联合体，以一个投标人的身份共同投标。</w:t>
      </w:r>
      <w:r>
        <w:rPr>
          <w:rFonts w:hint="eastAsia" w:ascii="宋体" w:hAnsi="宋体" w:eastAsia="宋体" w:cs="宋体"/>
          <w:color w:val="auto"/>
          <w:sz w:val="21"/>
          <w:szCs w:val="21"/>
          <w:highlight w:val="none"/>
        </w:rPr>
        <w:t>投标人为联合体形式的，除应符合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条规定外，还应遵守以下规定：</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3.3.2.1 </w:t>
      </w:r>
      <w:r>
        <w:rPr>
          <w:rFonts w:hint="eastAsia" w:ascii="宋体" w:hAnsi="宋体" w:eastAsia="宋体" w:cs="宋体"/>
          <w:color w:val="auto"/>
          <w:sz w:val="21"/>
          <w:szCs w:val="21"/>
          <w:highlight w:val="none"/>
        </w:rPr>
        <w:t>联合体各方必须签订联合体协议书，明确联合体牵头人和各方的义务、工作、合同工作量比例；</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3.3.2.2 </w:t>
      </w:r>
      <w:r>
        <w:rPr>
          <w:rFonts w:hint="eastAsia" w:ascii="宋体" w:hAnsi="宋体" w:eastAsia="宋体" w:cs="宋体"/>
          <w:color w:val="auto"/>
          <w:sz w:val="21"/>
          <w:szCs w:val="21"/>
          <w:highlight w:val="none"/>
        </w:rPr>
        <w:t>联合体各方均应当符合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条规定的投标人基本资格条件；联合体中有同类资质的投标人按照联合体分工承担相同工作的，按照资质等级较低的投标人确定资质等级。</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 xml:space="preserve">3.3.2.3 </w:t>
      </w:r>
      <w:r>
        <w:rPr>
          <w:rFonts w:hint="eastAsia" w:ascii="宋体" w:hAnsi="宋体" w:eastAsia="宋体" w:cs="宋体"/>
          <w:color w:val="auto"/>
          <w:sz w:val="21"/>
          <w:szCs w:val="21"/>
          <w:highlight w:val="none"/>
        </w:rPr>
        <w:t>除</w:t>
      </w:r>
      <w:r>
        <w:rPr>
          <w:rFonts w:hint="eastAsia" w:ascii="宋体" w:hAnsi="宋体" w:eastAsia="宋体" w:cs="宋体"/>
          <w:color w:val="auto"/>
          <w:spacing w:val="0"/>
          <w:w w:val="100"/>
          <w:position w:val="0"/>
          <w:sz w:val="21"/>
          <w:szCs w:val="21"/>
          <w:highlight w:val="none"/>
        </w:rPr>
        <w:t>《投标人须知前附表》</w:t>
      </w:r>
      <w:r>
        <w:rPr>
          <w:rFonts w:hint="eastAsia" w:ascii="宋体" w:hAnsi="宋体" w:eastAsia="宋体" w:cs="宋体"/>
          <w:color w:val="auto"/>
          <w:sz w:val="21"/>
          <w:szCs w:val="21"/>
          <w:highlight w:val="none"/>
        </w:rPr>
        <w:t>中另有规定，联合体各方中至少有一方应当符合</w:t>
      </w:r>
      <w:r>
        <w:rPr>
          <w:rFonts w:hint="eastAsia" w:ascii="宋体" w:hAnsi="宋体" w:eastAsia="宋体" w:cs="宋体"/>
          <w:color w:val="auto"/>
          <w:spacing w:val="0"/>
          <w:w w:val="100"/>
          <w:position w:val="0"/>
          <w:sz w:val="21"/>
          <w:szCs w:val="21"/>
          <w:highlight w:val="none"/>
        </w:rPr>
        <w:t>本须知</w:t>
      </w:r>
      <w:r>
        <w:rPr>
          <w:rFonts w:hint="eastAsia" w:ascii="宋体" w:hAnsi="宋体" w:eastAsia="宋体" w:cs="宋体"/>
          <w:color w:val="auto"/>
          <w:spacing w:val="0"/>
          <w:w w:val="100"/>
          <w:position w:val="0"/>
          <w:sz w:val="21"/>
          <w:szCs w:val="21"/>
          <w:highlight w:val="none"/>
          <w:lang w:val="en-US" w:eastAsia="zh-CN"/>
        </w:rPr>
        <w:t xml:space="preserve"> </w:t>
      </w: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.2 </w:t>
      </w:r>
      <w:r>
        <w:rPr>
          <w:rFonts w:hint="eastAsia" w:ascii="宋体" w:hAnsi="宋体" w:eastAsia="宋体" w:cs="宋体"/>
          <w:color w:val="auto"/>
          <w:sz w:val="21"/>
          <w:szCs w:val="21"/>
          <w:highlight w:val="none"/>
        </w:rPr>
        <w:t>条规定的投标人特定资格条件。</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3.3.3</w:t>
      </w:r>
      <w:r>
        <w:rPr>
          <w:rFonts w:hint="eastAsia" w:ascii="宋体" w:hAnsi="宋体" w:eastAsia="宋体" w:cs="宋体"/>
          <w:color w:val="auto"/>
          <w:sz w:val="21"/>
          <w:szCs w:val="21"/>
          <w:highlight w:val="none"/>
        </w:rPr>
        <w:t>大中型企业和其他自然人、法人或者其他组织与小型、微型企业组成联合体，联合体协议中约定，小型、微型企业的协议合同金额占到联合体协议合同总金额30%以上的，可给予联合体2%的价格扣除。</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联合体各方均为小型、微型企业的，联合体视同为小型、微型企业享受扶持政策。</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组成联合体的大中型企业和其他自然人、法人或者其他组织，与小型、微型企业之间不得存在投资关系，并附协议书。</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z w:val="21"/>
          <w:szCs w:val="21"/>
          <w:highlight w:val="none"/>
          <w:lang w:val="en-US" w:eastAsia="zh-CN"/>
        </w:rPr>
        <w:t>3.3.4</w:t>
      </w:r>
      <w:r>
        <w:rPr>
          <w:rFonts w:hint="eastAsia" w:ascii="宋体" w:hAnsi="宋体" w:eastAsia="宋体" w:cs="宋体"/>
          <w:color w:val="auto"/>
          <w:sz w:val="21"/>
          <w:szCs w:val="21"/>
          <w:highlight w:val="none"/>
        </w:rPr>
        <w:t>以联合体形式参加政府采购活动的，联合体各方不得再单独参加或者与其他投标人另外组成联合体参加同一合同项下的政府采购活动。</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4 </w:t>
      </w:r>
      <w:r>
        <w:rPr>
          <w:rFonts w:hint="eastAsia" w:ascii="宋体" w:hAnsi="宋体" w:eastAsia="宋体" w:cs="宋体"/>
          <w:color w:val="auto"/>
          <w:sz w:val="21"/>
          <w:szCs w:val="21"/>
          <w:highlight w:val="none"/>
        </w:rPr>
        <w:t>投标人不得存在下列情形之一：</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与采购人、采购代理机构存在利害关系；</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val="en-US" w:eastAsia="zh-CN"/>
        </w:rPr>
        <w:t xml:space="preserve"> </w:t>
      </w:r>
      <w:r>
        <w:rPr>
          <w:rFonts w:hint="eastAsia" w:ascii="宋体" w:hAnsi="宋体" w:eastAsia="宋体" w:cs="宋体"/>
          <w:color w:val="auto"/>
          <w:sz w:val="21"/>
          <w:szCs w:val="21"/>
          <w:highlight w:val="none"/>
        </w:rPr>
        <w:t>受到刑事处罚，或者受到3万元以上的罚款、责令停产停业、在1至3年内禁止参加政府采购活动、暂扣或者吊销许可证、暂扣或者吊销执照等情形之一的行政处罚，或者存在财政部门认定的其他重大违法记录。</w:t>
      </w:r>
    </w:p>
    <w:p>
      <w:pPr>
        <w:pStyle w:val="31"/>
        <w:snapToGrid w:val="0"/>
        <w:spacing w:line="360" w:lineRule="auto"/>
        <w:ind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w:t>
      </w:r>
      <w:r>
        <w:rPr>
          <w:rFonts w:hint="eastAsia" w:ascii="宋体" w:hAnsi="宋体" w:eastAsia="宋体" w:cs="宋体"/>
          <w:color w:val="auto"/>
          <w:sz w:val="21"/>
          <w:szCs w:val="21"/>
          <w:highlight w:val="none"/>
          <w:lang w:val="en-US" w:eastAsia="zh-CN"/>
        </w:rPr>
        <w:t xml:space="preserve">5 </w:t>
      </w:r>
      <w:r>
        <w:rPr>
          <w:rFonts w:hint="eastAsia" w:ascii="宋体" w:hAnsi="宋体" w:eastAsia="宋体" w:cs="宋体"/>
          <w:color w:val="auto"/>
          <w:sz w:val="21"/>
          <w:szCs w:val="21"/>
          <w:highlight w:val="none"/>
        </w:rPr>
        <w:t>投标人具有履行合同所必需的设备和专业技术能力，在人员、设备、资金等方面具有相应能力；投标人提供</w:t>
      </w:r>
      <w:r>
        <w:rPr>
          <w:rFonts w:hint="eastAsia" w:ascii="宋体" w:hAnsi="宋体" w:eastAsia="宋体" w:cs="宋体"/>
          <w:color w:val="auto"/>
          <w:sz w:val="21"/>
          <w:szCs w:val="21"/>
          <w:highlight w:val="none"/>
          <w:lang w:eastAsia="zh-CN"/>
        </w:rPr>
        <w:t>的</w:t>
      </w:r>
      <w:r>
        <w:rPr>
          <w:rFonts w:hint="eastAsia" w:ascii="宋体" w:hAnsi="宋体" w:eastAsia="宋体" w:cs="宋体"/>
          <w:color w:val="auto"/>
          <w:sz w:val="21"/>
          <w:szCs w:val="21"/>
          <w:highlight w:val="none"/>
        </w:rPr>
        <w:t>产品必须是成熟产品；在项目地具有技术支持和后续服务等能力。</w:t>
      </w:r>
    </w:p>
    <w:p>
      <w:pPr>
        <w:pStyle w:val="31"/>
        <w:snapToGrid w:val="0"/>
        <w:spacing w:line="360" w:lineRule="auto"/>
        <w:ind w:firstLine="422" w:firstLineChars="200"/>
        <w:jc w:val="both"/>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3.</w:t>
      </w:r>
      <w:r>
        <w:rPr>
          <w:rFonts w:hint="eastAsia" w:ascii="宋体" w:hAnsi="宋体" w:eastAsia="宋体" w:cs="宋体"/>
          <w:b/>
          <w:bCs/>
          <w:color w:val="auto"/>
          <w:sz w:val="21"/>
          <w:szCs w:val="21"/>
          <w:highlight w:val="none"/>
          <w:lang w:val="en-US" w:eastAsia="zh-CN"/>
        </w:rPr>
        <w:t xml:space="preserve">6 </w:t>
      </w:r>
      <w:r>
        <w:rPr>
          <w:rFonts w:hint="eastAsia" w:ascii="宋体" w:hAnsi="宋体" w:eastAsia="宋体" w:cs="宋体"/>
          <w:b/>
          <w:bCs/>
          <w:color w:val="auto"/>
          <w:sz w:val="21"/>
          <w:szCs w:val="21"/>
          <w:highlight w:val="none"/>
        </w:rPr>
        <w:t>使用综合评分法的采购项目</w:t>
      </w:r>
      <w:r>
        <w:rPr>
          <w:rFonts w:hint="eastAsia" w:ascii="宋体" w:hAnsi="宋体" w:eastAsia="宋体" w:cs="宋体"/>
          <w:color w:val="auto"/>
          <w:sz w:val="21"/>
          <w:szCs w:val="21"/>
          <w:highlight w:val="none"/>
        </w:rPr>
        <w:t>，提供相同品牌产品且通过资格审查、符合性审查的不同投标人参加同一合同项下投标的，按一家投标人计算，评标后得分最高的同品牌投标人获得中标人推荐资格；评标得分相同的，由采购人或者采购人委托评标委员会按照招标文件规定的方式确定一个投标人获得中标人推荐资格，招标文件未规定的采取随机抽取方式确定，其他同品牌投标人不作为中标候选人。</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z w:val="21"/>
          <w:szCs w:val="21"/>
          <w:highlight w:val="none"/>
        </w:rPr>
        <w:t>非单一产品采购项目，采购人应当根据采购项目技术构成、产品价格比重等合理确定核心产品，并在招标文件中载明。多家投标人提供的核心产品品牌相同的，同上处理。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4 </w:t>
      </w:r>
      <w:r>
        <w:rPr>
          <w:rFonts w:hint="eastAsia" w:ascii="宋体" w:hAnsi="宋体" w:eastAsia="宋体" w:cs="宋体"/>
          <w:color w:val="auto"/>
          <w:spacing w:val="0"/>
          <w:w w:val="100"/>
          <w:position w:val="0"/>
          <w:sz w:val="21"/>
          <w:szCs w:val="21"/>
          <w:highlight w:val="none"/>
        </w:rPr>
        <w:t>进口产品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bookmarkStart w:id="30" w:name="_bookmark35"/>
      <w:bookmarkEnd w:id="30"/>
      <w:bookmarkStart w:id="31" w:name="_bookmark35"/>
      <w:bookmarkEnd w:id="31"/>
      <w:r>
        <w:rPr>
          <w:rFonts w:hint="eastAsia" w:ascii="宋体" w:hAnsi="宋体" w:eastAsia="宋体" w:cs="宋体"/>
          <w:color w:val="auto"/>
          <w:spacing w:val="0"/>
          <w:w w:val="100"/>
          <w:position w:val="0"/>
          <w:sz w:val="21"/>
          <w:szCs w:val="21"/>
          <w:highlight w:val="none"/>
          <w:lang w:val="en-US" w:eastAsia="zh-CN"/>
        </w:rPr>
        <w:t xml:space="preserve">4.1 </w:t>
      </w:r>
      <w:r>
        <w:rPr>
          <w:rFonts w:hint="eastAsia" w:ascii="宋体" w:hAnsi="宋体" w:eastAsia="宋体" w:cs="宋体"/>
          <w:color w:val="auto"/>
          <w:spacing w:val="0"/>
          <w:w w:val="100"/>
          <w:position w:val="0"/>
          <w:sz w:val="21"/>
          <w:szCs w:val="21"/>
          <w:highlight w:val="none"/>
        </w:rPr>
        <w:t>本项目是否能够采购进口产品见《投标人须知前附表》。进口产品是指通过中国海关报关验放进入中国境内且产自关境外的产品，包括已经进入中国境内的进口产品。此处所述产品是指通过制造、加工或元部件装配，最终形成的产品。关于进口产品的相关规定依据《政府采购进口产品管理办法》（财库［2007］119 号文）、《关于政府采购进口产品管理有关问题的通知》（财办库［2008］248 号文）。</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 投标费用和知识产权</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5.1 投标人应承担其参加本招标活动自身所发生的费用。招标文件所提供的资料，是采购人现有的能被投标人利用的资料，采购人对投标人作出的任何推论、理解和结论均不负责任。</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5.2 投标人应保证，在中华人民共和国境内使用投标成果、服务或其任何一部分时，不会产生因第三方提出侵犯其专利权或其他知识产权而引起的法律和经济纠纷。如投标人不拥有相应的知识产权，则在报价中须包括合法获取该知识产权的相关费用。</w:t>
      </w:r>
    </w:p>
    <w:p>
      <w:pPr>
        <w:pStyle w:val="28"/>
        <w:keepNext w:val="0"/>
        <w:keepLines w:val="0"/>
        <w:pageBreakBefore w:val="0"/>
        <w:widowControl w:val="0"/>
        <w:numPr>
          <w:ilvl w:val="0"/>
          <w:numId w:val="0"/>
        </w:numPr>
        <w:tabs>
          <w:tab w:val="left" w:pos="907"/>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6 </w:t>
      </w:r>
      <w:r>
        <w:rPr>
          <w:rFonts w:hint="eastAsia" w:ascii="宋体" w:hAnsi="宋体" w:eastAsia="宋体" w:cs="宋体"/>
          <w:color w:val="auto"/>
          <w:spacing w:val="0"/>
          <w:w w:val="100"/>
          <w:position w:val="0"/>
          <w:sz w:val="21"/>
          <w:szCs w:val="21"/>
          <w:highlight w:val="none"/>
        </w:rPr>
        <w:t>通知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val="en-US" w:eastAsia="zh-CN"/>
        </w:rPr>
        <w:t xml:space="preserve">6.1 </w:t>
      </w:r>
      <w:r>
        <w:rPr>
          <w:rFonts w:hint="eastAsia" w:ascii="宋体" w:hAnsi="宋体" w:eastAsia="宋体" w:cs="宋体"/>
          <w:color w:val="auto"/>
          <w:spacing w:val="0"/>
          <w:w w:val="100"/>
          <w:position w:val="0"/>
          <w:sz w:val="21"/>
          <w:szCs w:val="21"/>
          <w:highlight w:val="none"/>
        </w:rPr>
        <w:t>对与本项目有关的通知，采购代理机构将以书面形式（包括书面材料、信函、电子邮件、传真、中化商务电子招投标平台通知等，下同）或在本次招标公告刊登的媒体上发布公告的形式，向潜在投标人发出，电子邮箱、传真和手机号码以潜在投标人购买招标文件时的平台登记信息为准。收到通知的投标人应以立即予以回复确认。因信息登记有误、传真线路故障或其他任何意外情形，导致所发出的通知延迟送达或无法到达投标人，除非有适当的证据表明采购代理机构已经明知该项应当通知的事项并未实际有效到达且采购代理机构认为仍有条件和必要及时地再次补发通知而故意拖延或不予补发通知，采购代理机构不因此承担任何责任，有关的招标活动可以继续有效地进行。</w:t>
      </w:r>
    </w:p>
    <w:p>
      <w:pPr>
        <w:pStyle w:val="5"/>
        <w:spacing w:before="31"/>
        <w:ind w:right="113"/>
        <w:outlineLvl w:val="1"/>
        <w:rPr>
          <w:rFonts w:hint="eastAsia" w:ascii="宋体" w:hAnsi="宋体" w:eastAsia="宋体" w:cs="宋体"/>
          <w:color w:val="auto"/>
          <w:spacing w:val="0"/>
          <w:w w:val="100"/>
          <w:position w:val="0"/>
          <w:sz w:val="24"/>
          <w:szCs w:val="24"/>
          <w:highlight w:val="none"/>
        </w:rPr>
      </w:pPr>
      <w:bookmarkStart w:id="32" w:name="_bookmark36"/>
      <w:bookmarkEnd w:id="32"/>
      <w:bookmarkStart w:id="33" w:name="_Toc31872"/>
      <w:r>
        <w:rPr>
          <w:rFonts w:hint="eastAsia" w:ascii="宋体" w:hAnsi="宋体" w:eastAsia="宋体" w:cs="宋体"/>
          <w:color w:val="auto"/>
          <w:spacing w:val="0"/>
          <w:w w:val="100"/>
          <w:position w:val="0"/>
          <w:sz w:val="24"/>
          <w:szCs w:val="24"/>
          <w:highlight w:val="none"/>
        </w:rPr>
        <w:t>二、招标文件</w:t>
      </w:r>
      <w:bookmarkEnd w:id="33"/>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7 招标文件构成</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7.1 “招标文件”以下六部分组成，包括：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第一章 投标邀请；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第二章 投标人须知前附表和投标人须知；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第三章 评标方法和评标标准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第四章 技术服务需求；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第五章 拟签订的合同文本；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第六章 投标文件格式。</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8 对招标文件的询问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8.1 任何已从投标邀请中规定渠道获取了招标文件并向采购代理机构进行了登记的潜在投标人（以下简称“获取了招标文件的潜在投标人”）对招标文件如有疑问，可通过投标邀请中载明的联系方式在投标截止时间以前向采购人或采购代理机构提出询问。采购人或采购代理机构将在收到询问后以适当形式予以答复，并在必要时将答复以澄清形式抄送并书面通知给每个获取了招标文件的潜在投标人（答复中不包括问题的来源）。如果获取了招标文件的潜在投标人认为招标文件的部分设置使自己的合法权益受到损害，请按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"_bookmark63"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34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条规定提出质疑。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 招标文件的澄清和修改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9.1 采购人、采购代理机构可以对已发出的招标文件进行必要的澄清或者修改。澄清或者修改将在本项目招标公告发布媒体上发布更正公告，并以书面形式通知所有获取招标文件的潜在投标人。澄清或者修改的内容可能影响投标文件编制的，将在投标截止时间至少 15 日前，以书面形式通知所有获取了招标文件的潜在投标人；不足 15 日的，将顺延提交投标文件的截止时间和开标时间。获取了招标文件的潜在投标人在收到上述通知后，应立即向采购代理机构回复确认，但是投标人的确认不作为其收到上述通知的唯一证据。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9.2 招标文件的澄清或者修改的内容为招标文件的组成部分，并对所有获取了招标文件的潜在投标人具有约束力。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34" w:name="_bookmark37"/>
      <w:bookmarkEnd w:id="34"/>
      <w:bookmarkStart w:id="35" w:name="_bookmark37"/>
      <w:bookmarkEnd w:id="35"/>
      <w:r>
        <w:rPr>
          <w:rFonts w:hint="eastAsia" w:ascii="宋体" w:hAnsi="宋体" w:eastAsia="宋体" w:cs="宋体"/>
          <w:color w:val="auto"/>
          <w:spacing w:val="0"/>
          <w:w w:val="100"/>
          <w:position w:val="0"/>
          <w:sz w:val="21"/>
          <w:szCs w:val="21"/>
          <w:highlight w:val="none"/>
          <w:lang w:val="en-US" w:eastAsia="zh-CN"/>
        </w:rPr>
        <w:t>9.3 采购人、采购代理机构将视情况确定是否有必要安排所有获取了招标文件的潜在投标人踏勘现场，相关要求见《投标人须知前附表》。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36" w:name="_bookmark38"/>
      <w:bookmarkEnd w:id="36"/>
      <w:bookmarkStart w:id="37" w:name="_bookmark38"/>
      <w:bookmarkEnd w:id="37"/>
      <w:r>
        <w:rPr>
          <w:rFonts w:hint="eastAsia" w:ascii="宋体" w:hAnsi="宋体" w:eastAsia="宋体" w:cs="宋体"/>
          <w:color w:val="auto"/>
          <w:spacing w:val="0"/>
          <w:w w:val="100"/>
          <w:position w:val="0"/>
          <w:sz w:val="21"/>
          <w:szCs w:val="21"/>
          <w:highlight w:val="none"/>
          <w:lang w:val="en-US" w:eastAsia="zh-CN"/>
        </w:rPr>
        <w:t>9.4 采购人、采购代理机构将视情况确定是否有必要召开标前会，相关要求见《投标人须知前附表》。</w:t>
      </w:r>
    </w:p>
    <w:p>
      <w:pPr>
        <w:pStyle w:val="31"/>
        <w:snapToGrid w:val="0"/>
        <w:spacing w:line="360" w:lineRule="auto"/>
        <w:ind w:firstLine="420" w:firstLineChars="200"/>
        <w:jc w:val="both"/>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10 政府采购政策支持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10.1促进中小企业、残疾人福利性单位、监狱企业政策落实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（1）《政府采购促进中小企业发展管理办法》（财库[2020]46 号，以下简称“发展管理办法”）本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（2）在政府采购活动中，投标人提供的货物、工程或者服务符合下列情形的，享受本办法规定的中小企业扶持政策：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（一）在货物采购项目中，货物由中小企业制造，即货物由中小企业生产且使用该中小企业商号或者注册商标；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（二）在工程采购项目中，工程由中小企业承建，即工程施工单位为中小企业；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（三）在服务采购项目中，服务由中小企业承接，即提供服务的人员为中小企业依照《中华人民共和国劳动合同法》订立劳动合同的从业人员。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在货物采购项目中，投标人提供的货物既有中小企业制造货物，也有大型企业制造货物的，不享受本办法规定的中小企业扶持政策。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以联合体形式参加政府采购活动，联合体各方均为中小企业的，联合体视同中小企业。其中，联合体各方均为小微企业的，联合体视同小微企业。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（3）对符合规定的小微企业报价给予 6%—10%（工程项目为 3%—5%）的扣除，用扣除后的价格参加评审。适用招标投标法的政府采购工程建设项目，采用综合评估法但未采用低价优先法计算价格分的，评标时应当在采用原报价进行评分的基础上增加其价格得分的 3%—5%作为其价格分。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 </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价格扣除比例或者价格分加分比例对小型企业和微型企业同等对待，不作区分。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（4）中小企业参加政府采购活动，应当出具《中小企业声明函》，否则不得享受相关中小企业扶持政策，《中小企业声明函》格式见第六章投标文件格式附件12。</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（5）根据《关于政府采购支持监狱企业发展有关问题的通知》（财库[2014]68 号）的要求，监狱和戒毒企业（以下简称监狱企业）参加政府采购活动时，应当提供由省级以上监狱管理局、戒毒管理局（含新疆生产建设兵团）出具的属于监狱企业的证明文件。监狱企业视同小型、微型企业，享受招标文件规定的评审中价格扣除等促进中小企业发展的政府采购政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（6）根据《关于促进残疾人就业政府采购政策的通知》（财库〔2017〕141 号）规定， 投标人如符合该规定享受政府采购支持政策的残疾人福利性单位的条件，应提供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残疾人福利性单位声明函》，格式见第六章投标文件格式附件13。残疾人福利性单位视同小型、微型企业，享受招标文件规定的评审中价格扣除等促进中小企业发展的政府采购政策。残疾人福利性单位属于小型、微型企业的，不重复享受政策。享受政府采购支持政策的残疾人福利性单位应当同时满足以下条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（一）安置的残疾人占本单位在职职工人数的比例不低于 25%（含 25%），并且安置的残疾人人数不少于 10 人（含 10 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（二）依法与安置的每位残疾人签订了一年以上（含一年）的劳动合同或服务协议；</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（三）为安置的每位残疾人按月足额缴纳了基本养老保险、基本医疗保险、失业保险、工伤保险和生育保险等社会保险费；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（四）通过银行等金融机构向安置的每位残疾人，按月支付了不低于单位所在区县适用的经省级人民政府批准的月最低工资标准的工资；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（五）提供本单位制造的货物、承担的工程或者服务（以下简称产品），或者提供其他残疾人福利性单位制造的货物（不包括使用非残疾人福利性单位注册商标的货物）。</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（7）若投标报价中有小型、微型企业、监狱企业或残疾人福利性单位报价的，需填报《分项报价表Ⅱ（仅针对小型、微型企业、监狱企业或残疾人福利性单位产品）》。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10.2鼓励节能、环保政策落实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（1）鼓励节能政策：在性能、技术、服务等指标同等条件下，优先采购国家确定的认证机构出具的、处于有效期之内的节能产品认证证书标志产品。投标涉及上述产品的， 投标人应提供带有投标产品型号的节能产品认证证书复印件作为证明。</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（2）鼓励环保政策：在性能、技术、服务等指标同等条件下，优先采购国家确定的认证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机构出具的、处于有效期之内的环境标志产品认证证书标志产品。投标涉及上述产品的，投标人应提供带有投标产品型号的环境标志产品认证证书复印件作为证明。</w:t>
      </w:r>
    </w:p>
    <w:p>
      <w:pPr>
        <w:pStyle w:val="5"/>
        <w:spacing w:line="409" w:lineRule="exact"/>
        <w:ind w:right="119"/>
        <w:outlineLvl w:val="1"/>
        <w:rPr>
          <w:rFonts w:hint="eastAsia" w:ascii="宋体" w:hAnsi="宋体" w:eastAsia="宋体" w:cs="宋体"/>
          <w:color w:val="auto"/>
          <w:spacing w:val="0"/>
          <w:w w:val="100"/>
          <w:position w:val="0"/>
          <w:sz w:val="24"/>
          <w:szCs w:val="24"/>
          <w:highlight w:val="none"/>
        </w:rPr>
      </w:pPr>
      <w:bookmarkStart w:id="38" w:name="_bookmark39"/>
      <w:bookmarkEnd w:id="38"/>
      <w:bookmarkStart w:id="39" w:name="_Toc11774"/>
      <w:r>
        <w:rPr>
          <w:rFonts w:hint="eastAsia" w:ascii="宋体" w:hAnsi="宋体" w:eastAsia="宋体" w:cs="宋体"/>
          <w:color w:val="auto"/>
          <w:spacing w:val="0"/>
          <w:w w:val="100"/>
          <w:position w:val="0"/>
          <w:sz w:val="24"/>
          <w:szCs w:val="24"/>
          <w:highlight w:val="none"/>
        </w:rPr>
        <w:t>三、投标文件的编制</w:t>
      </w:r>
      <w:bookmarkEnd w:id="39"/>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 投标文件的语言和计量单位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11.1 投标人提交的投标文件（包括技术文件、电子投标文件和投标资料、图纸中的说明等）以及投标人与采购人或采购代理机构就有关投标的所有来往函电均应使用中文简体字。投标人提交的支持材料或已印刷的文献可以用另一种语言，但相应内容应附有中文翻译本，在解释投标文件时以中文翻译本为准，未附中文翻译本或翻译本中文内容明显与外文内容不一致的不利后果均由投标人自行承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11.2 投标文件所使用的计量单位，应使用国家法定计量单位，但招标文件技术服务需求中已使用了法定之外计量单位的情况除外。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12 投标文件构成</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0" w:name="_bookmark40"/>
      <w:bookmarkEnd w:id="40"/>
      <w:bookmarkStart w:id="41" w:name="_bookmark40"/>
      <w:bookmarkEnd w:id="41"/>
      <w:r>
        <w:rPr>
          <w:rFonts w:hint="eastAsia" w:ascii="宋体" w:hAnsi="宋体" w:eastAsia="宋体" w:cs="宋体"/>
          <w:color w:val="auto"/>
          <w:spacing w:val="0"/>
          <w:w w:val="100"/>
          <w:position w:val="0"/>
          <w:sz w:val="21"/>
          <w:szCs w:val="21"/>
          <w:highlight w:val="none"/>
          <w:lang w:val="en-US" w:eastAsia="zh-CN"/>
        </w:rPr>
        <w:t xml:space="preserve">12.1 投标人编写的投标文件应包括但不限于《投标人须知前附表》所列资格、资信证明部分和第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"_bookmark12"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条所列商务技术部分中的内容。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2" w:name="_bookmark41"/>
      <w:bookmarkEnd w:id="42"/>
      <w:bookmarkStart w:id="43" w:name="_bookmark41"/>
      <w:bookmarkEnd w:id="43"/>
      <w:r>
        <w:rPr>
          <w:rFonts w:hint="eastAsia" w:ascii="宋体" w:hAnsi="宋体" w:eastAsia="宋体" w:cs="宋体"/>
          <w:color w:val="auto"/>
          <w:spacing w:val="0"/>
          <w:w w:val="100"/>
          <w:position w:val="0"/>
          <w:sz w:val="21"/>
          <w:szCs w:val="21"/>
          <w:highlight w:val="none"/>
          <w:lang w:val="en-US" w:eastAsia="zh-CN"/>
        </w:rPr>
        <w:t>12.2 投标人编写的投标文件具体内容的其他要求或注意事项见《投标人须知前附表》。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12.3 投标人应保证投标文件所提供的全部资料真实可靠，并接受评标委员会对其中任何资料进一步审查的要求。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 投标文件的式样和签署</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4" w:name="_bookmark42"/>
      <w:bookmarkEnd w:id="44"/>
      <w:bookmarkStart w:id="45" w:name="_bookmark42"/>
      <w:bookmarkEnd w:id="45"/>
      <w:r>
        <w:rPr>
          <w:rFonts w:hint="eastAsia" w:ascii="宋体" w:hAnsi="宋体" w:eastAsia="宋体" w:cs="宋体"/>
          <w:color w:val="auto"/>
          <w:spacing w:val="0"/>
          <w:w w:val="100"/>
          <w:position w:val="0"/>
          <w:sz w:val="21"/>
          <w:szCs w:val="21"/>
          <w:highlight w:val="none"/>
          <w:lang w:val="en-US" w:eastAsia="zh-CN"/>
        </w:rPr>
        <w:t>13.1 投标人应按《投标人须知前附表》规定的份数准备投标文件。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*报价部分、资格、资信证明部分、商务技术部分不分开装订成册，全部装订到一起。如太厚无法胶装为一册时可分两册或几册胶装，但不得单独一个部分装订成册。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投标文件纸质正本及副本须在封面清楚地标明“正本”或“副本”，若投标文件有其他纸质组成部分或再分为多册装订等情况，则除了在封面清楚地标明“正本” 或“副本”外，还应尽量注明该纸质文件的内容（例如“上册”、“下册”、“图纸” 或“附件”等）。若投标文件副本与正本不符，以正本为准。电子版与纸制文件不符， 以纸制文件为准。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13.2 投标文件幅面规格请使用 A4 规格纸张，按照招标文件第六章规定的顺序，统一编目编码装订，尽量采用双面印刷。由于编排混乱导致投标文件被误读或相关信息查找不到，其责任应当由投标人承担。投标文件装订采用胶订或线订形式进行牢固装订（左侧装订），不得采用活页装订。未牢固装订的纸质材料将不作为投标文件的组成部分，不作为评审依据，但投标人在投标截止时间前提交的投标文件的补充或修改材料以及投标人按照评标委员会要求进行的澄清、修改或补正材料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13.3 投标人在投标文件及相关文件的签订、履行、通知等事项的书面文件中的单位盖章、印章、公章等处均是指与当事人名称全称相一致的标准公章，如使用投标专用章或其他印章，须提供特别说明函，明确该投标专用章或其他印章效力等同于公章（该特别说明函须同时加盖公章和投标专用章或其他印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13.4 投标文件的正本应用不褪色的墨水书写或打印，在封面或扉页或骑缝加盖投标人单位公章并在投标函中由投标人的法定代表人签署（法定代表人签署说明：法定代表人签字、盖手签章或盖姓名章均为有效签署）或者由法定代表人授权的代理人（也称“被授权人”，下同）签字后有效。由代理人签字的，应附《法定代表人授权书》，《法定代表人授权书》应符合第六章的格式要求。投标人为无法定代表人的其他团体组织等时，法定代表人则系指其负责人，下同。投标文件的副本可采用正本的复印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13.5 投标文件应尽量避免涂改、行间插字或增删，如果出现上述情况，改动之处必须由投标人的法定代表人签署或者被授权人签字或者盖公章才有效。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13.6 若本项目采购需求分为两个或以上包件，除非招标文件中另有规定，投标人对本项目的多个包件进行投标时，投标文件须按包件分别编制并装订提交。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13.7</w:t>
      </w:r>
      <w:r>
        <w:rPr>
          <w:rFonts w:hint="eastAsia" w:ascii="宋体" w:hAnsi="宋体" w:eastAsia="宋体" w:cs="宋体"/>
          <w:color w:val="auto"/>
          <w:spacing w:val="0"/>
          <w:w w:val="100"/>
          <w:kern w:val="0"/>
          <w:position w:val="0"/>
          <w:sz w:val="21"/>
          <w:szCs w:val="21"/>
          <w:highlight w:val="none"/>
          <w:lang w:val="en-US" w:eastAsia="zh-CN" w:bidi="ar"/>
        </w:rPr>
        <w:t>投标文件的退还：</w:t>
      </w:r>
      <w:r>
        <w:rPr>
          <w:rFonts w:hint="eastAsia" w:ascii="宋体" w:hAnsi="宋体" w:eastAsia="宋体" w:cs="宋体"/>
          <w:color w:val="auto"/>
          <w:spacing w:val="0"/>
          <w:w w:val="100"/>
          <w:position w:val="0"/>
          <w:sz w:val="21"/>
          <w:szCs w:val="21"/>
          <w:highlight w:val="none"/>
          <w:lang w:val="en-US" w:eastAsia="zh-CN"/>
        </w:rPr>
        <w:t>投标人应按《投标人须知前附表》规定退还投标文件。</w:t>
      </w:r>
      <w:r>
        <w:rPr>
          <w:rFonts w:hint="eastAsia" w:ascii="宋体" w:hAnsi="宋体" w:eastAsia="宋体" w:cs="宋体"/>
          <w:b/>
          <w:bCs/>
          <w:color w:val="auto"/>
          <w:spacing w:val="0"/>
          <w:w w:val="100"/>
          <w:kern w:val="0"/>
          <w:position w:val="0"/>
          <w:sz w:val="21"/>
          <w:szCs w:val="21"/>
          <w:highlight w:val="none"/>
          <w:lang w:val="en-US" w:eastAsia="zh-CN" w:bidi="ar"/>
        </w:rPr>
        <w:t>所有响应招标文件要求合格投标人的投标文件正本一套、副本一套及随文件同时递交的图纸、U盘等附件不予退回，其余投标文件副本均予评标结束后退回。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 投标报价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6" w:name="_bookmark43"/>
      <w:bookmarkEnd w:id="46"/>
      <w:bookmarkStart w:id="47" w:name="_bookmark43"/>
      <w:bookmarkEnd w:id="47"/>
      <w:r>
        <w:rPr>
          <w:rFonts w:hint="eastAsia" w:ascii="宋体" w:hAnsi="宋体" w:eastAsia="宋体" w:cs="宋体"/>
          <w:color w:val="auto"/>
          <w:spacing w:val="0"/>
          <w:w w:val="100"/>
          <w:position w:val="0"/>
          <w:sz w:val="21"/>
          <w:szCs w:val="21"/>
          <w:highlight w:val="none"/>
          <w:lang w:val="en-US" w:eastAsia="zh-CN"/>
        </w:rPr>
        <w:t>14.1 报价方式详见《投标人须知前附表》。所有投标报价均以《投标人须知前附表》规定的币种和单位为计量单位。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14.2 投标人必须对其参加的一个包件或多个包件内的所有货物和服务以包为单位进行报价，不得将几个包件合报一个价格，也不得将一个包件中的内容拆开报价。如果招标文件采购内容未注明分包件采购，即为全部需求内容是一个包件（即第 1 包件）。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14.3 投标报价中不得包含招标文件要求以外的内容，否则，在评标时不予核减。投标报价中也不应缺漏招标文件所要求的内容。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14.4 本次招标不接受可选择或可调整的投标和报价，投标人对每种货物或服务只允许有一个报价，任何有选择的或可调整的投标人案和报价将被视为无效投标。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48" w:name="_bookmark44"/>
      <w:bookmarkEnd w:id="48"/>
      <w:bookmarkStart w:id="49" w:name="_bookmark44"/>
      <w:bookmarkEnd w:id="49"/>
      <w:r>
        <w:rPr>
          <w:rFonts w:hint="eastAsia" w:ascii="宋体" w:hAnsi="宋体" w:eastAsia="宋体" w:cs="宋体"/>
          <w:color w:val="auto"/>
          <w:spacing w:val="0"/>
          <w:w w:val="100"/>
          <w:position w:val="0"/>
          <w:sz w:val="21"/>
          <w:szCs w:val="21"/>
          <w:highlight w:val="none"/>
          <w:lang w:val="en-US" w:eastAsia="zh-CN"/>
        </w:rPr>
        <w:t>14.5 本次招标设定的最高投标限价见《投标人须知前附表》。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15 投标有效期和投标保证金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0" w:name="_bookmark45"/>
      <w:bookmarkEnd w:id="50"/>
      <w:bookmarkStart w:id="51" w:name="_bookmark45"/>
      <w:bookmarkEnd w:id="51"/>
      <w:r>
        <w:rPr>
          <w:rFonts w:hint="eastAsia" w:ascii="宋体" w:hAnsi="宋体" w:eastAsia="宋体" w:cs="宋体"/>
          <w:color w:val="auto"/>
          <w:spacing w:val="0"/>
          <w:w w:val="100"/>
          <w:position w:val="0"/>
          <w:sz w:val="21"/>
          <w:szCs w:val="21"/>
          <w:highlight w:val="none"/>
          <w:lang w:val="en-US" w:eastAsia="zh-CN"/>
        </w:rPr>
        <w:t>15.1 投标有效期见《投标人须知前附表》。投标有效期短于要求的投标文件将被视为无效投标。特殊情况下，在原投标有效期截止之前，采购代理机构可要求投标人延长投标有效期。这种要求与答复均应以书面形式提交。投标人可拒绝采购代理机构的这种要求，其投标保证金将予以退还，但其投标在原投标有效期期满后将不再有效。同意延长投标有效期的投标人将不会被要求和允许修正其投标，而只会被要求相应地延长其投标保证金的有效期。在这种情况下，在这种情况下，本须知内有关投标保证金的退还和不予退还的规定将在延长了的有效期内继续有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2" w:name="_bookmark46"/>
      <w:bookmarkEnd w:id="52"/>
      <w:bookmarkStart w:id="53" w:name="_bookmark46"/>
      <w:bookmarkEnd w:id="53"/>
      <w:r>
        <w:rPr>
          <w:rFonts w:hint="eastAsia" w:ascii="宋体" w:hAnsi="宋体" w:eastAsia="宋体" w:cs="宋体"/>
          <w:color w:val="auto"/>
          <w:spacing w:val="0"/>
          <w:w w:val="100"/>
          <w:position w:val="0"/>
          <w:sz w:val="21"/>
          <w:szCs w:val="21"/>
          <w:highlight w:val="none"/>
          <w:lang w:val="en-US" w:eastAsia="zh-CN"/>
        </w:rPr>
        <w:t>15.2 投标保证金金额应满足《投标人须知前附表》的要求。投标保证金提交方式建议见《投标人须知前附表》，同时，接受法律法规规定可以使用的其他形式的投标保证金。以电汇形式提交投标保证金的，汇款底单或截图复印件作为凭证随投标文件一同提交；以其他形式提交投标保证金的，保证金原件随投标文件一同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15.3 采购代理机构自中标通知书发出之日起 5 个工作日内退还未中标人的投标保证金， 自政府采购合同签订之日起 5 个工作日内退还中标人的投标保证金。因投标人自身原因导致其投标保证金未能在规定时间内退还的，采购代理机构不承担任何责任。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4" w:name="_bookmark47"/>
      <w:bookmarkEnd w:id="54"/>
      <w:bookmarkStart w:id="55" w:name="_bookmark47"/>
      <w:bookmarkEnd w:id="55"/>
      <w:r>
        <w:rPr>
          <w:rFonts w:hint="eastAsia" w:ascii="宋体" w:hAnsi="宋体" w:eastAsia="宋体" w:cs="宋体"/>
          <w:color w:val="auto"/>
          <w:spacing w:val="0"/>
          <w:w w:val="100"/>
          <w:position w:val="0"/>
          <w:sz w:val="21"/>
          <w:szCs w:val="21"/>
          <w:highlight w:val="none"/>
          <w:lang w:val="en-US" w:eastAsia="zh-CN"/>
        </w:rPr>
        <w:t>15.4 投标保证金是为了保护采购代理机构和采购人免遭因投标人的行为而蒙受损失。下列任一情况发生时，投标保证金将不退还投标人：</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bookmarkStart w:id="56" w:name="_bookmark48"/>
      <w:bookmarkEnd w:id="56"/>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投标人在投标有效期内撤销投标文件的；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中标后无正当理由不与采购人签订合同的；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将中标项目转让给他人，或者在投标文件中未说明，且未经采购人同意，将中标项目转包或部分分包给他人的；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中标人未按招标文件规定缴纳履约保证金的；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拒绝履行合同义务的。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投标人恶意串通，妨碍其他投标人的竞争行为，损害采购人或者其他投标人的合法权益的。</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投标人出现</w:t>
      </w:r>
      <w:r>
        <w:rPr>
          <w:rFonts w:hint="eastAsia" w:ascii="宋体" w:hAnsi="宋体" w:eastAsia="宋体" w:cs="宋体"/>
          <w:color w:val="auto"/>
          <w:spacing w:val="0"/>
          <w:w w:val="100"/>
          <w:position w:val="0"/>
          <w:sz w:val="21"/>
          <w:szCs w:val="21"/>
          <w:highlight w:val="none"/>
          <w:lang w:val="en-US" w:eastAsia="zh-CN"/>
        </w:rPr>
        <w:t xml:space="preserve">本须知第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"_bookmark47"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20.7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w:t>
      </w:r>
      <w:r>
        <w:rPr>
          <w:rFonts w:hint="eastAsia" w:ascii="宋体" w:hAnsi="宋体" w:eastAsia="宋体" w:cs="宋体"/>
          <w:color w:val="auto"/>
          <w:kern w:val="0"/>
          <w:sz w:val="21"/>
          <w:szCs w:val="21"/>
          <w:highlight w:val="none"/>
        </w:rPr>
        <w:t>所述情形之一的，视为投标人串通投标，其投标无效。</w:t>
      </w:r>
    </w:p>
    <w:p>
      <w:pPr>
        <w:pStyle w:val="5"/>
        <w:spacing w:before="31"/>
        <w:ind w:right="119"/>
        <w:outlineLvl w:val="1"/>
        <w:rPr>
          <w:rFonts w:hint="eastAsia" w:ascii="宋体" w:hAnsi="宋体" w:eastAsia="宋体" w:cs="宋体"/>
          <w:color w:val="auto"/>
          <w:spacing w:val="0"/>
          <w:w w:val="100"/>
          <w:position w:val="0"/>
          <w:sz w:val="24"/>
          <w:szCs w:val="24"/>
          <w:highlight w:val="none"/>
        </w:rPr>
      </w:pPr>
      <w:bookmarkStart w:id="57" w:name="_Toc7399"/>
      <w:r>
        <w:rPr>
          <w:rFonts w:hint="eastAsia" w:ascii="宋体" w:hAnsi="宋体" w:eastAsia="宋体" w:cs="宋体"/>
          <w:color w:val="auto"/>
          <w:spacing w:val="0"/>
          <w:w w:val="100"/>
          <w:position w:val="0"/>
          <w:sz w:val="24"/>
          <w:szCs w:val="24"/>
          <w:highlight w:val="none"/>
        </w:rPr>
        <w:t>四、投标文件的递交</w:t>
      </w:r>
      <w:bookmarkEnd w:id="57"/>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16 投标文件的包装及标记</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58" w:name="_bookmark49"/>
      <w:bookmarkEnd w:id="58"/>
      <w:bookmarkStart w:id="59" w:name="_bookmark49"/>
      <w:bookmarkEnd w:id="59"/>
      <w:r>
        <w:rPr>
          <w:rFonts w:hint="eastAsia" w:ascii="宋体" w:hAnsi="宋体" w:eastAsia="宋体" w:cs="宋体"/>
          <w:color w:val="auto"/>
          <w:spacing w:val="0"/>
          <w:w w:val="100"/>
          <w:position w:val="0"/>
          <w:sz w:val="21"/>
          <w:szCs w:val="21"/>
          <w:highlight w:val="none"/>
          <w:lang w:val="en-US" w:eastAsia="zh-CN"/>
        </w:rPr>
        <w:t>16.1 投标文件的包装及标记要求见《投标人须知前附表》。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16.2 如果未按本须知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"_bookmark49"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16.1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条要求加写标记，采购人和采购代理机构对误投或提前启封或错误启封或无法正确宣读/记录概不负责。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如</w:t>
      </w:r>
      <w:r>
        <w:rPr>
          <w:rFonts w:hint="eastAsia" w:ascii="宋体" w:hAnsi="宋体" w:eastAsia="宋体" w:cs="宋体"/>
          <w:color w:val="auto"/>
          <w:spacing w:val="0"/>
          <w:w w:val="100"/>
          <w:position w:val="0"/>
          <w:sz w:val="21"/>
          <w:szCs w:val="21"/>
          <w:highlight w:val="none"/>
          <w:lang w:val="en-US" w:eastAsia="zh-CN"/>
        </w:rPr>
        <w:t>《投标人须知前附表》</w:t>
      </w:r>
      <w:r>
        <w:rPr>
          <w:rFonts w:hint="eastAsia" w:ascii="宋体" w:hAnsi="宋体" w:eastAsia="宋体" w:cs="宋体"/>
          <w:color w:val="auto"/>
          <w:kern w:val="0"/>
          <w:sz w:val="21"/>
          <w:szCs w:val="21"/>
          <w:highlight w:val="none"/>
        </w:rPr>
        <w:t>中要求提供样品的，应按要求提供样品及相关资料。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.1提供样品的包件，必须提供与投标型号相同的现场实样展示；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.2</w:t>
      </w:r>
      <w:r>
        <w:rPr>
          <w:rFonts w:hint="eastAsia" w:ascii="宋体" w:hAnsi="宋体" w:eastAsia="宋体" w:cs="宋体"/>
          <w:color w:val="auto"/>
          <w:sz w:val="21"/>
          <w:szCs w:val="21"/>
          <w:highlight w:val="none"/>
        </w:rPr>
        <w:t>未提供样品的投标人，该包件投标将不进入样品评审，样品评审环节不得分。</w:t>
      </w:r>
      <w:r>
        <w:rPr>
          <w:rFonts w:hint="eastAsia" w:ascii="宋体" w:hAnsi="宋体" w:eastAsia="宋体" w:cs="宋体"/>
          <w:b/>
          <w:color w:val="auto"/>
          <w:sz w:val="21"/>
          <w:szCs w:val="21"/>
          <w:highlight w:val="none"/>
        </w:rPr>
        <w:t>样品外醒目处必须用不干胶材料（自粘标签材料）粘贴并注明投标单位全称、</w:t>
      </w:r>
      <w:r>
        <w:rPr>
          <w:rFonts w:hint="eastAsia" w:ascii="宋体" w:hAnsi="宋体" w:eastAsia="宋体" w:cs="宋体"/>
          <w:color w:val="auto"/>
          <w:sz w:val="21"/>
          <w:szCs w:val="21"/>
          <w:highlight w:val="none"/>
        </w:rPr>
        <w:t>器材（装备）名称、型号，并与投标样品清单相对应，不干胶材料大小小于4cm*4cm。</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.3样品按招标文件要求制作，材质、式样及规格、型号必须满足招标文件的实质性要求，并为检测合格的产品。中标后由采购人予以封存；未中标的投标样品由采购代理机构统一退还。</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.4样品提交要求：</w:t>
      </w:r>
      <w:r>
        <w:rPr>
          <w:rFonts w:hint="eastAsia" w:ascii="宋体" w:hAnsi="宋体" w:eastAsia="宋体" w:cs="宋体"/>
          <w:color w:val="auto"/>
          <w:sz w:val="21"/>
          <w:szCs w:val="21"/>
          <w:highlight w:val="none"/>
        </w:rPr>
        <w:t>递交样品时需同时递交投标样品清单及</w:t>
      </w:r>
      <w:r>
        <w:rPr>
          <w:rFonts w:hint="eastAsia" w:ascii="宋体" w:hAnsi="宋体" w:eastAsia="宋体" w:cs="宋体"/>
          <w:color w:val="auto"/>
          <w:sz w:val="21"/>
          <w:szCs w:val="21"/>
          <w:highlight w:val="none"/>
          <w:lang w:eastAsia="zh-CN"/>
        </w:rPr>
        <w:t>U盘</w:t>
      </w:r>
      <w:r>
        <w:rPr>
          <w:rFonts w:hint="eastAsia" w:ascii="宋体" w:hAnsi="宋体" w:eastAsia="宋体" w:cs="宋体"/>
          <w:color w:val="auto"/>
          <w:sz w:val="21"/>
          <w:szCs w:val="21"/>
          <w:highlight w:val="none"/>
        </w:rPr>
        <w:t>一套。</w:t>
      </w:r>
      <w:r>
        <w:rPr>
          <w:rFonts w:hint="eastAsia" w:ascii="宋体" w:hAnsi="宋体" w:eastAsia="宋体" w:cs="宋体"/>
          <w:color w:val="auto"/>
          <w:sz w:val="21"/>
          <w:szCs w:val="21"/>
          <w:highlight w:val="none"/>
          <w:lang w:eastAsia="zh-CN"/>
        </w:rPr>
        <w:t>U盘</w:t>
      </w:r>
      <w:r>
        <w:rPr>
          <w:rFonts w:hint="eastAsia" w:ascii="宋体" w:hAnsi="宋体" w:eastAsia="宋体" w:cs="宋体"/>
          <w:color w:val="auto"/>
          <w:sz w:val="21"/>
          <w:szCs w:val="21"/>
          <w:highlight w:val="none"/>
        </w:rPr>
        <w:t>内容为电子版投标样品清单，格式为EXCEL或WORD。（样品清单表格</w:t>
      </w:r>
      <w:r>
        <w:rPr>
          <w:rFonts w:hint="eastAsia" w:ascii="宋体" w:hAnsi="宋体" w:eastAsia="宋体" w:cs="宋体"/>
          <w:color w:val="auto"/>
          <w:sz w:val="21"/>
          <w:szCs w:val="21"/>
          <w:highlight w:val="none"/>
          <w:lang w:eastAsia="zh-CN"/>
        </w:rPr>
        <w:t>自拟</w:t>
      </w:r>
      <w:r>
        <w:rPr>
          <w:rFonts w:hint="eastAsia" w:ascii="宋体" w:hAnsi="宋体" w:eastAsia="宋体" w:cs="宋体"/>
          <w:color w:val="auto"/>
          <w:sz w:val="21"/>
          <w:szCs w:val="21"/>
          <w:highlight w:val="none"/>
        </w:rPr>
        <w:t>）样品清单须包含正面、背面、左侧面45度角清晰照片三张。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.5采购人不对样品支付任何补偿。</w:t>
      </w:r>
    </w:p>
    <w:p>
      <w:pPr>
        <w:adjustRightInd w:val="0"/>
        <w:snapToGrid w:val="0"/>
        <w:spacing w:line="360" w:lineRule="auto"/>
        <w:ind w:firstLine="420" w:firstLineChars="200"/>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kern w:val="0"/>
          <w:sz w:val="21"/>
          <w:szCs w:val="21"/>
          <w:highlight w:val="none"/>
          <w:lang w:val="en-US" w:eastAsia="zh-CN"/>
        </w:rPr>
        <w:t>16</w:t>
      </w:r>
      <w:r>
        <w:rPr>
          <w:rFonts w:hint="eastAsia" w:ascii="宋体" w:hAnsi="宋体" w:eastAsia="宋体" w:cs="宋体"/>
          <w:color w:val="auto"/>
          <w:kern w:val="0"/>
          <w:sz w:val="21"/>
          <w:szCs w:val="21"/>
          <w:highlight w:val="none"/>
        </w:rPr>
        <w:t>.</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采购活动结束后，对于未中标人提供的样品，应当及时退还或者经未中标人同意后自行处理；对于中标人提供的样品，应当按照招标文件的规定进行保管、封存，并作为履约验收的参考。</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 投标文件的密封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17.1 投标人的所有投标文件及其组成部分的包装均应进行密封。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17.2 为了方便唱标，放有开标一览表的包装应当单独密封，与装订成册的投标文件正副本及其他组成部分一起递交。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17.3 为了方便开标时唱出，放有修改投标文件的通知（如有的话）的包装应当单独密封。</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 投标截止时间及投标地点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18.1 提交投标文件截止时间（即“投标截止时间”）见第一章投标邀请。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18.2 投标文件须按照招标文件规定的时间、地点送达，在投标截止时间以后（以文件送达并完成递交登记为准）送达的投标文件，采购代理机构应当拒收。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18.3 采购代理机构可以依法酌情延长投标截止时间。在此情况下，采购人和投标人受投标截止时间制约的所有权利和义务均应延长至新的投标截止时间。</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 投标文件的修改与撤回</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19.1 投标人可以在投标截止时间前，对所递交的投标文件进行修改（修改包括补充，下同）或者撤回，并以书面形式通知采购代理机构。投标文件的修改是投标文件的组成部分。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0" w:name="_bookmark50"/>
      <w:bookmarkEnd w:id="60"/>
      <w:bookmarkStart w:id="61" w:name="_bookmark50"/>
      <w:bookmarkEnd w:id="61"/>
      <w:r>
        <w:rPr>
          <w:rFonts w:hint="eastAsia" w:ascii="宋体" w:hAnsi="宋体" w:eastAsia="宋体" w:cs="宋体"/>
          <w:color w:val="auto"/>
          <w:spacing w:val="0"/>
          <w:w w:val="100"/>
          <w:position w:val="0"/>
          <w:sz w:val="21"/>
          <w:szCs w:val="21"/>
          <w:highlight w:val="none"/>
          <w:lang w:val="en-US" w:eastAsia="zh-CN"/>
        </w:rPr>
        <w:t>19.2 投标人修改投标文件的通知应逐页加盖公章或者逐页由投标人法定代表人签署或由被授权人签字，并应单独包装同时在包装袋上标明“投标文件修改通知”、 项目名称、项目编号、包件号、包件名称、投标人名称和“在【投标截止时间】之前不得启封”的字样，单独密封后提交。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19.3 投标人撤回投标文件的通知应由投标人法定代表人签署或由被授权人签字。</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19.4 从投标截止时间起至投标有效期期满这段时间内，投标人不得撤销其投标文件，否则采购人或采购代理机构可以按照本须知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"_bookmark47"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15.4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条的规定不退还其投标保证金。</w:t>
      </w:r>
    </w:p>
    <w:p>
      <w:pPr>
        <w:pStyle w:val="5"/>
        <w:spacing w:before="2"/>
        <w:ind w:right="113"/>
        <w:outlineLvl w:val="1"/>
        <w:rPr>
          <w:rFonts w:hint="eastAsia" w:ascii="宋体" w:hAnsi="宋体" w:eastAsia="宋体" w:cs="宋体"/>
          <w:color w:val="auto"/>
          <w:spacing w:val="0"/>
          <w:w w:val="100"/>
          <w:position w:val="0"/>
          <w:sz w:val="24"/>
          <w:szCs w:val="24"/>
          <w:highlight w:val="none"/>
        </w:rPr>
      </w:pPr>
      <w:bookmarkStart w:id="62" w:name="_bookmark51"/>
      <w:bookmarkEnd w:id="62"/>
      <w:bookmarkStart w:id="63" w:name="_Toc9969"/>
      <w:r>
        <w:rPr>
          <w:rFonts w:hint="eastAsia" w:ascii="宋体" w:hAnsi="宋体" w:eastAsia="宋体" w:cs="宋体"/>
          <w:color w:val="auto"/>
          <w:spacing w:val="0"/>
          <w:w w:val="100"/>
          <w:position w:val="0"/>
          <w:sz w:val="24"/>
          <w:szCs w:val="24"/>
          <w:highlight w:val="none"/>
        </w:rPr>
        <w:t>五、开标与评标</w:t>
      </w:r>
      <w:bookmarkEnd w:id="63"/>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20.开标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20.1采购代理机构在招标文件规定的投标截止时间的同一时间即开标时间和规定的地点组织公开开标，开标由采购人或者采购代理机构主持，并邀请所有投标人法定代表人或其授权代表参加。参加开标的投标人代表应签名以证明其出席。评标委员会成员不得参加开标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20.2开标时，应当由投标人或者其推选的代表检查投标文件的密封情况；经确认无误后，由采购人或者采购代理机构工作人员当众拆封，宣布投标人名称、投标价格和招标文件规定的需要宣布的其他内容，并记录在案。</w:t>
      </w:r>
    </w:p>
    <w:p>
      <w:pPr>
        <w:adjustRightInd w:val="0"/>
        <w:snapToGrid w:val="0"/>
        <w:spacing w:line="360" w:lineRule="auto"/>
        <w:ind w:firstLine="422" w:firstLineChars="200"/>
        <w:rPr>
          <w:rFonts w:hint="eastAsia" w:ascii="宋体" w:hAnsi="宋体" w:eastAsia="宋体" w:cs="宋体"/>
          <w:b/>
          <w:color w:val="auto"/>
          <w:sz w:val="21"/>
          <w:szCs w:val="21"/>
          <w:highlight w:val="none"/>
        </w:rPr>
      </w:pPr>
      <w:r>
        <w:rPr>
          <w:rFonts w:hint="eastAsia" w:ascii="宋体" w:hAnsi="宋体" w:eastAsia="宋体" w:cs="宋体"/>
          <w:b/>
          <w:color w:val="auto"/>
          <w:sz w:val="21"/>
          <w:szCs w:val="21"/>
          <w:highlight w:val="none"/>
        </w:rPr>
        <w:t>如果递交投标文件的投标人不足3家，将不进行开标，采购人将依法重新组织招标或采用</w:t>
      </w:r>
      <w:r>
        <w:rPr>
          <w:rFonts w:hint="eastAsia" w:ascii="宋体" w:hAnsi="宋体" w:eastAsia="宋体" w:cs="宋体"/>
          <w:b/>
          <w:color w:val="auto"/>
          <w:sz w:val="21"/>
          <w:szCs w:val="21"/>
          <w:highlight w:val="none"/>
          <w:lang w:eastAsia="zh-CN"/>
        </w:rPr>
        <w:t>其他</w:t>
      </w:r>
      <w:r>
        <w:rPr>
          <w:rFonts w:hint="eastAsia" w:ascii="宋体" w:hAnsi="宋体" w:eastAsia="宋体" w:cs="宋体"/>
          <w:b/>
          <w:color w:val="auto"/>
          <w:sz w:val="21"/>
          <w:szCs w:val="21"/>
          <w:highlight w:val="none"/>
        </w:rPr>
        <w:t>采购方式采购。</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.3开标过程由采购代理机构负责记录，由参加开标的各投标人代表、采购人代表、监督人、记录人和相关工作人员签字确认后随采购文件一并存档。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投标人未参加开标的，视同认可开标结果。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.4公开招标数额标准以上的采购项目，投标截止时间后投标人不足3家或者通过资格审查或符合性审查的投标人不足3家的，除采购任务取消情形外，按照以下方式处理：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.4.1招标文件存在不合理条款或者招标程序不符合规定的，采购人、采购代理机构改正后依法重新招标；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.4.2招标文件没有不合理条款、招标程序符合规定，需要采用其他采购方式采购的，采购人应当依法报财政部门批准。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.5开标结束后，采购人或者采购代理机构应当依法对投标人的资格进行审查。</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如果资格审查合格的投标人不足3家，将不进行评标，</w:t>
      </w:r>
      <w:r>
        <w:rPr>
          <w:rFonts w:hint="eastAsia" w:ascii="宋体" w:hAnsi="宋体" w:eastAsia="宋体" w:cs="宋体"/>
          <w:b/>
          <w:color w:val="auto"/>
          <w:sz w:val="21"/>
          <w:szCs w:val="21"/>
          <w:highlight w:val="none"/>
        </w:rPr>
        <w:t>采购人将依法重新组织招标或采用</w:t>
      </w:r>
      <w:r>
        <w:rPr>
          <w:rFonts w:hint="eastAsia" w:ascii="宋体" w:hAnsi="宋体" w:eastAsia="宋体" w:cs="宋体"/>
          <w:b/>
          <w:color w:val="auto"/>
          <w:sz w:val="21"/>
          <w:szCs w:val="21"/>
          <w:highlight w:val="none"/>
          <w:lang w:eastAsia="zh-CN"/>
        </w:rPr>
        <w:t>其他</w:t>
      </w:r>
      <w:r>
        <w:rPr>
          <w:rFonts w:hint="eastAsia" w:ascii="宋体" w:hAnsi="宋体" w:eastAsia="宋体" w:cs="宋体"/>
          <w:b/>
          <w:color w:val="auto"/>
          <w:sz w:val="21"/>
          <w:szCs w:val="21"/>
          <w:highlight w:val="none"/>
        </w:rPr>
        <w:t>采购方式采购。</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20</w:t>
      </w:r>
      <w:r>
        <w:rPr>
          <w:rFonts w:hint="eastAsia" w:ascii="宋体" w:hAnsi="宋体" w:eastAsia="宋体" w:cs="宋体"/>
          <w:color w:val="auto"/>
          <w:kern w:val="0"/>
          <w:sz w:val="21"/>
          <w:szCs w:val="21"/>
          <w:highlight w:val="none"/>
        </w:rPr>
        <w:t>.6投标人应当遵循公平竞争的原则，不得恶意串通，不得妨碍其他投标人的竞争行为，不得损害采购人或者其他投标人的合法权益。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在评标过程中发现投标人有上述情形的，评标委员会应当认定其</w:t>
      </w:r>
      <w:r>
        <w:rPr>
          <w:rFonts w:hint="eastAsia" w:ascii="宋体" w:hAnsi="宋体" w:eastAsia="宋体" w:cs="宋体"/>
          <w:b/>
          <w:color w:val="auto"/>
          <w:kern w:val="0"/>
          <w:sz w:val="21"/>
          <w:szCs w:val="21"/>
          <w:highlight w:val="none"/>
        </w:rPr>
        <w:t>投标无效</w:t>
      </w:r>
      <w:r>
        <w:rPr>
          <w:rFonts w:hint="eastAsia" w:ascii="宋体" w:hAnsi="宋体" w:eastAsia="宋体" w:cs="宋体"/>
          <w:color w:val="auto"/>
          <w:kern w:val="0"/>
          <w:sz w:val="21"/>
          <w:szCs w:val="21"/>
          <w:highlight w:val="none"/>
        </w:rPr>
        <w:t>，并书面报告本级财政部门。</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20</w:t>
      </w:r>
      <w:r>
        <w:rPr>
          <w:rFonts w:hint="eastAsia" w:ascii="宋体" w:hAnsi="宋体" w:eastAsia="宋体" w:cs="宋体"/>
          <w:b/>
          <w:color w:val="auto"/>
          <w:kern w:val="0"/>
          <w:sz w:val="21"/>
          <w:szCs w:val="21"/>
          <w:highlight w:val="none"/>
        </w:rPr>
        <w:t>.7</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有下列情形之一的，视为投标人串通投标，其投标无效</w:t>
      </w:r>
      <w:r>
        <w:rPr>
          <w:rFonts w:hint="eastAsia" w:ascii="宋体" w:hAnsi="宋体" w:eastAsia="宋体" w:cs="宋体"/>
          <w:b/>
          <w:color w:val="auto"/>
          <w:kern w:val="0"/>
          <w:sz w:val="21"/>
          <w:szCs w:val="21"/>
          <w:highlight w:val="none"/>
          <w:lang w:eastAsia="zh-CN"/>
        </w:rPr>
        <w:t>，</w:t>
      </w:r>
      <w:r>
        <w:rPr>
          <w:rFonts w:hint="eastAsia" w:ascii="宋体" w:hAnsi="宋体" w:eastAsia="宋体" w:cs="宋体"/>
          <w:b/>
          <w:color w:val="auto"/>
          <w:kern w:val="0"/>
          <w:sz w:val="21"/>
          <w:szCs w:val="21"/>
          <w:highlight w:val="none"/>
        </w:rPr>
        <w:t>并对投标人依照《政府采购法》第七十七条的规定追究法律责任：</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（1）</w:t>
      </w:r>
      <w:r>
        <w:rPr>
          <w:rFonts w:hint="eastAsia" w:ascii="宋体" w:hAnsi="宋体" w:eastAsia="宋体" w:cs="宋体"/>
          <w:color w:val="auto"/>
          <w:kern w:val="0"/>
          <w:sz w:val="21"/>
          <w:szCs w:val="21"/>
          <w:highlight w:val="none"/>
        </w:rPr>
        <w:t>不同投标人的投标文件由同一单位或者个人编制；</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不同投标人委托同一单位或者个人办理投标事宜；</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（3）</w:t>
      </w:r>
      <w:r>
        <w:rPr>
          <w:rFonts w:hint="eastAsia" w:ascii="宋体" w:hAnsi="宋体" w:eastAsia="宋体" w:cs="宋体"/>
          <w:color w:val="auto"/>
          <w:kern w:val="0"/>
          <w:sz w:val="21"/>
          <w:szCs w:val="21"/>
          <w:highlight w:val="none"/>
        </w:rPr>
        <w:t>不同投标人的投标文件载明的项目管理成员或者联系人员为同一人；</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不同投标人的投标文件异常一致或者投标报价呈规律性差异；</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不同投标人的投标文件相互混装；</w:t>
      </w:r>
    </w:p>
    <w:p>
      <w:pPr>
        <w:adjustRightInd w:val="0"/>
        <w:snapToGrid w:val="0"/>
        <w:spacing w:line="360" w:lineRule="auto"/>
        <w:ind w:leftChars="200"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不同投标人的投标保证金从同一单位或者个人的账户转出。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21.评标委员会</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.1采购人或者采购代理机构负责组织评标工作，并履行下列职责：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.1.1核对评标专家身份和采购人代表授权函，对评标专家在政府采购活动中的职责履行情况予以记录，并及时将有关违法违规行为向财政部门报告；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.1.2宣布评标纪律；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.1.3公布投标人名单，告知评标专家应当回避的情形；</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.1.4组织评标委员会推选评标组长</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采购人代表不得担任组长；</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.1.5在评标期间采取必要的通讯管理措施</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保证评标活动不受外界干扰；</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.1.6根据评标委员会的要求介绍政府采购相关政策法规、招标文件；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.1.7维护评标秩序，监督评标委员会依照招标文件规定的评标程序、方法和标准进行独立评标，及时制止和纠正采购人代表、评标专家的倾向性言论或者违法违规行为；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.1.8核对评标结果，有</w:t>
      </w:r>
      <w:r>
        <w:rPr>
          <w:rFonts w:hint="eastAsia" w:ascii="宋体" w:hAnsi="宋体" w:eastAsia="宋体" w:cs="宋体"/>
          <w:color w:val="auto"/>
          <w:spacing w:val="0"/>
          <w:w w:val="100"/>
          <w:position w:val="0"/>
          <w:sz w:val="21"/>
          <w:szCs w:val="21"/>
          <w:highlight w:val="none"/>
        </w:rPr>
        <w:t xml:space="preserve">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22.11</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w:t>
      </w:r>
      <w:r>
        <w:rPr>
          <w:rFonts w:hint="eastAsia" w:ascii="宋体" w:hAnsi="宋体" w:eastAsia="宋体" w:cs="宋体"/>
          <w:color w:val="auto"/>
          <w:kern w:val="0"/>
          <w:sz w:val="21"/>
          <w:szCs w:val="21"/>
          <w:highlight w:val="none"/>
        </w:rPr>
        <w:t>规定情形的，要求评标委员会复核或者书面说明理由，评标委员会拒绝的，应予记录并向本级财政部门报告；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.1.9评标工作完成后，按照规定向评标专家支付劳务报酬和异地评标差旅费，不得向评标专家以外的其他人员支付评标劳务报酬；</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.1.10处理与评标有关的其他事项。</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采购人可以在评标前说明项目背景和采购需求，说明内容不得含有歧视性、倾向性意见，不得超出招标文件所述范围。说明应当提交书面材料，并随采购文件一并存档。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.2评标委员会负责具体评标事务，并独立履行下列职责：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.2.1审查、评价投标文件是否符合招标文件的商务、技术等实质性要求；</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bookmarkStart w:id="64" w:name="OLE_LINK4"/>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w:t>
      </w:r>
      <w:bookmarkEnd w:id="64"/>
      <w:r>
        <w:rPr>
          <w:rFonts w:hint="eastAsia" w:ascii="宋体" w:hAnsi="宋体" w:eastAsia="宋体" w:cs="宋体"/>
          <w:color w:val="auto"/>
          <w:kern w:val="0"/>
          <w:sz w:val="21"/>
          <w:szCs w:val="21"/>
          <w:highlight w:val="none"/>
        </w:rPr>
        <w:t>2要求投标人对投标文件有关事项作出澄清或者说明；</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.2.3对投标文件进行比较和评价；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.2.4确定中标候选人名单，或者根据采购人委托直接确定中标人；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.2.5向采购人、采购代理机构或者有关部门报告评标中发现的违法行为。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.3评标委员会由采购人代表和评标专家组成，成员人数应当为5人以上单数，其中评标专家不得少于成员总数的三分之二。评标委员会成员与投标人存在利害关系的，应当回避。</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.3.1采购项目符合下列情形之一的，评标委员会成员人数应当为7人以上单数：</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（1）采购预算金额在1000万元以上；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（2）技术复杂；</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（3）社会影响较大。</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3.2评标专家对本单位的采购项目只能作为采购人代表参与评标，对技术复杂、专业性强的采购项目，通过随机方式难以确定合适评标专家的，经主管预算单位同意，采购人可以自行选定相应专业领域的评标专家情形除外。采购代理机构工作人员不得参加由本机构代理的政府采购项目的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.3.3评标委员会成员名单在评标结果公告前应当保密。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.4采购人或者采购代理机构应当从省级以上财政部门设立的政府采购评标专家库中，通过随机方式抽取评标专家。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对技术复杂、专业性强的采购项目，通过随机方式难以确定合适评标专家的，经主管预算单位同意，采购人可以自行选定相应专业领域的评标专家。</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5评标中因评标委员会成员缺席、回避或者健康等特殊原因导致评标委员会组成不符合《中华人民共和国政府采购法》、《中华人民共和国政府采购法实施条例》、《政府采购货物和服务招标投标管理办法》相关规定的，采购人或者采购代理机构应当依法补足后继续评标。被更换的评标委员会成员所作出的评标意见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无法及时补足评标委员会成员的，采购人或者采购代理机构应当停止评标活动，封存所有投标文件和开标、评标资料，依法重新组建评标委员会进行评标。原评标委员会所作出的评标意见无效。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采购人或者采购代理机构应当将变更、重新组建评标委员会的情况予以记录，并随采购文件一并存档。</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lang w:val="en-US" w:eastAsia="zh-CN"/>
        </w:rPr>
        <w:t>21</w:t>
      </w:r>
      <w:r>
        <w:rPr>
          <w:rFonts w:hint="eastAsia" w:ascii="宋体" w:hAnsi="宋体" w:eastAsia="宋体" w:cs="宋体"/>
          <w:b/>
          <w:color w:val="auto"/>
          <w:kern w:val="0"/>
          <w:sz w:val="21"/>
          <w:szCs w:val="21"/>
          <w:highlight w:val="none"/>
        </w:rPr>
        <w:t>.6采购人委派代表参加评标委员会的，应当向采购代理机构出具授权函，采购人代表不得担任评标委员会主任委员。除授权代表外，采购人可以委派纪检监察等相关人员进入评标现场，对评标工作实施监督，但不得超过２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.7评标委员会成员应认真执行《中华人民共和国政府采购法》、《中华人民共和国政府采购法实施条例》、《政府采购货物和服务招标投标管理办法》及相关法规规定，同时维护采购人与投标人的合法权益。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.8评标委员会及其成员不得有下列行为：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（1）确定参与评标至评标结束前私自接触投标人；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（2）接受投标人提出的与投标文件不一致的澄清或者说明，本招标文件投标须知正文第2</w:t>
      </w:r>
      <w:r>
        <w:rPr>
          <w:rFonts w:hint="eastAsia" w:ascii="宋体" w:hAnsi="宋体" w:eastAsia="宋体" w:cs="宋体"/>
          <w:color w:val="auto"/>
          <w:kern w:val="0"/>
          <w:sz w:val="21"/>
          <w:szCs w:val="21"/>
          <w:highlight w:val="none"/>
          <w:lang w:val="en-US" w:eastAsia="zh-CN"/>
        </w:rPr>
        <w:t>2</w:t>
      </w:r>
      <w:r>
        <w:rPr>
          <w:rFonts w:hint="eastAsia" w:ascii="宋体" w:hAnsi="宋体" w:eastAsia="宋体" w:cs="宋体"/>
          <w:color w:val="auto"/>
          <w:kern w:val="0"/>
          <w:sz w:val="21"/>
          <w:szCs w:val="21"/>
          <w:highlight w:val="none"/>
        </w:rPr>
        <w:t>.2条规定的情形除外；</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（3）违反评标纪律发表倾向性意见或者征询采购人的倾向性意见；</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（4）对需要专业判断的主观评标因素协商评分；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（5）在评标过程中擅离职守，影响评标程序正常进行的；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（6）记录、复制或者带走任何评标资料；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（7）其他不遵守评标纪律的行为。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评标委员会成员有以上第1至5项行为之一的，其评标意见无效，并不得获取评标劳务报酬和报销异地评标差旅费。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lang w:val="en-US" w:eastAsia="zh-CN"/>
        </w:rPr>
        <w:t>21</w:t>
      </w:r>
      <w:r>
        <w:rPr>
          <w:rFonts w:hint="eastAsia" w:ascii="宋体" w:hAnsi="宋体" w:eastAsia="宋体" w:cs="宋体"/>
          <w:color w:val="auto"/>
          <w:kern w:val="0"/>
          <w:sz w:val="21"/>
          <w:szCs w:val="21"/>
          <w:highlight w:val="none"/>
        </w:rPr>
        <w:t>.9评标委员会成员要严格遵守评标时间，主动出具身份证明，遵守评标工作纪律和评标回避的相关规定。在评标工作开始前，将手机等通讯工具或相关电子设备交由采购人或采购代理机构统一保管，拒不上交的，采购人或采购代理机构可以拒绝其参加评标工作并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委员会成员和评标工作有关人员不得干预或者影响正常评标工作，不得明示或者暗示其倾向性、引导性意见，不得修改或细化采购文件确定的评标程序、评标方法、评标因素和评标标准，不得接受投标人主动提出的澄清和解释，不得征询采购人代表的倾向性意见，不得协商评分，不得记录、复制或带走任何评标资料。评标结果汇总完成后，采购人、采购代理机构和评标委员会均不得修改评标结果或者要求重新评标，但资格性检查认定错误、分值汇总计算错误、分项评分超出评分标准范围、客观分评分不一致、经评标委员会一致认定评分畸高、畸低的情形除外。出现上述除外情形的，评标委员会应当现场修改评标结果，并在评标报告中明确记载。</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.评标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.1评标委员会按照第三章“评标方法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标准”规定的评标方法、评标因素、标准和程序以及有关法律、法规及规章对投标文件进行评标，评标委员会应当对符合资格的投标人的投标文件进行符合性审查，以确定其是否满足招标文件的实质性要求。</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 投标文件的初步审查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22.2.1 资格审查标准：详见</w:t>
      </w:r>
      <w:r>
        <w:rPr>
          <w:rFonts w:hint="eastAsia" w:ascii="宋体" w:hAnsi="宋体" w:eastAsia="宋体" w:cs="宋体"/>
          <w:color w:val="auto"/>
          <w:spacing w:val="0"/>
          <w:w w:val="100"/>
          <w:position w:val="0"/>
          <w:sz w:val="21"/>
          <w:szCs w:val="21"/>
          <w:highlight w:val="none"/>
          <w:lang w:val="zh-CN" w:eastAsia="zh-CN"/>
        </w:rPr>
        <w:t>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22.2.2 符合性审查标准：详见</w:t>
      </w:r>
      <w:r>
        <w:rPr>
          <w:rFonts w:hint="eastAsia" w:ascii="宋体" w:hAnsi="宋体" w:eastAsia="宋体" w:cs="宋体"/>
          <w:color w:val="auto"/>
          <w:spacing w:val="0"/>
          <w:w w:val="100"/>
          <w:position w:val="0"/>
          <w:sz w:val="21"/>
          <w:szCs w:val="21"/>
          <w:highlight w:val="none"/>
          <w:lang w:val="zh-CN" w:eastAsia="zh-CN"/>
        </w:rPr>
        <w:t>第三章“评标方法</w:t>
      </w:r>
      <w:r>
        <w:rPr>
          <w:rFonts w:hint="eastAsia" w:ascii="宋体" w:hAnsi="宋体" w:eastAsia="宋体" w:cs="宋体"/>
          <w:color w:val="auto"/>
          <w:spacing w:val="0"/>
          <w:w w:val="100"/>
          <w:position w:val="0"/>
          <w:sz w:val="21"/>
          <w:szCs w:val="21"/>
          <w:highlight w:val="none"/>
          <w:lang w:val="en-US" w:eastAsia="zh-CN"/>
        </w:rPr>
        <w:t>和评标</w:t>
      </w:r>
      <w:r>
        <w:rPr>
          <w:rFonts w:hint="eastAsia" w:ascii="宋体" w:hAnsi="宋体" w:eastAsia="宋体" w:cs="宋体"/>
          <w:color w:val="auto"/>
          <w:spacing w:val="0"/>
          <w:w w:val="100"/>
          <w:position w:val="0"/>
          <w:sz w:val="21"/>
          <w:szCs w:val="21"/>
          <w:highlight w:val="none"/>
          <w:lang w:val="zh-CN" w:eastAsia="zh-CN"/>
        </w:rPr>
        <w:t>标准”规定。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5" w:name="_bookmark52"/>
      <w:bookmarkEnd w:id="65"/>
      <w:bookmarkStart w:id="66" w:name="_bookmark52"/>
      <w:bookmarkEnd w:id="66"/>
      <w:r>
        <w:rPr>
          <w:rFonts w:hint="eastAsia" w:ascii="宋体" w:hAnsi="宋体" w:eastAsia="宋体" w:cs="宋体"/>
          <w:color w:val="auto"/>
          <w:spacing w:val="0"/>
          <w:w w:val="100"/>
          <w:position w:val="0"/>
          <w:sz w:val="21"/>
          <w:szCs w:val="21"/>
          <w:highlight w:val="none"/>
          <w:lang w:val="en-US" w:eastAsia="zh-CN"/>
        </w:rPr>
        <w:t>22.2.3 在符合性审查时，如发现下列情况之一的，其</w:t>
      </w:r>
      <w:r>
        <w:rPr>
          <w:rFonts w:hint="eastAsia" w:ascii="宋体" w:hAnsi="宋体" w:eastAsia="宋体" w:cs="宋体"/>
          <w:b/>
          <w:bCs/>
          <w:color w:val="auto"/>
          <w:spacing w:val="0"/>
          <w:w w:val="100"/>
          <w:position w:val="0"/>
          <w:sz w:val="21"/>
          <w:szCs w:val="21"/>
          <w:highlight w:val="none"/>
          <w:lang w:val="en-US" w:eastAsia="zh-CN"/>
        </w:rPr>
        <w:t>投标也将被否决</w:t>
      </w:r>
      <w:r>
        <w:rPr>
          <w:rFonts w:hint="eastAsia" w:ascii="宋体" w:hAnsi="宋体" w:eastAsia="宋体" w:cs="宋体"/>
          <w:color w:val="auto"/>
          <w:spacing w:val="0"/>
          <w:w w:val="100"/>
          <w:position w:val="0"/>
          <w:sz w:val="21"/>
          <w:szCs w:val="21"/>
          <w:highlight w:val="none"/>
          <w:lang w:val="en-US" w:eastAsia="zh-CN"/>
        </w:rPr>
        <w:t>，为无效投标：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（1）投标文件含有采购人不能接受的附加条件的；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（2）出现《投标人须知前附表》列明的其他无效投标情况之一的；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（3）法律、法规规定的其他无效情形；</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（4）投标文件符合招标文件中规定投标被否决的其他条款。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22.2.4 评标委员会决定投标的响应性质根据投标本身的真实无误的内容，而不依据外部的证据，但投标有不真实不正确的内容时除外。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22.2.5 投标文件报价出现前后不一致的，除《投标人须知前附表》另有规定外，按照下列规定修正：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（1）公开唱出的开标一览表投标总价与投标文件中相应内容不一致的，以公开唱出的开标一览表为准；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（2）公开唱出的开标一览表大写金额和小写金额不一致的，以大写金额为准；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440" w:leftChars="20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（3）分项报价表中汇总金额与公开唱出的价格不一致，以公开唱出的开标一览表的总价为准，并修改单价。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 xml:space="preserve">修正后的报价按照本须知 </w:t>
      </w:r>
      <w:r>
        <w:rPr>
          <w:rFonts w:hint="eastAsia" w:ascii="宋体" w:hAnsi="宋体" w:eastAsia="宋体" w:cs="宋体"/>
          <w:color w:val="auto"/>
          <w:spacing w:val="0"/>
          <w:w w:val="100"/>
          <w:position w:val="0"/>
          <w:sz w:val="21"/>
          <w:szCs w:val="21"/>
          <w:highlight w:val="none"/>
          <w:lang w:val="en-US" w:eastAsia="zh-CN"/>
        </w:rPr>
        <w:fldChar w:fldCharType="begin"/>
      </w:r>
      <w:r>
        <w:rPr>
          <w:rFonts w:hint="eastAsia" w:ascii="宋体" w:hAnsi="宋体" w:eastAsia="宋体" w:cs="宋体"/>
          <w:color w:val="auto"/>
          <w:spacing w:val="0"/>
          <w:w w:val="100"/>
          <w:position w:val="0"/>
          <w:sz w:val="21"/>
          <w:szCs w:val="21"/>
          <w:highlight w:val="none"/>
          <w:lang w:val="en-US" w:eastAsia="zh-CN"/>
        </w:rPr>
        <w:instrText xml:space="preserve"> HYPERLINK \l "_bookmark54" </w:instrText>
      </w:r>
      <w:r>
        <w:rPr>
          <w:rFonts w:hint="eastAsia" w:ascii="宋体" w:hAnsi="宋体" w:eastAsia="宋体" w:cs="宋体"/>
          <w:color w:val="auto"/>
          <w:spacing w:val="0"/>
          <w:w w:val="100"/>
          <w:position w:val="0"/>
          <w:sz w:val="21"/>
          <w:szCs w:val="21"/>
          <w:highlight w:val="none"/>
          <w:lang w:val="en-US" w:eastAsia="zh-CN"/>
        </w:rPr>
        <w:fldChar w:fldCharType="separate"/>
      </w:r>
      <w:r>
        <w:rPr>
          <w:rFonts w:hint="eastAsia" w:ascii="宋体" w:hAnsi="宋体" w:eastAsia="宋体" w:cs="宋体"/>
          <w:color w:val="auto"/>
          <w:spacing w:val="0"/>
          <w:w w:val="100"/>
          <w:position w:val="0"/>
          <w:sz w:val="21"/>
          <w:szCs w:val="21"/>
          <w:highlight w:val="none"/>
          <w:lang w:val="en-US" w:eastAsia="zh-CN"/>
        </w:rPr>
        <w:t xml:space="preserve">24 </w:t>
      </w:r>
      <w:r>
        <w:rPr>
          <w:rFonts w:hint="eastAsia" w:ascii="宋体" w:hAnsi="宋体" w:eastAsia="宋体" w:cs="宋体"/>
          <w:color w:val="auto"/>
          <w:spacing w:val="0"/>
          <w:w w:val="100"/>
          <w:position w:val="0"/>
          <w:sz w:val="21"/>
          <w:szCs w:val="21"/>
          <w:highlight w:val="none"/>
          <w:lang w:val="en-US" w:eastAsia="zh-CN"/>
        </w:rPr>
        <w:fldChar w:fldCharType="end"/>
      </w:r>
      <w:r>
        <w:rPr>
          <w:rFonts w:hint="eastAsia" w:ascii="宋体" w:hAnsi="宋体" w:eastAsia="宋体" w:cs="宋体"/>
          <w:color w:val="auto"/>
          <w:spacing w:val="0"/>
          <w:w w:val="100"/>
          <w:position w:val="0"/>
          <w:sz w:val="21"/>
          <w:szCs w:val="21"/>
          <w:highlight w:val="none"/>
          <w:lang w:val="en-US" w:eastAsia="zh-CN"/>
        </w:rPr>
        <w:t>条的规定经投标人确认后产生约束力，投标人不确认的， 其投标将被否决。</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7" w:name="_bookmark53"/>
      <w:bookmarkEnd w:id="67"/>
      <w:bookmarkStart w:id="68" w:name="_bookmark53"/>
      <w:bookmarkEnd w:id="68"/>
      <w:r>
        <w:rPr>
          <w:rFonts w:hint="eastAsia" w:ascii="宋体" w:hAnsi="宋体" w:eastAsia="宋体" w:cs="宋体"/>
          <w:color w:val="auto"/>
          <w:spacing w:val="0"/>
          <w:w w:val="100"/>
          <w:position w:val="0"/>
          <w:sz w:val="21"/>
          <w:szCs w:val="21"/>
          <w:highlight w:val="none"/>
          <w:lang w:val="en-US" w:eastAsia="zh-CN"/>
        </w:rPr>
        <w:t>22.2.6 提供相同品牌核心产品且通过资格审查、符合性审查的不同投标人参加同一合同项下投标的，按一家投标人计算。非单一产品采购项目，多家投标人提供的核心产品品牌相同的，视同为提供相同品牌产品，同样按一家投标人计算。核心产品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对于投标文件中含义不明确、同类问题表述不一致或者有明显文字和计算错误的内容，评标委员会应当以书面形式要求投标人作出必要的澄清、说明或者补正。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投标人的澄清、说明或者补正应当采用书面形式，并加盖公章或者由法定代表人或其授权的代表签字。投标人的澄清、说明或者补正不得超出投标文件的范围或者改变投标文件的实质性内容。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投标文件报价出现前后不一致的，除招标文件另有规定外，按照下列规定修正：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.1投标文件中开标一览表（报价表）内容与投标文件中相应内容不一致的，以开标一览表（报价表）为准；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.2大写金额和小写金额不一致的，以大写金额为准；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.3单价金额小数点或者百分比有明显错位的，以开标一览表的总价为准，并修改单价；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.4总价金额与按单价汇总金额不一致的，以单价金额计算结果为准。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同时出现两种以上不一致的，按照前款规定的顺序修正。修正后的报价按照本招标文件</w:t>
      </w:r>
      <w:r>
        <w:rPr>
          <w:rFonts w:hint="eastAsia" w:ascii="宋体" w:hAnsi="宋体" w:eastAsia="宋体" w:cs="宋体"/>
          <w:color w:val="auto"/>
          <w:spacing w:val="0"/>
          <w:w w:val="100"/>
          <w:position w:val="0"/>
          <w:sz w:val="21"/>
          <w:szCs w:val="21"/>
          <w:highlight w:val="none"/>
          <w:lang w:val="en-US" w:eastAsia="zh-CN"/>
        </w:rPr>
        <w:t xml:space="preserve">本须知 </w:t>
      </w: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 xml:space="preserve"> 条</w:t>
      </w:r>
      <w:r>
        <w:rPr>
          <w:rFonts w:hint="eastAsia" w:ascii="宋体" w:hAnsi="宋体" w:eastAsia="宋体" w:cs="宋体"/>
          <w:color w:val="auto"/>
          <w:spacing w:val="0"/>
          <w:w w:val="100"/>
          <w:position w:val="0"/>
          <w:sz w:val="21"/>
          <w:szCs w:val="21"/>
          <w:highlight w:val="none"/>
          <w:lang w:val="zh-CN" w:eastAsia="zh-CN"/>
        </w:rPr>
        <w:t>的规定经投标人确认后产生约束力，*投标人拒绝确认的，其投标无效。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5</w:t>
      </w:r>
      <w:r>
        <w:rPr>
          <w:rFonts w:hint="eastAsia" w:ascii="宋体" w:hAnsi="宋体" w:eastAsia="宋体" w:cs="宋体"/>
          <w:color w:val="auto"/>
          <w:spacing w:val="0"/>
          <w:w w:val="100"/>
          <w:position w:val="0"/>
          <w:sz w:val="21"/>
          <w:szCs w:val="21"/>
          <w:highlight w:val="none"/>
          <w:lang w:val="zh-CN" w:eastAsia="zh-CN"/>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6</w:t>
      </w:r>
      <w:r>
        <w:rPr>
          <w:rFonts w:hint="eastAsia" w:ascii="宋体" w:hAnsi="宋体" w:eastAsia="宋体" w:cs="宋体"/>
          <w:color w:val="auto"/>
          <w:spacing w:val="0"/>
          <w:w w:val="100"/>
          <w:position w:val="0"/>
          <w:sz w:val="21"/>
          <w:szCs w:val="21"/>
          <w:highlight w:val="none"/>
          <w:lang w:val="zh-CN" w:eastAsia="zh-CN"/>
        </w:rPr>
        <w:t>评标委员会成员对需要共同认定的事项存在争议的，应当按照少数服从多数的原则作出结论。持不同意见的评标委员会成员应当在评标报告上签署不同意见及理由，否则视为同意评标报告。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7</w:t>
      </w:r>
      <w:r>
        <w:rPr>
          <w:rFonts w:hint="eastAsia" w:ascii="宋体" w:hAnsi="宋体" w:eastAsia="宋体" w:cs="宋体"/>
          <w:color w:val="auto"/>
          <w:spacing w:val="0"/>
          <w:w w:val="100"/>
          <w:position w:val="0"/>
          <w:sz w:val="21"/>
          <w:szCs w:val="21"/>
          <w:highlight w:val="none"/>
          <w:lang w:val="zh-CN" w:eastAsia="zh-CN"/>
        </w:rPr>
        <w:t>评标委员会应当按照招标文件中规定的评标方法和标准，对资格性审查、符合性审查合格的投标文件进行商务和技术评估，综合比较与评价。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本项目评标方法为：综合评分法。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.1综合评分法，是投标文件满足招标文件全部实质性要求，且按照评标因素的量化指标评标得分最高的投标人为中标候选人的评标方法。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评标因素的设定与投标人所提供货物服务的质量相关，包括投标报价、技术或者服务水平、履约能力、售后服务等。资格条件不得作为评标因素。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.2评标时，评标委员会各成员应当独立对每个投标人的投标文件进行评价，并汇总每个投标人的得分。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.3评标过程中，不得去掉报价中的最高报价和最低报价。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8</w:t>
      </w:r>
      <w:r>
        <w:rPr>
          <w:rFonts w:hint="eastAsia" w:ascii="宋体" w:hAnsi="宋体" w:eastAsia="宋体" w:cs="宋体"/>
          <w:color w:val="auto"/>
          <w:spacing w:val="0"/>
          <w:w w:val="100"/>
          <w:position w:val="0"/>
          <w:sz w:val="21"/>
          <w:szCs w:val="21"/>
          <w:highlight w:val="none"/>
          <w:lang w:val="zh-CN" w:eastAsia="zh-CN"/>
        </w:rPr>
        <w:t>.4因落实政府采购政策进行价格调整的，以调整后的价格计算评标基准价和投标报价。</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9</w:t>
      </w:r>
      <w:r>
        <w:rPr>
          <w:rFonts w:hint="eastAsia" w:ascii="宋体" w:hAnsi="宋体" w:eastAsia="宋体" w:cs="宋体"/>
          <w:color w:val="auto"/>
          <w:spacing w:val="0"/>
          <w:w w:val="100"/>
          <w:position w:val="0"/>
          <w:sz w:val="21"/>
          <w:szCs w:val="21"/>
          <w:highlight w:val="none"/>
          <w:lang w:val="zh-CN" w:eastAsia="zh-CN"/>
        </w:rPr>
        <w:t>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w:t>
      </w:r>
      <w:r>
        <w:rPr>
          <w:rFonts w:hint="eastAsia" w:ascii="宋体" w:hAnsi="宋体" w:eastAsia="宋体" w:cs="宋体"/>
          <w:color w:val="auto"/>
          <w:spacing w:val="0"/>
          <w:w w:val="100"/>
          <w:position w:val="0"/>
          <w:sz w:val="21"/>
          <w:szCs w:val="21"/>
          <w:highlight w:val="none"/>
          <w:lang w:val="en-US" w:eastAsia="zh-CN"/>
        </w:rPr>
        <w:t>10</w:t>
      </w:r>
      <w:r>
        <w:rPr>
          <w:rFonts w:hint="eastAsia" w:ascii="宋体" w:hAnsi="宋体" w:eastAsia="宋体" w:cs="宋体"/>
          <w:color w:val="auto"/>
          <w:spacing w:val="0"/>
          <w:w w:val="100"/>
          <w:position w:val="0"/>
          <w:sz w:val="21"/>
          <w:szCs w:val="21"/>
          <w:highlight w:val="none"/>
          <w:lang w:val="zh-CN" w:eastAsia="zh-CN"/>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1</w:t>
      </w:r>
      <w:r>
        <w:rPr>
          <w:rFonts w:hint="eastAsia" w:ascii="宋体" w:hAnsi="宋体" w:eastAsia="宋体" w:cs="宋体"/>
          <w:color w:val="auto"/>
          <w:spacing w:val="0"/>
          <w:w w:val="100"/>
          <w:position w:val="0"/>
          <w:sz w:val="21"/>
          <w:szCs w:val="21"/>
          <w:highlight w:val="none"/>
          <w:lang w:val="zh-CN" w:eastAsia="zh-CN"/>
        </w:rPr>
        <w:t>评标结果汇总完成后，除下列情形外，任何人不得修改评标结果：</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（1）分值汇总计算错误的；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（2）分项评分超出评分标准范围的；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（3）评标委员会成员对客观评标因素评分不一致的；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（4）经评标委员会认定评分畸高、畸低的。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评标报告签署前，经复核发现存在以上情形之一的，评标委员会应当当场修改评标结果，并在评标报告中记载；评标报告签署后，采购人或者采购代理机构发现存在以上情形之一的，应当组织原评标委员会进行重新评标，重新评标改变评标结果的，书面报告本级财政部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投标人对上述(1)～(4)项提出质疑的，采购人或者采购代理机构可以组织原评标委员会进行重新评标，重新评标改变评标结果的，应当书面报告本级财政部门。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评标委员会根据全体评标成员签字的原始评标记录和评标结果编写评标报告。评标报告应当包括以下内容：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（1）招标公告刊登的媒体名称、开标日期和地点；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（2）投标人名单和评标委员会成员名单；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（3）评标方法和标准；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（4）开标记录和评标情况及说明，包括无效投标人名单及原因；</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（5）评标结果，确定的中标候选人名单或者经采购人委托直接确定的中标人；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（6）其他需要说明的情况，包括评标过程中投标人根据评标委员会要求进行的澄清、说明或者补正，评标委员会成员的更换等。</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采购人、采购代理机构应当采取必要措施加强评标现场管理，与评标工作无关的人员不得进入评标现场，保证评标在严格保密的情况下进行。除采购人代表、评标现场组织人员外，采购人的其他工作人员以及与评标工作无关的人员不得进入评标现场。评标委员会成员及其他有关人员对评标情况以及在评标过程中获悉的国家秘密、商业秘密负有保密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4</w:t>
      </w:r>
      <w:r>
        <w:rPr>
          <w:rFonts w:hint="eastAsia" w:ascii="宋体" w:hAnsi="宋体" w:eastAsia="宋体" w:cs="宋体"/>
          <w:color w:val="auto"/>
          <w:spacing w:val="0"/>
          <w:w w:val="100"/>
          <w:position w:val="0"/>
          <w:sz w:val="21"/>
          <w:szCs w:val="21"/>
          <w:highlight w:val="none"/>
          <w:lang w:val="zh-CN" w:eastAsia="zh-CN"/>
        </w:rPr>
        <w:t>评标委员会或者其成员存在下列情形导致评标结果无效的，采购人、采购代理机构可以重新组建评标委员会进行评标，并书面报告本级财政部门，但采购合同已经履行的除外：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（1）评标委员会组成不符合本招标文件规定的；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（2）有《政府采购货物和服务招标投标管理办法》（财政部令第87号）第六十二条第一至五项（即：</w:t>
      </w:r>
      <w:r>
        <w:rPr>
          <w:rFonts w:hint="eastAsia" w:ascii="宋体" w:hAnsi="宋体" w:eastAsia="宋体" w:cs="宋体"/>
          <w:color w:val="auto"/>
          <w:spacing w:val="0"/>
          <w:w w:val="100"/>
          <w:position w:val="0"/>
          <w:sz w:val="21"/>
          <w:szCs w:val="21"/>
          <w:highlight w:val="none"/>
        </w:rPr>
        <w:t xml:space="preserve">本须知 </w:t>
      </w:r>
      <w:r>
        <w:rPr>
          <w:rFonts w:hint="eastAsia" w:ascii="宋体" w:hAnsi="宋体" w:eastAsia="宋体" w:cs="宋体"/>
          <w:color w:val="auto"/>
          <w:spacing w:val="0"/>
          <w:w w:val="100"/>
          <w:position w:val="0"/>
          <w:sz w:val="21"/>
          <w:szCs w:val="21"/>
          <w:highlight w:val="none"/>
        </w:rPr>
        <w:fldChar w:fldCharType="begin"/>
      </w:r>
      <w:r>
        <w:rPr>
          <w:rFonts w:hint="eastAsia" w:ascii="宋体" w:hAnsi="宋体" w:eastAsia="宋体" w:cs="宋体"/>
          <w:color w:val="auto"/>
          <w:spacing w:val="0"/>
          <w:w w:val="100"/>
          <w:position w:val="0"/>
          <w:sz w:val="21"/>
          <w:szCs w:val="21"/>
          <w:highlight w:val="none"/>
        </w:rPr>
        <w:instrText xml:space="preserve"> HYPERLINK \l "_bookmark33" </w:instrText>
      </w:r>
      <w:r>
        <w:rPr>
          <w:rFonts w:hint="eastAsia" w:ascii="宋体" w:hAnsi="宋体" w:eastAsia="宋体" w:cs="宋体"/>
          <w:color w:val="auto"/>
          <w:spacing w:val="0"/>
          <w:w w:val="100"/>
          <w:position w:val="0"/>
          <w:sz w:val="21"/>
          <w:szCs w:val="21"/>
          <w:highlight w:val="none"/>
        </w:rPr>
        <w:fldChar w:fldCharType="separate"/>
      </w:r>
      <w:r>
        <w:rPr>
          <w:rFonts w:hint="eastAsia" w:ascii="宋体" w:hAnsi="宋体" w:eastAsia="宋体" w:cs="宋体"/>
          <w:color w:val="auto"/>
          <w:spacing w:val="0"/>
          <w:w w:val="100"/>
          <w:position w:val="0"/>
          <w:sz w:val="21"/>
          <w:szCs w:val="21"/>
          <w:highlight w:val="none"/>
          <w:lang w:val="en-US" w:eastAsia="zh-CN"/>
        </w:rPr>
        <w:t>21.8</w:t>
      </w:r>
      <w:r>
        <w:rPr>
          <w:rFonts w:hint="eastAsia" w:ascii="宋体" w:hAnsi="宋体" w:eastAsia="宋体" w:cs="宋体"/>
          <w:color w:val="auto"/>
          <w:spacing w:val="0"/>
          <w:w w:val="100"/>
          <w:position w:val="0"/>
          <w:sz w:val="21"/>
          <w:szCs w:val="21"/>
          <w:highlight w:val="none"/>
        </w:rPr>
        <w:t xml:space="preserve"> </w:t>
      </w:r>
      <w:r>
        <w:rPr>
          <w:rFonts w:hint="eastAsia" w:ascii="宋体" w:hAnsi="宋体" w:eastAsia="宋体" w:cs="宋体"/>
          <w:color w:val="auto"/>
          <w:spacing w:val="0"/>
          <w:w w:val="100"/>
          <w:position w:val="0"/>
          <w:sz w:val="21"/>
          <w:szCs w:val="21"/>
          <w:highlight w:val="none"/>
        </w:rPr>
        <w:fldChar w:fldCharType="end"/>
      </w:r>
      <w:r>
        <w:rPr>
          <w:rFonts w:hint="eastAsia" w:ascii="宋体" w:hAnsi="宋体" w:eastAsia="宋体" w:cs="宋体"/>
          <w:color w:val="auto"/>
          <w:spacing w:val="0"/>
          <w:w w:val="100"/>
          <w:position w:val="0"/>
          <w:sz w:val="21"/>
          <w:szCs w:val="21"/>
          <w:highlight w:val="none"/>
        </w:rPr>
        <w:t>条</w:t>
      </w:r>
      <w:r>
        <w:rPr>
          <w:rFonts w:hint="eastAsia" w:ascii="宋体" w:hAnsi="宋体" w:eastAsia="宋体" w:cs="宋体"/>
          <w:color w:val="auto"/>
          <w:spacing w:val="0"/>
          <w:w w:val="100"/>
          <w:position w:val="0"/>
          <w:sz w:val="21"/>
          <w:szCs w:val="21"/>
          <w:highlight w:val="none"/>
          <w:lang w:val="zh-CN" w:eastAsia="zh-CN"/>
        </w:rPr>
        <w:t>第（1）至（5）项）情形的；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（3）评标委员会及其成员独立评标受到非法干预的；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（4）有《政府采购法实施条例》第七十五条规定的违法行为的。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有违法违规行为的原评标委员会成员不得参加重新组建的评标委员会。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2</w:t>
      </w:r>
      <w:r>
        <w:rPr>
          <w:rFonts w:hint="eastAsia" w:ascii="宋体" w:hAnsi="宋体" w:eastAsia="宋体" w:cs="宋体"/>
          <w:color w:val="auto"/>
          <w:spacing w:val="0"/>
          <w:w w:val="100"/>
          <w:position w:val="0"/>
          <w:sz w:val="21"/>
          <w:szCs w:val="21"/>
          <w:highlight w:val="none"/>
          <w:lang w:val="zh-CN" w:eastAsia="zh-CN"/>
        </w:rPr>
        <w:t>.1</w:t>
      </w:r>
      <w:r>
        <w:rPr>
          <w:rFonts w:hint="eastAsia" w:ascii="宋体" w:hAnsi="宋体" w:eastAsia="宋体" w:cs="宋体"/>
          <w:color w:val="auto"/>
          <w:spacing w:val="0"/>
          <w:w w:val="100"/>
          <w:position w:val="0"/>
          <w:sz w:val="21"/>
          <w:szCs w:val="21"/>
          <w:highlight w:val="none"/>
          <w:lang w:val="en-US" w:eastAsia="zh-CN"/>
        </w:rPr>
        <w:t>5</w:t>
      </w:r>
      <w:r>
        <w:rPr>
          <w:rFonts w:hint="eastAsia" w:ascii="宋体" w:hAnsi="宋体" w:eastAsia="宋体" w:cs="宋体"/>
          <w:color w:val="auto"/>
          <w:spacing w:val="0"/>
          <w:w w:val="100"/>
          <w:position w:val="0"/>
          <w:sz w:val="21"/>
          <w:szCs w:val="21"/>
          <w:highlight w:val="none"/>
          <w:lang w:val="zh-CN" w:eastAsia="zh-CN"/>
        </w:rPr>
        <w:t>评标委员会发现采购文件存在歧义、重大缺陷导致评标工作无法进行，或者采购文件内容违反国家有关规定的，要停止评标工作并向采购人或采购代理机构书面说明情况，采购人或采购代理机构应当修改采购文件后重新组织采购活动；发现投标人提供虚假材料、串通等违法违规行为的，要及时向采购人或采购代理机构报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.确定中标人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.1定标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.1.1采购代理机构应当在评标结束后2个工作日内将评标报告送采购人。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1.2采购人应当自收到评标报告之日起5个工作日内，在评标报告确定的中标候选人名单中按顺序确定中标人。中标候选人并列的，由采购人或者采购人委托评标委员会按照招标文件规定的方式确定中标人；招标文件未规定的，采取随机抽取的方式确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1.3采购人应当确定排名第一的中标候选人为中标人。排名第一的中标候选人拒绝签订合同而放弃中标或因不可抗力提出不能履行合同，或者招标文件规定应当提交履约保证金而在规定的期限内未能提交的，采购人可以确定排名第二的中标候选人为中标人，以此类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.1.4采购人在收到评标报告5个工作日内未按评标报告推荐的中标候选人顺序确定中标人，又不能说明合法理由的，视同按评标报告推荐的顺序确定排名第一的中标候选人为中标人。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en-US" w:eastAsia="zh-CN"/>
        </w:rPr>
        <w:t>23.1.5</w:t>
      </w:r>
      <w:r>
        <w:rPr>
          <w:rFonts w:hint="eastAsia" w:ascii="宋体" w:hAnsi="宋体" w:eastAsia="宋体" w:cs="宋体"/>
          <w:color w:val="auto"/>
          <w:spacing w:val="0"/>
          <w:w w:val="100"/>
          <w:position w:val="0"/>
          <w:sz w:val="21"/>
          <w:szCs w:val="21"/>
          <w:highlight w:val="none"/>
          <w:lang w:val="zh-CN" w:eastAsia="zh-CN"/>
        </w:rPr>
        <w:t xml:space="preserve"> 采用最低评标价法的采购项目，提供相同品牌核心产品的不同投标人参加同一合同项下投标的，以其中通过资格审查、符合性审查且报价最低的参加评标；报价相同的，由采购人或者采购人委托评标委员会按照《投标人须知前附表》规定的方式确定一个参加评标的投标人，其他投标无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en-US" w:eastAsia="zh-CN"/>
        </w:rPr>
        <w:t>23.1.6</w:t>
      </w:r>
      <w:r>
        <w:rPr>
          <w:rFonts w:hint="eastAsia" w:ascii="宋体" w:hAnsi="宋体" w:eastAsia="宋体" w:cs="宋体"/>
          <w:color w:val="auto"/>
          <w:spacing w:val="0"/>
          <w:w w:val="100"/>
          <w:position w:val="0"/>
          <w:sz w:val="21"/>
          <w:szCs w:val="21"/>
          <w:highlight w:val="none"/>
          <w:lang w:val="zh-CN" w:eastAsia="zh-CN"/>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评标委员会按照《投标人须知前附表》规定的方式确定一个投标人获得中标人推荐资格，其他同品牌投标人不作为中标候选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23.1.7关于兼投不兼中要求：详见《投标人须知前附表》。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.2中标结果公告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.2.1采购人或者采购代理机构应当自中标人确定之日起2个工作日内，在省级以上财政部门指定的媒体上公告中标结果，招标文件应当随中标结果同时公告。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2.2中标结果公告内容应当包括采购人及其委托的采购代理机构的名称、地址、联系方式，项目名称和项目编号，中标人名称、地址和中标金额，主要中标标的的名称、规格型号、数量、单价、服务要求，中标公告期限以及评标专家名单。</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.2.3中标公告期限为1个工作日。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2.4在公告中标结果的同时，采购人或者采购代理机构应当向中标人发出中标通知书；对未通过资格审查的投标人，应当告知其未通过的原因；采用综合评分法评标的，还应当告知未中标人本人的评标得分与排序。</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.3采购人不保证将合同授予最低投标报价的投标人。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.4在确定中标人前，招标采购单位不得与投标人就投标价格、投标方案等实质性内容进行谈判。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zh-CN" w:eastAsia="zh-CN"/>
        </w:rPr>
      </w:pPr>
      <w:r>
        <w:rPr>
          <w:rFonts w:hint="eastAsia" w:ascii="宋体" w:hAnsi="宋体" w:eastAsia="宋体" w:cs="宋体"/>
          <w:color w:val="auto"/>
          <w:spacing w:val="0"/>
          <w:w w:val="100"/>
          <w:position w:val="0"/>
          <w:sz w:val="21"/>
          <w:szCs w:val="21"/>
          <w:highlight w:val="none"/>
          <w:lang w:val="zh-CN" w:eastAsia="zh-CN"/>
        </w:rPr>
        <w:t>2</w:t>
      </w:r>
      <w:r>
        <w:rPr>
          <w:rFonts w:hint="eastAsia" w:ascii="宋体" w:hAnsi="宋体" w:eastAsia="宋体" w:cs="宋体"/>
          <w:color w:val="auto"/>
          <w:spacing w:val="0"/>
          <w:w w:val="100"/>
          <w:position w:val="0"/>
          <w:sz w:val="21"/>
          <w:szCs w:val="21"/>
          <w:highlight w:val="none"/>
          <w:lang w:val="en-US" w:eastAsia="zh-CN"/>
        </w:rPr>
        <w:t>3</w:t>
      </w:r>
      <w:r>
        <w:rPr>
          <w:rFonts w:hint="eastAsia" w:ascii="宋体" w:hAnsi="宋体" w:eastAsia="宋体" w:cs="宋体"/>
          <w:color w:val="auto"/>
          <w:spacing w:val="0"/>
          <w:w w:val="100"/>
          <w:position w:val="0"/>
          <w:sz w:val="21"/>
          <w:szCs w:val="21"/>
          <w:highlight w:val="none"/>
          <w:lang w:val="zh-CN" w:eastAsia="zh-CN"/>
        </w:rPr>
        <w:t>.5采购人有权在定标之前拒绝任何有不正当行为或扰乱正常招标工作的投标人，由此对投标人造成的损失不负任何责任，同时对此也不做任何解释。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69" w:name="_bookmark54"/>
      <w:bookmarkEnd w:id="69"/>
      <w:bookmarkStart w:id="70" w:name="_bookmark54"/>
      <w:bookmarkEnd w:id="70"/>
      <w:r>
        <w:rPr>
          <w:rFonts w:hint="eastAsia" w:ascii="宋体" w:hAnsi="宋体" w:eastAsia="宋体" w:cs="宋体"/>
          <w:color w:val="auto"/>
          <w:spacing w:val="0"/>
          <w:w w:val="100"/>
          <w:position w:val="0"/>
          <w:sz w:val="21"/>
          <w:szCs w:val="21"/>
          <w:highlight w:val="none"/>
          <w:lang w:val="en-US" w:eastAsia="zh-CN"/>
        </w:rPr>
        <w:t>24 投标文件的澄清、说明或补正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24.1 投标人不得主动对投标文件进行澄清、说明或补正，评标委员会也不接受投标人的主动澄清、说明或补正。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24.2 在评标期间，对于投标文件中含义不明确、同类问题表述不一致或者有明显文字和计算错误的内容，评标委员会将以书面形式要求投标人作出必要的澄清、说明或者补正。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24.3 投标人必须按照评标委员会要求的时间、地点提交澄清、说明或者补正，投标人的澄清、说明或者补正应当采用书面形式，并逐页加盖公章或者由法定代表人逐页签署或由被授权代表逐页签字。投标人的澄清、说明或者补正不得超出投标文件的范围或者改变投标文件的实质性内容。投标人拒不按照要求对投标文件进行澄清、说明或者补正的，视其放弃该项权利。评标委员会也不接受投标人超出投标文件的范围或者改变投标文件的实质性内容的澄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25.招标终止</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w:t>
      </w:r>
      <w:r>
        <w:rPr>
          <w:rFonts w:hint="eastAsia" w:ascii="宋体" w:hAnsi="宋体" w:eastAsia="宋体" w:cs="宋体"/>
          <w:b/>
          <w:color w:val="auto"/>
          <w:kern w:val="0"/>
          <w:sz w:val="21"/>
          <w:szCs w:val="21"/>
          <w:highlight w:val="none"/>
          <w:lang w:val="en-US" w:eastAsia="zh-CN"/>
        </w:rPr>
        <w:t>5</w:t>
      </w:r>
      <w:r>
        <w:rPr>
          <w:rFonts w:hint="eastAsia" w:ascii="宋体" w:hAnsi="宋体" w:eastAsia="宋体" w:cs="宋体"/>
          <w:b/>
          <w:color w:val="auto"/>
          <w:kern w:val="0"/>
          <w:sz w:val="21"/>
          <w:szCs w:val="21"/>
          <w:highlight w:val="none"/>
        </w:rPr>
        <w:t>.1在招标采购中，出现下列情形之一的，应予废标：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（1）符合专业条件的投标人或者对招标文件作实质响应的投标人不足三家的；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（2）出现影响采购公正的违法、违规行为的；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（3）投标人的报价均超过了采购预算，采购人不能支付的；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（4）因重大变故，采购任务取消的。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废标后，采购人应当将废标理由通知所有投标人。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废标后，除采购任务取消情形外，应当重新组织招标；需要采取其他方式采购的，应当在采购活动开始前获得设区的市、自治州以上人民政府采购监督管理部门或者政府有关部门批准。</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w:t>
      </w:r>
      <w:r>
        <w:rPr>
          <w:rFonts w:hint="eastAsia" w:ascii="宋体" w:hAnsi="宋体" w:eastAsia="宋体" w:cs="宋体"/>
          <w:b/>
          <w:color w:val="auto"/>
          <w:kern w:val="0"/>
          <w:sz w:val="21"/>
          <w:szCs w:val="21"/>
          <w:highlight w:val="none"/>
          <w:lang w:val="en-US" w:eastAsia="zh-CN"/>
        </w:rPr>
        <w:t>5</w:t>
      </w:r>
      <w:r>
        <w:rPr>
          <w:rFonts w:hint="eastAsia" w:ascii="宋体" w:hAnsi="宋体" w:eastAsia="宋体" w:cs="宋体"/>
          <w:b/>
          <w:color w:val="auto"/>
          <w:kern w:val="0"/>
          <w:sz w:val="21"/>
          <w:szCs w:val="21"/>
          <w:highlight w:val="none"/>
        </w:rPr>
        <w:t>.2出现下列情形之一的，采购人或者采购代理机构应当终止招标采购活动，在财政部门指定的媒体上发布项目终止公告并说明原因，重新开展采购活动：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.2.1因情况变化，不再符合规定的招标采购方式适用情形的；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.2.2出现影响采购公正的违法、违规行为的；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.2.3已确定中标人但尚未签订政府采购合同的，中标结果无效，需从合格的中标候选人中另行确定中标人但没有合格的中标候选人的；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.2.4政府采购合同已签订但尚未履行的，撤销合同，需从合格的中标候选人中另行确定中标人但没有合格的中标候选人的；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5</w:t>
      </w:r>
      <w:r>
        <w:rPr>
          <w:rFonts w:hint="eastAsia" w:ascii="宋体" w:hAnsi="宋体" w:eastAsia="宋体" w:cs="宋体"/>
          <w:color w:val="auto"/>
          <w:kern w:val="0"/>
          <w:sz w:val="21"/>
          <w:szCs w:val="21"/>
          <w:highlight w:val="none"/>
        </w:rPr>
        <w:t>.2.5因重大变故，采购任务取消的。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.重新评标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6</w:t>
      </w:r>
      <w:r>
        <w:rPr>
          <w:rFonts w:hint="eastAsia" w:ascii="宋体" w:hAnsi="宋体" w:eastAsia="宋体" w:cs="宋体"/>
          <w:color w:val="auto"/>
          <w:kern w:val="0"/>
          <w:sz w:val="21"/>
          <w:szCs w:val="21"/>
          <w:highlight w:val="none"/>
        </w:rPr>
        <w:t>.1除本须知</w:t>
      </w:r>
      <w:r>
        <w:rPr>
          <w:rFonts w:hint="eastAsia" w:ascii="宋体" w:hAnsi="宋体" w:eastAsia="宋体" w:cs="宋体"/>
          <w:color w:val="auto"/>
          <w:kern w:val="0"/>
          <w:sz w:val="21"/>
          <w:szCs w:val="21"/>
          <w:highlight w:val="none"/>
          <w:lang w:val="en-US" w:eastAsia="zh-CN"/>
        </w:rPr>
        <w:t xml:space="preserve"> 22.11 条</w:t>
      </w:r>
      <w:r>
        <w:rPr>
          <w:rFonts w:hint="eastAsia" w:ascii="宋体" w:hAnsi="宋体" w:eastAsia="宋体" w:cs="宋体"/>
          <w:color w:val="auto"/>
          <w:kern w:val="0"/>
          <w:sz w:val="21"/>
          <w:szCs w:val="21"/>
          <w:highlight w:val="none"/>
        </w:rPr>
        <w:t>所述情形外，采购人或者采购代理机构不能以任何理由组织重新评标。采购人、采购代理机构发现评标委员会未按照招标文件规定的评标标准进行评标的，应当重新开展采购活动，并同时书面报告本级财政部门。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.保密与纪律事项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.1评标委员会成员以及与评标工作有关的人员不得泄露评标情况以及评标过程中获悉的国家秘密、商业秘密。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过程保密是指评标开始后评标委员会对投标人资格审查开始至中标公告期结束、中标通知书发出等与项目相关所有的文字、评标委员会的对话、音视频等相关资料的保密，如与采购项目相关的采购人、采购代理机构、评标委员会及公共资源交易中心人员及其他相关人员泄密，从而导致评标结果出现不公正性，有关行政主管部门将根据《政府采购法》、《政府采购法实施条例》及相关法律法规规定将责任人提请上级行政主管部门追究其责任；构成犯罪的，将提请司法机关依法追究其刑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2投标人不得与采购人、采购代理机构、其他投标人恶意串通；不得向采购人、采购代理机构或者评标委员会成员行贿或者提供其他不正当利益；不得提供虚假材料谋取中标；不得以任何方式干扰、影响采购工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.3有下列情形之一的，属于恶意串通，投标无效，并依照《政府采购法》第七十七条的规定追究法律责任：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（1）投标人直接或者间接从采购人、采购代理机构获得其他投标人的投标情况，并修改其投标文件的；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（2）投标人按照采购人或采购代理机构授意撤换、修改投标文件的；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（3）投标人之间协商技术方案、合同条款以及报价等投标文件实质性内容的；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（4）属于同一集团、协会、商会等组织成员的投标人按照该组织要求协同参加政府采购活动的；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（5）投标人之间事先约定由某一特定投标人中标的；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（6）投标人之间商定部分投标人放弃提交投标文件或者退出招标或者放弃中标的；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（7）投标人与采购人、采购代理机构以及评标委员会成员之间、投标人相互之间，为谋求特定投标人中标或者排斥其他投标人的其他串通行为的。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（8）法律、行政法规或规章规定的其他串通行为。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4投标人有下列情形之一的，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（1）提供虚假材料谋取中标的；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（2）采取不正当手段诋毁、排挤其他投标人的；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（3）与采购人、其他投标人或者采购代理机构恶意串通的；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（4）向采购人、采购代理机构行贿或者提供其他不正当利益的；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（5）在招标采购过程中与采购人进行协商谈判的；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（6）拒绝有关部门监督检查或者提供虚假情况的。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投标人有上述第（1）至（5）项情形之一的，中标无效。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.5投标人有下列情形之一的，依照《政府采购法》第七十七条第一款的规定追究法律责任：</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（1）向评标委员会成员行贿或者提供其他不正当利益；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（2）中标后无正当理由拒不与采购人签订政府采购合同；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（3）未按照采购文件确定的事项签订政府采购合同；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（4）将政府采购合同转包；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（5）提供假冒伪劣产品；</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（6）擅自变更、中止或者终止政府采购合同。</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有上述第一项规定情形的，中标无效。评标阶段资格发生变化，投标人未依照《政府采购法实施条例》第二十一条的规定通知采购人和采购代理机构的，处以采购金额5‰的罚款，列入不良行为记录名单，中标无效。</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val="en-US" w:eastAsia="zh-CN"/>
        </w:rPr>
        <w:t>7</w:t>
      </w:r>
      <w:r>
        <w:rPr>
          <w:rFonts w:hint="eastAsia" w:ascii="宋体" w:hAnsi="宋体" w:eastAsia="宋体" w:cs="宋体"/>
          <w:color w:val="auto"/>
          <w:kern w:val="0"/>
          <w:sz w:val="21"/>
          <w:szCs w:val="21"/>
          <w:highlight w:val="none"/>
        </w:rPr>
        <w:t>.6投标人捏造事实、提供虚假材料或者以非法手段取得证明材料进行投诉的，由财政部门列入不良行为记录名单，禁止其1至3年内参加政府采购活动。</w:t>
      </w:r>
    </w:p>
    <w:p>
      <w:pPr>
        <w:pStyle w:val="5"/>
        <w:spacing w:before="80"/>
        <w:ind w:right="113"/>
        <w:outlineLvl w:val="1"/>
        <w:rPr>
          <w:rFonts w:hint="eastAsia" w:ascii="宋体" w:hAnsi="宋体" w:eastAsia="宋体" w:cs="宋体"/>
          <w:color w:val="auto"/>
          <w:spacing w:val="0"/>
          <w:w w:val="100"/>
          <w:position w:val="0"/>
          <w:sz w:val="24"/>
          <w:szCs w:val="24"/>
          <w:highlight w:val="none"/>
        </w:rPr>
      </w:pPr>
      <w:bookmarkStart w:id="71" w:name="_bookmark57"/>
      <w:bookmarkEnd w:id="71"/>
      <w:bookmarkStart w:id="72" w:name="_Toc8625"/>
      <w:r>
        <w:rPr>
          <w:rFonts w:hint="eastAsia" w:ascii="宋体" w:hAnsi="宋体" w:eastAsia="宋体" w:cs="宋体"/>
          <w:color w:val="auto"/>
          <w:spacing w:val="0"/>
          <w:w w:val="100"/>
          <w:position w:val="0"/>
          <w:sz w:val="24"/>
          <w:szCs w:val="24"/>
          <w:highlight w:val="none"/>
        </w:rPr>
        <w:t>六、授予合同</w:t>
      </w:r>
      <w:bookmarkEnd w:id="72"/>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28 中标人的确定及合同授予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3" w:name="_bookmark58"/>
      <w:bookmarkEnd w:id="73"/>
      <w:bookmarkStart w:id="74" w:name="_bookmark58"/>
      <w:bookmarkEnd w:id="74"/>
      <w:r>
        <w:rPr>
          <w:rFonts w:hint="eastAsia" w:ascii="宋体" w:hAnsi="宋体" w:eastAsia="宋体" w:cs="宋体"/>
          <w:color w:val="auto"/>
          <w:spacing w:val="0"/>
          <w:w w:val="100"/>
          <w:position w:val="0"/>
          <w:sz w:val="21"/>
          <w:szCs w:val="21"/>
          <w:highlight w:val="none"/>
          <w:lang w:val="en-US" w:eastAsia="zh-CN"/>
        </w:rPr>
        <w:t>28.1 采购人将在评标报告确定的中标候选人名单中按顺序确定中标人，或者，采购人委托评标委员会直接确定的中标人，采用上述何种方式确定中标人详见《投标人须知前附表》。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5" w:name="_bookmark59"/>
      <w:bookmarkEnd w:id="75"/>
      <w:bookmarkStart w:id="76" w:name="_bookmark59"/>
      <w:bookmarkEnd w:id="76"/>
      <w:r>
        <w:rPr>
          <w:rFonts w:hint="eastAsia" w:ascii="宋体" w:hAnsi="宋体" w:eastAsia="宋体" w:cs="宋体"/>
          <w:color w:val="auto"/>
          <w:spacing w:val="0"/>
          <w:w w:val="100"/>
          <w:position w:val="0"/>
          <w:sz w:val="21"/>
          <w:szCs w:val="21"/>
          <w:highlight w:val="none"/>
          <w:lang w:val="en-US" w:eastAsia="zh-CN"/>
        </w:rPr>
        <w:t>28.2 中标候选人并列的，由采购人或评标委员会按照《投标人须知前附表》规定的方式确定中标人；《投标人须知前附表》未规定的，采取随机抽取的方式确定。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29.中标信息的公布</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29.1采购人或者采购代理机构应当自中标人确定之日起2个工作日内，发出中标通知书，并在省级以上人民政府财政部门指定的媒体上公告中标结果，招标文件随中标结果同时公告。</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29.2中标通知书对采购人和中标人具有同等法律效力。</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30.中标通知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30.1中标人确定后，采购人或采购代理机构将以书面形式向中标人发出中标通知书。中标通知书对采购人和中标人具有同等法律效力。中标通知书发出后，采购人不得违法改变中标结果，中标人无正当理由不得放弃中标。</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30.2中标人在收到中标通知书后10日内，应按照投标须知前附表的规定，向采购人提交履约担保。联合体中标的，履约担保由联合体各方或联合体中牵头人的名义提交。</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30.3招标文件要求中标人提交履约保证金的，中标人应当以电汇、支票、汇票、本票或者金融机构、担保机构出具的保函等非现金形式提交。中标人没有按照规定提交履约担保的，视为放弃中标资格，其投标保证金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30.4中标人拒绝与采购人签订合同的，采购人可以按照评标报告推荐的中标候选人名单排序，确定下一候选人为中标人，也可以重新开展政府采购活动。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31.签订合同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31.1采购人应当自中标通知书发出之日起30日内，按照招标文件和中标人投标文件的规定，与中标人签订书面合同。所签订的合同不得对招标文件确定的事项和中标人投标文件作实质性修改。中标通知书是合同文件的组成部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采购人不得向中标人提出任何不合理的要求作为签订合同的条件。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31.2政府采购合同应当包括采购人与中标人的名称和住所、标的、数量、质量、价款或者报酬、履行期限及地点和方式、验收要求、违约责任、解决争议的方法等内容。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31.3采购人与中标人应当根据合同的约定依法履行合同义务。</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政府采购合同的履行、违约责任和解决争议的方法等适用《中华人民共和国民法典》。</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31.4采购人应当及时对采购项目进行验收。采购人可以邀请参加本项目的其他投标人或者第三方机构参与验收。参与验收的投标人或者第三方机构的意见作为验收书的参考资料一并存档。</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31.5采购人应当加强对中标人的履约管理，并按照采购合同约定，及时向中标人支付采购资金。对于中标人违反采购合同约定的行为，采购人应当及时处理，依法追究其违约责任。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31.6中标人应当按照合同约定履行义务。中标人不得向他人转让中标项目，也不得将中标项目分包后分别向他人转让。合同分包需在投标文件中予以说明，并需经采购人同意。否则，采购人有权取消中标人的中标资格。</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31.7中标人有下列情形之一的，责令限期改正，情节严重的，列入不良行为记录名单，在1至3年内禁止参加政府采购活动，并予以通报：</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31.7.1中标后无正当理由不与采购人签订合同的；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31.7.2未按照招标文件确定的事项签订政府采购合同，或者与采购人另行订立背离合同实质性内容的协议的；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31.7.3拒绝履行合同义务的；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31.7.4违反法律、规章、规范性文件规定的。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31.8政府采购合同的双方当事人不得擅自变更、中止或者终止合同。</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政府采购合同继续履行将损害国家利益和社会公共利益的，双方当事人应当变更、中止或者终止合同。有过错的一方应当承担赔偿责任，双方都有过错的，各自承担相应的责任。</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31.9采购人应当自政府采购合同签订之日起2个工作日内，将政府采购合同在省级以上人民政府财政部门指定的媒体上公告，但政府采购合同中涉及国家秘密、商业秘密的内容除外。</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32.政府采购合同履行中数量的变更</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32.1政府采购合同履行中，采购人需追加与合同标的相同的货物、工程或者服务的，在不改变合同其他条款的前提下，可以与中标人协商签订补充合同，但所有补充合同的采购金额不得超过原合同采购金额的10%。</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33 采购代理服务费</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77" w:name="_bookmark61"/>
      <w:bookmarkEnd w:id="77"/>
      <w:bookmarkStart w:id="78" w:name="_bookmark61"/>
      <w:bookmarkEnd w:id="78"/>
      <w:r>
        <w:rPr>
          <w:rFonts w:hint="eastAsia" w:ascii="宋体" w:hAnsi="宋体" w:eastAsia="宋体" w:cs="宋体"/>
          <w:color w:val="auto"/>
          <w:spacing w:val="0"/>
          <w:w w:val="100"/>
          <w:position w:val="0"/>
          <w:sz w:val="21"/>
          <w:szCs w:val="21"/>
          <w:highlight w:val="none"/>
          <w:lang w:val="en-US" w:eastAsia="zh-CN"/>
        </w:rPr>
        <w:t>33.1 中标人须在领取中标通知书的同时，按照《投标人须知前附表》规定的标准向采购代理机构支付采购代理服务费。</w:t>
      </w:r>
    </w:p>
    <w:p>
      <w:pPr>
        <w:pStyle w:val="5"/>
        <w:spacing w:before="2"/>
        <w:ind w:right="113"/>
        <w:outlineLvl w:val="1"/>
        <w:rPr>
          <w:rFonts w:hint="eastAsia" w:ascii="宋体" w:hAnsi="宋体" w:eastAsia="宋体" w:cs="宋体"/>
          <w:color w:val="auto"/>
          <w:spacing w:val="0"/>
          <w:w w:val="100"/>
          <w:position w:val="0"/>
          <w:sz w:val="24"/>
          <w:szCs w:val="24"/>
          <w:highlight w:val="none"/>
        </w:rPr>
      </w:pPr>
      <w:bookmarkStart w:id="79" w:name="_bookmark62"/>
      <w:bookmarkEnd w:id="79"/>
      <w:bookmarkStart w:id="80" w:name="_Toc20292"/>
      <w:r>
        <w:rPr>
          <w:rFonts w:hint="eastAsia" w:ascii="宋体" w:hAnsi="宋体" w:eastAsia="宋体" w:cs="宋体"/>
          <w:color w:val="auto"/>
          <w:spacing w:val="0"/>
          <w:w w:val="100"/>
          <w:position w:val="0"/>
          <w:sz w:val="24"/>
          <w:szCs w:val="24"/>
          <w:highlight w:val="none"/>
        </w:rPr>
        <w:t>七、其他</w:t>
      </w:r>
      <w:bookmarkEnd w:id="80"/>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bookmarkStart w:id="81" w:name="_bookmark63"/>
      <w:bookmarkEnd w:id="81"/>
      <w:bookmarkStart w:id="82" w:name="_bookmark63"/>
      <w:bookmarkEnd w:id="82"/>
      <w:r>
        <w:rPr>
          <w:rFonts w:hint="eastAsia" w:ascii="宋体" w:hAnsi="宋体" w:eastAsia="宋体" w:cs="宋体"/>
          <w:color w:val="auto"/>
          <w:spacing w:val="0"/>
          <w:w w:val="100"/>
          <w:position w:val="0"/>
          <w:sz w:val="21"/>
          <w:szCs w:val="21"/>
          <w:highlight w:val="none"/>
          <w:lang w:val="en-US" w:eastAsia="zh-CN"/>
        </w:rPr>
        <w:t>34.询问及质疑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34.1投标人对政府采购活动事项有疑问的，可以向采购人或采购代理机构提出询问，采购人或采购代理机构将在三个工作日内作出答复。</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34.2投标人若认为招标文件、招标过程和中标结果使自己的权益受到损害，应当在下列时间内以书面形式向采购人或采购代理机构提出：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34.2.1对可以质疑的招标文件提出质疑的，应在收到招标文件之日7个工作日内。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34.2.2对采购过程提出质疑的，应在该采购程序环节结束之日起7个工作日内提出。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34.2.3关于中标结果的质疑，应在中标结果信息发布后7个工作日内提出。</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34.3投标人提出质疑的，应提供质疑书原件。采购人或采购代理机构应当向质疑投标人签收回执。</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.4质疑书应当包括下列内容：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.4.1质疑投标人的名称、地址及有效联系方式；</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.4.2质疑事项；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.4.3事实依据及相关证明材料；</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.4.4相关请求及主张。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.5质疑书应当由投标人法定代表人或其授权代表签字并加盖投标人单位章，质疑书由授权代表签字的应附投标人法定代表人委托授权书。</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.6采购人或采购代理机构将在签收回执之日起7个工作日内作出书面答复，并以书面形式通知质疑</w:t>
      </w:r>
      <w:r>
        <w:rPr>
          <w:rFonts w:hint="eastAsia" w:ascii="宋体" w:hAnsi="宋体" w:eastAsia="宋体" w:cs="宋体"/>
          <w:color w:val="auto"/>
          <w:kern w:val="0"/>
          <w:sz w:val="21"/>
          <w:szCs w:val="21"/>
          <w:highlight w:val="none"/>
          <w:lang w:eastAsia="zh-CN"/>
        </w:rPr>
        <w:t>投标</w:t>
      </w:r>
      <w:r>
        <w:rPr>
          <w:rFonts w:hint="eastAsia" w:ascii="宋体" w:hAnsi="宋体" w:eastAsia="宋体" w:cs="宋体"/>
          <w:color w:val="auto"/>
          <w:kern w:val="0"/>
          <w:sz w:val="21"/>
          <w:szCs w:val="21"/>
          <w:highlight w:val="none"/>
        </w:rPr>
        <w:t>人和其他有关的投标人。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.7投标人对采购人或采购代理机构的答复不满意，或者采购人或采购代理机构未在规定的期限作出答复的，可在答复期满后15个工作日内，按政府采购相关法律法规的规定及程序，向同级财政部门提出投诉。</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val="en-US" w:eastAsia="zh-CN"/>
        </w:rPr>
        <w:t>4</w:t>
      </w:r>
      <w:r>
        <w:rPr>
          <w:rFonts w:hint="eastAsia" w:ascii="宋体" w:hAnsi="宋体" w:eastAsia="宋体" w:cs="宋体"/>
          <w:color w:val="auto"/>
          <w:kern w:val="0"/>
          <w:sz w:val="21"/>
          <w:szCs w:val="21"/>
          <w:highlight w:val="none"/>
        </w:rPr>
        <w:t>.8参与政府采购活动的投标人对评标过程或者结果提出质疑的，采购人或采购代理机构可以组织原评标委员会协助处理质疑事项，并依据评标委员会出具的意见进行答复。质疑答复导致中标结果改变的，采购人或采购代理机构应当将相关情况报财政部门备案。</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 投标人的商业秘密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35.1 投标人应在投标文件中将属于其商业秘密的内容进行明确标注，采购人、采购代理机构及其有关人员和评标委员会将对投标人的商业秘密进行保密。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35.2 投标标的名称、规格型号、单价及合同金额等内容不得作为商业秘密。</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36 保密条款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37.1 除了投标人为投标所雇人员外，在未经采购人书面同意的情况下，投标人不得将本项目、与项目中相关的任何内容、资料（包括纸质和电子介质资料，下同）透露给任何人。否则，投标人必须承担因此给采购人造成的一切经济损失，采购人保留追究其法律责任的权利。投标人须在对外保密的前提下，对其从事本项目投标的雇佣人员提供有关情况，所提供的情况仅限于执行投标必不可少的范围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37.2 除非执行合同需要，在事先未得到采购人书面同意的情况下，投标人不得使用本招标书中所提供的任何文件和资料。</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37.3 采购人对投标人提交的文件将给予保密，但无论中标与否，投标人的投标文件不予退还。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 履约保证金</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38.1 第一成交候选人在收到成交公示结束后7个工作日内（签订合同前）向采购人缴纳采购人规定的履约保证金。否则视为自动放弃成交资格，由第二候选人成交，以此类推。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38.2 履约保证金形式：转账或银行保函</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成交单位未按本文件规定缴纳履约保证金的，其保证金将不予退还。</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38.3 履约保证金缴纳账户信息：根据签订合同账户汇款。</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38.4 履约保证金的退还：合同履约完成，质保期（一年）结束，无息退还履约保证金。成交单位未按照合同、法律法规、招标文件等相关规定履行责任，采购人有权扣除履约保证金，并解除合同，由此造成的一切损失，由成交单位自行承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 其他规定</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39.1 采购人、采购代理机构应当建立真实完整的招标采购档案，妥善保存每项采购活动的采购文件。</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39.2 招标文件的其他规定见《投标人须知前附表》。</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39.3 本招标文件是根据《中华人民共和国政府采购法》、《中华人民共和国政府采购法实施条例》和《政府采购货物和服务招标投标管理办法》（财政部令第87号）的规定编制，解释权属采购人与采购代理机构。</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lang w:val="en-US" w:eastAsia="zh-CN"/>
        </w:rPr>
        <w:t>39.3 参与本次招标的投标人应当派商务、技术人员参加开标会议，并对评标委员会提出的商务、技术问题进行答疑和澄清。</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rPr>
      </w:pPr>
    </w:p>
    <w:p>
      <w:pPr>
        <w:rPr>
          <w:rFonts w:hint="eastAsia" w:ascii="宋体" w:hAnsi="宋体" w:eastAsia="宋体" w:cs="宋体"/>
          <w:color w:val="auto"/>
          <w:spacing w:val="0"/>
          <w:w w:val="100"/>
          <w:position w:val="0"/>
          <w:sz w:val="20"/>
          <w:szCs w:val="20"/>
          <w:highlight w:val="none"/>
        </w:rPr>
      </w:pPr>
      <w:bookmarkStart w:id="83" w:name="_bookmark65"/>
      <w:bookmarkEnd w:id="83"/>
      <w:r>
        <w:rPr>
          <w:rFonts w:hint="eastAsia" w:ascii="宋体" w:hAnsi="宋体" w:eastAsia="宋体" w:cs="宋体"/>
          <w:color w:val="auto"/>
          <w:spacing w:val="0"/>
          <w:w w:val="100"/>
          <w:position w:val="0"/>
          <w:sz w:val="20"/>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lang w:val="en-US" w:eastAsia="zh-CN"/>
        </w:rPr>
      </w:pPr>
      <w:bookmarkStart w:id="84" w:name="_Toc29637"/>
      <w:r>
        <w:rPr>
          <w:rFonts w:hint="eastAsia" w:ascii="宋体" w:hAnsi="宋体" w:eastAsia="宋体" w:cs="宋体"/>
          <w:color w:val="auto"/>
          <w:spacing w:val="0"/>
          <w:w w:val="100"/>
          <w:position w:val="0"/>
          <w:sz w:val="32"/>
          <w:szCs w:val="32"/>
          <w:highlight w:val="none"/>
        </w:rPr>
        <w:t>第</w:t>
      </w:r>
      <w:r>
        <w:rPr>
          <w:rFonts w:hint="eastAsia" w:ascii="宋体" w:hAnsi="宋体" w:eastAsia="宋体" w:cs="宋体"/>
          <w:color w:val="auto"/>
          <w:spacing w:val="0"/>
          <w:w w:val="100"/>
          <w:position w:val="0"/>
          <w:sz w:val="32"/>
          <w:szCs w:val="32"/>
          <w:highlight w:val="none"/>
          <w:lang w:val="en-US" w:eastAsia="zh-CN"/>
        </w:rPr>
        <w:t>三</w:t>
      </w:r>
      <w:r>
        <w:rPr>
          <w:rFonts w:hint="eastAsia" w:ascii="宋体" w:hAnsi="宋体" w:eastAsia="宋体" w:cs="宋体"/>
          <w:color w:val="auto"/>
          <w:spacing w:val="0"/>
          <w:w w:val="100"/>
          <w:position w:val="0"/>
          <w:sz w:val="32"/>
          <w:szCs w:val="32"/>
          <w:highlight w:val="none"/>
        </w:rPr>
        <w:t>章</w:t>
      </w:r>
      <w:r>
        <w:rPr>
          <w:rFonts w:hint="eastAsia" w:ascii="宋体" w:hAnsi="宋体" w:eastAsia="宋体" w:cs="宋体"/>
          <w:color w:val="auto"/>
          <w:spacing w:val="0"/>
          <w:w w:val="100"/>
          <w:position w:val="0"/>
          <w:sz w:val="32"/>
          <w:szCs w:val="32"/>
          <w:highlight w:val="none"/>
          <w:lang w:val="en-US" w:eastAsia="zh-CN"/>
        </w:rPr>
        <w:t xml:space="preserve"> 采购需求</w:t>
      </w:r>
      <w:bookmarkEnd w:id="84"/>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说明：1、</w:t>
      </w:r>
      <w:r>
        <w:rPr>
          <w:rFonts w:hint="eastAsia" w:ascii="宋体" w:hAnsi="宋体" w:eastAsia="宋体" w:cs="宋体"/>
          <w:b/>
          <w:bCs/>
          <w:color w:val="auto"/>
          <w:kern w:val="2"/>
          <w:sz w:val="21"/>
          <w:szCs w:val="21"/>
          <w:highlight w:val="none"/>
          <w:lang w:val="en-US" w:eastAsia="zh-CN" w:bidi="ar-SA"/>
        </w:rPr>
        <w:t>投标人</w:t>
      </w:r>
      <w:r>
        <w:rPr>
          <w:rFonts w:hint="eastAsia" w:ascii="宋体" w:hAnsi="宋体" w:eastAsia="宋体" w:cs="宋体"/>
          <w:b/>
          <w:bCs/>
          <w:color w:val="auto"/>
          <w:kern w:val="2"/>
          <w:sz w:val="21"/>
          <w:szCs w:val="21"/>
          <w:highlight w:val="none"/>
          <w:lang w:val="en-US" w:bidi="ar-SA"/>
        </w:rPr>
        <w:t>须对以本项目为单位的</w:t>
      </w:r>
      <w:r>
        <w:rPr>
          <w:rFonts w:hint="eastAsia" w:ascii="宋体" w:hAnsi="宋体" w:eastAsia="宋体" w:cs="宋体"/>
          <w:b/>
          <w:bCs/>
          <w:color w:val="auto"/>
          <w:kern w:val="2"/>
          <w:sz w:val="21"/>
          <w:szCs w:val="21"/>
          <w:highlight w:val="none"/>
          <w:lang w:val="en-US" w:eastAsia="zh-CN" w:bidi="ar-SA"/>
        </w:rPr>
        <w:t>供货</w:t>
      </w:r>
      <w:r>
        <w:rPr>
          <w:rFonts w:hint="eastAsia" w:ascii="宋体" w:hAnsi="宋体" w:eastAsia="宋体" w:cs="宋体"/>
          <w:b/>
          <w:bCs/>
          <w:color w:val="auto"/>
          <w:kern w:val="2"/>
          <w:sz w:val="21"/>
          <w:szCs w:val="21"/>
          <w:highlight w:val="none"/>
          <w:lang w:val="en-US" w:bidi="ar-SA"/>
        </w:rPr>
        <w:t>进行响应，任何只对其中一部分内容进行的响应都被视为无效响应。</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2、注有“</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bidi="ar-SA"/>
        </w:rPr>
        <w:t>”号的条款为重要技术条款</w:t>
      </w:r>
      <w:r>
        <w:rPr>
          <w:rFonts w:hint="eastAsia" w:ascii="宋体" w:hAnsi="宋体" w:eastAsia="宋体" w:cs="宋体"/>
          <w:b/>
          <w:bCs/>
          <w:color w:val="auto"/>
          <w:kern w:val="2"/>
          <w:sz w:val="21"/>
          <w:szCs w:val="21"/>
          <w:highlight w:val="none"/>
          <w:lang w:val="en-US" w:eastAsia="zh-CN" w:bidi="ar-SA"/>
        </w:rPr>
        <w:t>，出现负偏离为</w:t>
      </w:r>
      <w:r>
        <w:rPr>
          <w:rFonts w:hint="eastAsia" w:ascii="宋体" w:hAnsi="宋体" w:eastAsia="宋体" w:cs="宋体"/>
          <w:b/>
          <w:bCs/>
          <w:color w:val="auto"/>
          <w:kern w:val="2"/>
          <w:sz w:val="21"/>
          <w:szCs w:val="21"/>
          <w:highlight w:val="none"/>
          <w:lang w:val="en-US" w:bidi="ar-SA"/>
        </w:rPr>
        <w:t>无效响应。</w:t>
      </w:r>
    </w:p>
    <w:tbl>
      <w:tblPr>
        <w:tblStyle w:val="23"/>
        <w:tblW w:w="9388"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8"/>
        <w:gridCol w:w="2814"/>
        <w:gridCol w:w="1394"/>
        <w:gridCol w:w="1798"/>
        <w:gridCol w:w="21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9" w:hRule="atLeast"/>
          <w:jc w:val="center"/>
        </w:trPr>
        <w:tc>
          <w:tcPr>
            <w:tcW w:w="1208" w:type="dxa"/>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center"/>
              <w:textAlignment w:val="baseline"/>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vertAlign w:val="baseline"/>
                <w:lang w:val="en-US" w:eastAsia="zh-CN" w:bidi="zh-CN"/>
              </w:rPr>
              <w:t>包号</w:t>
            </w:r>
          </w:p>
        </w:tc>
        <w:tc>
          <w:tcPr>
            <w:tcW w:w="2814" w:type="dxa"/>
            <w:vAlign w:val="center"/>
          </w:tcPr>
          <w:p>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val="0"/>
              <w:bidi w:val="0"/>
              <w:adjustRightInd/>
              <w:snapToGrid/>
              <w:spacing w:before="0" w:beforeAutospacing="0" w:after="0" w:afterAutospacing="0" w:line="240" w:lineRule="auto"/>
              <w:ind w:left="0" w:leftChars="0" w:right="0" w:rightChars="0" w:firstLine="0" w:firstLineChars="0"/>
              <w:jc w:val="center"/>
              <w:textAlignment w:val="baseline"/>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0"/>
                <w:sz w:val="21"/>
                <w:szCs w:val="21"/>
                <w:highlight w:val="none"/>
                <w:vertAlign w:val="baseline"/>
                <w:lang w:val="en-US" w:eastAsia="zh-CN" w:bidi="zh-CN"/>
              </w:rPr>
              <w:t>包件</w:t>
            </w:r>
            <w:r>
              <w:rPr>
                <w:rFonts w:hint="eastAsia" w:ascii="宋体" w:hAnsi="宋体" w:eastAsia="宋体" w:cs="宋体"/>
                <w:color w:val="auto"/>
                <w:kern w:val="0"/>
                <w:sz w:val="21"/>
                <w:szCs w:val="21"/>
                <w:highlight w:val="none"/>
                <w:vertAlign w:val="baseline"/>
                <w:lang w:val="zh-CN" w:eastAsia="zh-CN" w:bidi="zh-CN"/>
              </w:rPr>
              <w:t>名称</w:t>
            </w:r>
          </w:p>
        </w:tc>
        <w:tc>
          <w:tcPr>
            <w:tcW w:w="139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c>
          <w:tcPr>
            <w:tcW w:w="179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最高限价</w:t>
            </w:r>
          </w:p>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（人民币元）</w:t>
            </w:r>
          </w:p>
        </w:tc>
        <w:tc>
          <w:tcPr>
            <w:tcW w:w="217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供货期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6" w:hRule="atLeast"/>
          <w:jc w:val="center"/>
        </w:trPr>
        <w:tc>
          <w:tcPr>
            <w:tcW w:w="120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第一包</w:t>
            </w:r>
          </w:p>
        </w:tc>
        <w:tc>
          <w:tcPr>
            <w:tcW w:w="281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zh-CN"/>
              </w:rPr>
              <w:t>测量设备采购项目（第一包）</w:t>
            </w:r>
          </w:p>
        </w:tc>
        <w:tc>
          <w:tcPr>
            <w:tcW w:w="139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zh-CN"/>
              </w:rPr>
              <w:t>1批</w:t>
            </w:r>
          </w:p>
        </w:tc>
        <w:tc>
          <w:tcPr>
            <w:tcW w:w="1798"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120</w:t>
            </w:r>
            <w:r>
              <w:rPr>
                <w:rFonts w:hint="eastAsia" w:ascii="宋体" w:hAnsi="宋体" w:eastAsia="宋体" w:cs="宋体"/>
                <w:color w:val="auto"/>
                <w:kern w:val="2"/>
                <w:sz w:val="21"/>
                <w:szCs w:val="21"/>
                <w:highlight w:val="none"/>
                <w:lang w:val="en-US" w:eastAsia="zh-CN" w:bidi="ar-SA"/>
              </w:rPr>
              <w:t>0000</w:t>
            </w:r>
          </w:p>
        </w:tc>
        <w:tc>
          <w:tcPr>
            <w:tcW w:w="217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采购标的</w:t>
            </w:r>
            <w:r>
              <w:rPr>
                <w:rFonts w:hint="eastAsia" w:ascii="宋体" w:hAnsi="宋体" w:eastAsia="宋体" w:cs="宋体"/>
                <w:b/>
                <w:bCs/>
                <w:color w:val="auto"/>
                <w:kern w:val="2"/>
                <w:sz w:val="21"/>
                <w:szCs w:val="21"/>
                <w:highlight w:val="none"/>
                <w:lang w:val="en-US" w:eastAsia="zh-CN" w:bidi="ar-SA"/>
              </w:rPr>
              <w:t>内容</w:t>
            </w:r>
            <w:r>
              <w:rPr>
                <w:rFonts w:hint="eastAsia" w:ascii="宋体" w:hAnsi="宋体" w:eastAsia="宋体" w:cs="宋体"/>
                <w:color w:val="auto"/>
                <w:kern w:val="2"/>
                <w:sz w:val="21"/>
                <w:szCs w:val="21"/>
                <w:highlight w:val="none"/>
                <w:lang w:val="en-US" w:eastAsia="zh-CN" w:bidi="ar-SA"/>
              </w:rPr>
              <w:t>”</w:t>
            </w:r>
          </w:p>
        </w:tc>
      </w:tr>
    </w:tbl>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注：1、</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必须对本项目的全部内容进行</w:t>
      </w:r>
      <w:r>
        <w:rPr>
          <w:rFonts w:hint="eastAsia" w:ascii="宋体" w:hAnsi="宋体" w:eastAsia="宋体" w:cs="宋体"/>
          <w:color w:val="auto"/>
          <w:kern w:val="2"/>
          <w:sz w:val="21"/>
          <w:szCs w:val="21"/>
          <w:highlight w:val="none"/>
          <w:lang w:val="en-US" w:eastAsia="zh-CN" w:bidi="ar-SA"/>
        </w:rPr>
        <w:t>投标报价</w:t>
      </w:r>
      <w:r>
        <w:rPr>
          <w:rFonts w:hint="eastAsia" w:ascii="宋体" w:hAnsi="宋体" w:eastAsia="宋体" w:cs="宋体"/>
          <w:color w:val="auto"/>
          <w:kern w:val="2"/>
          <w:sz w:val="21"/>
          <w:szCs w:val="21"/>
          <w:highlight w:val="none"/>
          <w:lang w:val="en-US" w:bidi="ar-SA"/>
        </w:rPr>
        <w:t>，如有缺漏，将导致</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无效。</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2、开标时</w:t>
      </w:r>
      <w:r>
        <w:rPr>
          <w:rFonts w:hint="eastAsia" w:ascii="宋体" w:hAnsi="宋体" w:eastAsia="宋体" w:cs="宋体"/>
          <w:color w:val="auto"/>
          <w:kern w:val="2"/>
          <w:sz w:val="21"/>
          <w:szCs w:val="21"/>
          <w:highlight w:val="none"/>
          <w:lang w:val="en-US" w:eastAsia="zh-CN" w:bidi="ar-SA"/>
        </w:rPr>
        <w:t>投标报价</w:t>
      </w:r>
      <w:r>
        <w:rPr>
          <w:rFonts w:hint="eastAsia" w:ascii="宋体" w:hAnsi="宋体" w:eastAsia="宋体" w:cs="宋体"/>
          <w:color w:val="auto"/>
          <w:kern w:val="2"/>
          <w:sz w:val="21"/>
          <w:szCs w:val="21"/>
          <w:highlight w:val="none"/>
          <w:lang w:val="en-US" w:bidi="ar-SA"/>
        </w:rPr>
        <w:t>超过预算金额为</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无效。</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3、本项目为政府采购项目。</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一、采购标的需实现的功能或者目标，以及为落实政府采购政策需满足的要求：</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（一）采购标的需实现的功能或者目标</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本次招标采购是为</w:t>
      </w:r>
      <w:r>
        <w:rPr>
          <w:rFonts w:hint="eastAsia" w:cs="宋体"/>
          <w:color w:val="auto"/>
          <w:kern w:val="2"/>
          <w:sz w:val="21"/>
          <w:szCs w:val="21"/>
          <w:highlight w:val="none"/>
          <w:lang w:val="en-US" w:eastAsia="zh-CN" w:bidi="ar-SA"/>
        </w:rPr>
        <w:t>自治区计量院第一批测量设备采购项目（一）</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应根据</w:t>
      </w:r>
      <w:r>
        <w:rPr>
          <w:rFonts w:hint="eastAsia" w:ascii="宋体" w:hAnsi="宋体" w:eastAsia="宋体" w:cs="宋体"/>
          <w:color w:val="auto"/>
          <w:kern w:val="2"/>
          <w:sz w:val="21"/>
          <w:szCs w:val="21"/>
          <w:highlight w:val="none"/>
          <w:lang w:val="en-US" w:eastAsia="zh-CN" w:bidi="ar-SA"/>
        </w:rPr>
        <w:t>招标文件</w:t>
      </w:r>
      <w:r>
        <w:rPr>
          <w:rFonts w:hint="eastAsia" w:ascii="宋体" w:hAnsi="宋体" w:eastAsia="宋体" w:cs="宋体"/>
          <w:color w:val="auto"/>
          <w:kern w:val="2"/>
          <w:sz w:val="21"/>
          <w:szCs w:val="21"/>
          <w:highlight w:val="none"/>
          <w:lang w:val="en-US" w:bidi="ar-SA"/>
        </w:rPr>
        <w:t>所提出的</w:t>
      </w:r>
      <w:r>
        <w:rPr>
          <w:rFonts w:hint="eastAsia" w:ascii="宋体" w:hAnsi="宋体" w:eastAsia="宋体" w:cs="宋体"/>
          <w:color w:val="auto"/>
          <w:kern w:val="2"/>
          <w:sz w:val="21"/>
          <w:szCs w:val="21"/>
          <w:highlight w:val="none"/>
          <w:lang w:val="en-US" w:eastAsia="zh-CN" w:bidi="ar-SA"/>
        </w:rPr>
        <w:t>产品</w:t>
      </w:r>
      <w:r>
        <w:rPr>
          <w:rFonts w:hint="eastAsia" w:ascii="宋体" w:hAnsi="宋体" w:eastAsia="宋体" w:cs="宋体"/>
          <w:color w:val="auto"/>
          <w:kern w:val="2"/>
          <w:sz w:val="21"/>
          <w:szCs w:val="21"/>
          <w:highlight w:val="none"/>
          <w:lang w:val="en-US" w:bidi="ar-SA"/>
        </w:rPr>
        <w:t>规格和服务要求，综合考虑</w:t>
      </w:r>
      <w:r>
        <w:rPr>
          <w:rFonts w:hint="eastAsia" w:ascii="宋体" w:hAnsi="宋体" w:eastAsia="宋体" w:cs="宋体"/>
          <w:color w:val="auto"/>
          <w:kern w:val="2"/>
          <w:sz w:val="21"/>
          <w:szCs w:val="21"/>
          <w:highlight w:val="none"/>
          <w:lang w:val="en-US" w:eastAsia="zh-CN" w:bidi="ar-SA"/>
        </w:rPr>
        <w:t>商品</w:t>
      </w:r>
      <w:r>
        <w:rPr>
          <w:rFonts w:hint="eastAsia" w:ascii="宋体" w:hAnsi="宋体" w:eastAsia="宋体" w:cs="宋体"/>
          <w:color w:val="auto"/>
          <w:kern w:val="2"/>
          <w:sz w:val="21"/>
          <w:szCs w:val="21"/>
          <w:highlight w:val="none"/>
          <w:lang w:val="en-US" w:bidi="ar-SA"/>
        </w:rPr>
        <w:t>的适用性，及性能价格比前来</w:t>
      </w:r>
      <w:r>
        <w:rPr>
          <w:rFonts w:hint="eastAsia" w:ascii="宋体" w:hAnsi="宋体" w:eastAsia="宋体" w:cs="宋体"/>
          <w:color w:val="auto"/>
          <w:kern w:val="2"/>
          <w:sz w:val="21"/>
          <w:szCs w:val="21"/>
          <w:highlight w:val="none"/>
          <w:lang w:val="en-US" w:eastAsia="zh-CN" w:bidi="ar-SA"/>
        </w:rPr>
        <w:t>投标</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应以</w:t>
      </w:r>
      <w:r>
        <w:rPr>
          <w:rFonts w:hint="eastAsia" w:ascii="宋体" w:hAnsi="宋体" w:eastAsia="宋体" w:cs="宋体"/>
          <w:color w:val="auto"/>
          <w:kern w:val="2"/>
          <w:sz w:val="21"/>
          <w:szCs w:val="21"/>
          <w:highlight w:val="none"/>
          <w:lang w:val="en-US" w:eastAsia="zh-CN" w:bidi="ar-SA"/>
        </w:rPr>
        <w:t>优良的商品</w:t>
      </w:r>
      <w:r>
        <w:rPr>
          <w:rFonts w:hint="eastAsia" w:ascii="宋体" w:hAnsi="宋体" w:eastAsia="宋体" w:cs="宋体"/>
          <w:color w:val="auto"/>
          <w:kern w:val="2"/>
          <w:sz w:val="21"/>
          <w:szCs w:val="21"/>
          <w:highlight w:val="none"/>
          <w:lang w:val="en-US" w:bidi="ar-SA"/>
        </w:rPr>
        <w:t>、优良的服务和优惠的价格，充分显示自己的竞争实力。</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（二）为落实政府采购政策需满足的要求（专门面向中小企业采购或预留份额的情况不享受政策优惠扣除）</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1.</w:t>
      </w:r>
      <w:r>
        <w:rPr>
          <w:rFonts w:hint="eastAsia" w:ascii="宋体" w:hAnsi="宋体" w:eastAsia="宋体" w:cs="宋体"/>
          <w:color w:val="auto"/>
          <w:kern w:val="2"/>
          <w:sz w:val="21"/>
          <w:szCs w:val="21"/>
          <w:highlight w:val="none"/>
          <w:lang w:val="en-US" w:bidi="ar-SA"/>
        </w:rPr>
        <w:t>促进中小企业发展政策：根据《政府采购促进中小企业发展管理办法》的通知（财库〔2020〕46号）规定，本项目</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所投产品为中小企业制造的，</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应出具</w:t>
      </w:r>
      <w:r>
        <w:rPr>
          <w:rFonts w:hint="eastAsia" w:ascii="宋体" w:hAnsi="宋体" w:eastAsia="宋体" w:cs="宋体"/>
          <w:color w:val="auto"/>
          <w:kern w:val="2"/>
          <w:sz w:val="21"/>
          <w:szCs w:val="21"/>
          <w:highlight w:val="none"/>
          <w:lang w:val="en-US" w:eastAsia="zh-CN" w:bidi="ar-SA"/>
        </w:rPr>
        <w:t>招标文件</w:t>
      </w:r>
      <w:r>
        <w:rPr>
          <w:rFonts w:hint="eastAsia" w:ascii="宋体" w:hAnsi="宋体" w:eastAsia="宋体" w:cs="宋体"/>
          <w:color w:val="auto"/>
          <w:kern w:val="2"/>
          <w:sz w:val="21"/>
          <w:szCs w:val="21"/>
          <w:highlight w:val="none"/>
          <w:lang w:val="en-US" w:bidi="ar-SA"/>
        </w:rPr>
        <w:t>要求的《中小企业声明函》给予证明，否则评标时不予认可。</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应对提交的中小企业声明函的真实性负责，提交的中小企业声明函不真实的，应承担相应的法律责任。</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监狱企业扶持政策：投标人如为监狱企业将视同为小型或微型企业，且所投产品为小型或微型企业生产的，应提供由省级以上监狱管理局、戒毒管理局（含新疆生产建设兵团）出具的属于监狱企业的证明文件。投标人应对提交的属于监狱企业的证明文件的真实性负责，提交的监狱企业的证明文件不真实的，应承担相应的法律责任。</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促进残疾人就业政府采购政策：根据《三部门联合发布关于促进残疾人就业政府采购政策的通知》（财库〔2017〕141号）规定，符合条件的残疾人福利性单位在参加本项目政府采购活动时，投标人应出具招标文件要求的《残疾人福利性单位声明函》，并对声明的真实性承担法律责任。中标、成交投标人为残疾人福利性单位的，采购代理机构将随中标结果同时公告其《残疾人福利性单位声明函》，接受社会监督。残疾人福利性单位视同小型、微型企业。不重复享受政策。</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4.鼓励节能政策：</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所投产品如属于财政部、国家发展改革委发布的最新一期的《节能产品政府采购清单》中的产品，</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需提供证明材料。《节能产品政府采购清单》可以在中国政府采购网（http：//www.ccgp.gov.cn/）上查阅下载。</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5.鼓励环保政策：</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所投产品如属于财政部、环境保护部发布的最新一期的《环境标志产品政府采购清单》中的产品，</w:t>
      </w:r>
      <w:r>
        <w:rPr>
          <w:rFonts w:hint="eastAsia" w:ascii="宋体" w:hAnsi="宋体" w:eastAsia="宋体" w:cs="宋体"/>
          <w:color w:val="auto"/>
          <w:kern w:val="2"/>
          <w:sz w:val="21"/>
          <w:szCs w:val="21"/>
          <w:highlight w:val="none"/>
          <w:lang w:val="en-US" w:eastAsia="zh-CN" w:bidi="ar-SA"/>
        </w:rPr>
        <w:t>投标人</w:t>
      </w:r>
      <w:r>
        <w:rPr>
          <w:rFonts w:hint="eastAsia" w:ascii="宋体" w:hAnsi="宋体" w:eastAsia="宋体" w:cs="宋体"/>
          <w:color w:val="auto"/>
          <w:kern w:val="2"/>
          <w:sz w:val="21"/>
          <w:szCs w:val="21"/>
          <w:highlight w:val="none"/>
          <w:lang w:val="en-US" w:bidi="ar-SA"/>
        </w:rPr>
        <w:t>需提供证明材料。《环境标志产品政府采购清单》可以在中国政府采购网（http：//www.ccgp.gov.cn/）上查阅下载。</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eastAsia="zh-CN" w:bidi="ar-SA"/>
        </w:rPr>
        <w:t>二、</w:t>
      </w:r>
      <w:r>
        <w:rPr>
          <w:rFonts w:hint="eastAsia" w:ascii="宋体" w:hAnsi="宋体" w:eastAsia="宋体" w:cs="宋体"/>
          <w:b/>
          <w:bCs/>
          <w:color w:val="auto"/>
          <w:kern w:val="2"/>
          <w:sz w:val="21"/>
          <w:szCs w:val="21"/>
          <w:highlight w:val="none"/>
          <w:lang w:val="en-US" w:bidi="ar-SA"/>
        </w:rPr>
        <w:t>采购标的需执行的国家相关标准、行业标准、地方标准或者其他标准、规范：</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产品及制造商应符合国家有关部门规定的相应技术法规及标准，如国家有关部门对投标产品或其制造商有强制性规定或要求的，投标产品或其制造商必须符合相应规定或要求，投标人须提供相关证明文件的复印件并加盖单位公章。</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三、采购标的的数量、采购项目交付或者实施的时间和地点：</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（一）采购标的</w:t>
      </w:r>
      <w:r>
        <w:rPr>
          <w:rFonts w:hint="eastAsia" w:ascii="宋体" w:hAnsi="宋体" w:eastAsia="宋体" w:cs="宋体"/>
          <w:b/>
          <w:bCs/>
          <w:color w:val="auto"/>
          <w:kern w:val="2"/>
          <w:sz w:val="21"/>
          <w:szCs w:val="21"/>
          <w:highlight w:val="none"/>
          <w:lang w:val="en-US" w:eastAsia="zh-CN" w:bidi="ar-SA"/>
        </w:rPr>
        <w:t>内容（标注★品目为</w:t>
      </w:r>
      <w:r>
        <w:rPr>
          <w:rFonts w:hint="eastAsia" w:ascii="宋体" w:hAnsi="宋体" w:eastAsia="宋体" w:cs="宋体"/>
          <w:b/>
          <w:bCs/>
          <w:color w:val="auto"/>
          <w:spacing w:val="0"/>
          <w:w w:val="100"/>
          <w:kern w:val="0"/>
          <w:position w:val="0"/>
          <w:sz w:val="21"/>
          <w:szCs w:val="21"/>
          <w:highlight w:val="none"/>
          <w:lang w:val="en-US" w:eastAsia="zh-CN" w:bidi="ar"/>
        </w:rPr>
        <w:t>核心产品</w:t>
      </w:r>
      <w:r>
        <w:rPr>
          <w:rFonts w:hint="eastAsia" w:ascii="宋体" w:hAnsi="宋体" w:eastAsia="宋体" w:cs="宋体"/>
          <w:b/>
          <w:bCs/>
          <w:color w:val="auto"/>
          <w:kern w:val="2"/>
          <w:sz w:val="21"/>
          <w:szCs w:val="21"/>
          <w:highlight w:val="none"/>
          <w:lang w:val="en-US" w:eastAsia="zh-CN" w:bidi="ar-SA"/>
        </w:rPr>
        <w:t>）</w:t>
      </w:r>
    </w:p>
    <w:tbl>
      <w:tblPr>
        <w:tblStyle w:val="23"/>
        <w:tblW w:w="9611" w:type="dxa"/>
        <w:jc w:val="center"/>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2"/>
        <w:gridCol w:w="1705"/>
        <w:gridCol w:w="3204"/>
        <w:gridCol w:w="1035"/>
        <w:gridCol w:w="1065"/>
        <w:gridCol w:w="1650"/>
      </w:tblGrid>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89" w:hRule="exact"/>
          <w:jc w:val="center"/>
        </w:trPr>
        <w:tc>
          <w:tcPr>
            <w:tcW w:w="952"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包号</w:t>
            </w:r>
          </w:p>
        </w:tc>
        <w:tc>
          <w:tcPr>
            <w:tcW w:w="170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包名称</w:t>
            </w: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品目名称</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数量</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*质保期</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*供货期</w:t>
            </w:r>
          </w:p>
        </w:tc>
      </w:tr>
      <w:tr>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PrEx>
        <w:trPr>
          <w:trHeight w:val="460" w:hRule="atLeast"/>
          <w:jc w:val="center"/>
        </w:trPr>
        <w:tc>
          <w:tcPr>
            <w:tcW w:w="952"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第一包</w:t>
            </w:r>
          </w:p>
        </w:tc>
        <w:tc>
          <w:tcPr>
            <w:tcW w:w="170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zh-CN"/>
              </w:rPr>
              <w:t>测量设备采购项目（第一包）</w:t>
            </w:r>
          </w:p>
        </w:tc>
        <w:tc>
          <w:tcPr>
            <w:tcW w:w="3204"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eastAsia="zh-CN" w:bidi="ar-SA"/>
              </w:rPr>
              <w:t>全自动压力校验系统</w:t>
            </w:r>
          </w:p>
        </w:tc>
        <w:tc>
          <w:tcPr>
            <w:tcW w:w="103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1套</w:t>
            </w:r>
          </w:p>
        </w:tc>
        <w:tc>
          <w:tcPr>
            <w:tcW w:w="1065"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2年</w:t>
            </w:r>
          </w:p>
        </w:tc>
        <w:tc>
          <w:tcPr>
            <w:tcW w:w="1650" w:type="dxa"/>
            <w:vAlign w:val="center"/>
          </w:tcPr>
          <w:p>
            <w:pPr>
              <w:keepNext w:val="0"/>
              <w:keepLines w:val="0"/>
              <w:pageBreakBefore w:val="0"/>
              <w:widowControl w:val="0"/>
              <w:kinsoku/>
              <w:wordWrap w:val="0"/>
              <w:overflowPunct/>
              <w:topLinePunct w:val="0"/>
              <w:autoSpaceDE/>
              <w:autoSpaceDN/>
              <w:bidi w:val="0"/>
              <w:adjustRightInd/>
              <w:snapToGrid/>
              <w:spacing w:before="0" w:after="0" w:line="240" w:lineRule="auto"/>
              <w:ind w:left="0" w:leftChars="0" w:right="0" w:rightChars="0" w:firstLine="0" w:firstLineChars="0"/>
              <w:jc w:val="center"/>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90日历天内</w:t>
            </w:r>
          </w:p>
        </w:tc>
      </w:tr>
    </w:tbl>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（二）采购项目交付或者实施的时间</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bidi="ar-SA"/>
        </w:rPr>
        <w:t>地点</w:t>
      </w:r>
      <w:r>
        <w:rPr>
          <w:rFonts w:hint="eastAsia" w:ascii="宋体" w:hAnsi="宋体" w:eastAsia="宋体" w:cs="宋体"/>
          <w:b/>
          <w:bCs/>
          <w:color w:val="auto"/>
          <w:kern w:val="2"/>
          <w:sz w:val="21"/>
          <w:szCs w:val="21"/>
          <w:highlight w:val="none"/>
          <w:lang w:val="en-US" w:eastAsia="zh-CN" w:bidi="ar-SA"/>
        </w:rPr>
        <w:t>和付款方式</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1.采购项目（标的）</w:t>
      </w:r>
      <w:r>
        <w:rPr>
          <w:rFonts w:hint="eastAsia" w:ascii="宋体" w:hAnsi="宋体" w:eastAsia="宋体" w:cs="宋体"/>
          <w:color w:val="auto"/>
          <w:kern w:val="2"/>
          <w:sz w:val="21"/>
          <w:szCs w:val="21"/>
          <w:highlight w:val="none"/>
          <w:lang w:val="en-US" w:eastAsia="zh-CN" w:bidi="ar-SA"/>
        </w:rPr>
        <w:t>交货期</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采购标的</w:t>
      </w:r>
      <w:r>
        <w:rPr>
          <w:rFonts w:hint="eastAsia" w:ascii="宋体" w:hAnsi="宋体" w:eastAsia="宋体" w:cs="宋体"/>
          <w:b/>
          <w:bCs/>
          <w:color w:val="auto"/>
          <w:kern w:val="2"/>
          <w:sz w:val="21"/>
          <w:szCs w:val="21"/>
          <w:highlight w:val="none"/>
          <w:lang w:val="en-US" w:eastAsia="zh-CN" w:bidi="ar-SA"/>
        </w:rPr>
        <w:t>内容</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2.采购项目（标的）</w:t>
      </w:r>
      <w:r>
        <w:rPr>
          <w:rFonts w:hint="eastAsia" w:ascii="宋体" w:hAnsi="宋体" w:eastAsia="宋体" w:cs="宋体"/>
          <w:color w:val="auto"/>
          <w:kern w:val="2"/>
          <w:sz w:val="21"/>
          <w:szCs w:val="21"/>
          <w:highlight w:val="none"/>
          <w:lang w:val="en-US" w:eastAsia="zh-CN" w:bidi="ar-SA"/>
        </w:rPr>
        <w:t>交货</w:t>
      </w:r>
      <w:r>
        <w:rPr>
          <w:rFonts w:hint="eastAsia" w:ascii="宋体" w:hAnsi="宋体" w:eastAsia="宋体" w:cs="宋体"/>
          <w:color w:val="auto"/>
          <w:kern w:val="2"/>
          <w:sz w:val="21"/>
          <w:szCs w:val="21"/>
          <w:highlight w:val="none"/>
          <w:lang w:val="en-US" w:bidi="ar-SA"/>
        </w:rPr>
        <w:t>地点：</w:t>
      </w:r>
      <w:r>
        <w:rPr>
          <w:rFonts w:hint="eastAsia" w:ascii="宋体" w:hAnsi="宋体" w:eastAsia="宋体" w:cs="宋体"/>
          <w:color w:val="auto"/>
          <w:kern w:val="2"/>
          <w:sz w:val="21"/>
          <w:szCs w:val="21"/>
          <w:highlight w:val="none"/>
          <w:lang w:val="en-US" w:eastAsia="zh-CN" w:bidi="ar-SA"/>
        </w:rPr>
        <w:t>采购人指定地点</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付款方式：合同签订后七日内支付给中标人合同总价30%的预付款。全部设备交货，且安装调试完毕后，由采购人和中标人双方共同组织验收且经采购人验收合格后一个月内，先由中标人提供向采购人出具合同总金额100%的正式发票（增值税专用发票），随后采购人出具付款手续，支付给中标人合同总金额60%的货款，按合同总金额的10%预留质量保证金。从全部设备验收合格之日起，1年后经再次复核并且产品均无质量问题，由采购人将质量保证金一次性支付给中标人。</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四、采购标的需满足的服务标准、期限、效率等要求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1.投标人应有能力做好售后服务工作和提供技术保障。投标人或投标产品制造商应设有专业的售后服务维修机构，有充足的零件储备和能力相当的技术服务人员，并保证投标产品停产后的备件供应。投标时须提供有关其投标产品专业的售后服务（维修站）的信息，包括售后服务机构名称、服务人员的数量和水平、联系人和联系方式（保修电话、固定电话）、零备件的储备等，说明投标人与该售后服务（维修站）的关系并附上相关的证明文件，如合作协议等。质量保证期内的免费售后维修及服务包括所有投标产品及配件，并含第三方产品，同时投标人应定期对所有投标产品提供维护保养服务。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2.投标人发运货物时，每台设备要提供一整套中文的技术资料，包括安装、操作手册、使用说明、维修保养手册、电路图、零配件清单等，这些资料费应包括在投标报价内。如果采购人确认投标人提供的技术资料不完整或在运输过程中丢失，投标人需保证在收到采购人通知后 3 天内将这些资料免费寄给采购人。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3.投标人应在保证在接到采购人通知的一周内，自付费用在采购人指定所在地对设备进行安装、调试和试运行，直到该产品的技术指标完全符合合同要求为止。投标人技术人员的费用，如：差旅费、住宿费等应计入投标报价。投标人安装人员应自备必要的专用工具、量具及调试用的材料等。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4.投标人应负责投标货物质量保证期内的免费维修和配件供应，投标人售后服务维修机构应备有所购货物及时维修所需的关键零部件。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5.投标人应保证在质量保证期内提供投标货物专用的软件和相应数据库资料的免费升级服务。（如果有）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 xml:space="preserve">6.在合同执行期和质量保证期内，投标人应保证在收到要求提供维修服务的通知后 2 小时内给予反馈，24 小时内派合格的技术人员赴现场提供免费服务，解决问题。如不能按采购人要求的时间予以修复，投标人应保证免费提供同类备用设备，供采购人使用。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7.投标人需提供设备易损件及消耗品清单。</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五、采购标的的验收标准</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详见“</w:t>
      </w:r>
      <w:r>
        <w:rPr>
          <w:rFonts w:hint="eastAsia" w:ascii="宋体" w:hAnsi="宋体" w:eastAsia="宋体" w:cs="宋体"/>
          <w:b/>
          <w:bCs/>
          <w:color w:val="auto"/>
          <w:kern w:val="2"/>
          <w:sz w:val="21"/>
          <w:szCs w:val="21"/>
          <w:highlight w:val="none"/>
          <w:lang w:val="en-US" w:bidi="ar-SA"/>
        </w:rPr>
        <w:t>七、需要满足的其他技术规格要求</w:t>
      </w:r>
      <w:r>
        <w:rPr>
          <w:rFonts w:hint="eastAsia" w:ascii="宋体" w:hAnsi="宋体" w:eastAsia="宋体" w:cs="宋体"/>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六、采购标的的其他技术、服务等要求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1.投标人须在投标文件中按照招标文件技术规格的要求提供技术应答的证明材料，如技术规格中无特殊要求，则应提交本条款规定的技术支持资料。其中 “技术支持资料”指生产厂家公开发布的印刷资料或制造厂家出具证明材料或制造商的官网截图（附截图的网址链接）或检测机构出具的检验报告。若投标人技术响应与技术支持资料（或证明材料）不一致，将以技术支持资料（或证明材料）为准；若技术支持资料（或证明材料）之间不一致，评审依据依次为检测报告、官网截图、印刷资料。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对于技术规格中标注“★”号和“*”的技术参数，投标人未提供投标产品技术支持资料（或证明材料）的，或提供的投标产品技术支持资料（或证明材料）未加盖投标人公章的，或提供的技术支持资料（或证明材料）无法证明技术响应满足招标文件要求的，或提供的技术支持材料（或证明材料）语言为外文，且未提供中文翻译文本的，或在技术偏离表中未标明/未标清支持材料所在页码及所在具体位置，导致评标委员会无法找到响应依据的，评标委员会可不予承认，并可认为该技术应答不符合招标文件要求。由此产生的评标风险，由投标人承担。</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3.投标人应对招标文件第三章采购需求中技术参数的内容给予逐条响应，以投标产品和服务所能达到的内容予以填写，而不应复制招标的技术要求作为响应内容，特别对有具体参数要求的指标，投标人必须提供所投产品的具体参数值，否则视为无效投标。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4.投标人所提供的部件之间及设备之间的连线或接插件均视为设备内部部件，应包含在相应的配置中。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5.工作条件：除了在技术规格中另有规定外，投标人提供的一切仪器、设备和系统，应符合下列条件：</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（1）仪器设备的插头要符合中国电工标准。如不符合，则应提供适合仪器插头的插座，必须要有接地。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 xml:space="preserve">（2）如果仪器设备需特殊的工作条件（如：水、电源、磁场强度、特殊温度、湿度、震动强度等），投标人应在有关投标文件中加以说明。 </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6.培训要求：培训是指涉及产品基本原理、安装、调试、操作使用和保养维修等有关内容的学习。投标人应保证在采购人指定交货地点对每包（品目）最终用户设备操作人员提供不少于 1 天的免费培训。投标人投标时应提供详细的培训方案。培训教员的差旅费、食宿费、培训教材等费用，应计入投标报价。</w:t>
      </w:r>
    </w:p>
    <w:p>
      <w:pPr>
        <w:keepNext w:val="0"/>
        <w:keepLines w:val="0"/>
        <w:pageBreakBefore w:val="0"/>
        <w:widowControl w:val="0"/>
        <w:kinsoku/>
        <w:wordWrap w:val="0"/>
        <w:overflowPunct/>
        <w:topLinePunct w:val="0"/>
        <w:autoSpaceDE/>
        <w:autoSpaceDN/>
        <w:bidi w:val="0"/>
        <w:adjustRightInd/>
        <w:snapToGrid/>
        <w:spacing w:before="0" w:after="0" w:line="360" w:lineRule="auto"/>
        <w:ind w:left="0" w:right="0"/>
        <w:jc w:val="both"/>
        <w:textAlignment w:val="auto"/>
        <w:outlineLvl w:val="9"/>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bidi="ar-SA"/>
        </w:rPr>
        <w:t>七、需要满足的其他技术规格要求</w:t>
      </w:r>
      <w:r>
        <w:rPr>
          <w:rFonts w:hint="eastAsia" w:ascii="宋体" w:hAnsi="宋体" w:eastAsia="宋体" w:cs="宋体"/>
          <w:b/>
          <w:bCs/>
          <w:color w:val="auto"/>
          <w:kern w:val="2"/>
          <w:sz w:val="21"/>
          <w:szCs w:val="21"/>
          <w:highlight w:val="none"/>
          <w:lang w:val="en-US" w:eastAsia="zh-CN" w:bidi="ar-SA"/>
        </w:rPr>
        <w:t>：</w:t>
      </w:r>
    </w:p>
    <w:p>
      <w:pPr>
        <w:keepNext w:val="0"/>
        <w:keepLines w:val="0"/>
        <w:pageBreakBefore w:val="0"/>
        <w:kinsoku/>
        <w:wordWrap/>
        <w:overflowPunct/>
        <w:topLinePunct w:val="0"/>
        <w:autoSpaceDE/>
        <w:autoSpaceDN/>
        <w:bidi w:val="0"/>
        <w:snapToGrid/>
        <w:spacing w:before="0" w:after="0" w:line="360" w:lineRule="auto"/>
        <w:ind w:left="0" w:leftChars="0" w:right="0" w:firstLine="422" w:firstLineChars="200"/>
        <w:jc w:val="both"/>
        <w:outlineLvl w:val="9"/>
        <w:rPr>
          <w:rFonts w:hint="eastAsia" w:ascii="宋体" w:hAnsi="宋体" w:eastAsia="宋体" w:cs="宋体"/>
          <w:b/>
          <w:color w:val="auto"/>
          <w:kern w:val="2"/>
          <w:sz w:val="21"/>
          <w:szCs w:val="21"/>
          <w:highlight w:val="none"/>
          <w:lang w:val="en-US" w:eastAsia="zh-CN" w:bidi="ar-SA"/>
        </w:rPr>
      </w:pPr>
      <w:r>
        <w:rPr>
          <w:rFonts w:hint="eastAsia" w:ascii="宋体" w:hAnsi="宋体" w:eastAsia="宋体" w:cs="宋体"/>
          <w:b/>
          <w:color w:val="auto"/>
          <w:kern w:val="2"/>
          <w:sz w:val="21"/>
          <w:szCs w:val="21"/>
          <w:highlight w:val="none"/>
          <w:lang w:val="en-US" w:eastAsia="zh-CN" w:bidi="ar-SA"/>
        </w:rPr>
        <w:t>第一包</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一、测量设备名称：全自动压力校验系统    1套</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（一）、</w:t>
      </w:r>
      <w:r>
        <w:rPr>
          <w:rFonts w:hint="eastAsia" w:ascii="宋体" w:hAnsi="宋体" w:eastAsia="宋体" w:cs="宋体"/>
          <w:b/>
          <w:color w:val="auto"/>
          <w:kern w:val="2"/>
          <w:sz w:val="21"/>
          <w:szCs w:val="21"/>
          <w:highlight w:val="none"/>
          <w:lang w:val="en-US" w:bidi="ar-SA"/>
        </w:rPr>
        <w:t>技术参数</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1、智能压力控制器参数(1～60)MPa </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1.1全自动压力发生范围：(1～60)MPa  </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含模块(0～25)MPa0.01%FS、(0～60)MPa0.01%FS</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1.2控制稳定性：≤0.005%FS（30S）</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1.3★可检定校准HART、Profibus PA总线压力仪表，全自动快速校准压力开关；</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1.4★七英寸触控彩屏，支持WiFi等多种通信方式，内置电压(V/mV)、电流及通断测量功能及DC24V电源</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1.5含增压装置，全自动输出设定压力。</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1.6★CTP2专用通讯协议，用于仪器仪表设备间互通，安全高效。</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1.7电压测量，分辨力0.1mv，指标：±(0.008%RD+1.0mV)</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电流测量，分辨力0.1μA，指标：±(0.008%RD+1.0μA)</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2、智能多通道液体压力检定装置</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压力范围：（0～60）MPa，六通道并行扫描，6路通道都配置24V电源，支持HART、PROFIBUS智能压力变送器、智能压力变送器、压力传感器、电接点压力表、机械压力开关、电子压力开关等所有具有电信号输出的压力仪表；同时也可以将它作为普通多通道压力连接台来使用，用于半自动检定6台压力指针表、数字压力表等无电信号输出的压力仪表。</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2.2★自带自动回零器，有效提高全自动检定时的液体回零能力，大幅提高检定效率。</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2.3支持设备多台级联，轻松完成更多仪表同时检测工作</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2.4★压力开关检定：6通道并行扫描，每通道均包括双路开关检测，用户一次升降压过程即可完成上下限触点的检定，无需切换开关线路</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3、智能压力控制器参数(-0.095～6)MPa</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3.1★压力发生范围：(-0.095～6)MPa</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含模块(0～6)MPa 0.01%FS，(0～25) MPa 0.01%FS</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3.2控制稳定性：≤0.003%FS（30S）</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3.3★内置0.05级大气压模块实现表压、绝压的切换</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3.4气压发生装置：发生范围可调，最大可至25MPa</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3.5★可检定校准HART、Profibus PA总线压力仪表，全自动快速校准压力开关；</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3.6★CTP2专用通讯协议，用于仪器仪表设备间互通，安全高效。</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3.7七英寸触控彩屏，支持WiFi等多种通信方式，内置电压(V/mV)、电流及通断测量功能及DC24V电源</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3.8电压测量，分辨力0.1mv，指标：±(0.008%RD+1.0mV)</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电流测量，分辨力0.1μA，指标：±(0.008%RD+1.0μA)</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4、智能多通道气体压力检定装置</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4.1★，压力范围：（0～25）MPa，六通道并行扫描，6路通道都配置24V电源，支持HART、PROFIBUS智能压力变送器、智能压力变送器、压力传感器、电接点压力表、机械压力开关、电子压力开关等所有具有电信号输出的压力仪表；同时也可以将它作为普通多通道压力连接台来使用，用于半自动检定6台压力指针表、数字压力表等无电信号输出的压力仪表。</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4.★2自带自动气液分离器，被检表残余液体在每次检定时均有效排空，有效避免校验系统被污染或腐蚀</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4.3★支持设备多台级联，轻松完成更多仪表同时检测工作</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4.4★压力开关检定：6通道并行扫描，每通道均包括双路开关检测，用户一次升降压过程即可完成上下限触点的检定，无需切换开关线路</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5、智能压力控制器参数(-90～600)kPa</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5.1压力发生范围：(-90～600)kPa  0.02%FS</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5.2控制稳定性：≤0.003%FS（30S）</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5.3内置压源，全自动设定</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5.4★可检定校准HART、Profibus PA总线压力仪表，全自动快速校准压力开关；</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5.5★CTP2专用通讯协议，用于仪器仪表设备间互通，安全高效。</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5.6七英寸触控彩屏，支持WiFi等多种通信方式，内置电压(V/mV)、电流及通断测量功能及DC24V电源</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5.7电压测量，分辨力0.1mv，指标：±(0.008%RD+1.0mV)</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电流测量，分辨力0.1μA，指标：±(0.008%RD+1.0μA)</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6、组合式转换接头组参数</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6.1 可转换255种不同尺寸接头组。</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7、气体增压器参数</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7.1可以将不小于2MPa的压力轻松增压至(2-26MPa）范围内设定的压力。</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（二）、通用技术要求</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1、计量性能及技术招标必须符合《JJG 875-2019数字压力计》检定规程。</w:t>
      </w:r>
    </w:p>
    <w:p>
      <w:pPr>
        <w:keepNext w:val="0"/>
        <w:keepLines w:val="0"/>
        <w:pageBreakBefore w:val="0"/>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测量设备必须与计量院现有Acal软件通讯使用，支持与计量院计量管理软件系统对接共享。甲方享受免费升级，如发现软件开发商在软件中设置影响软件使用的限制，乙方承担一切责任和损失。同时甲方有权追究法律责任。</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软件支持在网络环境下运行，业务数据共享，能保证检测数据的安全，证书系统可以生成符合国家检定规范的各类检定/校准证书、检定/校准记录，支持导出Excel、PDF格式的证书，支持批量导出、打印证书。软件具有检测数据自动备份和手动备份的功能。</w:t>
      </w:r>
    </w:p>
    <w:p>
      <w:pPr>
        <w:keepNext w:val="0"/>
        <w:keepLines w:val="0"/>
        <w:pageBreakBefore w:val="0"/>
        <w:widowControl w:val="0"/>
        <w:kinsoku/>
        <w:wordWrap/>
        <w:overflowPunct/>
        <w:topLinePunct w:val="0"/>
        <w:autoSpaceDE w:val="0"/>
        <w:autoSpaceDN w:val="0"/>
        <w:bidi w:val="0"/>
        <w:adjustRightInd w:val="0"/>
        <w:snapToGrid/>
        <w:spacing w:line="360" w:lineRule="auto"/>
        <w:ind w:firstLine="420" w:firstLineChars="200"/>
        <w:jc w:val="both"/>
        <w:textAlignment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4、软件支持启动多个任务同时检定，支持对多台控制器同时控制并开展检定或校准工作，可同时进行压力表、压力变送器的检定工作。软件可以灵活地创建压力检定任务，允许每个检定点采用不同的检定装置、控制参数来检定，同时不限制每个任务中的被检器具数量、检定点数量、单点采集数量、检定组数，使检定人员不受各种限制，灵活的进行温度检定。逐点保存检定数据，支持中断续检功能，软件自动保存每个检定点数据和检定进度，用户可以随时中止检定，不必担心检定数据丢失，下次启动任务将继续检定未完成的检定点。</w:t>
      </w:r>
    </w:p>
    <w:p>
      <w:pPr>
        <w:keepNext w:val="0"/>
        <w:keepLines w:val="0"/>
        <w:pageBreakBefore w:val="0"/>
        <w:widowControl/>
        <w:kinsoku/>
        <w:wordWrap/>
        <w:overflowPunct/>
        <w:topLinePunct w:val="0"/>
        <w:autoSpaceDE/>
        <w:autoSpaceDN/>
        <w:bidi w:val="0"/>
        <w:snapToGrid/>
        <w:spacing w:before="0" w:after="0" w:line="360" w:lineRule="auto"/>
        <w:ind w:left="0" w:right="0" w:firstLine="420" w:firstLineChars="20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5、该测量设备由新疆计量院检定，出具计量检定证书，费用由供方承担。</w:t>
      </w:r>
    </w:p>
    <w:p>
      <w:pPr>
        <w:keepNext w:val="0"/>
        <w:keepLines w:val="0"/>
        <w:pageBreakBefore w:val="0"/>
        <w:kinsoku/>
        <w:wordWrap/>
        <w:overflowPunct/>
        <w:topLinePunct w:val="0"/>
        <w:autoSpaceDE/>
        <w:autoSpaceDN/>
        <w:bidi w:val="0"/>
        <w:snapToGrid/>
        <w:spacing w:before="0" w:after="0" w:line="360" w:lineRule="auto"/>
        <w:ind w:left="0" w:right="0" w:firstLine="422" w:firstLineChars="200"/>
        <w:jc w:val="both"/>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（三）、设备详单及附件</w:t>
      </w:r>
    </w:p>
    <w:tbl>
      <w:tblPr>
        <w:tblStyle w:val="23"/>
        <w:tblW w:w="85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24"/>
        <w:gridCol w:w="6924"/>
        <w:gridCol w:w="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69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名称及参考型号</w:t>
            </w:r>
          </w:p>
        </w:tc>
        <w:tc>
          <w:tcPr>
            <w:tcW w:w="872"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w:t>
            </w:r>
          </w:p>
        </w:tc>
        <w:tc>
          <w:tcPr>
            <w:tcW w:w="69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液压全自动检定系统（Const836含增压装、CDP 模块(0~25)MPa，0.01级；(0~60)MPa，0.01级、含工作台、顶柜、管理系统及软件）</w:t>
            </w:r>
          </w:p>
        </w:tc>
        <w:tc>
          <w:tcPr>
            <w:tcW w:w="872"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9" w:hRule="atLeast"/>
          <w:jc w:val="center"/>
        </w:trPr>
        <w:tc>
          <w:tcPr>
            <w:tcW w:w="7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w:t>
            </w:r>
          </w:p>
        </w:tc>
        <w:tc>
          <w:tcPr>
            <w:tcW w:w="69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组合式转换接头组（Const105B、255种不同尺寸接头）</w:t>
            </w:r>
          </w:p>
        </w:tc>
        <w:tc>
          <w:tcPr>
            <w:tcW w:w="872"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9" w:hRule="atLeast"/>
          <w:jc w:val="center"/>
        </w:trPr>
        <w:tc>
          <w:tcPr>
            <w:tcW w:w="7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w:t>
            </w:r>
          </w:p>
        </w:tc>
        <w:tc>
          <w:tcPr>
            <w:tcW w:w="69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智能多通道液体压力检定装置（ConST125-2 含ConST101-2自动回零器）</w:t>
            </w:r>
          </w:p>
        </w:tc>
        <w:tc>
          <w:tcPr>
            <w:tcW w:w="872"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w:t>
            </w:r>
          </w:p>
        </w:tc>
        <w:tc>
          <w:tcPr>
            <w:tcW w:w="69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气压全自动检定系统（Const822含增压装置、CDP 模块(0~6)MPa，0.01级；(-0.095~25)MPa，0.01级、含工作台、顶柜、管理系统及软件）</w:t>
            </w:r>
          </w:p>
        </w:tc>
        <w:tc>
          <w:tcPr>
            <w:tcW w:w="872"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29" w:hRule="atLeast"/>
          <w:jc w:val="center"/>
        </w:trPr>
        <w:tc>
          <w:tcPr>
            <w:tcW w:w="7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w:t>
            </w:r>
          </w:p>
        </w:tc>
        <w:tc>
          <w:tcPr>
            <w:tcW w:w="69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气体增压器（ConST172）</w:t>
            </w:r>
          </w:p>
        </w:tc>
        <w:tc>
          <w:tcPr>
            <w:tcW w:w="872"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w:t>
            </w:r>
          </w:p>
        </w:tc>
        <w:tc>
          <w:tcPr>
            <w:tcW w:w="69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智能多通道气体压力检定装置（ConST125-1 ）</w:t>
            </w:r>
          </w:p>
        </w:tc>
        <w:tc>
          <w:tcPr>
            <w:tcW w:w="872"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w:t>
            </w:r>
          </w:p>
        </w:tc>
        <w:tc>
          <w:tcPr>
            <w:tcW w:w="69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智能全自动压力控制器（Const821、CDP模块(-90~600)kPa，0.02级、</w:t>
            </w:r>
          </w:p>
        </w:tc>
        <w:tc>
          <w:tcPr>
            <w:tcW w:w="872"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w:t>
            </w:r>
          </w:p>
        </w:tc>
        <w:tc>
          <w:tcPr>
            <w:tcW w:w="69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工作台、顶柜</w:t>
            </w:r>
          </w:p>
        </w:tc>
        <w:tc>
          <w:tcPr>
            <w:tcW w:w="872"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w:t>
            </w:r>
          </w:p>
        </w:tc>
        <w:tc>
          <w:tcPr>
            <w:tcW w:w="69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管理系统及软件</w:t>
            </w:r>
          </w:p>
        </w:tc>
        <w:tc>
          <w:tcPr>
            <w:tcW w:w="872"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8</w:t>
            </w:r>
          </w:p>
        </w:tc>
        <w:tc>
          <w:tcPr>
            <w:tcW w:w="6924"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压力连接台（ConST104L）</w:t>
            </w:r>
          </w:p>
        </w:tc>
        <w:tc>
          <w:tcPr>
            <w:tcW w:w="872" w:type="dxa"/>
            <w:vAlign w:val="center"/>
          </w:tcPr>
          <w:p>
            <w:pPr>
              <w:autoSpaceDE w:val="0"/>
              <w:autoSpaceDN w:val="0"/>
              <w:adjustRightInd w:val="0"/>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9</w:t>
            </w:r>
          </w:p>
        </w:tc>
        <w:tc>
          <w:tcPr>
            <w:tcW w:w="6924"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快速接头(M20×1.5内螺纹快接)</w:t>
            </w:r>
          </w:p>
        </w:tc>
        <w:tc>
          <w:tcPr>
            <w:tcW w:w="872"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10</w:t>
            </w:r>
          </w:p>
        </w:tc>
        <w:tc>
          <w:tcPr>
            <w:tcW w:w="6924" w:type="dxa"/>
            <w:vAlign w:val="center"/>
          </w:tcPr>
          <w:p>
            <w:pPr>
              <w:widowControl w:val="0"/>
              <w:autoSpaceDE w:val="0"/>
              <w:autoSpaceDN w:val="0"/>
              <w:adjustRightInd w:val="0"/>
              <w:spacing w:line="240" w:lineRule="auto"/>
              <w:jc w:val="center"/>
              <w:textAlignment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高压气瓶减压阀 40MPa减压至1.6MPa</w:t>
            </w:r>
          </w:p>
        </w:tc>
        <w:tc>
          <w:tcPr>
            <w:tcW w:w="872" w:type="dxa"/>
            <w:vAlign w:val="center"/>
          </w:tcPr>
          <w:p>
            <w:pPr>
              <w:widowControl w:val="0"/>
              <w:autoSpaceDE w:val="0"/>
              <w:autoSpaceDN w:val="0"/>
              <w:adjustRightInd w:val="0"/>
              <w:spacing w:line="240" w:lineRule="auto"/>
              <w:jc w:val="center"/>
              <w:textAlignment w:val="center"/>
              <w:outlineLvl w:val="9"/>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11</w:t>
            </w:r>
          </w:p>
        </w:tc>
        <w:tc>
          <w:tcPr>
            <w:tcW w:w="6924"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台式电脑 （联想扬天P600）CPU：酷睿i5，内存16G，硬盘1T，</w:t>
            </w:r>
          </w:p>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显示器21英寸高清</w:t>
            </w:r>
          </w:p>
        </w:tc>
        <w:tc>
          <w:tcPr>
            <w:tcW w:w="872"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12</w:t>
            </w:r>
          </w:p>
        </w:tc>
        <w:tc>
          <w:tcPr>
            <w:tcW w:w="6924"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激光打印机 （惠普P1106）</w:t>
            </w:r>
          </w:p>
        </w:tc>
        <w:tc>
          <w:tcPr>
            <w:tcW w:w="872"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9" w:hRule="atLeast"/>
          <w:jc w:val="center"/>
        </w:trPr>
        <w:tc>
          <w:tcPr>
            <w:tcW w:w="724"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13</w:t>
            </w:r>
          </w:p>
        </w:tc>
        <w:tc>
          <w:tcPr>
            <w:tcW w:w="6924"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21寸防震便携仪表箱</w:t>
            </w:r>
          </w:p>
        </w:tc>
        <w:tc>
          <w:tcPr>
            <w:tcW w:w="872" w:type="dxa"/>
            <w:vAlign w:val="center"/>
          </w:tcPr>
          <w:p>
            <w:pPr>
              <w:autoSpaceDE/>
              <w:autoSpaceDN/>
              <w:spacing w:before="0" w:after="0" w:line="240" w:lineRule="auto"/>
              <w:ind w:left="0" w:right="0"/>
              <w:jc w:val="center"/>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3个</w:t>
            </w:r>
          </w:p>
        </w:tc>
      </w:tr>
    </w:tbl>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（四）、技术资料</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1、中文操作手册一套；</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2、装箱单一份。</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（五）、质量保证及售后服务</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1、乙方应该按合同规定的设备性能、质量标准向甲方提供未经使用的全新设备。</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2、乙方提供设备的质量保证期为验收合格之后</w:t>
      </w:r>
      <w:r>
        <w:rPr>
          <w:rFonts w:hint="eastAsia" w:ascii="宋体" w:hAnsi="宋体" w:eastAsia="宋体" w:cs="宋体"/>
          <w:color w:val="auto"/>
          <w:kern w:val="2"/>
          <w:sz w:val="21"/>
          <w:szCs w:val="21"/>
          <w:highlight w:val="none"/>
          <w:u w:val="single"/>
          <w:lang w:val="en-US" w:bidi="ar-SA"/>
        </w:rPr>
        <w:t xml:space="preserve"> 24 </w:t>
      </w:r>
      <w:r>
        <w:rPr>
          <w:rFonts w:hint="eastAsia" w:ascii="宋体" w:hAnsi="宋体" w:eastAsia="宋体" w:cs="宋体"/>
          <w:color w:val="auto"/>
          <w:kern w:val="2"/>
          <w:sz w:val="21"/>
          <w:szCs w:val="21"/>
          <w:highlight w:val="none"/>
          <w:lang w:val="en-US" w:bidi="ar-SA"/>
        </w:rPr>
        <w:t>个月。在保证期内因设备本身的质量问题发生故障，乙方应负责免费修理和更换零部件。对达不到计量性能要求的，经双方协商，可按以下办法处理：</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（1）退货处理：乙方应退回甲方支付的设备款，同时承担该设备的直接费用（运输、保险、检定等）。</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（2）更换设备：乙方承担所发生的相关费用。</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3、乙方在交货前应该将合同号、设备名称、数量、件数、运输方式等通知甲方。</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4、设备在运输中造成的锈蚀、破损、丢失等均有乙方承担责任。</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5、在设备调试阶段，根据甲方要求，乙方应及时派出技术人员现场安装调试设备，并对甲方人员免费进行培训。</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6、在保证期内，如设备出现质量问题，乙方在接到甲方通知后应在</w:t>
      </w:r>
      <w:r>
        <w:rPr>
          <w:rFonts w:hint="eastAsia" w:ascii="宋体" w:hAnsi="宋体" w:eastAsia="宋体" w:cs="宋体"/>
          <w:color w:val="auto"/>
          <w:kern w:val="2"/>
          <w:sz w:val="21"/>
          <w:szCs w:val="21"/>
          <w:highlight w:val="none"/>
          <w:u w:val="single"/>
          <w:lang w:val="en-US" w:bidi="ar-SA"/>
        </w:rPr>
        <w:t xml:space="preserve"> 48 </w:t>
      </w:r>
      <w:r>
        <w:rPr>
          <w:rFonts w:hint="eastAsia" w:ascii="宋体" w:hAnsi="宋体" w:eastAsia="宋体" w:cs="宋体"/>
          <w:color w:val="auto"/>
          <w:kern w:val="2"/>
          <w:sz w:val="21"/>
          <w:szCs w:val="21"/>
          <w:highlight w:val="none"/>
          <w:lang w:val="en-US" w:bidi="ar-SA"/>
        </w:rPr>
        <w:t>小时内达到甲方现场。</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7、质保期：验收合格后2年。</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（六）、验收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1、供方负责在需方现场进行仪器的安装、调试和验收等工作，需方只负责提供相应的人力支持和搬运工具。</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2、对于缺漏的仪器附件等内容，供方必须免费提供。</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3、仪器现场安装、调试后，供方通知需方共同组织对仪器进行性能验收，验收依据为新疆计量测试研究院出具的检定或校准证书报告进行测试验收。</w:t>
      </w:r>
    </w:p>
    <w:p>
      <w:pPr>
        <w:keepNext w:val="0"/>
        <w:keepLines w:val="0"/>
        <w:pageBreakBefore w:val="0"/>
        <w:widowControl/>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4、仪器安装调试完成后，经验收确认合格后，由供方和需方共同在验收报告上签字，仪器的安装调试工作方可完成。    </w:t>
      </w:r>
    </w:p>
    <w:p>
      <w:pPr>
        <w:keepNext w:val="0"/>
        <w:keepLines w:val="0"/>
        <w:pageBreakBefore w:val="0"/>
        <w:kinsoku/>
        <w:wordWrap/>
        <w:overflowPunct/>
        <w:topLinePunct w:val="0"/>
        <w:autoSpaceDE/>
        <w:autoSpaceDN/>
        <w:bidi w:val="0"/>
        <w:adjustRightInd/>
        <w:snapToGrid/>
        <w:spacing w:before="0" w:after="0" w:line="360" w:lineRule="auto"/>
        <w:ind w:left="0" w:right="0" w:firstLine="422" w:firstLineChars="200"/>
        <w:jc w:val="both"/>
        <w:textAlignment w:val="auto"/>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b/>
          <w:bCs/>
          <w:color w:val="auto"/>
          <w:kern w:val="2"/>
          <w:sz w:val="21"/>
          <w:szCs w:val="21"/>
          <w:highlight w:val="none"/>
          <w:lang w:val="en-US" w:bidi="ar-SA"/>
        </w:rPr>
        <w:t>（七）、交货时间</w:t>
      </w:r>
    </w:p>
    <w:p>
      <w:pPr>
        <w:keepNext w:val="0"/>
        <w:keepLines w:val="0"/>
        <w:pageBreakBefore w:val="0"/>
        <w:kinsoku/>
        <w:wordWrap/>
        <w:overflowPunct/>
        <w:topLinePunct w:val="0"/>
        <w:autoSpaceDE/>
        <w:autoSpaceDN/>
        <w:bidi w:val="0"/>
        <w:adjustRightInd/>
        <w:snapToGrid/>
        <w:spacing w:before="0" w:after="0" w:line="360" w:lineRule="auto"/>
        <w:ind w:left="0" w:right="0" w:firstLine="420" w:firstLineChars="200"/>
        <w:jc w:val="both"/>
        <w:textAlignment w:val="auto"/>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1、交货时间：</w:t>
      </w:r>
      <w:r>
        <w:rPr>
          <w:rFonts w:hint="eastAsia" w:ascii="宋体" w:hAnsi="宋体" w:eastAsia="宋体" w:cs="宋体"/>
          <w:color w:val="auto"/>
          <w:kern w:val="2"/>
          <w:sz w:val="21"/>
          <w:szCs w:val="21"/>
          <w:highlight w:val="none"/>
          <w:u w:val="single"/>
          <w:lang w:val="en-US" w:bidi="ar-SA"/>
        </w:rPr>
        <w:t>90</w:t>
      </w:r>
      <w:r>
        <w:rPr>
          <w:rFonts w:hint="eastAsia" w:ascii="宋体" w:hAnsi="宋体" w:eastAsia="宋体" w:cs="宋体"/>
          <w:color w:val="auto"/>
          <w:kern w:val="2"/>
          <w:sz w:val="21"/>
          <w:szCs w:val="21"/>
          <w:highlight w:val="none"/>
          <w:lang w:val="en-US" w:bidi="ar-SA"/>
        </w:rPr>
        <w:t>日历天内</w:t>
      </w:r>
    </w:p>
    <w:p>
      <w:pPr>
        <w:keepNext w:val="0"/>
        <w:keepLines w:val="0"/>
        <w:pageBreakBefore w:val="0"/>
        <w:kinsoku/>
        <w:wordWrap/>
        <w:overflowPunct/>
        <w:topLinePunct w:val="0"/>
        <w:autoSpaceDE/>
        <w:autoSpaceDN/>
        <w:bidi w:val="0"/>
        <w:snapToGrid/>
        <w:spacing w:before="0" w:after="0" w:line="240" w:lineRule="auto"/>
        <w:ind w:left="0" w:leftChars="0" w:right="0" w:firstLine="0" w:firstLineChars="0"/>
        <w:jc w:val="both"/>
        <w:outlineLvl w:val="9"/>
        <w:rPr>
          <w:rFonts w:hint="eastAsia" w:ascii="宋体" w:hAnsi="宋体" w:eastAsia="宋体" w:cs="宋体"/>
          <w:color w:val="auto"/>
          <w:kern w:val="2"/>
          <w:sz w:val="21"/>
          <w:szCs w:val="21"/>
          <w:highlight w:val="none"/>
          <w:lang w:val="en-US" w:eastAsia="zh-CN" w:bidi="ar-SA"/>
        </w:rPr>
      </w:pPr>
    </w:p>
    <w:p>
      <w:pPr>
        <w:autoSpaceDE/>
        <w:autoSpaceDN/>
        <w:spacing w:before="0" w:after="0" w:line="240" w:lineRule="auto"/>
        <w:ind w:left="0" w:right="0"/>
        <w:jc w:val="both"/>
        <w:rPr>
          <w:rFonts w:hint="eastAsia" w:ascii="宋体" w:hAnsi="宋体" w:eastAsia="宋体" w:cs="宋体"/>
          <w:b/>
          <w:bCs/>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85" w:name="_Toc10884"/>
      <w:r>
        <w:rPr>
          <w:rFonts w:hint="eastAsia" w:ascii="宋体" w:hAnsi="宋体" w:eastAsia="宋体" w:cs="宋体"/>
          <w:color w:val="auto"/>
          <w:spacing w:val="0"/>
          <w:w w:val="100"/>
          <w:position w:val="0"/>
          <w:sz w:val="32"/>
          <w:szCs w:val="32"/>
          <w:highlight w:val="none"/>
        </w:rPr>
        <w:t>第</w:t>
      </w:r>
      <w:r>
        <w:rPr>
          <w:rFonts w:hint="eastAsia" w:ascii="宋体" w:hAnsi="宋体" w:eastAsia="宋体" w:cs="宋体"/>
          <w:color w:val="auto"/>
          <w:spacing w:val="0"/>
          <w:w w:val="100"/>
          <w:position w:val="0"/>
          <w:sz w:val="32"/>
          <w:szCs w:val="32"/>
          <w:highlight w:val="none"/>
          <w:lang w:val="en-US" w:eastAsia="zh-CN"/>
        </w:rPr>
        <w:t>四</w:t>
      </w:r>
      <w:r>
        <w:rPr>
          <w:rFonts w:hint="eastAsia" w:ascii="宋体" w:hAnsi="宋体" w:eastAsia="宋体" w:cs="宋体"/>
          <w:color w:val="auto"/>
          <w:spacing w:val="0"/>
          <w:w w:val="100"/>
          <w:position w:val="0"/>
          <w:sz w:val="32"/>
          <w:szCs w:val="32"/>
          <w:highlight w:val="none"/>
        </w:rPr>
        <w:t>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评标方法和评标标准</w:t>
      </w:r>
      <w:bookmarkEnd w:id="85"/>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rPr>
      </w:pPr>
      <w:bookmarkStart w:id="86" w:name="_bookmark66"/>
      <w:bookmarkEnd w:id="86"/>
      <w:bookmarkStart w:id="87" w:name="_Toc21938"/>
      <w:r>
        <w:rPr>
          <w:rFonts w:hint="eastAsia" w:ascii="宋体" w:hAnsi="宋体" w:eastAsia="宋体" w:cs="宋体"/>
          <w:color w:val="auto"/>
          <w:spacing w:val="0"/>
          <w:w w:val="100"/>
          <w:position w:val="0"/>
          <w:sz w:val="28"/>
          <w:szCs w:val="28"/>
          <w:highlight w:val="none"/>
        </w:rPr>
        <w:t>一、评标方法</w:t>
      </w:r>
      <w:bookmarkEnd w:id="87"/>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1.评标委员会</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1.1评标由依法组建的评标委员会负责</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其成员构成方式详见投标须知前附表。</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2.评标方法</w:t>
      </w:r>
    </w:p>
    <w:p>
      <w:pPr>
        <w:adjustRightInd w:val="0"/>
        <w:snapToGrid w:val="0"/>
        <w:spacing w:line="360" w:lineRule="auto"/>
        <w:ind w:firstLine="422" w:firstLineChars="200"/>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2.1本项目评标方法为：综合评分法。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2.1.1综合评分法，是投标文件满足招标文件全部实质性要求，且按照评标因素的量化指标评标得分最高的投标人为中标候选人的评标方法。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评标因素的设定与投标人所提供货物服务的质量相关，包括投标报价、技术或者服务水平、履约能力、售后服务等。资格条件不得作为评标因素。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2.1.2评标时，评标委员会各成员应当独立对每个投标人的投标文件进行评价，并汇总每个投标人的得分。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2.1.3评标过程中，不得去掉报价中的最高报价和最低报价。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2.1.4因落实政府采购政策进行价格调整的，以调整后的价格计算评标基准价和投标报价。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2.2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3.评标原则和评标纪律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3.1评标委员会成员应当按照客观、公正、审慎的原则，根据招标文件规定的评标程序、评标方法和评标标准进行独立评标。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3.2评标委员会成员应当在评标报告上签字，对自己的评标意见承担法律责任。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3.3评标纪律</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3.3.1采购人委派代表参加评标委员会的，应当向采购代理机构出具授权函。除授权代表外，采购人可以委派纪检监察等相关人员进入评标现场，对评标工作实施监督，但不得超过２人。采购人需要在评标前介绍项目背景和技术需求的，应当事先提交书面介绍材料，介绍内容不得存在歧视性、倾向性意见，不得超出采购文件所述范围，书面介绍材料作为采购项目文件随其他文件一并存档。</w:t>
      </w:r>
      <w:r>
        <w:rPr>
          <w:rFonts w:hint="eastAsia" w:ascii="宋体" w:hAnsi="宋体" w:eastAsia="宋体" w:cs="宋体"/>
          <w:b/>
          <w:color w:val="auto"/>
          <w:kern w:val="0"/>
          <w:sz w:val="21"/>
          <w:szCs w:val="21"/>
          <w:highlight w:val="none"/>
        </w:rPr>
        <w:t>评标委员会应当推选组长，但采购人代表不得担任组长</w:t>
      </w:r>
      <w:r>
        <w:rPr>
          <w:rFonts w:hint="eastAsia" w:ascii="宋体" w:hAnsi="宋体" w:eastAsia="宋体" w:cs="宋体"/>
          <w:color w:val="auto"/>
          <w:kern w:val="0"/>
          <w:sz w:val="21"/>
          <w:szCs w:val="21"/>
          <w:highlight w:val="none"/>
        </w:rPr>
        <w:t>。</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3.3.2评标委员会成员要严格遵守评标时间，主动出具身份证明，遵守评标工作纪律和评标回避的相关规定。在评标工作开始前，将手机等通讯工具或相关电子设备交由采购人或采购代理机构统一保管，拒不上交的，采购人或采购代理机构可以拒绝其参加评标工作并向财政部门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3.3.3评标委员会成员和评标工作有关人员不得干预或者影响正常评标工作，不得明示或者暗示其倾向性、引导性意见，不得修改或细化采购文件确定的评标程序、评标方法、评标因素和评标标准，不得接受投标人主动提出的澄清和解释，不得征询采购人代表的倾向性意见，不得协商评分，不得记录、复制或带走任何评标资料。评标结果汇总完成后，采购人、采购代理机构和评标委员会均不得修改评标结果或者要求重新评标，但资格性检查认定错误、分值汇总计算错误、分项评分超出评分标准范围、客观分评分不一致、经评标委员会一致认定评分畸高、畸低的情形除外。出现上述除外情形的，评标委员会应当现场修改评标结果，并在评标报告中明确记载。</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3.3.4评标委员会成员不得私自泄露评标内容。评标过程应严格遵守保密制度。开标后</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直到授予中标人合同止，凡是属于审查、澄清、评价和比较的有关资料以及授标建议等均不得向投标人或其他无关的人员透露。</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3.3.5采购人、采购代理机构要加强评标现场管理，与评标工作无关的人员不得进入评标现场。各级财政部门对评标活动相关各方违反评标工作纪律及要求的行为，将依法严肃处理。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3.4评标委员会成员应当履行的义务</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3.4.1评标委员会成员应根据政府采购法律法规和采购文件所载明的评标方法、标准进行评标，遵纪守法，客观、公正、廉洁地履行职责。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3.4.2评标委员会成员应熟悉和理解采购文件，认真阅读所有投标人的投标文件，对所有投标文件逐一进行资格性、符合性检查，按采购文件规定的评标方法和标准，进行比较和评价；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3.4.3对投标人的价格分等客观评分项的评分应当一致，对其他需要借助专业知识评判的主观评分项，应当严格按照评分细则公正评分。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3.4.4评标委员会如需要投标人对投标文件有关事项作出澄清的，应当给予投标人必要的反馈时间，但澄清事项不得超出投标文件的范围，不得实质性改变投标文件的内容，不得通过澄清等方式对投标人实行差别对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3.4.5评标委员会应对评分汇总情况进行复核，特别是对排名第一的、报价最低的投标或相应文件被认定为无效的情形进行重点复核，并根据评标结果推荐中标候选人，或者根据采购人委托协议规定直接确定中标人，起草并签署评标报告。</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3.4.6评标委员会应在采购项目招标失败时，出具招标文件是否存在不合理条款的论证意见，并协助采购人、采购代理机构、财政部门答复质疑或处理投诉事项。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3.4.7评标委员会应对评标过程和结果以及投标人的商业秘密保密。</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lang w:eastAsia="zh-CN"/>
        </w:rPr>
      </w:pPr>
      <w:bookmarkStart w:id="88" w:name="_Toc29012"/>
      <w:r>
        <w:rPr>
          <w:rFonts w:hint="eastAsia" w:ascii="宋体" w:hAnsi="宋体" w:eastAsia="宋体" w:cs="宋体"/>
          <w:color w:val="auto"/>
          <w:spacing w:val="0"/>
          <w:w w:val="100"/>
          <w:position w:val="0"/>
          <w:sz w:val="28"/>
          <w:szCs w:val="28"/>
          <w:highlight w:val="none"/>
        </w:rPr>
        <w:t>二、评标程序</w:t>
      </w:r>
      <w:bookmarkEnd w:id="88"/>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4．投标文件的初步评标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4.1初步评标分为资格性检查和符合性检查。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4.1.1资格性检查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根据法律法规和招标文件的规定，对投标文件中的资格证明文件、投标保证金等进行审查，以确定</w:t>
      </w:r>
      <w:r>
        <w:rPr>
          <w:rFonts w:hint="eastAsia" w:ascii="宋体" w:hAnsi="宋体" w:eastAsia="宋体" w:cs="宋体"/>
          <w:color w:val="auto"/>
          <w:kern w:val="0"/>
          <w:sz w:val="21"/>
          <w:szCs w:val="21"/>
          <w:highlight w:val="none"/>
          <w:lang w:eastAsia="zh-CN"/>
        </w:rPr>
        <w:t>投标</w:t>
      </w:r>
      <w:r>
        <w:rPr>
          <w:rFonts w:hint="eastAsia" w:ascii="宋体" w:hAnsi="宋体" w:eastAsia="宋体" w:cs="宋体"/>
          <w:color w:val="auto"/>
          <w:kern w:val="0"/>
          <w:sz w:val="21"/>
          <w:szCs w:val="21"/>
          <w:highlight w:val="none"/>
        </w:rPr>
        <w:t>人是否具备投标资格。审查事项如下：</w:t>
      </w:r>
    </w:p>
    <w:p>
      <w:pPr>
        <w:snapToGrid w:val="0"/>
        <w:spacing w:line="240" w:lineRule="auto"/>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资格性检查表</w:t>
      </w:r>
    </w:p>
    <w:tbl>
      <w:tblPr>
        <w:tblStyle w:val="23"/>
        <w:tblW w:w="98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5"/>
        <w:gridCol w:w="600"/>
        <w:gridCol w:w="2657"/>
        <w:gridCol w:w="6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505" w:type="dxa"/>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序号</w:t>
            </w:r>
          </w:p>
        </w:tc>
        <w:tc>
          <w:tcPr>
            <w:tcW w:w="3257" w:type="dxa"/>
            <w:gridSpan w:val="2"/>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检查因素</w:t>
            </w:r>
          </w:p>
        </w:tc>
        <w:tc>
          <w:tcPr>
            <w:tcW w:w="6127" w:type="dxa"/>
            <w:vAlign w:val="center"/>
          </w:tcPr>
          <w:p>
            <w:pPr>
              <w:spacing w:before="0" w:after="0" w:line="240" w:lineRule="auto"/>
              <w:ind w:left="0" w:right="0"/>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检查内容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17" w:hRule="atLeast"/>
          <w:jc w:val="center"/>
        </w:trPr>
        <w:tc>
          <w:tcPr>
            <w:tcW w:w="505" w:type="dxa"/>
            <w:vMerge w:val="restart"/>
            <w:vAlign w:val="center"/>
          </w:tcPr>
          <w:p>
            <w:pPr>
              <w:spacing w:before="0" w:after="0" w:line="240" w:lineRule="auto"/>
              <w:ind w:left="0" w:right="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p>
        </w:tc>
        <w:tc>
          <w:tcPr>
            <w:tcW w:w="600" w:type="dxa"/>
            <w:vMerge w:val="restart"/>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符合《中华人民共和国政府采购法》第二十二条规定</w:t>
            </w: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（1）具有独立承担民事责任的能力</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bidi="ar-SA"/>
              </w:rPr>
              <w:t>投标人是企业（包括合伙企业）的，应提供其在工商部门注册的有效“营业执照”；投标人是事业单位的，应提供其有效的“事业单位法人证书”；投标人是非企业专业服务机构的，应提供其有效的“执业许可证”；投标人是民办非企业单位的，应提供其有效的登记证书；投标人是个体工商户的，应提供其有效的“营业执照”；投标人是自然人的，应提供其有效的自然人身份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740"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zh-CN"/>
              </w:rPr>
              <w:t>（2）</w:t>
            </w:r>
            <w:r>
              <w:rPr>
                <w:rFonts w:hint="eastAsia" w:ascii="宋体" w:hAnsi="宋体" w:eastAsia="宋体" w:cs="宋体"/>
                <w:color w:val="auto"/>
                <w:sz w:val="21"/>
                <w:szCs w:val="21"/>
                <w:highlight w:val="none"/>
              </w:rPr>
              <w:t>具有良好的商业信誉和健全的财务会计制度</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提供由会计师事务所出具的上一年度财务审计报告或提供由开标日前三个月内投标人开户银行出具的资信证明；新成立公司提供银行出具的有效期内的资信证明；其他组织和自然人，没有经审计的财务报告，提供银行出具的资信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2"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（3）具有履行合同所必需的设备和专业技术能力</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具备履行合同所必需的设备和专业技术能力的说明函（投标人自行出具，格式自拟，加盖公章）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2203"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（4）有依法缴纳税收和社会保障资金的良好记录</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1）依法缴纳税收的相关材料：</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开标日前6个月内任意一月缴纳税收的凭证复印件；</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缴纳凭证复印件须清晰可辨，并能显示出税种种类，单位代扣代缴的个人所得税不能作为单位纳税的凭证；</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依法免税的投标人，应提供相应文件证明其依法免税；</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2）依法缴纳社会保障资金的相关材料：</w:t>
            </w:r>
          </w:p>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开标日前6个月内（至少提供1个月）缴纳社会保险的凭据（专用收据或社会保险缴纳清单）；投标人为其他组织或自然人的，也需要按此项规定提供缴纳税收的凭据和缴纳社会保险的凭据。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80" w:hRule="atLeast"/>
          <w:jc w:val="center"/>
        </w:trPr>
        <w:tc>
          <w:tcPr>
            <w:tcW w:w="505" w:type="dxa"/>
            <w:vMerge w:val="continue"/>
            <w:vAlign w:val="center"/>
          </w:tcPr>
          <w:p>
            <w:pPr>
              <w:spacing w:before="0" w:after="0" w:line="240" w:lineRule="auto"/>
              <w:ind w:left="0" w:right="0"/>
              <w:jc w:val="center"/>
              <w:rPr>
                <w:rFonts w:hint="eastAsia" w:ascii="宋体" w:hAnsi="宋体" w:eastAsia="宋体" w:cs="宋体"/>
                <w:color w:val="auto"/>
                <w:sz w:val="21"/>
                <w:szCs w:val="21"/>
                <w:highlight w:val="none"/>
              </w:rPr>
            </w:pPr>
          </w:p>
        </w:tc>
        <w:tc>
          <w:tcPr>
            <w:tcW w:w="600" w:type="dxa"/>
            <w:vMerge w:val="continue"/>
            <w:vAlign w:val="center"/>
          </w:tcPr>
          <w:p>
            <w:pPr>
              <w:spacing w:before="0" w:after="0" w:line="240" w:lineRule="auto"/>
              <w:ind w:left="0" w:right="0"/>
              <w:jc w:val="left"/>
              <w:rPr>
                <w:rFonts w:hint="eastAsia" w:ascii="宋体" w:hAnsi="宋体" w:eastAsia="宋体" w:cs="宋体"/>
                <w:color w:val="auto"/>
                <w:sz w:val="21"/>
                <w:szCs w:val="21"/>
                <w:highlight w:val="none"/>
                <w:lang w:val="zh-CN"/>
              </w:rPr>
            </w:pPr>
          </w:p>
        </w:tc>
        <w:tc>
          <w:tcPr>
            <w:tcW w:w="2657" w:type="dxa"/>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（5）参加政府采购活动近3年内，在经营活动中没有重大违法记录</w:t>
            </w:r>
          </w:p>
        </w:tc>
        <w:tc>
          <w:tcPr>
            <w:tcW w:w="6127" w:type="dxa"/>
            <w:vAlign w:val="center"/>
          </w:tcPr>
          <w:p>
            <w:pPr>
              <w:widowControl w:val="0"/>
              <w:autoSpaceDE w:val="0"/>
              <w:autoSpaceDN w:val="0"/>
              <w:spacing w:before="0" w:after="0" w:line="240" w:lineRule="auto"/>
              <w:ind w:left="0" w:leftChars="0" w:right="0" w:firstLine="0" w:firstLineChars="0"/>
              <w:jc w:val="left"/>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投标人须提供投标人参加政府采购活动前3年内在经营活动中没有重大违法记录的书面声明（格式自拟）；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20"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信用查询</w:t>
            </w:r>
          </w:p>
        </w:tc>
        <w:tc>
          <w:tcPr>
            <w:tcW w:w="6127" w:type="dxa"/>
            <w:vAlign w:val="center"/>
          </w:tcPr>
          <w:p>
            <w:pPr>
              <w:keepNext w:val="0"/>
              <w:keepLines w:val="0"/>
              <w:pageBreakBefore w:val="0"/>
              <w:widowControl/>
              <w:numPr>
                <w:ilvl w:val="0"/>
                <w:numId w:val="0"/>
              </w:numPr>
              <w:suppressLineNumbers w:val="0"/>
              <w:kinsoku/>
              <w:wordWrap w:val="0"/>
              <w:overflowPunct/>
              <w:topLinePunct w:val="0"/>
              <w:autoSpaceDE w:val="0"/>
              <w:autoSpaceDN w:val="0"/>
              <w:bidi w:val="0"/>
              <w:adjustRightInd/>
              <w:snapToGrid/>
              <w:spacing w:before="0" w:after="0" w:line="240" w:lineRule="auto"/>
              <w:ind w:left="0" w:leftChars="0" w:right="0" w:rightChars="0"/>
              <w:jc w:val="left"/>
              <w:textAlignment w:val="auto"/>
              <w:rPr>
                <w:rFonts w:hint="eastAsia" w:ascii="宋体" w:hAnsi="宋体" w:eastAsia="宋体" w:cs="宋体"/>
                <w:color w:val="auto"/>
                <w:sz w:val="21"/>
                <w:szCs w:val="21"/>
                <w:highlight w:val="none"/>
                <w:lang w:val="en-US" w:eastAsia="zh-CN" w:bidi="ar-SA"/>
              </w:rPr>
            </w:pPr>
            <w:r>
              <w:rPr>
                <w:rFonts w:hint="eastAsia" w:ascii="宋体" w:hAnsi="宋体" w:eastAsia="宋体" w:cs="宋体"/>
                <w:i w:val="0"/>
                <w:iCs w:val="0"/>
                <w:caps w:val="0"/>
                <w:color w:val="auto"/>
                <w:spacing w:val="0"/>
                <w:kern w:val="0"/>
                <w:sz w:val="21"/>
                <w:szCs w:val="21"/>
                <w:highlight w:val="none"/>
                <w:shd w:val="clear" w:fill="FFFFFF"/>
                <w:vertAlign w:val="baseline"/>
                <w:lang w:val="en-US" w:eastAsia="zh-CN" w:bidi="zh-CN"/>
              </w:rPr>
              <w:t>供应商在“中国政府采购网（www.ccgp.gov.cn）”政府采购严重违法失信行为记录名单内无不良信息记录及“信用中国”网站（www.creditchina.gov.cn）信用服务查询栏查询的“失信被执行人（按网站要求链接到中国执行信息网（http://zxgk.court.gov.cn/shixin/）查询）、重大税收违法案件当事人（https://www.creditchina.gov.cn/xinyongfuwu/zhongdashuishouweifaanjian/）、政府采购严重违法失信行为（https://www.creditchina.gov.cn/xinyongfuwu/zhengfucaigouyanzhongweifashixinmingdan/）”未出现不良信用信息记录及其他国家行政机关列入限制行为的（以采购代理机构于递交投标文件截止日当天核查结果为准，如相关失信记录已失效，供应商需提供相关证明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限制行为</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单位负责人为同一人或者存在直接控股、管理关系的不同投标人，不得参加同一合同项下的政府采购活动；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4" w:hRule="atLeast"/>
          <w:jc w:val="center"/>
        </w:trPr>
        <w:tc>
          <w:tcPr>
            <w:tcW w:w="505" w:type="dxa"/>
            <w:vAlign w:val="center"/>
          </w:tcPr>
          <w:p>
            <w:pPr>
              <w:spacing w:before="0" w:after="0" w:line="240" w:lineRule="auto"/>
              <w:ind w:left="0" w:right="0"/>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w:t>
            </w:r>
          </w:p>
        </w:tc>
        <w:tc>
          <w:tcPr>
            <w:tcW w:w="3257" w:type="dxa"/>
            <w:gridSpan w:val="2"/>
            <w:vAlign w:val="center"/>
          </w:tcPr>
          <w:p>
            <w:pPr>
              <w:spacing w:before="0" w:after="0" w:line="240" w:lineRule="auto"/>
              <w:ind w:left="0" w:leftChars="0" w:right="0" w:rightChars="0" w:firstLine="0" w:firstLineChars="0"/>
              <w:jc w:val="cente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其他要求</w:t>
            </w:r>
          </w:p>
        </w:tc>
        <w:tc>
          <w:tcPr>
            <w:tcW w:w="6127" w:type="dxa"/>
            <w:vAlign w:val="center"/>
          </w:tcPr>
          <w:p>
            <w:pPr>
              <w:keepNext w:val="0"/>
              <w:keepLines w:val="0"/>
              <w:widowControl/>
              <w:numPr>
                <w:ilvl w:val="0"/>
                <w:numId w:val="0"/>
              </w:numPr>
              <w:suppressLineNumbers w:val="0"/>
              <w:spacing w:before="0" w:after="0" w:line="240" w:lineRule="auto"/>
              <w:ind w:left="0" w:leftChars="0" w:right="0" w:rightChars="0"/>
              <w:jc w:val="left"/>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w:t>
            </w:r>
          </w:p>
        </w:tc>
      </w:tr>
    </w:tbl>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4.1.2符合性检查</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4.1.2.1依据招标文件的规定，从投标文件的有效性、完整性和对招标文件的响应程度进行审查，以确定是否对招标文件的实质性要求</w:t>
      </w:r>
      <w:r>
        <w:rPr>
          <w:rFonts w:hint="eastAsia" w:ascii="宋体" w:hAnsi="宋体" w:eastAsia="宋体" w:cs="宋体"/>
          <w:color w:val="auto"/>
          <w:kern w:val="0"/>
          <w:sz w:val="21"/>
          <w:szCs w:val="21"/>
          <w:highlight w:val="none"/>
          <w:lang w:eastAsia="zh-CN"/>
        </w:rPr>
        <w:t>做出</w:t>
      </w:r>
      <w:r>
        <w:rPr>
          <w:rFonts w:hint="eastAsia" w:ascii="宋体" w:hAnsi="宋体" w:eastAsia="宋体" w:cs="宋体"/>
          <w:color w:val="auto"/>
          <w:kern w:val="0"/>
          <w:sz w:val="21"/>
          <w:szCs w:val="21"/>
          <w:highlight w:val="none"/>
        </w:rPr>
        <w:t>响应。评标委员会评标投标文件的响应</w:t>
      </w:r>
      <w:r>
        <w:rPr>
          <w:rFonts w:hint="eastAsia" w:ascii="宋体" w:hAnsi="宋体" w:eastAsia="宋体" w:cs="宋体"/>
          <w:color w:val="auto"/>
          <w:kern w:val="0"/>
          <w:sz w:val="21"/>
          <w:szCs w:val="21"/>
          <w:highlight w:val="none"/>
          <w:lang w:eastAsia="zh-CN"/>
        </w:rPr>
        <w:t>性质</w:t>
      </w:r>
      <w:r>
        <w:rPr>
          <w:rFonts w:hint="eastAsia" w:ascii="宋体" w:hAnsi="宋体" w:eastAsia="宋体" w:cs="宋体"/>
          <w:color w:val="auto"/>
          <w:kern w:val="0"/>
          <w:sz w:val="21"/>
          <w:szCs w:val="21"/>
          <w:highlight w:val="none"/>
        </w:rPr>
        <w:t>根据投标文件真实无误的内容，而不依据外部的证据，但投标文件有不真实、不正确的内容时除外。</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4.1.2.2投标人不得通过修正或撤销不符合要求的偏离从而使其投标成为实质上响应的投标。</w:t>
      </w:r>
    </w:p>
    <w:p>
      <w:pPr>
        <w:snapToGrid w:val="0"/>
        <w:spacing w:line="500" w:lineRule="exact"/>
        <w:jc w:val="center"/>
        <w:rPr>
          <w:rFonts w:hint="eastAsia" w:ascii="宋体" w:hAnsi="宋体" w:eastAsia="宋体" w:cs="宋体"/>
          <w:b/>
          <w:bCs/>
          <w:color w:val="auto"/>
          <w:kern w:val="0"/>
          <w:sz w:val="21"/>
          <w:szCs w:val="21"/>
          <w:highlight w:val="none"/>
        </w:rPr>
      </w:pPr>
      <w:r>
        <w:rPr>
          <w:rFonts w:hint="eastAsia" w:ascii="宋体" w:hAnsi="宋体" w:eastAsia="宋体" w:cs="宋体"/>
          <w:b/>
          <w:bCs/>
          <w:color w:val="auto"/>
          <w:kern w:val="0"/>
          <w:sz w:val="21"/>
          <w:szCs w:val="21"/>
          <w:highlight w:val="none"/>
        </w:rPr>
        <w:t>符合性检查表</w:t>
      </w:r>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75"/>
        <w:gridCol w:w="993"/>
        <w:gridCol w:w="2268"/>
        <w:gridCol w:w="58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75" w:type="dxa"/>
            <w:noWrap w:val="0"/>
            <w:vAlign w:val="center"/>
          </w:tcPr>
          <w:p>
            <w:pPr>
              <w:jc w:val="center"/>
              <w:rPr>
                <w:rFonts w:hint="eastAsia" w:ascii="宋体" w:hAnsi="宋体" w:eastAsia="宋体" w:cs="宋体"/>
                <w:color w:val="auto"/>
                <w:kern w:val="0"/>
                <w:sz w:val="21"/>
                <w:szCs w:val="21"/>
                <w:highlight w:val="none"/>
              </w:rPr>
            </w:pPr>
            <w:bookmarkStart w:id="89" w:name="_bookmark67"/>
            <w:bookmarkEnd w:id="89"/>
            <w:r>
              <w:rPr>
                <w:rFonts w:hint="eastAsia" w:ascii="宋体" w:hAnsi="宋体" w:eastAsia="宋体" w:cs="宋体"/>
                <w:color w:val="auto"/>
                <w:kern w:val="0"/>
                <w:sz w:val="21"/>
                <w:szCs w:val="21"/>
                <w:highlight w:val="none"/>
              </w:rPr>
              <w:t>序号</w:t>
            </w:r>
          </w:p>
        </w:tc>
        <w:tc>
          <w:tcPr>
            <w:tcW w:w="3261" w:type="dxa"/>
            <w:gridSpan w:val="2"/>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评标因素</w:t>
            </w:r>
          </w:p>
        </w:tc>
        <w:tc>
          <w:tcPr>
            <w:tcW w:w="5870"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2" w:hRule="atLeast"/>
          <w:jc w:val="center"/>
        </w:trPr>
        <w:tc>
          <w:tcPr>
            <w:tcW w:w="675"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p>
        </w:tc>
        <w:tc>
          <w:tcPr>
            <w:tcW w:w="993"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有效性</w:t>
            </w:r>
          </w:p>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审查</w:t>
            </w: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投标人名称</w:t>
            </w:r>
          </w:p>
        </w:tc>
        <w:tc>
          <w:tcPr>
            <w:tcW w:w="587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与营业执照、资质证书一致。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投标文件签署</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rPr>
              <w:t>投标文件上法定代表人或其授权代理人的签字、投标人的单位章齐全符合招标文件规定。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6"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法定代表人身份证明及授权委托书</w:t>
            </w:r>
          </w:p>
        </w:tc>
        <w:tc>
          <w:tcPr>
            <w:tcW w:w="5870"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法定代表人身份证明及授权委托书有效。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投标方案</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每个分包只能有一个方案投标。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rPr>
              <w:t>报价唯一</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其报价未超过采购预算金额，且</w:t>
            </w:r>
            <w:r>
              <w:rPr>
                <w:rFonts w:hint="eastAsia" w:ascii="宋体" w:hAnsi="宋体" w:eastAsia="宋体" w:cs="宋体"/>
                <w:color w:val="auto"/>
                <w:sz w:val="21"/>
                <w:szCs w:val="21"/>
                <w:highlight w:val="none"/>
              </w:rPr>
              <w:t>只有一个有效报价，不得提交选择性报价。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jc w:val="cente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投标保证金</w:t>
            </w:r>
          </w:p>
        </w:tc>
        <w:tc>
          <w:tcPr>
            <w:tcW w:w="5870"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按时、足额缴纳投标保证金。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675"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p>
        </w:tc>
        <w:tc>
          <w:tcPr>
            <w:tcW w:w="993" w:type="dxa"/>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完整性</w:t>
            </w:r>
          </w:p>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审查</w:t>
            </w: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投标文件份数</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sz w:val="21"/>
                <w:szCs w:val="21"/>
                <w:highlight w:val="none"/>
                <w:lang w:val="zh-CN"/>
              </w:rPr>
              <w:t>投标文件正本、副本、电子版数量符合招标文件要求。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8" w:hRule="atLeast"/>
          <w:jc w:val="center"/>
        </w:trPr>
        <w:tc>
          <w:tcPr>
            <w:tcW w:w="675" w:type="dxa"/>
            <w:vMerge w:val="restart"/>
            <w:noWrap w:val="0"/>
            <w:vAlign w:val="center"/>
          </w:tcPr>
          <w:p>
            <w:pPr>
              <w:jc w:val="center"/>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p>
        </w:tc>
        <w:tc>
          <w:tcPr>
            <w:tcW w:w="993" w:type="dxa"/>
            <w:vMerge w:val="restart"/>
            <w:noWrap w:val="0"/>
            <w:vAlign w:val="center"/>
          </w:tcPr>
          <w:p>
            <w:pPr>
              <w:jc w:val="center"/>
              <w:rPr>
                <w:rFonts w:hint="eastAsia" w:ascii="宋体" w:hAnsi="宋体" w:eastAsia="宋体" w:cs="宋体"/>
                <w:color w:val="auto"/>
                <w:sz w:val="21"/>
                <w:szCs w:val="21"/>
                <w:highlight w:val="none"/>
                <w:lang w:val="zh-CN"/>
              </w:rPr>
            </w:pPr>
            <w:r>
              <w:rPr>
                <w:rFonts w:hint="eastAsia" w:ascii="宋体" w:hAnsi="宋体" w:eastAsia="宋体" w:cs="宋体"/>
                <w:color w:val="auto"/>
                <w:kern w:val="0"/>
                <w:sz w:val="21"/>
                <w:szCs w:val="21"/>
                <w:highlight w:val="none"/>
              </w:rPr>
              <w:t>对招标文件的响应程度审查</w:t>
            </w:r>
          </w:p>
        </w:tc>
        <w:tc>
          <w:tcPr>
            <w:tcW w:w="2268" w:type="dxa"/>
            <w:noWrap w:val="0"/>
            <w:vAlign w:val="center"/>
          </w:tcPr>
          <w:p>
            <w:pPr>
              <w:jc w:val="left"/>
              <w:rPr>
                <w:rFonts w:hint="eastAsia" w:ascii="宋体" w:hAnsi="宋体" w:eastAsia="宋体" w:cs="宋体"/>
                <w:color w:val="auto"/>
                <w:kern w:val="0"/>
                <w:sz w:val="21"/>
                <w:szCs w:val="21"/>
                <w:highlight w:val="none"/>
              </w:rPr>
            </w:pPr>
            <w:bookmarkStart w:id="90" w:name="OLE_LINK2"/>
            <w:r>
              <w:rPr>
                <w:rFonts w:hint="eastAsia" w:ascii="宋体" w:hAnsi="宋体" w:eastAsia="宋体" w:cs="宋体"/>
                <w:color w:val="auto"/>
                <w:kern w:val="0"/>
                <w:sz w:val="21"/>
                <w:szCs w:val="21"/>
                <w:highlight w:val="none"/>
              </w:rPr>
              <w:t>供货范围</w:t>
            </w:r>
            <w:bookmarkEnd w:id="90"/>
          </w:p>
        </w:tc>
        <w:tc>
          <w:tcPr>
            <w:tcW w:w="5870" w:type="dxa"/>
            <w:noWrap w:val="0"/>
            <w:vAlign w:val="center"/>
          </w:tcPr>
          <w:p>
            <w:pPr>
              <w:jc w:val="left"/>
              <w:rPr>
                <w:rFonts w:hint="eastAsia" w:ascii="宋体" w:hAnsi="宋体" w:eastAsia="宋体" w:cs="宋体"/>
                <w:color w:val="auto"/>
                <w:sz w:val="21"/>
                <w:szCs w:val="21"/>
                <w:highlight w:val="none"/>
                <w:lang w:val="zh-CN"/>
              </w:rPr>
            </w:pPr>
            <w:r>
              <w:rPr>
                <w:rFonts w:hint="eastAsia" w:ascii="宋体" w:hAnsi="宋体" w:eastAsia="宋体" w:cs="宋体"/>
                <w:color w:val="auto"/>
                <w:sz w:val="21"/>
                <w:szCs w:val="21"/>
                <w:highlight w:val="none"/>
                <w:lang w:val="zh-CN"/>
              </w:rPr>
              <w:t>对招标文件规定的</w:t>
            </w:r>
            <w:r>
              <w:rPr>
                <w:rFonts w:hint="eastAsia" w:ascii="宋体" w:hAnsi="宋体" w:eastAsia="宋体" w:cs="宋体"/>
                <w:color w:val="auto"/>
                <w:kern w:val="0"/>
                <w:sz w:val="21"/>
                <w:szCs w:val="21"/>
                <w:highlight w:val="none"/>
              </w:rPr>
              <w:t>供货范围</w:t>
            </w:r>
            <w:r>
              <w:rPr>
                <w:rFonts w:hint="eastAsia" w:ascii="宋体" w:hAnsi="宋体" w:eastAsia="宋体" w:cs="宋体"/>
                <w:color w:val="auto"/>
                <w:sz w:val="21"/>
                <w:szCs w:val="21"/>
                <w:highlight w:val="none"/>
                <w:lang w:val="zh-CN"/>
              </w:rPr>
              <w:t>全部做出响应。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交货期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质保期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投标有效期</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满足招标文件</w:t>
            </w:r>
            <w:r>
              <w:rPr>
                <w:rFonts w:hint="eastAsia" w:ascii="宋体" w:hAnsi="宋体" w:eastAsia="宋体" w:cs="宋体"/>
                <w:color w:val="auto"/>
                <w:sz w:val="21"/>
                <w:szCs w:val="21"/>
                <w:highlight w:val="none"/>
                <w:lang w:val="zh-CN"/>
              </w:rPr>
              <w:t>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kern w:val="0"/>
                <w:sz w:val="21"/>
                <w:szCs w:val="21"/>
                <w:highlight w:val="none"/>
              </w:rPr>
            </w:pPr>
          </w:p>
        </w:tc>
        <w:tc>
          <w:tcPr>
            <w:tcW w:w="2268"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付款方式</w:t>
            </w:r>
          </w:p>
        </w:tc>
        <w:tc>
          <w:tcPr>
            <w:tcW w:w="5870" w:type="dxa"/>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投标文件承诺</w:t>
            </w:r>
            <w:r>
              <w:rPr>
                <w:rFonts w:hint="eastAsia" w:ascii="宋体" w:hAnsi="宋体" w:eastAsia="宋体" w:cs="宋体"/>
                <w:color w:val="auto"/>
                <w:kern w:val="0"/>
                <w:sz w:val="21"/>
                <w:szCs w:val="21"/>
                <w:highlight w:val="none"/>
                <w:lang w:eastAsia="zh-CN"/>
              </w:rPr>
              <w:t>的</w:t>
            </w:r>
            <w:r>
              <w:rPr>
                <w:rFonts w:hint="eastAsia" w:ascii="宋体" w:hAnsi="宋体" w:eastAsia="宋体" w:cs="宋体"/>
                <w:color w:val="auto"/>
                <w:kern w:val="0"/>
                <w:sz w:val="21"/>
                <w:szCs w:val="21"/>
                <w:highlight w:val="none"/>
              </w:rPr>
              <w:t>付款方式满足招标文件要求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0" w:hRule="atLeast"/>
          <w:jc w:val="center"/>
        </w:trPr>
        <w:tc>
          <w:tcPr>
            <w:tcW w:w="675" w:type="dxa"/>
            <w:vMerge w:val="continue"/>
            <w:noWrap w:val="0"/>
            <w:vAlign w:val="center"/>
          </w:tcPr>
          <w:p>
            <w:pPr>
              <w:jc w:val="center"/>
              <w:rPr>
                <w:rFonts w:hint="eastAsia" w:ascii="宋体" w:hAnsi="宋体" w:eastAsia="宋体" w:cs="宋体"/>
                <w:color w:val="auto"/>
                <w:kern w:val="0"/>
                <w:sz w:val="21"/>
                <w:szCs w:val="21"/>
                <w:highlight w:val="none"/>
              </w:rPr>
            </w:pPr>
          </w:p>
        </w:tc>
        <w:tc>
          <w:tcPr>
            <w:tcW w:w="993" w:type="dxa"/>
            <w:vMerge w:val="continue"/>
            <w:noWrap w:val="0"/>
            <w:vAlign w:val="center"/>
          </w:tcPr>
          <w:p>
            <w:pPr>
              <w:rPr>
                <w:rFonts w:hint="eastAsia" w:ascii="宋体" w:hAnsi="宋体" w:eastAsia="宋体" w:cs="宋体"/>
                <w:color w:val="auto"/>
                <w:sz w:val="21"/>
                <w:szCs w:val="21"/>
                <w:highlight w:val="none"/>
                <w:lang w:val="zh-CN"/>
              </w:rPr>
            </w:pPr>
          </w:p>
        </w:tc>
        <w:tc>
          <w:tcPr>
            <w:tcW w:w="2268" w:type="dxa"/>
            <w:tcBorders>
              <w:bottom w:val="single" w:color="auto" w:sz="4" w:space="0"/>
            </w:tcBorders>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其他</w:t>
            </w:r>
          </w:p>
        </w:tc>
        <w:tc>
          <w:tcPr>
            <w:tcW w:w="5870" w:type="dxa"/>
            <w:tcBorders>
              <w:bottom w:val="single" w:color="auto" w:sz="4" w:space="0"/>
            </w:tcBorders>
            <w:noWrap w:val="0"/>
            <w:vAlign w:val="center"/>
          </w:tcPr>
          <w:p>
            <w:pPr>
              <w:jc w:val="left"/>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投标文件未附有采购人不能接受的附加条件及法律、法规和招标文件规定的其他无效情形。</w:t>
            </w:r>
          </w:p>
        </w:tc>
      </w:tr>
    </w:tbl>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4.2有下列情形之一时</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评标委员会应予废标</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并将理由通知所有投标人：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符合专业条件的投标人或者对招标文件作实质性响应的投标人不足三家的；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出现影响招标公正的违法、违规行为的；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投标人的报价均超过了采购预算</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采购人不能支付的；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因重大变故，采购任务取消的。</w:t>
      </w:r>
    </w:p>
    <w:p>
      <w:pPr>
        <w:pStyle w:val="2"/>
        <w:spacing w:line="360" w:lineRule="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如发现有二份及以上投标文件的相互之间有相同或高度相似之处，且无合理解释的，经评标委员会半数以上成员认定有串通投标嫌疑的，其投标文件按无效投标处理，予以废除，不再对其进行评审，也不影响招标工作继续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4.3废标后，除采购任务取消情形外，招标采购单位应当重新组织招标。需要采取其他采购方式的，应当在采购活动开始前获得设区的市、自治州以上人民政府财政部门的批准。</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5．澄清有关问题</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5.1对于投标文件中含义不明确、同类问题表述不一致或者有明显文字和计算错误的内容，评标委员会应当以书面形式要求投标人作出必要的澄清、说明或者补正。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投标人的澄清、说明或者补正应当采用书面形式，并加盖公章，或者由法定代表人或其授权的代表签字。投标人的澄清、说明或者补正不得超出投标文件的范围或者改变投标文件的实质性内容。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5.2投标人不得对下列内容进行澄清或补充：</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投标报价、质量标准、合同履行期限等实质性内容。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不满足投标人须知2.10</w:t>
      </w:r>
      <w:r>
        <w:rPr>
          <w:rFonts w:hint="eastAsia" w:ascii="宋体" w:hAnsi="宋体" w:eastAsia="宋体" w:cs="宋体"/>
          <w:color w:val="auto"/>
          <w:kern w:val="0"/>
          <w:sz w:val="21"/>
          <w:szCs w:val="21"/>
          <w:highlight w:val="none"/>
          <w:lang w:val="en-US" w:eastAsia="zh-CN"/>
        </w:rPr>
        <w:t>条</w:t>
      </w:r>
      <w:r>
        <w:rPr>
          <w:rFonts w:hint="eastAsia" w:ascii="宋体" w:hAnsi="宋体" w:eastAsia="宋体" w:cs="宋体"/>
          <w:color w:val="auto"/>
          <w:kern w:val="0"/>
          <w:sz w:val="21"/>
          <w:szCs w:val="21"/>
          <w:highlight w:val="none"/>
        </w:rPr>
        <w:t>规定的实质性要求的投标文件内容。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5.3投标文件报价出现前后不一致的，除招标文件另有规定外，按照下列规定修正：</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（1）投标文件中开标一览表（报价表）内容与投标文件中相应内容不一致的，以开标一览表（报价表）为准；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（2）大写金额和小写金额不一致的，以大写金额为准；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（3）单价金额小数点或者百分比有明显错位的，以开标一览表的总价为准，并修改单价；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（4）总价金额与按单价汇总金额不一致的，以单价金额计算结果为准。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同时出现两种以上不一致的，按照前款规定的顺序修正。修正后的报价按照本章5.1款的规定经投标人确认后产生约束力，▲</w:t>
      </w:r>
      <w:r>
        <w:rPr>
          <w:rFonts w:hint="eastAsia" w:ascii="宋体" w:hAnsi="宋体" w:eastAsia="宋体" w:cs="宋体"/>
          <w:b/>
          <w:color w:val="auto"/>
          <w:kern w:val="0"/>
          <w:sz w:val="21"/>
          <w:szCs w:val="21"/>
          <w:highlight w:val="none"/>
        </w:rPr>
        <w:t>投标人不确认或拒绝修正的，其投标无效</w:t>
      </w:r>
      <w:r>
        <w:rPr>
          <w:rFonts w:hint="eastAsia" w:ascii="宋体" w:hAnsi="宋体" w:eastAsia="宋体" w:cs="宋体"/>
          <w:color w:val="auto"/>
          <w:kern w:val="0"/>
          <w:sz w:val="21"/>
          <w:szCs w:val="21"/>
          <w:highlight w:val="none"/>
        </w:rPr>
        <w:t>。</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5.4投标人按照评标委员会要求提供的有效书面澄清材料，是投标文件的补充材料，成为其投标文件的组成部分。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5.5评标委员会认为投标人的报价明显低于其他通过符合性审查投标人的报价，有可能影响产品质量或者不能诚信履约的，应当要求其在评标现场合理的时间内提供书面说明，必要时提交相关证明材料；▲</w:t>
      </w:r>
      <w:r>
        <w:rPr>
          <w:rFonts w:hint="eastAsia" w:ascii="宋体" w:hAnsi="宋体" w:eastAsia="宋体" w:cs="宋体"/>
          <w:b/>
          <w:color w:val="auto"/>
          <w:kern w:val="0"/>
          <w:sz w:val="21"/>
          <w:szCs w:val="21"/>
          <w:highlight w:val="none"/>
        </w:rPr>
        <w:t>投标人规定的时间内不能证明其报价合理性的，评标委员会应当将其作为无效投标处理</w:t>
      </w:r>
      <w:r>
        <w:rPr>
          <w:rFonts w:hint="eastAsia" w:ascii="宋体" w:hAnsi="宋体" w:eastAsia="宋体" w:cs="宋体"/>
          <w:color w:val="auto"/>
          <w:kern w:val="0"/>
          <w:sz w:val="21"/>
          <w:szCs w:val="21"/>
          <w:highlight w:val="none"/>
        </w:rPr>
        <w:t>。</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6．详细评标</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6.1评标委员会应按照招标文件中规定的评标方法、标准和评标因素，对资格性检查和符合性检查合格的投标文件进行商务和技术评估，综合比较与评价。</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lang w:eastAsia="zh-CN"/>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按照招标文件规定的方式确定一个投标人获得中标人推荐资格，招标文件未规定的采取随机抽取方式确定，其他同品牌投标人不作为中标候选人。</w:t>
      </w:r>
    </w:p>
    <w:p>
      <w:pPr>
        <w:adjustRightInd w:val="0"/>
        <w:snapToGrid w:val="0"/>
        <w:spacing w:line="360" w:lineRule="auto"/>
        <w:ind w:firstLine="420" w:firstLineChars="200"/>
        <w:rPr>
          <w:rFonts w:hint="eastAsia" w:ascii="宋体" w:hAnsi="宋体" w:eastAsia="宋体" w:cs="宋体"/>
          <w:color w:val="auto"/>
          <w:sz w:val="20"/>
          <w:szCs w:val="20"/>
          <w:highlight w:val="none"/>
          <w:lang w:eastAsia="zh-CN"/>
        </w:rPr>
      </w:pPr>
      <w:r>
        <w:rPr>
          <w:rFonts w:hint="eastAsia" w:ascii="宋体" w:hAnsi="宋体" w:eastAsia="宋体" w:cs="宋体"/>
          <w:color w:val="auto"/>
          <w:kern w:val="0"/>
          <w:sz w:val="21"/>
          <w:szCs w:val="21"/>
          <w:highlight w:val="none"/>
          <w:lang w:eastAsia="zh-CN"/>
        </w:rPr>
        <w:t>非单一产品采购项目，采购人应当根据采购项目技术构成、产品价格比重等合理确定核心产品，并在招标文件中载明。多家投标人提供的核心产品品牌相同的，按前两款规定处理。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6.2评标时，评标委员会各成员应当独立对每个投标人的投标文件进行评价、评分，然后汇总每个投标人每项评分因素的得分。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6.3投标人在评标过程中，所进行的试图影响评标结果的不符合招标规则的活动，可能导致其被取消中标资格。</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rPr>
        <w:t>6.4评分标准：具体</w:t>
      </w:r>
      <w:r>
        <w:rPr>
          <w:rFonts w:hint="eastAsia" w:ascii="宋体" w:hAnsi="宋体" w:eastAsia="宋体" w:cs="宋体"/>
          <w:color w:val="auto"/>
          <w:kern w:val="0"/>
          <w:sz w:val="21"/>
          <w:szCs w:val="21"/>
          <w:highlight w:val="none"/>
          <w:lang w:val="en-US" w:eastAsia="zh-CN"/>
        </w:rPr>
        <w:t>见三、评标标准</w:t>
      </w:r>
    </w:p>
    <w:p>
      <w:pPr>
        <w:adjustRightInd w:val="0"/>
        <w:snapToGrid w:val="0"/>
        <w:spacing w:line="360" w:lineRule="auto"/>
        <w:rPr>
          <w:rFonts w:hint="eastAsia" w:ascii="宋体" w:hAnsi="宋体" w:eastAsia="宋体" w:cs="宋体"/>
          <w:b/>
          <w:color w:val="auto"/>
          <w:kern w:val="0"/>
          <w:sz w:val="21"/>
          <w:szCs w:val="21"/>
          <w:highlight w:val="none"/>
        </w:rPr>
      </w:pPr>
      <w:r>
        <w:rPr>
          <w:rFonts w:hint="eastAsia" w:ascii="宋体" w:hAnsi="宋体" w:eastAsia="宋体" w:cs="宋体"/>
          <w:b/>
          <w:color w:val="auto"/>
          <w:kern w:val="0"/>
          <w:sz w:val="21"/>
          <w:szCs w:val="21"/>
          <w:highlight w:val="none"/>
        </w:rPr>
        <w:t>7．推荐中标候选人名单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7.1评标结果按评标后得分由高到低顺序排列。得分相同的，按投标报价由低到高顺序排列。得分且投标报价相同的并列。投标文件满足招标文件全部实质性要求，且按照评标因素的量化指标评标得分最高的投标人为排名第一的中标候选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7.2评标结果汇总完成后，除下列情形外，任何人不得修改评标结果：</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分值汇总计算错误的；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分项评分超出评分标准范围的；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评标委员会成员对客观评标因素评分不一致的；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经评标委员会认定评分畸高、畸低的。</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评标报告签署前，经复核发现存在以上情形之一的，评标委员会应当当场修改评标结果，并在评标报告中记载；评标报告签署后，采购人或者采购代理机构发现存在以上情形之一的，应当组织原评标委员会进行重新评标，重新评标改变评标结果的，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投标人对上述</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1)～(4</w:t>
      </w:r>
      <w:r>
        <w:rPr>
          <w:rFonts w:hint="eastAsia" w:ascii="宋体" w:hAnsi="宋体" w:eastAsia="宋体" w:cs="宋体"/>
          <w:color w:val="auto"/>
          <w:kern w:val="0"/>
          <w:sz w:val="21"/>
          <w:szCs w:val="21"/>
          <w:highlight w:val="none"/>
          <w:lang w:eastAsia="zh-CN"/>
        </w:rPr>
        <w:t>)</w:t>
      </w:r>
      <w:r>
        <w:rPr>
          <w:rFonts w:hint="eastAsia" w:ascii="宋体" w:hAnsi="宋体" w:eastAsia="宋体" w:cs="宋体"/>
          <w:color w:val="auto"/>
          <w:kern w:val="0"/>
          <w:sz w:val="21"/>
          <w:szCs w:val="21"/>
          <w:highlight w:val="none"/>
        </w:rPr>
        <w:t>提出质疑的，采购人或者采购代理机构可以组织原评标委员会进行重新评标，重新评标改变评标结果的，应当书面报告本级财政部门。</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7.3评标委员会根据全体评标成员签字的原始评标记录和评标结果编写评标报告。评标报告应当包括以下内容：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（1）招标公告刊登的媒体名称、开标日期和地点；</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（2）投标人名单和评标委员会成员名单；</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（3）评标方法和标准；</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（4）开标记录和评标情况及说明，包括无效投标人名单及原因；</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（5）评标结果，确定的中标候选人名单或者经采购人委托直接确定的中标人；</w:t>
      </w:r>
    </w:p>
    <w:p>
      <w:pPr>
        <w:adjustRightInd w:val="0"/>
        <w:snapToGrid w:val="0"/>
        <w:spacing w:line="360" w:lineRule="auto"/>
        <w:ind w:firstLine="420" w:firstLineChars="200"/>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（6）其他需要说明的情况，包括评标过程中投标人根据评标委员会要求进行的澄清、说明或者补正，评标委员会成员的更换等。</w:t>
      </w:r>
    </w:p>
    <w:p>
      <w:pPr>
        <w:adjustRightInd w:val="0"/>
        <w:snapToGrid w:val="0"/>
        <w:spacing w:line="360" w:lineRule="auto"/>
        <w:ind w:firstLine="420" w:firstLineChars="200"/>
        <w:rPr>
          <w:rFonts w:hint="eastAsia" w:ascii="宋体" w:hAnsi="宋体" w:eastAsia="宋体" w:cs="宋体"/>
          <w:color w:val="auto"/>
          <w:kern w:val="0"/>
          <w:sz w:val="21"/>
          <w:szCs w:val="21"/>
          <w:highlight w:val="none"/>
          <w:lang w:eastAsia="zh-CN"/>
        </w:rPr>
      </w:pPr>
      <w:r>
        <w:rPr>
          <w:rFonts w:hint="eastAsia" w:ascii="宋体" w:hAnsi="宋体" w:eastAsia="宋体" w:cs="宋体"/>
          <w:color w:val="auto"/>
          <w:kern w:val="0"/>
          <w:sz w:val="21"/>
          <w:szCs w:val="21"/>
          <w:highlight w:val="none"/>
        </w:rPr>
        <w:t>7.4本次招标采购推荐的中标候选人数量见投标须知前附表。</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rPr>
      </w:pPr>
      <w:bookmarkStart w:id="91" w:name="_Toc25757"/>
      <w:r>
        <w:rPr>
          <w:rFonts w:hint="eastAsia" w:ascii="宋体" w:hAnsi="宋体" w:eastAsia="宋体" w:cs="宋体"/>
          <w:color w:val="auto"/>
          <w:spacing w:val="0"/>
          <w:w w:val="100"/>
          <w:position w:val="0"/>
          <w:sz w:val="28"/>
          <w:szCs w:val="28"/>
          <w:highlight w:val="none"/>
          <w:lang w:val="en-US" w:eastAsia="zh-CN"/>
        </w:rPr>
        <w:t>三</w:t>
      </w:r>
      <w:r>
        <w:rPr>
          <w:rFonts w:hint="eastAsia" w:ascii="宋体" w:hAnsi="宋体" w:eastAsia="宋体" w:cs="宋体"/>
          <w:color w:val="auto"/>
          <w:spacing w:val="0"/>
          <w:w w:val="100"/>
          <w:position w:val="0"/>
          <w:sz w:val="28"/>
          <w:szCs w:val="28"/>
          <w:highlight w:val="none"/>
        </w:rPr>
        <w:t>、评标中的落实政府采购政策具体办法</w:t>
      </w:r>
      <w:bookmarkEnd w:id="91"/>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24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bookmarkStart w:id="92" w:name="_bookmark68"/>
      <w:bookmarkEnd w:id="92"/>
      <w:r>
        <w:rPr>
          <w:rFonts w:hint="eastAsia" w:ascii="宋体" w:hAnsi="宋体" w:eastAsia="宋体" w:cs="宋体"/>
          <w:b/>
          <w:bCs/>
          <w:color w:val="auto"/>
          <w:spacing w:val="0"/>
          <w:w w:val="100"/>
          <w:position w:val="0"/>
          <w:sz w:val="21"/>
          <w:szCs w:val="21"/>
          <w:highlight w:val="none"/>
          <w:lang w:val="en-US" w:eastAsia="zh-CN"/>
        </w:rPr>
        <w:t>1、促进中小企业、残疾人福利性单位、监狱企业政策落实</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bookmarkStart w:id="93" w:name="_bookmark69"/>
      <w:bookmarkEnd w:id="93"/>
      <w:r>
        <w:rPr>
          <w:rFonts w:hint="eastAsia" w:ascii="宋体" w:hAnsi="宋体" w:eastAsia="宋体" w:cs="宋体"/>
          <w:color w:val="auto"/>
          <w:spacing w:val="0"/>
          <w:sz w:val="21"/>
          <w:szCs w:val="24"/>
          <w:highlight w:val="none"/>
          <w:lang w:val="en-US" w:eastAsia="zh-CN"/>
        </w:rPr>
        <w:t>（1）《政府采购促进中小企业发展管理办法》（财库[2020]46 号，以下简称“发展管理办法”）所称中小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（2）在政府采购活动中，投标人提供的货物、工程或者服务符合下列情形的，享受本办法规定的中小企业扶持政策：</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（一）在货物采购项目中，货物由中小企业制造，即货物由中小企业生产且使用该中小企业商号或者注册商标；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（二）在工程采购项目中，工程由中小企业承建，即工程施工单位为中小企业；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（三）在服务采购项目中，服务由中小企业承接，即提供服务的人员为中小企业依照《中华人民共和国劳动合同法》订立劳动合同的从业人员。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在货物采购项目中，投标人提供的货物既有中小企业制造货物，也有大型企业制造货物的，不享受本办法规定的中小企业扶持政策。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以联合体形式参加政府采购活动，联合体各方均为中小企业的，联合体视同中小企业。其中，联合体各方均为小微企业的，联合体视同小微企业。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根据发展管理办法第九条要求：</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对于经主管预算单位统筹后未预留份额专门面向中小企业采购的采购项目，以及预留份额项目中的非预留部分采购包，采购人、采购代理机构应当对符合本办法规定的小微企业报价给予 6%—10%（工程项目为 3%—5%）的扣4除，用扣除后的价格参加评审。适用招标投标法的政府采购工程建设项目，采用综合评估法但未采用低价优先法计算价格分的，评标时应当在采用原报价进行评分的基础上增加其价格得分的 3%—5%作为其价格分。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 xml:space="preserve">接受大中型企业与小微企业组成联合体或者允许大中型企业向一家或者多家小微企业分包的采购项目，对于联合协议或者分包意向协议约定小微企业的合同份额占到合同总金额 30%以上的，采购人、采购代理机构应当对联合体或者大中型企业的报价给予 2%-3%（工程项目为 1%—2%）的扣除，用扣除后的价格参加评审。适用招标投标法的政府采购工程建设项目，采用综合评估法但未采用低价优先法计算价格分的，评标时应当在采用原报价进行评分的基础上增加其价格得分的 1%—2%作为其价格分。组成联合体或者接受分包的小微企业与联合体内其他企业、分包企业之间存在直接控股、管理关系的，不享受价格扣除优惠政策。 </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价格扣除比例或者价格分加分比例对小型企业和微型企业同等对待，不作区分。具体采购项目的价格扣除比例或者价格分加分比例，由采购人根据采购标的相关行业平均利润率、市场竞争状况等，在本办法规定的幅度内确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（4）中小企业参加政府采购活动，应当出具《中小企业声明函》，否则不得享受相关中小企业扶持政策，《中小企业声明函》格式见第六章投标文件格式。</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（5）根据《关于政府采购支持监狱企业发展有关问题的通知》（财库[2014]68 号）的要求，监狱和戒毒企业（以下简称监狱企业）参加政府采购活动时，应当提供由省级以上监狱管理局、戒毒管理局（含新疆生产建设兵团）出具的属于监狱企业的证明文件。监狱企业视同小型、微型企业，享受招标文件规定的评审中价格扣除等促进中小企业发展的政府采购政策。</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（6）根据《关于促进残疾人就业政府采购政策的通知》（财库〔2017〕141 号）规定， 投标人如符合该规定享受政府采购支持政策的残疾人福利性单位的条件，应提供《残疾人福利性单位声明函》，格式见第六章投标文件格式。残疾人福利性单位视同小型、微型企业，享受招标文件规定的评审中价格扣除等促进中小企业发展的政府采购政策。残疾人福利性单位属于小型、微型企业的，不重复享受政策。享受政府采购支持政策的残疾人福利性单位应当同时满足以下条件：</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（一）安置的残疾人占本单位在职职工人数的比例不低于 25%（含 25%），并且安置的残疾人人数不少于 10 人（含 10 人）；</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（二）依法与安置的每位残疾人签订了一年以上（含一年）的劳动合同或服务协议；</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（三）为安置的每位残疾人按月足额缴纳了基本养老保险、基本医疗保险、失业保险、工伤保险和生育保险等社会保险费；</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（四）通过银行等金融机构向安置的每位残疾人，按月支付了不低于单位所在区县适用的经省级人民政府批准的月最低工资标准的工资；</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（五）提供本单位制造的货物、承担的工程或者服务（以下简称产品），或者提供其他残疾人福利性单位制造的货物（不包括使用非残疾人福利性单位注册商标的货物）。</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前款所称残疾人是指法定劳动年龄内，持有《中华人民共和国残疾人证》或者《中华人民共和国残疾军人证（1 至 8 级）》的自然人，包括具有劳动条件和劳动意愿的精神残疾人。在职职工人数是指与残疾人福利性单位建立劳动关系并依法签订劳动合同或者服务协议的雇员人数。</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（7）若投标报价中有小型、微型企业、监狱企业或残疾人福利性单位报价的，需填报《分项报价表Ⅱ（仅针对小型、微型企业、监狱企业或残疾人福利性单位产品）》。</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4、具体投标报价扣除比例说明：</w:t>
      </w:r>
    </w:p>
    <w:p>
      <w:pPr>
        <w:spacing w:line="440" w:lineRule="exact"/>
        <w:ind w:firstLine="420" w:firstLineChars="200"/>
        <w:rPr>
          <w:rFonts w:hint="eastAsia" w:ascii="宋体" w:hAnsi="宋体" w:eastAsia="宋体" w:cs="宋体"/>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4.1对给予小型和微型企业产品的价格给予6%-10%的扣除，用扣除后的价格参与评标，</w:t>
      </w:r>
      <w:r>
        <w:rPr>
          <w:rFonts w:hint="eastAsia" w:ascii="宋体" w:hAnsi="宋体" w:eastAsia="宋体" w:cs="宋体"/>
          <w:b/>
          <w:bCs/>
          <w:color w:val="auto"/>
          <w:spacing w:val="0"/>
          <w:sz w:val="21"/>
          <w:szCs w:val="24"/>
          <w:highlight w:val="none"/>
          <w:lang w:val="en-US" w:eastAsia="zh-CN"/>
        </w:rPr>
        <w:t>本项目具体扣除比例为6%。</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b/>
          <w:bCs/>
          <w:color w:val="auto"/>
          <w:spacing w:val="0"/>
          <w:sz w:val="21"/>
          <w:szCs w:val="24"/>
          <w:highlight w:val="none"/>
          <w:lang w:val="en-US" w:eastAsia="zh-CN"/>
        </w:rPr>
      </w:pPr>
      <w:r>
        <w:rPr>
          <w:rFonts w:hint="eastAsia" w:ascii="宋体" w:hAnsi="宋体" w:eastAsia="宋体" w:cs="宋体"/>
          <w:color w:val="auto"/>
          <w:spacing w:val="0"/>
          <w:sz w:val="21"/>
          <w:szCs w:val="24"/>
          <w:highlight w:val="none"/>
          <w:lang w:val="en-US" w:eastAsia="zh-CN"/>
        </w:rPr>
        <w:t>4.2符合条件的残疾人福利性单位在参加政府采购活动时，应当提供规定的《残疾人福利性单位声明函》，并对声明的真实性负责。任何单位或者个人在政府采购活动中均不得要求残疾人福利性单位提供其他证明声明函内容的材料。残疾人福利性单位视同小型、微型企业，享受评标中价格扣除等促进中小企业发展的政府采购政策。</w:t>
      </w:r>
      <w:r>
        <w:rPr>
          <w:rFonts w:hint="eastAsia" w:ascii="宋体" w:hAnsi="宋体" w:eastAsia="宋体" w:cs="宋体"/>
          <w:b/>
          <w:bCs/>
          <w:color w:val="auto"/>
          <w:spacing w:val="0"/>
          <w:sz w:val="21"/>
          <w:szCs w:val="24"/>
          <w:highlight w:val="none"/>
          <w:lang w:val="en-US" w:eastAsia="zh-CN"/>
        </w:rPr>
        <w:t>本项目具体扣除比例为6%。</w:t>
      </w:r>
    </w:p>
    <w:p>
      <w:pPr>
        <w:pStyle w:val="28"/>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240" w:lineRule="auto"/>
        <w:ind w:left="0" w:leftChars="0" w:right="0" w:rightChars="0" w:firstLine="422" w:firstLineChars="200"/>
        <w:jc w:val="left"/>
        <w:textAlignment w:val="auto"/>
        <w:rPr>
          <w:rFonts w:hint="eastAsia" w:ascii="宋体" w:hAnsi="宋体" w:eastAsia="宋体" w:cs="宋体"/>
          <w:b/>
          <w:bCs/>
          <w:color w:val="auto"/>
          <w:spacing w:val="0"/>
          <w:w w:val="100"/>
          <w:position w:val="0"/>
          <w:sz w:val="21"/>
          <w:szCs w:val="21"/>
          <w:highlight w:val="none"/>
          <w:lang w:val="en-US" w:eastAsia="zh-CN"/>
        </w:rPr>
      </w:pPr>
      <w:r>
        <w:rPr>
          <w:rFonts w:hint="eastAsia" w:ascii="宋体" w:hAnsi="宋体" w:eastAsia="宋体" w:cs="宋体"/>
          <w:b/>
          <w:bCs/>
          <w:color w:val="auto"/>
          <w:spacing w:val="0"/>
          <w:w w:val="100"/>
          <w:position w:val="0"/>
          <w:sz w:val="21"/>
          <w:szCs w:val="21"/>
          <w:highlight w:val="none"/>
          <w:lang w:val="en-US" w:eastAsia="zh-CN"/>
        </w:rPr>
        <w:t>2、鼓励节能、环保政策落实</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bookmarkStart w:id="94" w:name="_bookmark70"/>
      <w:bookmarkEnd w:id="94"/>
      <w:r>
        <w:rPr>
          <w:rFonts w:hint="eastAsia" w:ascii="宋体" w:hAnsi="宋体" w:eastAsia="宋体" w:cs="宋体"/>
          <w:color w:val="auto"/>
          <w:spacing w:val="0"/>
          <w:w w:val="100"/>
          <w:position w:val="0"/>
          <w:sz w:val="21"/>
          <w:szCs w:val="21"/>
          <w:highlight w:val="none"/>
          <w:lang w:val="en-US" w:eastAsia="zh-CN" w:bidi="zh-CN"/>
        </w:rPr>
        <w:t>（1）鼓励节能政策：在性能、技术、服务等指标同等条件下，优先采购国家确定的认证机构出具的、处于有效期之内的节能产品认证证书标志产品。投标涉及上述产品的，投标人应提供带有投标产品型号的节能产品认证证书复印件作为证明。</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2）鼓励环保政策：在性能、技术、服务等指标同等条件下，优先采购国家确定的认证机构出具的、处于有效期之内的环境标志产品认证证书标志产品。投标涉及上述产品的，投标人应提供带有投标产品型号的环境标志产品认证证书复印件作为证明。</w:t>
      </w:r>
    </w:p>
    <w:p>
      <w:pPr>
        <w:pStyle w:val="5"/>
        <w:keepNext w:val="0"/>
        <w:keepLines w:val="0"/>
        <w:pageBreakBefore w:val="0"/>
        <w:widowControl w:val="0"/>
        <w:kinsoku/>
        <w:wordWrap/>
        <w:overflowPunct/>
        <w:topLinePunct w:val="0"/>
        <w:autoSpaceDE w:val="0"/>
        <w:autoSpaceDN w:val="0"/>
        <w:bidi w:val="0"/>
        <w:adjustRightInd/>
        <w:snapToGrid/>
        <w:spacing w:before="0"/>
        <w:ind w:right="0"/>
        <w:textAlignment w:val="auto"/>
        <w:outlineLvl w:val="1"/>
        <w:rPr>
          <w:rFonts w:hint="eastAsia" w:ascii="宋体" w:hAnsi="宋体" w:eastAsia="宋体" w:cs="宋体"/>
          <w:color w:val="auto"/>
          <w:spacing w:val="0"/>
          <w:w w:val="100"/>
          <w:position w:val="0"/>
          <w:sz w:val="28"/>
          <w:szCs w:val="28"/>
          <w:highlight w:val="none"/>
          <w:lang w:val="en-US" w:eastAsia="zh-CN"/>
        </w:rPr>
      </w:pPr>
      <w:bookmarkStart w:id="95" w:name="_Toc7979"/>
      <w:r>
        <w:rPr>
          <w:rFonts w:hint="eastAsia" w:ascii="宋体" w:hAnsi="宋体" w:eastAsia="宋体" w:cs="宋体"/>
          <w:color w:val="auto"/>
          <w:spacing w:val="0"/>
          <w:w w:val="100"/>
          <w:position w:val="0"/>
          <w:sz w:val="28"/>
          <w:szCs w:val="28"/>
          <w:highlight w:val="none"/>
          <w:lang w:val="en-US" w:eastAsia="zh-CN"/>
        </w:rPr>
        <w:t>四、评标标准</w:t>
      </w:r>
      <w:bookmarkEnd w:id="95"/>
    </w:p>
    <w:p>
      <w:pPr>
        <w:jc w:val="center"/>
        <w:outlineLvl w:val="9"/>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详细评标表（满分100分）</w:t>
      </w:r>
    </w:p>
    <w:tbl>
      <w:tblPr>
        <w:tblStyle w:val="23"/>
        <w:tblW w:w="6298"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2915"/>
        <w:gridCol w:w="3383"/>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6" w:hRule="atLeast"/>
          <w:jc w:val="center"/>
        </w:trPr>
        <w:tc>
          <w:tcPr>
            <w:tcW w:w="2915" w:type="dxa"/>
            <w:tcBorders>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评分因素</w:t>
            </w:r>
          </w:p>
        </w:tc>
        <w:tc>
          <w:tcPr>
            <w:tcW w:w="3383" w:type="dxa"/>
            <w:tcBorders>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分值分配</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9"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投标报价</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30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商务部分</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20</w:t>
            </w:r>
            <w:r>
              <w:rPr>
                <w:rFonts w:hint="eastAsia" w:ascii="宋体" w:hAnsi="宋体" w:eastAsia="宋体" w:cs="宋体"/>
                <w:color w:val="auto"/>
                <w:spacing w:val="0"/>
                <w:w w:val="100"/>
                <w:position w:val="0"/>
                <w:sz w:val="21"/>
                <w:szCs w:val="20"/>
                <w:highlight w:val="none"/>
              </w:rPr>
              <w:t xml:space="preserve">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bottom w:val="single" w:color="000000" w:sz="6" w:space="0"/>
              <w:right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技术部分</w:t>
            </w:r>
          </w:p>
        </w:tc>
        <w:tc>
          <w:tcPr>
            <w:tcW w:w="3383" w:type="dxa"/>
            <w:tcBorders>
              <w:top w:val="single" w:color="000000" w:sz="6" w:space="0"/>
              <w:left w:val="single" w:color="000000" w:sz="6" w:space="0"/>
              <w:bottom w:val="single" w:color="000000" w:sz="6" w:space="0"/>
            </w:tcBorders>
            <w:vAlign w:val="center"/>
          </w:tcPr>
          <w:p>
            <w:pPr>
              <w:pStyle w:val="29"/>
              <w:spacing w:before="2"/>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50</w:t>
            </w:r>
            <w:r>
              <w:rPr>
                <w:rFonts w:hint="eastAsia" w:ascii="宋体" w:hAnsi="宋体" w:eastAsia="宋体" w:cs="宋体"/>
                <w:color w:val="auto"/>
                <w:spacing w:val="0"/>
                <w:w w:val="100"/>
                <w:position w:val="0"/>
                <w:sz w:val="21"/>
                <w:szCs w:val="20"/>
                <w:highlight w:val="none"/>
              </w:rPr>
              <w:t xml:space="preserve"> 分</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57" w:hRule="atLeast"/>
          <w:jc w:val="center"/>
        </w:trPr>
        <w:tc>
          <w:tcPr>
            <w:tcW w:w="2915" w:type="dxa"/>
            <w:tcBorders>
              <w:top w:val="single" w:color="000000" w:sz="6" w:space="0"/>
              <w:right w:val="single" w:color="000000" w:sz="6" w:space="0"/>
            </w:tcBorders>
            <w:vAlign w:val="center"/>
          </w:tcPr>
          <w:p>
            <w:pPr>
              <w:pStyle w:val="29"/>
              <w:spacing w:before="5"/>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合计</w:t>
            </w:r>
          </w:p>
        </w:tc>
        <w:tc>
          <w:tcPr>
            <w:tcW w:w="3383" w:type="dxa"/>
            <w:tcBorders>
              <w:top w:val="single" w:color="000000" w:sz="6" w:space="0"/>
              <w:left w:val="single" w:color="000000" w:sz="6" w:space="0"/>
            </w:tcBorders>
            <w:vAlign w:val="center"/>
          </w:tcPr>
          <w:p>
            <w:pPr>
              <w:pStyle w:val="29"/>
              <w:spacing w:before="5"/>
              <w:ind w:left="0" w:leftChars="0" w:right="0" w:rightChars="0" w:firstLine="0" w:firstLine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100 分</w:t>
            </w:r>
          </w:p>
        </w:tc>
      </w:tr>
    </w:tbl>
    <w:p>
      <w:pPr>
        <w:jc w:val="center"/>
        <w:outlineLvl w:val="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评分细则</w:t>
      </w:r>
    </w:p>
    <w:p>
      <w:pPr>
        <w:jc w:val="center"/>
        <w:outlineLvl w:val="9"/>
        <w:rPr>
          <w:rFonts w:hint="eastAsia" w:ascii="宋体" w:hAnsi="宋体" w:eastAsia="宋体" w:cs="宋体"/>
          <w:b/>
          <w:bCs/>
          <w:color w:val="auto"/>
          <w:sz w:val="24"/>
          <w:szCs w:val="24"/>
          <w:highlight w:val="none"/>
          <w:lang w:val="zh-CN" w:eastAsia="zh-CN"/>
        </w:rPr>
      </w:pPr>
      <w:r>
        <w:rPr>
          <w:rFonts w:hint="eastAsia" w:ascii="宋体" w:hAnsi="宋体" w:eastAsia="宋体" w:cs="宋体"/>
          <w:b/>
          <w:bCs/>
          <w:color w:val="auto"/>
          <w:sz w:val="24"/>
          <w:szCs w:val="24"/>
          <w:highlight w:val="none"/>
          <w:lang w:val="en-US" w:eastAsia="zh-CN"/>
        </w:rPr>
        <w:t>投标价格部分30分</w:t>
      </w:r>
    </w:p>
    <w:tbl>
      <w:tblPr>
        <w:tblStyle w:val="24"/>
        <w:tblW w:w="997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753"/>
        <w:gridCol w:w="70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5"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kern w:val="0"/>
                <w:sz w:val="21"/>
                <w:szCs w:val="21"/>
                <w:highlight w:val="none"/>
                <w:lang w:val="en-US" w:eastAsia="zh-CN" w:bidi="ar-SA"/>
              </w:rPr>
              <w:t>评审内容</w:t>
            </w:r>
          </w:p>
        </w:tc>
        <w:tc>
          <w:tcPr>
            <w:tcW w:w="75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分值</w:t>
            </w: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bCs/>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r>
              <w:rPr>
                <w:rFonts w:hint="eastAsia" w:ascii="宋体" w:hAnsi="宋体" w:eastAsia="宋体" w:cs="宋体"/>
                <w:b w:val="0"/>
                <w:bCs w:val="0"/>
                <w:color w:val="auto"/>
                <w:kern w:val="2"/>
                <w:sz w:val="21"/>
                <w:szCs w:val="21"/>
                <w:vertAlign w:val="baseline"/>
                <w:lang w:val="en-US" w:eastAsia="zh-CN" w:bidi="ar-SA"/>
              </w:rPr>
              <w:t>投标价格</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r>
              <w:rPr>
                <w:rFonts w:hint="eastAsia" w:ascii="宋体" w:hAnsi="宋体" w:eastAsia="宋体" w:cs="宋体"/>
                <w:b w:val="0"/>
                <w:bCs w:val="0"/>
                <w:color w:val="auto"/>
                <w:kern w:val="2"/>
                <w:sz w:val="21"/>
                <w:szCs w:val="21"/>
                <w:vertAlign w:val="baseline"/>
                <w:lang w:val="en-US" w:eastAsia="zh-CN" w:bidi="ar-SA"/>
              </w:rPr>
              <w:t>（残疾人福利性单位，属于小型、微型企业的，不重复享受政策。）</w:t>
            </w:r>
          </w:p>
        </w:tc>
        <w:tc>
          <w:tcPr>
            <w:tcW w:w="753"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30分</w:t>
            </w: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投标人的价格分统一按照下列公式计算：</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投标报价得分=（评标基准价／修正后投标报价）×30%×100</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备注：</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1.投标价格评分采用低价优先法计算；</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both"/>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2.评标基准价：满足招标文件要求且经修正，依据政府采购政策进行价格扣除后的最低报价为评标基准价；</w:t>
            </w:r>
          </w:p>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highlight w:val="none"/>
                <w:lang w:val="en-US" w:eastAsia="zh-CN" w:bidi="ar-SA"/>
              </w:rPr>
              <w:t>3.修正后投标报价：评标委员会以开标一览表中投标报价为基础，对其进行修正，依据政府采购政策进行价格扣除后，作为投标报价计算的依据。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trPr>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p>
        </w:tc>
        <w:tc>
          <w:tcPr>
            <w:tcW w:w="75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b/>
                <w:bCs/>
                <w:color w:val="auto"/>
                <w:kern w:val="2"/>
                <w:sz w:val="21"/>
                <w:szCs w:val="21"/>
                <w:highlight w:val="none"/>
                <w:lang w:val="en-US" w:eastAsia="zh-CN" w:bidi="ar"/>
              </w:rPr>
            </w:pPr>
            <w:r>
              <w:rPr>
                <w:rFonts w:hint="eastAsia" w:ascii="宋体" w:hAnsi="宋体" w:eastAsia="宋体" w:cs="宋体"/>
                <w:b/>
                <w:bCs/>
                <w:color w:val="auto"/>
                <w:kern w:val="2"/>
                <w:sz w:val="21"/>
                <w:szCs w:val="21"/>
                <w:highlight w:val="none"/>
                <w:lang w:val="en-US" w:eastAsia="zh-CN" w:bidi="ar-SA"/>
              </w:rPr>
              <w:t>属于中小企业评标优惠内容及价格扣除幅度</w:t>
            </w:r>
            <w:r>
              <w:rPr>
                <w:rFonts w:hint="eastAsia" w:ascii="宋体" w:hAnsi="宋体" w:eastAsia="宋体" w:cs="宋体"/>
                <w:b/>
                <w:bCs/>
                <w:color w:val="auto"/>
                <w:kern w:val="2"/>
                <w:sz w:val="21"/>
                <w:szCs w:val="21"/>
                <w:highlight w:val="none"/>
                <w:lang w:val="en-US" w:eastAsia="zh-CN" w:bidi="ar"/>
              </w:rPr>
              <w:t>，本项目的价格扣除为6%。具体标准详见“二、评标中的落实政府采购政策具体办法”。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0" w:hRule="atLeast"/>
        </w:trPr>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b w:val="0"/>
                <w:bCs w:val="0"/>
                <w:color w:val="auto"/>
                <w:kern w:val="2"/>
                <w:sz w:val="21"/>
                <w:szCs w:val="21"/>
                <w:vertAlign w:val="baseline"/>
                <w:lang w:val="en-US" w:eastAsia="zh-CN" w:bidi="ar-SA"/>
              </w:rPr>
            </w:pPr>
          </w:p>
        </w:tc>
        <w:tc>
          <w:tcPr>
            <w:tcW w:w="753"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705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left"/>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b/>
                <w:bCs/>
                <w:color w:val="auto"/>
                <w:kern w:val="2"/>
                <w:sz w:val="21"/>
                <w:szCs w:val="21"/>
                <w:highlight w:val="none"/>
                <w:lang w:val="en-US" w:eastAsia="zh-CN" w:bidi="ar-SA"/>
              </w:rPr>
              <w:t>属于享受政府采购支持政策的残疾人福利性单位评标优惠内容及价格扣除幅度</w:t>
            </w:r>
            <w:r>
              <w:rPr>
                <w:rFonts w:hint="eastAsia" w:ascii="宋体" w:hAnsi="宋体" w:eastAsia="宋体" w:cs="宋体"/>
                <w:b/>
                <w:bCs/>
                <w:color w:val="auto"/>
                <w:kern w:val="2"/>
                <w:sz w:val="21"/>
                <w:szCs w:val="21"/>
                <w:highlight w:val="none"/>
                <w:lang w:val="en-US" w:eastAsia="zh-CN" w:bidi="ar"/>
              </w:rPr>
              <w:t>按小型、微型企业评标中价格扣除</w:t>
            </w:r>
            <w:r>
              <w:rPr>
                <w:rFonts w:hint="eastAsia" w:ascii="宋体" w:hAnsi="宋体" w:eastAsia="宋体" w:cs="宋体"/>
                <w:b/>
                <w:bCs/>
                <w:color w:val="auto"/>
                <w:kern w:val="2"/>
                <w:sz w:val="21"/>
                <w:szCs w:val="21"/>
                <w:highlight w:val="none"/>
                <w:lang w:val="en-US" w:eastAsia="zh-CN" w:bidi="ar-SA"/>
              </w:rPr>
              <w:t>，</w:t>
            </w:r>
            <w:r>
              <w:rPr>
                <w:rFonts w:hint="eastAsia" w:ascii="宋体" w:hAnsi="宋体" w:eastAsia="宋体" w:cs="宋体"/>
                <w:b/>
                <w:bCs/>
                <w:color w:val="auto"/>
                <w:kern w:val="2"/>
                <w:sz w:val="21"/>
                <w:szCs w:val="21"/>
                <w:highlight w:val="none"/>
                <w:lang w:val="en-US" w:eastAsia="zh-CN" w:bidi="ar"/>
              </w:rPr>
              <w:t>本项目的价格扣除为6%。具体标准详见“二、评标中的落实政府采购政策具体办法”。</w:t>
            </w:r>
          </w:p>
        </w:tc>
      </w:tr>
    </w:tbl>
    <w:p>
      <w:pPr>
        <w:autoSpaceDE/>
        <w:autoSpaceDN/>
        <w:spacing w:before="0" w:after="0" w:line="240" w:lineRule="auto"/>
        <w:ind w:left="0" w:right="0"/>
        <w:jc w:val="both"/>
        <w:rPr>
          <w:rFonts w:hint="eastAsia" w:ascii="宋体" w:hAnsi="宋体" w:eastAsia="宋体" w:cs="宋体"/>
          <w:color w:val="auto"/>
          <w:kern w:val="2"/>
          <w:sz w:val="18"/>
          <w:szCs w:val="21"/>
          <w:lang w:val="en-US" w:bidi="ar-SA"/>
        </w:rPr>
      </w:pPr>
    </w:p>
    <w:p>
      <w:pPr>
        <w:jc w:val="center"/>
        <w:outlineLvl w:val="9"/>
        <w:rPr>
          <w:rFonts w:hint="eastAsia" w:ascii="宋体" w:hAnsi="宋体" w:eastAsia="宋体" w:cs="宋体"/>
          <w:b/>
          <w:bCs/>
          <w:color w:val="auto"/>
          <w:sz w:val="24"/>
          <w:szCs w:val="24"/>
          <w:highlight w:val="none"/>
          <w:lang w:val="en-US"/>
        </w:rPr>
      </w:pPr>
      <w:r>
        <w:rPr>
          <w:rFonts w:hint="eastAsia" w:ascii="宋体" w:hAnsi="宋体" w:eastAsia="宋体" w:cs="宋体"/>
          <w:b/>
          <w:bCs/>
          <w:color w:val="auto"/>
          <w:sz w:val="24"/>
          <w:szCs w:val="24"/>
          <w:highlight w:val="none"/>
          <w:lang w:val="en-US" w:eastAsia="zh-CN"/>
        </w:rPr>
        <w:t>商务部分20分</w:t>
      </w:r>
    </w:p>
    <w:tbl>
      <w:tblPr>
        <w:tblStyle w:val="24"/>
        <w:tblW w:w="98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648"/>
        <w:gridCol w:w="7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kern w:val="0"/>
                <w:sz w:val="21"/>
                <w:szCs w:val="21"/>
                <w:highlight w:val="none"/>
                <w:lang w:val="en-US" w:eastAsia="zh-CN" w:bidi="ar-SA"/>
              </w:rPr>
              <w:t>评审内容</w:t>
            </w:r>
          </w:p>
        </w:tc>
        <w:tc>
          <w:tcPr>
            <w:tcW w:w="648"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分值</w:t>
            </w:r>
          </w:p>
        </w:tc>
        <w:tc>
          <w:tcPr>
            <w:tcW w:w="7080"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b w:val="0"/>
                <w:bCs w:val="0"/>
                <w:color w:val="auto"/>
                <w:kern w:val="0"/>
                <w:sz w:val="21"/>
                <w:szCs w:val="21"/>
                <w:vertAlign w:val="baseline"/>
                <w:lang w:val="en-US" w:eastAsia="zh-CN" w:bidi="ar-SA"/>
              </w:rPr>
            </w:pPr>
            <w:r>
              <w:rPr>
                <w:rFonts w:hint="eastAsia" w:ascii="宋体" w:hAnsi="宋体" w:eastAsia="宋体" w:cs="宋体"/>
                <w:color w:val="auto"/>
                <w:kern w:val="0"/>
                <w:sz w:val="21"/>
                <w:szCs w:val="21"/>
                <w:lang w:val="en-US" w:eastAsia="zh-CN" w:bidi="ar"/>
              </w:rPr>
              <w:t>类似业绩</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color w:val="auto"/>
                <w:kern w:val="0"/>
                <w:sz w:val="21"/>
                <w:szCs w:val="21"/>
                <w:lang w:val="en-US" w:eastAsia="zh-CN" w:bidi="ar"/>
              </w:rPr>
              <w:t>5分</w:t>
            </w:r>
          </w:p>
        </w:tc>
        <w:tc>
          <w:tcPr>
            <w:tcW w:w="7080"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lang w:val="en-US" w:eastAsia="zh-CN" w:bidi="ar"/>
              </w:rPr>
              <w:t>供应商应提供近三年（2019 年至 2022 年）同类产品（同类产品指：至少包含核心产品）的相关业绩证明资料（合同首页、金额页、合同双方盖章页）。（审核依据为证明资料复印件并加盖投标人单位公章）每提供一份有效的业绩得 1 分，满分为 5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restart"/>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cs="宋体"/>
                <w:color w:val="auto"/>
                <w:kern w:val="2"/>
                <w:sz w:val="21"/>
                <w:szCs w:val="21"/>
                <w:vertAlign w:val="baseline"/>
                <w:lang w:val="en-US" w:eastAsia="zh-CN" w:bidi="ar-SA"/>
              </w:rPr>
              <w:t>2</w:t>
            </w:r>
          </w:p>
        </w:tc>
        <w:tc>
          <w:tcPr>
            <w:tcW w:w="1469" w:type="dxa"/>
            <w:vMerge w:val="restart"/>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对投标人培训方案、售后服务能力的评价及备品备件</w:t>
            </w:r>
          </w:p>
        </w:tc>
        <w:tc>
          <w:tcPr>
            <w:tcW w:w="648" w:type="dxa"/>
            <w:vMerge w:val="restart"/>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w:t>
            </w:r>
            <w:r>
              <w:rPr>
                <w:rFonts w:hint="eastAsia" w:cs="宋体"/>
                <w:color w:val="auto"/>
                <w:kern w:val="0"/>
                <w:sz w:val="21"/>
                <w:szCs w:val="21"/>
                <w:lang w:val="en-US" w:eastAsia="zh-CN" w:bidi="ar"/>
              </w:rPr>
              <w:t>4</w:t>
            </w:r>
            <w:r>
              <w:rPr>
                <w:rFonts w:hint="eastAsia" w:ascii="宋体" w:hAnsi="宋体" w:eastAsia="宋体" w:cs="宋体"/>
                <w:color w:val="auto"/>
                <w:kern w:val="0"/>
                <w:sz w:val="21"/>
                <w:szCs w:val="21"/>
                <w:lang w:val="en-US" w:eastAsia="zh-CN" w:bidi="ar"/>
              </w:rPr>
              <w:t>分</w:t>
            </w:r>
          </w:p>
        </w:tc>
        <w:tc>
          <w:tcPr>
            <w:tcW w:w="7080"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1、培训方案、售后服务能力（5分）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在满足招标文件要求的质量保证期（保修期）前提下，对投标人提供的售后服务方案和措施、售后服务机构、培训方案进行评价，其中：</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1）培训方案具体且有针对性，能够保证操作人员熟练使用，售后服务方案和措施完整、维护响应时间方案具体且设立的售后服务机构能够完全满足招标文件要求的得5分；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2）培训方案、售后服务方案措施和维护响应时间方案基本具体或设立的售后服务机构满足招标文件要求的得3分；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en-US" w:eastAsia="zh-CN" w:bidi="zh-CN"/>
              </w:rPr>
            </w:pPr>
            <w:r>
              <w:rPr>
                <w:rFonts w:hint="eastAsia" w:ascii="宋体" w:hAnsi="宋体" w:eastAsia="宋体" w:cs="宋体"/>
                <w:color w:val="auto"/>
                <w:kern w:val="0"/>
                <w:sz w:val="21"/>
                <w:szCs w:val="21"/>
                <w:lang w:val="en-US" w:eastAsia="zh-CN" w:bidi="ar"/>
              </w:rPr>
              <w:t>3）培训方案、售后服务方案措施和维护响应时间方案不够具体或设立的售后服务机构基本满足招标文件要求的得1分；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4）未提供培训方案、售后服务方案措施和维护响应时间方案或没有售后服务机构的得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80"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2、年度维保费用（2分）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质保期结束后，响应的年度维保费用低于合同金额 5%（含）的得 </w:t>
            </w: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质保期结束后，响应的年度维保费用低于合同金额 7%（含）的得 </w:t>
            </w: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质保期结束后，响应的年度维保费用高于合同金额7%（不含）的得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80"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3、质量保证期（2分）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投标人提供的整机（该包全部品目）（含第三方设备或配件）质量保证期（保修期）在招标文件要求的基础上每多一年加 </w:t>
            </w:r>
            <w:r>
              <w:rPr>
                <w:rFonts w:hint="eastAsia" w:cs="宋体"/>
                <w:color w:val="auto"/>
                <w:kern w:val="0"/>
                <w:sz w:val="21"/>
                <w:szCs w:val="21"/>
                <w:lang w:val="en-US" w:eastAsia="zh-CN" w:bidi="ar"/>
              </w:rPr>
              <w:t>1</w:t>
            </w:r>
            <w:r>
              <w:rPr>
                <w:rFonts w:hint="eastAsia" w:ascii="宋体" w:hAnsi="宋体" w:eastAsia="宋体" w:cs="宋体"/>
                <w:color w:val="auto"/>
                <w:kern w:val="0"/>
                <w:sz w:val="21"/>
                <w:szCs w:val="21"/>
                <w:lang w:val="en-US" w:eastAsia="zh-CN" w:bidi="ar"/>
              </w:rPr>
              <w:t xml:space="preserve"> 分，最多得 </w:t>
            </w:r>
            <w:r>
              <w:rPr>
                <w:rFonts w:hint="eastAsia" w:cs="宋体"/>
                <w:color w:val="auto"/>
                <w:kern w:val="0"/>
                <w:sz w:val="21"/>
                <w:szCs w:val="21"/>
                <w:lang w:val="en-US" w:eastAsia="zh-CN" w:bidi="ar"/>
              </w:rPr>
              <w:t>2</w:t>
            </w:r>
            <w:r>
              <w:rPr>
                <w:rFonts w:hint="eastAsia" w:ascii="宋体" w:hAnsi="宋体" w:eastAsia="宋体" w:cs="宋体"/>
                <w:color w:val="auto"/>
                <w:kern w:val="0"/>
                <w:sz w:val="21"/>
                <w:szCs w:val="21"/>
                <w:lang w:val="en-US" w:eastAsia="zh-CN" w:bidi="ar"/>
              </w:rPr>
              <w:t xml:space="preserve">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Merge w:val="continue"/>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p>
        </w:tc>
        <w:tc>
          <w:tcPr>
            <w:tcW w:w="1469"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648" w:type="dxa"/>
            <w:vMerge w:val="continue"/>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p>
        </w:tc>
        <w:tc>
          <w:tcPr>
            <w:tcW w:w="7080"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4、备品、备件（5分）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针对各供应商的投标产品所能提供的易损易坏部件、以及所提供的备品备件的品种、数量或其他优惠条件等进行综合比较评审；</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1）提供的投标产品的易损易坏部件以及备品备件的品种、数量较多，优于产品需求，其他优惠条件优厚的得</w:t>
            </w:r>
            <w:r>
              <w:rPr>
                <w:rFonts w:hint="eastAsia" w:cs="宋体"/>
                <w:color w:val="auto"/>
                <w:kern w:val="0"/>
                <w:sz w:val="21"/>
                <w:szCs w:val="21"/>
                <w:lang w:val="en-US" w:eastAsia="zh-CN" w:bidi="ar"/>
              </w:rPr>
              <w:t>5</w:t>
            </w:r>
            <w:r>
              <w:rPr>
                <w:rFonts w:hint="eastAsia" w:ascii="宋体" w:hAnsi="宋体" w:eastAsia="宋体" w:cs="宋体"/>
                <w:color w:val="auto"/>
                <w:kern w:val="0"/>
                <w:sz w:val="21"/>
                <w:szCs w:val="21"/>
                <w:lang w:val="en-US" w:eastAsia="zh-CN" w:bidi="ar"/>
              </w:rPr>
              <w:t>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2）提供的投标产品的易损易坏部件以及备品备件的品种、数量一般，基本满足产品需求，有其他优惠条件的得</w:t>
            </w:r>
            <w:r>
              <w:rPr>
                <w:rFonts w:hint="eastAsia" w:cs="宋体"/>
                <w:color w:val="auto"/>
                <w:kern w:val="0"/>
                <w:sz w:val="21"/>
                <w:szCs w:val="21"/>
                <w:lang w:val="en-US" w:eastAsia="zh-CN" w:bidi="ar"/>
              </w:rPr>
              <w:t>3</w:t>
            </w:r>
            <w:r>
              <w:rPr>
                <w:rFonts w:hint="eastAsia" w:ascii="宋体" w:hAnsi="宋体" w:eastAsia="宋体" w:cs="宋体"/>
                <w:color w:val="auto"/>
                <w:kern w:val="0"/>
                <w:sz w:val="21"/>
                <w:szCs w:val="21"/>
                <w:lang w:val="en-US" w:eastAsia="zh-CN" w:bidi="ar"/>
              </w:rPr>
              <w:t>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en-US" w:eastAsia="zh-CN" w:bidi="zh-CN"/>
              </w:rPr>
            </w:pPr>
            <w:r>
              <w:rPr>
                <w:rFonts w:hint="eastAsia" w:ascii="宋体" w:hAnsi="宋体" w:eastAsia="宋体" w:cs="宋体"/>
                <w:color w:val="auto"/>
                <w:kern w:val="0"/>
                <w:sz w:val="21"/>
                <w:szCs w:val="21"/>
                <w:lang w:val="en-US" w:eastAsia="zh-CN" w:bidi="ar"/>
              </w:rPr>
              <w:t>3）有提供投标产品的易损易坏部件以及备品备件的品种、数量的得1分；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0"/>
                <w:lang w:val="en-US" w:eastAsia="zh-CN" w:bidi="zh-CN"/>
              </w:rPr>
            </w:pPr>
            <w:r>
              <w:rPr>
                <w:rFonts w:hint="eastAsia" w:ascii="宋体" w:hAnsi="宋体" w:eastAsia="宋体" w:cs="宋体"/>
                <w:color w:val="auto"/>
                <w:kern w:val="0"/>
                <w:sz w:val="21"/>
                <w:szCs w:val="21"/>
                <w:lang w:val="en-US" w:eastAsia="zh-CN" w:bidi="ar"/>
              </w:rPr>
              <w:t>4）没有提供投标产品的易损易坏部件以及备品备件的品种、数量的得0分。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cs="宋体"/>
                <w:color w:val="auto"/>
                <w:kern w:val="2"/>
                <w:sz w:val="21"/>
                <w:szCs w:val="21"/>
                <w:vertAlign w:val="baseline"/>
                <w:lang w:val="en-US" w:eastAsia="zh-CN" w:bidi="ar-SA"/>
              </w:rPr>
              <w:t>3</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“节能产品政府采购清单”和“环境标志产品政府采购清单”</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1分</w:t>
            </w:r>
          </w:p>
        </w:tc>
        <w:tc>
          <w:tcPr>
            <w:tcW w:w="7080"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政府采购的强制产品除外：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投标产品属于“节能产品政府采购清单”产品的，且认证证书在有效截止日期内，得 0.5 分；不是的为 0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投标产品属于“环境标志产品政府采购清单”产品的，且认证证书在有效截止日期内，得 0.5 分；不是的为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160" w:type="dxa"/>
            <w:gridSpan w:val="2"/>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合计</w:t>
            </w:r>
          </w:p>
        </w:tc>
        <w:tc>
          <w:tcPr>
            <w:tcW w:w="648"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20分</w:t>
            </w:r>
          </w:p>
        </w:tc>
        <w:tc>
          <w:tcPr>
            <w:tcW w:w="7080"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p>
        </w:tc>
      </w:tr>
    </w:tbl>
    <w:p>
      <w:pPr>
        <w:autoSpaceDE/>
        <w:autoSpaceDN/>
        <w:spacing w:before="0" w:after="0" w:line="240" w:lineRule="auto"/>
        <w:ind w:left="0" w:right="0"/>
        <w:jc w:val="both"/>
        <w:rPr>
          <w:rFonts w:hint="eastAsia" w:ascii="宋体" w:hAnsi="宋体" w:eastAsia="宋体" w:cs="宋体"/>
          <w:color w:val="auto"/>
          <w:kern w:val="2"/>
          <w:sz w:val="18"/>
          <w:szCs w:val="21"/>
          <w:lang w:val="en-US" w:bidi="ar-SA"/>
        </w:rPr>
      </w:pPr>
    </w:p>
    <w:p>
      <w:pPr>
        <w:jc w:val="center"/>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技术部分50分</w:t>
      </w:r>
    </w:p>
    <w:tbl>
      <w:tblPr>
        <w:tblStyle w:val="24"/>
        <w:tblW w:w="989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1"/>
        <w:gridCol w:w="1469"/>
        <w:gridCol w:w="663"/>
        <w:gridCol w:w="70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trPr>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kern w:val="2"/>
                <w:sz w:val="21"/>
                <w:szCs w:val="21"/>
                <w:vertAlign w:val="baseline"/>
                <w:lang w:val="en-US" w:eastAsia="zh-CN" w:bidi="ar-SA"/>
              </w:rPr>
              <w:t>序号</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b/>
                <w:bCs/>
                <w:color w:val="auto"/>
                <w:kern w:val="0"/>
                <w:sz w:val="21"/>
                <w:szCs w:val="21"/>
                <w:highlight w:val="none"/>
                <w:lang w:val="en-US" w:eastAsia="zh-CN" w:bidi="ar-SA"/>
              </w:rPr>
              <w:t>评审内容</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b/>
                <w:bCs/>
                <w:color w:val="auto"/>
                <w:spacing w:val="0"/>
                <w:w w:val="100"/>
                <w:kern w:val="2"/>
                <w:position w:val="0"/>
                <w:sz w:val="21"/>
                <w:szCs w:val="21"/>
                <w:lang w:val="en-US" w:eastAsia="zh-CN" w:bidi="ar-SA"/>
              </w:rPr>
              <w:t>分值</w:t>
            </w:r>
          </w:p>
        </w:tc>
        <w:tc>
          <w:tcPr>
            <w:tcW w:w="7067"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leftChars="0" w:right="0"/>
              <w:jc w:val="center"/>
              <w:textAlignment w:val="auto"/>
              <w:rPr>
                <w:rFonts w:hint="eastAsia" w:ascii="宋体" w:hAnsi="宋体" w:eastAsia="宋体" w:cs="宋体"/>
                <w:color w:val="auto"/>
                <w:kern w:val="0"/>
                <w:sz w:val="21"/>
                <w:szCs w:val="21"/>
                <w:lang w:val="en-US" w:eastAsia="zh-CN" w:bidi="ar"/>
              </w:rPr>
            </w:pPr>
            <w:r>
              <w:rPr>
                <w:rFonts w:hint="eastAsia" w:ascii="宋体" w:hAnsi="宋体" w:eastAsia="宋体" w:cs="宋体"/>
                <w:b/>
                <w:bCs/>
                <w:color w:val="auto"/>
                <w:spacing w:val="0"/>
                <w:w w:val="100"/>
                <w:kern w:val="2"/>
                <w:position w:val="0"/>
                <w:sz w:val="21"/>
                <w:szCs w:val="21"/>
                <w:lang w:val="en-US" w:eastAsia="zh-CN" w:bidi="ar-SA"/>
              </w:rPr>
              <w:t>评审细则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w:t>
            </w:r>
          </w:p>
        </w:tc>
        <w:tc>
          <w:tcPr>
            <w:tcW w:w="1469" w:type="dxa"/>
            <w:vAlign w:val="center"/>
          </w:tcPr>
          <w:p>
            <w:pPr>
              <w:keepNext w:val="0"/>
              <w:keepLines w:val="0"/>
              <w:widowControl/>
              <w:suppressLineNumbers w:val="0"/>
              <w:autoSpaceDE w:val="0"/>
              <w:autoSpaceDN w:val="0"/>
              <w:spacing w:before="0" w:after="0" w:line="240" w:lineRule="auto"/>
              <w:ind w:left="0" w:right="0"/>
              <w:jc w:val="center"/>
              <w:rPr>
                <w:rFonts w:hint="eastAsia" w:ascii="宋体" w:hAnsi="宋体" w:eastAsia="宋体" w:cs="宋体"/>
                <w:color w:val="auto"/>
                <w:kern w:val="0"/>
                <w:sz w:val="21"/>
                <w:szCs w:val="21"/>
                <w:vertAlign w:val="baseline"/>
                <w:lang w:val="en-US" w:eastAsia="zh-CN" w:bidi="ar-SA"/>
              </w:rPr>
            </w:pPr>
            <w:r>
              <w:rPr>
                <w:rFonts w:hint="eastAsia" w:ascii="宋体" w:hAnsi="宋体" w:eastAsia="宋体" w:cs="宋体"/>
                <w:color w:val="auto"/>
                <w:kern w:val="0"/>
                <w:sz w:val="21"/>
                <w:szCs w:val="21"/>
                <w:vertAlign w:val="baseline"/>
                <w:lang w:val="en-US" w:eastAsia="zh-CN" w:bidi="ar-SA"/>
              </w:rPr>
              <w:t>产品技术参数响应</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30分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lang w:val="en-US" w:eastAsia="zh-CN" w:bidi="ar"/>
              </w:rPr>
              <w:t>全部满足招标文件第三章采购需求中的产品技术参数要求的得 30 分；带“★”或“*”项指标存在负偏离的一项扣 2 分，扣完为止；未带 “★”、“*”项指标存在负偏离的一项扣 1 分，扣完为止。（带★或*指标需提供厂家证明材料复印件并加盖厂家公章，不提供视为不满足。）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2</w:t>
            </w:r>
          </w:p>
        </w:tc>
        <w:tc>
          <w:tcPr>
            <w:tcW w:w="1469" w:type="dxa"/>
            <w:vAlign w:val="center"/>
          </w:tcPr>
          <w:p>
            <w:pPr>
              <w:keepNext w:val="0"/>
              <w:keepLines w:val="0"/>
              <w:widowControl/>
              <w:suppressLineNumbers w:val="0"/>
              <w:autoSpaceDE w:val="0"/>
              <w:autoSpaceDN w:val="0"/>
              <w:spacing w:before="0" w:after="0" w:line="240" w:lineRule="auto"/>
              <w:ind w:left="0" w:leftChars="0" w:right="0" w:rightChars="0" w:firstLine="0" w:firstLineChars="0"/>
              <w:jc w:val="center"/>
              <w:rPr>
                <w:rFonts w:hint="eastAsia" w:ascii="宋体" w:hAnsi="宋体" w:eastAsia="宋体" w:cs="宋体"/>
                <w:color w:val="auto"/>
                <w:kern w:val="0"/>
                <w:sz w:val="21"/>
                <w:szCs w:val="21"/>
                <w:vertAlign w:val="baseline"/>
                <w:lang w:val="en-US" w:eastAsia="zh-CN" w:bidi="zh-CN"/>
              </w:rPr>
            </w:pPr>
            <w:r>
              <w:rPr>
                <w:rFonts w:hint="eastAsia" w:ascii="宋体" w:hAnsi="宋体" w:eastAsia="宋体" w:cs="宋体"/>
                <w:color w:val="auto"/>
                <w:kern w:val="0"/>
                <w:sz w:val="21"/>
                <w:szCs w:val="21"/>
                <w:vertAlign w:val="baseline"/>
                <w:lang w:val="en-US" w:eastAsia="zh-CN" w:bidi="ar-SA"/>
              </w:rPr>
              <w:t>对投标产品整体性能的评价</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根据招标文件要求结合项目需求，对投标产品</w:t>
            </w:r>
            <w:r>
              <w:rPr>
                <w:rFonts w:hint="eastAsia" w:ascii="宋体" w:hAnsi="宋体" w:eastAsia="宋体" w:cs="宋体"/>
                <w:color w:val="auto"/>
                <w:kern w:val="0"/>
                <w:sz w:val="21"/>
                <w:szCs w:val="20"/>
                <w:lang w:val="zh-CN" w:bidi="zh-CN"/>
              </w:rPr>
              <w:t>选型过程中，提供的投标产品</w:t>
            </w:r>
            <w:r>
              <w:rPr>
                <w:rFonts w:hint="eastAsia" w:ascii="宋体" w:hAnsi="宋体" w:eastAsia="宋体" w:cs="宋体"/>
                <w:color w:val="auto"/>
                <w:kern w:val="0"/>
                <w:sz w:val="21"/>
                <w:szCs w:val="20"/>
                <w:lang w:val="en-US" w:eastAsia="zh-CN" w:bidi="zh-CN"/>
              </w:rPr>
              <w:t>的</w:t>
            </w:r>
            <w:r>
              <w:rPr>
                <w:rFonts w:hint="eastAsia" w:ascii="宋体" w:hAnsi="宋体" w:eastAsia="宋体" w:cs="宋体"/>
                <w:color w:val="auto"/>
                <w:kern w:val="0"/>
                <w:sz w:val="21"/>
                <w:szCs w:val="20"/>
                <w:lang w:val="zh-CN" w:bidi="zh-CN"/>
              </w:rPr>
              <w:t>功能、质量、产品配置、性能优良，并满足用户对产品功能、质量、使用、操作等方面的需求</w:t>
            </w:r>
            <w:r>
              <w:rPr>
                <w:rFonts w:hint="eastAsia" w:ascii="宋体" w:hAnsi="宋体" w:eastAsia="宋体" w:cs="宋体"/>
                <w:color w:val="auto"/>
                <w:kern w:val="0"/>
                <w:sz w:val="21"/>
                <w:szCs w:val="21"/>
                <w:lang w:val="en-US" w:eastAsia="zh-CN" w:bidi="ar"/>
              </w:rPr>
              <w:t>进行评价，其中：</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1）投标产品整体技术性能、质量、使用及操作方法满足或优于项目需求，得 5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2）投标产品整体技术性能、质量、使用及操作方法基本满足项目需求，得 3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3）投标产品整体技术性能、质量、使用及操作方法与项目需求相差较多得 1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zh-CN" w:bidi="zh-CN"/>
              </w:rPr>
            </w:pPr>
            <w:r>
              <w:rPr>
                <w:rFonts w:hint="eastAsia" w:ascii="宋体" w:hAnsi="宋体" w:eastAsia="宋体" w:cs="宋体"/>
                <w:color w:val="auto"/>
                <w:kern w:val="0"/>
                <w:sz w:val="21"/>
                <w:szCs w:val="21"/>
                <w:lang w:val="en-US" w:eastAsia="zh-CN" w:bidi="ar"/>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3</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安装调试方案</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对投标人响应的系统安装、调试、试运行、产品/系统质量承诺的完整性、合理性进行评价，其中：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1）能根据本项目实际情况提出方案，且安装调试方案科学、合理、安装程序与进度保障措施完善的得 5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 xml:space="preserve">2）安装调试方案基本可行、具备安装程序与进度保障措施的得 3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lang w:val="en-US" w:eastAsia="zh-CN" w:bidi="ar"/>
              </w:rPr>
            </w:pPr>
            <w:r>
              <w:rPr>
                <w:rFonts w:hint="eastAsia" w:ascii="宋体" w:hAnsi="宋体" w:eastAsia="宋体" w:cs="宋体"/>
                <w:color w:val="auto"/>
                <w:kern w:val="0"/>
                <w:sz w:val="21"/>
                <w:szCs w:val="21"/>
                <w:lang w:val="en-US" w:eastAsia="zh-CN" w:bidi="ar"/>
              </w:rPr>
              <w:t>3）安装调试方案不完善、安装程序与进度保障措施考虑不周全的得 1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0"/>
                <w:szCs w:val="20"/>
                <w:lang w:val="zh-CN" w:bidi="zh-CN"/>
              </w:rPr>
            </w:pPr>
            <w:r>
              <w:rPr>
                <w:rFonts w:hint="eastAsia" w:ascii="宋体" w:hAnsi="宋体" w:eastAsia="宋体" w:cs="宋体"/>
                <w:color w:val="auto"/>
                <w:kern w:val="0"/>
                <w:sz w:val="21"/>
                <w:szCs w:val="21"/>
                <w:lang w:val="en-US" w:eastAsia="zh-CN" w:bidi="ar"/>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91"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4</w:t>
            </w:r>
          </w:p>
        </w:tc>
        <w:tc>
          <w:tcPr>
            <w:tcW w:w="1469"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实施方案</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10分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根据供应商针对本项目提供的实施方案、验收方案、培训方案（包括但不限于项目人员组成及实施、时间进度安排、验收方案、人员技术培训等）综合打分：根据投标人提供的项目安装实施及验收方案（包括：实施环境、项目实施计划、验收方案、项目团队职责等）进行评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1）方案内容详细完善，可操作性强，得 10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 xml:space="preserve">2）方案内容基本完整，可操作性能满足项目基本要求，得 7 分； </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3）方案内容一般，得 4 分；</w:t>
            </w:r>
          </w:p>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zh-CN" w:bidi="zh-CN"/>
              </w:rPr>
            </w:pPr>
            <w:r>
              <w:rPr>
                <w:rFonts w:hint="eastAsia" w:ascii="宋体" w:hAnsi="宋体" w:eastAsia="宋体" w:cs="宋体"/>
                <w:color w:val="auto"/>
                <w:kern w:val="0"/>
                <w:sz w:val="21"/>
                <w:szCs w:val="21"/>
                <w:vertAlign w:val="baseline"/>
                <w:lang w:val="en-US" w:eastAsia="zh-CN" w:bidi="zh-CN"/>
              </w:rPr>
              <w:t>4）未提供得 0 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3" w:hRule="atLeast"/>
        </w:trPr>
        <w:tc>
          <w:tcPr>
            <w:tcW w:w="2160" w:type="dxa"/>
            <w:gridSpan w:val="2"/>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eastAsia"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合计</w:t>
            </w:r>
          </w:p>
        </w:tc>
        <w:tc>
          <w:tcPr>
            <w:tcW w:w="663" w:type="dxa"/>
            <w:vAlign w:val="center"/>
          </w:tcPr>
          <w:p>
            <w:pPr>
              <w:keepNext w:val="0"/>
              <w:keepLines w:val="0"/>
              <w:pageBreakBefore w:val="0"/>
              <w:widowControl w:val="0"/>
              <w:kinsoku/>
              <w:wordWrap/>
              <w:overflowPunct/>
              <w:topLinePunct w:val="0"/>
              <w:autoSpaceDE w:val="0"/>
              <w:autoSpaceDN w:val="0"/>
              <w:bidi w:val="0"/>
              <w:adjustRightInd w:val="0"/>
              <w:snapToGrid/>
              <w:spacing w:before="0" w:after="0" w:line="240" w:lineRule="auto"/>
              <w:ind w:left="0" w:right="0"/>
              <w:jc w:val="center"/>
              <w:textAlignment w:val="auto"/>
              <w:rPr>
                <w:rFonts w:hint="default" w:ascii="宋体" w:hAnsi="宋体" w:eastAsia="宋体" w:cs="宋体"/>
                <w:color w:val="auto"/>
                <w:kern w:val="2"/>
                <w:sz w:val="21"/>
                <w:szCs w:val="21"/>
                <w:vertAlign w:val="baseline"/>
                <w:lang w:val="en-US" w:eastAsia="zh-CN" w:bidi="ar-SA"/>
              </w:rPr>
            </w:pPr>
            <w:r>
              <w:rPr>
                <w:rFonts w:hint="eastAsia" w:ascii="宋体" w:hAnsi="宋体" w:eastAsia="宋体" w:cs="宋体"/>
                <w:color w:val="auto"/>
                <w:kern w:val="2"/>
                <w:sz w:val="21"/>
                <w:szCs w:val="21"/>
                <w:vertAlign w:val="baseline"/>
                <w:lang w:val="en-US" w:eastAsia="zh-CN" w:bidi="ar-SA"/>
              </w:rPr>
              <w:t>50</w:t>
            </w:r>
            <w:r>
              <w:rPr>
                <w:rFonts w:hint="eastAsia" w:cs="宋体"/>
                <w:color w:val="auto"/>
                <w:kern w:val="2"/>
                <w:sz w:val="21"/>
                <w:szCs w:val="21"/>
                <w:vertAlign w:val="baseline"/>
                <w:lang w:val="en-US" w:eastAsia="zh-CN" w:bidi="ar-SA"/>
              </w:rPr>
              <w:t>分</w:t>
            </w:r>
          </w:p>
        </w:tc>
        <w:tc>
          <w:tcPr>
            <w:tcW w:w="7067" w:type="dxa"/>
            <w:vAlign w:val="center"/>
          </w:tcPr>
          <w:p>
            <w:pPr>
              <w:keepNext w:val="0"/>
              <w:keepLines w:val="0"/>
              <w:widowControl/>
              <w:suppressLineNumbers w:val="0"/>
              <w:autoSpaceDE w:val="0"/>
              <w:autoSpaceDN w:val="0"/>
              <w:spacing w:before="0" w:after="0" w:line="240" w:lineRule="auto"/>
              <w:ind w:left="0" w:right="0"/>
              <w:jc w:val="left"/>
              <w:rPr>
                <w:rFonts w:hint="eastAsia" w:ascii="宋体" w:hAnsi="宋体" w:eastAsia="宋体" w:cs="宋体"/>
                <w:color w:val="auto"/>
                <w:kern w:val="0"/>
                <w:sz w:val="21"/>
                <w:szCs w:val="21"/>
                <w:vertAlign w:val="baseline"/>
                <w:lang w:val="en-US" w:eastAsia="zh-CN" w:bidi="zh-CN"/>
              </w:rPr>
            </w:pPr>
          </w:p>
        </w:tc>
      </w:tr>
    </w:tbl>
    <w:p>
      <w:pPr>
        <w:widowControl w:val="0"/>
        <w:autoSpaceDE w:val="0"/>
        <w:autoSpaceDN w:val="0"/>
        <w:adjustRightInd w:val="0"/>
        <w:spacing w:before="0" w:after="0" w:line="240" w:lineRule="auto"/>
        <w:ind w:left="0" w:right="0"/>
        <w:jc w:val="both"/>
        <w:rPr>
          <w:rFonts w:hint="eastAsia" w:ascii="宋体" w:hAnsi="宋体" w:eastAsia="宋体" w:cs="宋体"/>
          <w:color w:val="auto"/>
          <w:kern w:val="2"/>
          <w:sz w:val="18"/>
          <w:szCs w:val="21"/>
          <w:lang w:val="en-US" w:eastAsia="zh-CN" w:bidi="ar-SA"/>
        </w:rPr>
      </w:pPr>
    </w:p>
    <w:p>
      <w:pPr>
        <w:widowControl w:val="0"/>
        <w:autoSpaceDE w:val="0"/>
        <w:autoSpaceDN w:val="0"/>
        <w:adjustRightInd w:val="0"/>
        <w:spacing w:before="0" w:after="0" w:line="240" w:lineRule="auto"/>
        <w:ind w:left="0" w:right="0"/>
        <w:jc w:val="both"/>
        <w:rPr>
          <w:rFonts w:hint="eastAsia" w:ascii="宋体" w:hAnsi="宋体" w:eastAsia="宋体" w:cs="宋体"/>
          <w:color w:val="auto"/>
          <w:kern w:val="2"/>
          <w:sz w:val="18"/>
          <w:szCs w:val="21"/>
          <w:lang w:val="en-US" w:eastAsia="zh-CN" w:bidi="ar-SA"/>
        </w:rPr>
      </w:pPr>
    </w:p>
    <w:p>
      <w:pPr>
        <w:pStyle w:val="12"/>
        <w:rPr>
          <w:rFonts w:hint="eastAsia" w:ascii="宋体" w:hAnsi="宋体" w:eastAsia="宋体" w:cs="宋体"/>
          <w:color w:val="auto"/>
          <w:sz w:val="16"/>
          <w:szCs w:val="16"/>
          <w:highlight w:val="none"/>
        </w:rPr>
      </w:pPr>
    </w:p>
    <w:p>
      <w:pPr>
        <w:pStyle w:val="12"/>
        <w:rPr>
          <w:rFonts w:hint="eastAsia" w:ascii="宋体" w:hAnsi="宋体" w:eastAsia="宋体" w:cs="宋体"/>
          <w:color w:val="auto"/>
          <w:sz w:val="16"/>
          <w:szCs w:val="16"/>
          <w:highlight w:val="none"/>
        </w:rPr>
      </w:pP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96" w:name="_bookmark71"/>
      <w:bookmarkEnd w:id="96"/>
      <w:bookmarkStart w:id="97" w:name="_bookmark80"/>
      <w:bookmarkEnd w:id="97"/>
      <w:bookmarkStart w:id="98" w:name="_Toc15734"/>
      <w:r>
        <w:rPr>
          <w:rFonts w:hint="eastAsia" w:ascii="宋体" w:hAnsi="宋体" w:eastAsia="宋体" w:cs="宋体"/>
          <w:color w:val="auto"/>
          <w:spacing w:val="0"/>
          <w:w w:val="100"/>
          <w:position w:val="0"/>
          <w:sz w:val="32"/>
          <w:szCs w:val="32"/>
          <w:highlight w:val="none"/>
        </w:rPr>
        <w:t>第五章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拟签订的合同文本</w:t>
      </w:r>
      <w:bookmarkEnd w:id="98"/>
    </w:p>
    <w:p>
      <w:pPr>
        <w:numPr>
          <w:ilvl w:val="0"/>
          <w:numId w:val="0"/>
        </w:numPr>
        <w:ind w:left="0" w:leftChars="0" w:right="0" w:rightChars="0" w:firstLine="0" w:firstLineChars="0"/>
        <w:jc w:val="center"/>
        <w:outlineLvl w:val="9"/>
        <w:rPr>
          <w:rFonts w:hint="eastAsia" w:ascii="宋体" w:hAnsi="宋体" w:eastAsia="宋体" w:cs="宋体"/>
          <w:color w:val="auto"/>
          <w:sz w:val="20"/>
          <w:szCs w:val="20"/>
          <w:highlight w:val="none"/>
        </w:rPr>
      </w:pPr>
      <w:r>
        <w:rPr>
          <w:rFonts w:hint="eastAsia" w:ascii="宋体" w:hAnsi="宋体" w:eastAsia="宋体" w:cs="宋体"/>
          <w:color w:val="auto"/>
          <w:sz w:val="20"/>
          <w:szCs w:val="20"/>
          <w:highlight w:val="none"/>
        </w:rPr>
        <w:t>（以最终签订合同为准，本合同条款仅供参考）</w:t>
      </w:r>
    </w:p>
    <w:p>
      <w:pPr>
        <w:widowControl w:val="0"/>
        <w:autoSpaceDE w:val="0"/>
        <w:autoSpaceDN w:val="0"/>
        <w:adjustRightInd w:val="0"/>
        <w:spacing w:line="480" w:lineRule="auto"/>
        <w:jc w:val="center"/>
        <w:rPr>
          <w:rFonts w:hint="eastAsia" w:ascii="宋体" w:hAnsi="宋体" w:eastAsia="宋体" w:cs="宋体"/>
          <w:b/>
          <w:color w:val="auto"/>
          <w:sz w:val="40"/>
          <w:szCs w:val="21"/>
          <w:highlight w:val="none"/>
          <w:lang w:val="en-US" w:eastAsia="zh-CN" w:bidi="ar-SA"/>
        </w:rPr>
      </w:pPr>
      <w:r>
        <w:rPr>
          <w:rFonts w:hint="eastAsia" w:ascii="宋体" w:hAnsi="宋体" w:eastAsia="宋体" w:cs="宋体"/>
          <w:b/>
          <w:color w:val="auto"/>
          <w:sz w:val="40"/>
          <w:szCs w:val="40"/>
          <w:highlight w:val="none"/>
          <w:lang w:val="en-US" w:eastAsia="zh-CN" w:bidi="ar-SA"/>
        </w:rPr>
        <w:t>新疆维吾尔自治区计量测试研究院</w:t>
      </w:r>
    </w:p>
    <w:p>
      <w:pPr>
        <w:widowControl w:val="0"/>
        <w:autoSpaceDE w:val="0"/>
        <w:autoSpaceDN w:val="0"/>
        <w:adjustRightInd w:val="0"/>
        <w:spacing w:line="360" w:lineRule="auto"/>
        <w:jc w:val="center"/>
        <w:rPr>
          <w:rFonts w:hint="eastAsia" w:ascii="宋体" w:hAnsi="宋体" w:eastAsia="宋体" w:cs="宋体"/>
          <w:color w:val="auto"/>
          <w:sz w:val="40"/>
          <w:szCs w:val="21"/>
          <w:highlight w:val="none"/>
          <w:lang w:val="en-US" w:eastAsia="zh-CN" w:bidi="ar-SA"/>
        </w:rPr>
      </w:pPr>
    </w:p>
    <w:p>
      <w:pPr>
        <w:widowControl w:val="0"/>
        <w:autoSpaceDE w:val="0"/>
        <w:autoSpaceDN w:val="0"/>
        <w:adjustRightInd w:val="0"/>
        <w:spacing w:line="360" w:lineRule="auto"/>
        <w:rPr>
          <w:rFonts w:hint="eastAsia" w:ascii="宋体" w:hAnsi="宋体" w:eastAsia="宋体" w:cs="宋体"/>
          <w:color w:val="auto"/>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z w:val="96"/>
          <w:szCs w:val="96"/>
          <w:highlight w:val="none"/>
          <w:lang w:val="en-US" w:eastAsia="zh-CN" w:bidi="ar-SA"/>
        </w:rPr>
      </w:pPr>
      <w:r>
        <w:rPr>
          <w:rFonts w:hint="eastAsia" w:ascii="宋体" w:hAnsi="宋体" w:eastAsia="宋体" w:cs="宋体"/>
          <w:color w:val="auto"/>
          <w:sz w:val="96"/>
          <w:szCs w:val="96"/>
          <w:highlight w:val="none"/>
          <w:lang w:val="en-US" w:eastAsia="zh-CN" w:bidi="ar-SA"/>
        </w:rPr>
        <w:t>合  同  文  本</w:t>
      </w:r>
    </w:p>
    <w:p>
      <w:pPr>
        <w:widowControl w:val="0"/>
        <w:autoSpaceDE w:val="0"/>
        <w:autoSpaceDN w:val="0"/>
        <w:adjustRightInd w:val="0"/>
        <w:spacing w:line="360" w:lineRule="auto"/>
        <w:rPr>
          <w:rFonts w:hint="eastAsia" w:ascii="宋体" w:hAnsi="宋体" w:eastAsia="宋体" w:cs="宋体"/>
          <w:color w:val="auto"/>
          <w:sz w:val="24"/>
          <w:szCs w:val="21"/>
          <w:highlight w:val="none"/>
          <w:lang w:val="en-US" w:eastAsia="zh-CN" w:bidi="ar-SA"/>
        </w:rPr>
      </w:pPr>
      <w:r>
        <w:rPr>
          <w:rFonts w:hint="eastAsia" w:ascii="宋体" w:hAnsi="宋体" w:eastAsia="宋体" w:cs="宋体"/>
          <w:color w:val="auto"/>
          <w:sz w:val="24"/>
          <w:szCs w:val="21"/>
          <w:highlight w:val="none"/>
          <w:lang w:val="en-US" w:eastAsia="zh-CN" w:bidi="ar-SA"/>
        </w:rPr>
        <w:t xml:space="preserve">                                               </w:t>
      </w:r>
    </w:p>
    <w:p>
      <w:pPr>
        <w:widowControl w:val="0"/>
        <w:autoSpaceDE w:val="0"/>
        <w:autoSpaceDN w:val="0"/>
        <w:adjustRightInd w:val="0"/>
        <w:spacing w:line="360" w:lineRule="auto"/>
        <w:ind w:firstLine="1440" w:firstLineChars="600"/>
        <w:rPr>
          <w:rFonts w:hint="eastAsia" w:ascii="宋体" w:hAnsi="宋体" w:eastAsia="宋体" w:cs="宋体"/>
          <w:color w:val="auto"/>
          <w:sz w:val="24"/>
          <w:szCs w:val="21"/>
          <w:highlight w:val="none"/>
          <w:lang w:val="en-US" w:eastAsia="zh-CN" w:bidi="ar-SA"/>
        </w:rPr>
      </w:pPr>
    </w:p>
    <w:p>
      <w:pPr>
        <w:autoSpaceDE/>
        <w:autoSpaceDN/>
        <w:spacing w:before="0" w:after="0" w:line="240" w:lineRule="auto"/>
        <w:ind w:left="2341" w:leftChars="1064" w:right="0"/>
        <w:jc w:val="both"/>
        <w:rPr>
          <w:rFonts w:hint="eastAsia" w:ascii="宋体" w:hAnsi="宋体" w:eastAsia="宋体" w:cs="宋体"/>
          <w:color w:val="auto"/>
          <w:kern w:val="2"/>
          <w:sz w:val="21"/>
          <w:szCs w:val="21"/>
          <w:highlight w:val="none"/>
          <w:lang w:val="en-US" w:bidi="ar-SA"/>
        </w:rPr>
      </w:pPr>
    </w:p>
    <w:p>
      <w:pPr>
        <w:widowControl w:val="0"/>
        <w:autoSpaceDE w:val="0"/>
        <w:autoSpaceDN w:val="0"/>
        <w:adjustRightInd w:val="0"/>
        <w:spacing w:line="360" w:lineRule="auto"/>
        <w:ind w:firstLine="708" w:firstLineChars="295"/>
        <w:rPr>
          <w:rFonts w:hint="eastAsia" w:ascii="宋体" w:hAnsi="宋体" w:eastAsia="宋体" w:cs="宋体"/>
          <w:color w:val="auto"/>
          <w:sz w:val="24"/>
          <w:szCs w:val="24"/>
          <w:highlight w:val="none"/>
          <w:lang w:val="en-US" w:eastAsia="zh-CN" w:bidi="ar-SA"/>
        </w:rPr>
      </w:pPr>
    </w:p>
    <w:p>
      <w:pPr>
        <w:widowControl w:val="0"/>
        <w:autoSpaceDE w:val="0"/>
        <w:autoSpaceDN w:val="0"/>
        <w:adjustRightInd w:val="0"/>
        <w:spacing w:line="360" w:lineRule="auto"/>
        <w:ind w:firstLine="944" w:firstLineChars="295"/>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pStyle w:val="26"/>
        <w:rPr>
          <w:rFonts w:hint="eastAsia" w:ascii="宋体" w:hAnsi="宋体" w:eastAsia="宋体" w:cs="宋体"/>
          <w:color w:val="auto"/>
          <w:sz w:val="24"/>
          <w:szCs w:val="21"/>
          <w:highlight w:val="none"/>
          <w:u w:val="singl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p>
    <w:p>
      <w:pPr>
        <w:widowControl w:val="0"/>
        <w:autoSpaceDE w:val="0"/>
        <w:autoSpaceDN w:val="0"/>
        <w:adjustRightInd w:val="0"/>
        <w:spacing w:line="360" w:lineRule="auto"/>
        <w:jc w:val="center"/>
        <w:rPr>
          <w:rFonts w:hint="eastAsia" w:ascii="宋体" w:hAnsi="宋体" w:eastAsia="宋体" w:cs="宋体"/>
          <w:color w:val="auto"/>
          <w:spacing w:val="40"/>
          <w:sz w:val="24"/>
          <w:szCs w:val="21"/>
          <w:highlight w:val="none"/>
          <w:lang w:val="en-US" w:eastAsia="zh-CN" w:bidi="ar-SA"/>
        </w:rPr>
      </w:pPr>
      <w:r>
        <w:rPr>
          <w:rFonts w:hint="eastAsia" w:ascii="宋体" w:hAnsi="宋体" w:eastAsia="宋体" w:cs="宋体"/>
          <w:color w:val="auto"/>
          <w:spacing w:val="40"/>
          <w:sz w:val="24"/>
          <w:szCs w:val="21"/>
          <w:highlight w:val="none"/>
          <w:lang w:val="en-US" w:eastAsia="zh-CN" w:bidi="ar-SA"/>
        </w:rPr>
        <w:t>二〇二二年  月  日</w:t>
      </w:r>
    </w:p>
    <w:p>
      <w:pPr>
        <w:widowControl/>
        <w:autoSpaceDE/>
        <w:autoSpaceDN/>
        <w:spacing w:before="0" w:after="0" w:line="240" w:lineRule="auto"/>
        <w:ind w:left="0" w:right="0"/>
        <w:jc w:val="left"/>
        <w:rPr>
          <w:rFonts w:hint="eastAsia" w:ascii="宋体" w:hAnsi="宋体" w:eastAsia="宋体" w:cs="宋体"/>
          <w:color w:val="auto"/>
          <w:spacing w:val="40"/>
          <w:kern w:val="0"/>
          <w:sz w:val="24"/>
          <w:szCs w:val="21"/>
          <w:highlight w:val="none"/>
          <w:lang w:val="en-US" w:bidi="ar-SA"/>
        </w:rPr>
      </w:pPr>
      <w:r>
        <w:rPr>
          <w:rFonts w:hint="eastAsia" w:ascii="宋体" w:hAnsi="宋体" w:eastAsia="宋体" w:cs="宋体"/>
          <w:color w:val="auto"/>
          <w:spacing w:val="40"/>
          <w:kern w:val="2"/>
          <w:sz w:val="24"/>
          <w:szCs w:val="21"/>
          <w:highlight w:val="none"/>
          <w:lang w:val="en-US" w:bidi="ar-SA"/>
        </w:rPr>
        <w:br w:type="page"/>
      </w:r>
    </w:p>
    <w:p>
      <w:pPr>
        <w:autoSpaceDE/>
        <w:autoSpaceDN/>
        <w:spacing w:before="0" w:after="0" w:line="240" w:lineRule="auto"/>
        <w:ind w:left="0" w:right="0"/>
        <w:jc w:val="center"/>
        <w:rPr>
          <w:rFonts w:hint="eastAsia" w:ascii="宋体" w:hAnsi="宋体" w:eastAsia="宋体" w:cs="宋体"/>
          <w:color w:val="auto"/>
          <w:kern w:val="2"/>
          <w:sz w:val="24"/>
          <w:szCs w:val="24"/>
          <w:highlight w:val="none"/>
          <w:lang w:val="en-US" w:bidi="ar-SA"/>
        </w:rPr>
      </w:pPr>
      <w:bookmarkStart w:id="99" w:name="OLE_LINK5"/>
      <w:bookmarkStart w:id="100" w:name="OLE_LINK1"/>
      <w:bookmarkStart w:id="101" w:name="OLE_LINK3"/>
      <w:bookmarkStart w:id="102" w:name="OLE_LINK6"/>
      <w:r>
        <w:rPr>
          <w:rFonts w:hint="eastAsia" w:ascii="宋体" w:hAnsi="宋体" w:eastAsia="宋体" w:cs="宋体"/>
          <w:b/>
          <w:color w:val="auto"/>
          <w:kern w:val="2"/>
          <w:sz w:val="40"/>
          <w:szCs w:val="40"/>
          <w:highlight w:val="none"/>
          <w:lang w:val="en-US" w:bidi="ar-SA"/>
        </w:rPr>
        <w:t>新疆维吾尔自治区政府采购合同</w:t>
      </w:r>
    </w:p>
    <w:bookmarkEnd w:id="99"/>
    <w:bookmarkEnd w:id="100"/>
    <w:bookmarkEnd w:id="101"/>
    <w:bookmarkEnd w:id="102"/>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甲方：</w:t>
      </w:r>
      <w:r>
        <w:rPr>
          <w:rFonts w:hint="eastAsia" w:ascii="宋体" w:hAnsi="宋体" w:eastAsia="宋体" w:cs="宋体"/>
          <w:b/>
          <w:bCs/>
          <w:color w:val="auto"/>
          <w:kern w:val="2"/>
          <w:sz w:val="21"/>
          <w:szCs w:val="21"/>
          <w:highlight w:val="none"/>
          <w:u w:val="single"/>
          <w:lang w:val="en-US" w:eastAsia="zh-CN" w:bidi="ar-SA"/>
        </w:rPr>
        <w:t>新疆维吾尔自治区计量测试研究院</w:t>
      </w:r>
      <w:r>
        <w:rPr>
          <w:rFonts w:hint="eastAsia" w:ascii="宋体" w:hAnsi="宋体" w:eastAsia="宋体" w:cs="宋体"/>
          <w:color w:val="auto"/>
          <w:kern w:val="2"/>
          <w:sz w:val="21"/>
          <w:szCs w:val="21"/>
          <w:highlight w:val="none"/>
          <w:u w:val="single"/>
          <w:lang w:val="en-US" w:bidi="ar-SA"/>
        </w:rPr>
        <w:t xml:space="preserve"> </w:t>
      </w:r>
    </w:p>
    <w:p>
      <w:pPr>
        <w:autoSpaceDE/>
        <w:autoSpaceDN/>
        <w:spacing w:before="0" w:after="0" w:line="240" w:lineRule="auto"/>
        <w:ind w:left="0" w:right="0"/>
        <w:jc w:val="both"/>
        <w:rPr>
          <w:rFonts w:hint="eastAsia" w:ascii="宋体" w:hAnsi="宋体" w:eastAsia="宋体" w:cs="宋体"/>
          <w:b/>
          <w:bCs/>
          <w:color w:val="auto"/>
          <w:kern w:val="2"/>
          <w:sz w:val="21"/>
          <w:szCs w:val="21"/>
          <w:highlight w:val="none"/>
          <w:u w:val="single"/>
          <w:lang w:val="en-US" w:bidi="ar-SA"/>
        </w:rPr>
      </w:pPr>
      <w:r>
        <w:rPr>
          <w:rFonts w:hint="eastAsia" w:ascii="宋体" w:hAnsi="宋体" w:eastAsia="宋体" w:cs="宋体"/>
          <w:color w:val="auto"/>
          <w:kern w:val="2"/>
          <w:sz w:val="21"/>
          <w:szCs w:val="21"/>
          <w:highlight w:val="none"/>
          <w:lang w:val="en-US" w:bidi="ar-SA"/>
        </w:rPr>
        <w:t>乙方：</w:t>
      </w:r>
      <w:r>
        <w:rPr>
          <w:rFonts w:hint="eastAsia" w:ascii="宋体" w:hAnsi="宋体" w:eastAsia="宋体" w:cs="宋体"/>
          <w:b/>
          <w:bCs/>
          <w:color w:val="auto"/>
          <w:kern w:val="2"/>
          <w:sz w:val="21"/>
          <w:szCs w:val="21"/>
          <w:highlight w:val="none"/>
          <w:u w:val="single"/>
          <w:lang w:val="en-US" w:bidi="ar-SA"/>
        </w:rPr>
        <w:t xml:space="preserve">                                       </w:t>
      </w:r>
    </w:p>
    <w:p>
      <w:pPr>
        <w:autoSpaceDE/>
        <w:autoSpaceDN/>
        <w:spacing w:before="0" w:after="0" w:line="360" w:lineRule="auto"/>
        <w:ind w:left="0" w:right="-209" w:rightChars="-95" w:firstLine="365" w:firstLineChars="174"/>
        <w:jc w:val="left"/>
        <w:rPr>
          <w:rFonts w:hint="eastAsia" w:ascii="宋体" w:hAnsi="宋体" w:eastAsia="宋体" w:cs="宋体"/>
          <w:b/>
          <w:bCs/>
          <w:color w:val="auto"/>
          <w:kern w:val="2"/>
          <w:sz w:val="21"/>
          <w:szCs w:val="21"/>
          <w:highlight w:val="none"/>
          <w:u w:val="single"/>
          <w:lang w:val="en-US" w:bidi="ar-SA"/>
        </w:rPr>
      </w:pPr>
      <w:r>
        <w:rPr>
          <w:rFonts w:hint="eastAsia" w:ascii="宋体" w:hAnsi="宋体" w:eastAsia="宋体" w:cs="宋体"/>
          <w:color w:val="auto"/>
          <w:kern w:val="2"/>
          <w:sz w:val="21"/>
          <w:szCs w:val="21"/>
          <w:highlight w:val="none"/>
          <w:lang w:val="en-US" w:bidi="ar-SA"/>
        </w:rPr>
        <w:t>由</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组织的关于</w:t>
      </w:r>
      <w:r>
        <w:rPr>
          <w:rFonts w:hint="eastAsia" w:ascii="宋体" w:hAnsi="宋体" w:eastAsia="宋体" w:cs="宋体"/>
          <w:b/>
          <w:bCs/>
          <w:color w:val="auto"/>
          <w:kern w:val="2"/>
          <w:sz w:val="21"/>
          <w:szCs w:val="21"/>
          <w:highlight w:val="none"/>
          <w:u w:val="single"/>
          <w:lang w:val="en-US" w:eastAsia="zh-CN" w:bidi="ar-SA"/>
        </w:rPr>
        <w:t xml:space="preserve">                           </w:t>
      </w:r>
      <w:r>
        <w:rPr>
          <w:rFonts w:hint="eastAsia" w:ascii="宋体" w:hAnsi="宋体" w:eastAsia="宋体" w:cs="宋体"/>
          <w:color w:val="auto"/>
          <w:kern w:val="2"/>
          <w:sz w:val="21"/>
          <w:szCs w:val="21"/>
          <w:highlight w:val="none"/>
          <w:lang w:val="en-US" w:bidi="ar-SA"/>
        </w:rPr>
        <w:t>的招标采购中，经评定，乙方为中标方，中标金额为人民币：</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w:t>
      </w:r>
    </w:p>
    <w:p>
      <w:pPr>
        <w:autoSpaceDE/>
        <w:autoSpaceDN/>
        <w:spacing w:before="0" w:after="0" w:line="240" w:lineRule="auto"/>
        <w:ind w:left="0" w:right="0" w:firstLine="420" w:firstLineChars="20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甲、乙双方根据《中华人民共和国政府采购法》和《中华人民共和国民法典》的规定，按照公平、公正、平等自愿和诚实信用、协商一致的原则，甲、乙双方授权代表就所供设备的购销、安装、调试和售后服务等事宜达成如下条款。</w:t>
      </w:r>
    </w:p>
    <w:p>
      <w:pPr>
        <w:numPr>
          <w:ilvl w:val="0"/>
          <w:numId w:val="2"/>
        </w:numPr>
        <w:autoSpaceDE/>
        <w:autoSpaceDN/>
        <w:spacing w:before="0" w:after="0" w:line="240" w:lineRule="auto"/>
        <w:ind w:left="1350" w:right="0" w:hanging="72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货物名称、型号、数量及价格</w:t>
      </w:r>
    </w:p>
    <w:tbl>
      <w:tblPr>
        <w:tblStyle w:val="23"/>
        <w:tblW w:w="91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458"/>
        <w:gridCol w:w="1352"/>
        <w:gridCol w:w="1210"/>
        <w:gridCol w:w="723"/>
        <w:gridCol w:w="1351"/>
        <w:gridCol w:w="1454"/>
        <w:gridCol w:w="8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blHeader/>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序号</w:t>
            </w: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名称</w:t>
            </w:r>
          </w:p>
        </w:tc>
        <w:tc>
          <w:tcPr>
            <w:tcW w:w="1352"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品牌</w:t>
            </w: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型号</w:t>
            </w: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总数</w:t>
            </w:r>
          </w:p>
        </w:tc>
        <w:tc>
          <w:tcPr>
            <w:tcW w:w="1351"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单价（万元）</w:t>
            </w:r>
          </w:p>
        </w:tc>
        <w:tc>
          <w:tcPr>
            <w:tcW w:w="1454"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总价（万元）</w:t>
            </w:r>
          </w:p>
        </w:tc>
        <w:tc>
          <w:tcPr>
            <w:tcW w:w="85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2"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1"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1454"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850" w:type="dxa"/>
            <w:vMerge w:val="restart"/>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8"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2"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210" w:type="dxa"/>
            <w:vAlign w:val="center"/>
          </w:tcPr>
          <w:p>
            <w:pPr>
              <w:autoSpaceDE/>
              <w:autoSpaceDN/>
              <w:spacing w:before="0" w:after="0" w:line="400" w:lineRule="exact"/>
              <w:ind w:left="0" w:right="0"/>
              <w:jc w:val="center"/>
              <w:rPr>
                <w:rFonts w:hint="eastAsia" w:ascii="宋体" w:hAnsi="宋体" w:eastAsia="宋体" w:cs="宋体"/>
                <w:color w:val="auto"/>
                <w:kern w:val="2"/>
                <w:sz w:val="21"/>
                <w:szCs w:val="21"/>
                <w:highlight w:val="none"/>
                <w:lang w:val="en-US" w:bidi="ar-SA"/>
              </w:rPr>
            </w:pPr>
          </w:p>
        </w:tc>
        <w:tc>
          <w:tcPr>
            <w:tcW w:w="723"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351"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1454" w:type="dxa"/>
            <w:vAlign w:val="center"/>
          </w:tcPr>
          <w:p>
            <w:pPr>
              <w:widowControl/>
              <w:autoSpaceDE/>
              <w:autoSpaceDN/>
              <w:spacing w:before="0" w:after="0" w:line="400" w:lineRule="exact"/>
              <w:ind w:left="0" w:right="0"/>
              <w:jc w:val="both"/>
              <w:textAlignment w:val="top"/>
              <w:rPr>
                <w:rFonts w:hint="eastAsia" w:ascii="宋体" w:hAnsi="宋体" w:eastAsia="宋体" w:cs="宋体"/>
                <w:color w:val="auto"/>
                <w:kern w:val="2"/>
                <w:sz w:val="21"/>
                <w:szCs w:val="21"/>
                <w:highlight w:val="none"/>
                <w:lang w:val="en-US" w:bidi="ar-SA"/>
              </w:rPr>
            </w:pPr>
          </w:p>
        </w:tc>
        <w:tc>
          <w:tcPr>
            <w:tcW w:w="850" w:type="dxa"/>
            <w:vMerge w:val="continue"/>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1" w:hRule="atLeast"/>
          <w:jc w:val="center"/>
        </w:trPr>
        <w:tc>
          <w:tcPr>
            <w:tcW w:w="720"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4743" w:type="dxa"/>
            <w:gridSpan w:val="4"/>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合计：      元（          元整）</w:t>
            </w:r>
          </w:p>
        </w:tc>
        <w:tc>
          <w:tcPr>
            <w:tcW w:w="1351"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1454" w:type="dxa"/>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c>
          <w:tcPr>
            <w:tcW w:w="850" w:type="dxa"/>
            <w:vMerge w:val="continue"/>
            <w:vAlign w:val="center"/>
          </w:tcPr>
          <w:p>
            <w:pPr>
              <w:autoSpaceDE/>
              <w:autoSpaceDN/>
              <w:spacing w:before="0" w:after="0" w:line="400" w:lineRule="exact"/>
              <w:ind w:left="0" w:right="0"/>
              <w:jc w:val="both"/>
              <w:rPr>
                <w:rFonts w:hint="eastAsia" w:ascii="宋体" w:hAnsi="宋体" w:eastAsia="宋体" w:cs="宋体"/>
                <w:color w:val="auto"/>
                <w:kern w:val="2"/>
                <w:sz w:val="21"/>
                <w:szCs w:val="21"/>
                <w:highlight w:val="none"/>
                <w:lang w:val="en-US" w:bidi="ar-SA"/>
              </w:rPr>
            </w:pPr>
          </w:p>
        </w:tc>
      </w:tr>
    </w:tbl>
    <w:p>
      <w:pPr>
        <w:autoSpaceDE w:val="0"/>
        <w:autoSpaceDN w:val="0"/>
        <w:spacing w:before="0" w:after="0" w:line="240" w:lineRule="auto"/>
        <w:ind w:left="0" w:right="0" w:firstLine="315" w:firstLineChars="150"/>
        <w:jc w:val="left"/>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1、本合同中“中标货物”、“设备”均指上面列表中的货物及相关软件。</w:t>
      </w:r>
    </w:p>
    <w:p>
      <w:pPr>
        <w:widowControl w:val="0"/>
        <w:autoSpaceDE w:val="0"/>
        <w:autoSpaceDN w:val="0"/>
        <w:adjustRightInd/>
        <w:ind w:firstLine="315" w:firstLineChars="15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2、“技术服务”指由乙方所提供的有关运输、保险、安装、集成、调试、培训、技术支持、维护和维修以及其他使货物正常运转所必需的服务。</w:t>
      </w:r>
    </w:p>
    <w:p>
      <w:pPr>
        <w:numPr>
          <w:ilvl w:val="0"/>
          <w:numId w:val="0"/>
        </w:numPr>
        <w:autoSpaceDE/>
        <w:autoSpaceDN/>
        <w:spacing w:before="0" w:after="0" w:line="240" w:lineRule="auto"/>
        <w:ind w:right="0" w:rightChars="0" w:firstLine="422" w:firstLineChars="20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eastAsia="zh-CN" w:bidi="ar-SA"/>
        </w:rPr>
        <w:t>二、</w:t>
      </w:r>
      <w:r>
        <w:rPr>
          <w:rFonts w:hint="eastAsia" w:ascii="宋体" w:hAnsi="宋体" w:eastAsia="宋体" w:cs="宋体"/>
          <w:b/>
          <w:color w:val="auto"/>
          <w:kern w:val="2"/>
          <w:sz w:val="21"/>
          <w:szCs w:val="21"/>
          <w:highlight w:val="none"/>
          <w:lang w:val="en-US" w:bidi="ar-SA"/>
        </w:rPr>
        <w:t>报价币种、合同总价</w:t>
      </w:r>
    </w:p>
    <w:p>
      <w:pPr>
        <w:autoSpaceDE/>
        <w:autoSpaceDN/>
        <w:spacing w:before="0" w:after="0" w:line="240" w:lineRule="auto"/>
        <w:ind w:left="0" w:right="0" w:firstLine="420" w:firstLineChars="20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1、本合同总金额</w:t>
      </w:r>
      <w:r>
        <w:rPr>
          <w:rFonts w:hint="eastAsia" w:ascii="宋体" w:hAnsi="宋体" w:eastAsia="宋体" w:cs="宋体"/>
          <w:color w:val="auto"/>
          <w:kern w:val="2"/>
          <w:sz w:val="21"/>
          <w:szCs w:val="21"/>
          <w:highlight w:val="none"/>
          <w:u w:val="single"/>
          <w:lang w:val="en-US" w:bidi="ar-SA"/>
        </w:rPr>
        <w:t xml:space="preserve">        元整</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color w:val="auto"/>
          <w:kern w:val="2"/>
          <w:sz w:val="21"/>
          <w:szCs w:val="21"/>
          <w:highlight w:val="none"/>
          <w:u w:val="single"/>
          <w:lang w:val="en-US" w:bidi="ar-SA"/>
        </w:rPr>
        <w:t>￥</w:t>
      </w:r>
      <w:r>
        <w:rPr>
          <w:rFonts w:hint="eastAsia" w:ascii="宋体" w:hAnsi="宋体" w:eastAsia="宋体" w:cs="宋体"/>
          <w:b/>
          <w:color w:val="auto"/>
          <w:kern w:val="2"/>
          <w:sz w:val="21"/>
          <w:szCs w:val="21"/>
          <w:highlight w:val="none"/>
          <w:u w:val="single"/>
          <w:lang w:val="en-US" w:bidi="ar-SA"/>
        </w:rPr>
        <w:t xml:space="preserve">        </w:t>
      </w:r>
      <w:r>
        <w:rPr>
          <w:rFonts w:hint="eastAsia" w:ascii="宋体" w:hAnsi="宋体" w:eastAsia="宋体" w:cs="宋体"/>
          <w:b/>
          <w:color w:val="auto"/>
          <w:kern w:val="2"/>
          <w:sz w:val="21"/>
          <w:szCs w:val="21"/>
          <w:highlight w:val="none"/>
          <w:lang w:val="en-US" w:bidi="ar-SA"/>
        </w:rPr>
        <w:t>元</w:t>
      </w:r>
      <w:r>
        <w:rPr>
          <w:rFonts w:hint="eastAsia" w:ascii="宋体" w:hAnsi="宋体" w:eastAsia="宋体" w:cs="宋体"/>
          <w:color w:val="auto"/>
          <w:kern w:val="2"/>
          <w:sz w:val="21"/>
          <w:szCs w:val="21"/>
          <w:highlight w:val="none"/>
          <w:lang w:val="en-US" w:bidi="ar-SA"/>
        </w:rPr>
        <w:t>。合同总金额中包含设备及其运输、保管、税金、保险、组装、服务等所有的费用。</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2、本合同正式签订后，若无重大变更，价格不再做任何调整，甲方为此项目不再向乙方</w:t>
      </w:r>
      <w:r>
        <w:rPr>
          <w:rFonts w:hint="eastAsia" w:ascii="宋体" w:hAnsi="宋体" w:eastAsia="宋体" w:cs="宋体"/>
          <w:color w:val="auto"/>
          <w:kern w:val="2"/>
          <w:sz w:val="21"/>
          <w:szCs w:val="21"/>
          <w:highlight w:val="none"/>
          <w:lang w:val="en-US" w:eastAsia="zh-CN" w:bidi="ar-SA"/>
        </w:rPr>
        <w:t>支付</w:t>
      </w:r>
      <w:r>
        <w:rPr>
          <w:rFonts w:hint="eastAsia" w:ascii="宋体" w:hAnsi="宋体" w:eastAsia="宋体" w:cs="宋体"/>
          <w:color w:val="auto"/>
          <w:kern w:val="2"/>
          <w:sz w:val="21"/>
          <w:szCs w:val="21"/>
          <w:highlight w:val="none"/>
          <w:lang w:val="en-US" w:bidi="ar-SA"/>
        </w:rPr>
        <w:t>任何费用。</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三、付款方式</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1、合同签订后七日内支付给乙方合同总价30%的预付款，计人民币</w:t>
      </w:r>
      <w:r>
        <w:rPr>
          <w:rFonts w:hint="eastAsia" w:ascii="宋体" w:hAnsi="宋体" w:eastAsia="宋体" w:cs="宋体"/>
          <w:color w:val="auto"/>
          <w:kern w:val="2"/>
          <w:sz w:val="21"/>
          <w:szCs w:val="21"/>
          <w:highlight w:val="none"/>
          <w:u w:val="single"/>
          <w:lang w:val="en-US" w:bidi="ar-SA"/>
        </w:rPr>
        <w:t xml:space="preserve">        元</w:t>
      </w:r>
      <w:r>
        <w:rPr>
          <w:rFonts w:hint="eastAsia" w:ascii="宋体" w:hAnsi="宋体" w:eastAsia="宋体" w:cs="宋体"/>
          <w:b/>
          <w:bCs/>
          <w:color w:val="auto"/>
          <w:kern w:val="2"/>
          <w:sz w:val="21"/>
          <w:szCs w:val="21"/>
          <w:highlight w:val="none"/>
          <w:u w:val="single"/>
          <w:lang w:val="en-US" w:bidi="ar-SA"/>
        </w:rPr>
        <w:t>整</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color w:val="auto"/>
          <w:kern w:val="2"/>
          <w:sz w:val="21"/>
          <w:szCs w:val="21"/>
          <w:highlight w:val="none"/>
          <w:lang w:val="en-US" w:bidi="ar-SA"/>
        </w:rPr>
        <w:t>￥</w:t>
      </w:r>
      <w:r>
        <w:rPr>
          <w:rFonts w:hint="eastAsia" w:ascii="宋体" w:hAnsi="宋体" w:eastAsia="宋体" w:cs="宋体"/>
          <w:b/>
          <w:bCs/>
          <w:color w:val="auto"/>
          <w:kern w:val="0"/>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w:t>
      </w:r>
    </w:p>
    <w:p>
      <w:pPr>
        <w:autoSpaceDE/>
        <w:autoSpaceDN/>
        <w:spacing w:before="0" w:after="0" w:line="240" w:lineRule="auto"/>
        <w:ind w:left="0" w:right="0" w:firstLine="420" w:firstLineChars="200"/>
        <w:jc w:val="both"/>
        <w:outlineLvl w:val="9"/>
        <w:rPr>
          <w:rFonts w:hint="eastAsia" w:ascii="宋体" w:hAnsi="宋体" w:eastAsia="宋体" w:cs="宋体"/>
          <w:b/>
          <w:bCs/>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2、全部设备交货，且安装调试完毕后，由甲乙双方共同组织验收且经甲方验收合格后一个月内，先由乙方提供向甲方出具合同总金额100%的正式发票</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增值税专用发票</w:t>
      </w:r>
      <w:r>
        <w:rPr>
          <w:rFonts w:hint="eastAsia" w:ascii="宋体" w:hAnsi="宋体" w:eastAsia="宋体" w:cs="宋体"/>
          <w:color w:val="auto"/>
          <w:kern w:val="2"/>
          <w:sz w:val="21"/>
          <w:szCs w:val="21"/>
          <w:highlight w:val="none"/>
          <w:lang w:val="en-US" w:eastAsia="zh-CN" w:bidi="ar-SA"/>
        </w:rPr>
        <w:t>）</w:t>
      </w:r>
      <w:r>
        <w:rPr>
          <w:rFonts w:hint="eastAsia" w:ascii="宋体" w:hAnsi="宋体" w:eastAsia="宋体" w:cs="宋体"/>
          <w:color w:val="auto"/>
          <w:kern w:val="2"/>
          <w:sz w:val="21"/>
          <w:szCs w:val="21"/>
          <w:highlight w:val="none"/>
          <w:lang w:val="en-US" w:bidi="ar-SA"/>
        </w:rPr>
        <w:t>，随后甲方出具付款手续，支付给乙方合同总金额65%的货款，计人民币</w:t>
      </w:r>
      <w:r>
        <w:rPr>
          <w:rFonts w:hint="eastAsia" w:ascii="宋体" w:hAnsi="宋体" w:eastAsia="宋体" w:cs="宋体"/>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b/>
          <w:bCs/>
          <w:color w:val="auto"/>
          <w:kern w:val="0"/>
          <w:sz w:val="21"/>
          <w:szCs w:val="21"/>
          <w:highlight w:val="none"/>
          <w:u w:val="single"/>
          <w:lang w:val="en-US" w:bidi="ar-SA"/>
        </w:rPr>
        <w:t xml:space="preserve">         </w:t>
      </w:r>
      <w:r>
        <w:rPr>
          <w:rFonts w:hint="eastAsia" w:ascii="宋体" w:hAnsi="宋体" w:eastAsia="宋体" w:cs="宋体"/>
          <w:b/>
          <w:bCs/>
          <w:color w:val="auto"/>
          <w:kern w:val="2"/>
          <w:sz w:val="21"/>
          <w:szCs w:val="21"/>
          <w:highlight w:val="none"/>
          <w:lang w:val="en-US" w:bidi="ar-SA"/>
        </w:rPr>
        <w:t>元。</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3、按合同总金额的5%预留质量保证金，计人民币</w:t>
      </w:r>
      <w:r>
        <w:rPr>
          <w:rFonts w:hint="eastAsia" w:ascii="宋体" w:hAnsi="宋体" w:eastAsia="宋体" w:cs="宋体"/>
          <w:b/>
          <w:bCs/>
          <w:color w:val="auto"/>
          <w:kern w:val="2"/>
          <w:sz w:val="21"/>
          <w:szCs w:val="21"/>
          <w:highlight w:val="none"/>
          <w:u w:val="single"/>
          <w:lang w:val="en-US" w:bidi="ar-SA"/>
        </w:rPr>
        <w:t xml:space="preserve">        元整</w:t>
      </w:r>
      <w:r>
        <w:rPr>
          <w:rFonts w:hint="eastAsia" w:ascii="宋体" w:hAnsi="宋体" w:eastAsia="宋体" w:cs="宋体"/>
          <w:b/>
          <w:bCs/>
          <w:color w:val="auto"/>
          <w:kern w:val="2"/>
          <w:sz w:val="21"/>
          <w:szCs w:val="21"/>
          <w:highlight w:val="none"/>
          <w:lang w:val="en-US" w:bidi="ar-SA"/>
        </w:rPr>
        <w:t>，</w:t>
      </w:r>
      <w:r>
        <w:rPr>
          <w:rFonts w:hint="eastAsia" w:ascii="宋体" w:hAnsi="宋体" w:eastAsia="宋体" w:cs="宋体"/>
          <w:b/>
          <w:bCs/>
          <w:color w:val="auto"/>
          <w:kern w:val="2"/>
          <w:sz w:val="21"/>
          <w:szCs w:val="21"/>
          <w:highlight w:val="none"/>
          <w:u w:val="single"/>
          <w:lang w:val="en-US" w:bidi="ar-SA"/>
        </w:rPr>
        <w:t xml:space="preserve">￥        </w:t>
      </w:r>
      <w:r>
        <w:rPr>
          <w:rFonts w:hint="eastAsia" w:ascii="宋体" w:hAnsi="宋体" w:eastAsia="宋体" w:cs="宋体"/>
          <w:color w:val="auto"/>
          <w:kern w:val="2"/>
          <w:sz w:val="21"/>
          <w:szCs w:val="21"/>
          <w:highlight w:val="none"/>
          <w:lang w:val="en-US" w:bidi="ar-SA"/>
        </w:rPr>
        <w:t>元。从全部设备验收合格之日起，1年后经再次复核并且产品均无质量问题，由甲方将质量保证金一次性支付给乙方。</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四、交货日期</w:t>
      </w:r>
    </w:p>
    <w:p>
      <w:pPr>
        <w:autoSpaceDE/>
        <w:autoSpaceDN/>
        <w:spacing w:before="0" w:after="0" w:line="240" w:lineRule="auto"/>
        <w:ind w:left="0" w:right="0" w:firstLine="411" w:firstLineChars="196"/>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合同签订后30个日历日内到货，安装调试根据用户实际情况安排。</w:t>
      </w:r>
    </w:p>
    <w:p>
      <w:pPr>
        <w:autoSpaceDE/>
        <w:autoSpaceDN/>
        <w:spacing w:before="0" w:after="0" w:line="240" w:lineRule="auto"/>
        <w:ind w:left="0" w:right="0" w:firstLine="411"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其他</w:t>
      </w:r>
      <w:r>
        <w:rPr>
          <w:rFonts w:hint="eastAsia" w:ascii="宋体" w:hAnsi="宋体" w:eastAsia="宋体" w:cs="宋体"/>
          <w:color w:val="auto"/>
          <w:kern w:val="2"/>
          <w:sz w:val="21"/>
          <w:szCs w:val="21"/>
          <w:highlight w:val="none"/>
          <w:lang w:val="en-US" w:bidi="ar-SA"/>
        </w:rPr>
        <w:t>备注说明：乙方技术人员必须来甲方使用现场进行设备的安装调试，并指导、培训甲方设备使用人员，确保甲方人员会操作使用设备。</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五、交货地点、方式及运费承担</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交货地点：送货至甲方指定的地点（详细收货地址由甲方另行提供）</w:t>
      </w:r>
    </w:p>
    <w:p>
      <w:pPr>
        <w:autoSpaceDE/>
        <w:autoSpaceDN/>
        <w:spacing w:before="0" w:after="0" w:line="240" w:lineRule="auto"/>
        <w:ind w:left="0" w:right="0" w:firstLine="411" w:firstLineChars="196"/>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运费、装卸搬运费由乙方承担。</w:t>
      </w:r>
    </w:p>
    <w:p>
      <w:pPr>
        <w:autoSpaceDE/>
        <w:autoSpaceDN/>
        <w:spacing w:before="0" w:after="0" w:line="240" w:lineRule="auto"/>
        <w:ind w:left="0" w:right="0" w:firstLine="420" w:firstLineChars="200"/>
        <w:jc w:val="both"/>
        <w:rPr>
          <w:rFonts w:hint="eastAsia" w:ascii="宋体" w:hAnsi="宋体" w:eastAsia="宋体" w:cs="宋体"/>
          <w:b/>
          <w:color w:val="auto"/>
          <w:kern w:val="2"/>
          <w:sz w:val="21"/>
          <w:szCs w:val="21"/>
          <w:highlight w:val="none"/>
          <w:lang w:val="en-US" w:bidi="ar-SA"/>
        </w:rPr>
      </w:pPr>
      <w:r>
        <w:rPr>
          <w:rFonts w:hint="eastAsia" w:ascii="宋体" w:hAnsi="宋体" w:eastAsia="宋体" w:cs="宋体"/>
          <w:color w:val="auto"/>
          <w:kern w:val="2"/>
          <w:sz w:val="21"/>
          <w:szCs w:val="21"/>
          <w:highlight w:val="none"/>
          <w:lang w:val="en-US" w:eastAsia="zh-CN" w:bidi="ar-SA"/>
        </w:rPr>
        <w:t>新疆维吾尔自治区计量测试研究院</w:t>
      </w:r>
      <w:r>
        <w:rPr>
          <w:rFonts w:hint="eastAsia" w:ascii="宋体" w:hAnsi="宋体" w:eastAsia="宋体" w:cs="宋体"/>
          <w:color w:val="auto"/>
          <w:kern w:val="2"/>
          <w:sz w:val="21"/>
          <w:szCs w:val="21"/>
          <w:highlight w:val="none"/>
          <w:lang w:val="en-US" w:bidi="ar-SA"/>
        </w:rPr>
        <w:t>指定的设备安装现场。</w:t>
      </w:r>
    </w:p>
    <w:p>
      <w:pPr>
        <w:autoSpaceDE/>
        <w:autoSpaceDN/>
        <w:spacing w:before="0" w:after="0" w:line="24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六、产品质量保证</w:t>
      </w:r>
    </w:p>
    <w:p>
      <w:pPr>
        <w:autoSpaceDE/>
        <w:autoSpaceDN/>
        <w:spacing w:before="0" w:after="0" w:line="240" w:lineRule="auto"/>
        <w:ind w:left="0" w:right="0" w:firstLine="72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1、乙方保证提供的</w:t>
      </w:r>
      <w:r>
        <w:rPr>
          <w:rFonts w:hint="eastAsia" w:ascii="宋体" w:hAnsi="宋体" w:eastAsia="宋体" w:cs="宋体"/>
          <w:color w:val="auto"/>
          <w:kern w:val="2"/>
          <w:sz w:val="21"/>
          <w:szCs w:val="21"/>
          <w:highlight w:val="none"/>
          <w:u w:val="single"/>
          <w:lang w:val="en-US" w:bidi="ar-SA"/>
        </w:rPr>
        <w:t>合同</w:t>
      </w:r>
      <w:r>
        <w:rPr>
          <w:rFonts w:hint="eastAsia" w:ascii="宋体" w:hAnsi="宋体" w:eastAsia="宋体" w:cs="宋体"/>
          <w:color w:val="auto"/>
          <w:kern w:val="2"/>
          <w:sz w:val="21"/>
          <w:szCs w:val="21"/>
          <w:highlight w:val="none"/>
          <w:lang w:val="en-US" w:bidi="ar-SA"/>
        </w:rPr>
        <w:t>货物为全新的产品。</w:t>
      </w:r>
    </w:p>
    <w:p>
      <w:pPr>
        <w:autoSpaceDE w:val="0"/>
        <w:autoSpaceDN w:val="0"/>
        <w:spacing w:before="0" w:after="0" w:line="240" w:lineRule="auto"/>
        <w:ind w:left="0" w:right="0" w:firstLine="315" w:firstLineChars="15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2、乙方所提供的货物的型号、数量、规格及技术、质量标准、售后服务必须满足</w:t>
      </w:r>
      <w:r>
        <w:rPr>
          <w:rFonts w:hint="eastAsia" w:ascii="宋体" w:hAnsi="宋体" w:eastAsia="宋体" w:cs="宋体"/>
          <w:color w:val="auto"/>
          <w:kern w:val="2"/>
          <w:sz w:val="21"/>
          <w:szCs w:val="21"/>
          <w:highlight w:val="none"/>
          <w:u w:val="single"/>
          <w:lang w:val="en-US" w:bidi="ar-SA"/>
        </w:rPr>
        <w:t>附件</w:t>
      </w:r>
      <w:r>
        <w:rPr>
          <w:rFonts w:hint="eastAsia" w:ascii="宋体" w:hAnsi="宋体" w:eastAsia="宋体" w:cs="宋体"/>
          <w:color w:val="auto"/>
          <w:kern w:val="2"/>
          <w:sz w:val="21"/>
          <w:szCs w:val="21"/>
          <w:highlight w:val="none"/>
          <w:lang w:val="en-US" w:bidi="ar-SA"/>
        </w:rPr>
        <w:t>文件规定的技术要求。</w:t>
      </w:r>
    </w:p>
    <w:p>
      <w:pPr>
        <w:autoSpaceDE/>
        <w:autoSpaceDN/>
        <w:spacing w:before="0" w:after="0" w:line="240" w:lineRule="auto"/>
        <w:ind w:left="0" w:right="0" w:firstLine="720"/>
        <w:jc w:val="both"/>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3、乙方保证提供的货物按国家标准要求制造，质量完全满足甲方用户的要求。</w:t>
      </w:r>
    </w:p>
    <w:p>
      <w:pPr>
        <w:autoSpaceDE/>
        <w:autoSpaceDN/>
        <w:spacing w:before="0" w:after="0" w:line="240" w:lineRule="auto"/>
        <w:ind w:left="0" w:right="0" w:firstLine="422" w:firstLineChars="200"/>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七、质量保证期</w:t>
      </w:r>
    </w:p>
    <w:p>
      <w:pPr>
        <w:autoSpaceDE w:val="0"/>
        <w:autoSpaceDN w:val="0"/>
        <w:spacing w:before="0" w:after="0" w:line="240" w:lineRule="auto"/>
        <w:ind w:left="0" w:right="0" w:firstLine="315" w:firstLineChars="150"/>
        <w:jc w:val="left"/>
        <w:outlineLvl w:val="9"/>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  </w:t>
      </w:r>
      <w:r>
        <w:rPr>
          <w:rFonts w:hint="eastAsia" w:ascii="宋体" w:hAnsi="宋体" w:eastAsia="宋体" w:cs="宋体"/>
          <w:color w:val="auto"/>
          <w:kern w:val="2"/>
          <w:sz w:val="21"/>
          <w:szCs w:val="21"/>
          <w:highlight w:val="none"/>
          <w:u w:val="single"/>
          <w:lang w:val="en-US" w:bidi="ar-SA"/>
        </w:rPr>
        <w:t>中标</w:t>
      </w:r>
      <w:r>
        <w:rPr>
          <w:rFonts w:hint="eastAsia" w:ascii="宋体" w:hAnsi="宋体" w:eastAsia="宋体" w:cs="宋体"/>
          <w:color w:val="auto"/>
          <w:kern w:val="2"/>
          <w:sz w:val="21"/>
          <w:szCs w:val="21"/>
          <w:highlight w:val="none"/>
          <w:lang w:val="en-US" w:bidi="ar-SA"/>
        </w:rPr>
        <w:t>货物质保期为</w:t>
      </w:r>
      <w:r>
        <w:rPr>
          <w:rFonts w:hint="eastAsia" w:ascii="宋体" w:hAnsi="宋体" w:eastAsia="宋体" w:cs="宋体"/>
          <w:color w:val="auto"/>
          <w:kern w:val="2"/>
          <w:sz w:val="21"/>
          <w:szCs w:val="21"/>
          <w:highlight w:val="none"/>
          <w:u w:val="single"/>
          <w:lang w:val="en-US" w:bidi="ar-SA"/>
        </w:rPr>
        <w:t>叁</w:t>
      </w:r>
      <w:r>
        <w:rPr>
          <w:rFonts w:hint="eastAsia" w:ascii="宋体" w:hAnsi="宋体" w:eastAsia="宋体" w:cs="宋体"/>
          <w:color w:val="auto"/>
          <w:kern w:val="2"/>
          <w:sz w:val="21"/>
          <w:szCs w:val="21"/>
          <w:highlight w:val="none"/>
          <w:lang w:val="en-US" w:bidi="ar-SA"/>
        </w:rPr>
        <w:t>年，自全部中标货物验收合格之日起算。在质量保证期内，因产品质量出现问题，乙方负责免费维修或更换，并承担与维修和更换相关的运费、安装、调试、保险等全部费用。因维修或更换造成产品无法正常使用的时间，应当相应顺延质保期限。</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八、技术资料</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乙方需向甲方提供下述资料：</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所供货物的型号、规格、数量及生产厂家的产品检验证书、出厂检验报告、保修证明，提供甲方认可的省级以上计量检定机构出具确认合格的校准/检定证书。</w:t>
      </w:r>
    </w:p>
    <w:p>
      <w:pPr>
        <w:widowControl w:val="0"/>
        <w:autoSpaceDE w:val="0"/>
        <w:autoSpaceDN w:val="0"/>
        <w:adjustRightInd/>
        <w:ind w:firstLine="422" w:firstLineChars="200"/>
        <w:outlineLvl w:val="9"/>
        <w:rPr>
          <w:rFonts w:hint="eastAsia" w:ascii="宋体" w:hAnsi="宋体" w:eastAsia="宋体" w:cs="宋体"/>
          <w:b/>
          <w:color w:val="auto"/>
          <w:sz w:val="21"/>
          <w:szCs w:val="21"/>
          <w:highlight w:val="none"/>
          <w:lang w:val="en-US" w:eastAsia="zh-CN" w:bidi="ar-SA"/>
        </w:rPr>
      </w:pPr>
      <w:r>
        <w:rPr>
          <w:rFonts w:hint="eastAsia" w:ascii="宋体" w:hAnsi="宋体" w:eastAsia="宋体" w:cs="宋体"/>
          <w:b/>
          <w:color w:val="auto"/>
          <w:sz w:val="21"/>
          <w:szCs w:val="21"/>
          <w:highlight w:val="none"/>
          <w:lang w:val="en-US" w:eastAsia="zh-CN" w:bidi="ar-SA"/>
        </w:rPr>
        <w:t>九、包装及验收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１、乙方所提供设备必须进行包装，免收包装费，包装物不回收。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２、设备运输过程中的保险费用由乙方承担，在运输过程中发生毁损、灭失均由乙方承担完全责任。</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３、验收方式、标准：</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3.1货物接收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设备运到甲方指定地点当日，由甲乙双方按本合同要求共同验货。验货按乙方提供的《货物签收单》要求进行。验货合格后，双方共同签署《货物签收单》。</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3.2货物验收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3.2.1开箱检验：</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甲乙双方根据装箱单和产品的技术指标及性能共同验收，如发现有不合格产品、错漏、损坏部件或与本合同约定的技术要求和规格不符时，双方应在现场联合作记录，签署备忘录。乙方负责在10天内按本合同要求标准予以更换，确保不影响工作进展，并承担一切费用。</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3.2.2安装验收：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工作须在签署《货物签收单》之日后30个自然日内完成，安装测试结果如不符或测试结果不能确认，乙方应在10个自然日内调整配置直至重新测试合格，如果仍然测试不通过，甲方有权停止验收、拒收设备并解除合同，由乙方承担违约责任。如因甲方或不可抗力原因导致未能进行安装验收，甲方须向乙方出具和签署相关证明。</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3.2.3调试验收：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全部产品由乙方安装并调试正常后，乙方负责派出相关技术人员现场指导甲方对设备功能进行测试，由甲乙双方按投标文件规定的型号、技术参数、数量、产地，并根据制造商签发的《产品合格证》、《出厂清单》、乙方向甲方提供包含验收方案、验收内容、验收标准（包括行业通行标准、厂房出厂标准、招标文件要求和乙方投标文件的承诺，并不低于国家有关部门最新颁布的标准及规范）、省级以上计量检定部门出具的检定/校准合格证书、验收人员等验收申请，进行现场验收，现场验收包括设备验收和数据验收，设备验收是完成了数据采集工作后，系统功能和性能达到试运行条件时，系统进入试运行阶段，在对试运行期间暴露的所有缺陷、问题和未实现的功能完全解决后，系统达到稳定运行，在稳定运行后对数据进行验收，当设备和数据都满足要求时申请现场验收。现场验收合格后甲乙双方根据测试结果共同签署《产品安装调试报告及验收报告》，现场验收完成后，系统正式投入运行，进入质保期。如对结果有异议，验收十个工作日内以书面形式通知对方。</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3.2.4最终验收：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系统在质保期间没有出现任何重大缺陷，在质保期满时申请最终验收。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3.2.5综合验收：</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如果任何被检验的货物或服务不符合质量要求，甲方均可以拒绝接受，乙方应及时更换被拒绝的货物或重新提供服务，且不得影响甲方正常工作，费用由乙方承担，如因更换或重作导致乙方逾期交付货物的，乙方还应承担逾期交付的违约责任。本规定并不免除乙方在本合同项下的货物质量保证义务或其他义务。</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十、甲、乙双方的权利及义务</w:t>
      </w:r>
    </w:p>
    <w:p>
      <w:pPr>
        <w:widowControl w:val="0"/>
        <w:autoSpaceDE w:val="0"/>
        <w:autoSpaceDN w:val="0"/>
        <w:adjustRightInd/>
        <w:ind w:firstLine="420" w:firstLineChars="200"/>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若甲方对订购的货物有任何更改，包括货物的型号、品种、规格、数量、颜色、交货期等事宜，必须在双方签订合同后七天内书面通知乙方，经乙方同意并变更后，交货期相应从变更之日起顺延，若超过七天乙方不予更改。由于变更引起的合同总额的增减，则由甲乙双方友好协商后，多退少补。</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2、若乙方在交货时，由于甲方的原因或要求，不能及时将货物送达指定地点和验收时，则甲方负责承担与仓储及再次运输相关的费用，并给予乙方书面确认书，视为乙方已按期交付货物。</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3、若甲方在验收后的质量保证期内，发现货物内有部分出现质量问题，应及时通知乙方，乙方应3天内到现场查看，若需要更换时，乙方应在接到通知后10天内给予更换。</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4、乙方须按合同要求提供质量合格的货物，如期在甲方指定的交货地点交付货物，并提供免费的安装调试。</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5、乙方对售予甲方的货物提供的质量保证期的质量保证范围，不包括意外事件、不可抗力原因及违规使用。</w:t>
      </w:r>
    </w:p>
    <w:p>
      <w:pPr>
        <w:autoSpaceDE/>
        <w:autoSpaceDN/>
        <w:spacing w:before="0" w:after="0" w:line="240" w:lineRule="auto"/>
        <w:ind w:left="0" w:right="0" w:firstLine="413" w:firstLineChars="196"/>
        <w:jc w:val="both"/>
        <w:outlineLvl w:val="9"/>
        <w:rPr>
          <w:rFonts w:hint="eastAsia" w:ascii="宋体" w:hAnsi="宋体" w:eastAsia="宋体" w:cs="宋体"/>
          <w:b/>
          <w:color w:val="auto"/>
          <w:kern w:val="2"/>
          <w:sz w:val="21"/>
          <w:szCs w:val="21"/>
          <w:highlight w:val="none"/>
          <w:lang w:val="en-US" w:bidi="ar-SA"/>
        </w:rPr>
      </w:pPr>
      <w:r>
        <w:rPr>
          <w:rFonts w:hint="eastAsia" w:ascii="宋体" w:hAnsi="宋体" w:eastAsia="宋体" w:cs="宋体"/>
          <w:b/>
          <w:color w:val="auto"/>
          <w:kern w:val="2"/>
          <w:sz w:val="21"/>
          <w:szCs w:val="21"/>
          <w:highlight w:val="none"/>
          <w:lang w:val="en-US" w:bidi="ar-SA"/>
        </w:rPr>
        <w:t>十一、合同变更、违约及其它</w:t>
      </w:r>
    </w:p>
    <w:p>
      <w:pPr>
        <w:widowControl w:val="0"/>
        <w:autoSpaceDE w:val="0"/>
        <w:autoSpaceDN w:val="0"/>
        <w:adjustRightInd/>
        <w:ind w:firstLine="411" w:firstLineChars="196"/>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甲方按合同规定的付款要求履约，合同价格不变，甲方由于非不可抗力原因不能在本合同规定的时间内支付合同款项时，应事先告知乙方，并征求乙方的同意，否则甲方应向乙方支付违约金。其支付办法是：每延误七天按迟付款总金额的千分之五支付；不满七天按七天计算，依次类推。</w:t>
      </w:r>
    </w:p>
    <w:p>
      <w:pPr>
        <w:widowControl w:val="0"/>
        <w:autoSpaceDE w:val="0"/>
        <w:autoSpaceDN w:val="0"/>
        <w:adjustRightInd/>
        <w:ind w:firstLine="411" w:firstLineChars="196"/>
        <w:outlineLvl w:val="9"/>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2、乙方必须在本合同规定的时间内按时交货，否则由乙方负责承担全部违约责任。乙方迟延交货需向甲方支付违约金：每延误七天按合同总金额的千分之五支付；不满七天按七天计算，依次类推。乙方超过交货期限 35个自然日内仍不能交付全部货物时，甲方有权因乙方违约解除合同。</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3、乙方应严格按照招标、投标文件中规定的产品规格、型号名称、数量和质量提供相应的产品及服务，兑现服务承诺，否则将视为乙方违约，并按合同总价款的</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%或单件设备款价的</w:t>
      </w:r>
      <w:r>
        <w:rPr>
          <w:rFonts w:hint="eastAsia" w:ascii="宋体" w:hAnsi="宋体" w:eastAsia="宋体" w:cs="宋体"/>
          <w:color w:val="auto"/>
          <w:sz w:val="21"/>
          <w:szCs w:val="21"/>
          <w:highlight w:val="none"/>
          <w:u w:val="single"/>
          <w:lang w:val="en-US" w:eastAsia="zh-CN" w:bidi="ar-SA"/>
        </w:rPr>
        <w:t>30</w:t>
      </w:r>
      <w:r>
        <w:rPr>
          <w:rFonts w:hint="eastAsia" w:ascii="宋体" w:hAnsi="宋体" w:eastAsia="宋体" w:cs="宋体"/>
          <w:color w:val="auto"/>
          <w:sz w:val="21"/>
          <w:szCs w:val="21"/>
          <w:highlight w:val="none"/>
          <w:lang w:val="en-US" w:eastAsia="zh-CN" w:bidi="ar-SA"/>
        </w:rPr>
        <w:t>%承担违约金。</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 xml:space="preserve">    4、合同文本不得涂改，如需修改应在合同附件中注明。经甲、乙双方协商达成一致修改意见，需经甲、乙双方代表共同签署此附件，并通报自治区政府采购中心认可后，方能生效。</w:t>
      </w:r>
    </w:p>
    <w:p>
      <w:pPr>
        <w:widowControl w:val="0"/>
        <w:autoSpaceDE w:val="0"/>
        <w:autoSpaceDN w:val="0"/>
        <w:adjustRightInd/>
        <w:ind w:firstLine="645"/>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5、招标文件、投标文件及开标会议上签名的答疑记录、售后服务承诺等均作为合同的附件，是合同文本不可分割的组成部分。合同文本未述及不详之处，以附件为准。</w:t>
      </w:r>
    </w:p>
    <w:p>
      <w:pPr>
        <w:widowControl w:val="0"/>
        <w:autoSpaceDE w:val="0"/>
        <w:autoSpaceDN w:val="0"/>
        <w:adjustRightInd/>
        <w:ind w:firstLine="420" w:firstLineChars="200"/>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6、合同经甲、乙双方签字盖章后即行生效。合同生效后 ，乙方中途废止合同（不可抗力原因除外），乙方中途解除合同（不可抗力原因除外）应按实际损失向甲方支付赔偿金，并向甲方支付合同总金额</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%的违约金；甲方中途废止合同（不可抗力原因除外），甲方中途解除合同（不可抗力原因除外），向乙方支付合同总金额的</w:t>
      </w:r>
      <w:r>
        <w:rPr>
          <w:rFonts w:hint="eastAsia" w:ascii="宋体" w:hAnsi="宋体" w:eastAsia="宋体" w:cs="宋体"/>
          <w:color w:val="auto"/>
          <w:sz w:val="21"/>
          <w:szCs w:val="21"/>
          <w:highlight w:val="none"/>
          <w:u w:val="single"/>
          <w:lang w:val="en-US" w:eastAsia="zh-CN" w:bidi="ar-SA"/>
        </w:rPr>
        <w:t>10</w:t>
      </w:r>
      <w:r>
        <w:rPr>
          <w:rFonts w:hint="eastAsia" w:ascii="宋体" w:hAnsi="宋体" w:eastAsia="宋体" w:cs="宋体"/>
          <w:color w:val="auto"/>
          <w:sz w:val="21"/>
          <w:szCs w:val="21"/>
          <w:highlight w:val="none"/>
          <w:lang w:val="en-US" w:eastAsia="zh-CN" w:bidi="ar-SA"/>
        </w:rPr>
        <w:t>%的违约金。</w:t>
      </w:r>
    </w:p>
    <w:p>
      <w:pPr>
        <w:autoSpaceDE/>
        <w:autoSpaceDN/>
        <w:spacing w:before="0" w:after="0" w:line="240" w:lineRule="auto"/>
        <w:ind w:left="0" w:right="0" w:firstLine="420" w:firstLineChars="200"/>
        <w:jc w:val="both"/>
        <w:rPr>
          <w:rFonts w:hint="eastAsia" w:ascii="宋体" w:hAnsi="宋体" w:eastAsia="宋体" w:cs="宋体"/>
          <w:color w:val="auto"/>
          <w:kern w:val="0"/>
          <w:sz w:val="21"/>
          <w:szCs w:val="21"/>
          <w:highlight w:val="none"/>
          <w:lang w:val="en-US" w:bidi="ar-SA"/>
        </w:rPr>
      </w:pPr>
      <w:r>
        <w:rPr>
          <w:rFonts w:hint="eastAsia" w:ascii="宋体" w:hAnsi="宋体" w:eastAsia="宋体" w:cs="宋体"/>
          <w:color w:val="auto"/>
          <w:kern w:val="0"/>
          <w:sz w:val="21"/>
          <w:szCs w:val="21"/>
          <w:highlight w:val="none"/>
          <w:lang w:val="en-US" w:bidi="ar-SA"/>
        </w:rPr>
        <w:t>7、本合同依照《中华人民共和国政府采购法》和《</w:t>
      </w:r>
      <w:r>
        <w:rPr>
          <w:rFonts w:hint="eastAsia" w:ascii="宋体" w:hAnsi="宋体" w:eastAsia="宋体" w:cs="宋体"/>
          <w:color w:val="auto"/>
          <w:kern w:val="2"/>
          <w:sz w:val="21"/>
          <w:szCs w:val="21"/>
          <w:highlight w:val="none"/>
          <w:lang w:val="en-US" w:bidi="ar-SA"/>
        </w:rPr>
        <w:t>《中华人民共和国民法典》</w:t>
      </w:r>
      <w:r>
        <w:rPr>
          <w:rFonts w:hint="eastAsia" w:ascii="宋体" w:hAnsi="宋体" w:eastAsia="宋体" w:cs="宋体"/>
          <w:color w:val="auto"/>
          <w:kern w:val="0"/>
          <w:sz w:val="21"/>
          <w:szCs w:val="21"/>
          <w:highlight w:val="none"/>
          <w:lang w:val="en-US" w:bidi="ar-SA"/>
        </w:rPr>
        <w:t>等相关法律法规制定。未尽事项皆受上述法律法规约束。甲、乙双方发生争议时，应先协商解决，经协商在30天内不能达成协议时，应提交甲方所在地人民法院进行诉讼。</w:t>
      </w:r>
    </w:p>
    <w:p>
      <w:pPr>
        <w:autoSpaceDE/>
        <w:autoSpaceDN/>
        <w:spacing w:before="0" w:after="0" w:line="240" w:lineRule="auto"/>
        <w:ind w:left="0" w:right="0" w:firstLine="420" w:firstLineChars="200"/>
        <w:jc w:val="both"/>
        <w:rPr>
          <w:rFonts w:hint="eastAsia" w:ascii="宋体" w:hAnsi="宋体" w:eastAsia="宋体" w:cs="宋体"/>
          <w:color w:val="auto"/>
          <w:kern w:val="0"/>
          <w:sz w:val="21"/>
          <w:szCs w:val="21"/>
          <w:highlight w:val="none"/>
          <w:lang w:val="en-US" w:bidi="ar-SA"/>
        </w:rPr>
      </w:pPr>
      <w:r>
        <w:rPr>
          <w:rFonts w:hint="eastAsia" w:ascii="宋体" w:hAnsi="宋体" w:eastAsia="宋体" w:cs="宋体"/>
          <w:color w:val="auto"/>
          <w:kern w:val="0"/>
          <w:sz w:val="21"/>
          <w:szCs w:val="21"/>
          <w:highlight w:val="none"/>
          <w:lang w:val="en-US" w:bidi="ar-SA"/>
        </w:rPr>
        <w:t>8、人民法院生效判决为最终决定，并对双方具有约束力。</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9、本合同一式六份，甲方执四份，乙方执二份。</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10、本合同自签字盖章完毕之日起生效，质量保证期满后终止。</w:t>
      </w: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r>
        <w:rPr>
          <w:rFonts w:hint="eastAsia" w:ascii="宋体" w:hAnsi="宋体" w:eastAsia="宋体" w:cs="宋体"/>
          <w:color w:val="auto"/>
          <w:sz w:val="21"/>
          <w:szCs w:val="21"/>
          <w:highlight w:val="none"/>
          <w:lang w:val="en-US" w:eastAsia="zh-CN" w:bidi="ar-SA"/>
        </w:rPr>
        <w:t>11、本合同附件（一）</w:t>
      </w:r>
      <w:bookmarkStart w:id="103" w:name="OLE_LINK7"/>
      <w:r>
        <w:rPr>
          <w:rFonts w:hint="eastAsia" w:ascii="宋体" w:hAnsi="宋体" w:eastAsia="宋体" w:cs="宋体"/>
          <w:color w:val="auto"/>
          <w:sz w:val="21"/>
          <w:szCs w:val="21"/>
          <w:highlight w:val="none"/>
          <w:lang w:val="en-US" w:eastAsia="zh-CN" w:bidi="ar-SA"/>
        </w:rPr>
        <w:t>技术协议</w:t>
      </w:r>
      <w:bookmarkEnd w:id="103"/>
      <w:r>
        <w:rPr>
          <w:rFonts w:hint="eastAsia" w:ascii="宋体" w:hAnsi="宋体" w:eastAsia="宋体" w:cs="宋体"/>
          <w:color w:val="auto"/>
          <w:sz w:val="21"/>
          <w:szCs w:val="21"/>
          <w:highlight w:val="none"/>
          <w:lang w:val="en-US" w:eastAsia="zh-CN" w:bidi="ar-SA"/>
        </w:rPr>
        <w:t>属合同不可分割内容，与本合同具有同等法律效力。</w:t>
      </w:r>
    </w:p>
    <w:p>
      <w:pPr>
        <w:widowControl w:val="0"/>
        <w:autoSpaceDE w:val="0"/>
        <w:autoSpaceDN w:val="0"/>
        <w:adjustRightInd/>
        <w:rPr>
          <w:rFonts w:hint="eastAsia" w:ascii="宋体" w:hAnsi="宋体" w:eastAsia="宋体" w:cs="宋体"/>
          <w:color w:val="auto"/>
          <w:sz w:val="21"/>
          <w:szCs w:val="21"/>
          <w:highlight w:val="none"/>
          <w:lang w:val="en-US" w:eastAsia="zh-CN" w:bidi="ar-SA"/>
        </w:rPr>
      </w:pPr>
    </w:p>
    <w:p>
      <w:pPr>
        <w:widowControl w:val="0"/>
        <w:autoSpaceDE w:val="0"/>
        <w:autoSpaceDN w:val="0"/>
        <w:adjustRightInd/>
        <w:ind w:firstLine="556"/>
        <w:rPr>
          <w:rFonts w:hint="eastAsia" w:ascii="宋体" w:hAnsi="宋体" w:eastAsia="宋体" w:cs="宋体"/>
          <w:color w:val="auto"/>
          <w:sz w:val="21"/>
          <w:szCs w:val="21"/>
          <w:highlight w:val="none"/>
          <w:lang w:val="en-US" w:eastAsia="zh-CN" w:bidi="ar-SA"/>
        </w:rPr>
      </w:pPr>
    </w:p>
    <w:tbl>
      <w:tblPr>
        <w:tblStyle w:val="23"/>
        <w:tblW w:w="1008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41"/>
        <w:gridCol w:w="50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3"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甲方（公章）：</w:t>
            </w:r>
            <w:r>
              <w:rPr>
                <w:rFonts w:hint="eastAsia" w:ascii="宋体" w:hAnsi="宋体" w:eastAsia="宋体" w:cs="宋体"/>
                <w:color w:val="auto"/>
                <w:kern w:val="2"/>
                <w:sz w:val="21"/>
                <w:szCs w:val="21"/>
                <w:highlight w:val="none"/>
                <w:lang w:val="en-US" w:eastAsia="zh-CN" w:bidi="ar-SA"/>
              </w:rPr>
              <w:t>新疆维吾尔自治区计量测试研究院</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乙方（公章）：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授权代表签字：</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法定代表人签字：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3"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地址：乌鲁木齐市新市区河北东路188号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地址：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bidi="ar-SA"/>
              </w:rPr>
              <w:t>电话：</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开户行：</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 xml:space="preserve">开户行：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帐  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帐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税  号：</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税  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签订日期：</w:t>
            </w:r>
          </w:p>
        </w:tc>
        <w:tc>
          <w:tcPr>
            <w:tcW w:w="5041" w:type="dxa"/>
            <w:tcBorders>
              <w:top w:val="single" w:color="auto" w:sz="4" w:space="0"/>
              <w:left w:val="single" w:color="auto" w:sz="4" w:space="0"/>
              <w:bottom w:val="single" w:color="auto" w:sz="4" w:space="0"/>
              <w:right w:val="single" w:color="auto" w:sz="4" w:space="0"/>
            </w:tcBorders>
            <w:vAlign w:val="center"/>
          </w:tcPr>
          <w:p>
            <w:pPr>
              <w:autoSpaceDE/>
              <w:autoSpaceDN/>
              <w:spacing w:before="0" w:after="0" w:line="240" w:lineRule="auto"/>
              <w:ind w:left="0" w:right="0"/>
              <w:jc w:val="both"/>
              <w:rPr>
                <w:rFonts w:hint="eastAsia" w:ascii="宋体" w:hAnsi="宋体" w:eastAsia="宋体" w:cs="宋体"/>
                <w:color w:val="auto"/>
                <w:kern w:val="2"/>
                <w:sz w:val="21"/>
                <w:szCs w:val="21"/>
                <w:highlight w:val="none"/>
                <w:lang w:val="en-US" w:bidi="ar-SA"/>
              </w:rPr>
            </w:pPr>
            <w:r>
              <w:rPr>
                <w:rFonts w:hint="eastAsia" w:ascii="宋体" w:hAnsi="宋体" w:eastAsia="宋体" w:cs="宋体"/>
                <w:color w:val="auto"/>
                <w:kern w:val="2"/>
                <w:sz w:val="21"/>
                <w:szCs w:val="21"/>
                <w:highlight w:val="none"/>
                <w:lang w:val="en-US" w:bidi="ar-SA"/>
              </w:rPr>
              <w:t>签订日期：</w:t>
            </w:r>
          </w:p>
        </w:tc>
      </w:tr>
    </w:tbl>
    <w:p>
      <w:pPr>
        <w:pStyle w:val="21"/>
        <w:widowControl w:val="0"/>
        <w:shd w:val="clear" w:color="auto" w:fill="FFFFFF"/>
        <w:spacing w:line="460" w:lineRule="exact"/>
        <w:rPr>
          <w:rFonts w:hint="eastAsia" w:ascii="宋体" w:hAnsi="宋体" w:eastAsia="宋体" w:cs="宋体"/>
          <w:color w:val="auto"/>
          <w:sz w:val="21"/>
          <w:szCs w:val="21"/>
          <w:highlight w:val="none"/>
        </w:rPr>
      </w:pPr>
      <w:r>
        <w:rPr>
          <w:rFonts w:hint="eastAsia" w:ascii="宋体" w:hAnsi="宋体" w:eastAsia="宋体" w:cs="宋体"/>
          <w:b/>
          <w:bCs/>
          <w:color w:val="auto"/>
          <w:sz w:val="21"/>
          <w:szCs w:val="21"/>
          <w:highlight w:val="none"/>
        </w:rPr>
        <w:t>注：以上为合同模板，具体签订方式、内容以甲方提供合同为准</w:t>
      </w:r>
    </w:p>
    <w:p>
      <w:pPr>
        <w:rPr>
          <w:rFonts w:hint="eastAsia" w:ascii="宋体" w:hAnsi="宋体" w:eastAsia="宋体" w:cs="宋体"/>
          <w:color w:val="auto"/>
          <w:spacing w:val="0"/>
          <w:w w:val="100"/>
          <w:position w:val="0"/>
          <w:sz w:val="18"/>
          <w:szCs w:val="20"/>
          <w:highlight w:val="none"/>
        </w:rPr>
      </w:pPr>
      <w:r>
        <w:rPr>
          <w:rFonts w:hint="eastAsia" w:ascii="宋体" w:hAnsi="宋体" w:eastAsia="宋体" w:cs="宋体"/>
          <w:color w:val="auto"/>
          <w:spacing w:val="0"/>
          <w:w w:val="100"/>
          <w:position w:val="0"/>
          <w:sz w:val="18"/>
          <w:szCs w:val="20"/>
          <w:highlight w:val="none"/>
        </w:rPr>
        <w:br w:type="page"/>
      </w:r>
    </w:p>
    <w:p>
      <w:pPr>
        <w:pStyle w:val="4"/>
        <w:tabs>
          <w:tab w:val="left" w:pos="1163"/>
        </w:tabs>
        <w:outlineLvl w:val="0"/>
        <w:rPr>
          <w:rFonts w:hint="eastAsia" w:ascii="宋体" w:hAnsi="宋体" w:eastAsia="宋体" w:cs="宋体"/>
          <w:color w:val="auto"/>
          <w:spacing w:val="0"/>
          <w:w w:val="100"/>
          <w:position w:val="0"/>
          <w:sz w:val="32"/>
          <w:szCs w:val="32"/>
          <w:highlight w:val="none"/>
        </w:rPr>
      </w:pPr>
      <w:bookmarkStart w:id="104" w:name="_bookmark103"/>
      <w:bookmarkEnd w:id="104"/>
      <w:bookmarkStart w:id="105" w:name="_Toc5925"/>
      <w:r>
        <w:rPr>
          <w:rFonts w:hint="eastAsia" w:ascii="宋体" w:hAnsi="宋体" w:eastAsia="宋体" w:cs="宋体"/>
          <w:color w:val="auto"/>
          <w:spacing w:val="0"/>
          <w:w w:val="100"/>
          <w:position w:val="0"/>
          <w:sz w:val="32"/>
          <w:szCs w:val="32"/>
          <w:highlight w:val="none"/>
        </w:rPr>
        <w:t>第六章</w:t>
      </w:r>
      <w:r>
        <w:rPr>
          <w:rFonts w:hint="eastAsia" w:ascii="宋体" w:hAnsi="宋体" w:eastAsia="宋体" w:cs="宋体"/>
          <w:color w:val="auto"/>
          <w:spacing w:val="0"/>
          <w:w w:val="100"/>
          <w:position w:val="0"/>
          <w:sz w:val="32"/>
          <w:szCs w:val="32"/>
          <w:highlight w:val="none"/>
          <w:lang w:val="en-US" w:eastAsia="zh-CN"/>
        </w:rPr>
        <w:t xml:space="preserve"> </w:t>
      </w:r>
      <w:r>
        <w:rPr>
          <w:rFonts w:hint="eastAsia" w:ascii="宋体" w:hAnsi="宋体" w:eastAsia="宋体" w:cs="宋体"/>
          <w:color w:val="auto"/>
          <w:spacing w:val="0"/>
          <w:w w:val="100"/>
          <w:position w:val="0"/>
          <w:sz w:val="32"/>
          <w:szCs w:val="32"/>
          <w:highlight w:val="none"/>
        </w:rPr>
        <w:t>投标文件格式</w:t>
      </w:r>
      <w:bookmarkEnd w:id="105"/>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投标人提交的材料将被保密，但不退还。全部文件应按规定的份数按包件编制并按包件提交。如果招标文件采购内容未注明分包件采购，即全部采购内容为一个包件（即第 1 包件），包件号为“1”包件名称仍为项目名称。格式如下：</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注：</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本章未给出格式的材料或附件，由投标人自行提供或编制，但应注意招标文件 相应盖章要求。本章明确指明是“建议格式”的文件其格式仅供参考，均不做强制要求， 投标人可自行编制，但应注意招标文件相应盖章要求。</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本章明确指明为“格式”的文件：</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格式名称为“表”的，表头给定内容不得删减、改变，可根据实际需要增减行，需要填写的空格或空白应有效填写。格式属于文字内容性质的（包括“函”、“书”、“声明”、“协议”），不得删减、改变格式中给定的文字内容，不得自行增加与格式中给定的文字内容相矛盾的内容，需要填写的空格或空白应有效填写。对于有签署、签字要求的格式文件，法定代表人在相应位置签署或被授权人在相应位置签字。对于有盖章要求的格式文件，应加盖公章。不满足本条要求的格式文件将视为无效格式文件。</w:t>
      </w:r>
    </w:p>
    <w:p>
      <w:pPr>
        <w:pStyle w:val="32"/>
        <w:spacing w:line="520" w:lineRule="exact"/>
        <w:ind w:firstLine="420" w:firstLineChars="200"/>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）本章提供的格式表格</w:t>
      </w:r>
      <w:r>
        <w:rPr>
          <w:rFonts w:hint="eastAsia" w:ascii="宋体" w:hAnsi="宋体" w:eastAsia="宋体" w:cs="宋体"/>
          <w:color w:val="auto"/>
          <w:sz w:val="21"/>
          <w:szCs w:val="21"/>
          <w:highlight w:val="none"/>
          <w:lang w:eastAsia="zh-CN"/>
        </w:rPr>
        <w:t>中</w:t>
      </w:r>
      <w:r>
        <w:rPr>
          <w:rFonts w:hint="eastAsia" w:ascii="宋体" w:hAnsi="宋体" w:eastAsia="宋体" w:cs="宋体"/>
          <w:color w:val="auto"/>
          <w:sz w:val="21"/>
          <w:szCs w:val="21"/>
          <w:highlight w:val="none"/>
        </w:rPr>
        <w:t>括号“【】”中内容表示填写说明或举例说明，并非给定内容，投标人应跟根据自身投标情况据实填写。本章提供的格式中“注：”的内容也是填写说明，也非给定内容。</w:t>
      </w:r>
    </w:p>
    <w:p>
      <w:pPr>
        <w:rPr>
          <w:rFonts w:hint="eastAsia" w:ascii="宋体" w:hAnsi="宋体" w:eastAsia="宋体" w:cs="宋体"/>
          <w:color w:val="auto"/>
          <w:spacing w:val="0"/>
          <w:w w:val="100"/>
          <w:position w:val="0"/>
          <w:sz w:val="20"/>
          <w:szCs w:val="20"/>
          <w:highlight w:val="none"/>
        </w:rPr>
      </w:pPr>
      <w:bookmarkStart w:id="106" w:name="_bookmark104"/>
      <w:bookmarkEnd w:id="106"/>
      <w:r>
        <w:rPr>
          <w:rFonts w:hint="eastAsia" w:ascii="宋体" w:hAnsi="宋体" w:eastAsia="宋体" w:cs="宋体"/>
          <w:color w:val="auto"/>
          <w:spacing w:val="0"/>
          <w:w w:val="100"/>
          <w:position w:val="0"/>
          <w:sz w:val="20"/>
          <w:szCs w:val="20"/>
          <w:highlight w:val="none"/>
        </w:rPr>
        <w:br w:type="page"/>
      </w:r>
    </w:p>
    <w:p>
      <w:pPr>
        <w:pStyle w:val="4"/>
        <w:spacing w:before="31"/>
        <w:ind w:right="115"/>
        <w:outlineLvl w:val="1"/>
        <w:rPr>
          <w:rFonts w:hint="eastAsia" w:ascii="宋体" w:hAnsi="宋体" w:eastAsia="宋体" w:cs="宋体"/>
          <w:color w:val="auto"/>
          <w:spacing w:val="0"/>
          <w:w w:val="100"/>
          <w:position w:val="0"/>
          <w:sz w:val="28"/>
          <w:szCs w:val="28"/>
          <w:highlight w:val="none"/>
        </w:rPr>
      </w:pPr>
      <w:bookmarkStart w:id="107" w:name="_Toc20754"/>
      <w:r>
        <w:rPr>
          <w:rFonts w:hint="eastAsia" w:ascii="宋体" w:hAnsi="宋体" w:eastAsia="宋体" w:cs="宋体"/>
          <w:color w:val="auto"/>
          <w:spacing w:val="0"/>
          <w:w w:val="100"/>
          <w:position w:val="0"/>
          <w:sz w:val="28"/>
          <w:szCs w:val="28"/>
          <w:highlight w:val="none"/>
          <w:lang w:val="en-US" w:eastAsia="zh-CN"/>
        </w:rPr>
        <w:t>投标</w:t>
      </w:r>
      <w:r>
        <w:rPr>
          <w:rFonts w:hint="eastAsia" w:ascii="宋体" w:hAnsi="宋体" w:eastAsia="宋体" w:cs="宋体"/>
          <w:color w:val="auto"/>
          <w:spacing w:val="0"/>
          <w:w w:val="100"/>
          <w:position w:val="0"/>
          <w:sz w:val="28"/>
          <w:szCs w:val="28"/>
          <w:highlight w:val="none"/>
        </w:rPr>
        <w:t>文件封面建议格式</w:t>
      </w:r>
      <w:bookmarkEnd w:id="107"/>
    </w:p>
    <w:p>
      <w:pPr>
        <w:spacing w:before="212"/>
        <w:ind w:left="0" w:right="341" w:firstLine="0"/>
        <w:jc w:val="right"/>
        <w:outlineLvl w:val="9"/>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正本【或副本】</w:t>
      </w:r>
    </w:p>
    <w:p>
      <w:pPr>
        <w:pStyle w:val="11"/>
        <w:rPr>
          <w:rFonts w:hint="eastAsia" w:ascii="宋体" w:hAnsi="宋体" w:eastAsia="宋体" w:cs="宋体"/>
          <w:b/>
          <w:color w:val="auto"/>
          <w:spacing w:val="0"/>
          <w:w w:val="100"/>
          <w:position w:val="0"/>
          <w:sz w:val="28"/>
          <w:szCs w:val="28"/>
          <w:highlight w:val="none"/>
        </w:rPr>
      </w:pPr>
    </w:p>
    <w:p>
      <w:pPr>
        <w:keepNext w:val="0"/>
        <w:keepLines w:val="0"/>
        <w:pageBreakBefore w:val="0"/>
        <w:widowControl w:val="0"/>
        <w:tabs>
          <w:tab w:val="left" w:pos="5896"/>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u w:val="single"/>
        </w:rPr>
      </w:pPr>
      <w:r>
        <w:rPr>
          <w:rFonts w:hint="eastAsia" w:ascii="宋体" w:hAnsi="宋体" w:eastAsia="宋体" w:cs="宋体"/>
          <w:color w:val="auto"/>
          <w:spacing w:val="0"/>
          <w:w w:val="100"/>
          <w:position w:val="0"/>
          <w:sz w:val="28"/>
          <w:szCs w:val="28"/>
          <w:highlight w:val="none"/>
        </w:rPr>
        <w:t>项目名称：</w:t>
      </w:r>
      <w:r>
        <w:rPr>
          <w:rFonts w:hint="eastAsia" w:ascii="宋体" w:hAnsi="宋体" w:eastAsia="宋体" w:cs="宋体"/>
          <w:color w:val="auto"/>
          <w:spacing w:val="0"/>
          <w:w w:val="100"/>
          <w:position w:val="0"/>
          <w:sz w:val="28"/>
          <w:szCs w:val="28"/>
          <w:highlight w:val="none"/>
          <w:u w:val="single"/>
        </w:rPr>
        <w:t xml:space="preserve">                             </w:t>
      </w:r>
    </w:p>
    <w:p>
      <w:pPr>
        <w:keepNext w:val="0"/>
        <w:keepLines w:val="0"/>
        <w:pageBreakBefore w:val="0"/>
        <w:widowControl w:val="0"/>
        <w:tabs>
          <w:tab w:val="left" w:pos="6875"/>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eastAsia="zh-CN"/>
        </w:rPr>
      </w:pPr>
      <w:r>
        <w:rPr>
          <w:rFonts w:hint="eastAsia" w:ascii="宋体" w:hAnsi="宋体" w:eastAsia="宋体" w:cs="宋体"/>
          <w:color w:val="auto"/>
          <w:spacing w:val="0"/>
          <w:w w:val="100"/>
          <w:position w:val="0"/>
          <w:sz w:val="28"/>
          <w:szCs w:val="28"/>
          <w:highlight w:val="none"/>
        </w:rPr>
        <w:t>项目编号</w:t>
      </w:r>
      <w:r>
        <w:rPr>
          <w:rFonts w:hint="eastAsia" w:ascii="宋体" w:hAnsi="宋体" w:eastAsia="宋体" w:cs="宋体"/>
          <w:color w:val="auto"/>
          <w:spacing w:val="0"/>
          <w:w w:val="100"/>
          <w:position w:val="0"/>
          <w:sz w:val="28"/>
          <w:szCs w:val="28"/>
          <w:highlight w:val="none"/>
          <w:lang w:eastAsia="zh-CN"/>
        </w:rPr>
        <w:t>：</w:t>
      </w:r>
      <w:r>
        <w:rPr>
          <w:rFonts w:hint="eastAsia" w:ascii="宋体" w:hAnsi="宋体" w:eastAsia="宋体" w:cs="宋体"/>
          <w:color w:val="auto"/>
          <w:spacing w:val="0"/>
          <w:w w:val="100"/>
          <w:position w:val="0"/>
          <w:sz w:val="28"/>
          <w:szCs w:val="28"/>
          <w:highlight w:val="none"/>
          <w:u w:val="single"/>
        </w:rPr>
        <w:t xml:space="preserve">                             </w:t>
      </w:r>
    </w:p>
    <w:p>
      <w:pPr>
        <w:keepNext w:val="0"/>
        <w:keepLines w:val="0"/>
        <w:pageBreakBefore w:val="0"/>
        <w:widowControl w:val="0"/>
        <w:tabs>
          <w:tab w:val="left" w:pos="6875"/>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rPr>
        <w:t>包件号：</w:t>
      </w:r>
      <w:r>
        <w:rPr>
          <w:rFonts w:hint="eastAsia" w:ascii="宋体" w:hAnsi="宋体" w:eastAsia="宋体" w:cs="宋体"/>
          <w:color w:val="auto"/>
          <w:spacing w:val="0"/>
          <w:w w:val="100"/>
          <w:position w:val="0"/>
          <w:sz w:val="28"/>
          <w:szCs w:val="28"/>
          <w:highlight w:val="none"/>
          <w:u w:val="single"/>
        </w:rPr>
        <w:t xml:space="preserve"> </w:t>
      </w:r>
      <w:r>
        <w:rPr>
          <w:rFonts w:hint="eastAsia" w:ascii="宋体" w:hAnsi="宋体" w:eastAsia="宋体" w:cs="宋体"/>
          <w:color w:val="auto"/>
          <w:spacing w:val="0"/>
          <w:w w:val="100"/>
          <w:position w:val="0"/>
          <w:sz w:val="28"/>
          <w:szCs w:val="28"/>
          <w:highlight w:val="none"/>
          <w:u w:val="single"/>
          <w:lang w:val="en-US" w:eastAsia="zh-CN"/>
        </w:rPr>
        <w:t xml:space="preserve">                              </w:t>
      </w:r>
    </w:p>
    <w:p>
      <w:pPr>
        <w:keepNext w:val="0"/>
        <w:keepLines w:val="0"/>
        <w:pageBreakBefore w:val="0"/>
        <w:widowControl w:val="0"/>
        <w:tabs>
          <w:tab w:val="left" w:pos="5896"/>
        </w:tabs>
        <w:kinsoku/>
        <w:wordWrap/>
        <w:overflowPunct/>
        <w:topLinePunct w:val="0"/>
        <w:autoSpaceDE w:val="0"/>
        <w:autoSpaceDN w:val="0"/>
        <w:bidi w:val="0"/>
        <w:adjustRightInd/>
        <w:snapToGrid/>
        <w:spacing w:before="0" w:line="360" w:lineRule="auto"/>
        <w:ind w:left="880" w:leftChars="400" w:right="0" w:firstLine="0"/>
        <w:jc w:val="left"/>
        <w:textAlignment w:val="auto"/>
        <w:outlineLvl w:val="9"/>
        <w:rPr>
          <w:rFonts w:hint="eastAsia" w:ascii="宋体" w:hAnsi="宋体" w:eastAsia="宋体" w:cs="宋体"/>
          <w:color w:val="auto"/>
          <w:spacing w:val="0"/>
          <w:w w:val="100"/>
          <w:position w:val="0"/>
          <w:sz w:val="28"/>
          <w:szCs w:val="28"/>
          <w:highlight w:val="none"/>
          <w:lang w:val="en-US" w:eastAsia="zh-CN"/>
        </w:rPr>
      </w:pPr>
      <w:r>
        <w:rPr>
          <w:rFonts w:hint="eastAsia" w:ascii="宋体" w:hAnsi="宋体" w:eastAsia="宋体" w:cs="宋体"/>
          <w:color w:val="auto"/>
          <w:spacing w:val="0"/>
          <w:w w:val="100"/>
          <w:position w:val="0"/>
          <w:sz w:val="28"/>
          <w:szCs w:val="28"/>
          <w:highlight w:val="none"/>
        </w:rPr>
        <w:t>包件名称：</w:t>
      </w:r>
      <w:r>
        <w:rPr>
          <w:rFonts w:hint="eastAsia" w:ascii="宋体" w:hAnsi="宋体" w:eastAsia="宋体" w:cs="宋体"/>
          <w:color w:val="auto"/>
          <w:spacing w:val="0"/>
          <w:w w:val="100"/>
          <w:position w:val="0"/>
          <w:sz w:val="28"/>
          <w:szCs w:val="28"/>
          <w:highlight w:val="none"/>
          <w:u w:val="single"/>
        </w:rPr>
        <w:t xml:space="preserve"> </w:t>
      </w:r>
      <w:r>
        <w:rPr>
          <w:rFonts w:hint="eastAsia" w:ascii="宋体" w:hAnsi="宋体" w:eastAsia="宋体" w:cs="宋体"/>
          <w:color w:val="auto"/>
          <w:spacing w:val="0"/>
          <w:w w:val="100"/>
          <w:position w:val="0"/>
          <w:sz w:val="28"/>
          <w:szCs w:val="28"/>
          <w:highlight w:val="none"/>
          <w:u w:val="single"/>
          <w:lang w:val="en-US" w:eastAsia="zh-CN"/>
        </w:rPr>
        <w:t xml:space="preserve">                            </w:t>
      </w:r>
    </w:p>
    <w:p>
      <w:pPr>
        <w:pStyle w:val="11"/>
        <w:rPr>
          <w:rFonts w:hint="eastAsia" w:ascii="宋体" w:hAnsi="宋体" w:eastAsia="宋体" w:cs="宋体"/>
          <w:color w:val="auto"/>
          <w:spacing w:val="0"/>
          <w:w w:val="100"/>
          <w:position w:val="0"/>
          <w:sz w:val="16"/>
          <w:szCs w:val="21"/>
          <w:highlight w:val="none"/>
        </w:rPr>
      </w:pPr>
    </w:p>
    <w:p>
      <w:pPr>
        <w:pStyle w:val="11"/>
        <w:rPr>
          <w:rFonts w:hint="eastAsia" w:ascii="宋体" w:hAnsi="宋体" w:eastAsia="宋体" w:cs="宋体"/>
          <w:color w:val="auto"/>
          <w:spacing w:val="0"/>
          <w:w w:val="100"/>
          <w:position w:val="0"/>
          <w:sz w:val="16"/>
          <w:szCs w:val="21"/>
          <w:highlight w:val="none"/>
        </w:rPr>
      </w:pPr>
    </w:p>
    <w:p>
      <w:pPr>
        <w:pStyle w:val="11"/>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2"/>
        <w:rPr>
          <w:rFonts w:hint="eastAsia" w:ascii="宋体" w:hAnsi="宋体" w:eastAsia="宋体" w:cs="宋体"/>
          <w:color w:val="auto"/>
          <w:spacing w:val="0"/>
          <w:w w:val="100"/>
          <w:position w:val="0"/>
          <w:sz w:val="16"/>
          <w:szCs w:val="21"/>
          <w:highlight w:val="none"/>
        </w:rPr>
      </w:pPr>
    </w:p>
    <w:p>
      <w:pPr>
        <w:pStyle w:val="11"/>
        <w:spacing w:before="5"/>
        <w:rPr>
          <w:rFonts w:hint="eastAsia" w:ascii="宋体" w:hAnsi="宋体" w:eastAsia="宋体" w:cs="宋体"/>
          <w:color w:val="auto"/>
          <w:spacing w:val="0"/>
          <w:w w:val="100"/>
          <w:position w:val="0"/>
          <w:sz w:val="21"/>
          <w:szCs w:val="21"/>
          <w:highlight w:val="none"/>
        </w:rPr>
      </w:pPr>
    </w:p>
    <w:p>
      <w:pPr>
        <w:spacing w:before="0" w:line="240" w:lineRule="auto"/>
        <w:ind w:left="0" w:right="113" w:firstLine="0"/>
        <w:jc w:val="center"/>
        <w:outlineLvl w:val="9"/>
        <w:rPr>
          <w:rFonts w:hint="eastAsia" w:ascii="宋体" w:hAnsi="宋体" w:eastAsia="宋体" w:cs="宋体"/>
          <w:b/>
          <w:bCs/>
          <w:color w:val="auto"/>
          <w:spacing w:val="0"/>
          <w:w w:val="100"/>
          <w:position w:val="0"/>
          <w:sz w:val="112"/>
          <w:szCs w:val="112"/>
          <w:highlight w:val="none"/>
        </w:rPr>
      </w:pPr>
      <w:r>
        <w:rPr>
          <w:rFonts w:hint="eastAsia" w:ascii="宋体" w:hAnsi="宋体" w:eastAsia="宋体" w:cs="宋体"/>
          <w:b/>
          <w:bCs/>
          <w:color w:val="auto"/>
          <w:spacing w:val="0"/>
          <w:w w:val="100"/>
          <w:position w:val="0"/>
          <w:sz w:val="112"/>
          <w:szCs w:val="112"/>
          <w:highlight w:val="none"/>
        </w:rPr>
        <w:t>投</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标</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文</w:t>
      </w:r>
      <w:r>
        <w:rPr>
          <w:rFonts w:hint="eastAsia" w:ascii="宋体" w:hAnsi="宋体" w:eastAsia="宋体" w:cs="宋体"/>
          <w:b/>
          <w:bCs/>
          <w:color w:val="auto"/>
          <w:spacing w:val="0"/>
          <w:w w:val="100"/>
          <w:position w:val="0"/>
          <w:sz w:val="112"/>
          <w:szCs w:val="112"/>
          <w:highlight w:val="none"/>
          <w:lang w:val="en-US" w:eastAsia="zh-CN"/>
        </w:rPr>
        <w:t xml:space="preserve"> </w:t>
      </w:r>
      <w:r>
        <w:rPr>
          <w:rFonts w:hint="eastAsia" w:ascii="宋体" w:hAnsi="宋体" w:eastAsia="宋体" w:cs="宋体"/>
          <w:b/>
          <w:bCs/>
          <w:color w:val="auto"/>
          <w:spacing w:val="0"/>
          <w:w w:val="100"/>
          <w:position w:val="0"/>
          <w:sz w:val="112"/>
          <w:szCs w:val="112"/>
          <w:highlight w:val="none"/>
        </w:rPr>
        <w:t>件</w:t>
      </w:r>
    </w:p>
    <w:p>
      <w:pPr>
        <w:spacing w:before="177" w:line="302" w:lineRule="auto"/>
        <w:ind w:left="295" w:right="413" w:firstLine="0"/>
        <w:jc w:val="center"/>
        <w:rPr>
          <w:rFonts w:hint="eastAsia" w:ascii="宋体" w:hAnsi="宋体" w:eastAsia="宋体" w:cs="宋体"/>
          <w:color w:val="auto"/>
          <w:spacing w:val="0"/>
          <w:w w:val="100"/>
          <w:position w:val="0"/>
          <w:sz w:val="24"/>
          <w:szCs w:val="20"/>
          <w:highlight w:val="none"/>
        </w:rPr>
      </w:pPr>
      <w:r>
        <w:rPr>
          <w:rFonts w:hint="eastAsia" w:ascii="宋体" w:hAnsi="宋体" w:eastAsia="宋体" w:cs="宋体"/>
          <w:color w:val="auto"/>
          <w:spacing w:val="0"/>
          <w:w w:val="100"/>
          <w:position w:val="0"/>
          <w:sz w:val="24"/>
          <w:szCs w:val="20"/>
          <w:highlight w:val="none"/>
        </w:rPr>
        <w:t>【</w:t>
      </w:r>
      <w:r>
        <w:rPr>
          <w:rFonts w:hint="eastAsia" w:ascii="宋体" w:hAnsi="宋体" w:eastAsia="宋体" w:cs="宋体"/>
          <w:color w:val="auto"/>
          <w:spacing w:val="0"/>
          <w:w w:val="100"/>
          <w:position w:val="0"/>
          <w:sz w:val="24"/>
          <w:szCs w:val="20"/>
          <w:highlight w:val="none"/>
          <w:lang w:val="en-US" w:eastAsia="zh-CN"/>
        </w:rPr>
        <w:t>投标文件</w:t>
      </w:r>
      <w:r>
        <w:rPr>
          <w:rFonts w:hint="eastAsia" w:ascii="宋体" w:hAnsi="宋体" w:eastAsia="宋体" w:cs="宋体"/>
          <w:color w:val="auto"/>
          <w:spacing w:val="0"/>
          <w:w w:val="100"/>
          <w:position w:val="0"/>
          <w:sz w:val="24"/>
          <w:szCs w:val="20"/>
          <w:highlight w:val="none"/>
        </w:rPr>
        <w:t>再分册装订或有其他组成部分的，在此处注明，例如“上册”、“上册”、“下册”、“图纸”或“附件”等】</w:t>
      </w:r>
    </w:p>
    <w:p>
      <w:pPr>
        <w:pStyle w:val="11"/>
        <w:rPr>
          <w:rFonts w:hint="eastAsia" w:ascii="宋体" w:hAnsi="宋体" w:eastAsia="宋体" w:cs="宋体"/>
          <w:color w:val="auto"/>
          <w:spacing w:val="0"/>
          <w:w w:val="100"/>
          <w:position w:val="0"/>
          <w:sz w:val="24"/>
          <w:szCs w:val="21"/>
          <w:highlight w:val="none"/>
        </w:rPr>
      </w:pPr>
    </w:p>
    <w:p>
      <w:pPr>
        <w:pStyle w:val="11"/>
        <w:rPr>
          <w:rFonts w:hint="eastAsia" w:ascii="宋体" w:hAnsi="宋体" w:eastAsia="宋体" w:cs="宋体"/>
          <w:color w:val="auto"/>
          <w:spacing w:val="0"/>
          <w:w w:val="100"/>
          <w:position w:val="0"/>
          <w:sz w:val="24"/>
          <w:szCs w:val="21"/>
          <w:highlight w:val="none"/>
        </w:rPr>
      </w:pPr>
    </w:p>
    <w:p>
      <w:pPr>
        <w:pStyle w:val="11"/>
        <w:rPr>
          <w:rFonts w:hint="eastAsia" w:ascii="宋体" w:hAnsi="宋体" w:eastAsia="宋体" w:cs="宋体"/>
          <w:color w:val="auto"/>
          <w:spacing w:val="0"/>
          <w:w w:val="100"/>
          <w:position w:val="0"/>
          <w:sz w:val="24"/>
          <w:szCs w:val="21"/>
          <w:highlight w:val="none"/>
        </w:rPr>
      </w:pPr>
    </w:p>
    <w:p>
      <w:pPr>
        <w:pStyle w:val="11"/>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2"/>
        <w:rPr>
          <w:rFonts w:hint="eastAsia" w:ascii="宋体" w:hAnsi="宋体" w:eastAsia="宋体" w:cs="宋体"/>
          <w:color w:val="auto"/>
          <w:spacing w:val="0"/>
          <w:w w:val="100"/>
          <w:position w:val="0"/>
          <w:sz w:val="24"/>
          <w:szCs w:val="21"/>
          <w:highlight w:val="none"/>
        </w:rPr>
      </w:pPr>
    </w:p>
    <w:p>
      <w:pPr>
        <w:pStyle w:val="11"/>
        <w:spacing w:before="7"/>
        <w:rPr>
          <w:rFonts w:hint="eastAsia" w:ascii="宋体" w:hAnsi="宋体" w:eastAsia="宋体" w:cs="宋体"/>
          <w:color w:val="auto"/>
          <w:spacing w:val="0"/>
          <w:w w:val="100"/>
          <w:position w:val="0"/>
          <w:sz w:val="24"/>
          <w:szCs w:val="24"/>
          <w:highlight w:val="none"/>
        </w:rPr>
      </w:pPr>
    </w:p>
    <w:p>
      <w:pPr>
        <w:bidi w:val="0"/>
        <w:spacing w:line="480" w:lineRule="auto"/>
        <w:ind w:leftChars="400"/>
        <w:jc w:val="left"/>
        <w:outlineLvl w:val="9"/>
        <w:rPr>
          <w:rFonts w:hint="eastAsia" w:ascii="宋体" w:hAnsi="宋体" w:eastAsia="宋体" w:cs="宋体"/>
          <w:b/>
          <w:bCs/>
          <w:color w:val="auto"/>
          <w:sz w:val="28"/>
          <w:szCs w:val="28"/>
          <w:highlight w:val="none"/>
          <w:lang w:eastAsia="zh-CN"/>
        </w:rPr>
      </w:pPr>
      <w:bookmarkStart w:id="108" w:name="_bookmark105"/>
      <w:bookmarkEnd w:id="108"/>
      <w:r>
        <w:rPr>
          <w:rFonts w:hint="eastAsia" w:ascii="宋体" w:hAnsi="宋体" w:eastAsia="宋体" w:cs="宋体"/>
          <w:b/>
          <w:bCs/>
          <w:color w:val="auto"/>
          <w:sz w:val="28"/>
          <w:szCs w:val="28"/>
          <w:highlight w:val="none"/>
        </w:rPr>
        <w:t>投标人</w:t>
      </w:r>
      <w:r>
        <w:rPr>
          <w:rFonts w:hint="eastAsia" w:ascii="宋体" w:hAnsi="宋体" w:eastAsia="宋体" w:cs="宋体"/>
          <w:b/>
          <w:bCs/>
          <w:color w:val="auto"/>
          <w:sz w:val="28"/>
          <w:szCs w:val="28"/>
          <w:highlight w:val="none"/>
          <w:lang w:val="en-US" w:eastAsia="zh-CN"/>
        </w:rPr>
        <w:t>名称</w:t>
      </w:r>
      <w:r>
        <w:rPr>
          <w:rFonts w:hint="eastAsia" w:ascii="宋体" w:hAnsi="宋体" w:eastAsia="宋体" w:cs="宋体"/>
          <w:b/>
          <w:bCs/>
          <w:color w:val="auto"/>
          <w:sz w:val="28"/>
          <w:szCs w:val="28"/>
          <w:highlight w:val="none"/>
        </w:rPr>
        <w:t>：</w:t>
      </w:r>
      <w:r>
        <w:rPr>
          <w:rFonts w:hint="eastAsia" w:ascii="宋体" w:hAnsi="宋体" w:eastAsia="宋体" w:cs="宋体"/>
          <w:b/>
          <w:bCs/>
          <w:color w:val="auto"/>
          <w:sz w:val="28"/>
          <w:szCs w:val="28"/>
          <w:highlight w:val="none"/>
          <w:lang w:eastAsia="zh-CN"/>
        </w:rPr>
        <w:t>（</w:t>
      </w:r>
      <w:r>
        <w:rPr>
          <w:rFonts w:hint="eastAsia" w:ascii="宋体" w:hAnsi="宋体" w:eastAsia="宋体" w:cs="宋体"/>
          <w:b/>
          <w:bCs/>
          <w:color w:val="auto"/>
          <w:sz w:val="28"/>
          <w:szCs w:val="28"/>
          <w:highlight w:val="none"/>
          <w:lang w:val="en-US" w:eastAsia="zh-CN"/>
        </w:rPr>
        <w:t>盖章</w:t>
      </w:r>
      <w:r>
        <w:rPr>
          <w:rFonts w:hint="eastAsia" w:ascii="宋体" w:hAnsi="宋体" w:eastAsia="宋体" w:cs="宋体"/>
          <w:b/>
          <w:bCs/>
          <w:color w:val="auto"/>
          <w:sz w:val="28"/>
          <w:szCs w:val="28"/>
          <w:highlight w:val="none"/>
          <w:lang w:eastAsia="zh-CN"/>
        </w:rPr>
        <w:t>）</w:t>
      </w:r>
    </w:p>
    <w:p>
      <w:pPr>
        <w:bidi w:val="0"/>
        <w:spacing w:line="480" w:lineRule="auto"/>
        <w:ind w:leftChars="400"/>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法定代表人或授权代表：</w:t>
      </w:r>
    </w:p>
    <w:p>
      <w:pPr>
        <w:widowControl w:val="0"/>
        <w:autoSpaceDE w:val="0"/>
        <w:autoSpaceDN w:val="0"/>
        <w:snapToGrid w:val="0"/>
        <w:spacing w:before="0" w:after="0" w:line="480" w:lineRule="auto"/>
        <w:ind w:left="880" w:leftChars="400" w:right="0"/>
        <w:jc w:val="left"/>
        <w:rPr>
          <w:rFonts w:hint="eastAsia"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en-US" w:eastAsia="zh-CN" w:bidi="zh-CN"/>
        </w:rPr>
        <w:t>联系人：</w:t>
      </w:r>
    </w:p>
    <w:p>
      <w:pPr>
        <w:widowControl w:val="0"/>
        <w:autoSpaceDE w:val="0"/>
        <w:autoSpaceDN w:val="0"/>
        <w:snapToGrid w:val="0"/>
        <w:spacing w:before="0" w:after="0" w:line="480" w:lineRule="auto"/>
        <w:ind w:left="880" w:leftChars="400" w:right="0"/>
        <w:jc w:val="left"/>
        <w:rPr>
          <w:rFonts w:hint="eastAsia" w:ascii="宋体" w:hAnsi="宋体" w:eastAsia="宋体" w:cs="宋体"/>
          <w:b/>
          <w:bCs/>
          <w:color w:val="auto"/>
          <w:sz w:val="28"/>
          <w:szCs w:val="28"/>
          <w:highlight w:val="none"/>
          <w:lang w:val="en-US" w:eastAsia="zh-CN" w:bidi="zh-CN"/>
        </w:rPr>
      </w:pPr>
      <w:r>
        <w:rPr>
          <w:rFonts w:hint="eastAsia" w:ascii="宋体" w:hAnsi="宋体" w:eastAsia="宋体" w:cs="宋体"/>
          <w:b/>
          <w:bCs/>
          <w:color w:val="auto"/>
          <w:sz w:val="28"/>
          <w:szCs w:val="28"/>
          <w:highlight w:val="none"/>
          <w:lang w:val="en-US" w:eastAsia="zh-CN" w:bidi="zh-CN"/>
        </w:rPr>
        <w:t>电话：</w:t>
      </w:r>
    </w:p>
    <w:p>
      <w:pPr>
        <w:bidi w:val="0"/>
        <w:spacing w:line="480" w:lineRule="auto"/>
        <w:ind w:leftChars="400"/>
        <w:jc w:val="left"/>
        <w:outlineLvl w:val="9"/>
        <w:rPr>
          <w:rFonts w:hint="eastAsia" w:ascii="宋体" w:hAnsi="宋体" w:eastAsia="宋体" w:cs="宋体"/>
          <w:b/>
          <w:bCs/>
          <w:color w:val="auto"/>
          <w:sz w:val="28"/>
          <w:szCs w:val="28"/>
          <w:highlight w:val="none"/>
          <w:lang w:val="en-US" w:eastAsia="zh-CN"/>
        </w:rPr>
      </w:pPr>
      <w:r>
        <w:rPr>
          <w:rFonts w:hint="eastAsia" w:ascii="宋体" w:hAnsi="宋体" w:eastAsia="宋体" w:cs="宋体"/>
          <w:b/>
          <w:bCs/>
          <w:color w:val="auto"/>
          <w:sz w:val="28"/>
          <w:szCs w:val="28"/>
          <w:highlight w:val="none"/>
          <w:lang w:val="en-US" w:eastAsia="zh-CN"/>
        </w:rPr>
        <w:t>日期：</w:t>
      </w:r>
    </w:p>
    <w:p>
      <w:pP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br w:type="page"/>
      </w:r>
    </w:p>
    <w:p>
      <w:pPr>
        <w:spacing w:before="31"/>
        <w:ind w:left="0" w:right="119" w:firstLine="0"/>
        <w:jc w:val="center"/>
        <w:rPr>
          <w:rFonts w:hint="eastAsia" w:ascii="宋体" w:hAnsi="宋体" w:eastAsia="宋体" w:cs="宋体"/>
          <w:b/>
          <w:color w:val="auto"/>
          <w:spacing w:val="0"/>
          <w:w w:val="100"/>
          <w:position w:val="0"/>
          <w:sz w:val="28"/>
          <w:szCs w:val="28"/>
          <w:highlight w:val="none"/>
        </w:rPr>
      </w:pPr>
      <w:r>
        <w:rPr>
          <w:rFonts w:hint="eastAsia" w:ascii="宋体" w:hAnsi="宋体" w:eastAsia="宋体" w:cs="宋体"/>
          <w:b/>
          <w:color w:val="auto"/>
          <w:spacing w:val="0"/>
          <w:w w:val="100"/>
          <w:position w:val="0"/>
          <w:sz w:val="28"/>
          <w:szCs w:val="28"/>
          <w:highlight w:val="none"/>
        </w:rPr>
        <w:t>评分索引表建议格式</w:t>
      </w:r>
    </w:p>
    <w:p>
      <w:pPr>
        <w:spacing w:before="31"/>
        <w:ind w:left="0" w:right="119" w:firstLine="0"/>
        <w:jc w:val="center"/>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评分索引表</w:t>
      </w:r>
    </w:p>
    <w:p>
      <w:pPr>
        <w:pStyle w:val="11"/>
        <w:spacing w:before="5"/>
        <w:rPr>
          <w:rFonts w:hint="eastAsia" w:ascii="宋体" w:hAnsi="宋体" w:eastAsia="宋体" w:cs="宋体"/>
          <w:b/>
          <w:color w:val="auto"/>
          <w:spacing w:val="0"/>
          <w:w w:val="100"/>
          <w:position w:val="0"/>
          <w:sz w:val="13"/>
          <w:szCs w:val="21"/>
          <w:highlight w:val="none"/>
        </w:rPr>
      </w:pPr>
    </w:p>
    <w:tbl>
      <w:tblPr>
        <w:tblStyle w:val="23"/>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4"/>
        <w:gridCol w:w="1305"/>
        <w:gridCol w:w="3120"/>
        <w:gridCol w:w="2336"/>
        <w:gridCol w:w="205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674" w:type="dxa"/>
            <w:vAlign w:val="center"/>
          </w:tcPr>
          <w:p>
            <w:pPr>
              <w:pStyle w:val="29"/>
              <w:spacing w:before="156" w:line="242" w:lineRule="auto"/>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序号</w:t>
            </w:r>
          </w:p>
        </w:tc>
        <w:tc>
          <w:tcPr>
            <w:tcW w:w="1305"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评审内容</w:t>
            </w:r>
          </w:p>
        </w:tc>
        <w:tc>
          <w:tcPr>
            <w:tcW w:w="3120"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评分标准</w:t>
            </w:r>
          </w:p>
        </w:tc>
        <w:tc>
          <w:tcPr>
            <w:tcW w:w="2336" w:type="dxa"/>
            <w:vAlign w:val="center"/>
          </w:tcPr>
          <w:p>
            <w:pPr>
              <w:pStyle w:val="29"/>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投标响应情况简述</w:t>
            </w:r>
          </w:p>
        </w:tc>
        <w:tc>
          <w:tcPr>
            <w:tcW w:w="2055" w:type="dxa"/>
            <w:vAlign w:val="center"/>
          </w:tcPr>
          <w:p>
            <w:pPr>
              <w:pStyle w:val="29"/>
              <w:spacing w:before="2" w:line="242" w:lineRule="auto"/>
              <w:ind w:left="0" w:leftChars="0" w:right="0" w:rightChars="0" w:firstLine="0" w:firstLineChars="0"/>
              <w:jc w:val="center"/>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投标文件对应章节及页码索引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3"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4"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7"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5</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83"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00"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w:t>
            </w: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97"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60" w:hRule="atLeast"/>
        </w:trPr>
        <w:tc>
          <w:tcPr>
            <w:tcW w:w="674"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130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3120"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336"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c>
          <w:tcPr>
            <w:tcW w:w="2055" w:type="dxa"/>
            <w:vAlign w:val="center"/>
          </w:tcPr>
          <w:p>
            <w:pPr>
              <w:pStyle w:val="29"/>
              <w:ind w:left="0" w:leftChars="0" w:right="0" w:rightChars="0" w:firstLine="0" w:firstLineChars="0"/>
              <w:jc w:val="center"/>
              <w:rPr>
                <w:rFonts w:hint="eastAsia" w:ascii="宋体" w:hAnsi="宋体" w:eastAsia="宋体" w:cs="宋体"/>
                <w:color w:val="auto"/>
                <w:spacing w:val="0"/>
                <w:w w:val="100"/>
                <w:position w:val="0"/>
                <w:sz w:val="21"/>
                <w:szCs w:val="21"/>
                <w:highlight w:val="none"/>
              </w:rPr>
            </w:pPr>
          </w:p>
        </w:tc>
      </w:tr>
    </w:tbl>
    <w:p>
      <w:pPr>
        <w:pStyle w:val="32"/>
        <w:spacing w:line="520" w:lineRule="exact"/>
        <w:ind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eastAsia="zh-CN"/>
        </w:rPr>
        <w:t>注：投标人应根据招标文件第</w:t>
      </w:r>
      <w:r>
        <w:rPr>
          <w:rFonts w:hint="eastAsia" w:ascii="宋体" w:hAnsi="宋体" w:eastAsia="宋体" w:cs="宋体"/>
          <w:color w:val="auto"/>
          <w:sz w:val="21"/>
          <w:szCs w:val="21"/>
          <w:highlight w:val="none"/>
          <w:lang w:val="en-US" w:eastAsia="zh-CN"/>
        </w:rPr>
        <w:t>四</w:t>
      </w:r>
      <w:r>
        <w:rPr>
          <w:rFonts w:hint="eastAsia" w:ascii="宋体" w:hAnsi="宋体" w:eastAsia="宋体" w:cs="宋体"/>
          <w:color w:val="auto"/>
          <w:sz w:val="21"/>
          <w:szCs w:val="21"/>
          <w:highlight w:val="none"/>
          <w:lang w:eastAsia="zh-CN"/>
        </w:rPr>
        <w:t>章“评标标准”中列明的商务及技术部分评审内容，逐条（价格部分除外）索引至投标文件对应的响应内容所在章节和页码，以方便评标委员会评审。</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31"/>
        <w:ind w:right="115"/>
        <w:outlineLvl w:val="1"/>
        <w:rPr>
          <w:rFonts w:hint="eastAsia" w:ascii="宋体" w:hAnsi="宋体" w:eastAsia="宋体" w:cs="宋体"/>
          <w:color w:val="auto"/>
          <w:spacing w:val="0"/>
          <w:w w:val="100"/>
          <w:position w:val="0"/>
          <w:sz w:val="28"/>
          <w:szCs w:val="28"/>
          <w:highlight w:val="none"/>
        </w:rPr>
      </w:pPr>
      <w:bookmarkStart w:id="109" w:name="_bookmark106"/>
      <w:bookmarkEnd w:id="109"/>
      <w:bookmarkStart w:id="110" w:name="_Toc24649"/>
      <w:r>
        <w:rPr>
          <w:rFonts w:hint="eastAsia" w:ascii="宋体" w:hAnsi="宋体" w:eastAsia="宋体" w:cs="宋体"/>
          <w:color w:val="auto"/>
          <w:spacing w:val="0"/>
          <w:w w:val="100"/>
          <w:position w:val="0"/>
          <w:sz w:val="28"/>
          <w:szCs w:val="28"/>
          <w:highlight w:val="none"/>
        </w:rPr>
        <w:t>附件 1 投标函格式</w:t>
      </w:r>
      <w:bookmarkEnd w:id="110"/>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投标函</w:t>
      </w:r>
    </w:p>
    <w:p>
      <w:pPr>
        <w:pStyle w:val="11"/>
        <w:keepNext w:val="0"/>
        <w:keepLines w:val="0"/>
        <w:pageBreakBefore w:val="0"/>
        <w:widowControl w:val="0"/>
        <w:tabs>
          <w:tab w:val="left" w:pos="1428"/>
          <w:tab w:val="left" w:pos="4188"/>
        </w:tabs>
        <w:kinsoku/>
        <w:wordWrap/>
        <w:overflowPunct/>
        <w:topLinePunct w:val="0"/>
        <w:autoSpaceDE w:val="0"/>
        <w:autoSpaceDN w:val="0"/>
        <w:bidi w:val="0"/>
        <w:adjustRightInd/>
        <w:snapToGrid/>
        <w:spacing w:before="0" w:line="520" w:lineRule="exact"/>
        <w:ind w:left="0" w:right="0" w:firstLine="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3920"/>
          <w:tab w:val="left" w:pos="5946"/>
          <w:tab w:val="left" w:pos="7732"/>
          <w:tab w:val="left" w:pos="7789"/>
        </w:tabs>
        <w:kinsoku/>
        <w:wordWrap/>
        <w:overflowPunct/>
        <w:topLinePunct w:val="0"/>
        <w:autoSpaceDE w:val="0"/>
        <w:autoSpaceDN w:val="0"/>
        <w:bidi w:val="0"/>
        <w:adjustRightInd/>
        <w:snapToGrid/>
        <w:spacing w:before="0" w:line="52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根据贵方为</w:t>
      </w:r>
      <w:r>
        <w:rPr>
          <w:rFonts w:hint="eastAsia" w:ascii="宋体" w:hAnsi="宋体" w:eastAsia="宋体" w:cs="宋体"/>
          <w:color w:val="auto"/>
          <w:spacing w:val="0"/>
          <w:w w:val="100"/>
          <w:position w:val="0"/>
          <w:sz w:val="21"/>
          <w:szCs w:val="21"/>
          <w:highlight w:val="none"/>
          <w:u w:val="single"/>
        </w:rPr>
        <w:t xml:space="preserve"> 【项目名称】</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项目招标采购的</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【项目编号】</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 xml:space="preserve">招标文件，签字代表 </w:t>
      </w:r>
      <w:r>
        <w:rPr>
          <w:rFonts w:hint="eastAsia" w:ascii="宋体" w:hAnsi="宋体" w:eastAsia="宋体" w:cs="宋体"/>
          <w:color w:val="auto"/>
          <w:spacing w:val="0"/>
          <w:w w:val="100"/>
          <w:position w:val="0"/>
          <w:sz w:val="21"/>
          <w:szCs w:val="21"/>
          <w:highlight w:val="none"/>
          <w:u w:val="single"/>
        </w:rPr>
        <w:t>【全名、职务】</w:t>
      </w:r>
      <w:r>
        <w:rPr>
          <w:rFonts w:hint="eastAsia" w:ascii="宋体" w:hAnsi="宋体" w:eastAsia="宋体" w:cs="宋体"/>
          <w:color w:val="auto"/>
          <w:spacing w:val="0"/>
          <w:w w:val="100"/>
          <w:position w:val="0"/>
          <w:sz w:val="21"/>
          <w:szCs w:val="21"/>
          <w:highlight w:val="none"/>
        </w:rPr>
        <w:t>经正式授权并代表投标人</w:t>
      </w:r>
      <w:r>
        <w:rPr>
          <w:rFonts w:hint="eastAsia" w:ascii="宋体" w:hAnsi="宋体" w:eastAsia="宋体" w:cs="宋体"/>
          <w:color w:val="auto"/>
          <w:spacing w:val="0"/>
          <w:w w:val="100"/>
          <w:position w:val="0"/>
          <w:sz w:val="21"/>
          <w:szCs w:val="21"/>
          <w:highlight w:val="none"/>
          <w:u w:val="single"/>
        </w:rPr>
        <w:t xml:space="preserve">  【投标人名称、地址】</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提交下述文件：</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eastAsia="zh-CN"/>
        </w:rPr>
        <w:t>本投标函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lang w:eastAsia="zh-CN"/>
        </w:rPr>
        <w:t>开标一览表；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lang w:eastAsia="zh-CN"/>
        </w:rPr>
        <w:t>投标分项报价表；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4.</w:t>
      </w:r>
      <w:r>
        <w:rPr>
          <w:rFonts w:hint="eastAsia" w:ascii="宋体" w:hAnsi="宋体" w:eastAsia="宋体" w:cs="宋体"/>
          <w:color w:val="auto"/>
          <w:sz w:val="21"/>
          <w:szCs w:val="21"/>
          <w:highlight w:val="none"/>
          <w:lang w:eastAsia="zh-CN"/>
        </w:rPr>
        <w:t>技术服务需求偏离表；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lang w:eastAsia="zh-CN"/>
        </w:rPr>
        <w:t>商务条款偏离表；</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6.</w:t>
      </w:r>
      <w:r>
        <w:rPr>
          <w:rFonts w:hint="eastAsia" w:ascii="宋体" w:hAnsi="宋体" w:eastAsia="宋体" w:cs="宋体"/>
          <w:color w:val="auto"/>
          <w:sz w:val="21"/>
          <w:szCs w:val="21"/>
          <w:highlight w:val="none"/>
          <w:lang w:eastAsia="zh-CN"/>
        </w:rPr>
        <w:t>【法定代表人授权书 或者 法定代表人的身份证明复印件】</w:t>
      </w:r>
      <w:r>
        <w:rPr>
          <w:rFonts w:hint="eastAsia" w:ascii="宋体" w:hAnsi="宋体" w:eastAsia="宋体" w:cs="宋体"/>
          <w:color w:val="auto"/>
          <w:sz w:val="21"/>
          <w:szCs w:val="21"/>
          <w:highlight w:val="none"/>
          <w:lang w:eastAsia="zh-CN"/>
        </w:rPr>
        <w:tab/>
      </w:r>
      <w:r>
        <w:rPr>
          <w:rFonts w:hint="eastAsia" w:ascii="宋体" w:hAnsi="宋体" w:eastAsia="宋体" w:cs="宋体"/>
          <w:color w:val="auto"/>
          <w:sz w:val="21"/>
          <w:szCs w:val="21"/>
          <w:highlight w:val="none"/>
          <w:lang w:eastAsia="zh-CN"/>
        </w:rPr>
        <w:t>；</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7.</w:t>
      </w:r>
      <w:r>
        <w:rPr>
          <w:rFonts w:hint="eastAsia" w:ascii="宋体" w:hAnsi="宋体" w:eastAsia="宋体" w:cs="宋体"/>
          <w:color w:val="auto"/>
          <w:sz w:val="21"/>
          <w:szCs w:val="21"/>
          <w:highlight w:val="none"/>
          <w:lang w:eastAsia="zh-CN"/>
        </w:rPr>
        <w:t>投标保证金承诺函；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8.</w:t>
      </w:r>
      <w:r>
        <w:rPr>
          <w:rFonts w:hint="eastAsia" w:ascii="宋体" w:hAnsi="宋体" w:eastAsia="宋体" w:cs="宋体"/>
          <w:color w:val="auto"/>
          <w:sz w:val="21"/>
          <w:szCs w:val="21"/>
          <w:highlight w:val="none"/>
          <w:lang w:eastAsia="zh-CN"/>
        </w:rPr>
        <w:t>代理服务费承诺函；</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9.</w:t>
      </w:r>
      <w:r>
        <w:rPr>
          <w:rFonts w:hint="eastAsia" w:ascii="宋体" w:hAnsi="宋体" w:eastAsia="宋体" w:cs="宋体"/>
          <w:color w:val="auto"/>
          <w:sz w:val="21"/>
          <w:szCs w:val="21"/>
          <w:highlight w:val="none"/>
          <w:lang w:eastAsia="zh-CN"/>
        </w:rPr>
        <w:t>详细的技术服务响应；</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lang w:eastAsia="zh-CN"/>
        </w:rPr>
        <w:t>资格、资信证明文件；</w:t>
      </w:r>
    </w:p>
    <w:p>
      <w:pPr>
        <w:pStyle w:val="32"/>
        <w:spacing w:line="520" w:lineRule="exact"/>
        <w:ind w:leftChars="200" w:firstLine="420" w:firstLineChars="200"/>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lang w:eastAsia="zh-CN"/>
        </w:rPr>
        <w:t>其他。</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在此，我方郑重承诺：</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方提交的投标文件资料是完整的、真实的和准确的。我方同意按照贵方的要求，提供有关的数据和资料。为此，我们授权任何相关的个人和公司向贵方提供要求的和必要的真实情况和资料以证实我们所填报的各项内容。如果在该项目招标过程中或者在获得中标后，采购人或有管辖权的行政监管机构发现并查实我方在该项目的投标中所报的资料存在虚假或不真实的信息或者伪造数据、资料或证书等情况，我方将无条件地自动放弃该项目的投标资格和中标资格；如果我方已经收到中标通知书，我方将无条件的承认，我方收到的该项目的中标通知书为无效文件，对采购人不具有任何法律约束力，由此造成的任何损失均由我方承担；本段承诺是我方真实意思的表示且具有相对独立性，不管是否有其他相反的说明，本段承诺均为我方投标文件的有效组成内容，对我方在与该项目有关的任何行为中始终具有优先的法律约束力。</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据此函，我方宣布同意如下：</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1.所附投标价格表中规定的应提交和交付的投标报价见《开标一览表》。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2.我方将按招标文件的规定履行合同责任和义务。</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3.我方己详细审查全部招标文件，包括澄清或修改文件（如果有的话）。我们完全理解并同意放弃对这方面有不明及误解的权利。</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4.本投标有效期为自投标截止时间起【60】日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5.我方同意提供按照贵方可能要求的与投标有关的一切数据或资料，完全理解贵方不一定接受最低价的投标或收到的任何投标。</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6.所有有关本投标文件的函电，请按下列地址联系：</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投标人</w:t>
      </w:r>
      <w:r>
        <w:rPr>
          <w:rFonts w:hint="eastAsia" w:ascii="宋体" w:hAnsi="宋体" w:eastAsia="宋体" w:cs="宋体"/>
          <w:color w:val="auto"/>
          <w:spacing w:val="0"/>
          <w:w w:val="100"/>
          <w:position w:val="0"/>
          <w:sz w:val="21"/>
          <w:szCs w:val="20"/>
          <w:highlight w:val="none"/>
          <w:u w:val="none"/>
          <w:lang w:val="en-US" w:eastAsia="zh-CN"/>
        </w:rPr>
        <w:t>：</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（盖单位公章）</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法定代表人或其委托代理人：</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（签字或盖章）</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地址：</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电话：</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传真：</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联系人：</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开户名称：</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开户银行：</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lang w:val="en-US" w:eastAsia="zh-CN"/>
        </w:rPr>
      </w:pPr>
      <w:r>
        <w:rPr>
          <w:rFonts w:hint="eastAsia" w:ascii="宋体" w:hAnsi="宋体" w:eastAsia="宋体" w:cs="宋体"/>
          <w:color w:val="auto"/>
          <w:spacing w:val="0"/>
          <w:w w:val="100"/>
          <w:position w:val="0"/>
          <w:sz w:val="21"/>
          <w:szCs w:val="20"/>
          <w:highlight w:val="none"/>
          <w:lang w:val="en-US" w:eastAsia="zh-CN"/>
        </w:rPr>
        <w:t>银行账号：</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lang w:val="en-US" w:eastAsia="zh-CN"/>
        </w:rPr>
        <w:t>.</w:t>
      </w:r>
    </w:p>
    <w:p>
      <w:pPr>
        <w:pStyle w:val="28"/>
        <w:keepNext w:val="0"/>
        <w:keepLines w:val="0"/>
        <w:pageBreakBefore w:val="0"/>
        <w:widowControl w:val="0"/>
        <w:numPr>
          <w:ilvl w:val="0"/>
          <w:numId w:val="0"/>
        </w:numPr>
        <w:tabs>
          <w:tab w:val="left" w:pos="1265"/>
          <w:tab w:val="left" w:pos="1266"/>
        </w:tabs>
        <w:kinsoku/>
        <w:wordWrap/>
        <w:overflowPunct/>
        <w:topLinePunct w:val="0"/>
        <w:autoSpaceDE w:val="0"/>
        <w:autoSpaceDN w:val="0"/>
        <w:bidi w:val="0"/>
        <w:adjustRightInd/>
        <w:snapToGrid/>
        <w:spacing w:before="0" w:after="0" w:line="520" w:lineRule="exact"/>
        <w:ind w:left="0" w:leftChars="0" w:right="0" w:rightChars="0" w:firstLine="420" w:firstLineChars="200"/>
        <w:jc w:val="left"/>
        <w:textAlignment w:val="auto"/>
        <w:rPr>
          <w:rFonts w:hint="eastAsia" w:ascii="宋体" w:hAnsi="宋体" w:eastAsia="宋体" w:cs="宋体"/>
          <w:color w:val="auto"/>
          <w:spacing w:val="0"/>
          <w:w w:val="100"/>
          <w:position w:val="0"/>
          <w:sz w:val="21"/>
          <w:szCs w:val="20"/>
          <w:highlight w:val="none"/>
          <w:u w:val="single"/>
          <w:lang w:val="en-US" w:eastAsia="zh-CN"/>
        </w:rPr>
      </w:pPr>
      <w:r>
        <w:rPr>
          <w:rFonts w:hint="eastAsia" w:ascii="宋体" w:hAnsi="宋体" w:eastAsia="宋体" w:cs="宋体"/>
          <w:color w:val="auto"/>
          <w:spacing w:val="0"/>
          <w:w w:val="100"/>
          <w:position w:val="0"/>
          <w:sz w:val="21"/>
          <w:szCs w:val="20"/>
          <w:highlight w:val="none"/>
          <w:lang w:val="en-US" w:eastAsia="zh-CN"/>
        </w:rPr>
        <w:t>日期：</w:t>
      </w:r>
      <w:r>
        <w:rPr>
          <w:rFonts w:hint="eastAsia" w:ascii="宋体" w:hAnsi="宋体" w:eastAsia="宋体" w:cs="宋体"/>
          <w:color w:val="auto"/>
          <w:spacing w:val="0"/>
          <w:w w:val="100"/>
          <w:position w:val="0"/>
          <w:sz w:val="21"/>
          <w:szCs w:val="20"/>
          <w:highlight w:val="none"/>
          <w:u w:val="single"/>
          <w:lang w:val="en-US" w:eastAsia="zh-CN"/>
        </w:rPr>
        <w:t xml:space="preserve">                                            </w:t>
      </w:r>
    </w:p>
    <w:p>
      <w:pPr>
        <w:pStyle w:val="11"/>
        <w:rPr>
          <w:rFonts w:hint="eastAsia" w:ascii="宋体" w:hAnsi="宋体" w:eastAsia="宋体" w:cs="宋体"/>
          <w:color w:val="auto"/>
          <w:spacing w:val="0"/>
          <w:w w:val="100"/>
          <w:position w:val="0"/>
          <w:sz w:val="16"/>
          <w:szCs w:val="21"/>
          <w:highlight w:val="none"/>
        </w:rPr>
      </w:pPr>
    </w:p>
    <w:p>
      <w:pPr>
        <w:rPr>
          <w:rFonts w:hint="eastAsia" w:ascii="宋体" w:hAnsi="宋体" w:eastAsia="宋体" w:cs="宋体"/>
          <w:color w:val="auto"/>
          <w:spacing w:val="0"/>
          <w:w w:val="100"/>
          <w:position w:val="0"/>
          <w:sz w:val="18"/>
          <w:szCs w:val="20"/>
          <w:highlight w:val="none"/>
        </w:rPr>
      </w:pPr>
      <w:r>
        <w:rPr>
          <w:rFonts w:hint="eastAsia" w:ascii="宋体" w:hAnsi="宋体" w:eastAsia="宋体" w:cs="宋体"/>
          <w:color w:val="auto"/>
          <w:spacing w:val="0"/>
          <w:w w:val="100"/>
          <w:position w:val="0"/>
          <w:sz w:val="18"/>
          <w:szCs w:val="20"/>
          <w:highlight w:val="none"/>
        </w:rPr>
        <w:br w:type="page"/>
      </w:r>
    </w:p>
    <w:p>
      <w:pPr>
        <w:pStyle w:val="4"/>
        <w:spacing w:before="43"/>
        <w:ind w:right="116"/>
        <w:outlineLvl w:val="1"/>
        <w:rPr>
          <w:rFonts w:hint="eastAsia" w:ascii="宋体" w:hAnsi="宋体" w:eastAsia="宋体" w:cs="宋体"/>
          <w:color w:val="auto"/>
          <w:spacing w:val="0"/>
          <w:w w:val="100"/>
          <w:position w:val="0"/>
          <w:sz w:val="28"/>
          <w:szCs w:val="28"/>
          <w:highlight w:val="none"/>
        </w:rPr>
      </w:pPr>
      <w:bookmarkStart w:id="111" w:name="_bookmark107"/>
      <w:bookmarkEnd w:id="111"/>
      <w:bookmarkStart w:id="112" w:name="_Toc1502"/>
      <w:r>
        <w:rPr>
          <w:rFonts w:hint="eastAsia" w:ascii="宋体" w:hAnsi="宋体" w:eastAsia="宋体" w:cs="宋体"/>
          <w:color w:val="auto"/>
          <w:spacing w:val="0"/>
          <w:w w:val="100"/>
          <w:position w:val="0"/>
          <w:sz w:val="28"/>
          <w:szCs w:val="28"/>
          <w:highlight w:val="none"/>
        </w:rPr>
        <w:t>附件 2 开标一览表格式</w:t>
      </w:r>
      <w:bookmarkEnd w:id="112"/>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开标一览表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项目名称：</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项目编号：</w:t>
      </w:r>
      <w:r>
        <w:rPr>
          <w:rFonts w:hint="eastAsia" w:ascii="宋体" w:hAnsi="宋体" w:eastAsia="宋体" w:cs="宋体"/>
          <w:color w:val="auto"/>
          <w:sz w:val="21"/>
          <w:szCs w:val="21"/>
          <w:highlight w:val="none"/>
          <w:u w:val="single"/>
          <w:lang w:val="en-US" w:eastAsia="zh-CN"/>
        </w:rPr>
        <w:t xml:space="preserve">                            </w:t>
      </w:r>
    </w:p>
    <w:tbl>
      <w:tblPr>
        <w:tblStyle w:val="23"/>
        <w:tblW w:w="0" w:type="auto"/>
        <w:tblInd w:w="12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65"/>
        <w:gridCol w:w="1635"/>
        <w:gridCol w:w="2736"/>
        <w:gridCol w:w="2179"/>
        <w:gridCol w:w="181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26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包件号</w:t>
            </w:r>
          </w:p>
        </w:tc>
        <w:tc>
          <w:tcPr>
            <w:tcW w:w="163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包件名称</w:t>
            </w:r>
          </w:p>
        </w:tc>
        <w:tc>
          <w:tcPr>
            <w:tcW w:w="2736"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投标总价</w:t>
            </w:r>
          </w:p>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（单位人民币元）</w:t>
            </w:r>
          </w:p>
        </w:tc>
        <w:tc>
          <w:tcPr>
            <w:tcW w:w="217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投标保证金</w:t>
            </w:r>
          </w:p>
        </w:tc>
        <w:tc>
          <w:tcPr>
            <w:tcW w:w="181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投标声明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46" w:hRule="atLeast"/>
        </w:trPr>
        <w:tc>
          <w:tcPr>
            <w:tcW w:w="126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p>
        </w:tc>
        <w:tc>
          <w:tcPr>
            <w:tcW w:w="163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p>
        </w:tc>
        <w:tc>
          <w:tcPr>
            <w:tcW w:w="2736"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 xml:space="preserve">大写： </w:t>
            </w:r>
          </w:p>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小写：</w:t>
            </w:r>
          </w:p>
        </w:tc>
        <w:tc>
          <w:tcPr>
            <w:tcW w:w="217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hanging="18"/>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【保证金金额及形式，例如“XX 元， 电汇” 】</w:t>
            </w:r>
          </w:p>
        </w:tc>
        <w:tc>
          <w:tcPr>
            <w:tcW w:w="181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2" w:lineRule="auto"/>
              <w:ind w:left="0" w:right="0" w:firstLine="79"/>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【如无投标声明可填写“无”】</w:t>
            </w:r>
          </w:p>
        </w:tc>
      </w:tr>
    </w:tbl>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1.此表正本应按投标人须知的规定单独密封提交，以便在开标时使用（投标文件副本中仍需保留本表并装订入投标文件）。</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（1）投标总价填写无条件折扣后的总价，不得填写除价格外的任何其他优惠。</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（2）不得填写有条件折扣。</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（3）一个包件只能填写一个报价，不得将一个包件拆开报价。</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2.此表中，投标总价应与附件 3 分项报价表中的投标总价一致。</w:t>
      </w:r>
    </w:p>
    <w:p>
      <w:pPr>
        <w:pStyle w:val="11"/>
        <w:spacing w:before="7"/>
        <w:rPr>
          <w:rFonts w:hint="eastAsia" w:ascii="宋体" w:hAnsi="宋体" w:eastAsia="宋体" w:cs="宋体"/>
          <w:color w:val="auto"/>
          <w:spacing w:val="0"/>
          <w:w w:val="100"/>
          <w:position w:val="0"/>
          <w:sz w:val="24"/>
          <w:szCs w:val="21"/>
          <w:highlight w:val="none"/>
        </w:rPr>
      </w:pP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spacing w:before="212"/>
        <w:ind w:left="0" w:right="113" w:firstLine="0"/>
        <w:jc w:val="center"/>
        <w:rPr>
          <w:rFonts w:hint="eastAsia" w:ascii="宋体" w:hAnsi="宋体" w:eastAsia="宋体" w:cs="宋体"/>
          <w:b/>
          <w:color w:val="auto"/>
          <w:spacing w:val="0"/>
          <w:w w:val="100"/>
          <w:position w:val="0"/>
          <w:sz w:val="24"/>
          <w:szCs w:val="20"/>
          <w:highlight w:val="none"/>
          <w:lang w:val="en-US" w:eastAsia="zh-CN"/>
        </w:rPr>
      </w:pPr>
      <w:r>
        <w:rPr>
          <w:rFonts w:hint="eastAsia" w:ascii="宋体" w:hAnsi="宋体" w:eastAsia="宋体" w:cs="宋体"/>
          <w:b/>
          <w:color w:val="auto"/>
          <w:spacing w:val="0"/>
          <w:w w:val="100"/>
          <w:position w:val="0"/>
          <w:sz w:val="24"/>
          <w:szCs w:val="20"/>
          <w:highlight w:val="none"/>
          <w:lang w:val="en-US" w:eastAsia="zh-CN"/>
        </w:rPr>
        <w:t>投标声明</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我们，（投标人名称）己认真阅读《中华人民共和国政府采购法》、《中华人民共和国政府采购法实施条例》及项目第包</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项目编号：）招标文件相关内容，知悉投标人参加政府采购活动应当具备的条件。此次按招标文件要求提交的</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人资格证明材料，已经认真核对和检查，全部内容真实、合法、准确和完整，我们对此负责，并愿承担由此引起的法律责任。</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一、我方在此声明：</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（一）我方与采购人或采购代理机构不存在隶属关系或者其他利害关系。</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（二）我方与参加本项目的其他</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人不存在控股、关联关系，或者与其他</w:t>
      </w:r>
      <w:r>
        <w:rPr>
          <w:rFonts w:hint="eastAsia" w:ascii="宋体" w:hAnsi="宋体" w:eastAsia="宋体" w:cs="宋体"/>
          <w:color w:val="auto"/>
          <w:sz w:val="21"/>
          <w:szCs w:val="21"/>
          <w:highlight w:val="none"/>
          <w:lang w:eastAsia="zh-CN"/>
        </w:rPr>
        <w:t>投标</w:t>
      </w:r>
      <w:r>
        <w:rPr>
          <w:rFonts w:hint="eastAsia" w:ascii="宋体" w:hAnsi="宋体" w:eastAsia="宋体" w:cs="宋体"/>
          <w:color w:val="auto"/>
          <w:sz w:val="21"/>
          <w:szCs w:val="21"/>
          <w:highlight w:val="none"/>
        </w:rPr>
        <w:t>人法定代表人（或者负责人）为同一人。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二、我方承诺：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参加政府采购近3年内，</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（一）我方依法缴纳了各项税费及各项社会保障资金，没有偷税、漏税及欠缴行为。</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（二）我方在经营活动中没有存在下列重大违法记录：</w:t>
      </w:r>
    </w:p>
    <w:p>
      <w:pPr>
        <w:pStyle w:val="31"/>
        <w:spacing w:line="500" w:lineRule="exact"/>
        <w:ind w:firstLine="481"/>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1、受到刑事处罚；</w:t>
      </w:r>
    </w:p>
    <w:p>
      <w:pPr>
        <w:pStyle w:val="31"/>
        <w:spacing w:line="500" w:lineRule="exact"/>
        <w:ind w:firstLine="481"/>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2、受到3万元以上的罚款、责令停产停业、在1至3年内禁止参加政府采购活动、暂扣或者吊销许可证、暂扣或者吊销执照的行政处罚。</w:t>
      </w:r>
    </w:p>
    <w:p>
      <w:pPr>
        <w:pStyle w:val="31"/>
        <w:spacing w:line="500" w:lineRule="exact"/>
        <w:rPr>
          <w:rFonts w:hint="eastAsia" w:ascii="宋体" w:hAnsi="宋体" w:eastAsia="宋体" w:cs="宋体"/>
          <w:b/>
          <w:bCs/>
          <w:color w:val="auto"/>
          <w:sz w:val="21"/>
          <w:szCs w:val="21"/>
          <w:highlight w:val="none"/>
        </w:rPr>
      </w:pP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投标人名称（盖单位章）：</w:t>
      </w: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法定代表人或其委托代理人签字：</w:t>
      </w:r>
    </w:p>
    <w:p>
      <w:pPr>
        <w:spacing w:line="360" w:lineRule="auto"/>
        <w:rPr>
          <w:rFonts w:hint="eastAsia" w:ascii="宋体" w:hAnsi="宋体" w:eastAsia="宋体" w:cs="宋体"/>
          <w:color w:val="auto"/>
          <w:kern w:val="0"/>
          <w:sz w:val="21"/>
          <w:szCs w:val="21"/>
          <w:highlight w:val="none"/>
        </w:rPr>
      </w:pPr>
      <w:r>
        <w:rPr>
          <w:rFonts w:hint="eastAsia" w:ascii="宋体" w:hAnsi="宋体" w:eastAsia="宋体" w:cs="宋体"/>
          <w:color w:val="auto"/>
          <w:kern w:val="0"/>
          <w:sz w:val="21"/>
          <w:szCs w:val="21"/>
          <w:highlight w:val="none"/>
        </w:rPr>
        <w:t>日期：年月日</w:t>
      </w:r>
    </w:p>
    <w:p>
      <w:pPr>
        <w:pStyle w:val="31"/>
        <w:spacing w:line="360" w:lineRule="atLeast"/>
        <w:rPr>
          <w:rFonts w:hint="eastAsia" w:ascii="宋体" w:hAnsi="宋体" w:eastAsia="宋体" w:cs="宋体"/>
          <w:b/>
          <w:bCs/>
          <w:color w:val="auto"/>
          <w:sz w:val="21"/>
          <w:szCs w:val="21"/>
          <w:highlight w:val="none"/>
        </w:rPr>
      </w:pPr>
    </w:p>
    <w:p>
      <w:pPr>
        <w:pStyle w:val="12"/>
        <w:rPr>
          <w:rFonts w:hint="eastAsia" w:ascii="宋体" w:hAnsi="宋体" w:eastAsia="宋体" w:cs="宋体"/>
          <w:color w:val="auto"/>
          <w:sz w:val="16"/>
          <w:szCs w:val="16"/>
          <w:highlight w:val="none"/>
        </w:rPr>
      </w:pPr>
      <w:r>
        <w:rPr>
          <w:rFonts w:hint="eastAsia" w:ascii="宋体" w:hAnsi="宋体" w:eastAsia="宋体" w:cs="宋体"/>
          <w:b/>
          <w:bCs/>
          <w:color w:val="auto"/>
          <w:sz w:val="16"/>
          <w:szCs w:val="16"/>
          <w:highlight w:val="none"/>
        </w:rPr>
        <w:t>注：近3年：成立3年以上的，为提交首次投标文件截止时间前3年内；成立不足3年的，为实际时间。</w:t>
      </w:r>
    </w:p>
    <w:p>
      <w:pPr>
        <w:rPr>
          <w:rFonts w:hint="eastAsia" w:ascii="宋体" w:hAnsi="宋体" w:eastAsia="宋体" w:cs="宋体"/>
          <w:color w:val="auto"/>
          <w:spacing w:val="0"/>
          <w:w w:val="100"/>
          <w:position w:val="0"/>
          <w:sz w:val="20"/>
          <w:szCs w:val="20"/>
          <w:highlight w:val="none"/>
        </w:rPr>
      </w:pP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bookmarkStart w:id="113" w:name="_bookmark108"/>
      <w:bookmarkEnd w:id="113"/>
    </w:p>
    <w:p>
      <w:pPr>
        <w:rPr>
          <w:rFonts w:hint="eastAsia" w:ascii="宋体" w:hAnsi="宋体" w:eastAsia="宋体" w:cs="宋体"/>
          <w:color w:val="auto"/>
          <w:sz w:val="20"/>
          <w:szCs w:val="20"/>
          <w:highlight w:val="none"/>
        </w:rPr>
        <w:sectPr>
          <w:footerReference r:id="rId9" w:type="default"/>
          <w:pgSz w:w="11910" w:h="16840"/>
          <w:pgMar w:top="1440" w:right="1080" w:bottom="1440" w:left="1080" w:header="850" w:footer="999" w:gutter="0"/>
          <w:pgBorders>
            <w:top w:val="none" w:sz="0" w:space="0"/>
            <w:left w:val="none" w:sz="0" w:space="0"/>
            <w:bottom w:val="none" w:sz="0" w:space="0"/>
            <w:right w:val="none" w:sz="0" w:space="0"/>
          </w:pgBorders>
          <w:pgNumType w:fmt="numberInDash" w:start="1"/>
          <w:cols w:space="720" w:num="1"/>
        </w:sectPr>
      </w:pPr>
    </w:p>
    <w:p>
      <w:pPr>
        <w:pStyle w:val="4"/>
        <w:spacing w:before="43"/>
        <w:ind w:right="116"/>
        <w:outlineLvl w:val="1"/>
        <w:rPr>
          <w:rFonts w:hint="eastAsia" w:ascii="宋体" w:hAnsi="宋体" w:eastAsia="宋体" w:cs="宋体"/>
          <w:color w:val="auto"/>
          <w:spacing w:val="0"/>
          <w:w w:val="100"/>
          <w:position w:val="0"/>
          <w:sz w:val="28"/>
          <w:szCs w:val="28"/>
          <w:highlight w:val="none"/>
        </w:rPr>
      </w:pPr>
      <w:bookmarkStart w:id="114" w:name="_bookmark109"/>
      <w:bookmarkEnd w:id="114"/>
      <w:bookmarkStart w:id="115" w:name="_Toc15586"/>
      <w:r>
        <w:rPr>
          <w:rFonts w:hint="eastAsia" w:ascii="宋体" w:hAnsi="宋体" w:eastAsia="宋体" w:cs="宋体"/>
          <w:color w:val="auto"/>
          <w:spacing w:val="0"/>
          <w:w w:val="100"/>
          <w:position w:val="0"/>
          <w:sz w:val="28"/>
          <w:szCs w:val="28"/>
          <w:highlight w:val="none"/>
        </w:rPr>
        <w:t>附件 3 投标分项报价表格式</w:t>
      </w:r>
      <w:bookmarkEnd w:id="115"/>
    </w:p>
    <w:p>
      <w:pPr>
        <w:spacing w:before="212"/>
        <w:ind w:left="0" w:right="113" w:firstLine="0"/>
        <w:jc w:val="center"/>
        <w:rPr>
          <w:rFonts w:hint="eastAsia" w:ascii="宋体" w:hAnsi="宋体" w:eastAsia="宋体" w:cs="宋体"/>
          <w:b/>
          <w:color w:val="auto"/>
          <w:spacing w:val="0"/>
          <w:w w:val="100"/>
          <w:position w:val="0"/>
          <w:sz w:val="24"/>
          <w:szCs w:val="20"/>
          <w:highlight w:val="none"/>
          <w:lang w:val="en-US" w:eastAsia="zh-CN"/>
        </w:rPr>
      </w:pPr>
      <w:r>
        <w:rPr>
          <w:rFonts w:hint="eastAsia" w:ascii="宋体" w:hAnsi="宋体" w:eastAsia="宋体" w:cs="宋体"/>
          <w:b/>
          <w:color w:val="auto"/>
          <w:spacing w:val="0"/>
          <w:w w:val="100"/>
          <w:position w:val="0"/>
          <w:sz w:val="24"/>
          <w:szCs w:val="20"/>
          <w:highlight w:val="none"/>
          <w:lang w:val="en-US" w:eastAsia="zh-CN"/>
        </w:rPr>
        <w:t>投标分项报价表（货物类适用）</w:t>
      </w:r>
    </w:p>
    <w:p>
      <w:pPr>
        <w:pStyle w:val="11"/>
        <w:tabs>
          <w:tab w:val="left" w:pos="4855"/>
        </w:tabs>
        <w:spacing w:before="74" w:line="240" w:lineRule="auto"/>
        <w:ind w:left="240"/>
        <w:rPr>
          <w:rFonts w:hint="eastAsia" w:ascii="宋体" w:hAnsi="宋体" w:eastAsia="宋体" w:cs="宋体"/>
          <w:color w:val="auto"/>
          <w:spacing w:val="0"/>
          <w:w w:val="100"/>
          <w:position w:val="0"/>
          <w:sz w:val="21"/>
          <w:szCs w:val="21"/>
          <w:highlight w:val="none"/>
          <w:u w:val="single"/>
          <w:lang w:val="en-US" w:eastAsia="zh-CN"/>
        </w:rPr>
      </w:pPr>
      <w:r>
        <w:rPr>
          <w:rFonts w:hint="eastAsia" w:ascii="宋体" w:hAnsi="宋体" w:eastAsia="宋体" w:cs="宋体"/>
          <w:color w:val="auto"/>
          <w:spacing w:val="0"/>
          <w:w w:val="100"/>
          <w:position w:val="0"/>
          <w:sz w:val="21"/>
          <w:szCs w:val="21"/>
          <w:highlight w:val="none"/>
        </w:rPr>
        <w:t>项目名称：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11"/>
        <w:tabs>
          <w:tab w:val="left" w:pos="4855"/>
        </w:tabs>
        <w:spacing w:before="74" w:line="240" w:lineRule="auto"/>
        <w:ind w:left="24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包件号：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rPr>
        <w:t>包件名称：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pacing w:val="0"/>
          <w:w w:val="100"/>
          <w:position w:val="0"/>
          <w:sz w:val="21"/>
          <w:szCs w:val="21"/>
          <w:highlight w:val="none"/>
          <w:u w:val="single"/>
        </w:rPr>
        <w:tab/>
      </w:r>
    </w:p>
    <w:p>
      <w:pPr>
        <w:pStyle w:val="11"/>
        <w:spacing w:before="1"/>
        <w:ind w:left="240"/>
        <w:jc w:val="righ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价格单位：人民币元</w:t>
      </w:r>
    </w:p>
    <w:p>
      <w:pPr>
        <w:pStyle w:val="11"/>
        <w:spacing w:before="4"/>
        <w:rPr>
          <w:rFonts w:hint="eastAsia" w:ascii="宋体" w:hAnsi="宋体" w:eastAsia="宋体" w:cs="宋体"/>
          <w:color w:val="auto"/>
          <w:spacing w:val="0"/>
          <w:w w:val="100"/>
          <w:position w:val="0"/>
          <w:sz w:val="10"/>
          <w:szCs w:val="21"/>
          <w:highlight w:val="none"/>
        </w:rPr>
      </w:pPr>
    </w:p>
    <w:tbl>
      <w:tblPr>
        <w:tblStyle w:val="23"/>
        <w:tblW w:w="13854" w:type="dxa"/>
        <w:jc w:val="center"/>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927"/>
        <w:gridCol w:w="2069"/>
        <w:gridCol w:w="30"/>
        <w:gridCol w:w="956"/>
        <w:gridCol w:w="2047"/>
        <w:gridCol w:w="1839"/>
        <w:gridCol w:w="3218"/>
        <w:gridCol w:w="927"/>
        <w:gridCol w:w="1841"/>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序号</w:t>
            </w:r>
          </w:p>
        </w:tc>
        <w:tc>
          <w:tcPr>
            <w:tcW w:w="2069"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名称</w:t>
            </w:r>
          </w:p>
        </w:tc>
        <w:tc>
          <w:tcPr>
            <w:tcW w:w="986" w:type="dxa"/>
            <w:gridSpan w:val="2"/>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数量</w:t>
            </w:r>
          </w:p>
        </w:tc>
        <w:tc>
          <w:tcPr>
            <w:tcW w:w="2047"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型号和规格</w:t>
            </w:r>
          </w:p>
        </w:tc>
        <w:tc>
          <w:tcPr>
            <w:tcW w:w="1839"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lang w:val="en-US" w:eastAsia="zh-CN"/>
              </w:rPr>
            </w:pPr>
            <w:r>
              <w:rPr>
                <w:rFonts w:hint="eastAsia" w:ascii="宋体" w:hAnsi="宋体" w:eastAsia="宋体" w:cs="宋体"/>
                <w:b/>
                <w:color w:val="auto"/>
                <w:spacing w:val="0"/>
                <w:w w:val="100"/>
                <w:position w:val="0"/>
                <w:sz w:val="21"/>
                <w:szCs w:val="20"/>
                <w:highlight w:val="none"/>
                <w:lang w:val="en-US" w:eastAsia="zh-CN"/>
              </w:rPr>
              <w:t>品牌</w:t>
            </w:r>
          </w:p>
        </w:tc>
        <w:tc>
          <w:tcPr>
            <w:tcW w:w="321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原产地和制造商名称</w:t>
            </w:r>
          </w:p>
        </w:tc>
        <w:tc>
          <w:tcPr>
            <w:tcW w:w="927"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单价</w:t>
            </w:r>
          </w:p>
        </w:tc>
        <w:tc>
          <w:tcPr>
            <w:tcW w:w="1841"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分项合计</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【产品】</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1.2</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【备品备件】</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2"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【安装】</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09"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【售后服务】</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11" w:hRule="atLeast"/>
          <w:jc w:val="center"/>
        </w:trPr>
        <w:tc>
          <w:tcPr>
            <w:tcW w:w="927" w:type="dxa"/>
            <w:tcBorders>
              <w:top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4.1</w:t>
            </w:r>
          </w:p>
        </w:tc>
        <w:tc>
          <w:tcPr>
            <w:tcW w:w="206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986" w:type="dxa"/>
            <w:gridSpan w:val="2"/>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204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39"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3218"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927" w:type="dxa"/>
            <w:tcBorders>
              <w:top w:val="single" w:color="000000" w:sz="4" w:space="0"/>
              <w:left w:val="single" w:color="000000" w:sz="4" w:space="0"/>
              <w:bottom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c>
          <w:tcPr>
            <w:tcW w:w="1841" w:type="dxa"/>
            <w:tcBorders>
              <w:top w:val="single" w:color="000000" w:sz="4" w:space="0"/>
              <w:left w:val="single" w:color="000000" w:sz="4" w:space="0"/>
              <w:bottom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0"/>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390" w:hRule="atLeast"/>
          <w:jc w:val="center"/>
        </w:trPr>
        <w:tc>
          <w:tcPr>
            <w:tcW w:w="3026" w:type="dxa"/>
            <w:gridSpan w:val="3"/>
            <w:tcBorders>
              <w:top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right"/>
              <w:textAlignment w:val="auto"/>
              <w:rPr>
                <w:rFonts w:hint="eastAsia" w:ascii="宋体" w:hAnsi="宋体" w:eastAsia="宋体" w:cs="宋体"/>
                <w:color w:val="auto"/>
                <w:spacing w:val="0"/>
                <w:w w:val="100"/>
                <w:position w:val="0"/>
                <w:sz w:val="21"/>
                <w:szCs w:val="20"/>
                <w:highlight w:val="none"/>
              </w:rPr>
            </w:pPr>
          </w:p>
        </w:tc>
        <w:tc>
          <w:tcPr>
            <w:tcW w:w="8987" w:type="dxa"/>
            <w:gridSpan w:val="5"/>
            <w:tcBorders>
              <w:top w:val="single" w:color="000000" w:sz="4" w:space="0"/>
              <w:righ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righ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投标总价</w:t>
            </w:r>
          </w:p>
        </w:tc>
        <w:tc>
          <w:tcPr>
            <w:tcW w:w="1841" w:type="dxa"/>
            <w:tcBorders>
              <w:top w:val="single" w:color="000000" w:sz="4" w:space="0"/>
              <w:left w:val="single" w:color="000000" w:sz="4" w:space="0"/>
            </w:tcBorders>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注：1、投标总价应为各分项合计汇总之和。</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2、如果不提供投标分项报价表将视为没有实质性响应招标文件。</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sectPr>
          <w:headerReference r:id="rId10" w:type="default"/>
          <w:footerReference r:id="rId11" w:type="default"/>
          <w:pgSz w:w="16840" w:h="11910" w:orient="landscape"/>
          <w:pgMar w:top="1440" w:right="1080" w:bottom="1440" w:left="1080" w:header="850" w:footer="999" w:gutter="0"/>
          <w:pgBorders>
            <w:top w:val="none" w:sz="0" w:space="0"/>
            <w:left w:val="none" w:sz="0" w:space="0"/>
            <w:bottom w:val="none" w:sz="0" w:space="0"/>
            <w:right w:val="none" w:sz="0" w:space="0"/>
          </w:pgBorders>
          <w:pgNumType w:fmt="numberInDash"/>
          <w:cols w:space="720" w:num="1"/>
        </w:sectPr>
      </w:pPr>
      <w:bookmarkStart w:id="116" w:name="_bookmark110"/>
      <w:bookmarkEnd w:id="116"/>
    </w:p>
    <w:p>
      <w:pPr>
        <w:pStyle w:val="4"/>
        <w:spacing w:before="43"/>
        <w:ind w:left="363" w:right="434"/>
        <w:outlineLvl w:val="1"/>
        <w:rPr>
          <w:rFonts w:hint="eastAsia" w:ascii="宋体" w:hAnsi="宋体" w:eastAsia="宋体" w:cs="宋体"/>
          <w:color w:val="auto"/>
          <w:spacing w:val="0"/>
          <w:w w:val="100"/>
          <w:position w:val="0"/>
          <w:sz w:val="28"/>
          <w:szCs w:val="28"/>
          <w:highlight w:val="none"/>
        </w:rPr>
      </w:pPr>
      <w:bookmarkStart w:id="117" w:name="_bookmark111"/>
      <w:bookmarkEnd w:id="117"/>
      <w:bookmarkStart w:id="118" w:name="_Toc31803"/>
      <w:r>
        <w:rPr>
          <w:rFonts w:hint="eastAsia" w:ascii="宋体" w:hAnsi="宋体" w:eastAsia="宋体" w:cs="宋体"/>
          <w:color w:val="auto"/>
          <w:spacing w:val="0"/>
          <w:w w:val="100"/>
          <w:position w:val="0"/>
          <w:sz w:val="28"/>
          <w:szCs w:val="28"/>
          <w:highlight w:val="none"/>
        </w:rPr>
        <w:t>附件 4 技术服务需求偏离表格式</w:t>
      </w:r>
      <w:bookmarkEnd w:id="118"/>
    </w:p>
    <w:p>
      <w:pPr>
        <w:pStyle w:val="11"/>
        <w:ind w:left="400"/>
        <w:jc w:val="center"/>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技术服务需求偏离表</w:t>
      </w:r>
    </w:p>
    <w:p>
      <w:pPr>
        <w:pStyle w:val="11"/>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项目名称：</w:t>
      </w:r>
    </w:p>
    <w:p>
      <w:pPr>
        <w:pStyle w:val="11"/>
        <w:tabs>
          <w:tab w:val="left" w:pos="4961"/>
        </w:tabs>
        <w:spacing w:before="158"/>
        <w:ind w:left="400"/>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p>
    <w:p>
      <w:pPr>
        <w:pStyle w:val="11"/>
        <w:tabs>
          <w:tab w:val="left" w:pos="4961"/>
        </w:tabs>
        <w:spacing w:before="158"/>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包号：</w:t>
      </w:r>
      <w:r>
        <w:rPr>
          <w:rFonts w:hint="eastAsia" w:ascii="宋体" w:hAnsi="宋体" w:eastAsia="宋体" w:cs="宋体"/>
          <w:color w:val="auto"/>
          <w:spacing w:val="0"/>
          <w:w w:val="100"/>
          <w:position w:val="0"/>
          <w:sz w:val="21"/>
          <w:szCs w:val="21"/>
          <w:highlight w:val="none"/>
        </w:rPr>
        <w:tab/>
      </w:r>
      <w:r>
        <w:rPr>
          <w:rFonts w:hint="eastAsia" w:ascii="宋体" w:hAnsi="宋体" w:eastAsia="宋体" w:cs="宋体"/>
          <w:color w:val="auto"/>
          <w:spacing w:val="0"/>
          <w:w w:val="100"/>
          <w:position w:val="0"/>
          <w:sz w:val="21"/>
          <w:szCs w:val="21"/>
          <w:highlight w:val="none"/>
        </w:rPr>
        <w:t>包件名称：</w:t>
      </w:r>
    </w:p>
    <w:p>
      <w:pPr>
        <w:pStyle w:val="11"/>
        <w:spacing w:before="7"/>
        <w:rPr>
          <w:rFonts w:hint="eastAsia" w:ascii="宋体" w:hAnsi="宋体" w:eastAsia="宋体" w:cs="宋体"/>
          <w:color w:val="auto"/>
          <w:spacing w:val="0"/>
          <w:w w:val="100"/>
          <w:position w:val="0"/>
          <w:sz w:val="10"/>
          <w:szCs w:val="21"/>
          <w:highlight w:val="none"/>
        </w:rPr>
      </w:pPr>
    </w:p>
    <w:tbl>
      <w:tblPr>
        <w:tblStyle w:val="23"/>
        <w:tblW w:w="0" w:type="auto"/>
        <w:tblInd w:w="416"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535"/>
        <w:gridCol w:w="1558"/>
        <w:gridCol w:w="1418"/>
        <w:gridCol w:w="2035"/>
        <w:gridCol w:w="1440"/>
        <w:gridCol w:w="1536"/>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1244" w:hRule="atLeast"/>
        </w:trPr>
        <w:tc>
          <w:tcPr>
            <w:tcW w:w="535"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55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指标项</w:t>
            </w:r>
          </w:p>
        </w:tc>
        <w:tc>
          <w:tcPr>
            <w:tcW w:w="1418"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招标文件需求要求</w:t>
            </w:r>
          </w:p>
        </w:tc>
        <w:tc>
          <w:tcPr>
            <w:tcW w:w="2035"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投标货物及服务的技术参数和性能</w:t>
            </w:r>
          </w:p>
        </w:tc>
        <w:tc>
          <w:tcPr>
            <w:tcW w:w="1440"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偏离说明</w:t>
            </w:r>
          </w:p>
        </w:tc>
        <w:tc>
          <w:tcPr>
            <w:tcW w:w="1536"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相关说明文件及证明文件在投标文件中的页码</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340"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【填写招标文件技术服务需求书要求的编号】</w:t>
            </w:r>
          </w:p>
        </w:tc>
        <w:tc>
          <w:tcPr>
            <w:tcW w:w="141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【填写招标文件的技术服务需求中该编号对应的 具体 要</w:t>
            </w:r>
          </w:p>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求】</w:t>
            </w:r>
          </w:p>
        </w:tc>
        <w:tc>
          <w:tcPr>
            <w:tcW w:w="2035"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【填写投标货物及服务对该要求的技术参数和性能响应】</w:t>
            </w: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【填写：优于、满足或不满足，并可进一步进行说明】</w:t>
            </w: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5"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3" w:hRule="atLeast"/>
        </w:trPr>
        <w:tc>
          <w:tcPr>
            <w:tcW w:w="535"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52" w:hRule="atLeast"/>
        </w:trPr>
        <w:tc>
          <w:tcPr>
            <w:tcW w:w="535" w:type="dxa"/>
            <w:tcBorders>
              <w:top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5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18"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035"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40"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536" w:type="dxa"/>
            <w:tcBorders>
              <w:top w:val="single" w:color="000000" w:sz="4" w:space="0"/>
              <w:lef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pStyle w:val="11"/>
        <w:rPr>
          <w:rFonts w:hint="eastAsia" w:ascii="宋体" w:hAnsi="宋体" w:eastAsia="宋体" w:cs="宋体"/>
          <w:color w:val="auto"/>
          <w:spacing w:val="0"/>
          <w:w w:val="100"/>
          <w:position w:val="0"/>
          <w:sz w:val="20"/>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lang w:val="en-US" w:eastAsia="zh-CN"/>
        </w:rPr>
        <w:tab/>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1、要求投标人对招标文件中第四章“技术服务需求”进行逐条（项目背景介绍和采购需求一览表除外）应答。</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2、投标人应提供明确的说明文件及证明文件在投标文件中的页码索引。</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5"/>
        <w:outlineLvl w:val="1"/>
        <w:rPr>
          <w:rFonts w:hint="eastAsia" w:ascii="宋体" w:hAnsi="宋体" w:eastAsia="宋体" w:cs="宋体"/>
          <w:color w:val="auto"/>
          <w:spacing w:val="0"/>
          <w:w w:val="100"/>
          <w:position w:val="0"/>
          <w:sz w:val="28"/>
          <w:szCs w:val="28"/>
          <w:highlight w:val="none"/>
        </w:rPr>
      </w:pPr>
      <w:bookmarkStart w:id="119" w:name="_bookmark112"/>
      <w:bookmarkEnd w:id="119"/>
      <w:bookmarkStart w:id="120" w:name="_Toc15853"/>
      <w:r>
        <w:rPr>
          <w:rFonts w:hint="eastAsia" w:ascii="宋体" w:hAnsi="宋体" w:eastAsia="宋体" w:cs="宋体"/>
          <w:color w:val="auto"/>
          <w:spacing w:val="0"/>
          <w:w w:val="100"/>
          <w:position w:val="0"/>
          <w:sz w:val="28"/>
          <w:szCs w:val="28"/>
          <w:highlight w:val="none"/>
        </w:rPr>
        <w:t>附件 5 商务条款偏离表格式</w:t>
      </w:r>
      <w:bookmarkEnd w:id="120"/>
    </w:p>
    <w:p>
      <w:pPr>
        <w:pStyle w:val="11"/>
        <w:ind w:left="400"/>
        <w:jc w:val="center"/>
        <w:rPr>
          <w:rFonts w:hint="eastAsia" w:ascii="宋体" w:hAnsi="宋体" w:eastAsia="宋体" w:cs="宋体"/>
          <w:b/>
          <w:bCs/>
          <w:color w:val="auto"/>
          <w:spacing w:val="0"/>
          <w:w w:val="100"/>
          <w:position w:val="0"/>
          <w:sz w:val="24"/>
          <w:szCs w:val="24"/>
          <w:highlight w:val="none"/>
        </w:rPr>
      </w:pPr>
      <w:r>
        <w:rPr>
          <w:rFonts w:hint="eastAsia" w:ascii="宋体" w:hAnsi="宋体" w:eastAsia="宋体" w:cs="宋体"/>
          <w:b/>
          <w:bCs/>
          <w:color w:val="auto"/>
          <w:spacing w:val="0"/>
          <w:w w:val="100"/>
          <w:position w:val="0"/>
          <w:sz w:val="24"/>
          <w:szCs w:val="24"/>
          <w:highlight w:val="none"/>
        </w:rPr>
        <w:t>商务条款偏离表</w:t>
      </w:r>
    </w:p>
    <w:p>
      <w:pPr>
        <w:pStyle w:val="11"/>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项目名称：</w:t>
      </w:r>
    </w:p>
    <w:p>
      <w:pPr>
        <w:pStyle w:val="11"/>
        <w:tabs>
          <w:tab w:val="left" w:pos="4961"/>
        </w:tabs>
        <w:spacing w:before="158"/>
        <w:ind w:left="400"/>
        <w:rPr>
          <w:rFonts w:hint="eastAsia" w:ascii="宋体" w:hAnsi="宋体" w:eastAsia="宋体" w:cs="宋体"/>
          <w:color w:val="auto"/>
          <w:spacing w:val="0"/>
          <w:w w:val="100"/>
          <w:position w:val="0"/>
          <w:sz w:val="21"/>
          <w:szCs w:val="21"/>
          <w:highlight w:val="none"/>
          <w:lang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lang w:eastAsia="zh-CN"/>
        </w:rPr>
        <w:t>：</w:t>
      </w:r>
    </w:p>
    <w:p>
      <w:pPr>
        <w:pStyle w:val="11"/>
        <w:tabs>
          <w:tab w:val="left" w:pos="4961"/>
        </w:tabs>
        <w:spacing w:before="158"/>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包号：</w:t>
      </w:r>
      <w:r>
        <w:rPr>
          <w:rFonts w:hint="eastAsia" w:ascii="宋体" w:hAnsi="宋体" w:eastAsia="宋体" w:cs="宋体"/>
          <w:color w:val="auto"/>
          <w:spacing w:val="0"/>
          <w:w w:val="100"/>
          <w:position w:val="0"/>
          <w:sz w:val="21"/>
          <w:szCs w:val="21"/>
          <w:highlight w:val="none"/>
        </w:rPr>
        <w:tab/>
      </w:r>
      <w:r>
        <w:rPr>
          <w:rFonts w:hint="eastAsia" w:ascii="宋体" w:hAnsi="宋体" w:eastAsia="宋体" w:cs="宋体"/>
          <w:color w:val="auto"/>
          <w:spacing w:val="0"/>
          <w:w w:val="100"/>
          <w:position w:val="0"/>
          <w:sz w:val="21"/>
          <w:szCs w:val="21"/>
          <w:highlight w:val="none"/>
        </w:rPr>
        <w:t>包件名称：</w:t>
      </w:r>
    </w:p>
    <w:p>
      <w:pPr>
        <w:pStyle w:val="11"/>
        <w:spacing w:before="7"/>
        <w:rPr>
          <w:rFonts w:hint="eastAsia" w:ascii="宋体" w:hAnsi="宋体" w:eastAsia="宋体" w:cs="宋体"/>
          <w:color w:val="auto"/>
          <w:spacing w:val="0"/>
          <w:w w:val="100"/>
          <w:position w:val="0"/>
          <w:sz w:val="10"/>
          <w:szCs w:val="21"/>
          <w:highlight w:val="none"/>
        </w:rPr>
      </w:pPr>
    </w:p>
    <w:tbl>
      <w:tblPr>
        <w:tblStyle w:val="23"/>
        <w:tblW w:w="0" w:type="auto"/>
        <w:tblInd w:w="308" w:type="dxa"/>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Layout w:type="fixed"/>
        <w:tblCellMar>
          <w:top w:w="0" w:type="dxa"/>
          <w:left w:w="0" w:type="dxa"/>
          <w:bottom w:w="0" w:type="dxa"/>
          <w:right w:w="0" w:type="dxa"/>
        </w:tblCellMar>
      </w:tblPr>
      <w:tblGrid>
        <w:gridCol w:w="708"/>
        <w:gridCol w:w="1921"/>
        <w:gridCol w:w="2401"/>
        <w:gridCol w:w="2471"/>
        <w:gridCol w:w="1420"/>
      </w:tblGrid>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92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招标文件条目号</w:t>
            </w:r>
          </w:p>
        </w:tc>
        <w:tc>
          <w:tcPr>
            <w:tcW w:w="240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招标文件的商务条款</w:t>
            </w:r>
          </w:p>
        </w:tc>
        <w:tc>
          <w:tcPr>
            <w:tcW w:w="2471" w:type="dxa"/>
            <w:tcBorders>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投标文件的商务条款</w:t>
            </w:r>
          </w:p>
        </w:tc>
        <w:tc>
          <w:tcPr>
            <w:tcW w:w="1420" w:type="dxa"/>
            <w:tcBorders>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偏离说明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2006"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【填写招标文件技术服务需求书要求的编号】</w:t>
            </w:r>
          </w:p>
        </w:tc>
        <w:tc>
          <w:tcPr>
            <w:tcW w:w="240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【填写招标文件的拟签订的合同文本中该编号具体要求】</w:t>
            </w:r>
          </w:p>
        </w:tc>
        <w:tc>
          <w:tcPr>
            <w:tcW w:w="247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【填写投标人对该要求的响应】</w:t>
            </w: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【填写：优于、满足或不满足，并可进一步进行 偏离 说明】</w:t>
            </w: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5"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7" w:hRule="atLeast"/>
        </w:trPr>
        <w:tc>
          <w:tcPr>
            <w:tcW w:w="708" w:type="dxa"/>
            <w:tcBorders>
              <w:top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bottom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bottom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12" w:space="0"/>
            <w:left w:val="single" w:color="000000" w:sz="12" w:space="0"/>
            <w:bottom w:val="single" w:color="000000" w:sz="12" w:space="0"/>
            <w:right w:val="single" w:color="000000" w:sz="12" w:space="0"/>
            <w:insideH w:val="single" w:color="000000" w:sz="12" w:space="0"/>
            <w:insideV w:val="single" w:color="000000" w:sz="12" w:space="0"/>
          </w:tblBorders>
          <w:tblCellMar>
            <w:top w:w="0" w:type="dxa"/>
            <w:left w:w="0" w:type="dxa"/>
            <w:bottom w:w="0" w:type="dxa"/>
            <w:right w:w="0" w:type="dxa"/>
          </w:tblCellMar>
        </w:tblPrEx>
        <w:trPr>
          <w:trHeight w:val="464" w:hRule="atLeast"/>
        </w:trPr>
        <w:tc>
          <w:tcPr>
            <w:tcW w:w="708" w:type="dxa"/>
            <w:tcBorders>
              <w:top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92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0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2471" w:type="dxa"/>
            <w:tcBorders>
              <w:top w:val="single" w:color="000000" w:sz="4" w:space="0"/>
              <w:left w:val="single" w:color="000000" w:sz="4" w:space="0"/>
              <w:righ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c>
          <w:tcPr>
            <w:tcW w:w="1420" w:type="dxa"/>
            <w:tcBorders>
              <w:top w:val="single" w:color="000000" w:sz="4" w:space="0"/>
              <w:left w:val="single" w:color="000000" w:sz="4" w:space="0"/>
            </w:tcBorders>
            <w:vAlign w:val="center"/>
          </w:tcPr>
          <w:p>
            <w:pPr>
              <w:pStyle w:val="29"/>
              <w:keepNext w:val="0"/>
              <w:keepLines w:val="0"/>
              <w:pageBreakBefore w:val="0"/>
              <w:widowControl w:val="0"/>
              <w:kinsoku/>
              <w:wordWrap/>
              <w:overflowPunct/>
              <w:topLinePunct w:val="0"/>
              <w:autoSpaceDE w:val="0"/>
              <w:autoSpaceDN w:val="0"/>
              <w:bidi w:val="0"/>
              <w:adjustRightInd/>
              <w:snapToGrid/>
              <w:spacing w:line="240" w:lineRule="auto"/>
              <w:ind w:left="0"/>
              <w:jc w:val="center"/>
              <w:textAlignment w:val="auto"/>
              <w:rPr>
                <w:rFonts w:hint="eastAsia" w:ascii="宋体" w:hAnsi="宋体" w:eastAsia="宋体" w:cs="宋体"/>
                <w:color w:val="auto"/>
                <w:spacing w:val="0"/>
                <w:w w:val="100"/>
                <w:position w:val="0"/>
                <w:sz w:val="21"/>
                <w:szCs w:val="20"/>
                <w:highlight w:val="none"/>
              </w:rPr>
            </w:pPr>
          </w:p>
        </w:tc>
      </w:tr>
    </w:tbl>
    <w:p>
      <w:pPr>
        <w:pStyle w:val="11"/>
        <w:rPr>
          <w:rFonts w:hint="eastAsia" w:ascii="宋体" w:hAnsi="宋体" w:eastAsia="宋体" w:cs="宋体"/>
          <w:color w:val="auto"/>
          <w:spacing w:val="0"/>
          <w:w w:val="100"/>
          <w:position w:val="0"/>
          <w:sz w:val="21"/>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pStyle w:val="11"/>
        <w:spacing w:before="10"/>
        <w:rPr>
          <w:rFonts w:hint="eastAsia" w:ascii="宋体" w:hAnsi="宋体" w:eastAsia="宋体" w:cs="宋体"/>
          <w:color w:val="auto"/>
          <w:spacing w:val="0"/>
          <w:w w:val="100"/>
          <w:position w:val="0"/>
          <w:sz w:val="22"/>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r>
        <w:rPr>
          <w:rFonts w:hint="eastAsia" w:ascii="宋体" w:hAnsi="宋体" w:eastAsia="宋体" w:cs="宋体"/>
          <w:color w:val="auto"/>
          <w:sz w:val="21"/>
          <w:szCs w:val="21"/>
          <w:highlight w:val="none"/>
          <w:lang w:val="en-US" w:eastAsia="zh-CN"/>
        </w:rPr>
        <w:tab/>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1、投标人如果对招标文件第五章“拟签订的合同文本”中的合同条款的响应有任何偏离，请在本表中详细列明填写；满足的合同条款不必列出。</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2、除以上“偏离说明”栏中列明的“不满足”或“优于”项外，视为投标人无条件满足并接受招标文件规定的所有其他商务条款。</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3、如不列出，视为投标人无条件满足并接受招标文件规定的所有商务条款。</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6"/>
        <w:outlineLvl w:val="1"/>
        <w:rPr>
          <w:rFonts w:hint="eastAsia" w:ascii="宋体" w:hAnsi="宋体" w:eastAsia="宋体" w:cs="宋体"/>
          <w:color w:val="auto"/>
          <w:spacing w:val="0"/>
          <w:w w:val="100"/>
          <w:position w:val="0"/>
          <w:sz w:val="28"/>
          <w:szCs w:val="28"/>
          <w:highlight w:val="none"/>
        </w:rPr>
      </w:pPr>
      <w:bookmarkStart w:id="121" w:name="_bookmark113"/>
      <w:bookmarkEnd w:id="121"/>
      <w:bookmarkStart w:id="122" w:name="_Toc13009"/>
      <w:r>
        <w:rPr>
          <w:rFonts w:hint="eastAsia" w:ascii="宋体" w:hAnsi="宋体" w:eastAsia="宋体" w:cs="宋体"/>
          <w:color w:val="auto"/>
          <w:spacing w:val="0"/>
          <w:w w:val="100"/>
          <w:position w:val="0"/>
          <w:sz w:val="28"/>
          <w:szCs w:val="28"/>
          <w:highlight w:val="none"/>
        </w:rPr>
        <w:t>附件 6 法定代表人授权书格式</w:t>
      </w:r>
      <w:bookmarkEnd w:id="122"/>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【投标人为无法定代表人的其他团体组织等时，法定代表人则系指其负责人。法定代表人（或负责人）签字、盖手签章或盖姓名章均为有效法定代表人签署。】</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【投标人须知前附表加注“*”的投标文件构成部分其他文件均由法定代表人在相应位置直接签署时，无需提供法定代表人授权书，但应提供法定代表人身份证明复印件】</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rPr>
      </w:pPr>
      <w:r>
        <w:rPr>
          <w:rFonts w:hint="eastAsia" w:ascii="宋体" w:hAnsi="宋体" w:eastAsia="宋体" w:cs="宋体"/>
          <w:b/>
          <w:color w:val="auto"/>
          <w:spacing w:val="0"/>
          <w:w w:val="100"/>
          <w:position w:val="0"/>
          <w:sz w:val="24"/>
          <w:szCs w:val="21"/>
          <w:highlight w:val="none"/>
        </w:rPr>
        <w:t>法定代表人授权书</w:t>
      </w:r>
    </w:p>
    <w:p>
      <w:pPr>
        <w:pStyle w:val="11"/>
        <w:spacing w:before="6"/>
        <w:rPr>
          <w:rFonts w:hint="eastAsia" w:ascii="宋体" w:hAnsi="宋体" w:eastAsia="宋体" w:cs="宋体"/>
          <w:b/>
          <w:color w:val="auto"/>
          <w:spacing w:val="0"/>
          <w:w w:val="100"/>
          <w:position w:val="0"/>
          <w:sz w:val="22"/>
          <w:szCs w:val="21"/>
          <w:highlight w:val="none"/>
        </w:rPr>
      </w:pP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致</w:t>
      </w: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rPr>
        <w:t>：</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本授权书声明：注册于</w:t>
      </w:r>
      <w:r>
        <w:rPr>
          <w:rFonts w:hint="eastAsia" w:ascii="宋体" w:hAnsi="宋体" w:eastAsia="宋体" w:cs="宋体"/>
          <w:color w:val="auto"/>
          <w:spacing w:val="0"/>
          <w:w w:val="100"/>
          <w:position w:val="0"/>
          <w:sz w:val="21"/>
          <w:szCs w:val="21"/>
          <w:highlight w:val="none"/>
          <w:u w:val="single"/>
        </w:rPr>
        <w:t xml:space="preserve">  【注册地址】 </w:t>
      </w:r>
      <w:r>
        <w:rPr>
          <w:rFonts w:hint="eastAsia" w:ascii="宋体" w:hAnsi="宋体" w:eastAsia="宋体" w:cs="宋体"/>
          <w:color w:val="auto"/>
          <w:spacing w:val="0"/>
          <w:w w:val="100"/>
          <w:position w:val="0"/>
          <w:sz w:val="21"/>
          <w:szCs w:val="21"/>
          <w:highlight w:val="none"/>
        </w:rPr>
        <w:t>的</w:t>
      </w:r>
      <w:r>
        <w:rPr>
          <w:rFonts w:hint="eastAsia" w:ascii="宋体" w:hAnsi="宋体" w:eastAsia="宋体" w:cs="宋体"/>
          <w:color w:val="auto"/>
          <w:spacing w:val="0"/>
          <w:w w:val="100"/>
          <w:position w:val="0"/>
          <w:sz w:val="21"/>
          <w:szCs w:val="21"/>
          <w:highlight w:val="none"/>
          <w:u w:val="single"/>
        </w:rPr>
        <w:t xml:space="preserve"> 【某某公司或某某单位】</w:t>
      </w:r>
      <w:r>
        <w:rPr>
          <w:rFonts w:hint="eastAsia" w:ascii="宋体" w:hAnsi="宋体" w:eastAsia="宋体" w:cs="宋体"/>
          <w:color w:val="auto"/>
          <w:spacing w:val="0"/>
          <w:w w:val="100"/>
          <w:position w:val="0"/>
          <w:sz w:val="21"/>
          <w:szCs w:val="21"/>
          <w:highlight w:val="none"/>
        </w:rPr>
        <w:t xml:space="preserve"> 的在下面签字的</w:t>
      </w:r>
      <w:r>
        <w:rPr>
          <w:rFonts w:hint="eastAsia" w:ascii="宋体" w:hAnsi="宋体" w:eastAsia="宋体" w:cs="宋体"/>
          <w:color w:val="auto"/>
          <w:spacing w:val="0"/>
          <w:w w:val="100"/>
          <w:position w:val="0"/>
          <w:sz w:val="21"/>
          <w:szCs w:val="21"/>
          <w:highlight w:val="none"/>
          <w:u w:val="single"/>
        </w:rPr>
        <w:t xml:space="preserve">  【法定代表人或负责人姓名、职务】 </w:t>
      </w:r>
      <w:r>
        <w:rPr>
          <w:rFonts w:hint="eastAsia" w:ascii="宋体" w:hAnsi="宋体" w:eastAsia="宋体" w:cs="宋体"/>
          <w:color w:val="auto"/>
          <w:spacing w:val="0"/>
          <w:w w:val="100"/>
          <w:position w:val="0"/>
          <w:sz w:val="21"/>
          <w:szCs w:val="21"/>
          <w:highlight w:val="none"/>
        </w:rPr>
        <w:t>代表本公司授权在下面签字的</w:t>
      </w:r>
      <w:r>
        <w:rPr>
          <w:rFonts w:hint="eastAsia" w:ascii="宋体" w:hAnsi="宋体" w:eastAsia="宋体" w:cs="宋体"/>
          <w:color w:val="auto"/>
          <w:spacing w:val="0"/>
          <w:w w:val="100"/>
          <w:position w:val="0"/>
          <w:sz w:val="21"/>
          <w:szCs w:val="21"/>
          <w:highlight w:val="none"/>
          <w:u w:val="single"/>
        </w:rPr>
        <w:t>【被授权人的姓名、职务】</w:t>
      </w:r>
      <w:r>
        <w:rPr>
          <w:rFonts w:hint="eastAsia" w:ascii="宋体" w:hAnsi="宋体" w:eastAsia="宋体" w:cs="宋体"/>
          <w:color w:val="auto"/>
          <w:spacing w:val="0"/>
          <w:w w:val="100"/>
          <w:position w:val="0"/>
          <w:sz w:val="21"/>
          <w:szCs w:val="21"/>
          <w:highlight w:val="none"/>
        </w:rPr>
        <w:t xml:space="preserve"> 为本公司的合法代理人，就</w:t>
      </w:r>
      <w:r>
        <w:rPr>
          <w:rFonts w:hint="eastAsia" w:ascii="宋体" w:hAnsi="宋体" w:eastAsia="宋体" w:cs="宋体"/>
          <w:color w:val="auto"/>
          <w:spacing w:val="0"/>
          <w:w w:val="100"/>
          <w:position w:val="0"/>
          <w:sz w:val="21"/>
          <w:szCs w:val="21"/>
          <w:highlight w:val="none"/>
          <w:u w:val="single"/>
        </w:rPr>
        <w:t xml:space="preserve"> 【项目名称】</w:t>
      </w:r>
      <w:r>
        <w:rPr>
          <w:rFonts w:hint="eastAsia" w:ascii="宋体" w:hAnsi="宋体" w:eastAsia="宋体" w:cs="宋体"/>
          <w:color w:val="auto"/>
          <w:spacing w:val="0"/>
          <w:w w:val="100"/>
          <w:position w:val="0"/>
          <w:sz w:val="21"/>
          <w:szCs w:val="21"/>
          <w:highlight w:val="none"/>
        </w:rPr>
        <w:t xml:space="preserve"> 的投标及合同的执行，以本公司名义处理一切与之有关的事务。</w:t>
      </w:r>
    </w:p>
    <w:p>
      <w:pPr>
        <w:pStyle w:val="11"/>
        <w:keepNext w:val="0"/>
        <w:keepLines w:val="0"/>
        <w:pageBreakBefore w:val="0"/>
        <w:widowControl w:val="0"/>
        <w:tabs>
          <w:tab w:val="left" w:pos="2620"/>
          <w:tab w:val="left" w:pos="3460"/>
          <w:tab w:val="left" w:pos="4300"/>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本授权书于</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月</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日签字生效，特此声明。</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320" w:firstLineChars="200"/>
        <w:textAlignment w:val="auto"/>
        <w:rPr>
          <w:rFonts w:hint="eastAsia" w:ascii="宋体" w:hAnsi="宋体" w:eastAsia="宋体" w:cs="宋体"/>
          <w:color w:val="auto"/>
          <w:spacing w:val="0"/>
          <w:w w:val="100"/>
          <w:position w:val="0"/>
          <w:sz w:val="16"/>
          <w:szCs w:val="21"/>
          <w:highlight w:val="none"/>
        </w:rPr>
      </w:pPr>
    </w:p>
    <w:p>
      <w:pPr>
        <w:pStyle w:val="11"/>
        <w:keepNext w:val="0"/>
        <w:keepLines w:val="0"/>
        <w:pageBreakBefore w:val="0"/>
        <w:widowControl w:val="0"/>
        <w:tabs>
          <w:tab w:val="left" w:pos="495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543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代理人（被授权人）签字：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5436"/>
          <w:tab w:val="left" w:pos="6396"/>
        </w:tabs>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代理人职务：</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单位名称（公章）：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附： 法定代表人（或负责人）身份证复印件</w:t>
      </w:r>
    </w:p>
    <w:p>
      <w:pPr>
        <w:pStyle w:val="11"/>
        <w:spacing w:before="4"/>
        <w:rPr>
          <w:rFonts w:hint="eastAsia" w:ascii="宋体" w:hAnsi="宋体" w:eastAsia="宋体" w:cs="宋体"/>
          <w:color w:val="auto"/>
          <w:spacing w:val="0"/>
          <w:w w:val="100"/>
          <w:position w:val="0"/>
          <w:sz w:val="10"/>
          <w:szCs w:val="21"/>
          <w:highlight w:val="none"/>
        </w:rPr>
      </w:pPr>
    </w:p>
    <w:tbl>
      <w:tblPr>
        <w:tblStyle w:val="23"/>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0"/>
        <w:gridCol w:w="4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5" w:hRule="atLeast"/>
        </w:trPr>
        <w:tc>
          <w:tcPr>
            <w:tcW w:w="4460" w:type="dxa"/>
          </w:tcPr>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【法定代表人居民身份证复印件粘贴处】</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【正面】</w:t>
            </w:r>
          </w:p>
        </w:tc>
        <w:tc>
          <w:tcPr>
            <w:tcW w:w="4460" w:type="dxa"/>
          </w:tcPr>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【法定代表人居民身份证复印件粘贴处】</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right="0"/>
              <w:jc w:val="center"/>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【反面】</w:t>
            </w:r>
          </w:p>
        </w:tc>
      </w:tr>
    </w:tbl>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被授权人身份证复印件</w:t>
      </w:r>
    </w:p>
    <w:p>
      <w:pPr>
        <w:pStyle w:val="11"/>
        <w:spacing w:before="3"/>
        <w:rPr>
          <w:rFonts w:hint="eastAsia" w:ascii="宋体" w:hAnsi="宋体" w:eastAsia="宋体" w:cs="宋体"/>
          <w:color w:val="auto"/>
          <w:spacing w:val="0"/>
          <w:w w:val="100"/>
          <w:position w:val="0"/>
          <w:sz w:val="2"/>
          <w:szCs w:val="21"/>
          <w:highlight w:val="none"/>
        </w:rPr>
      </w:pPr>
    </w:p>
    <w:tbl>
      <w:tblPr>
        <w:tblStyle w:val="23"/>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460"/>
        <w:gridCol w:w="4460"/>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46" w:hRule="atLeast"/>
        </w:trPr>
        <w:tc>
          <w:tcPr>
            <w:tcW w:w="4460" w:type="dxa"/>
          </w:tcPr>
          <w:p>
            <w:pPr>
              <w:pStyle w:val="29"/>
              <w:spacing w:before="2" w:line="304" w:lineRule="auto"/>
              <w:ind w:right="50" w:rightChars="0"/>
              <w:jc w:val="center"/>
              <w:rPr>
                <w:rFonts w:hint="eastAsia" w:ascii="宋体" w:hAnsi="宋体" w:eastAsia="宋体" w:cs="宋体"/>
                <w:color w:val="auto"/>
                <w:spacing w:val="0"/>
                <w:w w:val="100"/>
                <w:position w:val="0"/>
                <w:sz w:val="24"/>
                <w:szCs w:val="20"/>
                <w:highlight w:val="none"/>
              </w:rPr>
            </w:pPr>
            <w:r>
              <w:rPr>
                <w:rFonts w:hint="eastAsia" w:ascii="宋体" w:hAnsi="宋体" w:eastAsia="宋体" w:cs="宋体"/>
                <w:color w:val="auto"/>
                <w:spacing w:val="0"/>
                <w:w w:val="100"/>
                <w:position w:val="0"/>
                <w:sz w:val="21"/>
                <w:szCs w:val="20"/>
                <w:highlight w:val="none"/>
              </w:rPr>
              <w:t>【被授权人（授权代表） 居民身份证复印件粘贴处】</w:t>
            </w:r>
          </w:p>
          <w:p>
            <w:pPr>
              <w:pStyle w:val="29"/>
              <w:ind w:right="518"/>
              <w:jc w:val="center"/>
              <w:rPr>
                <w:rFonts w:hint="eastAsia" w:ascii="宋体" w:hAnsi="宋体" w:eastAsia="宋体" w:cs="宋体"/>
                <w:color w:val="auto"/>
                <w:spacing w:val="0"/>
                <w:w w:val="100"/>
                <w:position w:val="0"/>
                <w:sz w:val="21"/>
                <w:szCs w:val="20"/>
                <w:highlight w:val="none"/>
                <w:lang w:eastAsia="zh-CN"/>
              </w:rPr>
            </w:pPr>
          </w:p>
          <w:p>
            <w:pPr>
              <w:pStyle w:val="29"/>
              <w:ind w:right="518"/>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w:t>
            </w:r>
            <w:r>
              <w:rPr>
                <w:rFonts w:hint="eastAsia" w:ascii="宋体" w:hAnsi="宋体" w:eastAsia="宋体" w:cs="宋体"/>
                <w:color w:val="auto"/>
                <w:spacing w:val="0"/>
                <w:w w:val="100"/>
                <w:position w:val="0"/>
                <w:sz w:val="21"/>
                <w:szCs w:val="20"/>
                <w:highlight w:val="none"/>
              </w:rPr>
              <w:t>正面</w:t>
            </w:r>
            <w:r>
              <w:rPr>
                <w:rFonts w:hint="eastAsia" w:ascii="宋体" w:hAnsi="宋体" w:eastAsia="宋体" w:cs="宋体"/>
                <w:color w:val="auto"/>
                <w:spacing w:val="0"/>
                <w:w w:val="100"/>
                <w:position w:val="0"/>
                <w:sz w:val="21"/>
                <w:szCs w:val="20"/>
                <w:highlight w:val="none"/>
                <w:lang w:eastAsia="zh-CN"/>
              </w:rPr>
              <w:t>】</w:t>
            </w:r>
          </w:p>
        </w:tc>
        <w:tc>
          <w:tcPr>
            <w:tcW w:w="4460" w:type="dxa"/>
          </w:tcPr>
          <w:p>
            <w:pPr>
              <w:pStyle w:val="29"/>
              <w:spacing w:before="2" w:line="304" w:lineRule="auto"/>
              <w:ind w:right="50" w:rightChars="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【被授权人（授权代表） 居民身份证复印件粘贴处】</w:t>
            </w:r>
          </w:p>
          <w:p>
            <w:pPr>
              <w:pStyle w:val="29"/>
              <w:spacing w:before="3"/>
              <w:jc w:val="center"/>
              <w:rPr>
                <w:rFonts w:hint="eastAsia" w:ascii="宋体" w:hAnsi="宋体" w:eastAsia="宋体" w:cs="宋体"/>
                <w:color w:val="auto"/>
                <w:spacing w:val="0"/>
                <w:w w:val="100"/>
                <w:position w:val="0"/>
                <w:sz w:val="24"/>
                <w:szCs w:val="20"/>
                <w:highlight w:val="none"/>
              </w:rPr>
            </w:pPr>
          </w:p>
          <w:p>
            <w:pPr>
              <w:pStyle w:val="29"/>
              <w:ind w:right="52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w:t>
            </w:r>
            <w:r>
              <w:rPr>
                <w:rFonts w:hint="eastAsia" w:ascii="宋体" w:hAnsi="宋体" w:eastAsia="宋体" w:cs="宋体"/>
                <w:color w:val="auto"/>
                <w:spacing w:val="0"/>
                <w:w w:val="100"/>
                <w:position w:val="0"/>
                <w:sz w:val="21"/>
                <w:szCs w:val="20"/>
                <w:highlight w:val="none"/>
              </w:rPr>
              <w:t>反面</w:t>
            </w:r>
            <w:r>
              <w:rPr>
                <w:rFonts w:hint="eastAsia" w:ascii="宋体" w:hAnsi="宋体" w:eastAsia="宋体" w:cs="宋体"/>
                <w:color w:val="auto"/>
                <w:spacing w:val="0"/>
                <w:w w:val="100"/>
                <w:position w:val="0"/>
                <w:sz w:val="21"/>
                <w:szCs w:val="20"/>
                <w:highlight w:val="none"/>
                <w:lang w:eastAsia="zh-CN"/>
              </w:rPr>
              <w:t>】</w:t>
            </w:r>
          </w:p>
        </w:tc>
      </w:tr>
    </w:tbl>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spacing w:before="43"/>
        <w:ind w:left="363" w:right="436"/>
        <w:outlineLvl w:val="1"/>
        <w:rPr>
          <w:rFonts w:hint="eastAsia" w:ascii="宋体" w:hAnsi="宋体" w:eastAsia="宋体" w:cs="宋体"/>
          <w:color w:val="auto"/>
          <w:spacing w:val="0"/>
          <w:w w:val="100"/>
          <w:position w:val="0"/>
          <w:sz w:val="28"/>
          <w:szCs w:val="28"/>
          <w:highlight w:val="none"/>
          <w:lang w:val="en-US" w:eastAsia="zh-CN"/>
        </w:rPr>
      </w:pPr>
      <w:bookmarkStart w:id="123" w:name="_bookmark114"/>
      <w:bookmarkEnd w:id="123"/>
      <w:bookmarkStart w:id="124" w:name="_Toc15014"/>
      <w:r>
        <w:rPr>
          <w:rFonts w:hint="eastAsia" w:ascii="宋体" w:hAnsi="宋体" w:eastAsia="宋体" w:cs="宋体"/>
          <w:color w:val="auto"/>
          <w:spacing w:val="0"/>
          <w:w w:val="100"/>
          <w:position w:val="0"/>
          <w:sz w:val="28"/>
          <w:szCs w:val="28"/>
          <w:highlight w:val="none"/>
        </w:rPr>
        <w:t>附件 7 投标保证金承诺函格式</w:t>
      </w:r>
      <w:r>
        <w:rPr>
          <w:rFonts w:hint="eastAsia" w:ascii="宋体" w:hAnsi="宋体" w:eastAsia="宋体" w:cs="宋体"/>
          <w:color w:val="auto"/>
          <w:spacing w:val="0"/>
          <w:w w:val="100"/>
          <w:position w:val="0"/>
          <w:sz w:val="28"/>
          <w:szCs w:val="28"/>
          <w:highlight w:val="none"/>
          <w:lang w:val="en-US" w:eastAsia="zh-CN"/>
        </w:rPr>
        <w:t>和退还保证金说明函</w:t>
      </w:r>
      <w:bookmarkEnd w:id="124"/>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rPr>
      </w:pPr>
      <w:r>
        <w:rPr>
          <w:rFonts w:hint="eastAsia" w:ascii="宋体" w:hAnsi="宋体" w:eastAsia="宋体" w:cs="宋体"/>
          <w:b/>
          <w:color w:val="auto"/>
          <w:spacing w:val="0"/>
          <w:w w:val="100"/>
          <w:position w:val="0"/>
          <w:sz w:val="24"/>
          <w:szCs w:val="21"/>
          <w:highlight w:val="none"/>
        </w:rPr>
        <w:t>投标保证金承诺函</w:t>
      </w:r>
    </w:p>
    <w:p>
      <w:pPr>
        <w:pStyle w:val="11"/>
        <w:spacing w:before="8"/>
        <w:rPr>
          <w:rFonts w:hint="eastAsia" w:ascii="宋体" w:hAnsi="宋体" w:eastAsia="宋体" w:cs="宋体"/>
          <w:b/>
          <w:color w:val="auto"/>
          <w:spacing w:val="0"/>
          <w:w w:val="100"/>
          <w:position w:val="0"/>
          <w:sz w:val="28"/>
          <w:szCs w:val="21"/>
          <w:highlight w:val="none"/>
        </w:rPr>
      </w:pPr>
    </w:p>
    <w:p>
      <w:pPr>
        <w:widowControl w:val="0"/>
        <w:autoSpaceDE w:val="0"/>
        <w:autoSpaceDN w:val="0"/>
        <w:adjustRightInd w:val="0"/>
        <w:spacing w:before="154" w:line="480" w:lineRule="exact"/>
        <w:ind w:left="118"/>
        <w:jc w:val="left"/>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致：</w:t>
      </w:r>
      <w:r>
        <w:rPr>
          <w:rFonts w:hint="eastAsia" w:ascii="宋体" w:hAnsi="宋体" w:eastAsia="宋体" w:cs="宋体"/>
          <w:color w:val="auto"/>
          <w:spacing w:val="0"/>
          <w:w w:val="100"/>
          <w:position w:val="0"/>
          <w:sz w:val="20"/>
          <w:szCs w:val="20"/>
          <w:highlight w:val="none"/>
          <w:u w:val="single"/>
        </w:rPr>
        <w:t>【采购代理机构】</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我方于</w:t>
      </w:r>
      <w:r>
        <w:rPr>
          <w:rFonts w:hint="eastAsia" w:ascii="宋体" w:hAnsi="宋体" w:eastAsia="宋体" w:cs="宋体"/>
          <w:color w:val="auto"/>
          <w:kern w:val="0"/>
          <w:sz w:val="21"/>
          <w:szCs w:val="21"/>
          <w:highlight w:val="none"/>
          <w:lang w:val="en-US" w:eastAsia="zh-CN" w:bidi="ar-SA"/>
        </w:rPr>
        <w:tab/>
      </w:r>
      <w:r>
        <w:rPr>
          <w:rFonts w:hint="eastAsia" w:ascii="宋体" w:hAnsi="宋体" w:eastAsia="宋体" w:cs="宋体"/>
          <w:color w:val="auto"/>
          <w:kern w:val="0"/>
          <w:sz w:val="21"/>
          <w:szCs w:val="21"/>
          <w:highlight w:val="none"/>
          <w:lang w:val="en-US" w:eastAsia="zh-CN" w:bidi="ar-SA"/>
        </w:rPr>
        <w:t>年</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lang w:val="en-US" w:eastAsia="zh-CN" w:bidi="ar-SA"/>
        </w:rPr>
        <w:t>月</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lang w:val="en-US" w:eastAsia="zh-CN" w:bidi="ar-SA"/>
        </w:rPr>
        <w:t>日参加</w:t>
      </w:r>
      <w:r>
        <w:rPr>
          <w:rFonts w:hint="eastAsia" w:ascii="宋体" w:hAnsi="宋体" w:eastAsia="宋体" w:cs="宋体"/>
          <w:color w:val="auto"/>
          <w:kern w:val="0"/>
          <w:sz w:val="21"/>
          <w:szCs w:val="21"/>
          <w:highlight w:val="none"/>
          <w:u w:val="single"/>
          <w:lang w:val="en-US" w:eastAsia="zh-CN" w:bidi="ar-SA"/>
        </w:rPr>
        <w:tab/>
      </w:r>
      <w:r>
        <w:rPr>
          <w:rFonts w:hint="eastAsia" w:ascii="宋体" w:hAnsi="宋体" w:eastAsia="宋体" w:cs="宋体"/>
          <w:color w:val="auto"/>
          <w:kern w:val="0"/>
          <w:sz w:val="21"/>
          <w:szCs w:val="21"/>
          <w:highlight w:val="none"/>
          <w:u w:val="single"/>
          <w:lang w:val="en-US" w:eastAsia="zh-CN" w:bidi="ar-SA"/>
        </w:rPr>
        <w:t>（项目名称）</w:t>
      </w:r>
      <w:r>
        <w:rPr>
          <w:rFonts w:hint="eastAsia" w:ascii="宋体" w:hAnsi="宋体" w:eastAsia="宋体" w:cs="宋体"/>
          <w:color w:val="auto"/>
          <w:kern w:val="0"/>
          <w:sz w:val="21"/>
          <w:szCs w:val="21"/>
          <w:highlight w:val="none"/>
          <w:lang w:val="en-US" w:eastAsia="zh-CN" w:bidi="ar-SA"/>
        </w:rPr>
        <w:t>的投标，现保证：我方在规定的投标有效期内撤销或修改投标文件的，或者在收到中标通知书后无正当理由拒签合同或拒交规定履约担保的，投标保证金不予退还。</w:t>
      </w:r>
    </w:p>
    <w:p>
      <w:pPr>
        <w:widowControl w:val="0"/>
        <w:autoSpaceDE w:val="0"/>
        <w:autoSpaceDN w:val="0"/>
        <w:adjustRightInd w:val="0"/>
        <w:spacing w:before="0" w:line="480" w:lineRule="exact"/>
        <w:ind w:left="118"/>
        <w:jc w:val="left"/>
        <w:rPr>
          <w:rFonts w:hint="eastAsia" w:ascii="宋体" w:hAnsi="宋体" w:eastAsia="宋体" w:cs="宋体"/>
          <w:b/>
          <w:color w:val="auto"/>
          <w:kern w:val="0"/>
          <w:sz w:val="21"/>
          <w:szCs w:val="21"/>
          <w:highlight w:val="none"/>
          <w:lang w:val="en-US" w:eastAsia="zh-CN" w:bidi="ar-SA"/>
        </w:rPr>
      </w:pPr>
    </w:p>
    <w:p>
      <w:pPr>
        <w:widowControl w:val="0"/>
        <w:autoSpaceDE w:val="0"/>
        <w:autoSpaceDN w:val="0"/>
        <w:adjustRightInd w:val="0"/>
        <w:spacing w:before="0" w:line="480" w:lineRule="exact"/>
        <w:ind w:left="118"/>
        <w:jc w:val="left"/>
        <w:rPr>
          <w:rFonts w:hint="eastAsia" w:ascii="宋体" w:hAnsi="宋体" w:eastAsia="宋体" w:cs="宋体"/>
          <w:b/>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widowControl w:val="0"/>
        <w:autoSpaceDE w:val="0"/>
        <w:autoSpaceDN w:val="0"/>
        <w:adjustRightInd w:val="0"/>
        <w:spacing w:before="154" w:line="480" w:lineRule="exact"/>
        <w:ind w:left="0"/>
        <w:jc w:val="center"/>
        <w:rPr>
          <w:rFonts w:hint="eastAsia" w:ascii="宋体" w:hAnsi="宋体" w:eastAsia="宋体" w:cs="宋体"/>
          <w:b/>
          <w:color w:val="auto"/>
          <w:kern w:val="0"/>
          <w:sz w:val="21"/>
          <w:szCs w:val="21"/>
          <w:highlight w:val="none"/>
          <w:lang w:val="en-US" w:eastAsia="zh-CN" w:bidi="ar-SA"/>
        </w:rPr>
      </w:pPr>
      <w:r>
        <w:rPr>
          <w:rFonts w:hint="eastAsia" w:ascii="宋体" w:hAnsi="宋体" w:eastAsia="宋体" w:cs="宋体"/>
          <w:b/>
          <w:color w:val="auto"/>
          <w:kern w:val="0"/>
          <w:sz w:val="21"/>
          <w:szCs w:val="21"/>
          <w:highlight w:val="none"/>
          <w:lang w:val="en-US" w:eastAsia="zh-CN" w:bidi="ar-SA"/>
        </w:rPr>
        <w:t>缴费回单（复印件应附在投标文件中）</w:t>
      </w:r>
    </w:p>
    <w:p>
      <w:pPr>
        <w:widowControl w:val="0"/>
        <w:autoSpaceDE w:val="0"/>
        <w:autoSpaceDN w:val="0"/>
        <w:adjustRightInd w:val="0"/>
        <w:spacing w:before="154" w:line="480" w:lineRule="exact"/>
        <w:ind w:left="0"/>
        <w:jc w:val="left"/>
        <w:rPr>
          <w:rFonts w:hint="eastAsia" w:ascii="宋体" w:hAnsi="宋体" w:eastAsia="宋体" w:cs="宋体"/>
          <w:b/>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widowControl w:val="0"/>
        <w:autoSpaceDE w:val="0"/>
        <w:autoSpaceDN w:val="0"/>
        <w:adjustRightInd w:val="0"/>
        <w:spacing w:before="0" w:line="480" w:lineRule="exact"/>
        <w:ind w:left="0"/>
        <w:jc w:val="left"/>
        <w:rPr>
          <w:rFonts w:hint="eastAsia" w:ascii="宋体" w:hAnsi="宋体" w:eastAsia="宋体" w:cs="宋体"/>
          <w:b/>
          <w:bCs/>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2" w:firstLineChars="200"/>
        <w:textAlignment w:val="auto"/>
        <w:rPr>
          <w:rFonts w:hint="eastAsia" w:ascii="宋体" w:hAnsi="宋体" w:eastAsia="宋体" w:cs="宋体"/>
          <w:b/>
          <w:bCs/>
          <w:color w:val="auto"/>
          <w:sz w:val="21"/>
          <w:szCs w:val="21"/>
          <w:highlight w:val="none"/>
          <w:lang w:val="en-US" w:eastAsia="zh-CN"/>
        </w:rPr>
      </w:pPr>
      <w:r>
        <w:rPr>
          <w:rFonts w:hint="eastAsia" w:ascii="宋体" w:hAnsi="宋体" w:eastAsia="宋体" w:cs="宋体"/>
          <w:b/>
          <w:bCs/>
          <w:color w:val="auto"/>
          <w:sz w:val="21"/>
          <w:szCs w:val="21"/>
          <w:highlight w:val="none"/>
          <w:lang w:val="en-US" w:eastAsia="zh-CN"/>
        </w:rPr>
        <w:t>*备注：投标保证金缴费回单复印件加盖公章</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投标保证金提交方式为银行电汇或其他方式缴纳，电汇须从投标人基本账户转出，投标保证金必须在投标截止时间前到指定的账户，并在汇款单上注明所投项目名称。未领取招标文件、缴纳保证金的投标人不得参与投标，投标保证金以其他方式递交未按规定时间到账的，由投标人自行承担。</w:t>
      </w:r>
    </w:p>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退还保证金说明函</w:t>
      </w:r>
    </w:p>
    <w:p>
      <w:pPr>
        <w:widowControl w:val="0"/>
        <w:autoSpaceDE w:val="0"/>
        <w:autoSpaceDN w:val="0"/>
        <w:adjustRightInd w:val="0"/>
        <w:spacing w:before="0" w:line="480" w:lineRule="exact"/>
        <w:ind w:left="118"/>
        <w:jc w:val="left"/>
        <w:rPr>
          <w:rFonts w:hint="eastAsia" w:ascii="宋体" w:hAnsi="宋体" w:eastAsia="宋体" w:cs="宋体"/>
          <w:bCs/>
          <w:color w:val="auto"/>
          <w:kern w:val="0"/>
          <w:sz w:val="21"/>
          <w:szCs w:val="21"/>
          <w:highlight w:val="none"/>
          <w:lang w:val="en-US" w:eastAsia="zh-CN" w:bidi="ar-SA"/>
        </w:rPr>
      </w:pPr>
      <w:r>
        <w:rPr>
          <w:rFonts w:hint="eastAsia" w:ascii="宋体" w:hAnsi="宋体" w:eastAsia="宋体" w:cs="宋体"/>
          <w:bCs/>
          <w:color w:val="auto"/>
          <w:kern w:val="0"/>
          <w:sz w:val="21"/>
          <w:szCs w:val="21"/>
          <w:highlight w:val="none"/>
          <w:lang w:val="en-US" w:eastAsia="zh-CN" w:bidi="ar-SA"/>
        </w:rPr>
        <w:t>致：</w:t>
      </w:r>
      <w:r>
        <w:rPr>
          <w:rFonts w:hint="eastAsia" w:ascii="宋体" w:hAnsi="宋体" w:eastAsia="宋体" w:cs="宋体"/>
          <w:color w:val="auto"/>
          <w:spacing w:val="0"/>
          <w:w w:val="100"/>
          <w:position w:val="0"/>
          <w:sz w:val="20"/>
          <w:szCs w:val="20"/>
          <w:highlight w:val="none"/>
          <w:u w:val="single"/>
        </w:rPr>
        <w:t>【采购代理机构】</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我单位已按项目（项目号：）的招标文件要求，提交的报价保证金（</w:t>
      </w:r>
      <w:r>
        <w:rPr>
          <w:rFonts w:hint="eastAsia" w:ascii="宋体" w:hAnsi="宋体" w:eastAsia="宋体" w:cs="宋体"/>
          <w:color w:val="auto"/>
          <w:kern w:val="0"/>
          <w:sz w:val="21"/>
          <w:szCs w:val="21"/>
          <w:highlight w:val="none"/>
          <w:u w:val="single"/>
          <w:lang w:val="en-US" w:eastAsia="zh-CN" w:bidi="ar-SA"/>
        </w:rPr>
        <w:t>大写金额</w:t>
      </w:r>
      <w:r>
        <w:rPr>
          <w:rFonts w:hint="eastAsia" w:ascii="宋体" w:hAnsi="宋体" w:eastAsia="宋体" w:cs="宋体"/>
          <w:color w:val="auto"/>
          <w:kern w:val="0"/>
          <w:sz w:val="21"/>
          <w:szCs w:val="21"/>
          <w:highlight w:val="none"/>
          <w:lang w:val="en-US" w:eastAsia="zh-CN" w:bidi="ar-SA"/>
        </w:rPr>
        <w:t>）元，请贵公司退还时划到以下账户：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收款单位：</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收款单位地址：</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开户银行：</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帐号：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联系人：</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联系电话：</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行号：</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kern w:val="0"/>
          <w:sz w:val="21"/>
          <w:szCs w:val="21"/>
          <w:highlight w:val="none"/>
          <w:lang w:val="en-US" w:eastAsia="zh-CN" w:bidi="ar-SA"/>
        </w:rPr>
        <w:t>（联系人和电话请填写财务人员，以便我公司财务人员核实退还保证金账户正确性）</w:t>
      </w:r>
    </w:p>
    <w:p>
      <w:pPr>
        <w:widowControl w:val="0"/>
        <w:autoSpaceDE w:val="0"/>
        <w:autoSpaceDN w:val="0"/>
        <w:adjustRightInd w:val="0"/>
        <w:spacing w:before="0" w:line="480" w:lineRule="exact"/>
        <w:ind w:left="0" w:firstLine="420" w:firstLineChars="200"/>
        <w:jc w:val="left"/>
        <w:rPr>
          <w:rFonts w:hint="eastAsia" w:ascii="宋体" w:hAnsi="宋体" w:eastAsia="宋体" w:cs="宋体"/>
          <w:color w:val="auto"/>
          <w:kern w:val="0"/>
          <w:sz w:val="21"/>
          <w:szCs w:val="21"/>
          <w:highlight w:val="none"/>
          <w:lang w:val="en-US" w:eastAsia="zh-CN" w:bidi="ar-SA"/>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br w:type="page"/>
      </w:r>
    </w:p>
    <w:p>
      <w:pPr>
        <w:pStyle w:val="4"/>
        <w:tabs>
          <w:tab w:val="left" w:pos="1204"/>
        </w:tabs>
        <w:spacing w:before="43"/>
        <w:ind w:right="74"/>
        <w:outlineLvl w:val="1"/>
        <w:rPr>
          <w:rFonts w:hint="eastAsia" w:ascii="宋体" w:hAnsi="宋体" w:eastAsia="宋体" w:cs="宋体"/>
          <w:color w:val="auto"/>
          <w:spacing w:val="0"/>
          <w:w w:val="100"/>
          <w:position w:val="0"/>
          <w:sz w:val="28"/>
          <w:szCs w:val="28"/>
          <w:highlight w:val="none"/>
        </w:rPr>
      </w:pPr>
      <w:bookmarkStart w:id="125" w:name="_bookmark115"/>
      <w:bookmarkEnd w:id="125"/>
      <w:bookmarkStart w:id="126" w:name="_Toc29268"/>
      <w:r>
        <w:rPr>
          <w:rFonts w:hint="eastAsia" w:ascii="宋体" w:hAnsi="宋体" w:eastAsia="宋体" w:cs="宋体"/>
          <w:color w:val="auto"/>
          <w:spacing w:val="0"/>
          <w:w w:val="100"/>
          <w:position w:val="0"/>
          <w:sz w:val="28"/>
          <w:szCs w:val="28"/>
          <w:highlight w:val="none"/>
        </w:rPr>
        <w:t>附件 8</w:t>
      </w:r>
      <w:r>
        <w:rPr>
          <w:rFonts w:hint="eastAsia" w:ascii="宋体" w:hAnsi="宋体" w:eastAsia="宋体" w:cs="宋体"/>
          <w:color w:val="auto"/>
          <w:spacing w:val="0"/>
          <w:w w:val="100"/>
          <w:position w:val="0"/>
          <w:sz w:val="28"/>
          <w:szCs w:val="28"/>
          <w:highlight w:val="none"/>
        </w:rPr>
        <w:tab/>
      </w:r>
      <w:r>
        <w:rPr>
          <w:rFonts w:hint="eastAsia" w:ascii="宋体" w:hAnsi="宋体" w:eastAsia="宋体" w:cs="宋体"/>
          <w:color w:val="auto"/>
          <w:spacing w:val="0"/>
          <w:w w:val="100"/>
          <w:position w:val="0"/>
          <w:sz w:val="28"/>
          <w:szCs w:val="28"/>
          <w:highlight w:val="none"/>
        </w:rPr>
        <w:t>代理服务费承诺函格式</w:t>
      </w:r>
      <w:bookmarkEnd w:id="126"/>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代理服务费承诺函</w:t>
      </w:r>
    </w:p>
    <w:p>
      <w:pPr>
        <w:pStyle w:val="11"/>
        <w:spacing w:before="2"/>
        <w:rPr>
          <w:rFonts w:hint="eastAsia" w:ascii="宋体" w:hAnsi="宋体" w:eastAsia="宋体" w:cs="宋体"/>
          <w:b/>
          <w:color w:val="auto"/>
          <w:spacing w:val="0"/>
          <w:w w:val="100"/>
          <w:position w:val="0"/>
          <w:sz w:val="28"/>
          <w:szCs w:val="21"/>
          <w:highlight w:val="none"/>
        </w:rPr>
      </w:pPr>
    </w:p>
    <w:p>
      <w:pPr>
        <w:pStyle w:val="11"/>
        <w:spacing w:before="1"/>
        <w:ind w:left="363" w:right="7206"/>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【采购代理机构】</w:t>
      </w:r>
      <w:r>
        <w:rPr>
          <w:rFonts w:hint="eastAsia" w:ascii="宋体" w:hAnsi="宋体" w:eastAsia="宋体" w:cs="宋体"/>
          <w:color w:val="auto"/>
          <w:spacing w:val="0"/>
          <w:w w:val="100"/>
          <w:position w:val="0"/>
          <w:sz w:val="21"/>
          <w:szCs w:val="21"/>
          <w:highlight w:val="none"/>
        </w:rPr>
        <w:t>：</w:t>
      </w:r>
    </w:p>
    <w:p>
      <w:pPr>
        <w:pStyle w:val="11"/>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我司在贵公司组织的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项目（项目编号：</w:t>
      </w:r>
      <w:r>
        <w:rPr>
          <w:rFonts w:hint="eastAsia" w:ascii="宋体" w:hAnsi="宋体" w:eastAsia="宋体" w:cs="宋体"/>
          <w:color w:val="auto"/>
          <w:spacing w:val="0"/>
          <w:w w:val="100"/>
          <w:position w:val="0"/>
          <w:sz w:val="21"/>
          <w:szCs w:val="21"/>
          <w:highlight w:val="none"/>
          <w:u w:val="single"/>
        </w:rPr>
        <w:t xml:space="preserve">  【项目编号】</w:t>
      </w:r>
      <w:r>
        <w:rPr>
          <w:rFonts w:hint="eastAsia" w:ascii="宋体" w:hAnsi="宋体" w:eastAsia="宋体" w:cs="宋体"/>
          <w:color w:val="auto"/>
          <w:spacing w:val="0"/>
          <w:w w:val="100"/>
          <w:position w:val="0"/>
          <w:sz w:val="21"/>
          <w:szCs w:val="21"/>
          <w:highlight w:val="none"/>
        </w:rPr>
        <w:t>_）招标中若获中标，我司保证在接到中标通知后三日内按招标文件的规定，以电汇形式向中化商务电子招投标平台收款子账户支付服务费（中标人须按投标人须知规定的标准向采购代理机构支付</w:t>
      </w:r>
      <w:r>
        <w:rPr>
          <w:rFonts w:hint="eastAsia" w:ascii="宋体" w:hAnsi="宋体" w:eastAsia="宋体" w:cs="宋体"/>
          <w:color w:val="auto"/>
          <w:spacing w:val="0"/>
          <w:w w:val="100"/>
          <w:position w:val="0"/>
          <w:sz w:val="21"/>
          <w:szCs w:val="21"/>
          <w:highlight w:val="none"/>
          <w:lang w:val="en-US" w:eastAsia="zh-CN"/>
        </w:rPr>
        <w:t>采购</w:t>
      </w:r>
      <w:r>
        <w:rPr>
          <w:rFonts w:hint="eastAsia" w:ascii="宋体" w:hAnsi="宋体" w:eastAsia="宋体" w:cs="宋体"/>
          <w:color w:val="auto"/>
          <w:spacing w:val="0"/>
          <w:w w:val="100"/>
          <w:position w:val="0"/>
          <w:sz w:val="21"/>
          <w:szCs w:val="21"/>
          <w:highlight w:val="none"/>
        </w:rPr>
        <w:t>代理服务费）。由此产生的一切法律后果和责任由我司承担，我司声明放弃对此提出任何异议和追索的权利。</w:t>
      </w:r>
    </w:p>
    <w:p>
      <w:pPr>
        <w:pStyle w:val="11"/>
        <w:spacing w:line="302" w:lineRule="exact"/>
        <w:ind w:left="363" w:right="7206"/>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特此承诺！</w:t>
      </w:r>
    </w:p>
    <w:p>
      <w:pPr>
        <w:pStyle w:val="11"/>
        <w:spacing w:before="10"/>
        <w:rPr>
          <w:rFonts w:hint="eastAsia" w:ascii="宋体" w:hAnsi="宋体" w:eastAsia="宋体" w:cs="宋体"/>
          <w:color w:val="auto"/>
          <w:spacing w:val="0"/>
          <w:w w:val="100"/>
          <w:position w:val="0"/>
          <w:sz w:val="24"/>
          <w:szCs w:val="21"/>
          <w:highlight w:val="none"/>
        </w:rPr>
      </w:pPr>
    </w:p>
    <w:p>
      <w:pPr>
        <w:pStyle w:val="11"/>
        <w:tabs>
          <w:tab w:val="left" w:pos="6575"/>
          <w:tab w:val="left" w:pos="7176"/>
        </w:tabs>
        <w:spacing w:before="1" w:line="302" w:lineRule="auto"/>
        <w:ind w:left="400" w:right="2628"/>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投标人名称（承诺方法定名称，盖章）：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1"/>
        <w:tabs>
          <w:tab w:val="left" w:pos="6575"/>
          <w:tab w:val="left" w:pos="7176"/>
        </w:tabs>
        <w:spacing w:before="1" w:line="302" w:lineRule="auto"/>
        <w:ind w:left="400" w:right="2628"/>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法定代表人签署或被授权人签字：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地址：</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邮编：</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1"/>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电话：</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传真：</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1"/>
        <w:tabs>
          <w:tab w:val="left" w:pos="3640"/>
          <w:tab w:val="left" w:pos="4175"/>
          <w:tab w:val="left" w:pos="6936"/>
        </w:tabs>
        <w:spacing w:before="9" w:line="254" w:lineRule="auto"/>
        <w:ind w:left="400" w:right="2868"/>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承诺日期：</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投标人开票信息表格式</w:t>
      </w:r>
    </w:p>
    <w:p>
      <w:pPr>
        <w:spacing w:before="212"/>
        <w:ind w:left="0" w:right="113" w:firstLine="0"/>
        <w:jc w:val="center"/>
        <w:rPr>
          <w:rFonts w:hint="eastAsia" w:ascii="宋体" w:hAnsi="宋体" w:eastAsia="宋体" w:cs="宋体"/>
          <w:b/>
          <w:color w:val="auto"/>
          <w:spacing w:val="0"/>
          <w:w w:val="100"/>
          <w:position w:val="0"/>
          <w:sz w:val="24"/>
          <w:szCs w:val="20"/>
          <w:highlight w:val="none"/>
        </w:rPr>
      </w:pPr>
      <w:r>
        <w:rPr>
          <w:rFonts w:hint="eastAsia" w:ascii="宋体" w:hAnsi="宋体" w:eastAsia="宋体" w:cs="宋体"/>
          <w:b/>
          <w:color w:val="auto"/>
          <w:spacing w:val="0"/>
          <w:w w:val="100"/>
          <w:position w:val="0"/>
          <w:sz w:val="24"/>
          <w:szCs w:val="20"/>
          <w:highlight w:val="none"/>
        </w:rPr>
        <w:t>开票信息表格式</w:t>
      </w:r>
    </w:p>
    <w:p>
      <w:pPr>
        <w:pStyle w:val="11"/>
        <w:tabs>
          <w:tab w:val="left" w:pos="4843"/>
        </w:tabs>
        <w:spacing w:before="213" w:line="302" w:lineRule="auto"/>
        <w:ind w:left="228" w:right="5142"/>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项目名称：</w:t>
      </w:r>
      <w:r>
        <w:rPr>
          <w:rFonts w:hint="eastAsia" w:ascii="宋体" w:hAnsi="宋体" w:eastAsia="宋体" w:cs="宋体"/>
          <w:color w:val="auto"/>
          <w:spacing w:val="0"/>
          <w:w w:val="100"/>
          <w:position w:val="0"/>
          <w:sz w:val="21"/>
          <w:szCs w:val="21"/>
          <w:highlight w:val="none"/>
          <w:u w:val="single"/>
        </w:rPr>
        <w:t xml:space="preserve">                           </w:t>
      </w:r>
    </w:p>
    <w:p>
      <w:pPr>
        <w:pStyle w:val="11"/>
        <w:tabs>
          <w:tab w:val="left" w:pos="4843"/>
        </w:tabs>
        <w:spacing w:before="213" w:line="302" w:lineRule="auto"/>
        <w:ind w:left="228" w:right="5142"/>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rPr>
        <w:t>项目编号：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r>
        <w:rPr>
          <w:rFonts w:hint="eastAsia" w:ascii="宋体" w:hAnsi="宋体" w:eastAsia="宋体" w:cs="宋体"/>
          <w:color w:val="auto"/>
          <w:sz w:val="21"/>
          <w:szCs w:val="21"/>
          <w:highlight w:val="none"/>
          <w:lang w:val="en-US" w:eastAsia="zh-CN" w:bidi="ar-SA"/>
        </w:rPr>
        <w:t xml:space="preserve">     </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11"/>
        <w:keepNext w:val="0"/>
        <w:keepLines w:val="0"/>
        <w:pageBreakBefore w:val="0"/>
        <w:widowControl w:val="0"/>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如果我单位中标/成交，请贵单位开具服务费发票：</w:t>
      </w:r>
    </w:p>
    <w:p>
      <w:pPr>
        <w:pStyle w:val="11"/>
        <w:keepNext w:val="0"/>
        <w:keepLines w:val="0"/>
        <w:pageBreakBefore w:val="0"/>
        <w:widowControl w:val="0"/>
        <w:tabs>
          <w:tab w:val="left" w:pos="3348"/>
          <w:tab w:val="left" w:pos="5509"/>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我单位开票信息为：</w:t>
      </w:r>
    </w:p>
    <w:p>
      <w:pPr>
        <w:pStyle w:val="11"/>
        <w:keepNext w:val="0"/>
        <w:keepLines w:val="0"/>
        <w:pageBreakBefore w:val="0"/>
        <w:widowControl w:val="0"/>
        <w:tabs>
          <w:tab w:val="left" w:pos="53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单位全称：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580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纳税人识别号：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65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地址：</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1"/>
        <w:keepNext w:val="0"/>
        <w:keepLines w:val="0"/>
        <w:pageBreakBefore w:val="0"/>
        <w:widowControl w:val="0"/>
        <w:tabs>
          <w:tab w:val="left" w:pos="652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电话：</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keepNext w:val="0"/>
        <w:keepLines w:val="0"/>
        <w:pageBreakBefore w:val="0"/>
        <w:widowControl w:val="0"/>
        <w:tabs>
          <w:tab w:val="left" w:pos="724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u w:val="single"/>
        </w:rPr>
      </w:pPr>
      <w:r>
        <w:rPr>
          <w:rFonts w:hint="eastAsia" w:ascii="宋体" w:hAnsi="宋体" w:eastAsia="宋体" w:cs="宋体"/>
          <w:color w:val="auto"/>
          <w:spacing w:val="0"/>
          <w:w w:val="100"/>
          <w:position w:val="0"/>
          <w:sz w:val="21"/>
          <w:szCs w:val="21"/>
          <w:highlight w:val="none"/>
        </w:rPr>
        <w:t>开户行名称：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 </w:t>
      </w:r>
    </w:p>
    <w:p>
      <w:pPr>
        <w:pStyle w:val="11"/>
        <w:keepNext w:val="0"/>
        <w:keepLines w:val="0"/>
        <w:pageBreakBefore w:val="0"/>
        <w:widowControl w:val="0"/>
        <w:tabs>
          <w:tab w:val="left" w:pos="7243"/>
        </w:tabs>
        <w:kinsoku/>
        <w:wordWrap/>
        <w:overflowPunct/>
        <w:topLinePunct w:val="0"/>
        <w:autoSpaceDE w:val="0"/>
        <w:autoSpaceDN w:val="0"/>
        <w:bidi w:val="0"/>
        <w:adjustRightInd/>
        <w:snapToGrid/>
        <w:spacing w:before="0" w:line="520" w:lineRule="exact"/>
        <w:ind w:left="440" w:leftChars="20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开户行账号：</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spacing w:before="3" w:line="360" w:lineRule="auto"/>
        <w:ind w:firstLine="840" w:firstLineChars="400"/>
        <w:rPr>
          <w:rFonts w:hint="eastAsia" w:ascii="宋体" w:hAnsi="宋体" w:eastAsia="宋体" w:cs="宋体"/>
          <w:color w:val="auto"/>
          <w:spacing w:val="0"/>
          <w:w w:val="100"/>
          <w:position w:val="0"/>
          <w:sz w:val="21"/>
          <w:szCs w:val="21"/>
          <w:highlight w:val="none"/>
          <w:lang w:val="en-US" w:eastAsia="zh-CN"/>
        </w:rPr>
      </w:pPr>
    </w:p>
    <w:p>
      <w:pPr>
        <w:pStyle w:val="11"/>
        <w:spacing w:before="3" w:line="360" w:lineRule="auto"/>
        <w:ind w:firstLine="840" w:firstLineChars="400"/>
        <w:rPr>
          <w:rFonts w:hint="eastAsia" w:ascii="宋体" w:hAnsi="宋体" w:eastAsia="宋体" w:cs="宋体"/>
          <w:color w:val="auto"/>
          <w:spacing w:val="0"/>
          <w:w w:val="100"/>
          <w:position w:val="0"/>
          <w:sz w:val="21"/>
          <w:szCs w:val="21"/>
          <w:highlight w:val="none"/>
          <w:u w:val="single"/>
          <w:lang w:val="en-US" w:eastAsia="zh-CN"/>
        </w:rPr>
      </w:pPr>
      <w:r>
        <w:rPr>
          <w:rFonts w:hint="eastAsia" w:ascii="宋体" w:hAnsi="宋体" w:eastAsia="宋体" w:cs="宋体"/>
          <w:color w:val="auto"/>
          <w:spacing w:val="0"/>
          <w:w w:val="100"/>
          <w:position w:val="0"/>
          <w:sz w:val="21"/>
          <w:szCs w:val="21"/>
          <w:highlight w:val="none"/>
          <w:lang w:val="en-US" w:eastAsia="zh-CN"/>
        </w:rPr>
        <w:t>发票接收邮箱：</w:t>
      </w:r>
      <w:r>
        <w:rPr>
          <w:rFonts w:hint="eastAsia" w:ascii="宋体" w:hAnsi="宋体" w:eastAsia="宋体" w:cs="宋体"/>
          <w:color w:val="auto"/>
          <w:spacing w:val="0"/>
          <w:w w:val="100"/>
          <w:position w:val="0"/>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注：</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我单位将发票开出后，会发至邮箱。</w:t>
      </w: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p>
    <w:p>
      <w:pPr>
        <w:pStyle w:val="32"/>
        <w:spacing w:line="520" w:lineRule="exact"/>
        <w:ind w:leftChars="200" w:firstLine="420" w:firstLineChars="200"/>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z w:val="21"/>
          <w:szCs w:val="21"/>
          <w:highlight w:val="none"/>
          <w:u w:val="singl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spacing w:line="520" w:lineRule="exact"/>
        <w:ind w:leftChars="200" w:firstLine="420" w:firstLineChars="200"/>
        <w:rPr>
          <w:rFonts w:hint="eastAsia" w:ascii="宋体" w:hAnsi="宋体" w:eastAsia="宋体" w:cs="宋体"/>
          <w:color w:val="auto"/>
          <w:spacing w:val="0"/>
          <w:w w:val="100"/>
          <w:position w:val="0"/>
          <w:sz w:val="16"/>
          <w:szCs w:val="21"/>
          <w:highlight w:val="none"/>
        </w:rPr>
      </w:pPr>
      <w:r>
        <w:rPr>
          <w:rFonts w:hint="eastAsia" w:ascii="宋体" w:hAnsi="宋体" w:eastAsia="宋体" w:cs="宋体"/>
          <w:color w:val="auto"/>
          <w:sz w:val="21"/>
          <w:szCs w:val="21"/>
          <w:highlight w:val="none"/>
          <w:lang w:val="en-US" w:eastAsia="zh-CN" w:bidi="ar-SA"/>
        </w:rPr>
        <w:t>日期：</w:t>
      </w:r>
      <w:r>
        <w:rPr>
          <w:rFonts w:hint="eastAsia" w:ascii="宋体" w:hAnsi="宋体" w:eastAsia="宋体" w:cs="宋体"/>
          <w:color w:val="auto"/>
          <w:sz w:val="21"/>
          <w:szCs w:val="21"/>
          <w:highlight w:val="none"/>
          <w:u w:val="single"/>
          <w:lang w:val="en-US" w:eastAsia="zh-CN" w:bidi="ar-SA"/>
        </w:rPr>
        <w:t xml:space="preserve">                             </w:t>
      </w:r>
      <w:r>
        <w:rPr>
          <w:rFonts w:hint="eastAsia" w:ascii="宋体" w:hAnsi="宋体" w:eastAsia="宋体" w:cs="宋体"/>
          <w:color w:val="auto"/>
          <w:spacing w:val="0"/>
          <w:w w:val="100"/>
          <w:position w:val="0"/>
          <w:sz w:val="16"/>
          <w:szCs w:val="21"/>
          <w:highlight w:val="none"/>
        </w:rPr>
        <w:br w:type="page"/>
      </w:r>
    </w:p>
    <w:p>
      <w:pPr>
        <w:pStyle w:val="4"/>
        <w:spacing w:before="43"/>
        <w:ind w:left="363" w:right="434"/>
        <w:outlineLvl w:val="1"/>
        <w:rPr>
          <w:rFonts w:hint="eastAsia" w:ascii="宋体" w:hAnsi="宋体" w:eastAsia="宋体" w:cs="宋体"/>
          <w:color w:val="auto"/>
          <w:spacing w:val="0"/>
          <w:w w:val="100"/>
          <w:position w:val="0"/>
          <w:sz w:val="28"/>
          <w:szCs w:val="28"/>
          <w:highlight w:val="none"/>
        </w:rPr>
      </w:pPr>
      <w:bookmarkStart w:id="127" w:name="_bookmark116"/>
      <w:bookmarkEnd w:id="127"/>
      <w:bookmarkStart w:id="128" w:name="_Toc5555"/>
      <w:r>
        <w:rPr>
          <w:rFonts w:hint="eastAsia" w:ascii="宋体" w:hAnsi="宋体" w:eastAsia="宋体" w:cs="宋体"/>
          <w:color w:val="auto"/>
          <w:spacing w:val="0"/>
          <w:w w:val="100"/>
          <w:position w:val="0"/>
          <w:sz w:val="28"/>
          <w:szCs w:val="28"/>
          <w:highlight w:val="none"/>
        </w:rPr>
        <w:t>附件 9 投标人情况表建议格式</w:t>
      </w:r>
      <w:bookmarkEnd w:id="128"/>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投标人情况表</w:t>
      </w:r>
    </w:p>
    <w:p>
      <w:pPr>
        <w:pStyle w:val="11"/>
        <w:rPr>
          <w:rFonts w:hint="eastAsia" w:ascii="宋体" w:hAnsi="宋体" w:eastAsia="宋体" w:cs="宋体"/>
          <w:b/>
          <w:color w:val="auto"/>
          <w:spacing w:val="0"/>
          <w:w w:val="100"/>
          <w:position w:val="0"/>
          <w:sz w:val="16"/>
          <w:szCs w:val="21"/>
          <w:highlight w:val="none"/>
        </w:rPr>
      </w:pPr>
    </w:p>
    <w:p>
      <w:pPr>
        <w:pStyle w:val="11"/>
        <w:spacing w:before="6"/>
        <w:rPr>
          <w:rFonts w:hint="eastAsia" w:ascii="宋体" w:hAnsi="宋体" w:eastAsia="宋体" w:cs="宋体"/>
          <w:b/>
          <w:color w:val="auto"/>
          <w:spacing w:val="0"/>
          <w:w w:val="100"/>
          <w:position w:val="0"/>
          <w:sz w:val="11"/>
          <w:szCs w:val="21"/>
          <w:highlight w:val="none"/>
        </w:rPr>
      </w:pPr>
    </w:p>
    <w:tbl>
      <w:tblPr>
        <w:tblStyle w:val="23"/>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54"/>
        <w:gridCol w:w="1239"/>
        <w:gridCol w:w="216"/>
        <w:gridCol w:w="1480"/>
        <w:gridCol w:w="1463"/>
        <w:gridCol w:w="1422"/>
        <w:gridCol w:w="18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单位名称</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详细地址</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主管部门</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法定代表人或负责人</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经济类型</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授权代表</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邮政编码</w:t>
            </w:r>
          </w:p>
        </w:tc>
        <w:tc>
          <w:tcPr>
            <w:tcW w:w="1455"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8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电话</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传真</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单位简介及机构情况</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0" w:hRule="atLeast"/>
        </w:trPr>
        <w:tc>
          <w:tcPr>
            <w:tcW w:w="145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单位优势及特长</w:t>
            </w:r>
          </w:p>
        </w:tc>
        <w:tc>
          <w:tcPr>
            <w:tcW w:w="7693" w:type="dxa"/>
            <w:gridSpan w:val="6"/>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单位概况</w:t>
            </w:r>
          </w:p>
        </w:tc>
        <w:tc>
          <w:tcPr>
            <w:tcW w:w="1239"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职工总数</w:t>
            </w:r>
          </w:p>
        </w:tc>
        <w:tc>
          <w:tcPr>
            <w:tcW w:w="1696" w:type="dxa"/>
            <w:gridSpan w:val="2"/>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w:t>
            </w:r>
          </w:p>
        </w:tc>
        <w:tc>
          <w:tcPr>
            <w:tcW w:w="4758" w:type="dxa"/>
            <w:gridSpan w:val="3"/>
            <w:vAlign w:val="center"/>
          </w:tcPr>
          <w:p>
            <w:pPr>
              <w:pStyle w:val="29"/>
              <w:keepNext w:val="0"/>
              <w:keepLines w:val="0"/>
              <w:pageBreakBefore w:val="0"/>
              <w:widowControl w:val="0"/>
              <w:tabs>
                <w:tab w:val="left" w:pos="3251"/>
              </w:tabs>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生产工人/管理人员</w:t>
            </w:r>
            <w:r>
              <w:rPr>
                <w:rFonts w:hint="eastAsia" w:ascii="宋体" w:hAnsi="宋体" w:eastAsia="宋体" w:cs="宋体"/>
                <w:color w:val="auto"/>
                <w:spacing w:val="0"/>
                <w:w w:val="100"/>
                <w:position w:val="0"/>
                <w:sz w:val="21"/>
                <w:szCs w:val="20"/>
                <w:highlight w:val="none"/>
              </w:rPr>
              <w:tab/>
            </w:r>
            <w:r>
              <w:rPr>
                <w:rFonts w:hint="eastAsia" w:ascii="宋体" w:hAnsi="宋体" w:eastAsia="宋体" w:cs="宋体"/>
                <w:color w:val="auto"/>
                <w:spacing w:val="0"/>
                <w:w w:val="100"/>
                <w:position w:val="0"/>
                <w:sz w:val="21"/>
                <w:szCs w:val="20"/>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696"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4758" w:type="dxa"/>
            <w:gridSpan w:val="3"/>
            <w:vAlign w:val="center"/>
          </w:tcPr>
          <w:p>
            <w:pPr>
              <w:pStyle w:val="29"/>
              <w:keepNext w:val="0"/>
              <w:keepLines w:val="0"/>
              <w:pageBreakBefore w:val="0"/>
              <w:widowControl w:val="0"/>
              <w:tabs>
                <w:tab w:val="left" w:pos="3251"/>
              </w:tabs>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技术人员</w:t>
            </w:r>
            <w:r>
              <w:rPr>
                <w:rFonts w:hint="eastAsia" w:ascii="宋体" w:hAnsi="宋体" w:eastAsia="宋体" w:cs="宋体"/>
                <w:color w:val="auto"/>
                <w:spacing w:val="0"/>
                <w:w w:val="100"/>
                <w:position w:val="0"/>
                <w:sz w:val="21"/>
                <w:szCs w:val="20"/>
                <w:highlight w:val="none"/>
              </w:rPr>
              <w:tab/>
            </w:r>
            <w:r>
              <w:rPr>
                <w:rFonts w:hint="eastAsia" w:ascii="宋体" w:hAnsi="宋体" w:eastAsia="宋体" w:cs="宋体"/>
                <w:color w:val="auto"/>
                <w:spacing w:val="0"/>
                <w:w w:val="100"/>
                <w:position w:val="0"/>
                <w:sz w:val="21"/>
                <w:szCs w:val="20"/>
                <w:highlight w:val="none"/>
              </w:rPr>
              <w:t>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员工情况</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高级职称</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中级职称</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初级职称</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技工</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人数</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流动资金</w:t>
            </w:r>
          </w:p>
        </w:tc>
        <w:tc>
          <w:tcPr>
            <w:tcW w:w="1696" w:type="dxa"/>
            <w:gridSpan w:val="2"/>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c>
          <w:tcPr>
            <w:tcW w:w="1463"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资金来源</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自有资金</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696" w:type="dxa"/>
            <w:gridSpan w:val="2"/>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463"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银行贷款</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5"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固定资产</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原值</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净值</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145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企业财务状况</w:t>
            </w: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收入总额</w:t>
            </w: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利润总额</w:t>
            </w: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净利润</w:t>
            </w: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负债总额</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年（近一年）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6"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年（近二年）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9" w:hRule="atLeast"/>
        </w:trPr>
        <w:tc>
          <w:tcPr>
            <w:tcW w:w="145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
                <w:szCs w:val="2"/>
                <w:highlight w:val="none"/>
              </w:rPr>
            </w:pPr>
          </w:p>
        </w:tc>
        <w:tc>
          <w:tcPr>
            <w:tcW w:w="123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 xml:space="preserve">     </w:t>
            </w:r>
            <w:r>
              <w:rPr>
                <w:rFonts w:hint="eastAsia" w:ascii="宋体" w:hAnsi="宋体" w:eastAsia="宋体" w:cs="宋体"/>
                <w:color w:val="auto"/>
                <w:spacing w:val="0"/>
                <w:w w:val="100"/>
                <w:position w:val="0"/>
                <w:sz w:val="21"/>
                <w:szCs w:val="20"/>
                <w:highlight w:val="none"/>
              </w:rPr>
              <w:t>年（近三年）</w:t>
            </w:r>
          </w:p>
        </w:tc>
        <w:tc>
          <w:tcPr>
            <w:tcW w:w="1696"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6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42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87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2693"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办公地点</w:t>
            </w:r>
          </w:p>
        </w:tc>
        <w:tc>
          <w:tcPr>
            <w:tcW w:w="6454" w:type="dxa"/>
            <w:gridSpan w:val="5"/>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rPr>
      </w:pPr>
      <w:bookmarkStart w:id="129" w:name="_bookmark117"/>
      <w:bookmarkEnd w:id="129"/>
      <w:bookmarkStart w:id="130" w:name="_Toc25743"/>
      <w:r>
        <w:rPr>
          <w:rFonts w:hint="eastAsia" w:ascii="宋体" w:hAnsi="宋体" w:eastAsia="宋体" w:cs="宋体"/>
          <w:color w:val="auto"/>
          <w:spacing w:val="0"/>
          <w:w w:val="100"/>
          <w:position w:val="0"/>
          <w:sz w:val="28"/>
          <w:szCs w:val="28"/>
          <w:highlight w:val="none"/>
        </w:rPr>
        <w:t>附件 10 详细的技术服务响应</w:t>
      </w:r>
      <w:bookmarkEnd w:id="130"/>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投标人技术响应</w:t>
      </w:r>
    </w:p>
    <w:p>
      <w:pPr>
        <w:pStyle w:val="11"/>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【投标人对照招标文件第三章评分标准和第四章技术服务需求编写响应技术文件。由投标人自行编制，须对招标文件的所有相关技术服务需求要求作出详尽响应。】</w:t>
      </w:r>
    </w:p>
    <w:p>
      <w:pPr>
        <w:pStyle w:val="11"/>
        <w:spacing w:before="9" w:line="304" w:lineRule="auto"/>
        <w:ind w:left="400" w:right="474" w:firstLine="479"/>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【拟派实施人员相关内容请按附件 10-1 和 10-2 格式填写，以便评标时查阅。】</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1" w:name="_bookmark118"/>
      <w:bookmarkEnd w:id="131"/>
      <w:r>
        <w:rPr>
          <w:rFonts w:hint="eastAsia" w:ascii="宋体" w:hAnsi="宋体" w:eastAsia="宋体" w:cs="宋体"/>
          <w:b/>
          <w:color w:val="auto"/>
          <w:spacing w:val="0"/>
          <w:w w:val="100"/>
          <w:position w:val="0"/>
          <w:sz w:val="24"/>
          <w:szCs w:val="21"/>
          <w:highlight w:val="none"/>
          <w:lang w:val="en-US" w:eastAsia="zh-CN"/>
        </w:rPr>
        <w:t>10-1 拟派实施人员汇总表格式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拟派实施人员表</w:t>
      </w:r>
    </w:p>
    <w:p>
      <w:pPr>
        <w:pStyle w:val="11"/>
        <w:spacing w:before="5"/>
        <w:rPr>
          <w:rFonts w:hint="eastAsia" w:ascii="宋体" w:hAnsi="宋体" w:eastAsia="宋体" w:cs="宋体"/>
          <w:b/>
          <w:color w:val="auto"/>
          <w:spacing w:val="0"/>
          <w:w w:val="100"/>
          <w:position w:val="0"/>
          <w:sz w:val="10"/>
          <w:szCs w:val="21"/>
          <w:highlight w:val="none"/>
        </w:rPr>
      </w:pPr>
    </w:p>
    <w:tbl>
      <w:tblPr>
        <w:tblStyle w:val="23"/>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91"/>
        <w:gridCol w:w="1704"/>
        <w:gridCol w:w="2693"/>
        <w:gridCol w:w="1772"/>
        <w:gridCol w:w="21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姓名</w:t>
            </w: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联系方式</w:t>
            </w: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本项目中拟任岗位</w:t>
            </w: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相关资质认证</w:t>
            </w: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主要项目经验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1"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99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69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177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c>
          <w:tcPr>
            <w:tcW w:w="2127"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jc w:val="center"/>
              <w:textAlignment w:val="auto"/>
              <w:rPr>
                <w:rFonts w:hint="eastAsia" w:ascii="宋体" w:hAnsi="宋体" w:eastAsia="宋体" w:cs="宋体"/>
                <w:color w:val="auto"/>
                <w:spacing w:val="0"/>
                <w:w w:val="100"/>
                <w:position w:val="0"/>
                <w:sz w:val="21"/>
                <w:szCs w:val="20"/>
                <w:highlight w:val="none"/>
              </w:rPr>
            </w:pPr>
          </w:p>
        </w:tc>
      </w:tr>
    </w:tbl>
    <w:p>
      <w:pPr>
        <w:pStyle w:val="11"/>
        <w:spacing w:before="1"/>
        <w:rPr>
          <w:rFonts w:hint="eastAsia" w:ascii="宋体" w:hAnsi="宋体" w:eastAsia="宋体" w:cs="宋体"/>
          <w:b/>
          <w:color w:val="auto"/>
          <w:spacing w:val="0"/>
          <w:w w:val="100"/>
          <w:position w:val="0"/>
          <w:sz w:val="24"/>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2" w:name="_bookmark119"/>
      <w:bookmarkEnd w:id="132"/>
      <w:bookmarkStart w:id="133" w:name="_bookmark119"/>
      <w:bookmarkEnd w:id="133"/>
      <w:r>
        <w:rPr>
          <w:rFonts w:hint="eastAsia" w:ascii="宋体" w:hAnsi="宋体" w:eastAsia="宋体" w:cs="宋体"/>
          <w:b/>
          <w:color w:val="auto"/>
          <w:spacing w:val="0"/>
          <w:w w:val="100"/>
          <w:position w:val="0"/>
          <w:sz w:val="24"/>
          <w:szCs w:val="21"/>
          <w:highlight w:val="none"/>
          <w:lang w:val="en-US" w:eastAsia="zh-CN"/>
        </w:rPr>
        <w:t>10-2 拟派实施人员表格式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人员简历</w:t>
      </w:r>
    </w:p>
    <w:p>
      <w:pPr>
        <w:pStyle w:val="11"/>
        <w:spacing w:before="7"/>
        <w:rPr>
          <w:rFonts w:hint="eastAsia" w:ascii="宋体" w:hAnsi="宋体" w:eastAsia="宋体" w:cs="宋体"/>
          <w:b/>
          <w:color w:val="auto"/>
          <w:spacing w:val="0"/>
          <w:w w:val="100"/>
          <w:position w:val="0"/>
          <w:sz w:val="10"/>
          <w:szCs w:val="21"/>
          <w:highlight w:val="none"/>
        </w:rPr>
      </w:pPr>
    </w:p>
    <w:tbl>
      <w:tblPr>
        <w:tblStyle w:val="23"/>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50"/>
        <w:gridCol w:w="1660"/>
        <w:gridCol w:w="1702"/>
        <w:gridCol w:w="1358"/>
        <w:gridCol w:w="1051"/>
        <w:gridCol w:w="566"/>
        <w:gridCol w:w="184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姓名</w:t>
            </w:r>
          </w:p>
        </w:tc>
        <w:tc>
          <w:tcPr>
            <w:tcW w:w="166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70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职务</w:t>
            </w:r>
          </w:p>
        </w:tc>
        <w:tc>
          <w:tcPr>
            <w:tcW w:w="135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17"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职称</w:t>
            </w:r>
          </w:p>
        </w:tc>
        <w:tc>
          <w:tcPr>
            <w:tcW w:w="18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年龄</w:t>
            </w:r>
          </w:p>
        </w:tc>
        <w:tc>
          <w:tcPr>
            <w:tcW w:w="166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70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本项目拟任职</w:t>
            </w:r>
          </w:p>
        </w:tc>
        <w:tc>
          <w:tcPr>
            <w:tcW w:w="135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617"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单位任职时间</w:t>
            </w:r>
          </w:p>
        </w:tc>
        <w:tc>
          <w:tcPr>
            <w:tcW w:w="18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7"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学历（毕业学校、时间、专业）：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取得的专业认证、资质情况：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8"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人员优势及特长：</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66" w:hRule="atLeast"/>
        </w:trPr>
        <w:tc>
          <w:tcPr>
            <w:tcW w:w="8930" w:type="dxa"/>
            <w:gridSpan w:val="7"/>
            <w:vAlign w:val="top"/>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both"/>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人员其他情况介绍：</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8930" w:type="dxa"/>
            <w:gridSpan w:val="7"/>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人员业绩情况</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1"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年份</w:t>
            </w: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最近参加过的主要项目名称</w:t>
            </w: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担任职务或承担的主</w:t>
            </w:r>
          </w:p>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要工作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5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5771" w:type="dxa"/>
            <w:gridSpan w:val="4"/>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409" w:type="dxa"/>
            <w:gridSpan w:val="2"/>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11"/>
        <w:spacing w:before="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注：按照评分标准细则要求提供人员相关证明文件（如有）。</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4" w:name="_bookmark120"/>
      <w:bookmarkEnd w:id="134"/>
      <w:bookmarkStart w:id="135" w:name="_bookmark120"/>
      <w:bookmarkEnd w:id="135"/>
      <w:r>
        <w:rPr>
          <w:rFonts w:hint="eastAsia" w:ascii="宋体" w:hAnsi="宋体" w:eastAsia="宋体" w:cs="宋体"/>
          <w:b/>
          <w:color w:val="auto"/>
          <w:spacing w:val="0"/>
          <w:w w:val="100"/>
          <w:position w:val="0"/>
          <w:sz w:val="24"/>
          <w:szCs w:val="21"/>
          <w:highlight w:val="none"/>
          <w:lang w:val="en-US" w:eastAsia="zh-CN"/>
        </w:rPr>
        <w:t>10-3 主、辅件一览表格式</w:t>
      </w:r>
    </w:p>
    <w:tbl>
      <w:tblPr>
        <w:tblStyle w:val="23"/>
        <w:tblW w:w="0" w:type="auto"/>
        <w:tblInd w:w="40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70"/>
        <w:gridCol w:w="2194"/>
        <w:gridCol w:w="1212"/>
        <w:gridCol w:w="943"/>
        <w:gridCol w:w="941"/>
        <w:gridCol w:w="1081"/>
        <w:gridCol w:w="190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78"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原材料、五金件名称</w:t>
            </w: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规格型号</w:t>
            </w: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品牌</w:t>
            </w: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产地</w:t>
            </w: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制造商</w:t>
            </w: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备注所应用的投标产品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47"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一</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二</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三</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四</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五</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5"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六</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6" w:hRule="atLeast"/>
        </w:trPr>
        <w:tc>
          <w:tcPr>
            <w:tcW w:w="7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七</w:t>
            </w:r>
          </w:p>
        </w:tc>
        <w:tc>
          <w:tcPr>
            <w:tcW w:w="219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w:t>
            </w:r>
          </w:p>
        </w:tc>
        <w:tc>
          <w:tcPr>
            <w:tcW w:w="121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94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081"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c>
          <w:tcPr>
            <w:tcW w:w="19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jc w:val="center"/>
              <w:textAlignment w:val="auto"/>
              <w:rPr>
                <w:rFonts w:hint="eastAsia" w:ascii="宋体" w:hAnsi="宋体" w:eastAsia="宋体" w:cs="宋体"/>
                <w:color w:val="auto"/>
                <w:spacing w:val="0"/>
                <w:w w:val="100"/>
                <w:position w:val="0"/>
                <w:sz w:val="21"/>
                <w:szCs w:val="20"/>
                <w:highlight w:val="none"/>
              </w:rPr>
            </w:pPr>
          </w:p>
        </w:tc>
      </w:tr>
    </w:tbl>
    <w:p>
      <w:pPr>
        <w:pStyle w:val="11"/>
        <w:spacing w:before="2"/>
        <w:rPr>
          <w:rFonts w:hint="eastAsia" w:ascii="宋体" w:hAnsi="宋体" w:eastAsia="宋体" w:cs="宋体"/>
          <w:b/>
          <w:color w:val="auto"/>
          <w:spacing w:val="0"/>
          <w:w w:val="100"/>
          <w:position w:val="0"/>
          <w:sz w:val="22"/>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rPr>
      </w:pPr>
      <w:bookmarkStart w:id="136" w:name="_bookmark121"/>
      <w:bookmarkEnd w:id="136"/>
      <w:bookmarkStart w:id="137" w:name="_Toc17541"/>
      <w:r>
        <w:rPr>
          <w:rFonts w:hint="eastAsia" w:ascii="宋体" w:hAnsi="宋体" w:eastAsia="宋体" w:cs="宋体"/>
          <w:color w:val="auto"/>
          <w:spacing w:val="0"/>
          <w:w w:val="100"/>
          <w:position w:val="0"/>
          <w:sz w:val="28"/>
          <w:szCs w:val="28"/>
          <w:highlight w:val="none"/>
        </w:rPr>
        <w:t>附件 11 其他商务技术文件材料</w:t>
      </w:r>
      <w:bookmarkEnd w:id="137"/>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38" w:name="_bookmark122"/>
      <w:bookmarkEnd w:id="138"/>
      <w:r>
        <w:rPr>
          <w:rFonts w:hint="eastAsia" w:ascii="宋体" w:hAnsi="宋体" w:eastAsia="宋体" w:cs="宋体"/>
          <w:b/>
          <w:color w:val="auto"/>
          <w:spacing w:val="0"/>
          <w:w w:val="100"/>
          <w:position w:val="0"/>
          <w:sz w:val="24"/>
          <w:szCs w:val="21"/>
          <w:highlight w:val="none"/>
          <w:lang w:val="en-US" w:eastAsia="zh-CN"/>
        </w:rPr>
        <w:t>11-1、相关业绩表建议格式</w:t>
      </w:r>
    </w:p>
    <w:tbl>
      <w:tblPr>
        <w:tblStyle w:val="23"/>
        <w:tblW w:w="0" w:type="auto"/>
        <w:tblInd w:w="33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44"/>
        <w:gridCol w:w="1378"/>
        <w:gridCol w:w="1305"/>
        <w:gridCol w:w="1353"/>
        <w:gridCol w:w="2119"/>
        <w:gridCol w:w="892"/>
        <w:gridCol w:w="1274"/>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案例项目名称</w:t>
            </w: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用户单位</w:t>
            </w: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合同签订日期</w:t>
            </w: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案例概况简介</w:t>
            </w: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所在页码</w:t>
            </w: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其他说明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4</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5</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2"/>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7" w:hRule="atLeast"/>
        </w:trPr>
        <w:tc>
          <w:tcPr>
            <w:tcW w:w="74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78"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05"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35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2119"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892"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c>
          <w:tcPr>
            <w:tcW w:w="127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ind w:left="0" w:right="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w:t>
            </w:r>
          </w:p>
        </w:tc>
      </w:tr>
    </w:tbl>
    <w:p>
      <w:pPr>
        <w:pStyle w:val="11"/>
        <w:spacing w:before="5"/>
        <w:rPr>
          <w:rFonts w:hint="eastAsia" w:ascii="宋体" w:hAnsi="宋体" w:eastAsia="宋体" w:cs="宋体"/>
          <w:b/>
          <w:color w:val="auto"/>
          <w:spacing w:val="0"/>
          <w:w w:val="100"/>
          <w:position w:val="0"/>
          <w:sz w:val="24"/>
          <w:szCs w:val="21"/>
          <w:highlight w:val="none"/>
        </w:rPr>
      </w:pPr>
    </w:p>
    <w:p>
      <w:pPr>
        <w:pStyle w:val="28"/>
        <w:numPr>
          <w:ilvl w:val="0"/>
          <w:numId w:val="0"/>
        </w:numPr>
        <w:tabs>
          <w:tab w:val="left" w:pos="1354"/>
        </w:tabs>
        <w:spacing w:before="0" w:after="0" w:line="240" w:lineRule="auto"/>
        <w:ind w:left="-1" w:leftChars="0" w:right="75" w:rightChars="0"/>
        <w:jc w:val="center"/>
        <w:rPr>
          <w:rFonts w:hint="eastAsia" w:ascii="宋体" w:hAnsi="宋体" w:eastAsia="宋体" w:cs="宋体"/>
          <w:b/>
          <w:color w:val="auto"/>
          <w:spacing w:val="0"/>
          <w:w w:val="100"/>
          <w:position w:val="0"/>
          <w:sz w:val="22"/>
          <w:szCs w:val="20"/>
          <w:highlight w:val="none"/>
        </w:rPr>
      </w:pPr>
      <w:bookmarkStart w:id="139" w:name="_bookmark123"/>
      <w:bookmarkEnd w:id="139"/>
      <w:bookmarkStart w:id="140" w:name="_bookmark123"/>
      <w:bookmarkEnd w:id="140"/>
      <w:r>
        <w:rPr>
          <w:rFonts w:hint="eastAsia" w:ascii="宋体" w:hAnsi="宋体" w:eastAsia="宋体" w:cs="宋体"/>
          <w:b/>
          <w:color w:val="auto"/>
          <w:spacing w:val="0"/>
          <w:w w:val="100"/>
          <w:position w:val="0"/>
          <w:sz w:val="22"/>
          <w:szCs w:val="20"/>
          <w:highlight w:val="none"/>
          <w:lang w:val="en-US" w:eastAsia="zh-CN"/>
        </w:rPr>
        <w:t>11-2</w:t>
      </w:r>
      <w:r>
        <w:rPr>
          <w:rFonts w:hint="eastAsia" w:ascii="宋体" w:hAnsi="宋体" w:eastAsia="宋体" w:cs="宋体"/>
          <w:b/>
          <w:color w:val="auto"/>
          <w:spacing w:val="0"/>
          <w:w w:val="100"/>
          <w:position w:val="0"/>
          <w:sz w:val="22"/>
          <w:szCs w:val="20"/>
          <w:highlight w:val="none"/>
        </w:rPr>
        <w:t>、其它招标文件要求的或投标人认为应当或有必要提供的资料</w:t>
      </w:r>
    </w:p>
    <w:p>
      <w:pPr>
        <w:rPr>
          <w:rFonts w:hint="eastAsia" w:ascii="宋体" w:hAnsi="宋体" w:eastAsia="宋体" w:cs="宋体"/>
          <w:color w:val="auto"/>
          <w:spacing w:val="0"/>
          <w:w w:val="100"/>
          <w:position w:val="0"/>
          <w:sz w:val="22"/>
          <w:szCs w:val="20"/>
          <w:highlight w:val="none"/>
        </w:rPr>
      </w:pPr>
      <w:r>
        <w:rPr>
          <w:rFonts w:hint="eastAsia" w:ascii="宋体" w:hAnsi="宋体" w:eastAsia="宋体" w:cs="宋体"/>
          <w:color w:val="auto"/>
          <w:spacing w:val="0"/>
          <w:w w:val="100"/>
          <w:position w:val="0"/>
          <w:sz w:val="22"/>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lang w:val="en-US" w:eastAsia="zh-CN"/>
        </w:rPr>
      </w:pPr>
      <w:bookmarkStart w:id="141" w:name="_bookmark124"/>
      <w:bookmarkEnd w:id="141"/>
      <w:bookmarkStart w:id="142" w:name="_Toc6324"/>
      <w:r>
        <w:rPr>
          <w:rFonts w:hint="eastAsia" w:ascii="宋体" w:hAnsi="宋体" w:eastAsia="宋体" w:cs="宋体"/>
          <w:color w:val="auto"/>
          <w:spacing w:val="0"/>
          <w:w w:val="100"/>
          <w:position w:val="0"/>
          <w:sz w:val="28"/>
          <w:szCs w:val="28"/>
          <w:highlight w:val="none"/>
          <w:lang w:val="en-US" w:eastAsia="zh-CN"/>
        </w:rPr>
        <w:t>附件 12 政府采购政策的证明文件</w:t>
      </w:r>
      <w:bookmarkEnd w:id="142"/>
    </w:p>
    <w:p>
      <w:pPr>
        <w:keepNext w:val="0"/>
        <w:keepLines w:val="0"/>
        <w:pageBreakBefore w:val="0"/>
        <w:widowControl w:val="0"/>
        <w:kinsoku/>
        <w:wordWrap/>
        <w:overflowPunct/>
        <w:topLinePunct w:val="0"/>
        <w:autoSpaceDE w:val="0"/>
        <w:autoSpaceDN w:val="0"/>
        <w:bidi w:val="0"/>
        <w:adjustRightInd/>
        <w:snapToGrid/>
        <w:spacing w:before="0" w:line="240" w:lineRule="auto"/>
        <w:ind w:right="0"/>
        <w:jc w:val="center"/>
        <w:textAlignment w:val="auto"/>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t>中小企业声明函（货物）</w:t>
      </w:r>
    </w:p>
    <w:p>
      <w:pPr>
        <w:pStyle w:val="11"/>
        <w:ind w:left="8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本公司（联合体）郑重声明，根据《政府采购促进中小企业发展管理办法》</w:t>
      </w:r>
    </w:p>
    <w:p>
      <w:pPr>
        <w:pStyle w:val="11"/>
        <w:spacing w:before="158" w:line="364" w:lineRule="auto"/>
        <w:ind w:left="320" w:right="462"/>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（财库〔2020〕46 号）的规定，本公司（联合体）参加</w:t>
      </w:r>
      <w:r>
        <w:rPr>
          <w:rFonts w:hint="eastAsia" w:ascii="宋体" w:hAnsi="宋体" w:eastAsia="宋体" w:cs="宋体"/>
          <w:color w:val="auto"/>
          <w:spacing w:val="0"/>
          <w:w w:val="100"/>
          <w:position w:val="0"/>
          <w:sz w:val="21"/>
          <w:szCs w:val="21"/>
          <w:highlight w:val="none"/>
          <w:u w:val="single"/>
        </w:rPr>
        <w:t xml:space="preserve"> （单位名称） </w:t>
      </w:r>
      <w:r>
        <w:rPr>
          <w:rFonts w:hint="eastAsia" w:ascii="宋体" w:hAnsi="宋体" w:eastAsia="宋体" w:cs="宋体"/>
          <w:color w:val="auto"/>
          <w:spacing w:val="0"/>
          <w:w w:val="100"/>
          <w:position w:val="0"/>
          <w:sz w:val="21"/>
          <w:szCs w:val="21"/>
          <w:highlight w:val="none"/>
        </w:rPr>
        <w:t>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采购活动，提供的货物全部由符合政策要求的中小企业制造。相关企业（ 含联合体中的中小企业、签订分包意向协议的中小企业）的具体情况如下：</w:t>
      </w:r>
    </w:p>
    <w:p>
      <w:pPr>
        <w:pStyle w:val="28"/>
        <w:numPr>
          <w:ilvl w:val="0"/>
          <w:numId w:val="3"/>
        </w:numPr>
        <w:tabs>
          <w:tab w:val="left" w:pos="982"/>
          <w:tab w:val="left" w:pos="6725"/>
        </w:tabs>
        <w:spacing w:before="0" w:after="0" w:line="364" w:lineRule="auto"/>
        <w:ind w:left="320" w:right="553" w:firstLine="479"/>
        <w:jc w:val="both"/>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u w:val="single"/>
        </w:rPr>
        <w:t xml:space="preserve">    （标的名称）</w:t>
      </w:r>
      <w:r>
        <w:rPr>
          <w:rFonts w:hint="eastAsia" w:ascii="宋体" w:hAnsi="宋体" w:eastAsia="宋体" w:cs="宋体"/>
          <w:color w:val="auto"/>
          <w:spacing w:val="0"/>
          <w:w w:val="100"/>
          <w:position w:val="0"/>
          <w:sz w:val="21"/>
          <w:szCs w:val="20"/>
          <w:highlight w:val="none"/>
        </w:rPr>
        <w:t xml:space="preserve"> ，属于</w:t>
      </w:r>
      <w:r>
        <w:rPr>
          <w:rFonts w:hint="eastAsia" w:ascii="宋体" w:hAnsi="宋体" w:eastAsia="宋体" w:cs="宋体"/>
          <w:color w:val="auto"/>
          <w:spacing w:val="0"/>
          <w:w w:val="100"/>
          <w:position w:val="0"/>
          <w:sz w:val="21"/>
          <w:szCs w:val="20"/>
          <w:highlight w:val="none"/>
          <w:u w:val="single"/>
        </w:rPr>
        <w:t xml:space="preserve"> （采购文件中明确的所属行业）行业</w:t>
      </w:r>
      <w:r>
        <w:rPr>
          <w:rFonts w:hint="eastAsia" w:ascii="宋体" w:hAnsi="宋体" w:eastAsia="宋体" w:cs="宋体"/>
          <w:color w:val="auto"/>
          <w:spacing w:val="0"/>
          <w:w w:val="100"/>
          <w:position w:val="0"/>
          <w:sz w:val="21"/>
          <w:szCs w:val="20"/>
          <w:highlight w:val="none"/>
        </w:rPr>
        <w:t xml:space="preserve"> ；制造商为</w:t>
      </w:r>
      <w:r>
        <w:rPr>
          <w:rFonts w:hint="eastAsia" w:ascii="宋体" w:hAnsi="宋体" w:eastAsia="宋体" w:cs="宋体"/>
          <w:color w:val="auto"/>
          <w:spacing w:val="0"/>
          <w:w w:val="100"/>
          <w:position w:val="0"/>
          <w:sz w:val="21"/>
          <w:szCs w:val="20"/>
          <w:highlight w:val="none"/>
          <w:u w:val="single"/>
        </w:rPr>
        <w:t xml:space="preserve"> （企业名称）</w:t>
      </w:r>
      <w:r>
        <w:rPr>
          <w:rFonts w:hint="eastAsia" w:ascii="宋体" w:hAnsi="宋体" w:eastAsia="宋体" w:cs="宋体"/>
          <w:color w:val="auto"/>
          <w:spacing w:val="0"/>
          <w:w w:val="100"/>
          <w:position w:val="0"/>
          <w:sz w:val="21"/>
          <w:szCs w:val="20"/>
          <w:highlight w:val="none"/>
        </w:rPr>
        <w:t xml:space="preserve"> ，从业人员</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rPr>
        <w:t xml:space="preserve"> 人，营业收入为</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lang w:val="en-US" w:eastAsia="zh-CN"/>
        </w:rPr>
        <w:t xml:space="preserve">        </w:t>
      </w:r>
      <w:r>
        <w:rPr>
          <w:rFonts w:hint="eastAsia" w:ascii="宋体" w:hAnsi="宋体" w:eastAsia="宋体" w:cs="宋体"/>
          <w:color w:val="auto"/>
          <w:spacing w:val="0"/>
          <w:w w:val="100"/>
          <w:position w:val="0"/>
          <w:sz w:val="21"/>
          <w:szCs w:val="20"/>
          <w:highlight w:val="none"/>
          <w:u w:val="single"/>
        </w:rPr>
        <w:tab/>
      </w:r>
      <w:r>
        <w:rPr>
          <w:rFonts w:hint="eastAsia" w:ascii="宋体" w:hAnsi="宋体" w:eastAsia="宋体" w:cs="宋体"/>
          <w:color w:val="auto"/>
          <w:spacing w:val="0"/>
          <w:w w:val="100"/>
          <w:position w:val="0"/>
          <w:sz w:val="21"/>
          <w:szCs w:val="20"/>
          <w:highlight w:val="none"/>
        </w:rPr>
        <w:t xml:space="preserve">万元，资产总额为万元 </w:t>
      </w:r>
      <w:r>
        <w:rPr>
          <w:rFonts w:hint="eastAsia" w:ascii="宋体" w:hAnsi="宋体" w:eastAsia="宋体" w:cs="宋体"/>
          <w:color w:val="auto"/>
          <w:spacing w:val="0"/>
          <w:w w:val="100"/>
          <w:position w:val="0"/>
          <w:sz w:val="21"/>
          <w:szCs w:val="20"/>
          <w:highlight w:val="none"/>
          <w:vertAlign w:val="superscript"/>
        </w:rPr>
        <w:t>1</w:t>
      </w:r>
      <w:r>
        <w:rPr>
          <w:rFonts w:hint="eastAsia" w:ascii="宋体" w:hAnsi="宋体" w:eastAsia="宋体" w:cs="宋体"/>
          <w:color w:val="auto"/>
          <w:spacing w:val="0"/>
          <w:w w:val="100"/>
          <w:position w:val="0"/>
          <w:sz w:val="21"/>
          <w:szCs w:val="20"/>
          <w:highlight w:val="none"/>
          <w:vertAlign w:val="baseline"/>
        </w:rPr>
        <w:t>，属于</w:t>
      </w:r>
      <w:r>
        <w:rPr>
          <w:rFonts w:hint="eastAsia" w:ascii="宋体" w:hAnsi="宋体" w:eastAsia="宋体" w:cs="宋体"/>
          <w:color w:val="auto"/>
          <w:spacing w:val="0"/>
          <w:w w:val="100"/>
          <w:position w:val="0"/>
          <w:sz w:val="21"/>
          <w:szCs w:val="20"/>
          <w:highlight w:val="none"/>
          <w:u w:val="single"/>
          <w:vertAlign w:val="baseline"/>
        </w:rPr>
        <w:t>（中型企业、小型企业、微型企业）</w:t>
      </w:r>
      <w:r>
        <w:rPr>
          <w:rFonts w:hint="eastAsia" w:ascii="宋体" w:hAnsi="宋体" w:eastAsia="宋体" w:cs="宋体"/>
          <w:color w:val="auto"/>
          <w:spacing w:val="0"/>
          <w:w w:val="100"/>
          <w:position w:val="0"/>
          <w:sz w:val="21"/>
          <w:szCs w:val="20"/>
          <w:highlight w:val="none"/>
          <w:vertAlign w:val="baseline"/>
        </w:rPr>
        <w:t>；</w:t>
      </w:r>
    </w:p>
    <w:p>
      <w:pPr>
        <w:pStyle w:val="28"/>
        <w:numPr>
          <w:ilvl w:val="0"/>
          <w:numId w:val="3"/>
        </w:numPr>
        <w:tabs>
          <w:tab w:val="left" w:pos="982"/>
          <w:tab w:val="left" w:pos="6725"/>
        </w:tabs>
        <w:spacing w:before="0" w:after="0" w:line="364" w:lineRule="auto"/>
        <w:ind w:left="320" w:right="553" w:firstLine="479"/>
        <w:jc w:val="both"/>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u w:val="single"/>
        </w:rPr>
        <w:t xml:space="preserve">    （标的名称）</w:t>
      </w:r>
      <w:r>
        <w:rPr>
          <w:rFonts w:hint="eastAsia" w:ascii="宋体" w:hAnsi="宋体" w:eastAsia="宋体" w:cs="宋体"/>
          <w:color w:val="auto"/>
          <w:spacing w:val="0"/>
          <w:w w:val="100"/>
          <w:position w:val="0"/>
          <w:sz w:val="21"/>
          <w:szCs w:val="20"/>
          <w:highlight w:val="none"/>
        </w:rPr>
        <w:t xml:space="preserve"> ，属于</w:t>
      </w:r>
      <w:r>
        <w:rPr>
          <w:rFonts w:hint="eastAsia" w:ascii="宋体" w:hAnsi="宋体" w:eastAsia="宋体" w:cs="宋体"/>
          <w:color w:val="auto"/>
          <w:spacing w:val="0"/>
          <w:w w:val="100"/>
          <w:position w:val="0"/>
          <w:sz w:val="21"/>
          <w:szCs w:val="20"/>
          <w:highlight w:val="none"/>
          <w:u w:val="single"/>
        </w:rPr>
        <w:t xml:space="preserve"> （采购文件中明确的所属行业）行业</w:t>
      </w:r>
      <w:r>
        <w:rPr>
          <w:rFonts w:hint="eastAsia" w:ascii="宋体" w:hAnsi="宋体" w:eastAsia="宋体" w:cs="宋体"/>
          <w:color w:val="auto"/>
          <w:spacing w:val="0"/>
          <w:w w:val="100"/>
          <w:position w:val="0"/>
          <w:sz w:val="21"/>
          <w:szCs w:val="20"/>
          <w:highlight w:val="none"/>
        </w:rPr>
        <w:t xml:space="preserve"> ；制造商为</w:t>
      </w:r>
      <w:r>
        <w:rPr>
          <w:rFonts w:hint="eastAsia" w:ascii="宋体" w:hAnsi="宋体" w:eastAsia="宋体" w:cs="宋体"/>
          <w:color w:val="auto"/>
          <w:spacing w:val="0"/>
          <w:w w:val="100"/>
          <w:position w:val="0"/>
          <w:sz w:val="21"/>
          <w:szCs w:val="20"/>
          <w:highlight w:val="none"/>
          <w:u w:val="single"/>
        </w:rPr>
        <w:t xml:space="preserve"> （企业名称）</w:t>
      </w:r>
      <w:r>
        <w:rPr>
          <w:rFonts w:hint="eastAsia" w:ascii="宋体" w:hAnsi="宋体" w:eastAsia="宋体" w:cs="宋体"/>
          <w:color w:val="auto"/>
          <w:spacing w:val="0"/>
          <w:w w:val="100"/>
          <w:position w:val="0"/>
          <w:sz w:val="21"/>
          <w:szCs w:val="20"/>
          <w:highlight w:val="none"/>
        </w:rPr>
        <w:t xml:space="preserve"> ，从业人员</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rPr>
        <w:t xml:space="preserve"> 人，营业收入为</w:t>
      </w:r>
      <w:r>
        <w:rPr>
          <w:rFonts w:hint="eastAsia" w:ascii="宋体" w:hAnsi="宋体" w:eastAsia="宋体" w:cs="宋体"/>
          <w:color w:val="auto"/>
          <w:spacing w:val="0"/>
          <w:w w:val="100"/>
          <w:position w:val="0"/>
          <w:sz w:val="21"/>
          <w:szCs w:val="20"/>
          <w:highlight w:val="none"/>
          <w:u w:val="single"/>
        </w:rPr>
        <w:t xml:space="preserve"> </w:t>
      </w:r>
      <w:r>
        <w:rPr>
          <w:rFonts w:hint="eastAsia" w:ascii="宋体" w:hAnsi="宋体" w:eastAsia="宋体" w:cs="宋体"/>
          <w:color w:val="auto"/>
          <w:spacing w:val="0"/>
          <w:w w:val="100"/>
          <w:position w:val="0"/>
          <w:sz w:val="21"/>
          <w:szCs w:val="20"/>
          <w:highlight w:val="none"/>
          <w:u w:val="single"/>
        </w:rPr>
        <w:tab/>
      </w:r>
      <w:r>
        <w:rPr>
          <w:rFonts w:hint="eastAsia" w:ascii="宋体" w:hAnsi="宋体" w:eastAsia="宋体" w:cs="宋体"/>
          <w:color w:val="auto"/>
          <w:spacing w:val="0"/>
          <w:w w:val="100"/>
          <w:position w:val="0"/>
          <w:sz w:val="21"/>
          <w:szCs w:val="20"/>
          <w:highlight w:val="none"/>
        </w:rPr>
        <w:t>万元，资产总额为万元，属于</w:t>
      </w:r>
      <w:r>
        <w:rPr>
          <w:rFonts w:hint="eastAsia" w:ascii="宋体" w:hAnsi="宋体" w:eastAsia="宋体" w:cs="宋体"/>
          <w:color w:val="auto"/>
          <w:spacing w:val="0"/>
          <w:w w:val="100"/>
          <w:position w:val="0"/>
          <w:sz w:val="21"/>
          <w:szCs w:val="20"/>
          <w:highlight w:val="none"/>
          <w:u w:val="single"/>
        </w:rPr>
        <w:t>（中型企业、小型企业、微型企业）</w:t>
      </w:r>
      <w:r>
        <w:rPr>
          <w:rFonts w:hint="eastAsia" w:ascii="宋体" w:hAnsi="宋体" w:eastAsia="宋体" w:cs="宋体"/>
          <w:color w:val="auto"/>
          <w:spacing w:val="0"/>
          <w:w w:val="100"/>
          <w:position w:val="0"/>
          <w:sz w:val="21"/>
          <w:szCs w:val="20"/>
          <w:highlight w:val="none"/>
        </w:rPr>
        <w:t>；</w:t>
      </w:r>
    </w:p>
    <w:p>
      <w:pPr>
        <w:spacing w:before="0" w:line="272" w:lineRule="exact"/>
        <w:ind w:left="802" w:right="0" w:firstLine="0"/>
        <w:jc w:val="left"/>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w:t>
      </w:r>
    </w:p>
    <w:p>
      <w:pPr>
        <w:pStyle w:val="11"/>
        <w:spacing w:before="138" w:line="364" w:lineRule="auto"/>
        <w:ind w:left="320" w:right="556"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以上企业，不属于大企业的分支机构，不存在控股股东为大企业的情形，也不存在与大企业的负责人为同一人的情形。</w:t>
      </w:r>
    </w:p>
    <w:p>
      <w:pPr>
        <w:pStyle w:val="11"/>
        <w:spacing w:line="306" w:lineRule="exact"/>
        <w:ind w:left="8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本企业对上述声明内容的真实性负责。如有虚假，将依法承担相应责任。</w:t>
      </w:r>
    </w:p>
    <w:p>
      <w:pPr>
        <w:pStyle w:val="11"/>
        <w:rPr>
          <w:rFonts w:hint="eastAsia" w:ascii="宋体" w:hAnsi="宋体" w:eastAsia="宋体" w:cs="宋体"/>
          <w:color w:val="auto"/>
          <w:spacing w:val="0"/>
          <w:w w:val="100"/>
          <w:position w:val="0"/>
          <w:sz w:val="21"/>
          <w:szCs w:val="21"/>
          <w:highlight w:val="none"/>
        </w:rPr>
      </w:pPr>
    </w:p>
    <w:p>
      <w:pPr>
        <w:pStyle w:val="11"/>
        <w:spacing w:before="9"/>
        <w:rPr>
          <w:rFonts w:hint="eastAsia" w:ascii="宋体" w:hAnsi="宋体" w:eastAsia="宋体" w:cs="宋体"/>
          <w:color w:val="auto"/>
          <w:spacing w:val="0"/>
          <w:w w:val="100"/>
          <w:position w:val="0"/>
          <w:sz w:val="16"/>
          <w:szCs w:val="21"/>
          <w:highlight w:val="none"/>
        </w:rPr>
      </w:pPr>
    </w:p>
    <w:p>
      <w:pPr>
        <w:pStyle w:val="11"/>
        <w:spacing w:line="364" w:lineRule="auto"/>
        <w:ind w:left="2961" w:right="4183"/>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企业名称（盖章）：</w:t>
      </w:r>
    </w:p>
    <w:p>
      <w:pPr>
        <w:pStyle w:val="11"/>
        <w:spacing w:line="364" w:lineRule="auto"/>
        <w:ind w:left="2961" w:right="4183"/>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日期：</w:t>
      </w:r>
    </w:p>
    <w:p>
      <w:pPr>
        <w:pStyle w:val="11"/>
        <w:rPr>
          <w:rFonts w:hint="eastAsia" w:ascii="宋体" w:hAnsi="宋体" w:eastAsia="宋体" w:cs="宋体"/>
          <w:color w:val="auto"/>
          <w:spacing w:val="0"/>
          <w:w w:val="100"/>
          <w:position w:val="0"/>
          <w:sz w:val="16"/>
          <w:szCs w:val="21"/>
          <w:highlight w:val="none"/>
        </w:rPr>
      </w:pPr>
    </w:p>
    <w:p>
      <w:pPr>
        <w:pStyle w:val="11"/>
        <w:rPr>
          <w:rFonts w:hint="eastAsia" w:ascii="宋体" w:hAnsi="宋体" w:eastAsia="宋体" w:cs="宋体"/>
          <w:color w:val="auto"/>
          <w:spacing w:val="0"/>
          <w:w w:val="100"/>
          <w:position w:val="0"/>
          <w:sz w:val="16"/>
          <w:szCs w:val="21"/>
          <w:highlight w:val="none"/>
        </w:rPr>
      </w:pPr>
    </w:p>
    <w:p>
      <w:pPr>
        <w:pStyle w:val="11"/>
        <w:rPr>
          <w:rFonts w:hint="eastAsia" w:ascii="宋体" w:hAnsi="宋体" w:eastAsia="宋体" w:cs="宋体"/>
          <w:color w:val="auto"/>
          <w:spacing w:val="0"/>
          <w:w w:val="100"/>
          <w:position w:val="0"/>
          <w:sz w:val="16"/>
          <w:szCs w:val="21"/>
          <w:highlight w:val="none"/>
        </w:rPr>
      </w:pPr>
    </w:p>
    <w:p>
      <w:pPr>
        <w:spacing w:before="65"/>
        <w:ind w:left="320" w:right="0" w:firstLine="0"/>
        <w:jc w:val="left"/>
        <w:rPr>
          <w:rFonts w:hint="eastAsia" w:ascii="宋体" w:hAnsi="宋体" w:eastAsia="宋体" w:cs="宋体"/>
          <w:color w:val="auto"/>
          <w:spacing w:val="0"/>
          <w:w w:val="100"/>
          <w:position w:val="0"/>
          <w:sz w:val="18"/>
          <w:szCs w:val="18"/>
          <w:highlight w:val="none"/>
          <w:vertAlign w:val="superscript"/>
        </w:rPr>
      </w:pPr>
    </w:p>
    <w:p>
      <w:pPr>
        <w:spacing w:before="65"/>
        <w:ind w:left="320" w:right="0" w:firstLine="0"/>
        <w:jc w:val="left"/>
        <w:rPr>
          <w:rFonts w:hint="eastAsia" w:ascii="宋体" w:hAnsi="宋体" w:eastAsia="宋体" w:cs="宋体"/>
          <w:color w:val="auto"/>
          <w:spacing w:val="0"/>
          <w:w w:val="100"/>
          <w:position w:val="0"/>
          <w:sz w:val="18"/>
          <w:szCs w:val="18"/>
          <w:highlight w:val="none"/>
        </w:rPr>
      </w:pPr>
      <w:r>
        <w:rPr>
          <w:rFonts w:hint="eastAsia" w:ascii="宋体" w:hAnsi="宋体" w:eastAsia="宋体" w:cs="宋体"/>
          <w:color w:val="auto"/>
          <w:spacing w:val="0"/>
          <w:w w:val="100"/>
          <w:position w:val="0"/>
          <w:sz w:val="18"/>
          <w:szCs w:val="18"/>
          <w:highlight w:val="none"/>
          <w:vertAlign w:val="superscript"/>
        </w:rPr>
        <w:t>1</w:t>
      </w:r>
      <w:r>
        <w:rPr>
          <w:rFonts w:hint="eastAsia" w:ascii="宋体" w:hAnsi="宋体" w:eastAsia="宋体" w:cs="宋体"/>
          <w:color w:val="auto"/>
          <w:spacing w:val="0"/>
          <w:w w:val="100"/>
          <w:position w:val="0"/>
          <w:sz w:val="18"/>
          <w:szCs w:val="18"/>
          <w:highlight w:val="none"/>
        </w:rPr>
        <w:t xml:space="preserve"> 从业人员、营业收入、资产总额填报上一年度数据，无上一年度数据的新成立企业可不填报。</w:t>
      </w:r>
    </w:p>
    <w:p>
      <w:pPr>
        <w:rPr>
          <w:rFonts w:hint="eastAsia" w:ascii="宋体" w:hAnsi="宋体" w:eastAsia="宋体" w:cs="宋体"/>
          <w:b/>
          <w:color w:val="auto"/>
          <w:spacing w:val="0"/>
          <w:w w:val="100"/>
          <w:position w:val="0"/>
          <w:sz w:val="24"/>
          <w:szCs w:val="24"/>
          <w:highlight w:val="none"/>
        </w:rPr>
      </w:pPr>
      <w:r>
        <w:rPr>
          <w:rFonts w:hint="eastAsia" w:ascii="宋体" w:hAnsi="宋体" w:eastAsia="宋体" w:cs="宋体"/>
          <w:b/>
          <w:color w:val="auto"/>
          <w:spacing w:val="0"/>
          <w:w w:val="100"/>
          <w:position w:val="0"/>
          <w:sz w:val="24"/>
          <w:szCs w:val="24"/>
          <w:highlight w:val="none"/>
        </w:rPr>
        <w:br w:type="page"/>
      </w:r>
    </w:p>
    <w:p>
      <w:pPr>
        <w:pageBreakBefore w:val="0"/>
        <w:kinsoku/>
        <w:wordWrap/>
        <w:overflowPunct/>
        <w:topLinePunct w:val="0"/>
        <w:bidi w:val="0"/>
        <w:spacing w:line="480" w:lineRule="exact"/>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rPr>
        <w:t>残疾人福利性单位声明函（残疾人福利性单位适用，不符合的无需提供）</w:t>
      </w:r>
    </w:p>
    <w:p>
      <w:pPr>
        <w:pStyle w:val="11"/>
        <w:spacing w:before="161"/>
        <w:ind w:right="463"/>
        <w:jc w:val="both"/>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所报产品中有残疾人福利单位制造的货物的，应同时提交下列文件：</w:t>
      </w:r>
    </w:p>
    <w:p>
      <w:pPr>
        <w:pStyle w:val="11"/>
        <w:spacing w:before="158"/>
        <w:ind w:right="462"/>
        <w:jc w:val="right"/>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①</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盖章的中小企业声明函，②产品制造商盖章的残疾人服务单位声明函。</w:t>
      </w:r>
    </w:p>
    <w:p>
      <w:pPr>
        <w:spacing w:before="0" w:line="364" w:lineRule="auto"/>
        <w:ind w:left="320" w:right="552" w:firstLine="482"/>
        <w:jc w:val="both"/>
        <w:rPr>
          <w:rFonts w:hint="eastAsia" w:ascii="宋体" w:hAnsi="宋体" w:eastAsia="宋体" w:cs="宋体"/>
          <w:b/>
          <w:color w:val="auto"/>
          <w:spacing w:val="0"/>
          <w:w w:val="100"/>
          <w:position w:val="0"/>
          <w:sz w:val="21"/>
          <w:szCs w:val="21"/>
          <w:highlight w:val="none"/>
        </w:rPr>
      </w:pPr>
      <w:r>
        <w:rPr>
          <w:rFonts w:hint="eastAsia" w:ascii="宋体" w:hAnsi="宋体" w:eastAsia="宋体" w:cs="宋体"/>
          <w:b/>
          <w:color w:val="auto"/>
          <w:spacing w:val="0"/>
          <w:w w:val="100"/>
          <w:position w:val="0"/>
          <w:sz w:val="21"/>
          <w:szCs w:val="21"/>
          <w:highlight w:val="none"/>
        </w:rPr>
        <w:t>根据《财政部 民政部 中国残疾人联合会关于促进残疾人就业政府采购政策的通知》提交的声明函</w:t>
      </w:r>
    </w:p>
    <w:p>
      <w:pPr>
        <w:bidi w:val="0"/>
        <w:jc w:val="center"/>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残疾人福利性单位声明函</w:t>
      </w:r>
    </w:p>
    <w:p>
      <w:pPr>
        <w:bidi w:val="0"/>
        <w:jc w:val="center"/>
        <w:rPr>
          <w:rFonts w:hint="eastAsia" w:ascii="宋体" w:hAnsi="宋体" w:eastAsia="宋体" w:cs="宋体"/>
          <w:b/>
          <w:bCs/>
          <w:color w:val="auto"/>
          <w:sz w:val="22"/>
          <w:szCs w:val="22"/>
          <w:highlight w:val="none"/>
        </w:rPr>
      </w:pP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本单位郑重声明，根据《财政部 民政部 中国残疾人联合会关于促进残疾人就业政府采购政策的通知》（财库〔2017〕 141 号）的规定，本单位为符合条件的残疾人福利性单位，且本单位参加</w:t>
      </w:r>
      <w:r>
        <w:rPr>
          <w:rFonts w:hint="eastAsia" w:ascii="宋体" w:hAnsi="宋体" w:eastAsia="宋体" w:cs="宋体"/>
          <w:color w:val="auto"/>
          <w:spacing w:val="0"/>
          <w:w w:val="100"/>
          <w:position w:val="0"/>
          <w:sz w:val="21"/>
          <w:szCs w:val="21"/>
          <w:highlight w:val="none"/>
          <w:u w:val="single"/>
        </w:rPr>
        <w:t xml:space="preserve"> 【采购人】</w:t>
      </w:r>
      <w:r>
        <w:rPr>
          <w:rFonts w:hint="eastAsia" w:ascii="宋体" w:hAnsi="宋体" w:eastAsia="宋体" w:cs="宋体"/>
          <w:color w:val="auto"/>
          <w:spacing w:val="0"/>
          <w:w w:val="100"/>
          <w:position w:val="0"/>
          <w:sz w:val="21"/>
          <w:szCs w:val="21"/>
          <w:highlight w:val="none"/>
        </w:rPr>
        <w:t>_单位的</w:t>
      </w:r>
      <w:r>
        <w:rPr>
          <w:rFonts w:hint="eastAsia" w:ascii="宋体" w:hAnsi="宋体" w:eastAsia="宋体" w:cs="宋体"/>
          <w:color w:val="auto"/>
          <w:spacing w:val="0"/>
          <w:w w:val="100"/>
          <w:position w:val="0"/>
          <w:sz w:val="21"/>
          <w:szCs w:val="21"/>
          <w:highlight w:val="none"/>
          <w:u w:val="single"/>
        </w:rPr>
        <w:t xml:space="preserve"> 【项目名称】 </w:t>
      </w:r>
      <w:r>
        <w:rPr>
          <w:rFonts w:hint="eastAsia" w:ascii="宋体" w:hAnsi="宋体" w:eastAsia="宋体" w:cs="宋体"/>
          <w:color w:val="auto"/>
          <w:spacing w:val="0"/>
          <w:w w:val="100"/>
          <w:position w:val="0"/>
          <w:sz w:val="21"/>
          <w:szCs w:val="21"/>
          <w:highlight w:val="none"/>
        </w:rPr>
        <w:t>项目采购活动【按投标实际情况在下方选择，在□中划勾或涂黑】：</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□提供本单位制造的货物</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□由本单位提供服务</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□提供其他残疾人福利性单位制造的货物（不包括使用非残疾人福利性单位注册商标的货物）。</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本单位对上述声明的真实性负责。如有虚假，将依法承担相应责任。</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320" w:firstLineChars="200"/>
        <w:textAlignment w:val="auto"/>
        <w:rPr>
          <w:rFonts w:hint="eastAsia" w:ascii="宋体" w:hAnsi="宋体" w:eastAsia="宋体" w:cs="宋体"/>
          <w:color w:val="auto"/>
          <w:spacing w:val="0"/>
          <w:w w:val="100"/>
          <w:position w:val="0"/>
          <w:sz w:val="16"/>
          <w:szCs w:val="21"/>
          <w:highlight w:val="none"/>
        </w:rPr>
      </w:pPr>
    </w:p>
    <w:p>
      <w:pPr>
        <w:pStyle w:val="11"/>
        <w:keepNext w:val="0"/>
        <w:keepLines w:val="0"/>
        <w:pageBreakBefore w:val="0"/>
        <w:widowControl w:val="0"/>
        <w:tabs>
          <w:tab w:val="left" w:pos="4620"/>
        </w:tabs>
        <w:kinsoku/>
        <w:wordWrap/>
        <w:overflowPunct/>
        <w:topLinePunct w:val="0"/>
        <w:autoSpaceDE w:val="0"/>
        <w:autoSpaceDN w:val="0"/>
        <w:bidi w:val="0"/>
        <w:adjustRightInd/>
        <w:snapToGrid/>
        <w:spacing w:before="0" w:line="560" w:lineRule="exact"/>
        <w:ind w:left="0" w:right="0" w:rightChars="0" w:firstLine="4410" w:firstLineChars="21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单位名称（盖章）：</w:t>
      </w:r>
    </w:p>
    <w:p>
      <w:pPr>
        <w:pStyle w:val="11"/>
        <w:keepNext w:val="0"/>
        <w:keepLines w:val="0"/>
        <w:pageBreakBefore w:val="0"/>
        <w:widowControl w:val="0"/>
        <w:tabs>
          <w:tab w:val="left" w:pos="4620"/>
        </w:tabs>
        <w:kinsoku/>
        <w:wordWrap/>
        <w:overflowPunct/>
        <w:topLinePunct w:val="0"/>
        <w:autoSpaceDE w:val="0"/>
        <w:autoSpaceDN w:val="0"/>
        <w:bidi w:val="0"/>
        <w:adjustRightInd/>
        <w:snapToGrid/>
        <w:spacing w:before="0" w:line="560" w:lineRule="exact"/>
        <w:ind w:left="0" w:right="0" w:firstLine="4410" w:firstLineChars="21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日期：</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注：</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both"/>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1、符合（财库〔2017〕141 号）规定条件的残疾人福利性单位在参加政府采购活动时， 应当提供此格式</w:t>
      </w:r>
      <w:r>
        <w:rPr>
          <w:rFonts w:hint="eastAsia" w:ascii="宋体" w:hAnsi="宋体" w:eastAsia="宋体" w:cs="宋体"/>
          <w:color w:val="auto"/>
          <w:spacing w:val="0"/>
          <w:w w:val="100"/>
          <w:position w:val="0"/>
          <w:sz w:val="21"/>
          <w:szCs w:val="21"/>
          <w:highlight w:val="none"/>
          <w:lang w:eastAsia="zh-CN"/>
        </w:rPr>
        <w:t>文件</w:t>
      </w:r>
      <w:r>
        <w:rPr>
          <w:rFonts w:hint="eastAsia" w:ascii="宋体" w:hAnsi="宋体" w:eastAsia="宋体" w:cs="宋体"/>
          <w:color w:val="auto"/>
          <w:spacing w:val="0"/>
          <w:w w:val="100"/>
          <w:position w:val="0"/>
          <w:sz w:val="21"/>
          <w:szCs w:val="21"/>
          <w:highlight w:val="none"/>
        </w:rPr>
        <w:t>。投标不涉及残疾人福利性单位的，无需填写此也无需提交此格式文件。</w:t>
      </w:r>
    </w:p>
    <w:p>
      <w:pPr>
        <w:pStyle w:val="11"/>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textAlignment w:val="auto"/>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2、此表如未正确填写，评审时将不予承认。</w:t>
      </w:r>
    </w:p>
    <w:p>
      <w:pPr>
        <w:keepNext w:val="0"/>
        <w:keepLines w:val="0"/>
        <w:pageBreakBefore w:val="0"/>
        <w:widowControl w:val="0"/>
        <w:kinsoku/>
        <w:wordWrap/>
        <w:overflowPunct/>
        <w:topLinePunct w:val="0"/>
        <w:autoSpaceDE w:val="0"/>
        <w:autoSpaceDN w:val="0"/>
        <w:bidi w:val="0"/>
        <w:adjustRightInd/>
        <w:snapToGrid/>
        <w:spacing w:before="0" w:line="560" w:lineRule="exact"/>
        <w:ind w:left="0" w:right="0" w:firstLine="420" w:firstLineChars="200"/>
        <w:jc w:val="left"/>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3、中标人享受了本招标文件规定的残疾人福利性单位促进政策的，其</w:t>
      </w:r>
      <w:r>
        <w:rPr>
          <w:rFonts w:hint="eastAsia" w:ascii="宋体" w:hAnsi="宋体" w:eastAsia="宋体" w:cs="宋体"/>
          <w:b/>
          <w:color w:val="auto"/>
          <w:spacing w:val="0"/>
          <w:w w:val="100"/>
          <w:position w:val="0"/>
          <w:sz w:val="21"/>
          <w:szCs w:val="20"/>
          <w:highlight w:val="none"/>
        </w:rPr>
        <w:t>残疾人福利性单位声明函将按规定进行公告。</w:t>
      </w: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ageBreakBefore w:val="0"/>
        <w:kinsoku/>
        <w:wordWrap/>
        <w:overflowPunct/>
        <w:topLinePunct w:val="0"/>
        <w:bidi w:val="0"/>
        <w:spacing w:line="480" w:lineRule="exact"/>
        <w:ind w:left="0" w:leftChars="0" w:right="0" w:rightChars="0" w:firstLine="0" w:firstLineChars="0"/>
        <w:jc w:val="center"/>
        <w:textAlignment w:val="auto"/>
        <w:rPr>
          <w:rFonts w:hint="eastAsia" w:ascii="宋体" w:hAnsi="宋体" w:eastAsia="宋体" w:cs="宋体"/>
          <w:b/>
          <w:color w:val="auto"/>
          <w:sz w:val="22"/>
          <w:szCs w:val="22"/>
          <w:highlight w:val="none"/>
        </w:rPr>
      </w:pPr>
      <w:r>
        <w:rPr>
          <w:rFonts w:hint="eastAsia" w:ascii="宋体" w:hAnsi="宋体" w:eastAsia="宋体" w:cs="宋体"/>
          <w:b/>
          <w:color w:val="auto"/>
          <w:sz w:val="22"/>
          <w:szCs w:val="22"/>
          <w:highlight w:val="none"/>
          <w:lang w:val="en-US" w:eastAsia="zh-CN"/>
        </w:rPr>
        <w:t>监狱企业证明材料</w:t>
      </w:r>
      <w:r>
        <w:rPr>
          <w:rFonts w:hint="eastAsia" w:ascii="宋体" w:hAnsi="宋体" w:eastAsia="宋体" w:cs="宋体"/>
          <w:b/>
          <w:color w:val="auto"/>
          <w:sz w:val="22"/>
          <w:szCs w:val="22"/>
          <w:highlight w:val="none"/>
        </w:rPr>
        <w:t>（不符合的无需提供）</w:t>
      </w:r>
    </w:p>
    <w:p>
      <w:pPr>
        <w:pStyle w:val="11"/>
        <w:spacing w:before="161" w:line="362" w:lineRule="auto"/>
        <w:ind w:right="558"/>
        <w:rPr>
          <w:rFonts w:hint="eastAsia" w:ascii="宋体" w:hAnsi="宋体" w:eastAsia="宋体" w:cs="宋体"/>
          <w:color w:val="auto"/>
          <w:spacing w:val="0"/>
          <w:w w:val="100"/>
          <w:position w:val="0"/>
          <w:sz w:val="21"/>
          <w:szCs w:val="21"/>
          <w:highlight w:val="none"/>
        </w:rPr>
      </w:pPr>
      <w:bookmarkStart w:id="143" w:name="附件18 评审现场原件备查证明材料汇总表（若招标文件未要求的，可不交此表格）"/>
      <w:bookmarkEnd w:id="143"/>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所报产品中有监狱企业制造的货物的，应同时提交下列文件：</w:t>
      </w:r>
    </w:p>
    <w:p>
      <w:pPr>
        <w:pStyle w:val="11"/>
        <w:spacing w:before="161" w:line="362" w:lineRule="auto"/>
        <w:ind w:left="320" w:right="558"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①</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盖章的中小企业声明函，②产品制造商盖章的监狱企业证明材料。</w:t>
      </w:r>
    </w:p>
    <w:p>
      <w:pPr>
        <w:pStyle w:val="11"/>
        <w:spacing w:before="7"/>
        <w:rPr>
          <w:rFonts w:hint="eastAsia" w:ascii="宋体" w:hAnsi="宋体" w:eastAsia="宋体" w:cs="宋体"/>
          <w:color w:val="auto"/>
          <w:spacing w:val="0"/>
          <w:w w:val="100"/>
          <w:position w:val="0"/>
          <w:sz w:val="21"/>
          <w:szCs w:val="21"/>
          <w:highlight w:val="none"/>
        </w:rPr>
      </w:pPr>
    </w:p>
    <w:p>
      <w:pPr>
        <w:pStyle w:val="11"/>
        <w:spacing w:line="364" w:lineRule="auto"/>
        <w:ind w:left="320" w:right="563"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根据《财政部 司法部关于政府采购支持监狱企业发展有关问题的通知（财库[2014]68 号）》的规定提交有关部门出具的证明材料。</w:t>
      </w:r>
    </w:p>
    <w:p>
      <w:pP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br w:type="page"/>
      </w:r>
    </w:p>
    <w:p>
      <w:pPr>
        <w:pageBreakBefore w:val="0"/>
        <w:kinsoku/>
        <w:wordWrap/>
        <w:overflowPunct/>
        <w:topLinePunct w:val="0"/>
        <w:bidi w:val="0"/>
        <w:spacing w:line="480" w:lineRule="exact"/>
        <w:ind w:left="0" w:leftChars="0" w:right="0" w:rightChars="0" w:firstLine="0" w:firstLineChars="0"/>
        <w:jc w:val="center"/>
        <w:textAlignment w:val="auto"/>
        <w:rPr>
          <w:rFonts w:hint="eastAsia" w:ascii="宋体" w:hAnsi="宋体" w:eastAsia="宋体" w:cs="宋体"/>
          <w:b/>
          <w:color w:val="auto"/>
          <w:sz w:val="22"/>
          <w:szCs w:val="22"/>
          <w:highlight w:val="none"/>
          <w:lang w:val="en-US" w:eastAsia="zh-CN"/>
        </w:rPr>
      </w:pPr>
      <w:r>
        <w:rPr>
          <w:rFonts w:hint="eastAsia" w:ascii="宋体" w:hAnsi="宋体" w:eastAsia="宋体" w:cs="宋体"/>
          <w:b/>
          <w:color w:val="auto"/>
          <w:sz w:val="22"/>
          <w:szCs w:val="22"/>
          <w:highlight w:val="none"/>
          <w:lang w:val="en-US" w:eastAsia="zh-CN"/>
        </w:rPr>
        <w:t>节能、环境标志产品证明材料（符合填写）</w:t>
      </w:r>
    </w:p>
    <w:p>
      <w:pPr>
        <w:pStyle w:val="12"/>
        <w:rPr>
          <w:rFonts w:hint="eastAsia" w:ascii="宋体" w:hAnsi="宋体" w:eastAsia="宋体" w:cs="宋体"/>
          <w:color w:val="auto"/>
          <w:spacing w:val="0"/>
          <w:w w:val="100"/>
          <w:position w:val="0"/>
          <w:sz w:val="21"/>
          <w:szCs w:val="21"/>
          <w:highlight w:val="none"/>
        </w:rPr>
      </w:pP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（1）鼓励节能政策：在性能、技术、服务等指标同等条件下，优先采购国家确定的认证机构出具的、处于有效期之内的节能产品认证证书标志产品。投标涉及上述产品的， 投标人应提供带有投标产品型号的节能产品认证证书复印件作为证明。</w:t>
      </w:r>
    </w:p>
    <w:p>
      <w:pPr>
        <w:keepNext w:val="0"/>
        <w:keepLines w:val="0"/>
        <w:pageBreakBefore w:val="0"/>
        <w:widowControl w:val="0"/>
        <w:numPr>
          <w:ilvl w:val="0"/>
          <w:numId w:val="0"/>
        </w:numPr>
        <w:tabs>
          <w:tab w:val="left" w:pos="908"/>
        </w:tabs>
        <w:kinsoku/>
        <w:wordWrap/>
        <w:overflowPunct/>
        <w:topLinePunct w:val="0"/>
        <w:autoSpaceDE w:val="0"/>
        <w:autoSpaceDN w:val="0"/>
        <w:bidi w:val="0"/>
        <w:adjustRightInd/>
        <w:snapToGrid/>
        <w:spacing w:before="0" w:after="0" w:line="360" w:lineRule="auto"/>
        <w:ind w:left="0" w:leftChars="0" w:right="0" w:rightChars="0" w:firstLine="420" w:firstLineChars="200"/>
        <w:jc w:val="left"/>
        <w:textAlignment w:val="auto"/>
        <w:rPr>
          <w:rFonts w:hint="eastAsia" w:ascii="宋体" w:hAnsi="宋体" w:eastAsia="宋体" w:cs="宋体"/>
          <w:color w:val="auto"/>
          <w:spacing w:val="0"/>
          <w:w w:val="100"/>
          <w:position w:val="0"/>
          <w:sz w:val="21"/>
          <w:szCs w:val="21"/>
          <w:highlight w:val="none"/>
          <w:lang w:val="en-US" w:eastAsia="zh-CN" w:bidi="zh-CN"/>
        </w:rPr>
      </w:pPr>
      <w:r>
        <w:rPr>
          <w:rFonts w:hint="eastAsia" w:ascii="宋体" w:hAnsi="宋体" w:eastAsia="宋体" w:cs="宋体"/>
          <w:color w:val="auto"/>
          <w:spacing w:val="0"/>
          <w:w w:val="100"/>
          <w:position w:val="0"/>
          <w:sz w:val="21"/>
          <w:szCs w:val="21"/>
          <w:highlight w:val="none"/>
          <w:lang w:val="en-US" w:eastAsia="zh-CN" w:bidi="zh-CN"/>
        </w:rPr>
        <w:t>（2）鼓励环保政策：在性能、技术、服务等指标同等条件下，优先采购国家确定的认证机构出具的、处于有效期之内的环境标志产品认证证书标志产品。投标涉及上述产品的，投标人应提供带有投标产品型号的环境标志产品认证证书复印件作为证明。</w:t>
      </w:r>
    </w:p>
    <w:p>
      <w:pPr>
        <w:pStyle w:val="12"/>
        <w:rPr>
          <w:rFonts w:hint="eastAsia" w:ascii="宋体" w:hAnsi="宋体" w:eastAsia="宋体" w:cs="宋体"/>
          <w:color w:val="auto"/>
          <w:spacing w:val="0"/>
          <w:w w:val="100"/>
          <w:position w:val="0"/>
          <w:sz w:val="21"/>
          <w:szCs w:val="21"/>
          <w:highlight w:val="none"/>
        </w:rPr>
      </w:pPr>
    </w:p>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4"/>
        <w:spacing w:before="43"/>
        <w:ind w:left="363" w:right="437"/>
        <w:outlineLvl w:val="1"/>
        <w:rPr>
          <w:rFonts w:hint="eastAsia" w:ascii="宋体" w:hAnsi="宋体" w:eastAsia="宋体" w:cs="宋体"/>
          <w:color w:val="auto"/>
          <w:spacing w:val="0"/>
          <w:w w:val="100"/>
          <w:position w:val="0"/>
          <w:sz w:val="28"/>
          <w:szCs w:val="28"/>
          <w:highlight w:val="none"/>
          <w:lang w:val="en-US" w:eastAsia="zh-CN"/>
        </w:rPr>
      </w:pPr>
      <w:bookmarkStart w:id="144" w:name="_bookmark126"/>
      <w:bookmarkEnd w:id="144"/>
      <w:bookmarkStart w:id="145" w:name="_bookmark127"/>
      <w:bookmarkEnd w:id="145"/>
      <w:bookmarkStart w:id="146" w:name="_bookmark128"/>
      <w:bookmarkEnd w:id="146"/>
      <w:bookmarkStart w:id="147" w:name="_Toc29413"/>
      <w:r>
        <w:rPr>
          <w:rFonts w:hint="eastAsia" w:ascii="宋体" w:hAnsi="宋体" w:eastAsia="宋体" w:cs="宋体"/>
          <w:color w:val="auto"/>
          <w:spacing w:val="0"/>
          <w:w w:val="100"/>
          <w:position w:val="0"/>
          <w:sz w:val="28"/>
          <w:szCs w:val="28"/>
          <w:highlight w:val="none"/>
          <w:lang w:val="en-US" w:eastAsia="zh-CN"/>
        </w:rPr>
        <w:t>附件 13 资格、资信证明文件</w:t>
      </w:r>
      <w:bookmarkEnd w:id="147"/>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r>
        <w:rPr>
          <w:rFonts w:hint="eastAsia" w:ascii="宋体" w:hAnsi="宋体" w:eastAsia="宋体" w:cs="宋体"/>
          <w:b/>
          <w:color w:val="auto"/>
          <w:spacing w:val="0"/>
          <w:w w:val="100"/>
          <w:position w:val="0"/>
          <w:sz w:val="24"/>
          <w:szCs w:val="21"/>
          <w:highlight w:val="none"/>
          <w:lang w:val="en-US" w:eastAsia="zh-CN"/>
        </w:rPr>
        <w:t>资格、资信证明文件部分建议格式</w:t>
      </w:r>
    </w:p>
    <w:tbl>
      <w:tblPr>
        <w:tblStyle w:val="23"/>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4"/>
        <w:gridCol w:w="2070"/>
        <w:gridCol w:w="6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2"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附件顺序</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提交文件</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b/>
                <w:color w:val="auto"/>
                <w:spacing w:val="0"/>
                <w:w w:val="100"/>
                <w:position w:val="0"/>
                <w:sz w:val="21"/>
                <w:szCs w:val="20"/>
                <w:highlight w:val="none"/>
              </w:rPr>
            </w:pPr>
            <w:r>
              <w:rPr>
                <w:rFonts w:hint="eastAsia" w:ascii="宋体" w:hAnsi="宋体" w:eastAsia="宋体" w:cs="宋体"/>
                <w:b/>
                <w:color w:val="auto"/>
                <w:spacing w:val="0"/>
                <w:w w:val="100"/>
                <w:position w:val="0"/>
                <w:sz w:val="21"/>
                <w:szCs w:val="20"/>
                <w:highlight w:val="none"/>
              </w:rPr>
              <w:t>提交文件说明与评审标准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79"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-1</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法人或者其他组织、自然人的营业执照等证明文件</w:t>
            </w:r>
          </w:p>
        </w:tc>
        <w:tc>
          <w:tcPr>
            <w:tcW w:w="6383" w:type="dxa"/>
            <w:vAlign w:val="center"/>
          </w:tcPr>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投标人是企业（包括合伙企业）的，应提供其在工商部门注册的有效“营业执照”复印件；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投标人是事业单位的，应提供其有效的“事业单位法人证书”复印件；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投标人是非企业专业服务机构的，应提供其有效的“执业许可证”复印件；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投标人是民办非企业单位的，应提供其有效的登记证书复印件；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lang w:val="en-US"/>
              </w:rPr>
            </w:pPr>
            <w:r>
              <w:rPr>
                <w:rFonts w:hint="eastAsia" w:ascii="宋体" w:hAnsi="宋体" w:eastAsia="宋体" w:cs="宋体"/>
                <w:color w:val="auto"/>
                <w:spacing w:val="0"/>
                <w:w w:val="100"/>
                <w:position w:val="0"/>
                <w:sz w:val="21"/>
                <w:szCs w:val="20"/>
                <w:highlight w:val="none"/>
                <w:lang w:val="en-US" w:eastAsia="zh-CN"/>
              </w:rPr>
              <w:t>投标人是个体工商户的，应提供其有效的“营业执照”复印件；</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投标人是自然人的，应提供其有效的自然人身份证明复印件；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5" w:hRule="atLeast"/>
          <w:jc w:val="center"/>
        </w:trPr>
        <w:tc>
          <w:tcPr>
            <w:tcW w:w="1104"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-2</w:t>
            </w:r>
          </w:p>
        </w:tc>
        <w:tc>
          <w:tcPr>
            <w:tcW w:w="2070" w:type="dxa"/>
            <w:vMerge w:val="restart"/>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财务状况报告：提供（1）或提供（2）</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近一</w:t>
            </w:r>
            <w:r>
              <w:rPr>
                <w:rFonts w:hint="eastAsia" w:ascii="宋体" w:hAnsi="宋体" w:eastAsia="宋体" w:cs="宋体"/>
                <w:color w:val="auto"/>
                <w:spacing w:val="0"/>
                <w:w w:val="100"/>
                <w:position w:val="0"/>
                <w:sz w:val="21"/>
                <w:szCs w:val="20"/>
                <w:highlight w:val="none"/>
              </w:rPr>
              <w:t>年度由会计师事务所出具财务审计报告（复印件，至少须包括审计意见正文、资产负债表、利润表、现金流量表和附注）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76" w:hRule="atLeast"/>
          <w:jc w:val="center"/>
        </w:trPr>
        <w:tc>
          <w:tcPr>
            <w:tcW w:w="1104"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
                <w:szCs w:val="2"/>
                <w:highlight w:val="none"/>
              </w:rPr>
            </w:pPr>
          </w:p>
        </w:tc>
        <w:tc>
          <w:tcPr>
            <w:tcW w:w="2070" w:type="dxa"/>
            <w:vMerge w:val="continue"/>
            <w:tcBorders>
              <w:top w:val="nil"/>
            </w:tcBorders>
            <w:vAlign w:val="center"/>
          </w:tcPr>
          <w:p>
            <w:pPr>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
                <w:szCs w:val="2"/>
                <w:highlight w:val="none"/>
              </w:rPr>
            </w:pP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（2）提供由开标日前三个月内投标人开户银行出具的资信证明原件。资信证明还应满足以下要求：</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无收受人和项目的限制，但开具银行有限制规定的除外；</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银行资信证明应能说明该投标人与银行之间业务往来正常，企业信誉良好等；</w:t>
            </w:r>
          </w:p>
          <w:p>
            <w:pPr>
              <w:pStyle w:val="29"/>
              <w:keepNext w:val="0"/>
              <w:keepLines w:val="0"/>
              <w:pageBreakBefore w:val="0"/>
              <w:widowControl w:val="0"/>
              <w:numPr>
                <w:ilvl w:val="0"/>
                <w:numId w:val="4"/>
              </w:numPr>
              <w:tabs>
                <w:tab w:val="left" w:pos="528"/>
                <w:tab w:val="left" w:pos="529"/>
              </w:tabs>
              <w:kinsoku/>
              <w:wordWrap/>
              <w:overflowPunct/>
              <w:topLinePunct w:val="0"/>
              <w:autoSpaceDE w:val="0"/>
              <w:autoSpaceDN w:val="0"/>
              <w:bidi w:val="0"/>
              <w:adjustRightInd/>
              <w:snapToGrid/>
              <w:spacing w:before="0" w:after="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银行出具的存款证明不能替代银行资信证明。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9"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-3</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依法缴纳税收的相关材料</w:t>
            </w:r>
          </w:p>
        </w:tc>
        <w:tc>
          <w:tcPr>
            <w:tcW w:w="6383" w:type="dxa"/>
            <w:vAlign w:val="center"/>
          </w:tcPr>
          <w:p>
            <w:pPr>
              <w:keepNext w:val="0"/>
              <w:keepLines w:val="0"/>
              <w:widowControl/>
              <w:numPr>
                <w:ilvl w:val="0"/>
                <w:numId w:val="0"/>
              </w:numPr>
              <w:suppressLineNumbers w:val="0"/>
              <w:autoSpaceDE/>
              <w:autoSpaceDN/>
              <w:spacing w:before="0" w:after="0" w:line="240" w:lineRule="auto"/>
              <w:ind w:right="0" w:rightChars="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开标日前6个月内任意一月缴纳税收的凭证复印件；</w:t>
            </w:r>
          </w:p>
          <w:p>
            <w:pPr>
              <w:keepNext w:val="0"/>
              <w:keepLines w:val="0"/>
              <w:widowControl/>
              <w:suppressLineNumbers w:val="0"/>
              <w:autoSpaceDE/>
              <w:autoSpaceDN/>
              <w:spacing w:before="0" w:after="0" w:line="240" w:lineRule="auto"/>
              <w:ind w:right="0"/>
              <w:jc w:val="left"/>
              <w:rPr>
                <w:rFonts w:hint="eastAsia" w:ascii="宋体" w:hAnsi="宋体" w:eastAsia="宋体" w:cs="宋体"/>
                <w:color w:val="auto"/>
                <w:spacing w:val="0"/>
                <w:w w:val="100"/>
                <w:kern w:val="0"/>
                <w:position w:val="0"/>
                <w:sz w:val="21"/>
                <w:szCs w:val="21"/>
                <w:highlight w:val="none"/>
                <w:lang w:val="en-US" w:eastAsia="zh-CN" w:bidi="ar"/>
              </w:rPr>
            </w:pPr>
            <w:r>
              <w:rPr>
                <w:rFonts w:hint="eastAsia" w:ascii="宋体" w:hAnsi="宋体" w:eastAsia="宋体" w:cs="宋体"/>
                <w:color w:val="auto"/>
                <w:spacing w:val="0"/>
                <w:w w:val="100"/>
                <w:kern w:val="0"/>
                <w:position w:val="0"/>
                <w:sz w:val="21"/>
                <w:szCs w:val="21"/>
                <w:highlight w:val="none"/>
                <w:lang w:val="en-US" w:eastAsia="zh-CN" w:bidi="ar"/>
              </w:rPr>
              <w:t>缴纳凭证复印件须清晰可辨，并能显示出税种种类，单位代扣代缴的个人所得税不能作为单位纳税的凭证；</w:t>
            </w:r>
          </w:p>
          <w:p>
            <w:pPr>
              <w:keepNext w:val="0"/>
              <w:keepLines w:val="0"/>
              <w:widowControl/>
              <w:suppressLineNumbers w:val="0"/>
              <w:autoSpaceDE/>
              <w:autoSpaceDN/>
              <w:spacing w:before="0" w:after="0" w:line="240" w:lineRule="auto"/>
              <w:ind w:right="0"/>
              <w:jc w:val="left"/>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依法免税的投标人，应提供相应文件证明其依法免税；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-4</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依法缴纳社会保障资金的相关材料</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kern w:val="0"/>
                <w:position w:val="0"/>
                <w:sz w:val="21"/>
                <w:szCs w:val="21"/>
                <w:highlight w:val="none"/>
                <w:lang w:val="en-US" w:eastAsia="zh-CN" w:bidi="ar"/>
              </w:rPr>
              <w:t>开标日前6个月内（至少提供1个月）缴纳社会保险的凭据（专用收据或社会保险缴纳清单）；投标人为其他组织或自然人的，也需要按此项规定提供缴纳税收的凭据和缴纳社会保险的凭据。</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-5</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具备履行合同所必需的设备和专业技术能力的说明函</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投标人自行拟定格式，加盖公章。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-6</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参加政府采购活动前 3 年内在经营活动中没有重大违法记录的书面声明</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不得删减、改变格式中给定的文字内容，不得自行增加与格式中给定的文字内容相矛盾的内容，需要填写的空格或空白应有效填写。应加盖公章。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-7</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val="en-US" w:eastAsia="zh-CN"/>
              </w:rPr>
              <w:t>投标人针对投标人资格要求限制行为的声明格式</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不得删减、改变格式中给定的文字内容，不得自行增加与格式中给定的文字内容相矛盾的内容，需要填写的空格或空白应有效填写。应加盖公章。</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1104"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1</w:t>
            </w:r>
            <w:r>
              <w:rPr>
                <w:rFonts w:hint="eastAsia" w:ascii="宋体" w:hAnsi="宋体" w:eastAsia="宋体" w:cs="宋体"/>
                <w:color w:val="auto"/>
                <w:spacing w:val="0"/>
                <w:w w:val="100"/>
                <w:position w:val="0"/>
                <w:sz w:val="21"/>
                <w:szCs w:val="20"/>
                <w:highlight w:val="none"/>
                <w:lang w:val="en-US" w:eastAsia="zh-CN"/>
              </w:rPr>
              <w:t>3</w:t>
            </w:r>
            <w:r>
              <w:rPr>
                <w:rFonts w:hint="eastAsia" w:ascii="宋体" w:hAnsi="宋体" w:eastAsia="宋体" w:cs="宋体"/>
                <w:color w:val="auto"/>
                <w:spacing w:val="0"/>
                <w:w w:val="100"/>
                <w:position w:val="0"/>
                <w:sz w:val="21"/>
                <w:szCs w:val="20"/>
                <w:highlight w:val="none"/>
              </w:rPr>
              <w:t>-8</w:t>
            </w:r>
          </w:p>
        </w:tc>
        <w:tc>
          <w:tcPr>
            <w:tcW w:w="2070"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center"/>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联合体协议（联合体投标时适用）</w:t>
            </w:r>
          </w:p>
        </w:tc>
        <w:tc>
          <w:tcPr>
            <w:tcW w:w="6383" w:type="dxa"/>
            <w:vAlign w:val="center"/>
          </w:tcPr>
          <w:p>
            <w:pPr>
              <w:pStyle w:val="29"/>
              <w:keepNext w:val="0"/>
              <w:keepLines w:val="0"/>
              <w:pageBreakBefore w:val="0"/>
              <w:widowControl w:val="0"/>
              <w:kinsoku/>
              <w:wordWrap/>
              <w:overflowPunct/>
              <w:topLinePunct w:val="0"/>
              <w:autoSpaceDE w:val="0"/>
              <w:autoSpaceDN w:val="0"/>
              <w:bidi w:val="0"/>
              <w:adjustRightInd/>
              <w:snapToGrid/>
              <w:spacing w:before="0" w:line="240" w:lineRule="auto"/>
              <w:ind w:left="0" w:right="0" w:firstLine="0"/>
              <w:jc w:val="left"/>
              <w:textAlignment w:val="auto"/>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如为联合体投标，联合体各方均需提供以上证明文件不得删减、改变格式中给定的文字内容，不得自行增加与格式中给定的文字内容相矛盾的内容，需要填写的空格或空白应有效填写。应加盖所有成员单位公章。</w:t>
            </w:r>
          </w:p>
        </w:tc>
      </w:tr>
    </w:tbl>
    <w:p>
      <w:pP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48" w:name="_bookmark129"/>
      <w:bookmarkEnd w:id="148"/>
      <w:r>
        <w:rPr>
          <w:rFonts w:hint="eastAsia" w:ascii="宋体" w:hAnsi="宋体" w:eastAsia="宋体" w:cs="宋体"/>
          <w:b/>
          <w:color w:val="auto"/>
          <w:spacing w:val="0"/>
          <w:w w:val="100"/>
          <w:position w:val="0"/>
          <w:sz w:val="24"/>
          <w:szCs w:val="21"/>
          <w:highlight w:val="none"/>
          <w:lang w:val="en-US" w:eastAsia="zh-CN"/>
        </w:rPr>
        <w:t>14-6、参加政府采购活动前三年内，在经营活动中没有重大违法记录的声明格式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参加政府采购活动前 3 年内在经营活动中没有重大违法记录的书面声明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我单位郑重声明：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我单位近三年内在经营活动中没有重大违法记录，我单位未被列入失信被执行人、重大税收违法案件当事人名单、政府采购严重违法失信行为记录名单，特此声明。</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若采购人或采购代理机构在本项目采购过程中发现我单位近三年内在经营活动中有重大违法记录或我单位被列入失信被执行人、重大税收违法案件当事人名单、政府采购严重违法失信行为记录名单，我单位将无条件地退出本项目的投标，并承担因此引起的一切后果。</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0" w:leftChars="0" w:firstLine="420" w:firstLineChars="200"/>
        <w:textAlignment w:val="auto"/>
        <w:rPr>
          <w:rFonts w:hint="eastAsia" w:ascii="宋体" w:hAnsi="宋体" w:eastAsia="宋体" w:cs="宋体"/>
          <w:color w:val="auto"/>
          <w:sz w:val="21"/>
          <w:szCs w:val="21"/>
          <w:highlight w:val="none"/>
          <w:lang w:val="en-US" w:eastAsia="zh-CN"/>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49" w:name="_bookmark130"/>
      <w:bookmarkEnd w:id="149"/>
      <w:r>
        <w:rPr>
          <w:rFonts w:hint="eastAsia" w:ascii="宋体" w:hAnsi="宋体" w:eastAsia="宋体" w:cs="宋体"/>
          <w:b/>
          <w:color w:val="auto"/>
          <w:spacing w:val="0"/>
          <w:w w:val="100"/>
          <w:position w:val="0"/>
          <w:sz w:val="24"/>
          <w:szCs w:val="21"/>
          <w:highlight w:val="none"/>
          <w:lang w:val="en-US" w:eastAsia="zh-CN"/>
        </w:rPr>
        <w:t>14-7、投标人针对投标人资格要求限制行为的声明格式</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投标人针对投标人资格要求限制行为的声明</w:t>
      </w:r>
    </w:p>
    <w:p>
      <w:pPr>
        <w:pStyle w:val="11"/>
        <w:spacing w:before="81"/>
        <w:ind w:right="1922"/>
        <w:jc w:val="left"/>
        <w:rPr>
          <w:rFonts w:hint="eastAsia" w:ascii="宋体" w:hAnsi="宋体" w:eastAsia="宋体" w:cs="宋体"/>
          <w:color w:val="auto"/>
          <w:spacing w:val="0"/>
          <w:w w:val="100"/>
          <w:position w:val="0"/>
          <w:sz w:val="21"/>
          <w:szCs w:val="21"/>
          <w:highlight w:val="none"/>
          <w:lang w:val="en-US" w:eastAsia="zh-CN"/>
        </w:rPr>
      </w:pPr>
      <w:r>
        <w:rPr>
          <w:rFonts w:hint="eastAsia" w:ascii="宋体" w:hAnsi="宋体" w:eastAsia="宋体" w:cs="宋体"/>
          <w:color w:val="auto"/>
          <w:spacing w:val="0"/>
          <w:w w:val="100"/>
          <w:position w:val="0"/>
          <w:sz w:val="21"/>
          <w:szCs w:val="21"/>
          <w:highlight w:val="none"/>
        </w:rPr>
        <w:t>我方声明：</w:t>
      </w:r>
    </w:p>
    <w:p>
      <w:pPr>
        <w:pStyle w:val="11"/>
        <w:spacing w:before="84" w:line="302" w:lineRule="auto"/>
        <w:ind w:left="400" w:right="477"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1、与我方存在单位负责人与我方为同一人或者与我方存在直接控股、管理关系情况的其他</w:t>
      </w:r>
      <w:r>
        <w:rPr>
          <w:rFonts w:hint="eastAsia" w:ascii="宋体" w:hAnsi="宋体" w:eastAsia="宋体" w:cs="宋体"/>
          <w:color w:val="auto"/>
          <w:spacing w:val="0"/>
          <w:w w:val="100"/>
          <w:position w:val="0"/>
          <w:sz w:val="21"/>
          <w:szCs w:val="21"/>
          <w:highlight w:val="none"/>
          <w:lang w:eastAsia="zh-CN"/>
        </w:rPr>
        <w:t>投标人</w:t>
      </w:r>
      <w:r>
        <w:rPr>
          <w:rFonts w:hint="eastAsia" w:ascii="宋体" w:hAnsi="宋体" w:eastAsia="宋体" w:cs="宋体"/>
          <w:color w:val="auto"/>
          <w:spacing w:val="0"/>
          <w:w w:val="100"/>
          <w:position w:val="0"/>
          <w:sz w:val="21"/>
          <w:szCs w:val="21"/>
          <w:highlight w:val="none"/>
        </w:rPr>
        <w:t>如下表：</w:t>
      </w:r>
    </w:p>
    <w:tbl>
      <w:tblPr>
        <w:tblStyle w:val="23"/>
        <w:tblW w:w="0" w:type="auto"/>
        <w:tblInd w:w="2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02"/>
        <w:gridCol w:w="3827"/>
        <w:gridCol w:w="4223"/>
        <w:gridCol w:w="17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Pr>
          <w:p>
            <w:pPr>
              <w:pStyle w:val="29"/>
              <w:spacing w:before="2"/>
              <w:ind w:left="309"/>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序号</w:t>
            </w:r>
          </w:p>
        </w:tc>
        <w:tc>
          <w:tcPr>
            <w:tcW w:w="3827" w:type="dxa"/>
          </w:tcPr>
          <w:p>
            <w:pPr>
              <w:pStyle w:val="29"/>
              <w:spacing w:before="2"/>
              <w:ind w:left="1290" w:right="1287"/>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lang w:eastAsia="zh-CN"/>
              </w:rPr>
              <w:t>投标人</w:t>
            </w:r>
            <w:r>
              <w:rPr>
                <w:rFonts w:hint="eastAsia" w:ascii="宋体" w:hAnsi="宋体" w:eastAsia="宋体" w:cs="宋体"/>
                <w:color w:val="auto"/>
                <w:spacing w:val="0"/>
                <w:w w:val="100"/>
                <w:position w:val="0"/>
                <w:sz w:val="21"/>
                <w:szCs w:val="20"/>
                <w:highlight w:val="none"/>
              </w:rPr>
              <w:t>名称</w:t>
            </w:r>
          </w:p>
        </w:tc>
        <w:tc>
          <w:tcPr>
            <w:tcW w:w="4396" w:type="dxa"/>
            <w:gridSpan w:val="2"/>
          </w:tcPr>
          <w:p>
            <w:pPr>
              <w:pStyle w:val="29"/>
              <w:spacing w:before="2"/>
              <w:ind w:left="1695" w:right="1690"/>
              <w:jc w:val="center"/>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相互关系</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7"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gridSpan w:val="2"/>
          </w:tcPr>
          <w:p>
            <w:pPr>
              <w:pStyle w:val="29"/>
              <w:spacing w:before="2"/>
              <w:ind w:left="106"/>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【请填写：直接控股我方、直接管理我</w:t>
            </w:r>
          </w:p>
          <w:p>
            <w:pPr>
              <w:pStyle w:val="29"/>
              <w:spacing w:before="81"/>
              <w:ind w:left="106" w:right="-29"/>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方、由我方直接控股或由我方直接管理】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0"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gridSpan w:val="2"/>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Pr>
          <w:p>
            <w:pPr>
              <w:pStyle w:val="29"/>
              <w:rPr>
                <w:rFonts w:hint="eastAsia" w:ascii="宋体" w:hAnsi="宋体" w:eastAsia="宋体" w:cs="宋体"/>
                <w:color w:val="auto"/>
                <w:spacing w:val="0"/>
                <w:w w:val="100"/>
                <w:position w:val="0"/>
                <w:sz w:val="21"/>
                <w:szCs w:val="20"/>
                <w:highlight w:val="none"/>
              </w:rPr>
            </w:pPr>
          </w:p>
        </w:tc>
        <w:tc>
          <w:tcPr>
            <w:tcW w:w="3827" w:type="dxa"/>
          </w:tcPr>
          <w:p>
            <w:pPr>
              <w:pStyle w:val="29"/>
              <w:rPr>
                <w:rFonts w:hint="eastAsia" w:ascii="宋体" w:hAnsi="宋体" w:eastAsia="宋体" w:cs="宋体"/>
                <w:color w:val="auto"/>
                <w:spacing w:val="0"/>
                <w:w w:val="100"/>
                <w:position w:val="0"/>
                <w:sz w:val="21"/>
                <w:szCs w:val="20"/>
                <w:highlight w:val="none"/>
              </w:rPr>
            </w:pPr>
          </w:p>
        </w:tc>
        <w:tc>
          <w:tcPr>
            <w:tcW w:w="4396" w:type="dxa"/>
            <w:gridSpan w:val="2"/>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88" w:hRule="atLeast"/>
        </w:trPr>
        <w:tc>
          <w:tcPr>
            <w:tcW w:w="1102"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c>
          <w:tcPr>
            <w:tcW w:w="3827" w:type="dxa"/>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c>
          <w:tcPr>
            <w:tcW w:w="4396" w:type="dxa"/>
            <w:gridSpan w:val="2"/>
            <w:tcBorders>
              <w:bottom w:val="single" w:color="000000" w:sz="8" w:space="0"/>
            </w:tcBorders>
          </w:tcPr>
          <w:p>
            <w:pPr>
              <w:pStyle w:val="29"/>
              <w:rPr>
                <w:rFonts w:hint="eastAsia" w:ascii="宋体" w:hAnsi="宋体" w:eastAsia="宋体" w:cs="宋体"/>
                <w:color w:val="auto"/>
                <w:spacing w:val="0"/>
                <w:w w:val="100"/>
                <w:position w:val="0"/>
                <w:sz w:val="21"/>
                <w:szCs w:val="20"/>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0" w:hRule="atLeast"/>
        </w:trPr>
        <w:tc>
          <w:tcPr>
            <w:tcW w:w="9152" w:type="dxa"/>
            <w:gridSpan w:val="3"/>
            <w:tcBorders>
              <w:top w:val="single" w:color="000000" w:sz="8" w:space="0"/>
            </w:tcBorders>
          </w:tcPr>
          <w:p>
            <w:pPr>
              <w:pStyle w:val="29"/>
              <w:spacing w:before="21"/>
              <w:ind w:left="587"/>
              <w:rPr>
                <w:rFonts w:hint="eastAsia" w:ascii="宋体" w:hAnsi="宋体" w:eastAsia="宋体" w:cs="宋体"/>
                <w:color w:val="auto"/>
                <w:spacing w:val="0"/>
                <w:w w:val="100"/>
                <w:position w:val="0"/>
                <w:sz w:val="21"/>
                <w:szCs w:val="20"/>
                <w:highlight w:val="none"/>
              </w:rPr>
            </w:pPr>
            <w:r>
              <w:rPr>
                <w:rFonts w:hint="eastAsia" w:ascii="宋体" w:hAnsi="宋体" w:eastAsia="宋体" w:cs="宋体"/>
                <w:color w:val="auto"/>
                <w:spacing w:val="0"/>
                <w:w w:val="100"/>
                <w:position w:val="0"/>
                <w:sz w:val="21"/>
                <w:szCs w:val="20"/>
                <w:highlight w:val="none"/>
              </w:rPr>
              <w:t>2、若我方受托为采购项目提供了整体设计、规范编制或者项目管理、监理、检测等服务，则自动放弃参加该采购项目的其他采购活动。</w:t>
            </w:r>
          </w:p>
        </w:tc>
        <w:tc>
          <w:tcPr>
            <w:tcW w:w="173" w:type="dxa"/>
            <w:tcBorders>
              <w:bottom w:val="nil"/>
              <w:right w:val="nil"/>
            </w:tcBorders>
          </w:tcPr>
          <w:p>
            <w:pPr>
              <w:pStyle w:val="29"/>
              <w:rPr>
                <w:rFonts w:hint="eastAsia" w:ascii="宋体" w:hAnsi="宋体" w:eastAsia="宋体" w:cs="宋体"/>
                <w:color w:val="auto"/>
                <w:spacing w:val="0"/>
                <w:w w:val="100"/>
                <w:position w:val="0"/>
                <w:sz w:val="21"/>
                <w:szCs w:val="20"/>
                <w:highlight w:val="none"/>
              </w:rPr>
            </w:pPr>
          </w:p>
        </w:tc>
      </w:tr>
    </w:tbl>
    <w:p>
      <w:pPr>
        <w:pStyle w:val="11"/>
        <w:spacing w:before="6"/>
        <w:rPr>
          <w:rFonts w:hint="eastAsia" w:ascii="宋体" w:hAnsi="宋体" w:eastAsia="宋体" w:cs="宋体"/>
          <w:color w:val="auto"/>
          <w:spacing w:val="0"/>
          <w:w w:val="100"/>
          <w:position w:val="0"/>
          <w:sz w:val="24"/>
          <w:szCs w:val="21"/>
          <w:highlight w:val="none"/>
        </w:rPr>
      </w:pP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投标人名称（公章）：</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法定代表人签署或被授权人</w:t>
      </w:r>
      <w:r>
        <w:rPr>
          <w:rFonts w:hint="eastAsia" w:ascii="宋体" w:hAnsi="宋体" w:eastAsia="宋体" w:cs="宋体"/>
          <w:color w:val="auto"/>
          <w:spacing w:val="0"/>
          <w:w w:val="100"/>
          <w:position w:val="0"/>
          <w:sz w:val="21"/>
          <w:szCs w:val="21"/>
          <w:highlight w:val="none"/>
          <w:lang w:val="en-US" w:eastAsia="zh-CN"/>
        </w:rPr>
        <w:t>（签字或盖章）</w:t>
      </w: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u w:val="single"/>
          <w:lang w:val="en-US" w:eastAsia="zh-CN"/>
        </w:rPr>
        <w:t xml:space="preserve">                  </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ind w:left="440" w:leftChars="20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日期 ：</w:t>
      </w:r>
      <w:r>
        <w:rPr>
          <w:rFonts w:hint="eastAsia" w:ascii="宋体" w:hAnsi="宋体" w:eastAsia="宋体" w:cs="宋体"/>
          <w:color w:val="auto"/>
          <w:sz w:val="21"/>
          <w:szCs w:val="21"/>
          <w:highlight w:val="none"/>
          <w:u w:val="single"/>
          <w:lang w:val="en-US" w:eastAsia="zh-CN"/>
        </w:rPr>
        <w:t xml:space="preserve">                             </w:t>
      </w:r>
    </w:p>
    <w:p>
      <w:pPr>
        <w:rPr>
          <w:rFonts w:hint="eastAsia" w:ascii="宋体" w:hAnsi="宋体" w:eastAsia="宋体" w:cs="宋体"/>
          <w:color w:val="auto"/>
          <w:spacing w:val="0"/>
          <w:w w:val="100"/>
          <w:position w:val="0"/>
          <w:sz w:val="20"/>
          <w:szCs w:val="20"/>
          <w:highlight w:val="none"/>
        </w:rPr>
      </w:pPr>
      <w:r>
        <w:rPr>
          <w:rFonts w:hint="eastAsia" w:ascii="宋体" w:hAnsi="宋体" w:eastAsia="宋体" w:cs="宋体"/>
          <w:color w:val="auto"/>
          <w:spacing w:val="0"/>
          <w:w w:val="100"/>
          <w:position w:val="0"/>
          <w:sz w:val="20"/>
          <w:szCs w:val="20"/>
          <w:highlight w:val="none"/>
        </w:rPr>
        <w:br w:type="page"/>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4"/>
          <w:szCs w:val="21"/>
          <w:highlight w:val="none"/>
          <w:lang w:val="en-US" w:eastAsia="zh-CN"/>
        </w:rPr>
      </w:pPr>
      <w:bookmarkStart w:id="150" w:name="_bookmark131"/>
      <w:bookmarkEnd w:id="150"/>
      <w:r>
        <w:rPr>
          <w:rFonts w:hint="eastAsia" w:ascii="宋体" w:hAnsi="宋体" w:eastAsia="宋体" w:cs="宋体"/>
          <w:b/>
          <w:color w:val="auto"/>
          <w:spacing w:val="0"/>
          <w:w w:val="100"/>
          <w:position w:val="0"/>
          <w:sz w:val="24"/>
          <w:szCs w:val="21"/>
          <w:highlight w:val="none"/>
          <w:lang w:val="en-US" w:eastAsia="zh-CN"/>
        </w:rPr>
        <w:t>14-8、联合体协议格式</w:t>
      </w:r>
    </w:p>
    <w:p>
      <w:pPr>
        <w:pStyle w:val="11"/>
        <w:spacing w:before="6"/>
        <w:ind w:left="363" w:right="437"/>
        <w:jc w:val="center"/>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（联合体投标时提供）</w:t>
      </w:r>
    </w:p>
    <w:p>
      <w:pPr>
        <w:pStyle w:val="32"/>
        <w:keepNext w:val="0"/>
        <w:keepLines w:val="0"/>
        <w:pageBreakBefore w:val="0"/>
        <w:widowControl w:val="0"/>
        <w:kinsoku/>
        <w:wordWrap/>
        <w:overflowPunct/>
        <w:topLinePunct w:val="0"/>
        <w:autoSpaceDE w:val="0"/>
        <w:autoSpaceDN w:val="0"/>
        <w:bidi w:val="0"/>
        <w:adjustRightInd w:val="0"/>
        <w:snapToGrid/>
        <w:spacing w:line="400" w:lineRule="exact"/>
        <w:jc w:val="center"/>
        <w:textAlignment w:val="auto"/>
        <w:rPr>
          <w:rFonts w:hint="eastAsia" w:ascii="宋体" w:hAnsi="宋体" w:eastAsia="宋体" w:cs="宋体"/>
          <w:b/>
          <w:color w:val="auto"/>
          <w:spacing w:val="0"/>
          <w:w w:val="100"/>
          <w:position w:val="0"/>
          <w:sz w:val="22"/>
          <w:szCs w:val="22"/>
          <w:highlight w:val="none"/>
          <w:lang w:val="en-US" w:eastAsia="zh-CN"/>
        </w:rPr>
      </w:pPr>
      <w:r>
        <w:rPr>
          <w:rFonts w:hint="eastAsia" w:ascii="宋体" w:hAnsi="宋体" w:eastAsia="宋体" w:cs="宋体"/>
          <w:b/>
          <w:color w:val="auto"/>
          <w:spacing w:val="0"/>
          <w:w w:val="100"/>
          <w:position w:val="0"/>
          <w:sz w:val="22"/>
          <w:szCs w:val="22"/>
          <w:highlight w:val="none"/>
          <w:lang w:val="en-US" w:eastAsia="zh-CN"/>
        </w:rPr>
        <w:t>联合体协议（格式）</w:t>
      </w:r>
    </w:p>
    <w:p>
      <w:pPr>
        <w:pStyle w:val="11"/>
        <w:spacing w:before="2"/>
        <w:rPr>
          <w:rFonts w:hint="eastAsia" w:ascii="宋体" w:hAnsi="宋体" w:eastAsia="宋体" w:cs="宋体"/>
          <w:b/>
          <w:color w:val="auto"/>
          <w:spacing w:val="0"/>
          <w:w w:val="100"/>
          <w:position w:val="0"/>
          <w:sz w:val="6"/>
          <w:szCs w:val="21"/>
          <w:highlight w:val="none"/>
        </w:rPr>
      </w:pPr>
    </w:p>
    <w:p>
      <w:pPr>
        <w:pStyle w:val="11"/>
        <w:tabs>
          <w:tab w:val="left" w:pos="2323"/>
          <w:tab w:val="left" w:pos="2452"/>
          <w:tab w:val="left" w:pos="4008"/>
          <w:tab w:val="left" w:pos="5693"/>
        </w:tabs>
        <w:spacing w:before="74" w:line="343" w:lineRule="auto"/>
        <w:ind w:left="400" w:right="354"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【所有成员单位名称】自愿组成联合体，共同参加</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【项目名称/包件名称】 </w:t>
      </w:r>
      <w:r>
        <w:rPr>
          <w:rFonts w:hint="eastAsia" w:ascii="宋体" w:hAnsi="宋体" w:eastAsia="宋体" w:cs="宋体"/>
          <w:color w:val="auto"/>
          <w:spacing w:val="0"/>
          <w:w w:val="100"/>
          <w:position w:val="0"/>
          <w:sz w:val="21"/>
          <w:szCs w:val="21"/>
          <w:highlight w:val="none"/>
        </w:rPr>
        <w:t>招标和投标（</w:t>
      </w:r>
      <w:r>
        <w:rPr>
          <w:rFonts w:hint="eastAsia" w:ascii="宋体" w:hAnsi="宋体" w:eastAsia="宋体" w:cs="宋体"/>
          <w:color w:val="auto"/>
          <w:spacing w:val="0"/>
          <w:w w:val="100"/>
          <w:position w:val="0"/>
          <w:sz w:val="21"/>
          <w:szCs w:val="21"/>
          <w:highlight w:val="none"/>
          <w:u w:val="single"/>
        </w:rPr>
        <w:t xml:space="preserve"> 【项目编号/包件号】 </w:t>
      </w:r>
      <w:r>
        <w:rPr>
          <w:rFonts w:hint="eastAsia" w:ascii="宋体" w:hAnsi="宋体" w:eastAsia="宋体" w:cs="宋体"/>
          <w:color w:val="auto"/>
          <w:spacing w:val="0"/>
          <w:w w:val="100"/>
          <w:position w:val="0"/>
          <w:sz w:val="21"/>
          <w:szCs w:val="21"/>
          <w:highlight w:val="none"/>
        </w:rPr>
        <w:t>）。现就联合体投标事宜订立如下协议。</w:t>
      </w:r>
    </w:p>
    <w:p>
      <w:pPr>
        <w:pStyle w:val="11"/>
        <w:tabs>
          <w:tab w:val="left" w:pos="1600"/>
        </w:tabs>
        <w:spacing w:before="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1、</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 xml:space="preserve">【牵头人成员单位名称】 </w:t>
      </w:r>
      <w:r>
        <w:rPr>
          <w:rFonts w:hint="eastAsia" w:ascii="宋体" w:hAnsi="宋体" w:eastAsia="宋体" w:cs="宋体"/>
          <w:color w:val="auto"/>
          <w:spacing w:val="0"/>
          <w:w w:val="100"/>
          <w:position w:val="0"/>
          <w:sz w:val="21"/>
          <w:szCs w:val="21"/>
          <w:highlight w:val="none"/>
        </w:rPr>
        <w:t>为牵头人。</w:t>
      </w:r>
    </w:p>
    <w:p>
      <w:pPr>
        <w:pStyle w:val="11"/>
        <w:spacing w:before="132" w:line="343" w:lineRule="auto"/>
        <w:ind w:left="400" w:right="235"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2、联合体牵头人合法代表联合体各成员负责本项目投标文件编制和合同谈判活动， 代表联合体提交和接收相关的资料、信息及指示，处理与之有关的一切事务，并负责 合同实施阶段的主办、组织和协调工作。</w:t>
      </w:r>
    </w:p>
    <w:p>
      <w:pPr>
        <w:pStyle w:val="11"/>
        <w:spacing w:before="1" w:line="343" w:lineRule="auto"/>
        <w:ind w:left="400" w:right="473" w:firstLine="479"/>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3、联合体将严格按照招标文件的各项要求，递交投标文件，履行合同，并对外承担连带责任。</w:t>
      </w:r>
    </w:p>
    <w:p>
      <w:pPr>
        <w:pStyle w:val="11"/>
        <w:spacing w:before="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4、联合体各成员单位内部的工作和相应的责任如下：</w:t>
      </w:r>
    </w:p>
    <w:p>
      <w:pPr>
        <w:pStyle w:val="11"/>
        <w:tabs>
          <w:tab w:val="left" w:pos="7656"/>
        </w:tabs>
        <w:spacing w:before="132" w:line="343" w:lineRule="auto"/>
        <w:ind w:left="880" w:right="1842"/>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。5、联合体各成员单位在投标总价中的所占金额比例如下：</w:t>
      </w:r>
    </w:p>
    <w:p>
      <w:pPr>
        <w:pStyle w:val="11"/>
        <w:tabs>
          <w:tab w:val="left" w:pos="8741"/>
        </w:tabs>
        <w:spacing w:before="1"/>
        <w:ind w:left="76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成员一名称】</w:t>
      </w:r>
      <w:r>
        <w:rPr>
          <w:rFonts w:hint="eastAsia" w:ascii="宋体" w:hAnsi="宋体" w:eastAsia="宋体" w:cs="宋体"/>
          <w:color w:val="auto"/>
          <w:spacing w:val="0"/>
          <w:w w:val="100"/>
          <w:position w:val="0"/>
          <w:sz w:val="21"/>
          <w:szCs w:val="21"/>
          <w:highlight w:val="none"/>
        </w:rPr>
        <w:t>在投标总价中所占金额为</w:t>
      </w:r>
      <w:r>
        <w:rPr>
          <w:rFonts w:hint="eastAsia" w:ascii="宋体" w:hAnsi="宋体" w:eastAsia="宋体" w:cs="宋体"/>
          <w:color w:val="auto"/>
          <w:spacing w:val="0"/>
          <w:w w:val="100"/>
          <w:position w:val="0"/>
          <w:sz w:val="21"/>
          <w:szCs w:val="21"/>
          <w:highlight w:val="none"/>
          <w:u w:val="single"/>
        </w:rPr>
        <w:t>【XXXX.XX 元】</w:t>
      </w:r>
      <w:r>
        <w:rPr>
          <w:rFonts w:hint="eastAsia" w:ascii="宋体" w:hAnsi="宋体" w:eastAsia="宋体" w:cs="宋体"/>
          <w:color w:val="auto"/>
          <w:spacing w:val="0"/>
          <w:w w:val="100"/>
          <w:position w:val="0"/>
          <w:sz w:val="21"/>
          <w:szCs w:val="21"/>
          <w:highlight w:val="none"/>
        </w:rPr>
        <w:t>，金额比例为：</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w:t>
      </w:r>
    </w:p>
    <w:p>
      <w:pPr>
        <w:pStyle w:val="11"/>
        <w:tabs>
          <w:tab w:val="left" w:pos="8741"/>
        </w:tabs>
        <w:spacing w:before="133"/>
        <w:ind w:left="76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r>
        <w:rPr>
          <w:rFonts w:hint="eastAsia" w:ascii="宋体" w:hAnsi="宋体" w:eastAsia="宋体" w:cs="宋体"/>
          <w:color w:val="auto"/>
          <w:spacing w:val="0"/>
          <w:w w:val="100"/>
          <w:position w:val="0"/>
          <w:sz w:val="21"/>
          <w:szCs w:val="21"/>
          <w:highlight w:val="none"/>
          <w:u w:val="single"/>
        </w:rPr>
        <w:t>成员二名称】</w:t>
      </w:r>
      <w:r>
        <w:rPr>
          <w:rFonts w:hint="eastAsia" w:ascii="宋体" w:hAnsi="宋体" w:eastAsia="宋体" w:cs="宋体"/>
          <w:color w:val="auto"/>
          <w:spacing w:val="0"/>
          <w:w w:val="100"/>
          <w:position w:val="0"/>
          <w:sz w:val="21"/>
          <w:szCs w:val="21"/>
          <w:highlight w:val="none"/>
        </w:rPr>
        <w:t>在投标总价中所占金额为</w:t>
      </w:r>
      <w:r>
        <w:rPr>
          <w:rFonts w:hint="eastAsia" w:ascii="宋体" w:hAnsi="宋体" w:eastAsia="宋体" w:cs="宋体"/>
          <w:color w:val="auto"/>
          <w:spacing w:val="0"/>
          <w:w w:val="100"/>
          <w:position w:val="0"/>
          <w:sz w:val="21"/>
          <w:szCs w:val="21"/>
          <w:highlight w:val="none"/>
          <w:u w:val="single"/>
        </w:rPr>
        <w:t>【XXXX.XX 元】</w:t>
      </w:r>
      <w:r>
        <w:rPr>
          <w:rFonts w:hint="eastAsia" w:ascii="宋体" w:hAnsi="宋体" w:eastAsia="宋体" w:cs="宋体"/>
          <w:color w:val="auto"/>
          <w:spacing w:val="0"/>
          <w:w w:val="100"/>
          <w:position w:val="0"/>
          <w:sz w:val="21"/>
          <w:szCs w:val="21"/>
          <w:highlight w:val="none"/>
        </w:rPr>
        <w:t>，金额比例为：</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u w:val="single"/>
        </w:rPr>
        <w:t>%</w:t>
      </w:r>
    </w:p>
    <w:p>
      <w:pPr>
        <w:pStyle w:val="11"/>
        <w:spacing w:before="131"/>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p>
    <w:p>
      <w:pPr>
        <w:pStyle w:val="11"/>
        <w:spacing w:before="134"/>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6、联合体其他成员委托牵头人代表联合体与采购人签订合同。</w:t>
      </w:r>
    </w:p>
    <w:p>
      <w:pPr>
        <w:pStyle w:val="11"/>
        <w:spacing w:before="132"/>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7、本协议书自签署之日起生效，合同履行完毕后自动失效。</w:t>
      </w:r>
    </w:p>
    <w:p>
      <w:pPr>
        <w:pStyle w:val="11"/>
        <w:tabs>
          <w:tab w:val="left" w:pos="3040"/>
        </w:tabs>
        <w:spacing w:before="132"/>
        <w:ind w:left="88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8、本协议书一式</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份，联合体成员和采购人各执一份。</w:t>
      </w:r>
    </w:p>
    <w:p>
      <w:pPr>
        <w:pStyle w:val="11"/>
        <w:spacing w:before="12"/>
        <w:rPr>
          <w:rFonts w:hint="eastAsia" w:ascii="宋体" w:hAnsi="宋体" w:eastAsia="宋体" w:cs="宋体"/>
          <w:color w:val="auto"/>
          <w:spacing w:val="0"/>
          <w:w w:val="100"/>
          <w:position w:val="0"/>
          <w:sz w:val="15"/>
          <w:szCs w:val="21"/>
          <w:highlight w:val="none"/>
        </w:rPr>
      </w:pPr>
    </w:p>
    <w:p>
      <w:pPr>
        <w:pStyle w:val="11"/>
        <w:tabs>
          <w:tab w:val="left" w:pos="5801"/>
        </w:tabs>
        <w:spacing w:before="7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成员一名称：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（盖章）</w:t>
      </w:r>
    </w:p>
    <w:p>
      <w:pPr>
        <w:pStyle w:val="11"/>
        <w:tabs>
          <w:tab w:val="left" w:pos="7176"/>
        </w:tabs>
        <w:spacing w:before="13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法定代表人签署或其委托代理人签字：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p>
    <w:p>
      <w:pPr>
        <w:pStyle w:val="11"/>
        <w:spacing w:before="5"/>
        <w:rPr>
          <w:rFonts w:hint="eastAsia" w:ascii="宋体" w:hAnsi="宋体" w:eastAsia="宋体" w:cs="宋体"/>
          <w:color w:val="auto"/>
          <w:spacing w:val="0"/>
          <w:w w:val="100"/>
          <w:position w:val="0"/>
          <w:sz w:val="21"/>
          <w:szCs w:val="21"/>
          <w:highlight w:val="none"/>
        </w:rPr>
      </w:pPr>
    </w:p>
    <w:p>
      <w:pPr>
        <w:pStyle w:val="11"/>
        <w:tabs>
          <w:tab w:val="left" w:pos="5801"/>
        </w:tabs>
        <w:spacing w:before="7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成员二名称：</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（盖章）</w:t>
      </w:r>
    </w:p>
    <w:p>
      <w:pPr>
        <w:pStyle w:val="11"/>
        <w:tabs>
          <w:tab w:val="left" w:pos="7241"/>
        </w:tabs>
        <w:spacing w:before="132"/>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法定代表人签署或其委托代理人签字：</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（签字）</w:t>
      </w:r>
    </w:p>
    <w:p>
      <w:pPr>
        <w:pStyle w:val="11"/>
        <w:spacing w:before="134"/>
        <w:ind w:left="400"/>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rPr>
        <w:t>……</w:t>
      </w:r>
    </w:p>
    <w:p>
      <w:pPr>
        <w:pStyle w:val="11"/>
        <w:spacing w:before="12"/>
        <w:rPr>
          <w:rFonts w:hint="eastAsia" w:ascii="宋体" w:hAnsi="宋体" w:eastAsia="宋体" w:cs="宋体"/>
          <w:color w:val="auto"/>
          <w:spacing w:val="0"/>
          <w:w w:val="100"/>
          <w:position w:val="0"/>
          <w:sz w:val="28"/>
          <w:szCs w:val="21"/>
          <w:highlight w:val="none"/>
        </w:rPr>
      </w:pPr>
    </w:p>
    <w:p>
      <w:pPr>
        <w:pStyle w:val="11"/>
        <w:tabs>
          <w:tab w:val="left" w:pos="4651"/>
          <w:tab w:val="left" w:pos="5731"/>
          <w:tab w:val="left" w:pos="6812"/>
        </w:tabs>
        <w:ind w:left="3691"/>
        <w:rPr>
          <w:rFonts w:hint="eastAsia" w:ascii="宋体" w:hAnsi="宋体" w:eastAsia="宋体" w:cs="宋体"/>
          <w:color w:val="auto"/>
          <w:spacing w:val="0"/>
          <w:w w:val="100"/>
          <w:position w:val="0"/>
          <w:sz w:val="21"/>
          <w:szCs w:val="21"/>
          <w:highlight w:val="none"/>
        </w:rPr>
      </w:pP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年</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月</w:t>
      </w:r>
      <w:r>
        <w:rPr>
          <w:rFonts w:hint="eastAsia" w:ascii="宋体" w:hAnsi="宋体" w:eastAsia="宋体" w:cs="宋体"/>
          <w:color w:val="auto"/>
          <w:spacing w:val="0"/>
          <w:w w:val="100"/>
          <w:position w:val="0"/>
          <w:sz w:val="21"/>
          <w:szCs w:val="21"/>
          <w:highlight w:val="none"/>
          <w:u w:val="single"/>
        </w:rPr>
        <w:t xml:space="preserve"> </w:t>
      </w:r>
      <w:r>
        <w:rPr>
          <w:rFonts w:hint="eastAsia" w:ascii="宋体" w:hAnsi="宋体" w:eastAsia="宋体" w:cs="宋体"/>
          <w:color w:val="auto"/>
          <w:spacing w:val="0"/>
          <w:w w:val="100"/>
          <w:position w:val="0"/>
          <w:sz w:val="21"/>
          <w:szCs w:val="21"/>
          <w:highlight w:val="none"/>
          <w:u w:val="single"/>
        </w:rPr>
        <w:tab/>
      </w:r>
      <w:r>
        <w:rPr>
          <w:rFonts w:hint="eastAsia" w:ascii="宋体" w:hAnsi="宋体" w:eastAsia="宋体" w:cs="宋体"/>
          <w:color w:val="auto"/>
          <w:spacing w:val="0"/>
          <w:w w:val="100"/>
          <w:position w:val="0"/>
          <w:sz w:val="21"/>
          <w:szCs w:val="21"/>
          <w:highlight w:val="none"/>
        </w:rPr>
        <w:t>日</w:t>
      </w:r>
      <w:bookmarkStart w:id="151" w:name="_bookmark132"/>
      <w:bookmarkEnd w:id="151"/>
    </w:p>
    <w:p>
      <w:pPr>
        <w:pStyle w:val="12"/>
        <w:rPr>
          <w:rFonts w:hint="eastAsia" w:ascii="宋体" w:hAnsi="宋体" w:eastAsia="宋体" w:cs="宋体"/>
          <w:color w:val="auto"/>
          <w:spacing w:val="0"/>
          <w:w w:val="100"/>
          <w:position w:val="0"/>
          <w:sz w:val="16"/>
          <w:szCs w:val="16"/>
          <w:highlight w:val="none"/>
        </w:rPr>
      </w:pPr>
    </w:p>
    <w:p>
      <w:pPr>
        <w:rPr>
          <w:rFonts w:hint="eastAsia" w:ascii="宋体" w:hAnsi="宋体" w:eastAsia="宋体" w:cs="宋体"/>
          <w:color w:val="auto"/>
          <w:spacing w:val="0"/>
          <w:w w:val="100"/>
          <w:position w:val="0"/>
          <w:sz w:val="20"/>
          <w:szCs w:val="20"/>
          <w:highlight w:val="none"/>
        </w:rPr>
      </w:pPr>
    </w:p>
    <w:sectPr>
      <w:headerReference r:id="rId12" w:type="default"/>
      <w:footerReference r:id="rId13" w:type="default"/>
      <w:pgSz w:w="11910" w:h="16840"/>
      <w:pgMar w:top="1440" w:right="1080" w:bottom="1440" w:left="1080" w:header="850" w:footer="998" w:gutter="0"/>
      <w:pgBorders>
        <w:top w:val="none" w:sz="0" w:space="0"/>
        <w:left w:val="none" w:sz="0" w:space="0"/>
        <w:bottom w:val="none" w:sz="0" w:space="0"/>
        <w:right w:val="none" w:sz="0" w:space="0"/>
      </w:pgBorders>
      <w:pgNumType w:fmt="numberInDash"/>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10"/>
        <w:szCs w:val="1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20"/>
      </w:rPr>
    </w:pPr>
    <w:r>
      <w:rPr>
        <w:sz w:val="20"/>
      </w:rPr>
      <w:pict>
        <v:shape id="_x0000_s2053" o:spid="_x0000_s205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3</w:t>
                </w:r>
                <w:r>
                  <w:fldChar w:fldCharType="end"/>
                </w:r>
              </w:p>
            </w:txbxContent>
          </v:textbox>
        </v:shape>
      </w:pic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20"/>
      </w:rPr>
    </w:pPr>
    <w:r>
      <w:rPr>
        <w:sz w:val="20"/>
      </w:rPr>
      <w:pict>
        <v:shape id="_x0000_s2054" o:spid="_x0000_s2054"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68</w:t>
                </w:r>
                <w:r>
                  <w:fldChar w:fldCharType="end"/>
                </w:r>
              </w:p>
            </w:txbxContent>
          </v:textbox>
        </v:shape>
      </w:pic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val="0"/>
      <w:pBdr>
        <w:top w:val="double" w:color="auto" w:sz="4" w:space="1"/>
        <w:left w:val="none" w:color="auto" w:sz="0" w:space="4"/>
        <w:bottom w:val="none" w:color="auto" w:sz="0" w:space="1"/>
        <w:right w:val="none" w:color="auto" w:sz="0" w:space="4"/>
        <w:between w:val="none" w:color="auto" w:sz="0" w:space="0"/>
      </w:pBdr>
      <w:autoSpaceDE w:val="0"/>
      <w:autoSpaceDN w:val="0"/>
      <w:spacing w:before="0" w:after="0" w:line="240" w:lineRule="auto"/>
      <w:ind w:left="0" w:leftChars="0" w:right="0" w:rightChars="0"/>
      <w:jc w:val="left"/>
      <w:rPr>
        <w:sz w:val="12"/>
      </w:rPr>
    </w:pPr>
    <w:r>
      <w:rPr>
        <w:sz w:val="12"/>
      </w:rPr>
      <w:pict>
        <v:shape id="_x0000_s2055" o:spid="_x0000_s2055" o:spt="202" type="#_x0000_t202" style="position:absolute;left:0pt;margin-top:0pt;height:144pt;width:144pt;mso-position-horizontal:center;mso-position-horizontal-relative:margin;mso-wrap-style:none;z-index:251661312;mso-width-relative:page;mso-height-relative:page;" filled="f" stroked="f" coordsize="21600,21600">
          <v:path/>
          <v:fill on="f" focussize="0,0"/>
          <v:stroke on="f"/>
          <v:imagedata o:title=""/>
          <o:lock v:ext="edit" aspectratio="f"/>
          <v:textbox inset="0mm,0mm,0mm,0mm" style="mso-fit-shape-to-text:t;">
            <w:txbxContent>
              <w:p>
                <w:pPr>
                  <w:pStyle w:val="15"/>
                </w:pPr>
                <w:r>
                  <w:fldChar w:fldCharType="begin"/>
                </w:r>
                <w:r>
                  <w:instrText xml:space="preserve"> PAGE  \* MERGEFORMAT </w:instrText>
                </w:r>
                <w:r>
                  <w:fldChar w:fldCharType="separate"/>
                </w:r>
                <w:r>
                  <w:t>70</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double" w:color="auto" w:sz="8" w:space="1"/>
      </w:pBdr>
      <w:ind w:left="0" w:leftChars="0" w:right="0" w:rightChars="0" w:firstLine="0" w:firstLineChars="0"/>
      <w:jc w:val="center"/>
      <w:rPr>
        <w:rFonts w:hint="eastAsia" w:ascii="宋体" w:hAnsi="宋体" w:eastAsia="宋体" w:cs="宋体"/>
        <w:sz w:val="22"/>
        <w:szCs w:val="22"/>
        <w:lang w:val="en-US"/>
      </w:rPr>
    </w:pPr>
    <w:r>
      <w:rPr>
        <w:rFonts w:hint="eastAsia" w:ascii="宋体" w:hAnsi="宋体" w:eastAsia="宋体" w:cs="宋体"/>
        <w:i w:val="0"/>
        <w:caps w:val="0"/>
        <w:color w:val="auto"/>
        <w:spacing w:val="0"/>
        <w:sz w:val="22"/>
        <w:szCs w:val="22"/>
        <w:lang w:val="en-US" w:eastAsia="zh-CN"/>
      </w:rPr>
      <w:t>新疆华恒惠欣工程项目管理有限责任公司                                        公开招标文件</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double" w:color="auto" w:sz="8" w:space="1"/>
      </w:pBdr>
      <w:ind w:left="0" w:leftChars="0" w:right="0" w:rightChars="0" w:firstLine="0" w:firstLineChars="0"/>
      <w:jc w:val="center"/>
      <w:rPr>
        <w:rFonts w:hint="default"/>
        <w:sz w:val="22"/>
        <w:szCs w:val="22"/>
        <w:lang w:val="en-US"/>
      </w:rPr>
    </w:pPr>
    <w:r>
      <w:rPr>
        <w:rFonts w:hint="eastAsia" w:ascii="宋体" w:hAnsi="宋体" w:eastAsia="宋体" w:cs="宋体"/>
        <w:i w:val="0"/>
        <w:caps w:val="0"/>
        <w:color w:val="auto"/>
        <w:spacing w:val="0"/>
        <w:sz w:val="22"/>
        <w:szCs w:val="22"/>
        <w:lang w:val="en-US" w:eastAsia="zh-CN"/>
      </w:rPr>
      <w:t xml:space="preserve">新疆华恒惠欣工程项目管理有限责任公司                          </w:t>
    </w:r>
    <w:r>
      <w:rPr>
        <w:rFonts w:hint="eastAsia" w:cs="宋体"/>
        <w:i w:val="0"/>
        <w:caps w:val="0"/>
        <w:color w:val="auto"/>
        <w:spacing w:val="0"/>
        <w:sz w:val="22"/>
        <w:szCs w:val="22"/>
        <w:lang w:val="en-US" w:eastAsia="zh-CN"/>
      </w:rPr>
      <w:t xml:space="preserve">           </w:t>
    </w:r>
    <w:r>
      <w:rPr>
        <w:rFonts w:hint="eastAsia" w:ascii="宋体" w:hAnsi="宋体" w:eastAsia="宋体" w:cs="宋体"/>
        <w:i w:val="0"/>
        <w:caps w:val="0"/>
        <w:color w:val="auto"/>
        <w:spacing w:val="0"/>
        <w:sz w:val="22"/>
        <w:szCs w:val="22"/>
        <w:lang w:val="en-US" w:eastAsia="zh-CN"/>
      </w:rPr>
      <w:t xml:space="preserve">                                                公开招标文件</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Bdr>
        <w:bottom w:val="double" w:color="auto" w:sz="8" w:space="1"/>
      </w:pBdr>
      <w:ind w:left="0" w:leftChars="0" w:right="0" w:rightChars="0" w:firstLine="0" w:firstLineChars="0"/>
      <w:jc w:val="center"/>
      <w:rPr>
        <w:rFonts w:hint="default"/>
        <w:sz w:val="22"/>
        <w:szCs w:val="22"/>
        <w:lang w:val="en-US"/>
      </w:rPr>
    </w:pPr>
    <w:r>
      <w:rPr>
        <w:rFonts w:hint="eastAsia" w:ascii="宋体" w:hAnsi="宋体" w:eastAsia="宋体" w:cs="宋体"/>
        <w:i w:val="0"/>
        <w:caps w:val="0"/>
        <w:color w:val="auto"/>
        <w:spacing w:val="0"/>
        <w:sz w:val="22"/>
        <w:szCs w:val="22"/>
        <w:lang w:val="en-US" w:eastAsia="zh-CN"/>
      </w:rPr>
      <w:t xml:space="preserve">新疆华恒惠欣工程项目管理有限责任公司          </w:t>
    </w:r>
    <w:r>
      <w:rPr>
        <w:rFonts w:hint="eastAsia" w:cs="宋体"/>
        <w:i w:val="0"/>
        <w:caps w:val="0"/>
        <w:color w:val="auto"/>
        <w:spacing w:val="0"/>
        <w:sz w:val="22"/>
        <w:szCs w:val="22"/>
        <w:lang w:val="en-US" w:eastAsia="zh-CN"/>
      </w:rPr>
      <w:t xml:space="preserve">       </w:t>
    </w:r>
    <w:bookmarkStart w:id="152" w:name="_GoBack"/>
    <w:bookmarkEnd w:id="152"/>
    <w:r>
      <w:rPr>
        <w:rFonts w:hint="eastAsia" w:ascii="宋体" w:hAnsi="宋体" w:eastAsia="宋体" w:cs="宋体"/>
        <w:i w:val="0"/>
        <w:caps w:val="0"/>
        <w:color w:val="auto"/>
        <w:spacing w:val="0"/>
        <w:sz w:val="22"/>
        <w:szCs w:val="22"/>
        <w:lang w:val="en-US" w:eastAsia="zh-CN"/>
      </w:rPr>
      <w:t xml:space="preserve">                       公开招标文件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04749B"/>
    <w:multiLevelType w:val="singleLevel"/>
    <w:tmpl w:val="C704749B"/>
    <w:lvl w:ilvl="0" w:tentative="0">
      <w:start w:val="1"/>
      <w:numFmt w:val="decimal"/>
      <w:suff w:val="nothing"/>
      <w:lvlText w:val="%1、"/>
      <w:lvlJc w:val="left"/>
    </w:lvl>
  </w:abstractNum>
  <w:abstractNum w:abstractNumId="1">
    <w:nsid w:val="252BF6AB"/>
    <w:multiLevelType w:val="multilevel"/>
    <w:tmpl w:val="252BF6AB"/>
    <w:lvl w:ilvl="0" w:tentative="0">
      <w:start w:val="0"/>
      <w:numFmt w:val="bullet"/>
      <w:lvlText w:val=""/>
      <w:lvlJc w:val="left"/>
      <w:pPr>
        <w:ind w:left="528" w:hanging="421"/>
      </w:pPr>
      <w:rPr>
        <w:rFonts w:hint="default" w:ascii="Wingdings" w:hAnsi="Wingdings" w:eastAsia="Wingdings" w:cs="Wingdings"/>
        <w:w w:val="100"/>
        <w:sz w:val="24"/>
        <w:szCs w:val="24"/>
        <w:lang w:val="zh-CN" w:eastAsia="zh-CN" w:bidi="zh-CN"/>
      </w:rPr>
    </w:lvl>
    <w:lvl w:ilvl="1" w:tentative="0">
      <w:start w:val="0"/>
      <w:numFmt w:val="bullet"/>
      <w:lvlText w:val="•"/>
      <w:lvlJc w:val="left"/>
      <w:pPr>
        <w:ind w:left="1003" w:hanging="421"/>
      </w:pPr>
      <w:rPr>
        <w:rFonts w:hint="default"/>
        <w:lang w:val="zh-CN" w:eastAsia="zh-CN" w:bidi="zh-CN"/>
      </w:rPr>
    </w:lvl>
    <w:lvl w:ilvl="2" w:tentative="0">
      <w:start w:val="0"/>
      <w:numFmt w:val="bullet"/>
      <w:lvlText w:val="•"/>
      <w:lvlJc w:val="left"/>
      <w:pPr>
        <w:ind w:left="1486" w:hanging="421"/>
      </w:pPr>
      <w:rPr>
        <w:rFonts w:hint="default"/>
        <w:lang w:val="zh-CN" w:eastAsia="zh-CN" w:bidi="zh-CN"/>
      </w:rPr>
    </w:lvl>
    <w:lvl w:ilvl="3" w:tentative="0">
      <w:start w:val="0"/>
      <w:numFmt w:val="bullet"/>
      <w:lvlText w:val="•"/>
      <w:lvlJc w:val="left"/>
      <w:pPr>
        <w:ind w:left="1969" w:hanging="421"/>
      </w:pPr>
      <w:rPr>
        <w:rFonts w:hint="default"/>
        <w:lang w:val="zh-CN" w:eastAsia="zh-CN" w:bidi="zh-CN"/>
      </w:rPr>
    </w:lvl>
    <w:lvl w:ilvl="4" w:tentative="0">
      <w:start w:val="0"/>
      <w:numFmt w:val="bullet"/>
      <w:lvlText w:val="•"/>
      <w:lvlJc w:val="left"/>
      <w:pPr>
        <w:ind w:left="2453" w:hanging="421"/>
      </w:pPr>
      <w:rPr>
        <w:rFonts w:hint="default"/>
        <w:lang w:val="zh-CN" w:eastAsia="zh-CN" w:bidi="zh-CN"/>
      </w:rPr>
    </w:lvl>
    <w:lvl w:ilvl="5" w:tentative="0">
      <w:start w:val="0"/>
      <w:numFmt w:val="bullet"/>
      <w:lvlText w:val="•"/>
      <w:lvlJc w:val="left"/>
      <w:pPr>
        <w:ind w:left="2936" w:hanging="421"/>
      </w:pPr>
      <w:rPr>
        <w:rFonts w:hint="default"/>
        <w:lang w:val="zh-CN" w:eastAsia="zh-CN" w:bidi="zh-CN"/>
      </w:rPr>
    </w:lvl>
    <w:lvl w:ilvl="6" w:tentative="0">
      <w:start w:val="0"/>
      <w:numFmt w:val="bullet"/>
      <w:lvlText w:val="•"/>
      <w:lvlJc w:val="left"/>
      <w:pPr>
        <w:ind w:left="3419" w:hanging="421"/>
      </w:pPr>
      <w:rPr>
        <w:rFonts w:hint="default"/>
        <w:lang w:val="zh-CN" w:eastAsia="zh-CN" w:bidi="zh-CN"/>
      </w:rPr>
    </w:lvl>
    <w:lvl w:ilvl="7" w:tentative="0">
      <w:start w:val="0"/>
      <w:numFmt w:val="bullet"/>
      <w:lvlText w:val="•"/>
      <w:lvlJc w:val="left"/>
      <w:pPr>
        <w:ind w:left="3903" w:hanging="421"/>
      </w:pPr>
      <w:rPr>
        <w:rFonts w:hint="default"/>
        <w:lang w:val="zh-CN" w:eastAsia="zh-CN" w:bidi="zh-CN"/>
      </w:rPr>
    </w:lvl>
    <w:lvl w:ilvl="8" w:tentative="0">
      <w:start w:val="0"/>
      <w:numFmt w:val="bullet"/>
      <w:lvlText w:val="•"/>
      <w:lvlJc w:val="left"/>
      <w:pPr>
        <w:ind w:left="4386" w:hanging="421"/>
      </w:pPr>
      <w:rPr>
        <w:rFonts w:hint="default"/>
        <w:lang w:val="zh-CN" w:eastAsia="zh-CN" w:bidi="zh-CN"/>
      </w:rPr>
    </w:lvl>
  </w:abstractNum>
  <w:abstractNum w:abstractNumId="2">
    <w:nsid w:val="3F014D1C"/>
    <w:multiLevelType w:val="multilevel"/>
    <w:tmpl w:val="3F014D1C"/>
    <w:lvl w:ilvl="0" w:tentative="0">
      <w:start w:val="1"/>
      <w:numFmt w:val="japaneseCounting"/>
      <w:lvlText w:val="%1、"/>
      <w:lvlJc w:val="left"/>
      <w:pPr>
        <w:tabs>
          <w:tab w:val="left" w:pos="1350"/>
        </w:tabs>
        <w:ind w:left="1350" w:hanging="720"/>
      </w:pPr>
      <w:rPr>
        <w:rFonts w:hint="default"/>
      </w:rPr>
    </w:lvl>
    <w:lvl w:ilvl="1" w:tentative="0">
      <w:start w:val="1"/>
      <w:numFmt w:val="lowerLetter"/>
      <w:lvlText w:val="%2)"/>
      <w:lvlJc w:val="left"/>
      <w:pPr>
        <w:tabs>
          <w:tab w:val="left" w:pos="1470"/>
        </w:tabs>
        <w:ind w:left="1470" w:hanging="420"/>
      </w:pPr>
    </w:lvl>
    <w:lvl w:ilvl="2" w:tentative="0">
      <w:start w:val="1"/>
      <w:numFmt w:val="lowerRoman"/>
      <w:lvlText w:val="%3."/>
      <w:lvlJc w:val="right"/>
      <w:pPr>
        <w:tabs>
          <w:tab w:val="left" w:pos="1890"/>
        </w:tabs>
        <w:ind w:left="1890" w:hanging="420"/>
      </w:pPr>
    </w:lvl>
    <w:lvl w:ilvl="3" w:tentative="0">
      <w:start w:val="1"/>
      <w:numFmt w:val="decimal"/>
      <w:lvlText w:val="%4."/>
      <w:lvlJc w:val="left"/>
      <w:pPr>
        <w:tabs>
          <w:tab w:val="left" w:pos="2310"/>
        </w:tabs>
        <w:ind w:left="2310" w:hanging="420"/>
      </w:pPr>
    </w:lvl>
    <w:lvl w:ilvl="4" w:tentative="0">
      <w:start w:val="1"/>
      <w:numFmt w:val="lowerLetter"/>
      <w:lvlText w:val="%5)"/>
      <w:lvlJc w:val="left"/>
      <w:pPr>
        <w:tabs>
          <w:tab w:val="left" w:pos="2730"/>
        </w:tabs>
        <w:ind w:left="2730" w:hanging="420"/>
      </w:pPr>
    </w:lvl>
    <w:lvl w:ilvl="5" w:tentative="0">
      <w:start w:val="1"/>
      <w:numFmt w:val="lowerRoman"/>
      <w:lvlText w:val="%6."/>
      <w:lvlJc w:val="right"/>
      <w:pPr>
        <w:tabs>
          <w:tab w:val="left" w:pos="3150"/>
        </w:tabs>
        <w:ind w:left="3150" w:hanging="420"/>
      </w:pPr>
    </w:lvl>
    <w:lvl w:ilvl="6" w:tentative="0">
      <w:start w:val="1"/>
      <w:numFmt w:val="decimal"/>
      <w:lvlText w:val="%7."/>
      <w:lvlJc w:val="left"/>
      <w:pPr>
        <w:tabs>
          <w:tab w:val="left" w:pos="3570"/>
        </w:tabs>
        <w:ind w:left="3570" w:hanging="420"/>
      </w:pPr>
    </w:lvl>
    <w:lvl w:ilvl="7" w:tentative="0">
      <w:start w:val="1"/>
      <w:numFmt w:val="lowerLetter"/>
      <w:lvlText w:val="%8)"/>
      <w:lvlJc w:val="left"/>
      <w:pPr>
        <w:tabs>
          <w:tab w:val="left" w:pos="3990"/>
        </w:tabs>
        <w:ind w:left="3990" w:hanging="420"/>
      </w:pPr>
    </w:lvl>
    <w:lvl w:ilvl="8" w:tentative="0">
      <w:start w:val="1"/>
      <w:numFmt w:val="lowerRoman"/>
      <w:lvlText w:val="%9."/>
      <w:lvlJc w:val="right"/>
      <w:pPr>
        <w:tabs>
          <w:tab w:val="left" w:pos="4410"/>
        </w:tabs>
        <w:ind w:left="4410" w:hanging="420"/>
      </w:pPr>
    </w:lvl>
  </w:abstractNum>
  <w:abstractNum w:abstractNumId="3">
    <w:nsid w:val="4D94DA66"/>
    <w:multiLevelType w:val="multilevel"/>
    <w:tmpl w:val="4D94DA66"/>
    <w:lvl w:ilvl="0" w:tentative="0">
      <w:start w:val="1"/>
      <w:numFmt w:val="decimal"/>
      <w:lvlText w:val="%1."/>
      <w:lvlJc w:val="left"/>
      <w:pPr>
        <w:ind w:left="320" w:hanging="181"/>
        <w:jc w:val="left"/>
      </w:pPr>
      <w:rPr>
        <w:rFonts w:hint="default" w:ascii="Times New Roman" w:hAnsi="Times New Roman" w:eastAsia="Times New Roman" w:cs="Times New Roman"/>
        <w:w w:val="100"/>
        <w:sz w:val="22"/>
        <w:szCs w:val="22"/>
        <w:lang w:val="zh-CN" w:eastAsia="zh-CN" w:bidi="zh-CN"/>
      </w:rPr>
    </w:lvl>
    <w:lvl w:ilvl="1" w:tentative="0">
      <w:start w:val="0"/>
      <w:numFmt w:val="bullet"/>
      <w:lvlText w:val="•"/>
      <w:lvlJc w:val="left"/>
      <w:pPr>
        <w:ind w:left="1206" w:hanging="181"/>
      </w:pPr>
      <w:rPr>
        <w:rFonts w:hint="default"/>
        <w:lang w:val="zh-CN" w:eastAsia="zh-CN" w:bidi="zh-CN"/>
      </w:rPr>
    </w:lvl>
    <w:lvl w:ilvl="2" w:tentative="0">
      <w:start w:val="0"/>
      <w:numFmt w:val="bullet"/>
      <w:lvlText w:val="•"/>
      <w:lvlJc w:val="left"/>
      <w:pPr>
        <w:ind w:left="2093" w:hanging="181"/>
      </w:pPr>
      <w:rPr>
        <w:rFonts w:hint="default"/>
        <w:lang w:val="zh-CN" w:eastAsia="zh-CN" w:bidi="zh-CN"/>
      </w:rPr>
    </w:lvl>
    <w:lvl w:ilvl="3" w:tentative="0">
      <w:start w:val="0"/>
      <w:numFmt w:val="bullet"/>
      <w:lvlText w:val="•"/>
      <w:lvlJc w:val="left"/>
      <w:pPr>
        <w:ind w:left="2979" w:hanging="181"/>
      </w:pPr>
      <w:rPr>
        <w:rFonts w:hint="default"/>
        <w:lang w:val="zh-CN" w:eastAsia="zh-CN" w:bidi="zh-CN"/>
      </w:rPr>
    </w:lvl>
    <w:lvl w:ilvl="4" w:tentative="0">
      <w:start w:val="0"/>
      <w:numFmt w:val="bullet"/>
      <w:lvlText w:val="•"/>
      <w:lvlJc w:val="left"/>
      <w:pPr>
        <w:ind w:left="3866" w:hanging="181"/>
      </w:pPr>
      <w:rPr>
        <w:rFonts w:hint="default"/>
        <w:lang w:val="zh-CN" w:eastAsia="zh-CN" w:bidi="zh-CN"/>
      </w:rPr>
    </w:lvl>
    <w:lvl w:ilvl="5" w:tentative="0">
      <w:start w:val="0"/>
      <w:numFmt w:val="bullet"/>
      <w:lvlText w:val="•"/>
      <w:lvlJc w:val="left"/>
      <w:pPr>
        <w:ind w:left="4753" w:hanging="181"/>
      </w:pPr>
      <w:rPr>
        <w:rFonts w:hint="default"/>
        <w:lang w:val="zh-CN" w:eastAsia="zh-CN" w:bidi="zh-CN"/>
      </w:rPr>
    </w:lvl>
    <w:lvl w:ilvl="6" w:tentative="0">
      <w:start w:val="0"/>
      <w:numFmt w:val="bullet"/>
      <w:lvlText w:val="•"/>
      <w:lvlJc w:val="left"/>
      <w:pPr>
        <w:ind w:left="5639" w:hanging="181"/>
      </w:pPr>
      <w:rPr>
        <w:rFonts w:hint="default"/>
        <w:lang w:val="zh-CN" w:eastAsia="zh-CN" w:bidi="zh-CN"/>
      </w:rPr>
    </w:lvl>
    <w:lvl w:ilvl="7" w:tentative="0">
      <w:start w:val="0"/>
      <w:numFmt w:val="bullet"/>
      <w:lvlText w:val="•"/>
      <w:lvlJc w:val="left"/>
      <w:pPr>
        <w:ind w:left="6526" w:hanging="181"/>
      </w:pPr>
      <w:rPr>
        <w:rFonts w:hint="default"/>
        <w:lang w:val="zh-CN" w:eastAsia="zh-CN" w:bidi="zh-CN"/>
      </w:rPr>
    </w:lvl>
    <w:lvl w:ilvl="8" w:tentative="0">
      <w:start w:val="0"/>
      <w:numFmt w:val="bullet"/>
      <w:lvlText w:val="•"/>
      <w:lvlJc w:val="left"/>
      <w:pPr>
        <w:ind w:left="7413" w:hanging="181"/>
      </w:pPr>
      <w:rPr>
        <w:rFonts w:hint="default"/>
        <w:lang w:val="zh-CN" w:eastAsia="zh-CN" w:bidi="zh-CN"/>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2"/>
    </o:shapelayout>
  </w:hdrShapeDefaults>
  <w:footnotePr>
    <w:footnote w:id="0"/>
    <w:footnote w:id="1"/>
  </w:footnotePr>
  <w:endnotePr>
    <w:endnote w:id="0"/>
    <w:endnote w:id="1"/>
  </w:endnotePr>
  <w:compat>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NTVjM2U5ZGJkZGU4MzJlMWMyOWVhNGJkYTY3MzJjNzIifQ=="/>
  </w:docVars>
  <w:rsids>
    <w:rsidRoot w:val="00000000"/>
    <w:rsid w:val="016B3F6D"/>
    <w:rsid w:val="026E58D8"/>
    <w:rsid w:val="033D263B"/>
    <w:rsid w:val="03BF63BE"/>
    <w:rsid w:val="0480143C"/>
    <w:rsid w:val="04C532BF"/>
    <w:rsid w:val="04E8793B"/>
    <w:rsid w:val="04FC0DF6"/>
    <w:rsid w:val="05AC2A40"/>
    <w:rsid w:val="06652B67"/>
    <w:rsid w:val="07172D5C"/>
    <w:rsid w:val="07434E8B"/>
    <w:rsid w:val="085732E3"/>
    <w:rsid w:val="08EE37C6"/>
    <w:rsid w:val="09652484"/>
    <w:rsid w:val="09B340A8"/>
    <w:rsid w:val="0A635B40"/>
    <w:rsid w:val="0B0024DA"/>
    <w:rsid w:val="0B2B0866"/>
    <w:rsid w:val="0B89673A"/>
    <w:rsid w:val="0BF95EC2"/>
    <w:rsid w:val="0CBC6D76"/>
    <w:rsid w:val="0D1A1965"/>
    <w:rsid w:val="0D21372A"/>
    <w:rsid w:val="0F2112DE"/>
    <w:rsid w:val="0F3D7258"/>
    <w:rsid w:val="0F486E02"/>
    <w:rsid w:val="1038093B"/>
    <w:rsid w:val="106C2D3E"/>
    <w:rsid w:val="10950245"/>
    <w:rsid w:val="10CA1C2B"/>
    <w:rsid w:val="112D3CD9"/>
    <w:rsid w:val="113C6C6A"/>
    <w:rsid w:val="11645E01"/>
    <w:rsid w:val="11F8738D"/>
    <w:rsid w:val="12410C6F"/>
    <w:rsid w:val="131D2008"/>
    <w:rsid w:val="14470E31"/>
    <w:rsid w:val="147160BC"/>
    <w:rsid w:val="14B05E99"/>
    <w:rsid w:val="150E3F7D"/>
    <w:rsid w:val="156516A4"/>
    <w:rsid w:val="15995C85"/>
    <w:rsid w:val="16095990"/>
    <w:rsid w:val="164A7928"/>
    <w:rsid w:val="16C1306C"/>
    <w:rsid w:val="16CD60B4"/>
    <w:rsid w:val="172F5E68"/>
    <w:rsid w:val="177D0BA3"/>
    <w:rsid w:val="17832407"/>
    <w:rsid w:val="17C86EDC"/>
    <w:rsid w:val="17C93858"/>
    <w:rsid w:val="17FB764E"/>
    <w:rsid w:val="18A40BC9"/>
    <w:rsid w:val="18D333DA"/>
    <w:rsid w:val="19F4792E"/>
    <w:rsid w:val="1A2805A7"/>
    <w:rsid w:val="1B097F93"/>
    <w:rsid w:val="1B41676D"/>
    <w:rsid w:val="1B454F28"/>
    <w:rsid w:val="1B7C546D"/>
    <w:rsid w:val="1C6675CE"/>
    <w:rsid w:val="1C861436"/>
    <w:rsid w:val="1CD739BA"/>
    <w:rsid w:val="1D04223E"/>
    <w:rsid w:val="1D504758"/>
    <w:rsid w:val="1E4E5555"/>
    <w:rsid w:val="1EAE454F"/>
    <w:rsid w:val="1EB50F7F"/>
    <w:rsid w:val="1ED24781"/>
    <w:rsid w:val="1F2E7B22"/>
    <w:rsid w:val="1F61547F"/>
    <w:rsid w:val="1FDA55B7"/>
    <w:rsid w:val="20700E5F"/>
    <w:rsid w:val="214F6877"/>
    <w:rsid w:val="217B251F"/>
    <w:rsid w:val="21BB05D9"/>
    <w:rsid w:val="2249618C"/>
    <w:rsid w:val="22B42681"/>
    <w:rsid w:val="22BD7457"/>
    <w:rsid w:val="22D9552F"/>
    <w:rsid w:val="24A63925"/>
    <w:rsid w:val="24C51769"/>
    <w:rsid w:val="24CC180B"/>
    <w:rsid w:val="254B4DC5"/>
    <w:rsid w:val="254C71AF"/>
    <w:rsid w:val="258424AE"/>
    <w:rsid w:val="25990341"/>
    <w:rsid w:val="25B90ABA"/>
    <w:rsid w:val="25C025FF"/>
    <w:rsid w:val="26196D26"/>
    <w:rsid w:val="269D7B2C"/>
    <w:rsid w:val="271826F0"/>
    <w:rsid w:val="27294D5F"/>
    <w:rsid w:val="2730118D"/>
    <w:rsid w:val="27624129"/>
    <w:rsid w:val="278E4F1E"/>
    <w:rsid w:val="27CC77B8"/>
    <w:rsid w:val="27F26E6C"/>
    <w:rsid w:val="28120E19"/>
    <w:rsid w:val="28326096"/>
    <w:rsid w:val="285853D4"/>
    <w:rsid w:val="285E12D7"/>
    <w:rsid w:val="2A4A5831"/>
    <w:rsid w:val="2AEC74BA"/>
    <w:rsid w:val="2B5C0894"/>
    <w:rsid w:val="2B5E60D1"/>
    <w:rsid w:val="2BA43F05"/>
    <w:rsid w:val="2C7515F8"/>
    <w:rsid w:val="2D0B5040"/>
    <w:rsid w:val="2D702CF7"/>
    <w:rsid w:val="2DB61A50"/>
    <w:rsid w:val="2E17763C"/>
    <w:rsid w:val="2E6B5706"/>
    <w:rsid w:val="2EC05CEE"/>
    <w:rsid w:val="2EE06A16"/>
    <w:rsid w:val="2F533D43"/>
    <w:rsid w:val="2FA530C4"/>
    <w:rsid w:val="301F7049"/>
    <w:rsid w:val="30385D10"/>
    <w:rsid w:val="307F2A26"/>
    <w:rsid w:val="30846206"/>
    <w:rsid w:val="30931163"/>
    <w:rsid w:val="313A53BB"/>
    <w:rsid w:val="32336E45"/>
    <w:rsid w:val="33152A48"/>
    <w:rsid w:val="352D1DBC"/>
    <w:rsid w:val="35A10EB9"/>
    <w:rsid w:val="35B94F58"/>
    <w:rsid w:val="35C6745A"/>
    <w:rsid w:val="36633BDA"/>
    <w:rsid w:val="369D0A3E"/>
    <w:rsid w:val="3708465C"/>
    <w:rsid w:val="371B442B"/>
    <w:rsid w:val="37732382"/>
    <w:rsid w:val="37774F8F"/>
    <w:rsid w:val="37E10B42"/>
    <w:rsid w:val="388D5364"/>
    <w:rsid w:val="38C96CE1"/>
    <w:rsid w:val="39AF2AAA"/>
    <w:rsid w:val="3B6E1CD1"/>
    <w:rsid w:val="3B8A7399"/>
    <w:rsid w:val="3BA62A75"/>
    <w:rsid w:val="3C3F4152"/>
    <w:rsid w:val="3CD63197"/>
    <w:rsid w:val="3D267C97"/>
    <w:rsid w:val="3D5029C1"/>
    <w:rsid w:val="3D99707A"/>
    <w:rsid w:val="3E2715FB"/>
    <w:rsid w:val="3EC649CA"/>
    <w:rsid w:val="41A559DB"/>
    <w:rsid w:val="41B810BD"/>
    <w:rsid w:val="425439CC"/>
    <w:rsid w:val="434633FD"/>
    <w:rsid w:val="43A4706D"/>
    <w:rsid w:val="43BA4AA6"/>
    <w:rsid w:val="43CF24B1"/>
    <w:rsid w:val="448279FF"/>
    <w:rsid w:val="45B479E4"/>
    <w:rsid w:val="45FE3BBA"/>
    <w:rsid w:val="4643469C"/>
    <w:rsid w:val="473311E6"/>
    <w:rsid w:val="47E8006A"/>
    <w:rsid w:val="47FF7D5C"/>
    <w:rsid w:val="48221DE3"/>
    <w:rsid w:val="4870420A"/>
    <w:rsid w:val="48D878C8"/>
    <w:rsid w:val="491312CF"/>
    <w:rsid w:val="49396E5F"/>
    <w:rsid w:val="49B41FF9"/>
    <w:rsid w:val="4A153D60"/>
    <w:rsid w:val="4A215A8F"/>
    <w:rsid w:val="4A615088"/>
    <w:rsid w:val="4B077AED"/>
    <w:rsid w:val="4B297C67"/>
    <w:rsid w:val="4B83798F"/>
    <w:rsid w:val="4BBD6286"/>
    <w:rsid w:val="4BC12E9C"/>
    <w:rsid w:val="4C2D17F8"/>
    <w:rsid w:val="4CF34379"/>
    <w:rsid w:val="4D4423C1"/>
    <w:rsid w:val="4D9F40C8"/>
    <w:rsid w:val="4E634B3E"/>
    <w:rsid w:val="4E7F0C5D"/>
    <w:rsid w:val="4F537F6E"/>
    <w:rsid w:val="4F897CB5"/>
    <w:rsid w:val="4FA82899"/>
    <w:rsid w:val="4FAC1ACB"/>
    <w:rsid w:val="4FD5123F"/>
    <w:rsid w:val="4FF44BC5"/>
    <w:rsid w:val="4FF5630A"/>
    <w:rsid w:val="5058622E"/>
    <w:rsid w:val="50A32A14"/>
    <w:rsid w:val="51151B21"/>
    <w:rsid w:val="518D7684"/>
    <w:rsid w:val="532612FD"/>
    <w:rsid w:val="53493A27"/>
    <w:rsid w:val="53C12B83"/>
    <w:rsid w:val="53D0512F"/>
    <w:rsid w:val="540C5199"/>
    <w:rsid w:val="546451F1"/>
    <w:rsid w:val="551018A8"/>
    <w:rsid w:val="55C4672A"/>
    <w:rsid w:val="561A44E2"/>
    <w:rsid w:val="56326CD0"/>
    <w:rsid w:val="566273DC"/>
    <w:rsid w:val="56B77778"/>
    <w:rsid w:val="56EF4F91"/>
    <w:rsid w:val="571774DA"/>
    <w:rsid w:val="579C6D55"/>
    <w:rsid w:val="582E4CC5"/>
    <w:rsid w:val="583D3BD0"/>
    <w:rsid w:val="584F5AD1"/>
    <w:rsid w:val="586E4DDE"/>
    <w:rsid w:val="594A2AEB"/>
    <w:rsid w:val="59E24E2E"/>
    <w:rsid w:val="5AF15D6F"/>
    <w:rsid w:val="5BA70F92"/>
    <w:rsid w:val="5C2B4ADE"/>
    <w:rsid w:val="5D1B51E0"/>
    <w:rsid w:val="5DB65C0D"/>
    <w:rsid w:val="5E600B95"/>
    <w:rsid w:val="5E936FC6"/>
    <w:rsid w:val="5E94174C"/>
    <w:rsid w:val="5F28709D"/>
    <w:rsid w:val="5FBC41C6"/>
    <w:rsid w:val="5FD47C03"/>
    <w:rsid w:val="5FDC526D"/>
    <w:rsid w:val="5FF65CA7"/>
    <w:rsid w:val="61587D6F"/>
    <w:rsid w:val="6228172F"/>
    <w:rsid w:val="62651893"/>
    <w:rsid w:val="627B519F"/>
    <w:rsid w:val="62AA6179"/>
    <w:rsid w:val="63D464D2"/>
    <w:rsid w:val="63EA2055"/>
    <w:rsid w:val="640C0FFA"/>
    <w:rsid w:val="64BD6DB6"/>
    <w:rsid w:val="64DB4B3A"/>
    <w:rsid w:val="64E238AE"/>
    <w:rsid w:val="654F7282"/>
    <w:rsid w:val="65F323AF"/>
    <w:rsid w:val="65F77D31"/>
    <w:rsid w:val="662231E5"/>
    <w:rsid w:val="668E3A9E"/>
    <w:rsid w:val="67B03881"/>
    <w:rsid w:val="67E7543F"/>
    <w:rsid w:val="680F0260"/>
    <w:rsid w:val="685A5E75"/>
    <w:rsid w:val="691A72C4"/>
    <w:rsid w:val="69634CA3"/>
    <w:rsid w:val="696A6892"/>
    <w:rsid w:val="69BA2097"/>
    <w:rsid w:val="6A7031A3"/>
    <w:rsid w:val="6A884323"/>
    <w:rsid w:val="6ACE2488"/>
    <w:rsid w:val="6AE26A6F"/>
    <w:rsid w:val="6B7E2CAD"/>
    <w:rsid w:val="6BC24763"/>
    <w:rsid w:val="6BC55E9D"/>
    <w:rsid w:val="6BD53A2F"/>
    <w:rsid w:val="6BDB25D4"/>
    <w:rsid w:val="6BDB41CB"/>
    <w:rsid w:val="6C1968D7"/>
    <w:rsid w:val="6CD16437"/>
    <w:rsid w:val="6CEF5A8E"/>
    <w:rsid w:val="6D4420F5"/>
    <w:rsid w:val="6E5269DE"/>
    <w:rsid w:val="6E5859A5"/>
    <w:rsid w:val="6F0231B1"/>
    <w:rsid w:val="6FAC27C3"/>
    <w:rsid w:val="70170B4F"/>
    <w:rsid w:val="70927259"/>
    <w:rsid w:val="710309C2"/>
    <w:rsid w:val="71C31E24"/>
    <w:rsid w:val="71D47B88"/>
    <w:rsid w:val="721851DE"/>
    <w:rsid w:val="721F63D9"/>
    <w:rsid w:val="729B0F7E"/>
    <w:rsid w:val="72BA6802"/>
    <w:rsid w:val="73340AF8"/>
    <w:rsid w:val="738C4C25"/>
    <w:rsid w:val="74B07A0D"/>
    <w:rsid w:val="75432E15"/>
    <w:rsid w:val="757302A2"/>
    <w:rsid w:val="75827D63"/>
    <w:rsid w:val="75E35A19"/>
    <w:rsid w:val="766279B8"/>
    <w:rsid w:val="77A92A4A"/>
    <w:rsid w:val="7854032A"/>
    <w:rsid w:val="789536AA"/>
    <w:rsid w:val="78B35992"/>
    <w:rsid w:val="790528DD"/>
    <w:rsid w:val="793E09C6"/>
    <w:rsid w:val="79A95FCE"/>
    <w:rsid w:val="7A56180D"/>
    <w:rsid w:val="7A8E4D9A"/>
    <w:rsid w:val="7AA64A51"/>
    <w:rsid w:val="7AB22BAA"/>
    <w:rsid w:val="7AC923F2"/>
    <w:rsid w:val="7B372662"/>
    <w:rsid w:val="7B394FAF"/>
    <w:rsid w:val="7BA90F34"/>
    <w:rsid w:val="7C147B1D"/>
    <w:rsid w:val="7C366D19"/>
    <w:rsid w:val="7D020F2E"/>
    <w:rsid w:val="7D5D01CF"/>
    <w:rsid w:val="7D792CB0"/>
    <w:rsid w:val="7D8368EE"/>
    <w:rsid w:val="7DBF39BE"/>
    <w:rsid w:val="7E0C7AC0"/>
    <w:rsid w:val="7E611493"/>
    <w:rsid w:val="7E862155"/>
    <w:rsid w:val="7E9F0934"/>
    <w:rsid w:val="7EC6041A"/>
    <w:rsid w:val="7F8D69DE"/>
    <w:rsid w:val="7FA32FBC"/>
    <w:rsid w:val="7FD20B6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nhideWhenUsed="0" w:uiPriority="1" w:semiHidden="0" w:name="heading 5"/>
    <w:lsdException w:qFormat="1" w:unhideWhenUsed="0" w:uiPriority="1" w:semiHidden="0" w:name="heading 6"/>
    <w:lsdException w:qFormat="1" w:unhideWhenUsed="0" w:uiPriority="1" w:semiHidden="0" w:name="heading 7"/>
    <w:lsdException w:qFormat="1" w:unhideWhenUsed="0" w:uiPriority="1" w:semiHidden="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spacing w:before="0" w:after="0" w:line="240" w:lineRule="auto"/>
      <w:ind w:left="0" w:right="0"/>
      <w:jc w:val="left"/>
    </w:pPr>
    <w:rPr>
      <w:rFonts w:ascii="宋体" w:hAnsi="宋体" w:eastAsia="宋体" w:cs="宋体"/>
      <w:sz w:val="22"/>
      <w:szCs w:val="22"/>
      <w:lang w:val="zh-CN" w:eastAsia="zh-CN" w:bidi="zh-CN"/>
    </w:rPr>
  </w:style>
  <w:style w:type="paragraph" w:styleId="3">
    <w:name w:val="heading 1"/>
    <w:basedOn w:val="1"/>
    <w:next w:val="1"/>
    <w:qFormat/>
    <w:uiPriority w:val="1"/>
    <w:pPr>
      <w:spacing w:line="922" w:lineRule="exact"/>
      <w:ind w:right="113"/>
      <w:jc w:val="center"/>
      <w:outlineLvl w:val="1"/>
    </w:pPr>
    <w:rPr>
      <w:rFonts w:ascii="宋体" w:hAnsi="宋体" w:eastAsia="宋体" w:cs="宋体"/>
      <w:sz w:val="72"/>
      <w:szCs w:val="72"/>
      <w:lang w:val="zh-CN" w:eastAsia="zh-CN" w:bidi="zh-CN"/>
    </w:rPr>
  </w:style>
  <w:style w:type="paragraph" w:styleId="4">
    <w:name w:val="heading 2"/>
    <w:basedOn w:val="1"/>
    <w:next w:val="1"/>
    <w:qFormat/>
    <w:uiPriority w:val="1"/>
    <w:pPr>
      <w:spacing w:before="29"/>
      <w:ind w:right="124"/>
      <w:jc w:val="center"/>
      <w:outlineLvl w:val="2"/>
    </w:pPr>
    <w:rPr>
      <w:rFonts w:ascii="黑体" w:hAnsi="黑体" w:eastAsia="黑体" w:cs="黑体"/>
      <w:b/>
      <w:bCs/>
      <w:sz w:val="36"/>
      <w:szCs w:val="36"/>
      <w:lang w:val="zh-CN" w:eastAsia="zh-CN" w:bidi="zh-CN"/>
    </w:rPr>
  </w:style>
  <w:style w:type="paragraph" w:styleId="5">
    <w:name w:val="heading 3"/>
    <w:basedOn w:val="1"/>
    <w:next w:val="1"/>
    <w:qFormat/>
    <w:uiPriority w:val="1"/>
    <w:pPr>
      <w:jc w:val="center"/>
      <w:outlineLvl w:val="3"/>
    </w:pPr>
    <w:rPr>
      <w:rFonts w:ascii="黑体" w:hAnsi="黑体" w:eastAsia="黑体" w:cs="黑体"/>
      <w:b/>
      <w:bCs/>
      <w:sz w:val="32"/>
      <w:szCs w:val="32"/>
      <w:lang w:val="zh-CN" w:eastAsia="zh-CN" w:bidi="zh-CN"/>
    </w:rPr>
  </w:style>
  <w:style w:type="paragraph" w:styleId="6">
    <w:name w:val="heading 4"/>
    <w:basedOn w:val="1"/>
    <w:next w:val="1"/>
    <w:qFormat/>
    <w:uiPriority w:val="1"/>
    <w:pPr>
      <w:ind w:right="115"/>
      <w:jc w:val="center"/>
      <w:outlineLvl w:val="4"/>
    </w:pPr>
    <w:rPr>
      <w:rFonts w:ascii="宋体" w:hAnsi="宋体" w:eastAsia="宋体" w:cs="宋体"/>
      <w:sz w:val="32"/>
      <w:szCs w:val="32"/>
      <w:lang w:val="zh-CN" w:eastAsia="zh-CN" w:bidi="zh-CN"/>
    </w:rPr>
  </w:style>
  <w:style w:type="paragraph" w:styleId="7">
    <w:name w:val="heading 5"/>
    <w:basedOn w:val="1"/>
    <w:next w:val="1"/>
    <w:qFormat/>
    <w:uiPriority w:val="1"/>
    <w:pPr>
      <w:spacing w:before="210"/>
      <w:ind w:left="363" w:right="390"/>
      <w:jc w:val="center"/>
      <w:outlineLvl w:val="5"/>
    </w:pPr>
    <w:rPr>
      <w:rFonts w:ascii="宋体" w:hAnsi="宋体" w:eastAsia="宋体" w:cs="宋体"/>
      <w:b/>
      <w:bCs/>
      <w:sz w:val="30"/>
      <w:szCs w:val="30"/>
      <w:lang w:val="zh-CN" w:eastAsia="zh-CN" w:bidi="zh-CN"/>
    </w:rPr>
  </w:style>
  <w:style w:type="paragraph" w:styleId="8">
    <w:name w:val="heading 6"/>
    <w:basedOn w:val="1"/>
    <w:next w:val="1"/>
    <w:qFormat/>
    <w:uiPriority w:val="1"/>
    <w:pPr>
      <w:outlineLvl w:val="6"/>
    </w:pPr>
    <w:rPr>
      <w:rFonts w:ascii="黑体" w:hAnsi="黑体" w:eastAsia="黑体" w:cs="黑体"/>
      <w:sz w:val="30"/>
      <w:szCs w:val="30"/>
      <w:lang w:val="zh-CN" w:eastAsia="zh-CN" w:bidi="zh-CN"/>
    </w:rPr>
  </w:style>
  <w:style w:type="paragraph" w:styleId="9">
    <w:name w:val="heading 7"/>
    <w:basedOn w:val="1"/>
    <w:next w:val="1"/>
    <w:qFormat/>
    <w:uiPriority w:val="1"/>
    <w:pPr>
      <w:spacing w:before="42"/>
      <w:ind w:left="228"/>
      <w:outlineLvl w:val="7"/>
    </w:pPr>
    <w:rPr>
      <w:rFonts w:ascii="宋体" w:hAnsi="宋体" w:eastAsia="宋体" w:cs="宋体"/>
      <w:b/>
      <w:bCs/>
      <w:sz w:val="28"/>
      <w:szCs w:val="28"/>
      <w:lang w:val="zh-CN" w:eastAsia="zh-CN" w:bidi="zh-CN"/>
    </w:rPr>
  </w:style>
  <w:style w:type="paragraph" w:styleId="10">
    <w:name w:val="heading 8"/>
    <w:basedOn w:val="1"/>
    <w:next w:val="1"/>
    <w:qFormat/>
    <w:uiPriority w:val="1"/>
    <w:pPr>
      <w:ind w:left="1068"/>
      <w:outlineLvl w:val="8"/>
    </w:pPr>
    <w:rPr>
      <w:rFonts w:ascii="宋体" w:hAnsi="宋体" w:eastAsia="宋体" w:cs="宋体"/>
      <w:b/>
      <w:bCs/>
      <w:sz w:val="24"/>
      <w:szCs w:val="24"/>
      <w:lang w:val="zh-CN" w:eastAsia="zh-CN" w:bidi="zh-CN"/>
    </w:rPr>
  </w:style>
  <w:style w:type="character" w:default="1" w:styleId="25">
    <w:name w:val="Default Paragraph Font"/>
    <w:semiHidden/>
    <w:unhideWhenUsed/>
    <w:qFormat/>
    <w:uiPriority w:val="1"/>
  </w:style>
  <w:style w:type="table" w:default="1" w:styleId="23">
    <w:name w:val="Normal Table"/>
    <w:semiHidden/>
    <w:qFormat/>
    <w:uiPriority w:val="0"/>
    <w:tblPr>
      <w:tblCellMar>
        <w:top w:w="0" w:type="dxa"/>
        <w:left w:w="108" w:type="dxa"/>
        <w:bottom w:w="0" w:type="dxa"/>
        <w:right w:w="108" w:type="dxa"/>
      </w:tblCellMar>
    </w:tblPr>
  </w:style>
  <w:style w:type="paragraph" w:styleId="2">
    <w:name w:val="Normal Indent"/>
    <w:basedOn w:val="1"/>
    <w:next w:val="1"/>
    <w:qFormat/>
    <w:uiPriority w:val="0"/>
    <w:pPr>
      <w:ind w:firstLine="420"/>
    </w:pPr>
    <w:rPr>
      <w:kern w:val="0"/>
      <w:sz w:val="20"/>
    </w:rPr>
  </w:style>
  <w:style w:type="paragraph" w:styleId="11">
    <w:name w:val="Body Text"/>
    <w:basedOn w:val="1"/>
    <w:next w:val="12"/>
    <w:qFormat/>
    <w:uiPriority w:val="1"/>
    <w:rPr>
      <w:rFonts w:ascii="宋体" w:hAnsi="宋体" w:eastAsia="宋体" w:cs="宋体"/>
      <w:sz w:val="24"/>
      <w:szCs w:val="24"/>
      <w:lang w:val="zh-CN" w:eastAsia="zh-CN" w:bidi="zh-CN"/>
    </w:rPr>
  </w:style>
  <w:style w:type="paragraph" w:customStyle="1" w:styleId="12">
    <w:name w:val="Default"/>
    <w:qFormat/>
    <w:uiPriority w:val="0"/>
    <w:pPr>
      <w:widowControl w:val="0"/>
      <w:autoSpaceDE w:val="0"/>
      <w:autoSpaceDN w:val="0"/>
      <w:adjustRightInd w:val="0"/>
    </w:pPr>
    <w:rPr>
      <w:rFonts w:ascii="黑体" w:hAnsi="Times New Roman" w:eastAsia="黑体" w:cs="Times New Roman"/>
      <w:lang w:val="en-US" w:eastAsia="zh-CN" w:bidi="ar-SA"/>
    </w:rPr>
  </w:style>
  <w:style w:type="paragraph" w:styleId="13">
    <w:name w:val="List 2"/>
    <w:basedOn w:val="1"/>
    <w:unhideWhenUsed/>
    <w:qFormat/>
    <w:uiPriority w:val="99"/>
    <w:pPr>
      <w:ind w:left="100" w:leftChars="200" w:hanging="200" w:hangingChars="200"/>
      <w:contextualSpacing/>
    </w:pPr>
  </w:style>
  <w:style w:type="paragraph" w:styleId="14">
    <w:name w:val="toc 3"/>
    <w:basedOn w:val="1"/>
    <w:next w:val="1"/>
    <w:qFormat/>
    <w:uiPriority w:val="1"/>
    <w:pPr>
      <w:spacing w:before="4"/>
      <w:ind w:left="1358" w:right="657"/>
      <w:jc w:val="right"/>
    </w:pPr>
    <w:rPr>
      <w:rFonts w:ascii="宋体" w:hAnsi="宋体" w:eastAsia="宋体" w:cs="宋体"/>
      <w:sz w:val="24"/>
      <w:szCs w:val="24"/>
      <w:lang w:val="zh-CN" w:eastAsia="zh-CN" w:bidi="zh-CN"/>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7">
    <w:name w:val="toc 1"/>
    <w:basedOn w:val="1"/>
    <w:next w:val="1"/>
    <w:qFormat/>
    <w:uiPriority w:val="1"/>
    <w:pPr>
      <w:spacing w:before="5"/>
      <w:ind w:right="665"/>
      <w:jc w:val="right"/>
    </w:pPr>
    <w:rPr>
      <w:rFonts w:ascii="宋体" w:hAnsi="宋体" w:eastAsia="宋体" w:cs="宋体"/>
      <w:sz w:val="24"/>
      <w:szCs w:val="24"/>
      <w:lang w:val="zh-CN" w:eastAsia="zh-CN" w:bidi="zh-CN"/>
    </w:rPr>
  </w:style>
  <w:style w:type="paragraph" w:styleId="18">
    <w:name w:val="footnote text"/>
    <w:basedOn w:val="1"/>
    <w:unhideWhenUsed/>
    <w:qFormat/>
    <w:uiPriority w:val="99"/>
    <w:pPr>
      <w:snapToGrid w:val="0"/>
      <w:jc w:val="left"/>
    </w:pPr>
    <w:rPr>
      <w:sz w:val="18"/>
    </w:rPr>
  </w:style>
  <w:style w:type="paragraph" w:styleId="19">
    <w:name w:val="Body Text Indent 3"/>
    <w:basedOn w:val="1"/>
    <w:qFormat/>
    <w:uiPriority w:val="0"/>
    <w:pPr>
      <w:spacing w:line="360" w:lineRule="auto"/>
      <w:ind w:firstLine="200" w:firstLineChars="200"/>
    </w:pPr>
    <w:rPr>
      <w:rFonts w:ascii="Times New Roman" w:hAnsi="Times New Roman"/>
      <w:sz w:val="20"/>
      <w:szCs w:val="20"/>
    </w:rPr>
  </w:style>
  <w:style w:type="paragraph" w:styleId="20">
    <w:name w:val="toc 2"/>
    <w:basedOn w:val="1"/>
    <w:next w:val="1"/>
    <w:qFormat/>
    <w:uiPriority w:val="1"/>
    <w:pPr>
      <w:spacing w:before="4"/>
      <w:ind w:left="878" w:right="658"/>
      <w:jc w:val="right"/>
    </w:pPr>
    <w:rPr>
      <w:rFonts w:ascii="宋体" w:hAnsi="宋体" w:eastAsia="宋体" w:cs="宋体"/>
      <w:sz w:val="24"/>
      <w:szCs w:val="24"/>
      <w:lang w:val="zh-CN" w:eastAsia="zh-CN" w:bidi="zh-CN"/>
    </w:rPr>
  </w:style>
  <w:style w:type="paragraph" w:styleId="21">
    <w:name w:val="Normal (Web)"/>
    <w:basedOn w:val="1"/>
    <w:qFormat/>
    <w:uiPriority w:val="99"/>
    <w:pPr>
      <w:widowControl/>
      <w:jc w:val="left"/>
    </w:pPr>
    <w:rPr>
      <w:rFonts w:ascii="宋体" w:hAnsi="宋体" w:cs="宋体"/>
      <w:kern w:val="0"/>
      <w:sz w:val="24"/>
      <w:szCs w:val="24"/>
    </w:rPr>
  </w:style>
  <w:style w:type="paragraph" w:styleId="22">
    <w:name w:val="Body Text First Indent"/>
    <w:basedOn w:val="11"/>
    <w:unhideWhenUsed/>
    <w:qFormat/>
    <w:uiPriority w:val="99"/>
    <w:pPr>
      <w:ind w:firstLine="420" w:firstLineChars="100"/>
    </w:pPr>
  </w:style>
  <w:style w:type="table" w:styleId="24">
    <w:name w:val="Table Grid"/>
    <w:basedOn w:val="2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
    <w:name w:val="正文缩进1"/>
    <w:basedOn w:val="1"/>
    <w:qFormat/>
    <w:uiPriority w:val="0"/>
    <w:pPr>
      <w:ind w:firstLine="420" w:firstLineChars="200"/>
    </w:pPr>
  </w:style>
  <w:style w:type="table" w:customStyle="1" w:styleId="27">
    <w:name w:val="Table Normal"/>
    <w:semiHidden/>
    <w:unhideWhenUsed/>
    <w:qFormat/>
    <w:uiPriority w:val="2"/>
    <w:tblPr>
      <w:tblCellMar>
        <w:top w:w="0" w:type="dxa"/>
        <w:left w:w="0" w:type="dxa"/>
        <w:bottom w:w="0" w:type="dxa"/>
        <w:right w:w="0" w:type="dxa"/>
      </w:tblCellMar>
    </w:tblPr>
  </w:style>
  <w:style w:type="paragraph" w:styleId="28">
    <w:name w:val="List Paragraph"/>
    <w:basedOn w:val="1"/>
    <w:qFormat/>
    <w:uiPriority w:val="1"/>
    <w:pPr>
      <w:spacing w:before="81"/>
      <w:ind w:left="907" w:hanging="680"/>
    </w:pPr>
    <w:rPr>
      <w:rFonts w:ascii="宋体" w:hAnsi="宋体" w:eastAsia="宋体" w:cs="宋体"/>
      <w:lang w:val="zh-CN" w:eastAsia="zh-CN" w:bidi="zh-CN"/>
    </w:rPr>
  </w:style>
  <w:style w:type="paragraph" w:customStyle="1" w:styleId="29">
    <w:name w:val="Table Paragraph"/>
    <w:basedOn w:val="1"/>
    <w:qFormat/>
    <w:uiPriority w:val="1"/>
    <w:rPr>
      <w:rFonts w:ascii="仿宋" w:hAnsi="仿宋" w:eastAsia="仿宋" w:cs="仿宋"/>
      <w:lang w:val="zh-CN" w:eastAsia="zh-CN" w:bidi="zh-CN"/>
    </w:rPr>
  </w:style>
  <w:style w:type="paragraph" w:customStyle="1" w:styleId="30">
    <w:name w:val="_Style 2"/>
    <w:basedOn w:val="3"/>
    <w:next w:val="1"/>
    <w:qFormat/>
    <w:uiPriority w:val="39"/>
    <w:pPr>
      <w:keepLines/>
      <w:widowControl/>
      <w:spacing w:before="480" w:line="276" w:lineRule="auto"/>
      <w:jc w:val="left"/>
      <w:outlineLvl w:val="9"/>
    </w:pPr>
    <w:rPr>
      <w:rFonts w:ascii="Cambria" w:hAnsi="Cambria"/>
      <w:color w:val="365F91"/>
    </w:rPr>
  </w:style>
  <w:style w:type="paragraph" w:customStyle="1" w:styleId="31">
    <w:name w:val="Default Text"/>
    <w:qFormat/>
    <w:uiPriority w:val="0"/>
    <w:pPr>
      <w:widowControl w:val="0"/>
      <w:autoSpaceDE w:val="0"/>
      <w:autoSpaceDN w:val="0"/>
      <w:adjustRightInd w:val="0"/>
    </w:pPr>
    <w:rPr>
      <w:rFonts w:ascii="Calibri" w:hAnsi="Calibri" w:eastAsia="宋体" w:cs="Times New Roman"/>
      <w:color w:val="000000"/>
      <w:kern w:val="2"/>
      <w:sz w:val="24"/>
      <w:szCs w:val="24"/>
      <w:lang w:val="en-US" w:eastAsia="zh-CN" w:bidi="ar-SA"/>
    </w:rPr>
  </w:style>
  <w:style w:type="paragraph" w:customStyle="1" w:styleId="32">
    <w:name w:val="缺省文本"/>
    <w:qFormat/>
    <w:uiPriority w:val="99"/>
    <w:pPr>
      <w:widowControl w:val="0"/>
      <w:autoSpaceDE w:val="0"/>
      <w:autoSpaceDN w:val="0"/>
      <w:adjustRightInd w:val="0"/>
    </w:pPr>
    <w:rPr>
      <w:rFonts w:ascii="Calibri" w:hAnsi="Calibri" w:eastAsia="宋体" w:cs="Times New Roman"/>
      <w:color w:val="000000"/>
      <w:szCs w:val="24"/>
      <w:lang w:val="en-US" w:eastAsia="zh-CN" w:bidi="ar-SA"/>
    </w:rPr>
  </w:style>
  <w:style w:type="paragraph" w:customStyle="1" w:styleId="33">
    <w:name w:val="WPSOffice手动目录 1"/>
    <w:qFormat/>
    <w:uiPriority w:val="0"/>
    <w:pPr>
      <w:ind w:leftChars="0"/>
    </w:pPr>
    <w:rPr>
      <w:rFonts w:ascii="Calibri" w:hAnsi="Calibri" w:eastAsia="宋体" w:cs="Times New Roman"/>
      <w:sz w:val="20"/>
      <w:szCs w:val="20"/>
    </w:rPr>
  </w:style>
  <w:style w:type="paragraph" w:customStyle="1" w:styleId="34">
    <w:name w:val="WPSOffice手动目录 2"/>
    <w:qFormat/>
    <w:uiPriority w:val="0"/>
    <w:pPr>
      <w:ind w:leftChars="200"/>
    </w:pPr>
    <w:rPr>
      <w:rFonts w:ascii="Calibri" w:hAnsi="Calibri" w:eastAsia="宋体" w:cs="Times New Roman"/>
      <w:sz w:val="20"/>
      <w:szCs w:val="20"/>
    </w:rPr>
  </w:style>
  <w:style w:type="paragraph" w:customStyle="1" w:styleId="35">
    <w:name w:val="_Style 3"/>
    <w:basedOn w:val="1"/>
    <w:next w:val="19"/>
    <w:qFormat/>
    <w:uiPriority w:val="0"/>
    <w:pPr>
      <w:widowControl/>
      <w:ind w:left="720"/>
      <w:contextualSpacing/>
      <w:jc w:val="left"/>
    </w:pPr>
    <w:rPr>
      <w:sz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header" Target="head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jpeg"/><Relationship Id="rId14" Type="http://schemas.openxmlformats.org/officeDocument/2006/relationships/theme" Target="theme/theme1.xml"/><Relationship Id="rId13" Type="http://schemas.openxmlformats.org/officeDocument/2006/relationships/footer" Target="footer5.xml"/><Relationship Id="rId12" Type="http://schemas.openxmlformats.org/officeDocument/2006/relationships/header" Target="header4.xml"/><Relationship Id="rId11" Type="http://schemas.openxmlformats.org/officeDocument/2006/relationships/footer" Target="footer4.xml"/><Relationship Id="rId10" Type="http://schemas.openxmlformats.org/officeDocument/2006/relationships/header" Target="header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2053" textRotate="1"/>
    <customShpInfo spid="_x0000_s2054" textRotate="1"/>
    <customShpInfo spid="_x0000_s2055"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87</Pages>
  <Words>62094</Words>
  <Characters>66246</Characters>
  <TotalTime>15</TotalTime>
  <ScaleCrop>false</ScaleCrop>
  <LinksUpToDate>false</LinksUpToDate>
  <CharactersWithSpaces>69194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2021-04-06T05:13:00Z</dcterms:created>
  <dc:creator>曹颖</dc:creator>
  <cp:lastModifiedBy>月夜雨樱</cp:lastModifiedBy>
  <cp:lastPrinted>2022-03-29T07:24:00Z</cp:lastPrinted>
  <dcterms:modified xsi:type="dcterms:W3CDTF">2022-05-06T08:34:41Z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2021-04-01T00:00:00Z</vt:filetime>
  </property>
  <property fmtid="{D5CDD505-2E9C-101B-9397-08002B2CF9AE}" pid="3" name="Creator">
    <vt:lpwstr>Microsoft® Word 2010</vt:lpwstr>
  </property>
  <property fmtid="{D5CDD505-2E9C-101B-9397-08002B2CF9AE}" pid="4" name="LastSaved">
    <vt:filetime>2021-04-06T00:00:00Z</vt:filetime>
  </property>
  <property fmtid="{D5CDD505-2E9C-101B-9397-08002B2CF9AE}" pid="5" name="KSOProductBuildVer">
    <vt:lpwstr>2052-11.1.0.11636</vt:lpwstr>
  </property>
  <property fmtid="{D5CDD505-2E9C-101B-9397-08002B2CF9AE}" pid="6" name="ICV">
    <vt:lpwstr>313B767F827148E79B44A02AC5C7890C</vt:lpwstr>
  </property>
  <property fmtid="{D5CDD505-2E9C-101B-9397-08002B2CF9AE}" pid="7" name="commondata">
    <vt:lpwstr>eyJoZGlkIjoiNTVjM2U5ZGJkZGU4MzJlMWMyOWVhNGJkYTY3MzJjNzIifQ==</vt:lpwstr>
  </property>
</Properties>
</file>