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cs="宋体"/>
          <w:b/>
          <w:bCs/>
          <w:sz w:val="30"/>
          <w:szCs w:val="30"/>
          <w:highlight w:val="none"/>
        </w:rPr>
      </w:pPr>
      <w:r>
        <w:rPr>
          <w:rFonts w:hint="eastAsia" w:ascii="宋体" w:hAnsi="宋体" w:cs="宋体"/>
          <w:b/>
          <w:bCs/>
          <w:sz w:val="30"/>
          <w:szCs w:val="30"/>
          <w:highlight w:val="none"/>
        </w:rPr>
        <w:t>项目编号：XJXYHW20220402</w:t>
      </w:r>
    </w:p>
    <w:p>
      <w:pPr>
        <w:pStyle w:val="5"/>
        <w:ind w:firstLine="602"/>
        <w:rPr>
          <w:rFonts w:hint="eastAsia" w:ascii="宋体" w:hAnsi="宋体" w:cs="宋体"/>
          <w:b/>
          <w:bCs/>
          <w:sz w:val="30"/>
          <w:szCs w:val="30"/>
          <w:highlight w:val="none"/>
        </w:rPr>
      </w:pPr>
    </w:p>
    <w:p>
      <w:pPr>
        <w:pStyle w:val="5"/>
        <w:ind w:firstLine="602"/>
        <w:rPr>
          <w:rFonts w:hint="eastAsia" w:ascii="宋体" w:hAnsi="宋体" w:cs="宋体"/>
          <w:b/>
          <w:bCs/>
          <w:sz w:val="30"/>
          <w:szCs w:val="30"/>
          <w:highlight w:val="none"/>
        </w:rPr>
      </w:pPr>
    </w:p>
    <w:p>
      <w:pPr>
        <w:rPr>
          <w:rFonts w:hint="eastAsia" w:ascii="宋体" w:hAnsi="宋体" w:cs="宋体"/>
          <w:b/>
          <w:bCs/>
          <w:highlight w:val="none"/>
        </w:rPr>
      </w:pPr>
    </w:p>
    <w:p>
      <w:pPr>
        <w:jc w:val="center"/>
        <w:rPr>
          <w:rFonts w:hint="eastAsia" w:ascii="宋体" w:hAnsi="宋体" w:cs="宋体"/>
          <w:b/>
          <w:bCs/>
          <w:sz w:val="36"/>
          <w:szCs w:val="36"/>
          <w:highlight w:val="none"/>
        </w:rPr>
      </w:pPr>
      <w:r>
        <w:rPr>
          <w:rFonts w:hint="eastAsia" w:ascii="宋体" w:hAnsi="宋体" w:cs="宋体"/>
          <w:b/>
          <w:bCs/>
          <w:sz w:val="36"/>
          <w:szCs w:val="36"/>
          <w:highlight w:val="none"/>
        </w:rPr>
        <w:t xml:space="preserve">   2022年现代职业教育建设项目-短视频工厂产教融合实训基地</w:t>
      </w:r>
      <w:r>
        <w:rPr>
          <w:rFonts w:hint="eastAsia" w:ascii="宋体" w:hAnsi="宋体" w:cs="宋体"/>
          <w:b/>
          <w:bCs/>
          <w:sz w:val="36"/>
          <w:szCs w:val="36"/>
          <w:highlight w:val="none"/>
          <w:lang w:eastAsia="zh-CN"/>
        </w:rPr>
        <w:t>及视频教学与虚拟仿真实训软件</w:t>
      </w:r>
    </w:p>
    <w:p>
      <w:pPr>
        <w:rPr>
          <w:rFonts w:hint="eastAsia" w:ascii="宋体" w:hAnsi="宋体" w:cs="宋体"/>
          <w:b/>
          <w:bCs/>
          <w:spacing w:val="20"/>
          <w:highlight w:val="none"/>
        </w:rPr>
      </w:pPr>
    </w:p>
    <w:p>
      <w:pPr>
        <w:rPr>
          <w:rFonts w:hint="eastAsia" w:ascii="宋体" w:hAnsi="宋体" w:cs="宋体"/>
          <w:b/>
          <w:bCs/>
          <w:highlight w:val="none"/>
        </w:rPr>
      </w:pPr>
    </w:p>
    <w:p>
      <w:pPr>
        <w:pStyle w:val="5"/>
        <w:ind w:firstLine="422"/>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jc w:val="center"/>
        <w:rPr>
          <w:rFonts w:hint="eastAsia" w:ascii="宋体" w:hAnsi="宋体" w:cs="宋体"/>
          <w:b/>
          <w:bCs/>
          <w:sz w:val="72"/>
          <w:szCs w:val="72"/>
          <w:highlight w:val="none"/>
        </w:rPr>
      </w:pPr>
      <w:r>
        <w:rPr>
          <w:rFonts w:hint="eastAsia" w:ascii="宋体" w:hAnsi="宋体" w:cs="宋体"/>
          <w:b/>
          <w:bCs/>
          <w:sz w:val="72"/>
          <w:szCs w:val="72"/>
          <w:highlight w:val="none"/>
        </w:rPr>
        <w:t>磋商文件</w:t>
      </w:r>
    </w:p>
    <w:p>
      <w:pPr>
        <w:pStyle w:val="5"/>
        <w:rPr>
          <w:rFonts w:hint="eastAsia" w:ascii="宋体" w:hAnsi="宋体"/>
          <w:highlight w:val="none"/>
        </w:rPr>
      </w:pPr>
    </w:p>
    <w:p>
      <w:pPr>
        <w:rPr>
          <w:rFonts w:hint="eastAsia" w:ascii="宋体" w:hAnsi="宋体" w:cs="宋体"/>
          <w:b/>
          <w:bCs/>
          <w:highlight w:val="none"/>
        </w:rPr>
      </w:pPr>
    </w:p>
    <w:p>
      <w:pPr>
        <w:rPr>
          <w:rFonts w:hint="eastAsia" w:ascii="宋体" w:hAnsi="宋体" w:cs="宋体"/>
          <w:b/>
          <w:bCs/>
          <w:highlight w:val="none"/>
        </w:rPr>
      </w:pPr>
    </w:p>
    <w:p>
      <w:pPr>
        <w:pStyle w:val="5"/>
        <w:ind w:firstLine="0" w:firstLineChars="0"/>
        <w:rPr>
          <w:rFonts w:hint="eastAsia" w:ascii="宋体" w:hAnsi="宋体"/>
          <w:highlight w:val="none"/>
        </w:rPr>
      </w:pPr>
    </w:p>
    <w:p>
      <w:pPr>
        <w:rPr>
          <w:rFonts w:hint="eastAsia" w:ascii="宋体" w:hAnsi="宋体" w:cs="宋体"/>
          <w:b/>
          <w:bCs/>
          <w:highlight w:val="none"/>
        </w:rPr>
      </w:pPr>
    </w:p>
    <w:p>
      <w:pPr>
        <w:rPr>
          <w:rFonts w:hint="eastAsia" w:ascii="宋体" w:hAnsi="宋体" w:cs="宋体"/>
          <w:b/>
          <w:bCs/>
          <w:sz w:val="30"/>
          <w:szCs w:val="30"/>
          <w:highlight w:val="none"/>
        </w:rPr>
      </w:pPr>
    </w:p>
    <w:p>
      <w:pPr>
        <w:spacing w:line="700" w:lineRule="exact"/>
        <w:ind w:firstLine="2108" w:firstLineChars="700"/>
        <w:rPr>
          <w:rFonts w:hint="eastAsia" w:ascii="宋体" w:hAnsi="宋体" w:cs="宋体"/>
          <w:b/>
          <w:bCs/>
          <w:sz w:val="30"/>
          <w:szCs w:val="30"/>
          <w:highlight w:val="none"/>
        </w:rPr>
      </w:pPr>
      <w:r>
        <w:rPr>
          <w:rFonts w:hint="eastAsia" w:ascii="宋体" w:hAnsi="宋体" w:cs="宋体"/>
          <w:b/>
          <w:bCs/>
          <w:sz w:val="30"/>
          <w:szCs w:val="30"/>
          <w:highlight w:val="none"/>
        </w:rPr>
        <w:t>招   标  人：伊犁职业技术学院</w:t>
      </w:r>
    </w:p>
    <w:p>
      <w:pPr>
        <w:spacing w:line="700" w:lineRule="exact"/>
        <w:ind w:firstLine="2108" w:firstLineChars="700"/>
        <w:rPr>
          <w:rFonts w:hint="eastAsia" w:ascii="宋体" w:hAnsi="宋体" w:cs="宋体"/>
          <w:b/>
          <w:bCs/>
          <w:sz w:val="30"/>
          <w:szCs w:val="30"/>
          <w:highlight w:val="none"/>
        </w:rPr>
      </w:pPr>
      <w:r>
        <w:rPr>
          <w:rFonts w:hint="eastAsia" w:ascii="宋体" w:hAnsi="宋体" w:cs="宋体"/>
          <w:b/>
          <w:bCs/>
          <w:sz w:val="30"/>
          <w:szCs w:val="30"/>
          <w:highlight w:val="none"/>
        </w:rPr>
        <w:t>招标代理机构：新疆宣宇项目管理有限公司</w:t>
      </w:r>
    </w:p>
    <w:p>
      <w:pPr>
        <w:spacing w:line="700" w:lineRule="exact"/>
        <w:ind w:firstLine="2108" w:firstLineChars="700"/>
        <w:rPr>
          <w:rFonts w:hint="eastAsia" w:ascii="宋体" w:hAnsi="宋体" w:cs="宋体"/>
          <w:b/>
          <w:bCs/>
          <w:sz w:val="30"/>
          <w:szCs w:val="30"/>
          <w:highlight w:val="none"/>
        </w:rPr>
      </w:pPr>
      <w:r>
        <w:rPr>
          <w:rFonts w:hint="eastAsia" w:ascii="宋体" w:hAnsi="宋体" w:cs="宋体"/>
          <w:b/>
          <w:bCs/>
          <w:sz w:val="30"/>
          <w:szCs w:val="30"/>
          <w:highlight w:val="none"/>
        </w:rPr>
        <w:t>编制日期：二零二二年四月</w:t>
      </w:r>
    </w:p>
    <w:p>
      <w:pPr>
        <w:pStyle w:val="14"/>
        <w:tabs>
          <w:tab w:val="right" w:leader="dot" w:pos="8541"/>
        </w:tabs>
        <w:spacing w:line="400" w:lineRule="atLeast"/>
        <w:jc w:val="center"/>
        <w:rPr>
          <w:rFonts w:ascii="宋体" w:hAnsi="宋体" w:cs="Arial"/>
          <w:b/>
          <w:sz w:val="36"/>
          <w:highlight w:val="none"/>
        </w:rPr>
      </w:pPr>
      <w:r>
        <w:rPr>
          <w:rFonts w:ascii="宋体" w:hAnsi="宋体" w:cs="Arial"/>
          <w:highlight w:val="none"/>
        </w:rPr>
        <w:br w:type="page"/>
      </w:r>
    </w:p>
    <w:sdt>
      <w:sdtPr>
        <w:rPr>
          <w:rFonts w:ascii="宋体" w:hAnsi="宋体" w:eastAsia="宋体" w:cs="Times New Roman"/>
          <w:kern w:val="2"/>
          <w:sz w:val="21"/>
          <w:highlight w:val="none"/>
          <w:lang w:val="en-US" w:eastAsia="zh-CN" w:bidi="ar-SA"/>
        </w:rPr>
        <w:id w:val="147478825"/>
        <w15:color w:val="DBDBDB"/>
        <w:docPartObj>
          <w:docPartGallery w:val="Table of Contents"/>
          <w:docPartUnique/>
        </w:docPartObj>
      </w:sdtPr>
      <w:sdtEndPr>
        <w:rPr>
          <w:rFonts w:ascii="Times New Roman" w:hAnsi="Times New Roman" w:eastAsia="宋体" w:cs="Times New Roman"/>
          <w:kern w:val="2"/>
          <w:sz w:val="21"/>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rPr>
              <w:sz w:val="24"/>
              <w:szCs w:val="24"/>
              <w:highlight w:val="none"/>
            </w:rPr>
          </w:pPr>
          <w:r>
            <w:rPr>
              <w:rFonts w:ascii="宋体" w:hAnsi="宋体" w:eastAsia="宋体"/>
              <w:sz w:val="24"/>
              <w:szCs w:val="24"/>
              <w:highlight w:val="none"/>
            </w:rPr>
            <w:t>目录</w:t>
          </w:r>
        </w:p>
        <w:p>
          <w:pPr>
            <w:pStyle w:val="32"/>
            <w:keepNext w:val="0"/>
            <w:keepLines w:val="0"/>
            <w:pageBreakBefore w:val="0"/>
            <w:tabs>
              <w:tab w:val="right" w:leader="dot" w:pos="9747"/>
            </w:tabs>
            <w:kinsoku/>
            <w:wordWrap/>
            <w:overflowPunct/>
            <w:topLinePunct w:val="0"/>
            <w:autoSpaceDE/>
            <w:autoSpaceDN/>
            <w:bidi w:val="0"/>
            <w:adjustRightInd/>
            <w:snapToGrid/>
            <w:spacing w:line="700" w:lineRule="exact"/>
            <w:textAlignment w:val="auto"/>
            <w:rPr>
              <w:sz w:val="24"/>
              <w:szCs w:val="24"/>
              <w:highlight w:val="none"/>
            </w:rPr>
          </w:pPr>
          <w:r>
            <w:rPr>
              <w:sz w:val="24"/>
              <w:szCs w:val="24"/>
              <w:highlight w:val="none"/>
            </w:rPr>
            <w:fldChar w:fldCharType="begin"/>
          </w:r>
          <w:r>
            <w:rPr>
              <w:sz w:val="24"/>
              <w:szCs w:val="24"/>
              <w:highlight w:val="none"/>
            </w:rPr>
            <w:instrText xml:space="preserve">TOC \o "1-1" \h \u </w:instrText>
          </w:r>
          <w:r>
            <w:rPr>
              <w:sz w:val="24"/>
              <w:szCs w:val="24"/>
              <w:highlight w:val="none"/>
            </w:rPr>
            <w:fldChar w:fldCharType="separate"/>
          </w:r>
          <w:r>
            <w:rPr>
              <w:sz w:val="24"/>
              <w:szCs w:val="24"/>
              <w:highlight w:val="none"/>
            </w:rPr>
            <w:fldChar w:fldCharType="begin"/>
          </w:r>
          <w:r>
            <w:rPr>
              <w:sz w:val="24"/>
              <w:szCs w:val="24"/>
              <w:highlight w:val="none"/>
            </w:rPr>
            <w:instrText xml:space="preserve"> HYPERLINK \l _Toc30147 </w:instrText>
          </w:r>
          <w:r>
            <w:rPr>
              <w:sz w:val="24"/>
              <w:szCs w:val="24"/>
              <w:highlight w:val="none"/>
            </w:rPr>
            <w:fldChar w:fldCharType="separate"/>
          </w:r>
          <w:r>
            <w:rPr>
              <w:rFonts w:hint="eastAsia" w:ascii="宋体" w:hAnsi="宋体" w:cs="Arial"/>
              <w:sz w:val="24"/>
              <w:szCs w:val="24"/>
              <w:highlight w:val="none"/>
            </w:rPr>
            <w:t xml:space="preserve"> </w:t>
          </w:r>
          <w:r>
            <w:rPr>
              <w:rFonts w:ascii="宋体" w:hAnsi="宋体" w:cs="Arial"/>
              <w:sz w:val="24"/>
              <w:szCs w:val="24"/>
              <w:highlight w:val="none"/>
            </w:rPr>
            <w:t>第一部分 竞争性磋商公告</w:t>
          </w:r>
          <w:r>
            <w:rPr>
              <w:sz w:val="24"/>
              <w:szCs w:val="24"/>
              <w:highlight w:val="none"/>
            </w:rPr>
            <w:tab/>
          </w:r>
          <w:r>
            <w:rPr>
              <w:sz w:val="24"/>
              <w:szCs w:val="24"/>
              <w:highlight w:val="none"/>
            </w:rPr>
            <w:fldChar w:fldCharType="begin"/>
          </w:r>
          <w:r>
            <w:rPr>
              <w:sz w:val="24"/>
              <w:szCs w:val="24"/>
              <w:highlight w:val="none"/>
            </w:rPr>
            <w:instrText xml:space="preserve"> PAGEREF _Toc30147 \h </w:instrText>
          </w:r>
          <w:r>
            <w:rPr>
              <w:sz w:val="24"/>
              <w:szCs w:val="24"/>
              <w:highlight w:val="none"/>
            </w:rPr>
            <w:fldChar w:fldCharType="separate"/>
          </w:r>
          <w:r>
            <w:rPr>
              <w:sz w:val="24"/>
              <w:szCs w:val="24"/>
              <w:highlight w:val="none"/>
            </w:rPr>
            <w:t>5</w:t>
          </w:r>
          <w:r>
            <w:rPr>
              <w:sz w:val="24"/>
              <w:szCs w:val="24"/>
              <w:highlight w:val="none"/>
            </w:rPr>
            <w:fldChar w:fldCharType="end"/>
          </w:r>
          <w:r>
            <w:rPr>
              <w:sz w:val="24"/>
              <w:szCs w:val="24"/>
              <w:highlight w:val="none"/>
            </w:rPr>
            <w:fldChar w:fldCharType="end"/>
          </w:r>
        </w:p>
        <w:p>
          <w:pPr>
            <w:pStyle w:val="32"/>
            <w:keepNext w:val="0"/>
            <w:keepLines w:val="0"/>
            <w:pageBreakBefore w:val="0"/>
            <w:tabs>
              <w:tab w:val="right" w:leader="dot" w:pos="9747"/>
            </w:tabs>
            <w:kinsoku/>
            <w:wordWrap/>
            <w:overflowPunct/>
            <w:topLinePunct w:val="0"/>
            <w:autoSpaceDE/>
            <w:autoSpaceDN/>
            <w:bidi w:val="0"/>
            <w:adjustRightInd/>
            <w:snapToGrid/>
            <w:spacing w:line="7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_Toc21778 </w:instrText>
          </w:r>
          <w:r>
            <w:rPr>
              <w:sz w:val="24"/>
              <w:szCs w:val="24"/>
              <w:highlight w:val="none"/>
            </w:rPr>
            <w:fldChar w:fldCharType="separate"/>
          </w:r>
          <w:r>
            <w:rPr>
              <w:rFonts w:hint="eastAsia"/>
              <w:sz w:val="24"/>
              <w:szCs w:val="24"/>
              <w:highlight w:val="none"/>
            </w:rPr>
            <w:t>第二部分投标人须知附表</w:t>
          </w:r>
          <w:r>
            <w:rPr>
              <w:sz w:val="24"/>
              <w:szCs w:val="24"/>
              <w:highlight w:val="none"/>
            </w:rPr>
            <w:tab/>
          </w:r>
          <w:r>
            <w:rPr>
              <w:sz w:val="24"/>
              <w:szCs w:val="24"/>
              <w:highlight w:val="none"/>
            </w:rPr>
            <w:fldChar w:fldCharType="begin"/>
          </w:r>
          <w:r>
            <w:rPr>
              <w:sz w:val="24"/>
              <w:szCs w:val="24"/>
              <w:highlight w:val="none"/>
            </w:rPr>
            <w:instrText xml:space="preserve"> PAGEREF _Toc21778 \h </w:instrText>
          </w:r>
          <w:r>
            <w:rPr>
              <w:sz w:val="24"/>
              <w:szCs w:val="24"/>
              <w:highlight w:val="none"/>
            </w:rPr>
            <w:fldChar w:fldCharType="separate"/>
          </w:r>
          <w:r>
            <w:rPr>
              <w:sz w:val="24"/>
              <w:szCs w:val="24"/>
              <w:highlight w:val="none"/>
            </w:rPr>
            <w:t>10</w:t>
          </w:r>
          <w:r>
            <w:rPr>
              <w:sz w:val="24"/>
              <w:szCs w:val="24"/>
              <w:highlight w:val="none"/>
            </w:rPr>
            <w:fldChar w:fldCharType="end"/>
          </w:r>
          <w:r>
            <w:rPr>
              <w:sz w:val="24"/>
              <w:szCs w:val="24"/>
              <w:highlight w:val="none"/>
            </w:rPr>
            <w:fldChar w:fldCharType="end"/>
          </w:r>
        </w:p>
        <w:p>
          <w:pPr>
            <w:pStyle w:val="32"/>
            <w:keepNext w:val="0"/>
            <w:keepLines w:val="0"/>
            <w:pageBreakBefore w:val="0"/>
            <w:tabs>
              <w:tab w:val="right" w:leader="dot" w:pos="9747"/>
            </w:tabs>
            <w:kinsoku/>
            <w:wordWrap/>
            <w:overflowPunct/>
            <w:topLinePunct w:val="0"/>
            <w:autoSpaceDE/>
            <w:autoSpaceDN/>
            <w:bidi w:val="0"/>
            <w:adjustRightInd/>
            <w:snapToGrid/>
            <w:spacing w:line="7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_Toc21993 </w:instrText>
          </w:r>
          <w:r>
            <w:rPr>
              <w:sz w:val="24"/>
              <w:szCs w:val="24"/>
              <w:highlight w:val="none"/>
            </w:rPr>
            <w:fldChar w:fldCharType="separate"/>
          </w:r>
          <w:r>
            <w:rPr>
              <w:rFonts w:hint="eastAsia" w:ascii="宋体" w:hAnsi="宋体" w:eastAsia="宋体" w:cs="宋体"/>
              <w:bCs/>
              <w:sz w:val="24"/>
              <w:szCs w:val="24"/>
              <w:highlight w:val="none"/>
              <w:lang w:eastAsia="zh-CN"/>
            </w:rPr>
            <w:t>第三部分</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供货要求</w:t>
          </w:r>
          <w:r>
            <w:rPr>
              <w:sz w:val="24"/>
              <w:szCs w:val="24"/>
              <w:highlight w:val="none"/>
            </w:rPr>
            <w:tab/>
          </w:r>
          <w:r>
            <w:rPr>
              <w:sz w:val="24"/>
              <w:szCs w:val="24"/>
              <w:highlight w:val="none"/>
            </w:rPr>
            <w:fldChar w:fldCharType="begin"/>
          </w:r>
          <w:r>
            <w:rPr>
              <w:sz w:val="24"/>
              <w:szCs w:val="24"/>
              <w:highlight w:val="none"/>
            </w:rPr>
            <w:instrText xml:space="preserve"> PAGEREF _Toc21993 \h </w:instrText>
          </w:r>
          <w:r>
            <w:rPr>
              <w:sz w:val="24"/>
              <w:szCs w:val="24"/>
              <w:highlight w:val="none"/>
            </w:rPr>
            <w:fldChar w:fldCharType="separate"/>
          </w:r>
          <w:r>
            <w:rPr>
              <w:sz w:val="24"/>
              <w:szCs w:val="24"/>
              <w:highlight w:val="none"/>
            </w:rPr>
            <w:t>21</w:t>
          </w:r>
          <w:r>
            <w:rPr>
              <w:sz w:val="24"/>
              <w:szCs w:val="24"/>
              <w:highlight w:val="none"/>
            </w:rPr>
            <w:fldChar w:fldCharType="end"/>
          </w:r>
          <w:r>
            <w:rPr>
              <w:sz w:val="24"/>
              <w:szCs w:val="24"/>
              <w:highlight w:val="none"/>
            </w:rPr>
            <w:fldChar w:fldCharType="end"/>
          </w:r>
        </w:p>
        <w:p>
          <w:pPr>
            <w:pStyle w:val="32"/>
            <w:keepNext w:val="0"/>
            <w:keepLines w:val="0"/>
            <w:pageBreakBefore w:val="0"/>
            <w:tabs>
              <w:tab w:val="right" w:leader="dot" w:pos="9747"/>
            </w:tabs>
            <w:kinsoku/>
            <w:wordWrap/>
            <w:overflowPunct/>
            <w:topLinePunct w:val="0"/>
            <w:autoSpaceDE/>
            <w:autoSpaceDN/>
            <w:bidi w:val="0"/>
            <w:adjustRightInd/>
            <w:snapToGrid/>
            <w:spacing w:line="7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_Toc32304 </w:instrText>
          </w:r>
          <w:r>
            <w:rPr>
              <w:sz w:val="24"/>
              <w:szCs w:val="24"/>
              <w:highlight w:val="none"/>
            </w:rPr>
            <w:fldChar w:fldCharType="separate"/>
          </w:r>
          <w:r>
            <w:rPr>
              <w:rFonts w:ascii="宋体" w:hAnsi="宋体" w:cs="Arial"/>
              <w:sz w:val="24"/>
              <w:szCs w:val="24"/>
              <w:highlight w:val="none"/>
            </w:rPr>
            <w:t xml:space="preserve">第四部分  </w:t>
          </w:r>
          <w:r>
            <w:rPr>
              <w:rFonts w:hint="eastAsia" w:ascii="宋体" w:hAnsi="宋体" w:cs="Arial"/>
              <w:sz w:val="24"/>
              <w:szCs w:val="24"/>
              <w:highlight w:val="none"/>
            </w:rPr>
            <w:t>合同格式</w:t>
          </w:r>
          <w:r>
            <w:rPr>
              <w:sz w:val="24"/>
              <w:szCs w:val="24"/>
              <w:highlight w:val="none"/>
            </w:rPr>
            <w:tab/>
          </w:r>
          <w:r>
            <w:rPr>
              <w:sz w:val="24"/>
              <w:szCs w:val="24"/>
              <w:highlight w:val="none"/>
            </w:rPr>
            <w:fldChar w:fldCharType="begin"/>
          </w:r>
          <w:r>
            <w:rPr>
              <w:sz w:val="24"/>
              <w:szCs w:val="24"/>
              <w:highlight w:val="none"/>
            </w:rPr>
            <w:instrText xml:space="preserve"> PAGEREF _Toc32304 \h </w:instrText>
          </w:r>
          <w:r>
            <w:rPr>
              <w:sz w:val="24"/>
              <w:szCs w:val="24"/>
              <w:highlight w:val="none"/>
            </w:rPr>
            <w:fldChar w:fldCharType="separate"/>
          </w:r>
          <w:r>
            <w:rPr>
              <w:sz w:val="24"/>
              <w:szCs w:val="24"/>
              <w:highlight w:val="none"/>
            </w:rPr>
            <w:t>32</w:t>
          </w:r>
          <w:r>
            <w:rPr>
              <w:sz w:val="24"/>
              <w:szCs w:val="24"/>
              <w:highlight w:val="none"/>
            </w:rPr>
            <w:fldChar w:fldCharType="end"/>
          </w:r>
          <w:r>
            <w:rPr>
              <w:sz w:val="24"/>
              <w:szCs w:val="24"/>
              <w:highlight w:val="none"/>
            </w:rPr>
            <w:fldChar w:fldCharType="end"/>
          </w:r>
        </w:p>
        <w:p>
          <w:pPr>
            <w:pStyle w:val="32"/>
            <w:keepNext w:val="0"/>
            <w:keepLines w:val="0"/>
            <w:pageBreakBefore w:val="0"/>
            <w:tabs>
              <w:tab w:val="right" w:leader="dot" w:pos="9747"/>
            </w:tabs>
            <w:kinsoku/>
            <w:wordWrap/>
            <w:overflowPunct/>
            <w:topLinePunct w:val="0"/>
            <w:autoSpaceDE/>
            <w:autoSpaceDN/>
            <w:bidi w:val="0"/>
            <w:adjustRightInd/>
            <w:snapToGrid/>
            <w:spacing w:line="7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_Toc22217 </w:instrText>
          </w:r>
          <w:r>
            <w:rPr>
              <w:sz w:val="24"/>
              <w:szCs w:val="24"/>
              <w:highlight w:val="none"/>
            </w:rPr>
            <w:fldChar w:fldCharType="separate"/>
          </w:r>
          <w:r>
            <w:rPr>
              <w:rFonts w:hint="eastAsia" w:ascii="宋体" w:hAnsi="宋体" w:cs="宋体"/>
              <w:sz w:val="24"/>
              <w:szCs w:val="24"/>
              <w:highlight w:val="none"/>
            </w:rPr>
            <w:t>政府采购合同参考范本</w:t>
          </w:r>
          <w:r>
            <w:rPr>
              <w:sz w:val="24"/>
              <w:szCs w:val="24"/>
              <w:highlight w:val="none"/>
            </w:rPr>
            <w:tab/>
          </w:r>
          <w:r>
            <w:rPr>
              <w:sz w:val="24"/>
              <w:szCs w:val="24"/>
              <w:highlight w:val="none"/>
            </w:rPr>
            <w:fldChar w:fldCharType="begin"/>
          </w:r>
          <w:r>
            <w:rPr>
              <w:sz w:val="24"/>
              <w:szCs w:val="24"/>
              <w:highlight w:val="none"/>
            </w:rPr>
            <w:instrText xml:space="preserve"> PAGEREF _Toc22217 \h </w:instrText>
          </w:r>
          <w:r>
            <w:rPr>
              <w:sz w:val="24"/>
              <w:szCs w:val="24"/>
              <w:highlight w:val="none"/>
            </w:rPr>
            <w:fldChar w:fldCharType="separate"/>
          </w:r>
          <w:r>
            <w:rPr>
              <w:sz w:val="24"/>
              <w:szCs w:val="24"/>
              <w:highlight w:val="none"/>
            </w:rPr>
            <w:t>32</w:t>
          </w:r>
          <w:r>
            <w:rPr>
              <w:sz w:val="24"/>
              <w:szCs w:val="24"/>
              <w:highlight w:val="none"/>
            </w:rPr>
            <w:fldChar w:fldCharType="end"/>
          </w:r>
          <w:r>
            <w:rPr>
              <w:sz w:val="24"/>
              <w:szCs w:val="24"/>
              <w:highlight w:val="none"/>
            </w:rPr>
            <w:fldChar w:fldCharType="end"/>
          </w:r>
        </w:p>
        <w:p>
          <w:pPr>
            <w:pStyle w:val="32"/>
            <w:keepNext w:val="0"/>
            <w:keepLines w:val="0"/>
            <w:pageBreakBefore w:val="0"/>
            <w:tabs>
              <w:tab w:val="right" w:leader="dot" w:pos="9747"/>
            </w:tabs>
            <w:kinsoku/>
            <w:wordWrap/>
            <w:overflowPunct/>
            <w:topLinePunct w:val="0"/>
            <w:autoSpaceDE/>
            <w:autoSpaceDN/>
            <w:bidi w:val="0"/>
            <w:adjustRightInd/>
            <w:snapToGrid/>
            <w:spacing w:line="7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_Toc15008 </w:instrText>
          </w:r>
          <w:r>
            <w:rPr>
              <w:sz w:val="24"/>
              <w:szCs w:val="24"/>
              <w:highlight w:val="none"/>
            </w:rPr>
            <w:fldChar w:fldCharType="separate"/>
          </w:r>
          <w:r>
            <w:rPr>
              <w:rFonts w:hint="eastAsia" w:ascii="宋体" w:hAnsi="宋体" w:cs="宋体"/>
              <w:sz w:val="24"/>
              <w:szCs w:val="24"/>
              <w:highlight w:val="none"/>
            </w:rPr>
            <w:t>（货物类）</w:t>
          </w:r>
          <w:r>
            <w:rPr>
              <w:sz w:val="24"/>
              <w:szCs w:val="24"/>
              <w:highlight w:val="none"/>
            </w:rPr>
            <w:tab/>
          </w:r>
          <w:r>
            <w:rPr>
              <w:sz w:val="24"/>
              <w:szCs w:val="24"/>
              <w:highlight w:val="none"/>
            </w:rPr>
            <w:fldChar w:fldCharType="begin"/>
          </w:r>
          <w:r>
            <w:rPr>
              <w:sz w:val="24"/>
              <w:szCs w:val="24"/>
              <w:highlight w:val="none"/>
            </w:rPr>
            <w:instrText xml:space="preserve"> PAGEREF _Toc15008 \h </w:instrText>
          </w:r>
          <w:r>
            <w:rPr>
              <w:sz w:val="24"/>
              <w:szCs w:val="24"/>
              <w:highlight w:val="none"/>
            </w:rPr>
            <w:fldChar w:fldCharType="separate"/>
          </w:r>
          <w:r>
            <w:rPr>
              <w:sz w:val="24"/>
              <w:szCs w:val="24"/>
              <w:highlight w:val="none"/>
            </w:rPr>
            <w:t>32</w:t>
          </w:r>
          <w:r>
            <w:rPr>
              <w:sz w:val="24"/>
              <w:szCs w:val="24"/>
              <w:highlight w:val="none"/>
            </w:rPr>
            <w:fldChar w:fldCharType="end"/>
          </w:r>
          <w:r>
            <w:rPr>
              <w:sz w:val="24"/>
              <w:szCs w:val="24"/>
              <w:highlight w:val="none"/>
            </w:rPr>
            <w:fldChar w:fldCharType="end"/>
          </w:r>
        </w:p>
        <w:p>
          <w:pPr>
            <w:pStyle w:val="32"/>
            <w:keepNext w:val="0"/>
            <w:keepLines w:val="0"/>
            <w:pageBreakBefore w:val="0"/>
            <w:tabs>
              <w:tab w:val="right" w:leader="dot" w:pos="9747"/>
            </w:tabs>
            <w:kinsoku/>
            <w:wordWrap/>
            <w:overflowPunct/>
            <w:topLinePunct w:val="0"/>
            <w:autoSpaceDE/>
            <w:autoSpaceDN/>
            <w:bidi w:val="0"/>
            <w:adjustRightInd/>
            <w:snapToGrid/>
            <w:spacing w:line="7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_Toc20084 </w:instrText>
          </w:r>
          <w:r>
            <w:rPr>
              <w:sz w:val="24"/>
              <w:szCs w:val="24"/>
              <w:highlight w:val="none"/>
            </w:rPr>
            <w:fldChar w:fldCharType="separate"/>
          </w:r>
          <w:r>
            <w:rPr>
              <w:rFonts w:ascii="宋体" w:hAnsi="宋体" w:cs="Arial"/>
              <w:sz w:val="24"/>
              <w:szCs w:val="24"/>
              <w:highlight w:val="none"/>
            </w:rPr>
            <w:t>第</w:t>
          </w:r>
          <w:r>
            <w:rPr>
              <w:rFonts w:hint="eastAsia" w:ascii="宋体" w:hAnsi="宋体" w:cs="Arial"/>
              <w:sz w:val="24"/>
              <w:szCs w:val="24"/>
              <w:highlight w:val="none"/>
              <w:lang w:eastAsia="zh-CN"/>
            </w:rPr>
            <w:t>五</w:t>
          </w:r>
          <w:r>
            <w:rPr>
              <w:rFonts w:ascii="宋体" w:hAnsi="宋体" w:cs="Arial"/>
              <w:sz w:val="24"/>
              <w:szCs w:val="24"/>
              <w:highlight w:val="none"/>
            </w:rPr>
            <w:t>部分　范本格式</w:t>
          </w:r>
          <w:r>
            <w:rPr>
              <w:sz w:val="24"/>
              <w:szCs w:val="24"/>
              <w:highlight w:val="none"/>
            </w:rPr>
            <w:tab/>
          </w:r>
          <w:r>
            <w:rPr>
              <w:sz w:val="24"/>
              <w:szCs w:val="24"/>
              <w:highlight w:val="none"/>
            </w:rPr>
            <w:fldChar w:fldCharType="begin"/>
          </w:r>
          <w:r>
            <w:rPr>
              <w:sz w:val="24"/>
              <w:szCs w:val="24"/>
              <w:highlight w:val="none"/>
            </w:rPr>
            <w:instrText xml:space="preserve"> PAGEREF _Toc20084 \h </w:instrText>
          </w:r>
          <w:r>
            <w:rPr>
              <w:sz w:val="24"/>
              <w:szCs w:val="24"/>
              <w:highlight w:val="none"/>
            </w:rPr>
            <w:fldChar w:fldCharType="separate"/>
          </w:r>
          <w:r>
            <w:rPr>
              <w:sz w:val="24"/>
              <w:szCs w:val="24"/>
              <w:highlight w:val="none"/>
            </w:rPr>
            <w:t>42</w:t>
          </w:r>
          <w:r>
            <w:rPr>
              <w:sz w:val="24"/>
              <w:szCs w:val="24"/>
              <w:highlight w:val="none"/>
            </w:rPr>
            <w:fldChar w:fldCharType="end"/>
          </w:r>
          <w:r>
            <w:rPr>
              <w:sz w:val="24"/>
              <w:szCs w:val="24"/>
              <w:highlight w:val="none"/>
            </w:rPr>
            <w:fldChar w:fldCharType="end"/>
          </w:r>
        </w:p>
        <w:p>
          <w:pPr>
            <w:pStyle w:val="32"/>
            <w:keepNext w:val="0"/>
            <w:keepLines w:val="0"/>
            <w:pageBreakBefore w:val="0"/>
            <w:tabs>
              <w:tab w:val="right" w:leader="dot" w:pos="9747"/>
            </w:tabs>
            <w:kinsoku/>
            <w:wordWrap/>
            <w:overflowPunct/>
            <w:topLinePunct w:val="0"/>
            <w:autoSpaceDE/>
            <w:autoSpaceDN/>
            <w:bidi w:val="0"/>
            <w:adjustRightInd/>
            <w:snapToGrid/>
            <w:spacing w:line="700" w:lineRule="exact"/>
            <w:textAlignment w:val="auto"/>
            <w:rPr>
              <w:sz w:val="24"/>
              <w:szCs w:val="24"/>
              <w:highlight w:val="none"/>
            </w:rPr>
          </w:pPr>
        </w:p>
        <w:p>
          <w:pPr>
            <w:keepNext w:val="0"/>
            <w:keepLines w:val="0"/>
            <w:pageBreakBefore w:val="0"/>
            <w:kinsoku/>
            <w:wordWrap/>
            <w:overflowPunct/>
            <w:topLinePunct w:val="0"/>
            <w:autoSpaceDE/>
            <w:autoSpaceDN/>
            <w:bidi w:val="0"/>
            <w:adjustRightInd/>
            <w:snapToGrid/>
            <w:spacing w:line="700" w:lineRule="exact"/>
            <w:textAlignment w:val="auto"/>
            <w:rPr>
              <w:highlight w:val="none"/>
            </w:rPr>
          </w:pPr>
          <w:r>
            <w:rPr>
              <w:sz w:val="24"/>
              <w:szCs w:val="24"/>
              <w:highlight w:val="none"/>
            </w:rPr>
            <w:fldChar w:fldCharType="end"/>
          </w:r>
        </w:p>
      </w:sdtContent>
    </w:sdt>
    <w:p>
      <w:pPr>
        <w:pStyle w:val="3"/>
        <w:spacing w:line="400" w:lineRule="atLeast"/>
        <w:jc w:val="center"/>
        <w:rPr>
          <w:rFonts w:ascii="宋体" w:hAnsi="宋体" w:cs="Arial"/>
          <w:sz w:val="32"/>
          <w:szCs w:val="32"/>
          <w:highlight w:val="none"/>
        </w:rPr>
      </w:pPr>
      <w:r>
        <w:rPr>
          <w:rFonts w:ascii="宋体" w:hAnsi="宋体" w:cs="Arial"/>
          <w:sz w:val="32"/>
          <w:szCs w:val="32"/>
          <w:highlight w:val="none"/>
        </w:rPr>
        <w:br w:type="page"/>
      </w:r>
      <w:bookmarkStart w:id="0" w:name="_Toc349637917"/>
      <w:bookmarkStart w:id="1" w:name="_Toc298240402"/>
      <w:bookmarkStart w:id="2" w:name="_Toc349573118"/>
      <w:bookmarkStart w:id="3" w:name="_Toc516489103"/>
      <w:bookmarkStart w:id="4" w:name="_Toc30147"/>
      <w:r>
        <w:rPr>
          <w:rFonts w:ascii="宋体" w:hAnsi="宋体" w:cs="Arial"/>
          <w:sz w:val="32"/>
          <w:szCs w:val="32"/>
          <w:highlight w:val="none"/>
        </w:rPr>
        <w:t xml:space="preserve">第一部分 </w:t>
      </w:r>
      <w:bookmarkEnd w:id="0"/>
      <w:bookmarkEnd w:id="1"/>
      <w:bookmarkEnd w:id="2"/>
      <w:bookmarkEnd w:id="3"/>
      <w:r>
        <w:rPr>
          <w:rFonts w:ascii="宋体" w:hAnsi="宋体" w:cs="Arial"/>
          <w:sz w:val="32"/>
          <w:szCs w:val="32"/>
          <w:highlight w:val="none"/>
        </w:rPr>
        <w:t>竞争性磋商公告</w:t>
      </w:r>
      <w:bookmarkEnd w:id="4"/>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u w:val="single"/>
        </w:rPr>
        <w:t xml:space="preserve">    2022年现代职业教育建设项目-短视频工厂产教融合实训基地</w:t>
      </w:r>
      <w:r>
        <w:rPr>
          <w:rFonts w:hint="eastAsia" w:ascii="宋体" w:hAnsi="宋体" w:cs="宋体"/>
          <w:sz w:val="24"/>
          <w:szCs w:val="24"/>
          <w:highlight w:val="none"/>
          <w:u w:val="single"/>
          <w:lang w:eastAsia="zh-CN"/>
        </w:rPr>
        <w:t>及视频教学与虚拟仿真实训软件</w:t>
      </w:r>
      <w:r>
        <w:rPr>
          <w:rFonts w:hint="eastAsia" w:ascii="宋体" w:hAnsi="宋体" w:cs="宋体"/>
          <w:sz w:val="24"/>
          <w:szCs w:val="24"/>
          <w:highlight w:val="none"/>
        </w:rPr>
        <w:t xml:space="preserve"> 招标项目的潜在投标人应在</w:t>
      </w:r>
      <w:r>
        <w:rPr>
          <w:rFonts w:hint="eastAsia" w:ascii="宋体" w:hAnsi="宋体" w:cs="宋体"/>
          <w:sz w:val="24"/>
          <w:szCs w:val="24"/>
          <w:highlight w:val="none"/>
          <w:u w:val="single"/>
        </w:rPr>
        <w:t>伊宁市开发区大学生科技创业孵化基地6楼（安徽路和深圳路交叉路口）</w:t>
      </w:r>
      <w:r>
        <w:rPr>
          <w:rFonts w:hint="eastAsia" w:ascii="宋体" w:hAnsi="宋体" w:cs="宋体"/>
          <w:sz w:val="24"/>
          <w:szCs w:val="24"/>
          <w:highlight w:val="none"/>
        </w:rPr>
        <w:t>获取招标文件，并于：</w:t>
      </w:r>
      <w:r>
        <w:rPr>
          <w:rFonts w:hint="eastAsia" w:ascii="宋体" w:hAnsi="宋体" w:cs="宋体"/>
          <w:sz w:val="24"/>
          <w:szCs w:val="24"/>
          <w:highlight w:val="none"/>
          <w:u w:val="single"/>
        </w:rPr>
        <w:t>2022年5月13日下午16时30分</w:t>
      </w:r>
      <w:r>
        <w:rPr>
          <w:rFonts w:hint="eastAsia" w:ascii="宋体" w:hAnsi="宋体" w:cs="宋体"/>
          <w:bCs/>
          <w:sz w:val="24"/>
          <w:szCs w:val="24"/>
          <w:highlight w:val="none"/>
          <w:u w:val="single"/>
        </w:rPr>
        <w:t>（</w:t>
      </w:r>
      <w:r>
        <w:rPr>
          <w:rFonts w:hint="eastAsia" w:ascii="宋体" w:hAnsi="宋体" w:cs="宋体"/>
          <w:bCs/>
          <w:sz w:val="24"/>
          <w:szCs w:val="24"/>
          <w:highlight w:val="none"/>
        </w:rPr>
        <w:t>北京时间）前递交投标文件</w:t>
      </w:r>
      <w:r>
        <w:rPr>
          <w:rFonts w:hint="eastAsia" w:ascii="宋体" w:hAnsi="宋体" w:cs="宋体"/>
          <w:sz w:val="24"/>
          <w:szCs w:val="24"/>
          <w:highlight w:val="none"/>
        </w:rPr>
        <w:t>。</w:t>
      </w:r>
    </w:p>
    <w:p>
      <w:pPr>
        <w:pStyle w:val="4"/>
        <w:spacing w:line="400" w:lineRule="exact"/>
        <w:outlineLvl w:val="0"/>
        <w:rPr>
          <w:rFonts w:hint="eastAsia" w:ascii="宋体" w:hAnsi="宋体" w:eastAsia="宋体" w:cs="宋体"/>
          <w:sz w:val="24"/>
          <w:szCs w:val="24"/>
          <w:highlight w:val="none"/>
        </w:rPr>
      </w:pPr>
      <w:bookmarkStart w:id="5" w:name="_Toc28359002"/>
      <w:bookmarkStart w:id="6" w:name="_Toc35393790"/>
      <w:bookmarkStart w:id="7" w:name="_Toc35393621"/>
      <w:bookmarkStart w:id="8" w:name="_Toc4199"/>
      <w:bookmarkStart w:id="9" w:name="_Toc28359079"/>
      <w:bookmarkStart w:id="10" w:name="_Hlk24379207"/>
      <w:r>
        <w:rPr>
          <w:rFonts w:hint="eastAsia" w:ascii="宋体" w:hAnsi="宋体" w:eastAsia="宋体" w:cs="宋体"/>
          <w:sz w:val="24"/>
          <w:szCs w:val="24"/>
          <w:highlight w:val="none"/>
        </w:rPr>
        <w:t>一、项目基本情况</w:t>
      </w:r>
      <w:bookmarkEnd w:id="5"/>
      <w:bookmarkEnd w:id="6"/>
      <w:bookmarkEnd w:id="7"/>
      <w:bookmarkEnd w:id="8"/>
      <w:bookmarkEnd w:id="9"/>
    </w:p>
    <w:p>
      <w:pPr>
        <w:spacing w:line="400" w:lineRule="exact"/>
        <w:ind w:firstLine="480" w:firstLineChars="200"/>
        <w:rPr>
          <w:rFonts w:hint="eastAsia" w:ascii="宋体" w:hAnsi="宋体" w:cs="宋体"/>
          <w:color w:val="FF0000"/>
          <w:sz w:val="24"/>
          <w:szCs w:val="24"/>
          <w:highlight w:val="none"/>
        </w:rPr>
      </w:pPr>
      <w:r>
        <w:rPr>
          <w:rFonts w:hint="eastAsia" w:ascii="宋体" w:hAnsi="宋体" w:cs="宋体"/>
          <w:sz w:val="24"/>
          <w:szCs w:val="24"/>
          <w:highlight w:val="none"/>
        </w:rPr>
        <w:t>项目编号：XJXYHW20220402</w:t>
      </w:r>
    </w:p>
    <w:p>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项目名称：</w:t>
      </w:r>
      <w:bookmarkEnd w:id="10"/>
      <w:r>
        <w:rPr>
          <w:rFonts w:hint="eastAsia" w:ascii="宋体" w:hAnsi="宋体" w:cs="宋体"/>
          <w:sz w:val="24"/>
          <w:szCs w:val="24"/>
          <w:highlight w:val="none"/>
        </w:rPr>
        <w:t>2022年现代职业教育建设项目-短视频工厂产教融合实训基地</w:t>
      </w:r>
      <w:r>
        <w:rPr>
          <w:rFonts w:hint="eastAsia" w:ascii="宋体" w:hAnsi="宋体" w:cs="宋体"/>
          <w:sz w:val="24"/>
          <w:szCs w:val="24"/>
          <w:highlight w:val="none"/>
          <w:lang w:eastAsia="zh-CN"/>
        </w:rPr>
        <w:t>及视频教学与虚拟仿真实训软件</w:t>
      </w:r>
    </w:p>
    <w:p>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预算金额：1</w:t>
      </w:r>
      <w:r>
        <w:rPr>
          <w:rFonts w:hint="eastAsia" w:ascii="宋体" w:hAnsi="宋体" w:cs="宋体"/>
          <w:sz w:val="24"/>
          <w:szCs w:val="24"/>
          <w:highlight w:val="none"/>
          <w:lang w:val="en-US" w:eastAsia="zh-CN"/>
        </w:rPr>
        <w:t>5</w:t>
      </w:r>
      <w:r>
        <w:rPr>
          <w:rFonts w:hint="eastAsia" w:ascii="宋体" w:hAnsi="宋体" w:cs="宋体"/>
          <w:sz w:val="24"/>
          <w:szCs w:val="24"/>
          <w:highlight w:val="none"/>
        </w:rPr>
        <w:t>00000元</w:t>
      </w:r>
    </w:p>
    <w:p>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最高限价：1</w:t>
      </w:r>
      <w:r>
        <w:rPr>
          <w:rFonts w:hint="eastAsia" w:ascii="宋体" w:hAnsi="宋体" w:cs="宋体"/>
          <w:sz w:val="24"/>
          <w:szCs w:val="24"/>
          <w:highlight w:val="none"/>
          <w:lang w:val="en-US" w:eastAsia="zh-CN"/>
        </w:rPr>
        <w:t>5</w:t>
      </w:r>
      <w:r>
        <w:rPr>
          <w:rFonts w:hint="eastAsia" w:ascii="宋体" w:hAnsi="宋体" w:cs="宋体"/>
          <w:sz w:val="24"/>
          <w:szCs w:val="24"/>
          <w:highlight w:val="none"/>
        </w:rPr>
        <w:t>00000元</w:t>
      </w:r>
    </w:p>
    <w:p>
      <w:pPr>
        <w:spacing w:line="400" w:lineRule="exact"/>
        <w:ind w:firstLine="480" w:firstLineChars="200"/>
        <w:rPr>
          <w:rFonts w:hint="eastAsia" w:ascii="宋体" w:hAnsi="宋体" w:cs="宋体"/>
          <w:bCs/>
          <w:sz w:val="24"/>
          <w:szCs w:val="24"/>
          <w:highlight w:val="none"/>
          <w:shd w:val="clear" w:color="050000" w:fill="auto"/>
        </w:rPr>
      </w:pPr>
      <w:r>
        <w:rPr>
          <w:rFonts w:hint="eastAsia" w:ascii="宋体" w:hAnsi="宋体" w:cs="宋体"/>
          <w:sz w:val="24"/>
          <w:szCs w:val="24"/>
          <w:highlight w:val="none"/>
        </w:rPr>
        <w:t>采购需求：短视频工厂产教融合实训基地。</w:t>
      </w:r>
      <w:r>
        <w:rPr>
          <w:rFonts w:hint="eastAsia" w:ascii="宋体" w:hAnsi="宋体" w:cs="宋体"/>
          <w:bCs/>
          <w:sz w:val="24"/>
          <w:szCs w:val="24"/>
          <w:highlight w:val="none"/>
          <w:shd w:val="clear" w:color="050000" w:fill="auto"/>
        </w:rPr>
        <w:t>（具体内容详见招标文件参数）；</w:t>
      </w:r>
    </w:p>
    <w:p>
      <w:pPr>
        <w:spacing w:line="40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合同履行期限：</w:t>
      </w:r>
      <w:r>
        <w:rPr>
          <w:rFonts w:hint="eastAsia" w:ascii="宋体" w:hAnsi="宋体" w:cs="宋体"/>
          <w:bCs/>
          <w:sz w:val="24"/>
          <w:szCs w:val="24"/>
          <w:highlight w:val="none"/>
          <w:shd w:val="clear" w:color="050000" w:fill="auto"/>
        </w:rPr>
        <w:t>签订合同后45个日历天内交付使用</w:t>
      </w:r>
      <w:r>
        <w:rPr>
          <w:rFonts w:hint="eastAsia" w:ascii="宋体" w:hAnsi="宋体" w:cs="宋体"/>
          <w:sz w:val="24"/>
          <w:highlight w:val="none"/>
        </w:rPr>
        <w:t>；</w:t>
      </w:r>
    </w:p>
    <w:p>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本项目不接受联合体投标。</w:t>
      </w:r>
    </w:p>
    <w:p>
      <w:pPr>
        <w:pStyle w:val="4"/>
        <w:spacing w:line="400" w:lineRule="exact"/>
        <w:outlineLvl w:val="0"/>
        <w:rPr>
          <w:rFonts w:hint="eastAsia" w:ascii="宋体" w:hAnsi="宋体" w:eastAsia="宋体" w:cs="宋体"/>
          <w:sz w:val="24"/>
          <w:szCs w:val="24"/>
          <w:highlight w:val="none"/>
        </w:rPr>
      </w:pPr>
      <w:bookmarkStart w:id="11" w:name="_Toc28359003"/>
      <w:bookmarkStart w:id="12" w:name="_Toc35393622"/>
      <w:bookmarkStart w:id="13" w:name="_Toc28359080"/>
      <w:bookmarkStart w:id="14" w:name="_Toc19928"/>
      <w:bookmarkStart w:id="15" w:name="_Toc35393791"/>
      <w:r>
        <w:rPr>
          <w:rFonts w:hint="eastAsia" w:ascii="宋体" w:hAnsi="宋体" w:eastAsia="宋体" w:cs="宋体"/>
          <w:sz w:val="24"/>
          <w:szCs w:val="24"/>
          <w:highlight w:val="none"/>
        </w:rPr>
        <w:t>二、申请人的资格要求：</w:t>
      </w:r>
      <w:bookmarkEnd w:id="11"/>
      <w:bookmarkEnd w:id="12"/>
      <w:bookmarkEnd w:id="13"/>
      <w:bookmarkEnd w:id="14"/>
      <w:bookmarkEnd w:id="15"/>
    </w:p>
    <w:p>
      <w:pPr>
        <w:spacing w:line="400" w:lineRule="exact"/>
        <w:ind w:firstLine="480" w:firstLineChars="200"/>
        <w:rPr>
          <w:rFonts w:hint="eastAsia" w:ascii="宋体" w:hAnsi="宋体" w:cs="宋体"/>
          <w:sz w:val="24"/>
          <w:highlight w:val="none"/>
          <w:shd w:val="clear" w:color="050000" w:fill="auto"/>
        </w:rPr>
      </w:pPr>
      <w:r>
        <w:rPr>
          <w:rFonts w:hint="eastAsia" w:ascii="宋体" w:hAnsi="宋体" w:cs="宋体"/>
          <w:sz w:val="24"/>
          <w:szCs w:val="24"/>
          <w:highlight w:val="none"/>
        </w:rPr>
        <w:t>1.满足《中华人民共和国政府</w:t>
      </w:r>
      <w:r>
        <w:rPr>
          <w:rFonts w:hint="eastAsia" w:ascii="宋体" w:hAnsi="宋体" w:cs="宋体"/>
          <w:sz w:val="24"/>
          <w:highlight w:val="none"/>
          <w:shd w:val="clear" w:color="050000" w:fill="auto"/>
        </w:rPr>
        <w:t>采购法》第二十二条规定；</w:t>
      </w:r>
    </w:p>
    <w:p>
      <w:pPr>
        <w:spacing w:line="400" w:lineRule="exact"/>
        <w:ind w:firstLine="480" w:firstLineChars="200"/>
        <w:rPr>
          <w:rFonts w:hint="eastAsia" w:ascii="宋体" w:hAnsi="宋体" w:cs="宋体"/>
          <w:sz w:val="24"/>
          <w:highlight w:val="none"/>
          <w:shd w:val="clear" w:color="050000" w:fill="auto"/>
        </w:rPr>
      </w:pPr>
      <w:bookmarkStart w:id="16" w:name="_Toc28359004"/>
      <w:bookmarkStart w:id="17" w:name="_Toc28359081"/>
      <w:r>
        <w:rPr>
          <w:rFonts w:hint="eastAsia" w:ascii="宋体" w:hAnsi="宋体" w:cs="宋体"/>
          <w:sz w:val="24"/>
          <w:highlight w:val="none"/>
          <w:shd w:val="clear" w:color="050000" w:fill="auto"/>
        </w:rPr>
        <w:t>2.落实政府采购政策需满足的资格要求：标项1：需落实政府采购政策：符合政府采购优先（节约能源、保护环境）采购政策及促进中小企业（监狱企业、残疾人福利性单位）发展政策的，依据规定给予评审优惠。</w:t>
      </w:r>
    </w:p>
    <w:p>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3.本项目的特定资格要求</w:t>
      </w:r>
      <w:r>
        <w:rPr>
          <w:rFonts w:hint="eastAsia" w:ascii="宋体" w:hAnsi="宋体" w:cs="宋体"/>
          <w:sz w:val="24"/>
          <w:szCs w:val="24"/>
          <w:highlight w:val="none"/>
          <w:lang w:eastAsia="zh-CN"/>
        </w:rPr>
        <w:t>：</w:t>
      </w:r>
      <w:r>
        <w:rPr>
          <w:rFonts w:hint="eastAsia" w:ascii="宋体" w:hAnsi="宋体" w:cs="宋体"/>
          <w:sz w:val="24"/>
          <w:szCs w:val="24"/>
          <w:highlight w:val="none"/>
        </w:rPr>
        <w:t>（1）法定代表人授权委托书及被委托人身份证（法定代表人参加投标时提供本人身份证）；</w:t>
      </w:r>
    </w:p>
    <w:p>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（2）营业执照（营业执照需包含本次项目经营范围）；</w:t>
      </w:r>
    </w:p>
    <w:p>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投标人具有良好的信誉，诚实信用，没有不良记录（凡拟参加本次采购项目的投标人须提供在“信用中国”（www.creditchina.gov.cn）和“中国政府采购网”（www.ccgp.gov.cn）网站上未被列入失信被执行人、重大税收违法案件当事人名单以及政府采购严重违法失信行为记录名单的网页打印件，查询结果加盖单位公章。如列入将拒绝其参加本次政府采购活动）；</w:t>
      </w:r>
    </w:p>
    <w:p>
      <w:pPr>
        <w:spacing w:line="400" w:lineRule="exact"/>
        <w:ind w:firstLine="480" w:firstLineChars="200"/>
        <w:rPr>
          <w:rFonts w:hint="eastAsia" w:ascii="宋体" w:hAnsi="宋体" w:cs="宋体"/>
          <w:i/>
          <w:iCs/>
          <w:sz w:val="24"/>
          <w:szCs w:val="24"/>
          <w:highlight w:val="none"/>
          <w:u w:val="single"/>
        </w:rPr>
      </w:pPr>
      <w:r>
        <w:rPr>
          <w:rFonts w:hint="eastAsia" w:ascii="宋体" w:hAnsi="宋体" w:cs="宋体"/>
          <w:sz w:val="24"/>
          <w:szCs w:val="24"/>
          <w:highlight w:val="none"/>
        </w:rPr>
        <w:t>（4）不接受联合体投标。</w:t>
      </w:r>
    </w:p>
    <w:p>
      <w:pPr>
        <w:pStyle w:val="4"/>
        <w:spacing w:line="400" w:lineRule="exact"/>
        <w:outlineLvl w:val="0"/>
        <w:rPr>
          <w:rFonts w:hint="eastAsia" w:ascii="宋体" w:hAnsi="宋体" w:eastAsia="宋体" w:cs="宋体"/>
          <w:sz w:val="24"/>
          <w:szCs w:val="24"/>
          <w:highlight w:val="none"/>
        </w:rPr>
      </w:pPr>
      <w:bookmarkStart w:id="18" w:name="_Toc35393623"/>
      <w:bookmarkStart w:id="19" w:name="_Toc35393792"/>
      <w:bookmarkStart w:id="20" w:name="_Toc17246"/>
      <w:r>
        <w:rPr>
          <w:rFonts w:hint="eastAsia" w:ascii="宋体" w:hAnsi="宋体" w:eastAsia="宋体" w:cs="宋体"/>
          <w:sz w:val="24"/>
          <w:szCs w:val="24"/>
          <w:highlight w:val="none"/>
        </w:rPr>
        <w:t>三、获取招标文件</w:t>
      </w:r>
      <w:bookmarkEnd w:id="16"/>
      <w:bookmarkEnd w:id="17"/>
      <w:bookmarkEnd w:id="18"/>
      <w:bookmarkEnd w:id="19"/>
      <w:bookmarkEnd w:id="20"/>
    </w:p>
    <w:p>
      <w:pPr>
        <w:spacing w:line="400" w:lineRule="exact"/>
        <w:ind w:firstLine="540"/>
        <w:rPr>
          <w:rFonts w:hint="eastAsia" w:ascii="宋体" w:hAnsi="宋体" w:cs="宋体"/>
          <w:sz w:val="24"/>
          <w:szCs w:val="24"/>
          <w:highlight w:val="none"/>
        </w:rPr>
      </w:pPr>
      <w:r>
        <w:rPr>
          <w:rFonts w:hint="eastAsia" w:ascii="宋体" w:hAnsi="宋体" w:cs="宋体"/>
          <w:sz w:val="24"/>
          <w:szCs w:val="24"/>
          <w:highlight w:val="none"/>
        </w:rPr>
        <w:t>时间：2022年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w:t>
      </w:r>
      <w:r>
        <w:rPr>
          <w:rFonts w:hint="eastAsia" w:ascii="宋体" w:hAnsi="宋体" w:cs="宋体"/>
          <w:sz w:val="24"/>
          <w:szCs w:val="24"/>
          <w:highlight w:val="none"/>
          <w:lang w:val="en-US" w:eastAsia="zh-CN"/>
        </w:rPr>
        <w:t>29</w:t>
      </w:r>
      <w:r>
        <w:rPr>
          <w:rFonts w:hint="eastAsia" w:ascii="宋体" w:hAnsi="宋体" w:cs="宋体"/>
          <w:sz w:val="24"/>
          <w:szCs w:val="24"/>
          <w:highlight w:val="none"/>
        </w:rPr>
        <w:t>日至2022年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11</w:t>
      </w:r>
      <w:r>
        <w:rPr>
          <w:rFonts w:hint="eastAsia" w:ascii="宋体" w:hAnsi="宋体" w:cs="宋体"/>
          <w:sz w:val="24"/>
          <w:szCs w:val="24"/>
          <w:highlight w:val="none"/>
        </w:rPr>
        <w:t>日，每日上午10:00-14:00时，下午15:30-19:30时（北京时间）</w:t>
      </w:r>
    </w:p>
    <w:p>
      <w:pPr>
        <w:spacing w:line="400" w:lineRule="exact"/>
        <w:ind w:firstLine="540"/>
        <w:rPr>
          <w:rFonts w:hint="eastAsia" w:ascii="宋体" w:hAnsi="宋体" w:cs="宋体"/>
          <w:sz w:val="24"/>
          <w:szCs w:val="24"/>
          <w:highlight w:val="none"/>
          <w:u w:val="single"/>
        </w:rPr>
      </w:pPr>
      <w:r>
        <w:rPr>
          <w:rFonts w:hint="eastAsia" w:ascii="宋体" w:hAnsi="宋体" w:cs="宋体"/>
          <w:sz w:val="24"/>
          <w:szCs w:val="24"/>
          <w:highlight w:val="none"/>
        </w:rPr>
        <w:t>地点：伊宁市开发区大学生科技创业孵化基地6楼（安徽路和深圳路交叉路口）</w:t>
      </w:r>
    </w:p>
    <w:p>
      <w:pPr>
        <w:spacing w:line="400" w:lineRule="exact"/>
        <w:ind w:firstLine="540"/>
        <w:rPr>
          <w:rFonts w:hint="eastAsia" w:ascii="宋体" w:hAnsi="宋体" w:cs="宋体"/>
          <w:sz w:val="24"/>
          <w:szCs w:val="24"/>
          <w:highlight w:val="none"/>
        </w:rPr>
      </w:pPr>
      <w:r>
        <w:rPr>
          <w:rFonts w:hint="eastAsia" w:ascii="宋体" w:hAnsi="宋体" w:cs="宋体"/>
          <w:sz w:val="24"/>
          <w:szCs w:val="24"/>
          <w:highlight w:val="none"/>
        </w:rPr>
        <w:t>方式：现场获取或电子邮箱获取（采用电子邮箱获取，所需提供证件及资料的扫描件发至邮箱</w:t>
      </w:r>
      <w:r>
        <w:rPr>
          <w:rFonts w:hint="eastAsia" w:ascii="宋体" w:hAnsi="宋体" w:cs="宋体"/>
          <w:sz w:val="24"/>
          <w:szCs w:val="24"/>
          <w:highlight w:val="none"/>
          <w:lang w:val="en-US" w:eastAsia="zh-CN"/>
        </w:rPr>
        <w:t>1505070389</w:t>
      </w:r>
      <w:r>
        <w:rPr>
          <w:rFonts w:hint="eastAsia" w:ascii="宋体" w:hAnsi="宋体" w:cs="宋体"/>
          <w:sz w:val="24"/>
          <w:szCs w:val="24"/>
          <w:highlight w:val="none"/>
        </w:rPr>
        <w:t xml:space="preserve"> @qq.com①资料为加盖公章的PDF格式，邮件标题格式为“xx公司xx项目”； </w:t>
      </w:r>
    </w:p>
    <w:p>
      <w:pPr>
        <w:spacing w:line="400" w:lineRule="exact"/>
        <w:ind w:firstLine="540"/>
        <w:rPr>
          <w:rFonts w:hint="eastAsia" w:ascii="宋体" w:hAnsi="宋体" w:cs="宋体"/>
          <w:sz w:val="24"/>
          <w:szCs w:val="24"/>
          <w:highlight w:val="none"/>
        </w:rPr>
      </w:pPr>
      <w:r>
        <w:rPr>
          <w:rFonts w:hint="eastAsia" w:ascii="宋体" w:hAnsi="宋体" w:cs="宋体"/>
          <w:sz w:val="24"/>
          <w:szCs w:val="24"/>
          <w:highlight w:val="none"/>
        </w:rPr>
        <w:t xml:space="preserve">②联系代理机构确认资料是否合格； </w:t>
      </w:r>
    </w:p>
    <w:p>
      <w:pPr>
        <w:spacing w:line="400" w:lineRule="exact"/>
        <w:ind w:firstLine="540"/>
        <w:rPr>
          <w:rFonts w:hint="eastAsia" w:ascii="宋体" w:hAnsi="宋体" w:cs="宋体"/>
          <w:sz w:val="24"/>
          <w:szCs w:val="24"/>
          <w:highlight w:val="none"/>
          <w:u w:val="single"/>
        </w:rPr>
      </w:pPr>
      <w:r>
        <w:rPr>
          <w:rFonts w:hint="eastAsia" w:ascii="宋体" w:hAnsi="宋体" w:cs="宋体"/>
          <w:sz w:val="24"/>
          <w:szCs w:val="24"/>
          <w:highlight w:val="none"/>
        </w:rPr>
        <w:t>③代理机构对投标人信息进行登记后，以电子邮件的形式向投标人发送</w:t>
      </w:r>
      <w:r>
        <w:rPr>
          <w:rFonts w:hint="eastAsia" w:ascii="宋体" w:hAnsi="宋体" w:cs="宋体"/>
          <w:sz w:val="24"/>
          <w:szCs w:val="24"/>
          <w:highlight w:val="none"/>
          <w:lang w:eastAsia="zh-CN"/>
        </w:rPr>
        <w:t>竞争性磋商</w:t>
      </w:r>
      <w:r>
        <w:rPr>
          <w:rFonts w:hint="eastAsia" w:ascii="宋体" w:hAnsi="宋体" w:cs="宋体"/>
          <w:sz w:val="24"/>
          <w:szCs w:val="24"/>
          <w:highlight w:val="none"/>
        </w:rPr>
        <w:t>文件）。</w:t>
      </w:r>
    </w:p>
    <w:p>
      <w:pPr>
        <w:spacing w:line="400" w:lineRule="exact"/>
        <w:ind w:firstLine="540"/>
        <w:rPr>
          <w:rFonts w:hint="eastAsia" w:ascii="宋体" w:hAnsi="宋体" w:cs="宋体"/>
          <w:sz w:val="24"/>
          <w:szCs w:val="24"/>
          <w:highlight w:val="none"/>
        </w:rPr>
      </w:pPr>
      <w:r>
        <w:rPr>
          <w:rFonts w:hint="eastAsia" w:ascii="宋体" w:hAnsi="宋体" w:cs="宋体"/>
          <w:sz w:val="24"/>
          <w:szCs w:val="24"/>
          <w:highlight w:val="none"/>
        </w:rPr>
        <w:t>售价：</w:t>
      </w:r>
      <w:r>
        <w:rPr>
          <w:rFonts w:hint="eastAsia" w:ascii="宋体" w:hAnsi="宋体" w:cs="宋体"/>
          <w:sz w:val="24"/>
          <w:highlight w:val="none"/>
        </w:rPr>
        <w:t>200</w:t>
      </w:r>
      <w:r>
        <w:rPr>
          <w:rFonts w:hint="eastAsia" w:ascii="宋体" w:hAnsi="宋体" w:cs="宋体"/>
          <w:sz w:val="24"/>
          <w:highlight w:val="none"/>
          <w:shd w:val="clear" w:color="050000" w:fill="auto"/>
        </w:rPr>
        <w:t>元/本，售后不退</w:t>
      </w:r>
    </w:p>
    <w:p>
      <w:pPr>
        <w:pStyle w:val="4"/>
        <w:spacing w:line="400" w:lineRule="exact"/>
        <w:outlineLvl w:val="0"/>
        <w:rPr>
          <w:rFonts w:hint="eastAsia" w:ascii="宋体" w:hAnsi="宋体" w:eastAsia="宋体" w:cs="宋体"/>
          <w:sz w:val="24"/>
          <w:szCs w:val="24"/>
          <w:highlight w:val="none"/>
        </w:rPr>
      </w:pPr>
      <w:bookmarkStart w:id="21" w:name="_Toc28359082"/>
      <w:bookmarkStart w:id="22" w:name="_Toc28359005"/>
      <w:bookmarkStart w:id="23" w:name="_Toc35393624"/>
      <w:bookmarkStart w:id="24" w:name="_Toc5998"/>
      <w:bookmarkStart w:id="25" w:name="_Toc35393793"/>
      <w:r>
        <w:rPr>
          <w:rFonts w:hint="eastAsia" w:ascii="宋体" w:hAnsi="宋体" w:eastAsia="宋体" w:cs="宋体"/>
          <w:sz w:val="24"/>
          <w:szCs w:val="24"/>
          <w:highlight w:val="none"/>
        </w:rPr>
        <w:t>四、提交投标文件</w:t>
      </w:r>
      <w:bookmarkEnd w:id="21"/>
      <w:bookmarkEnd w:id="22"/>
      <w:r>
        <w:rPr>
          <w:rFonts w:hint="eastAsia" w:ascii="宋体" w:hAnsi="宋体" w:eastAsia="宋体" w:cs="宋体"/>
          <w:sz w:val="24"/>
          <w:szCs w:val="24"/>
          <w:highlight w:val="none"/>
        </w:rPr>
        <w:t>截止时间、开标时间和地点</w:t>
      </w:r>
      <w:bookmarkEnd w:id="23"/>
      <w:bookmarkEnd w:id="24"/>
      <w:bookmarkEnd w:id="25"/>
    </w:p>
    <w:p>
      <w:pPr>
        <w:spacing w:line="400" w:lineRule="exact"/>
        <w:ind w:firstLine="480" w:firstLineChars="200"/>
        <w:rPr>
          <w:rFonts w:hint="eastAsia" w:ascii="宋体" w:hAnsi="宋体" w:cs="宋体"/>
          <w:bCs/>
          <w:sz w:val="24"/>
          <w:szCs w:val="24"/>
          <w:highlight w:val="none"/>
        </w:rPr>
      </w:pPr>
      <w:r>
        <w:rPr>
          <w:rFonts w:hint="eastAsia" w:ascii="宋体" w:hAnsi="宋体" w:cs="宋体"/>
          <w:sz w:val="24"/>
          <w:szCs w:val="24"/>
          <w:highlight w:val="none"/>
        </w:rPr>
        <w:t>开标时间：2022年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cs="宋体"/>
          <w:sz w:val="24"/>
          <w:szCs w:val="24"/>
          <w:highlight w:val="none"/>
        </w:rPr>
        <w:t>日</w:t>
      </w:r>
      <w:r>
        <w:rPr>
          <w:rFonts w:hint="eastAsia" w:ascii="宋体" w:hAnsi="宋体" w:cs="宋体"/>
          <w:sz w:val="24"/>
          <w:szCs w:val="24"/>
          <w:highlight w:val="none"/>
          <w:lang w:eastAsia="zh-CN"/>
        </w:rPr>
        <w:t>下</w:t>
      </w:r>
      <w:r>
        <w:rPr>
          <w:rFonts w:hint="eastAsia" w:ascii="宋体" w:hAnsi="宋体" w:cs="宋体"/>
          <w:sz w:val="24"/>
          <w:szCs w:val="24"/>
          <w:highlight w:val="none"/>
        </w:rPr>
        <w:t>午</w:t>
      </w:r>
      <w:r>
        <w:rPr>
          <w:rFonts w:hint="eastAsia" w:ascii="宋体" w:hAnsi="宋体" w:cs="宋体"/>
          <w:sz w:val="24"/>
          <w:szCs w:val="24"/>
          <w:highlight w:val="none"/>
          <w:lang w:val="en-US" w:eastAsia="zh-CN"/>
        </w:rPr>
        <w:t>16</w:t>
      </w:r>
      <w:r>
        <w:rPr>
          <w:rFonts w:hint="eastAsia" w:ascii="宋体" w:hAnsi="宋体" w:cs="宋体"/>
          <w:sz w:val="24"/>
          <w:szCs w:val="24"/>
          <w:highlight w:val="none"/>
        </w:rPr>
        <w:t>时</w:t>
      </w:r>
      <w:r>
        <w:rPr>
          <w:rFonts w:hint="eastAsia" w:ascii="宋体" w:hAnsi="宋体" w:cs="宋体"/>
          <w:sz w:val="24"/>
          <w:szCs w:val="24"/>
          <w:highlight w:val="none"/>
          <w:lang w:val="en-US" w:eastAsia="zh-CN"/>
        </w:rPr>
        <w:t>30分</w:t>
      </w:r>
      <w:r>
        <w:rPr>
          <w:rFonts w:hint="eastAsia" w:ascii="宋体" w:hAnsi="宋体" w:cs="宋体"/>
          <w:bCs/>
          <w:sz w:val="24"/>
          <w:szCs w:val="24"/>
          <w:highlight w:val="none"/>
        </w:rPr>
        <w:t>（北京时间）</w:t>
      </w:r>
    </w:p>
    <w:p>
      <w:pPr>
        <w:spacing w:line="400" w:lineRule="exact"/>
        <w:ind w:firstLine="480" w:firstLineChars="200"/>
        <w:rPr>
          <w:rFonts w:hint="eastAsia" w:ascii="宋体" w:hAnsi="宋体" w:cs="宋体"/>
          <w:bCs/>
          <w:sz w:val="24"/>
          <w:szCs w:val="24"/>
          <w:highlight w:val="none"/>
        </w:rPr>
      </w:pPr>
      <w:r>
        <w:rPr>
          <w:rFonts w:hint="eastAsia" w:ascii="宋体" w:hAnsi="宋体" w:cs="宋体"/>
          <w:sz w:val="24"/>
          <w:szCs w:val="24"/>
          <w:highlight w:val="none"/>
        </w:rPr>
        <w:t>地点：伊宁市开发区大学生科技创业孵化基地6楼（安徽路和深圳路交叉路口）开标室</w:t>
      </w:r>
    </w:p>
    <w:p>
      <w:pPr>
        <w:pStyle w:val="4"/>
        <w:pageBreakBefore w:val="0"/>
        <w:kinsoku/>
        <w:wordWrap/>
        <w:overflowPunct/>
        <w:topLinePunct w:val="0"/>
        <w:autoSpaceDE/>
        <w:autoSpaceDN/>
        <w:bidi w:val="0"/>
        <w:adjustRightInd/>
        <w:snapToGrid/>
        <w:spacing w:line="300" w:lineRule="exact"/>
        <w:textAlignment w:val="auto"/>
        <w:outlineLvl w:val="0"/>
        <w:rPr>
          <w:rFonts w:hint="eastAsia" w:ascii="宋体" w:hAnsi="宋体" w:eastAsia="宋体" w:cs="宋体"/>
          <w:sz w:val="24"/>
          <w:szCs w:val="24"/>
          <w:highlight w:val="none"/>
        </w:rPr>
      </w:pPr>
      <w:bookmarkStart w:id="26" w:name="_Toc28359084"/>
      <w:bookmarkStart w:id="27" w:name="_Toc710"/>
      <w:bookmarkStart w:id="28" w:name="_Toc35393625"/>
      <w:bookmarkStart w:id="29" w:name="_Toc35393794"/>
      <w:bookmarkStart w:id="30" w:name="_Toc28359007"/>
      <w:r>
        <w:rPr>
          <w:rFonts w:hint="eastAsia" w:ascii="宋体" w:hAnsi="宋体" w:eastAsia="宋体" w:cs="宋体"/>
          <w:sz w:val="24"/>
          <w:szCs w:val="24"/>
          <w:highlight w:val="none"/>
        </w:rPr>
        <w:t>五、公告期限</w:t>
      </w:r>
      <w:bookmarkEnd w:id="26"/>
      <w:bookmarkEnd w:id="27"/>
      <w:bookmarkEnd w:id="28"/>
      <w:bookmarkEnd w:id="29"/>
      <w:bookmarkEnd w:id="30"/>
    </w:p>
    <w:p>
      <w:pPr>
        <w:pageBreakBefore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自本公告发布之日起5个工作日。</w:t>
      </w:r>
    </w:p>
    <w:p>
      <w:pPr>
        <w:pStyle w:val="4"/>
        <w:pageBreakBefore w:val="0"/>
        <w:kinsoku/>
        <w:wordWrap/>
        <w:overflowPunct/>
        <w:topLinePunct w:val="0"/>
        <w:autoSpaceDE/>
        <w:autoSpaceDN/>
        <w:bidi w:val="0"/>
        <w:adjustRightInd/>
        <w:snapToGrid/>
        <w:spacing w:line="300" w:lineRule="exact"/>
        <w:textAlignment w:val="auto"/>
        <w:outlineLvl w:val="0"/>
        <w:rPr>
          <w:rFonts w:hint="eastAsia" w:ascii="宋体" w:hAnsi="宋体" w:eastAsia="宋体" w:cs="宋体"/>
          <w:sz w:val="24"/>
          <w:szCs w:val="24"/>
          <w:highlight w:val="none"/>
        </w:rPr>
      </w:pPr>
      <w:bookmarkStart w:id="31" w:name="_Toc35393795"/>
      <w:bookmarkStart w:id="32" w:name="_Toc35393626"/>
      <w:bookmarkStart w:id="33" w:name="_Toc14805"/>
      <w:r>
        <w:rPr>
          <w:rFonts w:hint="eastAsia" w:ascii="宋体" w:hAnsi="宋体" w:eastAsia="宋体" w:cs="宋体"/>
          <w:sz w:val="24"/>
          <w:szCs w:val="24"/>
          <w:highlight w:val="none"/>
        </w:rPr>
        <w:t>六、其他补充事宜</w:t>
      </w:r>
      <w:bookmarkEnd w:id="31"/>
      <w:bookmarkEnd w:id="32"/>
      <w:bookmarkEnd w:id="33"/>
    </w:p>
    <w:p>
      <w:pPr>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sz w:val="24"/>
          <w:szCs w:val="24"/>
          <w:highlight w:val="none"/>
          <w:shd w:val="clear" w:color="050000" w:fill="auto"/>
        </w:rPr>
      </w:pPr>
      <w:bookmarkStart w:id="34" w:name="_Toc28359085"/>
      <w:bookmarkStart w:id="35" w:name="_Toc35393627"/>
      <w:bookmarkStart w:id="36" w:name="_Toc28359008"/>
      <w:bookmarkStart w:id="37" w:name="_Toc35393796"/>
      <w:r>
        <w:rPr>
          <w:rFonts w:hint="eastAsia" w:ascii="宋体" w:hAnsi="宋体" w:cs="宋体"/>
          <w:sz w:val="24"/>
          <w:highlight w:val="none"/>
          <w:shd w:val="clear" w:color="050000" w:fill="auto"/>
        </w:rPr>
        <w:t>获取招标文件所需携带证件：</w:t>
      </w:r>
      <w:r>
        <w:rPr>
          <w:rFonts w:hint="eastAsia" w:ascii="宋体" w:hAnsi="宋体" w:cs="宋体"/>
          <w:sz w:val="24"/>
          <w:szCs w:val="24"/>
          <w:highlight w:val="none"/>
        </w:rPr>
        <w:t>提供营业执照（营业执照需包含本次项目经营范围）、法人身份证明或法定代表人授权委托书及委托代理人身份证</w:t>
      </w:r>
      <w:r>
        <w:rPr>
          <w:rFonts w:hint="eastAsia" w:ascii="宋体" w:hAnsi="宋体" w:cs="宋体"/>
          <w:sz w:val="24"/>
          <w:szCs w:val="24"/>
          <w:highlight w:val="none"/>
          <w:shd w:val="clear" w:color="050000" w:fill="auto"/>
        </w:rPr>
        <w:t>。</w:t>
      </w:r>
    </w:p>
    <w:p>
      <w:pPr>
        <w:pageBreakBefore w:val="0"/>
        <w:widowControl/>
        <w:kinsoku/>
        <w:wordWrap/>
        <w:overflowPunct/>
        <w:topLinePunct w:val="0"/>
        <w:autoSpaceDE/>
        <w:autoSpaceDN/>
        <w:bidi w:val="0"/>
        <w:adjustRightInd/>
        <w:snapToGrid/>
        <w:spacing w:line="300" w:lineRule="exact"/>
        <w:ind w:left="0" w:leftChars="0" w:right="0" w:rightChars="0" w:firstLine="480" w:firstLineChars="200"/>
        <w:jc w:val="both"/>
        <w:textAlignment w:val="auto"/>
        <w:rPr>
          <w:rFonts w:hint="eastAsia" w:ascii="宋体" w:hAnsi="宋体" w:eastAsia="宋体" w:cs="宋体"/>
          <w:sz w:val="24"/>
          <w:szCs w:val="24"/>
          <w:highlight w:val="none"/>
          <w:shd w:val="clear" w:color="050000" w:fill="auto"/>
        </w:rPr>
      </w:pPr>
      <w:r>
        <w:rPr>
          <w:rStyle w:val="33"/>
          <w:rFonts w:hint="eastAsia" w:ascii="宋体" w:hAnsi="宋体" w:eastAsia="宋体"/>
          <w:color w:val="000000"/>
          <w:kern w:val="2"/>
          <w:position w:val="0"/>
          <w:sz w:val="24"/>
          <w:szCs w:val="24"/>
          <w:highlight w:val="none"/>
          <w:lang w:val="en-US" w:eastAsia="zh-CN" w:bidi="ar-SA"/>
        </w:rPr>
        <w:t>以上证件资料原件或加盖公章的PDF格式扫描件发送至联系邮箱</w:t>
      </w:r>
      <w:r>
        <w:rPr>
          <w:rStyle w:val="33"/>
          <w:rFonts w:ascii="宋体" w:hAnsi="宋体" w:eastAsia="宋体"/>
          <w:color w:val="000000"/>
          <w:kern w:val="2"/>
          <w:position w:val="0"/>
          <w:sz w:val="24"/>
          <w:szCs w:val="24"/>
          <w:highlight w:val="none"/>
          <w:lang w:val="en-US" w:eastAsia="zh-CN" w:bidi="ar-SA"/>
        </w:rPr>
        <w:t>（</w:t>
      </w:r>
      <w:r>
        <w:rPr>
          <w:rFonts w:hint="eastAsia" w:ascii="宋体" w:hAnsi="宋体" w:cs="宋体"/>
          <w:sz w:val="24"/>
          <w:szCs w:val="24"/>
          <w:highlight w:val="none"/>
          <w:lang w:val="en-US" w:eastAsia="zh-CN"/>
        </w:rPr>
        <w:t>1505070389</w:t>
      </w:r>
      <w:r>
        <w:rPr>
          <w:rStyle w:val="33"/>
          <w:rFonts w:ascii="宋体" w:hAnsi="宋体" w:eastAsia="宋体"/>
          <w:color w:val="000000"/>
          <w:kern w:val="2"/>
          <w:position w:val="0"/>
          <w:sz w:val="24"/>
          <w:szCs w:val="24"/>
          <w:highlight w:val="none"/>
          <w:lang w:val="en-US" w:eastAsia="zh-CN" w:bidi="ar-SA"/>
        </w:rPr>
        <w:t>@qq.com），资料不齐全或不符合投标要求您的投标可能被拒绝。</w:t>
      </w:r>
    </w:p>
    <w:p>
      <w:pPr>
        <w:pStyle w:val="4"/>
        <w:pageBreakBefore w:val="0"/>
        <w:kinsoku/>
        <w:wordWrap/>
        <w:overflowPunct/>
        <w:topLinePunct w:val="0"/>
        <w:autoSpaceDE/>
        <w:autoSpaceDN/>
        <w:bidi w:val="0"/>
        <w:adjustRightInd/>
        <w:snapToGrid/>
        <w:spacing w:line="300" w:lineRule="exact"/>
        <w:textAlignment w:val="auto"/>
        <w:outlineLvl w:val="0"/>
        <w:rPr>
          <w:rFonts w:hint="eastAsia" w:ascii="宋体" w:hAnsi="宋体" w:eastAsia="宋体" w:cs="宋体"/>
          <w:sz w:val="24"/>
          <w:szCs w:val="24"/>
          <w:highlight w:val="none"/>
        </w:rPr>
      </w:pPr>
      <w:bookmarkStart w:id="38" w:name="_Toc23121"/>
      <w:r>
        <w:rPr>
          <w:rFonts w:hint="eastAsia" w:ascii="宋体" w:hAnsi="宋体" w:eastAsia="宋体" w:cs="宋体"/>
          <w:sz w:val="24"/>
          <w:szCs w:val="24"/>
          <w:highlight w:val="none"/>
        </w:rPr>
        <w:t>七、对本次招标提出询问，请按以下方式联系。</w:t>
      </w:r>
      <w:bookmarkEnd w:id="34"/>
      <w:bookmarkEnd w:id="35"/>
      <w:bookmarkEnd w:id="36"/>
      <w:bookmarkEnd w:id="37"/>
      <w:bookmarkEnd w:id="38"/>
    </w:p>
    <w:p>
      <w:pPr>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sz w:val="24"/>
          <w:szCs w:val="24"/>
          <w:highlight w:val="none"/>
        </w:rPr>
      </w:pPr>
      <w:r>
        <w:rPr>
          <w:rFonts w:hint="eastAsia" w:ascii="宋体" w:hAnsi="宋体" w:cs="宋体"/>
          <w:sz w:val="24"/>
          <w:szCs w:val="24"/>
          <w:highlight w:val="none"/>
        </w:rPr>
        <w:t>　　　1.采购人信息</w:t>
      </w:r>
    </w:p>
    <w:p>
      <w:pPr>
        <w:pageBreakBefore w:val="0"/>
        <w:widowControl/>
        <w:kinsoku/>
        <w:wordWrap/>
        <w:overflowPunct/>
        <w:topLinePunct w:val="0"/>
        <w:autoSpaceDE/>
        <w:autoSpaceDN/>
        <w:bidi w:val="0"/>
        <w:adjustRightInd/>
        <w:snapToGrid/>
        <w:spacing w:line="300" w:lineRule="exact"/>
        <w:ind w:firstLine="720" w:firstLineChars="300"/>
        <w:textAlignment w:val="auto"/>
        <w:rPr>
          <w:rFonts w:hint="eastAsia" w:ascii="宋体" w:hAnsi="宋体" w:cs="宋体"/>
          <w:sz w:val="24"/>
          <w:szCs w:val="24"/>
          <w:highlight w:val="none"/>
          <w:u w:val="single"/>
        </w:rPr>
      </w:pPr>
      <w:r>
        <w:rPr>
          <w:rFonts w:hint="eastAsia" w:ascii="宋体" w:hAnsi="宋体" w:cs="宋体"/>
          <w:sz w:val="24"/>
          <w:szCs w:val="24"/>
          <w:highlight w:val="none"/>
        </w:rPr>
        <w:t>名 称：</w:t>
      </w:r>
      <w:r>
        <w:rPr>
          <w:rFonts w:hint="eastAsia" w:ascii="宋体" w:hAnsi="宋体" w:cs="宋体"/>
          <w:sz w:val="24"/>
          <w:highlight w:val="none"/>
          <w:u w:val="single"/>
        </w:rPr>
        <w:t>伊犁职业技术学院</w:t>
      </w:r>
      <w:r>
        <w:rPr>
          <w:rFonts w:hint="eastAsia" w:ascii="宋体" w:hAnsi="宋体" w:cs="宋体"/>
          <w:sz w:val="24"/>
          <w:szCs w:val="24"/>
          <w:highlight w:val="none"/>
          <w:u w:val="single"/>
        </w:rPr>
        <w:t xml:space="preserve"> </w:t>
      </w:r>
    </w:p>
    <w:p>
      <w:pPr>
        <w:pageBreakBefore w:val="0"/>
        <w:widowControl/>
        <w:kinsoku/>
        <w:wordWrap/>
        <w:overflowPunct/>
        <w:topLinePunct w:val="0"/>
        <w:autoSpaceDE/>
        <w:autoSpaceDN/>
        <w:bidi w:val="0"/>
        <w:adjustRightInd/>
        <w:snapToGrid/>
        <w:spacing w:line="300" w:lineRule="exact"/>
        <w:ind w:firstLine="720" w:firstLineChars="300"/>
        <w:textAlignment w:val="auto"/>
        <w:rPr>
          <w:rFonts w:hint="eastAsia" w:ascii="宋体" w:hAnsi="宋体" w:cs="宋体"/>
          <w:sz w:val="24"/>
          <w:szCs w:val="24"/>
          <w:highlight w:val="none"/>
        </w:rPr>
      </w:pPr>
      <w:r>
        <w:rPr>
          <w:rFonts w:hint="eastAsia" w:ascii="宋体" w:hAnsi="宋体" w:cs="宋体"/>
          <w:sz w:val="24"/>
          <w:szCs w:val="24"/>
          <w:highlight w:val="none"/>
        </w:rPr>
        <w:t xml:space="preserve">地址： </w:t>
      </w:r>
      <w:r>
        <w:rPr>
          <w:rFonts w:hint="eastAsia" w:ascii="宋体" w:hAnsi="宋体" w:cs="宋体"/>
          <w:sz w:val="24"/>
          <w:szCs w:val="24"/>
          <w:highlight w:val="none"/>
          <w:u w:val="single"/>
        </w:rPr>
        <w:t>伊宁市　</w:t>
      </w:r>
    </w:p>
    <w:p>
      <w:pPr>
        <w:pageBreakBefore w:val="0"/>
        <w:widowControl/>
        <w:kinsoku/>
        <w:wordWrap/>
        <w:overflowPunct/>
        <w:topLinePunct w:val="0"/>
        <w:autoSpaceDE/>
        <w:autoSpaceDN/>
        <w:bidi w:val="0"/>
        <w:adjustRightInd/>
        <w:snapToGrid/>
        <w:spacing w:line="300" w:lineRule="exact"/>
        <w:ind w:firstLine="720" w:firstLineChars="300"/>
        <w:textAlignment w:val="auto"/>
        <w:rPr>
          <w:rFonts w:hint="eastAsia" w:ascii="宋体" w:hAnsi="宋体" w:cs="宋体"/>
          <w:sz w:val="24"/>
          <w:szCs w:val="24"/>
          <w:highlight w:val="none"/>
        </w:rPr>
      </w:pPr>
      <w:r>
        <w:rPr>
          <w:rFonts w:hint="eastAsia" w:ascii="宋体" w:hAnsi="宋体" w:cs="宋体"/>
          <w:sz w:val="24"/>
          <w:highlight w:val="none"/>
        </w:rPr>
        <w:t>联系人：</w:t>
      </w:r>
      <w:r>
        <w:rPr>
          <w:rFonts w:hint="eastAsia" w:ascii="宋体" w:hAnsi="宋体" w:cs="宋体"/>
          <w:sz w:val="24"/>
          <w:highlight w:val="none"/>
          <w:u w:val="single"/>
          <w:lang w:eastAsia="zh-CN"/>
        </w:rPr>
        <w:t>陈辉江</w:t>
      </w:r>
      <w:r>
        <w:rPr>
          <w:rFonts w:hint="eastAsia" w:ascii="宋体" w:hAnsi="宋体" w:cs="宋体"/>
          <w:sz w:val="24"/>
          <w:highlight w:val="none"/>
          <w:u w:val="single"/>
        </w:rPr>
        <w:t xml:space="preserve"> </w:t>
      </w:r>
      <w:r>
        <w:rPr>
          <w:rFonts w:hint="eastAsia" w:ascii="宋体" w:hAnsi="宋体" w:cs="宋体"/>
          <w:sz w:val="24"/>
          <w:szCs w:val="24"/>
          <w:highlight w:val="none"/>
        </w:rPr>
        <w:t>　　　　　　　　　</w:t>
      </w:r>
    </w:p>
    <w:p>
      <w:pPr>
        <w:pageBreakBefore w:val="0"/>
        <w:kinsoku/>
        <w:wordWrap/>
        <w:overflowPunct/>
        <w:topLinePunct w:val="0"/>
        <w:autoSpaceDE/>
        <w:autoSpaceDN/>
        <w:bidi w:val="0"/>
        <w:adjustRightInd/>
        <w:snapToGrid/>
        <w:spacing w:line="300" w:lineRule="exact"/>
        <w:ind w:left="1079" w:leftChars="371" w:hanging="300" w:hangingChars="125"/>
        <w:jc w:val="left"/>
        <w:textAlignment w:val="auto"/>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联系方式</w:t>
      </w:r>
      <w:bookmarkStart w:id="39" w:name="_Toc28359086"/>
      <w:bookmarkStart w:id="40" w:name="_Toc28359009"/>
      <w:r>
        <w:rPr>
          <w:rFonts w:hint="eastAsia" w:ascii="宋体" w:hAnsi="宋体" w:cs="宋体"/>
          <w:sz w:val="24"/>
          <w:szCs w:val="24"/>
          <w:highlight w:val="none"/>
        </w:rPr>
        <w:t>：</w:t>
      </w:r>
      <w:r>
        <w:rPr>
          <w:rFonts w:hint="eastAsia" w:ascii="宋体" w:hAnsi="宋体" w:cs="宋体"/>
          <w:sz w:val="24"/>
          <w:highlight w:val="none"/>
          <w:u w:val="single"/>
        </w:rPr>
        <w:t>1</w:t>
      </w:r>
      <w:r>
        <w:rPr>
          <w:rFonts w:hint="eastAsia" w:ascii="宋体" w:hAnsi="宋体" w:cs="宋体"/>
          <w:sz w:val="24"/>
          <w:highlight w:val="none"/>
          <w:u w:val="single"/>
          <w:lang w:val="en-US" w:eastAsia="zh-CN"/>
        </w:rPr>
        <w:t>5209998382</w:t>
      </w:r>
    </w:p>
    <w:p>
      <w:pPr>
        <w:pageBreakBefore w:val="0"/>
        <w:kinsoku/>
        <w:wordWrap/>
        <w:overflowPunct/>
        <w:topLinePunct w:val="0"/>
        <w:autoSpaceDE/>
        <w:autoSpaceDN/>
        <w:bidi w:val="0"/>
        <w:adjustRightInd/>
        <w:snapToGrid/>
        <w:spacing w:line="300" w:lineRule="exact"/>
        <w:ind w:left="1079" w:leftChars="371" w:hanging="300" w:hangingChars="125"/>
        <w:jc w:val="left"/>
        <w:textAlignment w:val="auto"/>
        <w:rPr>
          <w:rFonts w:hint="eastAsia" w:ascii="宋体" w:hAnsi="宋体" w:cs="宋体"/>
          <w:sz w:val="24"/>
          <w:szCs w:val="24"/>
          <w:highlight w:val="none"/>
        </w:rPr>
      </w:pPr>
      <w:r>
        <w:rPr>
          <w:rFonts w:hint="eastAsia" w:ascii="宋体" w:hAnsi="宋体" w:cs="宋体"/>
          <w:sz w:val="24"/>
          <w:szCs w:val="24"/>
          <w:highlight w:val="none"/>
        </w:rPr>
        <w:t>2.采购代理机构信息</w:t>
      </w:r>
      <w:bookmarkEnd w:id="39"/>
      <w:bookmarkEnd w:id="40"/>
    </w:p>
    <w:p>
      <w:pPr>
        <w:pageBreakBefore w:val="0"/>
        <w:kinsoku/>
        <w:wordWrap/>
        <w:overflowPunct/>
        <w:topLinePunct w:val="0"/>
        <w:autoSpaceDE/>
        <w:autoSpaceDN/>
        <w:bidi w:val="0"/>
        <w:adjustRightInd/>
        <w:snapToGrid/>
        <w:spacing w:line="300" w:lineRule="exact"/>
        <w:ind w:firstLine="720" w:firstLineChars="300"/>
        <w:textAlignment w:val="auto"/>
        <w:rPr>
          <w:rFonts w:hint="eastAsia" w:ascii="宋体" w:hAnsi="宋体" w:cs="宋体"/>
          <w:sz w:val="24"/>
          <w:szCs w:val="24"/>
          <w:highlight w:val="none"/>
          <w:u w:val="single"/>
        </w:rPr>
      </w:pPr>
      <w:r>
        <w:rPr>
          <w:rFonts w:hint="eastAsia" w:ascii="宋体" w:hAnsi="宋体" w:cs="宋体"/>
          <w:sz w:val="24"/>
          <w:szCs w:val="24"/>
          <w:highlight w:val="none"/>
        </w:rPr>
        <w:t>名 称：</w:t>
      </w:r>
      <w:r>
        <w:rPr>
          <w:rFonts w:hint="eastAsia" w:ascii="宋体" w:hAnsi="宋体" w:cs="宋体"/>
          <w:sz w:val="24"/>
          <w:szCs w:val="24"/>
          <w:highlight w:val="none"/>
          <w:u w:val="single"/>
        </w:rPr>
        <w:t>　新疆宣宇项目管理有限公司</w:t>
      </w:r>
    </w:p>
    <w:p>
      <w:pPr>
        <w:pageBreakBefore w:val="0"/>
        <w:kinsoku/>
        <w:wordWrap/>
        <w:overflowPunct/>
        <w:topLinePunct w:val="0"/>
        <w:autoSpaceDE/>
        <w:autoSpaceDN/>
        <w:bidi w:val="0"/>
        <w:adjustRightInd/>
        <w:snapToGrid/>
        <w:spacing w:line="300" w:lineRule="exact"/>
        <w:ind w:firstLine="720" w:firstLineChars="300"/>
        <w:textAlignment w:val="auto"/>
        <w:rPr>
          <w:rFonts w:hint="eastAsia" w:ascii="宋体" w:hAnsi="宋体" w:cs="宋体"/>
          <w:sz w:val="24"/>
          <w:szCs w:val="24"/>
          <w:highlight w:val="none"/>
        </w:rPr>
      </w:pPr>
      <w:r>
        <w:rPr>
          <w:rFonts w:hint="eastAsia" w:ascii="宋体" w:hAnsi="宋体" w:cs="宋体"/>
          <w:sz w:val="24"/>
          <w:szCs w:val="24"/>
          <w:highlight w:val="none"/>
        </w:rPr>
        <w:t>联系方式：</w:t>
      </w:r>
      <w:bookmarkStart w:id="41" w:name="_Toc28359010"/>
      <w:bookmarkStart w:id="42" w:name="_Toc28359087"/>
      <w:r>
        <w:rPr>
          <w:rFonts w:hint="eastAsia" w:ascii="宋体" w:hAnsi="宋体" w:cs="宋体"/>
          <w:sz w:val="24"/>
          <w:szCs w:val="24"/>
          <w:highlight w:val="none"/>
          <w:u w:val="single"/>
        </w:rPr>
        <w:t>　</w:t>
      </w:r>
      <w:r>
        <w:rPr>
          <w:rFonts w:hint="eastAsia" w:ascii="宋体" w:hAnsi="宋体" w:cs="宋体"/>
          <w:sz w:val="24"/>
          <w:highlight w:val="none"/>
          <w:u w:val="single"/>
        </w:rPr>
        <w:t>0999-8218123、15199999672</w:t>
      </w:r>
      <w:r>
        <w:rPr>
          <w:rFonts w:hint="eastAsia" w:ascii="宋体" w:hAnsi="宋体" w:cs="宋体"/>
          <w:sz w:val="24"/>
          <w:szCs w:val="24"/>
          <w:highlight w:val="none"/>
          <w:u w:val="single"/>
        </w:rPr>
        <w:t xml:space="preserve">  </w:t>
      </w:r>
    </w:p>
    <w:p>
      <w:pPr>
        <w:pageBreakBefore w:val="0"/>
        <w:kinsoku/>
        <w:wordWrap/>
        <w:overflowPunct/>
        <w:topLinePunct w:val="0"/>
        <w:autoSpaceDE/>
        <w:autoSpaceDN/>
        <w:bidi w:val="0"/>
        <w:adjustRightInd/>
        <w:snapToGrid/>
        <w:spacing w:line="300" w:lineRule="exact"/>
        <w:ind w:firstLine="720" w:firstLineChars="300"/>
        <w:textAlignment w:val="auto"/>
        <w:rPr>
          <w:rFonts w:hint="eastAsia" w:ascii="宋体" w:hAnsi="宋体" w:cs="宋体"/>
          <w:sz w:val="24"/>
          <w:szCs w:val="24"/>
          <w:highlight w:val="none"/>
          <w:u w:val="single"/>
        </w:rPr>
      </w:pPr>
      <w:r>
        <w:rPr>
          <w:rFonts w:hint="eastAsia" w:ascii="宋体" w:hAnsi="宋体" w:cs="宋体"/>
          <w:sz w:val="24"/>
          <w:szCs w:val="24"/>
          <w:highlight w:val="none"/>
        </w:rPr>
        <w:t>3.项目联系方式</w:t>
      </w:r>
      <w:bookmarkEnd w:id="41"/>
      <w:bookmarkEnd w:id="42"/>
    </w:p>
    <w:p>
      <w:pPr>
        <w:pStyle w:val="10"/>
        <w:pageBreakBefore w:val="0"/>
        <w:kinsoku/>
        <w:wordWrap/>
        <w:overflowPunct/>
        <w:topLinePunct w:val="0"/>
        <w:autoSpaceDE/>
        <w:autoSpaceDN/>
        <w:bidi w:val="0"/>
        <w:adjustRightInd/>
        <w:snapToGrid/>
        <w:spacing w:line="300" w:lineRule="exact"/>
        <w:ind w:firstLine="720" w:firstLineChars="300"/>
        <w:textAlignment w:val="auto"/>
        <w:rPr>
          <w:rFonts w:hint="eastAsia" w:hAnsi="宋体" w:cs="宋体"/>
          <w:sz w:val="24"/>
          <w:szCs w:val="24"/>
          <w:highlight w:val="none"/>
          <w:u w:val="single"/>
        </w:rPr>
      </w:pPr>
      <w:r>
        <w:rPr>
          <w:rFonts w:hint="eastAsia" w:hAnsi="宋体" w:cs="宋体"/>
          <w:sz w:val="24"/>
          <w:szCs w:val="24"/>
          <w:highlight w:val="none"/>
        </w:rPr>
        <w:t>项目联系人：</w:t>
      </w:r>
      <w:r>
        <w:rPr>
          <w:rFonts w:hint="eastAsia" w:hAnsi="宋体" w:cs="宋体"/>
          <w:sz w:val="24"/>
          <w:highlight w:val="none"/>
          <w:u w:val="single"/>
        </w:rPr>
        <w:t>卢雯琦</w:t>
      </w:r>
      <w:r>
        <w:rPr>
          <w:rFonts w:hint="eastAsia" w:hAnsi="宋体" w:cs="宋体"/>
          <w:sz w:val="24"/>
          <w:szCs w:val="24"/>
          <w:highlight w:val="none"/>
          <w:u w:val="single"/>
        </w:rPr>
        <w:t xml:space="preserve"> </w:t>
      </w:r>
    </w:p>
    <w:p>
      <w:pPr>
        <w:pageBreakBefore w:val="0"/>
        <w:kinsoku/>
        <w:wordWrap/>
        <w:overflowPunct/>
        <w:topLinePunct w:val="0"/>
        <w:autoSpaceDE/>
        <w:autoSpaceDN/>
        <w:bidi w:val="0"/>
        <w:adjustRightInd/>
        <w:snapToGrid/>
        <w:spacing w:line="300" w:lineRule="exact"/>
        <w:ind w:firstLine="720" w:firstLineChars="300"/>
        <w:textAlignment w:val="auto"/>
        <w:rPr>
          <w:rFonts w:hint="eastAsia" w:ascii="宋体" w:hAnsi="宋体"/>
          <w:highlight w:val="none"/>
        </w:rPr>
      </w:pPr>
      <w:r>
        <w:rPr>
          <w:rFonts w:hint="eastAsia" w:ascii="宋体" w:hAnsi="宋体" w:cs="宋体"/>
          <w:sz w:val="24"/>
          <w:szCs w:val="24"/>
          <w:highlight w:val="none"/>
        </w:rPr>
        <w:t>电　话：</w:t>
      </w:r>
      <w:r>
        <w:rPr>
          <w:rFonts w:hint="eastAsia" w:ascii="宋体" w:hAnsi="宋体" w:cs="宋体"/>
          <w:sz w:val="24"/>
          <w:szCs w:val="24"/>
          <w:highlight w:val="none"/>
          <w:u w:val="single"/>
        </w:rPr>
        <w:t>　</w:t>
      </w:r>
      <w:r>
        <w:rPr>
          <w:rFonts w:hint="eastAsia" w:ascii="宋体" w:hAnsi="宋体" w:cs="宋体"/>
          <w:sz w:val="24"/>
          <w:highlight w:val="none"/>
          <w:u w:val="single"/>
        </w:rPr>
        <w:t>0999-8218123、15199999672</w:t>
      </w:r>
      <w:r>
        <w:rPr>
          <w:rFonts w:hint="eastAsia" w:ascii="宋体" w:hAnsi="宋体" w:cs="宋体"/>
          <w:sz w:val="24"/>
          <w:szCs w:val="24"/>
          <w:highlight w:val="none"/>
          <w:u w:val="single"/>
        </w:rPr>
        <w:t xml:space="preserve">  </w:t>
      </w:r>
    </w:p>
    <w:p>
      <w:pPr>
        <w:spacing w:line="400" w:lineRule="atLeast"/>
        <w:rPr>
          <w:rFonts w:ascii="宋体" w:hAnsi="宋体" w:cs="Arial"/>
          <w:sz w:val="24"/>
          <w:highlight w:val="none"/>
        </w:rPr>
      </w:pPr>
    </w:p>
    <w:p>
      <w:pPr>
        <w:pStyle w:val="4"/>
        <w:spacing w:before="0" w:after="100" w:afterAutospacing="1" w:line="400" w:lineRule="atLeast"/>
        <w:jc w:val="center"/>
        <w:rPr>
          <w:rFonts w:ascii="宋体" w:hAnsi="宋体" w:eastAsia="宋体" w:cs="Arial"/>
          <w:sz w:val="28"/>
          <w:szCs w:val="28"/>
          <w:highlight w:val="none"/>
        </w:rPr>
      </w:pPr>
      <w:bookmarkStart w:id="43" w:name="_Toc298240404"/>
      <w:bookmarkStart w:id="44" w:name="_Toc516489105"/>
      <w:bookmarkStart w:id="45" w:name="_Toc349637919"/>
      <w:bookmarkStart w:id="46" w:name="_Toc349573120"/>
      <w:bookmarkStart w:id="47" w:name="_Toc267301281"/>
      <w:r>
        <w:rPr>
          <w:rFonts w:hint="eastAsia" w:ascii="宋体" w:hAnsi="宋体" w:eastAsia="宋体" w:cs="Arial"/>
          <w:sz w:val="28"/>
          <w:szCs w:val="28"/>
          <w:highlight w:val="none"/>
          <w:lang w:eastAsia="zh-CN"/>
        </w:rPr>
        <w:t>第二部分</w:t>
      </w:r>
      <w:r>
        <w:rPr>
          <w:rFonts w:ascii="宋体" w:hAnsi="宋体" w:eastAsia="宋体" w:cs="Arial"/>
          <w:sz w:val="28"/>
          <w:szCs w:val="28"/>
          <w:highlight w:val="none"/>
        </w:rPr>
        <w:t>投标人须知附表</w:t>
      </w:r>
      <w:bookmarkEnd w:id="43"/>
      <w:bookmarkEnd w:id="44"/>
      <w:bookmarkEnd w:id="45"/>
      <w:bookmarkEnd w:id="46"/>
      <w:bookmarkEnd w:id="47"/>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8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blHeader/>
          <w:jc w:val="center"/>
        </w:trPr>
        <w:tc>
          <w:tcPr>
            <w:tcW w:w="999" w:type="dxa"/>
            <w:noWrap w:val="0"/>
            <w:vAlign w:val="center"/>
          </w:tcPr>
          <w:p>
            <w:pPr>
              <w:snapToGrid w:val="0"/>
              <w:ind w:right="-4" w:rightChars="-2"/>
              <w:jc w:val="center"/>
              <w:rPr>
                <w:rFonts w:ascii="宋体" w:hAnsi="宋体"/>
                <w:b/>
                <w:bCs/>
                <w:sz w:val="24"/>
                <w:highlight w:val="none"/>
              </w:rPr>
            </w:pPr>
            <w:r>
              <w:rPr>
                <w:rFonts w:hint="eastAsia" w:ascii="宋体" w:hAnsi="宋体"/>
                <w:b/>
                <w:bCs/>
                <w:sz w:val="24"/>
                <w:highlight w:val="none"/>
              </w:rPr>
              <w:t>项目</w:t>
            </w:r>
          </w:p>
        </w:tc>
        <w:tc>
          <w:tcPr>
            <w:tcW w:w="8981" w:type="dxa"/>
            <w:noWrap w:val="0"/>
            <w:vAlign w:val="center"/>
          </w:tcPr>
          <w:p>
            <w:pPr>
              <w:snapToGrid w:val="0"/>
              <w:ind w:right="105" w:rightChars="50"/>
              <w:jc w:val="center"/>
              <w:rPr>
                <w:rFonts w:ascii="宋体" w:hAnsi="宋体"/>
                <w:b/>
                <w:bCs/>
                <w:sz w:val="24"/>
                <w:highlight w:val="none"/>
              </w:rPr>
            </w:pPr>
            <w:r>
              <w:rPr>
                <w:rFonts w:hint="eastAsia" w:ascii="宋体" w:hAnsi="宋体"/>
                <w:b/>
                <w:bCs/>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1</w:t>
            </w:r>
          </w:p>
        </w:tc>
        <w:tc>
          <w:tcPr>
            <w:tcW w:w="8981" w:type="dxa"/>
            <w:noWrap w:val="0"/>
            <w:vAlign w:val="center"/>
          </w:tcPr>
          <w:p>
            <w:pPr>
              <w:snapToGrid w:val="0"/>
              <w:spacing w:line="360" w:lineRule="auto"/>
              <w:rPr>
                <w:rFonts w:hint="eastAsia" w:ascii="宋体" w:hAnsi="宋体"/>
                <w:sz w:val="24"/>
                <w:szCs w:val="24"/>
                <w:highlight w:val="none"/>
              </w:rPr>
            </w:pPr>
            <w:r>
              <w:rPr>
                <w:rFonts w:hint="eastAsia" w:ascii="宋体" w:hAnsi="宋体"/>
                <w:sz w:val="24"/>
                <w:szCs w:val="24"/>
                <w:highlight w:val="none"/>
              </w:rPr>
              <w:t>（1）项目名称：2022年现代职业教育建设项目-短视频工厂产教融合实训基地</w:t>
            </w:r>
            <w:r>
              <w:rPr>
                <w:rFonts w:hint="eastAsia" w:ascii="宋体" w:hAnsi="宋体"/>
                <w:sz w:val="24"/>
                <w:szCs w:val="24"/>
                <w:highlight w:val="none"/>
                <w:lang w:eastAsia="zh-CN"/>
              </w:rPr>
              <w:t>及视频教学与虚拟仿真实训软件采购</w:t>
            </w:r>
          </w:p>
          <w:p>
            <w:pPr>
              <w:snapToGrid w:val="0"/>
              <w:spacing w:line="360" w:lineRule="auto"/>
              <w:rPr>
                <w:rFonts w:hint="eastAsia" w:ascii="宋体" w:hAnsi="宋体"/>
                <w:sz w:val="24"/>
                <w:szCs w:val="24"/>
                <w:highlight w:val="none"/>
              </w:rPr>
            </w:pPr>
            <w:r>
              <w:rPr>
                <w:rFonts w:hint="eastAsia" w:ascii="宋体" w:hAnsi="宋体"/>
                <w:sz w:val="24"/>
                <w:szCs w:val="24"/>
                <w:highlight w:val="none"/>
              </w:rPr>
              <w:t>（2）项目编号：XJXYHW20220402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2</w:t>
            </w:r>
          </w:p>
        </w:tc>
        <w:tc>
          <w:tcPr>
            <w:tcW w:w="8981" w:type="dxa"/>
            <w:noWrap w:val="0"/>
            <w:vAlign w:val="bottom"/>
          </w:tcPr>
          <w:p>
            <w:pPr>
              <w:spacing w:line="360" w:lineRule="auto"/>
              <w:ind w:left="1080" w:hanging="1080" w:hangingChars="450"/>
              <w:rPr>
                <w:rFonts w:hint="eastAsia" w:ascii="宋体" w:hAnsi="宋体"/>
                <w:sz w:val="24"/>
                <w:highlight w:val="none"/>
                <w:lang w:eastAsia="zh-CN"/>
              </w:rPr>
            </w:pPr>
            <w:r>
              <w:rPr>
                <w:rFonts w:hint="eastAsia" w:ascii="宋体" w:hAnsi="宋体"/>
                <w:sz w:val="24"/>
                <w:highlight w:val="none"/>
              </w:rPr>
              <w:t>磋商内容：2022年现代职业教育建设项目-短视频工厂产教融合实训基地</w:t>
            </w:r>
            <w:r>
              <w:rPr>
                <w:rFonts w:hint="eastAsia" w:ascii="宋体" w:hAnsi="宋体"/>
                <w:sz w:val="24"/>
                <w:highlight w:val="none"/>
                <w:lang w:eastAsia="zh-CN"/>
              </w:rPr>
              <w:t>及视频教学</w:t>
            </w:r>
          </w:p>
          <w:p>
            <w:pPr>
              <w:spacing w:line="360" w:lineRule="auto"/>
              <w:ind w:left="1080" w:hanging="1080" w:hangingChars="450"/>
              <w:rPr>
                <w:rFonts w:hint="eastAsia" w:ascii="宋体" w:hAnsi="宋体"/>
                <w:sz w:val="24"/>
                <w:highlight w:val="none"/>
              </w:rPr>
            </w:pPr>
            <w:r>
              <w:rPr>
                <w:rFonts w:hint="eastAsia" w:ascii="宋体" w:hAnsi="宋体"/>
                <w:sz w:val="24"/>
                <w:highlight w:val="none"/>
                <w:lang w:eastAsia="zh-CN"/>
              </w:rPr>
              <w:t>与虚拟仿真实训软件采购</w:t>
            </w:r>
            <w:r>
              <w:rPr>
                <w:rFonts w:hint="eastAsia" w:ascii="宋体" w:hAnsi="宋体"/>
                <w:sz w:val="24"/>
                <w:highlight w:val="none"/>
              </w:rPr>
              <w:t>。（具体内容详见招标文件参数）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3</w:t>
            </w:r>
          </w:p>
        </w:tc>
        <w:tc>
          <w:tcPr>
            <w:tcW w:w="8981" w:type="dxa"/>
            <w:noWrap w:val="0"/>
            <w:vAlign w:val="center"/>
          </w:tcPr>
          <w:p>
            <w:pPr>
              <w:snapToGrid w:val="0"/>
              <w:spacing w:line="360" w:lineRule="auto"/>
              <w:rPr>
                <w:rFonts w:ascii="宋体" w:hAnsi="宋体"/>
                <w:sz w:val="24"/>
                <w:highlight w:val="none"/>
              </w:rPr>
            </w:pPr>
            <w:r>
              <w:rPr>
                <w:rFonts w:hint="eastAsia" w:ascii="宋体" w:hAnsi="宋体"/>
                <w:sz w:val="24"/>
                <w:highlight w:val="none"/>
              </w:rPr>
              <w:t>资格要求：</w:t>
            </w:r>
          </w:p>
          <w:p>
            <w:pPr>
              <w:snapToGrid w:val="0"/>
              <w:spacing w:line="360" w:lineRule="auto"/>
              <w:rPr>
                <w:rFonts w:hint="eastAsia" w:ascii="宋体" w:hAnsi="宋体"/>
                <w:sz w:val="24"/>
                <w:highlight w:val="none"/>
              </w:rPr>
            </w:pPr>
            <w:r>
              <w:rPr>
                <w:rFonts w:hint="eastAsia" w:ascii="宋体" w:hAnsi="宋体"/>
                <w:sz w:val="24"/>
                <w:highlight w:val="none"/>
              </w:rPr>
              <w:t>1.满足《中华人民共和国政府采购法》第二十二条规定；</w:t>
            </w:r>
          </w:p>
          <w:p>
            <w:pPr>
              <w:spacing w:line="400" w:lineRule="exact"/>
              <w:rPr>
                <w:rFonts w:hint="eastAsia" w:ascii="宋体" w:hAnsi="宋体"/>
                <w:sz w:val="24"/>
                <w:highlight w:val="none"/>
              </w:rPr>
            </w:pPr>
            <w:r>
              <w:rPr>
                <w:rFonts w:hint="eastAsia" w:ascii="宋体" w:hAnsi="宋体"/>
                <w:sz w:val="24"/>
                <w:highlight w:val="none"/>
              </w:rPr>
              <w:t>2.落实政府采购政策需满足的资格要求：</w:t>
            </w:r>
            <w:r>
              <w:rPr>
                <w:rFonts w:hint="eastAsia" w:ascii="宋体" w:hAnsi="宋体" w:cs="宋体"/>
                <w:sz w:val="24"/>
                <w:highlight w:val="none"/>
                <w:shd w:val="clear" w:color="050000" w:fill="auto"/>
              </w:rPr>
              <w:t>符合政府采购优先（节约能源、保护环境）采购政策及促进中小企业（监狱企业、残疾人福利性单位）发展政策的，依据规定给予评审优惠。</w:t>
            </w:r>
          </w:p>
          <w:p>
            <w:pPr>
              <w:snapToGrid w:val="0"/>
              <w:spacing w:line="360" w:lineRule="auto"/>
              <w:rPr>
                <w:rFonts w:ascii="宋体" w:hAnsi="宋体"/>
                <w:sz w:val="24"/>
                <w:highlight w:val="none"/>
              </w:rPr>
            </w:pPr>
            <w:r>
              <w:rPr>
                <w:rFonts w:hint="eastAsia" w:ascii="宋体" w:hAnsi="宋体"/>
                <w:sz w:val="24"/>
                <w:highlight w:val="none"/>
              </w:rPr>
              <w:t>3.本项目的特定资格要求：无。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4</w:t>
            </w:r>
          </w:p>
        </w:tc>
        <w:tc>
          <w:tcPr>
            <w:tcW w:w="8981" w:type="dxa"/>
            <w:noWrap w:val="0"/>
            <w:vAlign w:val="center"/>
          </w:tcPr>
          <w:p>
            <w:pPr>
              <w:snapToGrid w:val="0"/>
              <w:spacing w:line="360" w:lineRule="auto"/>
              <w:rPr>
                <w:rFonts w:ascii="宋体" w:hAnsi="宋体"/>
                <w:sz w:val="24"/>
                <w:highlight w:val="none"/>
              </w:rPr>
            </w:pPr>
            <w:r>
              <w:rPr>
                <w:rFonts w:hint="eastAsia" w:ascii="宋体" w:hAnsi="宋体"/>
                <w:sz w:val="24"/>
                <w:highlight w:val="none"/>
              </w:rPr>
              <w:t>竞争性磋商文件费用：200元，售后不退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5</w:t>
            </w:r>
          </w:p>
        </w:tc>
        <w:tc>
          <w:tcPr>
            <w:tcW w:w="8981" w:type="dxa"/>
            <w:noWrap w:val="0"/>
            <w:vAlign w:val="center"/>
          </w:tcPr>
          <w:p>
            <w:pPr>
              <w:widowControl/>
              <w:spacing w:line="360" w:lineRule="exact"/>
              <w:jc w:val="left"/>
              <w:rPr>
                <w:rFonts w:hint="eastAsia" w:ascii="宋体" w:hAnsi="宋体" w:cs="宋体"/>
                <w:sz w:val="24"/>
                <w:szCs w:val="22"/>
                <w:highlight w:val="none"/>
              </w:rPr>
            </w:pPr>
            <w:r>
              <w:rPr>
                <w:rFonts w:hint="eastAsia" w:ascii="宋体" w:hAnsi="宋体" w:cs="宋体"/>
                <w:sz w:val="24"/>
                <w:szCs w:val="22"/>
                <w:highlight w:val="none"/>
              </w:rPr>
              <w:t>磋商保证金：</w:t>
            </w:r>
          </w:p>
          <w:p>
            <w:pPr>
              <w:widowControl/>
              <w:spacing w:line="360" w:lineRule="exact"/>
              <w:jc w:val="left"/>
              <w:rPr>
                <w:rFonts w:hint="eastAsia" w:ascii="宋体" w:hAnsi="宋体" w:cs="宋体"/>
                <w:sz w:val="24"/>
                <w:szCs w:val="22"/>
                <w:highlight w:val="none"/>
              </w:rPr>
            </w:pPr>
            <w:r>
              <w:rPr>
                <w:rFonts w:hint="eastAsia" w:ascii="宋体" w:hAnsi="宋体" w:cs="宋体"/>
                <w:sz w:val="24"/>
                <w:szCs w:val="22"/>
                <w:highlight w:val="none"/>
              </w:rPr>
              <w:t>■要求</w:t>
            </w:r>
          </w:p>
          <w:p>
            <w:pPr>
              <w:widowControl/>
              <w:spacing w:line="360" w:lineRule="exact"/>
              <w:jc w:val="left"/>
              <w:rPr>
                <w:rFonts w:hint="eastAsia" w:ascii="宋体" w:hAnsi="宋体" w:cs="宋体"/>
                <w:sz w:val="24"/>
                <w:highlight w:val="none"/>
              </w:rPr>
            </w:pPr>
            <w:r>
              <w:rPr>
                <w:rFonts w:hint="eastAsia" w:ascii="宋体" w:hAnsi="宋体" w:cs="宋体"/>
                <w:sz w:val="24"/>
                <w:szCs w:val="22"/>
                <w:highlight w:val="none"/>
              </w:rPr>
              <w:t>投标保证金的形式：银行保函</w:t>
            </w:r>
            <w:r>
              <w:rPr>
                <w:rFonts w:hint="eastAsia" w:ascii="宋体" w:hAnsi="宋体" w:cs="宋体"/>
                <w:sz w:val="24"/>
                <w:highlight w:val="none"/>
              </w:rPr>
              <w:t>或电汇</w:t>
            </w:r>
          </w:p>
          <w:p>
            <w:pPr>
              <w:widowControl/>
              <w:spacing w:line="360" w:lineRule="exact"/>
              <w:jc w:val="left"/>
              <w:rPr>
                <w:rFonts w:hint="eastAsia" w:ascii="宋体" w:hAnsi="宋体" w:cs="宋体"/>
                <w:sz w:val="24"/>
                <w:highlight w:val="none"/>
              </w:rPr>
            </w:pPr>
            <w:r>
              <w:rPr>
                <w:rFonts w:hint="eastAsia" w:ascii="宋体" w:hAnsi="宋体" w:cs="宋体"/>
                <w:sz w:val="24"/>
                <w:highlight w:val="none"/>
              </w:rPr>
              <w:t>投标保证金的金额：</w:t>
            </w:r>
            <w:r>
              <w:rPr>
                <w:rFonts w:hint="eastAsia" w:ascii="宋体" w:hAnsi="宋体" w:cs="宋体"/>
                <w:sz w:val="24"/>
                <w:highlight w:val="none"/>
                <w:lang w:val="en-US" w:eastAsia="zh-CN"/>
              </w:rPr>
              <w:t>25000</w:t>
            </w:r>
            <w:r>
              <w:rPr>
                <w:rFonts w:hint="eastAsia" w:ascii="宋体" w:hAnsi="宋体" w:cs="宋体"/>
                <w:sz w:val="24"/>
                <w:highlight w:val="none"/>
              </w:rPr>
              <w:t>元（大写：</w:t>
            </w:r>
            <w:r>
              <w:rPr>
                <w:rFonts w:hint="eastAsia" w:ascii="宋体" w:hAnsi="宋体" w:cs="宋体"/>
                <w:sz w:val="24"/>
                <w:highlight w:val="none"/>
                <w:lang w:eastAsia="zh-CN"/>
              </w:rPr>
              <w:t>贰万伍仟元整</w:t>
            </w:r>
            <w:r>
              <w:rPr>
                <w:rFonts w:hint="eastAsia" w:ascii="宋体" w:hAnsi="宋体" w:cs="宋体"/>
                <w:sz w:val="24"/>
                <w:highlight w:val="none"/>
              </w:rPr>
              <w:t>）</w:t>
            </w:r>
          </w:p>
          <w:p>
            <w:pPr>
              <w:widowControl/>
              <w:spacing w:line="360" w:lineRule="exact"/>
              <w:jc w:val="left"/>
              <w:rPr>
                <w:rFonts w:hint="eastAsia" w:ascii="宋体" w:hAnsi="宋体" w:cs="宋体"/>
                <w:sz w:val="24"/>
                <w:highlight w:val="none"/>
              </w:rPr>
            </w:pPr>
            <w:r>
              <w:rPr>
                <w:rFonts w:hint="eastAsia" w:ascii="宋体" w:hAnsi="宋体" w:cs="宋体"/>
                <w:sz w:val="24"/>
                <w:highlight w:val="none"/>
              </w:rPr>
              <w:t>递交方式：投标人将投标保证金从企业基本帐户汇至以下账户</w:t>
            </w:r>
          </w:p>
          <w:p>
            <w:pPr>
              <w:widowControl/>
              <w:spacing w:line="360" w:lineRule="exact"/>
              <w:jc w:val="left"/>
              <w:rPr>
                <w:rFonts w:hint="eastAsia" w:ascii="宋体" w:hAnsi="宋体" w:cs="宋体"/>
                <w:sz w:val="24"/>
                <w:highlight w:val="none"/>
              </w:rPr>
            </w:pPr>
            <w:r>
              <w:rPr>
                <w:rFonts w:hint="eastAsia" w:ascii="宋体" w:hAnsi="宋体" w:cs="宋体"/>
                <w:sz w:val="24"/>
                <w:highlight w:val="none"/>
              </w:rPr>
              <w:t>单位名称：新疆宣宇项目管理有限公司</w:t>
            </w:r>
          </w:p>
          <w:p>
            <w:pPr>
              <w:widowControl/>
              <w:spacing w:line="360" w:lineRule="exact"/>
              <w:jc w:val="left"/>
              <w:rPr>
                <w:rFonts w:hint="eastAsia" w:ascii="宋体" w:hAnsi="宋体" w:cs="宋体"/>
                <w:sz w:val="24"/>
                <w:highlight w:val="none"/>
              </w:rPr>
            </w:pPr>
            <w:r>
              <w:rPr>
                <w:rFonts w:hint="eastAsia" w:ascii="宋体" w:hAnsi="宋体" w:cs="宋体"/>
                <w:sz w:val="24"/>
                <w:highlight w:val="none"/>
              </w:rPr>
              <w:t>账号:107072401512</w:t>
            </w:r>
          </w:p>
          <w:p>
            <w:pPr>
              <w:widowControl/>
              <w:spacing w:line="360" w:lineRule="exact"/>
              <w:jc w:val="left"/>
              <w:rPr>
                <w:rFonts w:hint="eastAsia" w:ascii="宋体" w:hAnsi="宋体" w:cs="宋体"/>
                <w:sz w:val="24"/>
                <w:highlight w:val="none"/>
              </w:rPr>
            </w:pPr>
            <w:r>
              <w:rPr>
                <w:rFonts w:hint="eastAsia" w:ascii="宋体" w:hAnsi="宋体" w:cs="宋体"/>
                <w:sz w:val="24"/>
                <w:highlight w:val="none"/>
              </w:rPr>
              <w:t>开户行:中国银行伊宁市边境经济合作区四川路支行</w:t>
            </w:r>
          </w:p>
          <w:p>
            <w:pPr>
              <w:widowControl/>
              <w:spacing w:line="360" w:lineRule="exact"/>
              <w:jc w:val="left"/>
              <w:rPr>
                <w:rFonts w:hint="eastAsia" w:ascii="宋体" w:hAnsi="宋体" w:cs="宋体"/>
                <w:sz w:val="24"/>
                <w:highlight w:val="none"/>
              </w:rPr>
            </w:pPr>
            <w:r>
              <w:rPr>
                <w:rFonts w:hint="eastAsia" w:ascii="宋体" w:hAnsi="宋体" w:cs="宋体"/>
                <w:sz w:val="24"/>
                <w:highlight w:val="none"/>
              </w:rPr>
              <w:t>行号:104898001081</w:t>
            </w:r>
          </w:p>
          <w:p>
            <w:pPr>
              <w:widowControl/>
              <w:spacing w:line="360" w:lineRule="exact"/>
              <w:jc w:val="left"/>
              <w:rPr>
                <w:rFonts w:hint="eastAsia" w:ascii="宋体" w:hAnsi="宋体" w:cs="宋体"/>
                <w:sz w:val="24"/>
                <w:highlight w:val="none"/>
              </w:rPr>
            </w:pPr>
            <w:r>
              <w:rPr>
                <w:rFonts w:hint="eastAsia" w:ascii="宋体" w:hAnsi="宋体" w:cs="宋体"/>
                <w:sz w:val="24"/>
                <w:highlight w:val="none"/>
              </w:rPr>
              <w:t>电话:0999-8216987</w:t>
            </w:r>
          </w:p>
          <w:p>
            <w:pPr>
              <w:widowControl/>
              <w:spacing w:line="360" w:lineRule="exact"/>
              <w:jc w:val="left"/>
              <w:rPr>
                <w:rFonts w:hint="eastAsia" w:ascii="宋体" w:hAnsi="宋体" w:cs="宋体"/>
                <w:b/>
                <w:bCs/>
                <w:sz w:val="24"/>
                <w:highlight w:val="none"/>
              </w:rPr>
            </w:pPr>
            <w:r>
              <w:rPr>
                <w:rFonts w:hint="eastAsia" w:ascii="宋体" w:hAnsi="宋体" w:cs="宋体"/>
                <w:b/>
                <w:bCs/>
                <w:sz w:val="24"/>
                <w:highlight w:val="none"/>
              </w:rPr>
              <w:t>注：保证金以到账时间为准，只有确认到账后才开具投标保证金收据。</w:t>
            </w:r>
          </w:p>
          <w:p>
            <w:pPr>
              <w:snapToGrid w:val="0"/>
              <w:spacing w:line="360" w:lineRule="auto"/>
              <w:rPr>
                <w:rFonts w:hint="eastAsia" w:ascii="宋体" w:hAnsi="宋体" w:cs="宋体"/>
                <w:sz w:val="24"/>
                <w:highlight w:val="none"/>
              </w:rPr>
            </w:pPr>
            <w:r>
              <w:rPr>
                <w:rFonts w:hint="eastAsia" w:ascii="宋体" w:hAnsi="宋体" w:cs="宋体"/>
                <w:sz w:val="24"/>
                <w:highlight w:val="none"/>
              </w:rPr>
              <w:t>□不要求</w:t>
            </w:r>
          </w:p>
          <w:p>
            <w:pPr>
              <w:snapToGrid w:val="0"/>
              <w:spacing w:line="360" w:lineRule="auto"/>
              <w:rPr>
                <w:rFonts w:ascii="宋体" w:hAnsi="宋体"/>
                <w:sz w:val="24"/>
                <w:highlight w:val="none"/>
              </w:rPr>
            </w:pPr>
            <w:r>
              <w:rPr>
                <w:rFonts w:hint="eastAsia" w:ascii="宋体" w:hAnsi="宋体"/>
                <w:sz w:val="24"/>
                <w:highlight w:val="none"/>
              </w:rPr>
              <w:t>承包商应保证磋商保证金在开标前1日到账，并办理相关手续。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99" w:type="dxa"/>
            <w:noWrap w:val="0"/>
            <w:vAlign w:val="center"/>
          </w:tcPr>
          <w:p>
            <w:pPr>
              <w:snapToGrid w:val="0"/>
              <w:spacing w:line="360" w:lineRule="auto"/>
              <w:jc w:val="center"/>
              <w:rPr>
                <w:rFonts w:hint="eastAsia" w:ascii="宋体" w:hAnsi="宋体"/>
                <w:sz w:val="24"/>
                <w:szCs w:val="22"/>
                <w:highlight w:val="none"/>
              </w:rPr>
            </w:pPr>
            <w:r>
              <w:rPr>
                <w:rFonts w:hint="eastAsia" w:ascii="宋体" w:hAnsi="宋体"/>
                <w:sz w:val="24"/>
                <w:szCs w:val="22"/>
                <w:highlight w:val="none"/>
              </w:rPr>
              <w:t>6</w:t>
            </w:r>
          </w:p>
        </w:tc>
        <w:tc>
          <w:tcPr>
            <w:tcW w:w="8981" w:type="dxa"/>
            <w:noWrap w:val="0"/>
            <w:vAlign w:val="center"/>
          </w:tcPr>
          <w:p>
            <w:pPr>
              <w:snapToGrid w:val="0"/>
              <w:spacing w:line="360" w:lineRule="auto"/>
              <w:rPr>
                <w:rFonts w:hint="eastAsia" w:ascii="宋体" w:hAnsi="宋体"/>
                <w:sz w:val="24"/>
                <w:szCs w:val="22"/>
                <w:highlight w:val="none"/>
              </w:rPr>
            </w:pPr>
            <w:r>
              <w:rPr>
                <w:rFonts w:hint="eastAsia" w:ascii="宋体" w:hAnsi="宋体"/>
                <w:sz w:val="24"/>
                <w:szCs w:val="22"/>
                <w:highlight w:val="none"/>
              </w:rPr>
              <w:t>本项目</w:t>
            </w:r>
            <w:r>
              <w:rPr>
                <w:rFonts w:hint="eastAsia" w:ascii="宋体" w:hAnsi="宋体"/>
                <w:sz w:val="24"/>
                <w:szCs w:val="22"/>
                <w:highlight w:val="none"/>
                <w:lang w:eastAsia="zh-CN"/>
              </w:rPr>
              <w:t>最高限价为</w:t>
            </w:r>
            <w:r>
              <w:rPr>
                <w:rFonts w:hint="eastAsia" w:ascii="宋体" w:hAnsi="宋体"/>
                <w:sz w:val="24"/>
                <w:szCs w:val="22"/>
                <w:highlight w:val="none"/>
              </w:rPr>
              <w:t>：1</w:t>
            </w:r>
            <w:r>
              <w:rPr>
                <w:rFonts w:hint="eastAsia" w:ascii="宋体" w:hAnsi="宋体"/>
                <w:sz w:val="24"/>
                <w:szCs w:val="22"/>
                <w:highlight w:val="none"/>
                <w:lang w:val="en-US" w:eastAsia="zh-CN"/>
              </w:rPr>
              <w:t>5</w:t>
            </w:r>
            <w:r>
              <w:rPr>
                <w:rFonts w:hint="eastAsia" w:ascii="宋体" w:hAnsi="宋体"/>
                <w:sz w:val="24"/>
                <w:szCs w:val="22"/>
                <w:highlight w:val="none"/>
              </w:rPr>
              <w:t>00000元</w:t>
            </w:r>
          </w:p>
          <w:p>
            <w:pPr>
              <w:snapToGrid w:val="0"/>
              <w:spacing w:line="360" w:lineRule="auto"/>
              <w:rPr>
                <w:rFonts w:hint="eastAsia" w:ascii="宋体" w:hAnsi="宋体"/>
                <w:sz w:val="24"/>
                <w:szCs w:val="22"/>
                <w:highlight w:val="none"/>
              </w:rPr>
            </w:pPr>
            <w:r>
              <w:rPr>
                <w:rFonts w:hint="eastAsia" w:ascii="宋体" w:hAnsi="宋体"/>
                <w:sz w:val="24"/>
                <w:szCs w:val="22"/>
                <w:highlight w:val="none"/>
              </w:rPr>
              <w:t>供应商的投标不得超过最高投标限价，否则其响应文件按否决投标处理。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7</w:t>
            </w:r>
          </w:p>
        </w:tc>
        <w:tc>
          <w:tcPr>
            <w:tcW w:w="8981" w:type="dxa"/>
            <w:noWrap w:val="0"/>
            <w:vAlign w:val="center"/>
          </w:tcPr>
          <w:p>
            <w:pPr>
              <w:snapToGrid w:val="0"/>
              <w:spacing w:line="360" w:lineRule="auto"/>
              <w:ind w:right="105" w:rightChars="50"/>
              <w:jc w:val="left"/>
              <w:rPr>
                <w:rFonts w:ascii="宋体" w:hAnsi="宋体"/>
                <w:sz w:val="24"/>
                <w:highlight w:val="none"/>
              </w:rPr>
            </w:pPr>
            <w:r>
              <w:rPr>
                <w:rFonts w:hint="eastAsia" w:ascii="宋体" w:hAnsi="宋体"/>
                <w:sz w:val="24"/>
                <w:highlight w:val="none"/>
              </w:rPr>
              <w:t>响应文件份数：正本1份，副本3份，报价一览表1份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8</w:t>
            </w:r>
          </w:p>
        </w:tc>
        <w:tc>
          <w:tcPr>
            <w:tcW w:w="8981" w:type="dxa"/>
            <w:noWrap w:val="0"/>
            <w:vAlign w:val="center"/>
          </w:tcPr>
          <w:p>
            <w:pPr>
              <w:snapToGrid w:val="0"/>
              <w:spacing w:line="360" w:lineRule="auto"/>
              <w:ind w:right="105" w:rightChars="50"/>
              <w:jc w:val="left"/>
              <w:rPr>
                <w:rFonts w:hint="eastAsia" w:ascii="宋体" w:hAnsi="宋体"/>
                <w:sz w:val="24"/>
                <w:highlight w:val="none"/>
              </w:rPr>
            </w:pPr>
            <w:r>
              <w:rPr>
                <w:rFonts w:hint="eastAsia" w:ascii="宋体" w:hAnsi="宋体"/>
                <w:sz w:val="24"/>
                <w:highlight w:val="none"/>
              </w:rPr>
              <w:t xml:space="preserve">磋商时须携带资料：须在规定的时间和地点准时参加磋商，并在响应文件接收截止时间前提供以下资料： </w:t>
            </w:r>
          </w:p>
          <w:p>
            <w:pPr>
              <w:snapToGrid w:val="0"/>
              <w:spacing w:line="360" w:lineRule="auto"/>
              <w:ind w:right="105" w:rightChars="50"/>
              <w:jc w:val="left"/>
              <w:rPr>
                <w:rFonts w:hint="eastAsia" w:ascii="宋体" w:hAnsi="宋体"/>
                <w:sz w:val="24"/>
                <w:highlight w:val="none"/>
              </w:rPr>
            </w:pPr>
            <w:r>
              <w:rPr>
                <w:rFonts w:hint="eastAsia" w:ascii="宋体" w:hAnsi="宋体"/>
                <w:sz w:val="24"/>
                <w:highlight w:val="none"/>
              </w:rPr>
              <w:t>（1）营业执照（要求投标人具有上述经营范围）；</w:t>
            </w:r>
          </w:p>
          <w:p>
            <w:pPr>
              <w:snapToGrid w:val="0"/>
              <w:spacing w:line="360" w:lineRule="auto"/>
              <w:ind w:right="105" w:rightChars="50"/>
              <w:jc w:val="left"/>
              <w:rPr>
                <w:rFonts w:hint="eastAsia" w:ascii="宋体" w:hAnsi="宋体"/>
                <w:sz w:val="24"/>
                <w:highlight w:val="none"/>
              </w:rPr>
            </w:pPr>
            <w:r>
              <w:rPr>
                <w:rFonts w:hint="eastAsia" w:ascii="宋体" w:hAnsi="宋体"/>
                <w:sz w:val="24"/>
                <w:highlight w:val="none"/>
              </w:rPr>
              <w:t>（2）法定代表人授权委托书及委托代理人身份证；</w:t>
            </w:r>
          </w:p>
          <w:p>
            <w:pPr>
              <w:snapToGrid w:val="0"/>
              <w:spacing w:line="360" w:lineRule="auto"/>
              <w:ind w:right="105" w:rightChars="50"/>
              <w:jc w:val="left"/>
              <w:rPr>
                <w:rFonts w:hint="eastAsia" w:ascii="宋体" w:hAnsi="宋体"/>
                <w:sz w:val="24"/>
                <w:highlight w:val="none"/>
              </w:rPr>
            </w:pPr>
            <w:r>
              <w:rPr>
                <w:rFonts w:hint="eastAsia" w:ascii="宋体" w:hAnsi="宋体"/>
                <w:sz w:val="24"/>
                <w:highlight w:val="none"/>
              </w:rPr>
              <w:t>（3）须提供近一年财务审计报告（2021年或2022年）或银行资信证明；</w:t>
            </w:r>
          </w:p>
          <w:p>
            <w:pPr>
              <w:snapToGrid w:val="0"/>
              <w:spacing w:line="360" w:lineRule="auto"/>
              <w:ind w:right="105" w:rightChars="50"/>
              <w:jc w:val="left"/>
              <w:rPr>
                <w:rFonts w:hint="eastAsia" w:ascii="宋体" w:hAnsi="宋体"/>
                <w:sz w:val="24"/>
                <w:highlight w:val="none"/>
              </w:rPr>
            </w:pPr>
            <w:r>
              <w:rPr>
                <w:rFonts w:hint="eastAsia" w:ascii="宋体" w:hAnsi="宋体"/>
                <w:sz w:val="24"/>
                <w:highlight w:val="none"/>
              </w:rPr>
              <w:t>（4）须提供授权委托人在本单位近半年的社保证明（2021年10月至2022年3月）；</w:t>
            </w:r>
          </w:p>
          <w:p>
            <w:pPr>
              <w:snapToGrid w:val="0"/>
              <w:spacing w:line="360" w:lineRule="auto"/>
              <w:ind w:right="105" w:rightChars="50"/>
              <w:jc w:val="left"/>
              <w:rPr>
                <w:rFonts w:hint="eastAsia" w:ascii="宋体" w:hAnsi="宋体"/>
                <w:sz w:val="24"/>
                <w:highlight w:val="none"/>
              </w:rPr>
            </w:pPr>
            <w:r>
              <w:rPr>
                <w:rFonts w:hint="eastAsia" w:ascii="宋体" w:hAnsi="宋体"/>
                <w:sz w:val="24"/>
                <w:highlight w:val="none"/>
              </w:rPr>
              <w:t>（5）提供信用中国网站、国家企业信用信息公示系统和中国政府采购网查询结果打印件（加盖企业公章）；</w:t>
            </w:r>
          </w:p>
          <w:p>
            <w:pPr>
              <w:snapToGrid w:val="0"/>
              <w:spacing w:line="360" w:lineRule="auto"/>
              <w:ind w:right="105" w:rightChars="50"/>
              <w:jc w:val="left"/>
              <w:rPr>
                <w:rFonts w:hint="eastAsia" w:ascii="宋体" w:hAnsi="宋体"/>
                <w:sz w:val="24"/>
                <w:highlight w:val="none"/>
              </w:rPr>
            </w:pPr>
            <w:r>
              <w:rPr>
                <w:rFonts w:hint="eastAsia" w:ascii="宋体" w:hAnsi="宋体"/>
                <w:sz w:val="24"/>
                <w:highlight w:val="none"/>
              </w:rPr>
              <w:t>（6）售后服务承诺书原件；</w:t>
            </w:r>
          </w:p>
          <w:p>
            <w:pPr>
              <w:snapToGrid w:val="0"/>
              <w:spacing w:line="360" w:lineRule="auto"/>
              <w:ind w:right="105" w:rightChars="50"/>
              <w:jc w:val="left"/>
              <w:rPr>
                <w:rFonts w:hint="eastAsia" w:ascii="宋体" w:hAnsi="宋体"/>
                <w:sz w:val="24"/>
                <w:highlight w:val="none"/>
              </w:rPr>
            </w:pPr>
            <w:r>
              <w:rPr>
                <w:rFonts w:hint="eastAsia" w:ascii="宋体" w:hAnsi="宋体"/>
                <w:sz w:val="24"/>
                <w:highlight w:val="none"/>
              </w:rPr>
              <w:t>（7）投标保证金收据；</w:t>
            </w:r>
          </w:p>
          <w:p>
            <w:pPr>
              <w:snapToGrid w:val="0"/>
              <w:spacing w:line="360" w:lineRule="auto"/>
              <w:ind w:right="105" w:rightChars="50"/>
              <w:jc w:val="left"/>
              <w:rPr>
                <w:rFonts w:ascii="宋体" w:hAnsi="宋体"/>
                <w:sz w:val="24"/>
                <w:highlight w:val="none"/>
              </w:rPr>
            </w:pPr>
            <w:r>
              <w:rPr>
                <w:rFonts w:hint="eastAsia" w:ascii="宋体" w:hAnsi="宋体"/>
                <w:sz w:val="24"/>
                <w:highlight w:val="none"/>
              </w:rPr>
              <w:t xml:space="preserve"> </w:t>
            </w:r>
            <w:r>
              <w:rPr>
                <w:rFonts w:hint="eastAsia" w:ascii="宋体" w:hAnsi="宋体"/>
                <w:b/>
                <w:bCs/>
                <w:sz w:val="24"/>
                <w:highlight w:val="none"/>
              </w:rPr>
              <w:t>上述资料审查不合格将被认为资格审查不合格，将取消其竞标资格。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9</w:t>
            </w:r>
          </w:p>
        </w:tc>
        <w:tc>
          <w:tcPr>
            <w:tcW w:w="8981" w:type="dxa"/>
            <w:noWrap w:val="0"/>
            <w:vAlign w:val="bottom"/>
          </w:tcPr>
          <w:p>
            <w:pPr>
              <w:snapToGrid w:val="0"/>
              <w:spacing w:line="360" w:lineRule="auto"/>
              <w:ind w:right="105" w:rightChars="50"/>
              <w:rPr>
                <w:rFonts w:ascii="宋体" w:hAnsi="宋体"/>
                <w:sz w:val="24"/>
                <w:highlight w:val="none"/>
              </w:rPr>
            </w:pPr>
            <w:r>
              <w:rPr>
                <w:rFonts w:hint="eastAsia" w:ascii="宋体" w:hAnsi="宋体"/>
                <w:sz w:val="24"/>
                <w:highlight w:val="none"/>
              </w:rPr>
              <w:t>磋商报价：1.磋商报价为“磋商范围”内的总报价，如果不发生变更，则价格不作调整。</w:t>
            </w:r>
          </w:p>
          <w:p>
            <w:pPr>
              <w:snapToGrid w:val="0"/>
              <w:spacing w:line="360" w:lineRule="auto"/>
              <w:ind w:right="105" w:rightChars="50"/>
              <w:rPr>
                <w:rFonts w:ascii="宋体" w:hAnsi="宋体"/>
                <w:sz w:val="24"/>
                <w:highlight w:val="none"/>
              </w:rPr>
            </w:pPr>
            <w:r>
              <w:rPr>
                <w:rFonts w:hint="eastAsia" w:ascii="宋体" w:hAnsi="宋体"/>
                <w:sz w:val="24"/>
                <w:highlight w:val="none"/>
              </w:rPr>
              <w:t>2.承包商的报价应为所确定的磋商范围内的全部工作内容的价格体现。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10</w:t>
            </w:r>
          </w:p>
        </w:tc>
        <w:tc>
          <w:tcPr>
            <w:tcW w:w="8981" w:type="dxa"/>
            <w:noWrap w:val="0"/>
            <w:vAlign w:val="center"/>
          </w:tcPr>
          <w:p>
            <w:pPr>
              <w:snapToGrid w:val="0"/>
              <w:spacing w:line="360" w:lineRule="auto"/>
              <w:ind w:right="105" w:rightChars="50"/>
              <w:rPr>
                <w:rFonts w:ascii="宋体" w:hAnsi="宋体"/>
                <w:sz w:val="24"/>
                <w:highlight w:val="none"/>
              </w:rPr>
            </w:pPr>
            <w:r>
              <w:rPr>
                <w:rFonts w:hint="eastAsia" w:ascii="宋体" w:hAnsi="宋体"/>
                <w:sz w:val="24"/>
                <w:highlight w:val="none"/>
              </w:rPr>
              <w:t>响应文件的装订及密封要求：正本壹份，副本叁份（共肆份），报价一览表壹份。</w:t>
            </w:r>
          </w:p>
          <w:p>
            <w:pPr>
              <w:snapToGrid w:val="0"/>
              <w:spacing w:line="360" w:lineRule="auto"/>
              <w:ind w:right="105" w:rightChars="50"/>
              <w:rPr>
                <w:rFonts w:ascii="宋体" w:hAnsi="宋体"/>
                <w:sz w:val="24"/>
                <w:highlight w:val="none"/>
              </w:rPr>
            </w:pPr>
            <w:r>
              <w:rPr>
                <w:rFonts w:hint="eastAsia" w:ascii="宋体" w:hAnsi="宋体"/>
                <w:sz w:val="24"/>
                <w:highlight w:val="none"/>
              </w:rPr>
              <w:t>1、响应文件的装订要求：响应文件不得以活页方式装订，不可拆装。装订应牢固、胶粘不易拆散和换页。</w:t>
            </w:r>
          </w:p>
          <w:p>
            <w:pPr>
              <w:snapToGrid w:val="0"/>
              <w:spacing w:line="360" w:lineRule="auto"/>
              <w:ind w:right="105" w:rightChars="50"/>
              <w:rPr>
                <w:rFonts w:ascii="宋体" w:hAnsi="宋体"/>
                <w:sz w:val="24"/>
                <w:highlight w:val="none"/>
              </w:rPr>
            </w:pPr>
            <w:r>
              <w:rPr>
                <w:rFonts w:hint="eastAsia" w:ascii="宋体" w:hAnsi="宋体"/>
                <w:sz w:val="24"/>
                <w:highlight w:val="none"/>
              </w:rPr>
              <w:t>2、响应文件的密封要求：</w:t>
            </w:r>
          </w:p>
          <w:p>
            <w:pPr>
              <w:snapToGrid w:val="0"/>
              <w:spacing w:line="360" w:lineRule="auto"/>
              <w:ind w:right="105" w:rightChars="50"/>
              <w:rPr>
                <w:rFonts w:ascii="宋体" w:hAnsi="宋体"/>
                <w:sz w:val="24"/>
                <w:highlight w:val="none"/>
              </w:rPr>
            </w:pPr>
            <w:r>
              <w:rPr>
                <w:rFonts w:hint="eastAsia" w:ascii="宋体" w:hAnsi="宋体"/>
                <w:sz w:val="24"/>
                <w:highlight w:val="none"/>
              </w:rPr>
              <w:t>(1)承包商应将报价一览表单独密封提交，并在信封上标明"报价一览表"字样；</w:t>
            </w:r>
          </w:p>
          <w:p>
            <w:pPr>
              <w:snapToGrid w:val="0"/>
              <w:spacing w:line="360" w:lineRule="auto"/>
              <w:ind w:right="105" w:rightChars="50"/>
              <w:rPr>
                <w:rFonts w:ascii="宋体" w:hAnsi="宋体"/>
                <w:sz w:val="24"/>
                <w:highlight w:val="none"/>
              </w:rPr>
            </w:pPr>
            <w:r>
              <w:rPr>
                <w:rFonts w:hint="eastAsia" w:ascii="宋体" w:hAnsi="宋体"/>
                <w:sz w:val="24"/>
                <w:highlight w:val="none"/>
              </w:rPr>
              <w:t>(2)承包商应将响应文件统包密封，封面应注明承包商的名称、地址、项目名称、联系电话等。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11</w:t>
            </w:r>
          </w:p>
        </w:tc>
        <w:tc>
          <w:tcPr>
            <w:tcW w:w="8981" w:type="dxa"/>
            <w:noWrap w:val="0"/>
            <w:vAlign w:val="center"/>
          </w:tcPr>
          <w:p>
            <w:pPr>
              <w:snapToGrid w:val="0"/>
              <w:spacing w:line="360" w:lineRule="auto"/>
              <w:ind w:right="105" w:rightChars="50"/>
              <w:rPr>
                <w:rFonts w:ascii="宋体" w:hAnsi="宋体"/>
                <w:sz w:val="24"/>
                <w:highlight w:val="none"/>
              </w:rPr>
            </w:pPr>
            <w:r>
              <w:rPr>
                <w:rFonts w:hint="eastAsia" w:ascii="宋体" w:hAnsi="宋体"/>
                <w:sz w:val="24"/>
                <w:highlight w:val="none"/>
              </w:rPr>
              <w:t>响应文件递交时间：</w:t>
            </w:r>
            <w:r>
              <w:rPr>
                <w:rFonts w:hint="eastAsia" w:ascii="宋体" w:hAnsi="宋体" w:cs="宋体"/>
                <w:sz w:val="24"/>
                <w:szCs w:val="24"/>
                <w:highlight w:val="none"/>
              </w:rPr>
              <w:t>2022年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cs="宋体"/>
                <w:sz w:val="24"/>
                <w:szCs w:val="24"/>
                <w:highlight w:val="none"/>
              </w:rPr>
              <w:t>日</w:t>
            </w:r>
            <w:r>
              <w:rPr>
                <w:rFonts w:hint="eastAsia" w:ascii="宋体" w:hAnsi="宋体" w:cs="宋体"/>
                <w:sz w:val="24"/>
                <w:szCs w:val="24"/>
                <w:highlight w:val="none"/>
                <w:lang w:eastAsia="zh-CN"/>
              </w:rPr>
              <w:t>下</w:t>
            </w:r>
            <w:r>
              <w:rPr>
                <w:rFonts w:hint="eastAsia" w:ascii="宋体" w:hAnsi="宋体" w:cs="宋体"/>
                <w:sz w:val="24"/>
                <w:szCs w:val="24"/>
                <w:highlight w:val="none"/>
              </w:rPr>
              <w:t>午</w:t>
            </w:r>
            <w:r>
              <w:rPr>
                <w:rFonts w:hint="eastAsia" w:ascii="宋体" w:hAnsi="宋体" w:cs="宋体"/>
                <w:sz w:val="24"/>
                <w:szCs w:val="24"/>
                <w:highlight w:val="none"/>
                <w:lang w:val="en-US" w:eastAsia="zh-CN"/>
              </w:rPr>
              <w:t>16</w:t>
            </w:r>
            <w:r>
              <w:rPr>
                <w:rFonts w:hint="eastAsia" w:ascii="宋体" w:hAnsi="宋体" w:cs="宋体"/>
                <w:sz w:val="24"/>
                <w:szCs w:val="24"/>
                <w:highlight w:val="none"/>
              </w:rPr>
              <w:t>时</w:t>
            </w:r>
            <w:r>
              <w:rPr>
                <w:rFonts w:hint="eastAsia" w:ascii="宋体" w:hAnsi="宋体" w:cs="宋体"/>
                <w:sz w:val="24"/>
                <w:szCs w:val="24"/>
                <w:highlight w:val="none"/>
                <w:lang w:val="en-US" w:eastAsia="zh-CN"/>
              </w:rPr>
              <w:t>30分</w:t>
            </w:r>
            <w:r>
              <w:rPr>
                <w:rFonts w:hint="eastAsia" w:ascii="宋体" w:hAnsi="宋体" w:cs="宋体"/>
                <w:bCs/>
                <w:sz w:val="24"/>
                <w:highlight w:val="none"/>
              </w:rPr>
              <w:t>（北京时间）</w:t>
            </w:r>
            <w:r>
              <w:rPr>
                <w:rFonts w:hint="eastAsia" w:ascii="宋体" w:hAnsi="宋体"/>
                <w:sz w:val="24"/>
                <w:highlight w:val="none"/>
              </w:rPr>
              <w:t>截止，迟交的文件将被拒绝接收。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12</w:t>
            </w:r>
          </w:p>
        </w:tc>
        <w:tc>
          <w:tcPr>
            <w:tcW w:w="8981" w:type="dxa"/>
            <w:noWrap w:val="0"/>
            <w:vAlign w:val="center"/>
          </w:tcPr>
          <w:p>
            <w:pPr>
              <w:snapToGrid w:val="0"/>
              <w:spacing w:line="360" w:lineRule="auto"/>
              <w:ind w:right="105" w:rightChars="50"/>
              <w:rPr>
                <w:rFonts w:hint="eastAsia" w:ascii="宋体" w:hAnsi="宋体"/>
                <w:sz w:val="24"/>
                <w:highlight w:val="none"/>
              </w:rPr>
            </w:pPr>
            <w:r>
              <w:rPr>
                <w:rFonts w:hint="eastAsia" w:ascii="宋体" w:hAnsi="宋体"/>
                <w:sz w:val="24"/>
                <w:highlight w:val="none"/>
              </w:rPr>
              <w:t>响应文件递交至：</w:t>
            </w:r>
            <w:r>
              <w:rPr>
                <w:rFonts w:hint="eastAsia" w:ascii="宋体" w:hAnsi="宋体" w:cs="宋体"/>
                <w:sz w:val="24"/>
                <w:highlight w:val="none"/>
              </w:rPr>
              <w:t>伊宁市开发区大学生科技创业孵化基地6楼（安徽路和深圳路交叉路口）开标室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13</w:t>
            </w:r>
          </w:p>
        </w:tc>
        <w:tc>
          <w:tcPr>
            <w:tcW w:w="8981" w:type="dxa"/>
            <w:noWrap w:val="0"/>
            <w:vAlign w:val="center"/>
          </w:tcPr>
          <w:p>
            <w:pPr>
              <w:snapToGrid w:val="0"/>
              <w:spacing w:line="360" w:lineRule="auto"/>
              <w:ind w:right="105" w:rightChars="50"/>
              <w:rPr>
                <w:rFonts w:ascii="宋体" w:hAnsi="宋体"/>
                <w:sz w:val="24"/>
                <w:highlight w:val="none"/>
              </w:rPr>
            </w:pPr>
            <w:r>
              <w:rPr>
                <w:rFonts w:hint="eastAsia" w:ascii="宋体" w:hAnsi="宋体"/>
                <w:sz w:val="24"/>
                <w:highlight w:val="none"/>
              </w:rPr>
              <w:t>磋商日期：</w:t>
            </w:r>
            <w:r>
              <w:rPr>
                <w:rFonts w:hint="eastAsia" w:ascii="宋体" w:hAnsi="宋体" w:cs="宋体"/>
                <w:sz w:val="24"/>
                <w:szCs w:val="24"/>
                <w:highlight w:val="none"/>
              </w:rPr>
              <w:t>2022年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cs="宋体"/>
                <w:sz w:val="24"/>
                <w:szCs w:val="24"/>
                <w:highlight w:val="none"/>
              </w:rPr>
              <w:t>日</w:t>
            </w:r>
            <w:r>
              <w:rPr>
                <w:rFonts w:hint="eastAsia" w:ascii="宋体" w:hAnsi="宋体" w:cs="宋体"/>
                <w:sz w:val="24"/>
                <w:szCs w:val="24"/>
                <w:highlight w:val="none"/>
                <w:lang w:eastAsia="zh-CN"/>
              </w:rPr>
              <w:t>下</w:t>
            </w:r>
            <w:r>
              <w:rPr>
                <w:rFonts w:hint="eastAsia" w:ascii="宋体" w:hAnsi="宋体" w:cs="宋体"/>
                <w:sz w:val="24"/>
                <w:szCs w:val="24"/>
                <w:highlight w:val="none"/>
              </w:rPr>
              <w:t>午</w:t>
            </w:r>
            <w:r>
              <w:rPr>
                <w:rFonts w:hint="eastAsia" w:ascii="宋体" w:hAnsi="宋体" w:cs="宋体"/>
                <w:sz w:val="24"/>
                <w:szCs w:val="24"/>
                <w:highlight w:val="none"/>
                <w:lang w:val="en-US" w:eastAsia="zh-CN"/>
              </w:rPr>
              <w:t>16</w:t>
            </w:r>
            <w:r>
              <w:rPr>
                <w:rFonts w:hint="eastAsia" w:ascii="宋体" w:hAnsi="宋体" w:cs="宋体"/>
                <w:sz w:val="24"/>
                <w:szCs w:val="24"/>
                <w:highlight w:val="none"/>
              </w:rPr>
              <w:t>时</w:t>
            </w:r>
            <w:r>
              <w:rPr>
                <w:rFonts w:hint="eastAsia" w:ascii="宋体" w:hAnsi="宋体" w:cs="宋体"/>
                <w:sz w:val="24"/>
                <w:szCs w:val="24"/>
                <w:highlight w:val="none"/>
                <w:lang w:val="en-US" w:eastAsia="zh-CN"/>
              </w:rPr>
              <w:t>30分</w:t>
            </w:r>
            <w:r>
              <w:rPr>
                <w:rFonts w:hint="eastAsia" w:ascii="宋体" w:hAnsi="宋体" w:cs="宋体"/>
                <w:bCs/>
                <w:sz w:val="24"/>
                <w:highlight w:val="none"/>
              </w:rPr>
              <w:t>（北京时间）</w:t>
            </w:r>
          </w:p>
          <w:p>
            <w:pPr>
              <w:snapToGrid w:val="0"/>
              <w:spacing w:line="360" w:lineRule="auto"/>
              <w:ind w:right="105" w:rightChars="50"/>
              <w:rPr>
                <w:rFonts w:hint="eastAsia" w:ascii="宋体" w:hAnsi="宋体"/>
                <w:sz w:val="24"/>
                <w:highlight w:val="none"/>
              </w:rPr>
            </w:pPr>
            <w:r>
              <w:rPr>
                <w:rFonts w:hint="eastAsia" w:ascii="宋体" w:hAnsi="宋体"/>
                <w:sz w:val="24"/>
                <w:highlight w:val="none"/>
              </w:rPr>
              <w:t>磋商地点：</w:t>
            </w:r>
            <w:r>
              <w:rPr>
                <w:rFonts w:hint="eastAsia" w:ascii="宋体" w:hAnsi="宋体" w:cs="宋体"/>
                <w:sz w:val="24"/>
                <w:highlight w:val="none"/>
              </w:rPr>
              <w:t>伊宁市开发区大学生科技创业孵化基地6楼（安徽路和深圳路交叉路口）开标室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14</w:t>
            </w:r>
          </w:p>
        </w:tc>
        <w:tc>
          <w:tcPr>
            <w:tcW w:w="8981" w:type="dxa"/>
            <w:noWrap w:val="0"/>
            <w:vAlign w:val="center"/>
          </w:tcPr>
          <w:p>
            <w:pPr>
              <w:snapToGrid w:val="0"/>
              <w:spacing w:line="360" w:lineRule="auto"/>
              <w:rPr>
                <w:rFonts w:ascii="宋体" w:hAnsi="宋体"/>
                <w:sz w:val="24"/>
                <w:highlight w:val="none"/>
              </w:rPr>
            </w:pPr>
            <w:r>
              <w:rPr>
                <w:rFonts w:hint="eastAsia" w:ascii="宋体" w:hAnsi="宋体"/>
                <w:sz w:val="24"/>
                <w:highlight w:val="none"/>
              </w:rPr>
              <w:t>成交原则：经磋商确定最终采购需求和提交最后报价的承包商后，由磋商小组采用综合评分法对提交最后报价的承包商的响应文件和最后报价进行综合评分。</w:t>
            </w:r>
          </w:p>
          <w:p>
            <w:pPr>
              <w:snapToGrid w:val="0"/>
              <w:spacing w:line="360" w:lineRule="auto"/>
              <w:ind w:right="105" w:rightChars="50"/>
              <w:rPr>
                <w:rFonts w:ascii="宋体" w:hAnsi="宋体"/>
                <w:sz w:val="24"/>
                <w:highlight w:val="none"/>
              </w:rPr>
            </w:pPr>
            <w:r>
              <w:rPr>
                <w:rFonts w:hint="eastAsia" w:ascii="宋体" w:hAnsi="宋体"/>
                <w:sz w:val="24"/>
                <w:highlight w:val="none"/>
              </w:rPr>
              <w:t>综合评分法，是指响应文件满足磋商文件全部实质性要求且按评审因素的量化指标评审得分最高的承包商为成交候选承包商的评审方法。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15</w:t>
            </w:r>
          </w:p>
        </w:tc>
        <w:tc>
          <w:tcPr>
            <w:tcW w:w="8981" w:type="dxa"/>
            <w:noWrap w:val="0"/>
            <w:vAlign w:val="center"/>
          </w:tcPr>
          <w:p>
            <w:pPr>
              <w:spacing w:line="360" w:lineRule="auto"/>
              <w:rPr>
                <w:rFonts w:ascii="宋体" w:hAnsi="宋体"/>
                <w:sz w:val="24"/>
                <w:highlight w:val="none"/>
              </w:rPr>
            </w:pPr>
            <w:r>
              <w:rPr>
                <w:rFonts w:hint="eastAsia" w:ascii="宋体" w:hAnsi="宋体"/>
                <w:sz w:val="24"/>
                <w:highlight w:val="none"/>
              </w:rPr>
              <w:t>磋商小组的组建：磋商小组3人，其中业主代表1人。</w:t>
            </w:r>
          </w:p>
          <w:p>
            <w:pPr>
              <w:spacing w:line="360" w:lineRule="auto"/>
              <w:rPr>
                <w:rFonts w:ascii="宋体" w:hAnsi="宋体"/>
                <w:sz w:val="24"/>
                <w:highlight w:val="none"/>
              </w:rPr>
            </w:pPr>
            <w:r>
              <w:rPr>
                <w:rFonts w:hint="eastAsia" w:ascii="宋体" w:hAnsi="宋体"/>
                <w:sz w:val="24"/>
                <w:highlight w:val="none"/>
              </w:rPr>
              <w:t>磋商专家确定方式：采购人在专家库中随机抽取。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16</w:t>
            </w:r>
          </w:p>
        </w:tc>
        <w:tc>
          <w:tcPr>
            <w:tcW w:w="8981" w:type="dxa"/>
            <w:noWrap w:val="0"/>
            <w:vAlign w:val="center"/>
          </w:tcPr>
          <w:p>
            <w:pPr>
              <w:spacing w:line="360" w:lineRule="auto"/>
              <w:ind w:left="1882" w:hanging="1881" w:hangingChars="784"/>
              <w:rPr>
                <w:rFonts w:hint="eastAsia" w:ascii="宋体" w:hAnsi="宋体"/>
                <w:sz w:val="24"/>
                <w:highlight w:val="none"/>
              </w:rPr>
            </w:pPr>
            <w:r>
              <w:rPr>
                <w:rFonts w:hint="eastAsia" w:ascii="宋体" w:hAnsi="宋体"/>
                <w:sz w:val="24"/>
                <w:highlight w:val="none"/>
              </w:rPr>
              <w:t>付款方式：双方签订合同另行约定；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17</w:t>
            </w:r>
          </w:p>
        </w:tc>
        <w:tc>
          <w:tcPr>
            <w:tcW w:w="8981" w:type="dxa"/>
            <w:noWrap w:val="0"/>
            <w:vAlign w:val="center"/>
          </w:tcPr>
          <w:p>
            <w:pPr>
              <w:spacing w:line="360" w:lineRule="auto"/>
              <w:ind w:left="1882" w:hanging="1881" w:hangingChars="784"/>
              <w:rPr>
                <w:rFonts w:ascii="宋体" w:hAnsi="宋体"/>
                <w:sz w:val="24"/>
                <w:highlight w:val="none"/>
              </w:rPr>
            </w:pPr>
            <w:r>
              <w:rPr>
                <w:rFonts w:hint="eastAsia" w:ascii="宋体" w:hAnsi="宋体"/>
                <w:sz w:val="24"/>
                <w:highlight w:val="none"/>
              </w:rPr>
              <w:t>交货期</w:t>
            </w:r>
            <w:r>
              <w:rPr>
                <w:rFonts w:hint="eastAsia" w:ascii="宋体" w:hAnsi="宋体"/>
                <w:sz w:val="24"/>
                <w:szCs w:val="22"/>
                <w:highlight w:val="none"/>
              </w:rPr>
              <w:t>：</w:t>
            </w:r>
            <w:r>
              <w:rPr>
                <w:rFonts w:hint="eastAsia" w:ascii="宋体" w:hAnsi="宋体" w:cs="宋体"/>
                <w:bCs/>
                <w:sz w:val="24"/>
                <w:szCs w:val="24"/>
                <w:highlight w:val="none"/>
                <w:shd w:val="clear" w:color="050000" w:fill="auto"/>
              </w:rPr>
              <w:t>签订合同后45个日历天内交付使用</w:t>
            </w:r>
            <w:r>
              <w:rPr>
                <w:rFonts w:hint="eastAsia" w:ascii="宋体" w:hAnsi="宋体"/>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9" w:type="dxa"/>
            <w:noWrap w:val="0"/>
            <w:vAlign w:val="center"/>
          </w:tcPr>
          <w:p>
            <w:pPr>
              <w:snapToGrid w:val="0"/>
              <w:spacing w:line="360" w:lineRule="auto"/>
              <w:ind w:right="105" w:rightChars="50"/>
              <w:jc w:val="center"/>
              <w:rPr>
                <w:rFonts w:hint="eastAsia" w:ascii="宋体" w:hAnsi="宋体"/>
                <w:sz w:val="28"/>
                <w:szCs w:val="28"/>
                <w:highlight w:val="none"/>
              </w:rPr>
            </w:pPr>
            <w:r>
              <w:rPr>
                <w:rFonts w:hint="eastAsia" w:ascii="宋体" w:hAnsi="宋体"/>
                <w:sz w:val="28"/>
                <w:szCs w:val="28"/>
                <w:highlight w:val="none"/>
              </w:rPr>
              <w:t>18</w:t>
            </w:r>
          </w:p>
        </w:tc>
        <w:tc>
          <w:tcPr>
            <w:tcW w:w="8981" w:type="dxa"/>
            <w:noWrap w:val="0"/>
            <w:vAlign w:val="center"/>
          </w:tcPr>
          <w:p>
            <w:pPr>
              <w:snapToGrid w:val="0"/>
              <w:spacing w:line="360" w:lineRule="auto"/>
              <w:rPr>
                <w:rFonts w:ascii="宋体" w:hAnsi="宋体"/>
                <w:sz w:val="24"/>
                <w:highlight w:val="none"/>
              </w:rPr>
            </w:pPr>
            <w:r>
              <w:rPr>
                <w:rFonts w:hint="eastAsia" w:ascii="宋体" w:hAnsi="宋体"/>
                <w:sz w:val="24"/>
                <w:highlight w:val="none"/>
              </w:rPr>
              <w:t>履约保证金金额</w:t>
            </w:r>
            <w:r>
              <w:rPr>
                <w:rFonts w:hint="eastAsia" w:ascii="宋体" w:hAnsi="宋体"/>
                <w:sz w:val="24"/>
                <w:szCs w:val="22"/>
                <w:highlight w:val="none"/>
              </w:rPr>
              <w:t>：■不要求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999" w:type="dxa"/>
            <w:noWrap w:val="0"/>
            <w:vAlign w:val="center"/>
          </w:tcPr>
          <w:p>
            <w:pPr>
              <w:snapToGrid w:val="0"/>
              <w:spacing w:line="360" w:lineRule="auto"/>
              <w:ind w:right="105" w:rightChars="50"/>
              <w:jc w:val="center"/>
              <w:rPr>
                <w:rFonts w:hint="eastAsia" w:ascii="宋体" w:hAnsi="宋体"/>
                <w:sz w:val="28"/>
                <w:szCs w:val="28"/>
                <w:highlight w:val="none"/>
              </w:rPr>
            </w:pPr>
            <w:r>
              <w:rPr>
                <w:rFonts w:hint="eastAsia" w:ascii="宋体" w:hAnsi="宋体"/>
                <w:sz w:val="28"/>
                <w:szCs w:val="28"/>
                <w:highlight w:val="none"/>
              </w:rPr>
              <w:t xml:space="preserve"> 19</w:t>
            </w:r>
          </w:p>
        </w:tc>
        <w:tc>
          <w:tcPr>
            <w:tcW w:w="8981" w:type="dxa"/>
            <w:noWrap w:val="0"/>
            <w:vAlign w:val="center"/>
          </w:tcPr>
          <w:p>
            <w:pPr>
              <w:spacing w:line="360" w:lineRule="auto"/>
              <w:rPr>
                <w:rFonts w:ascii="宋体" w:hAnsi="宋体"/>
                <w:sz w:val="24"/>
                <w:highlight w:val="none"/>
              </w:rPr>
            </w:pPr>
            <w:r>
              <w:rPr>
                <w:rFonts w:hint="eastAsia" w:ascii="宋体" w:hAnsi="宋体"/>
                <w:sz w:val="24"/>
                <w:highlight w:val="none"/>
              </w:rPr>
              <w:t>招标代理服务费：</w:t>
            </w:r>
            <w:r>
              <w:rPr>
                <w:rFonts w:hint="eastAsia" w:ascii="宋体" w:hAnsi="宋体" w:cs="Arial"/>
                <w:sz w:val="24"/>
                <w:highlight w:val="none"/>
              </w:rPr>
              <w:t>采购代理服务费由成交方向新疆宣宇项目管理有限公司支付，金额按国家发改委（计价格［2002］1980号；[ 2003]  857号）文规定计取。（不含税）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 xml:space="preserve"> 20</w:t>
            </w:r>
          </w:p>
        </w:tc>
        <w:tc>
          <w:tcPr>
            <w:tcW w:w="8981" w:type="dxa"/>
            <w:noWrap w:val="0"/>
            <w:vAlign w:val="center"/>
          </w:tcPr>
          <w:p>
            <w:pPr>
              <w:snapToGrid w:val="0"/>
              <w:spacing w:line="360" w:lineRule="auto"/>
              <w:ind w:right="105" w:rightChars="50"/>
              <w:rPr>
                <w:rFonts w:ascii="宋体" w:hAnsi="宋体"/>
                <w:bCs/>
                <w:sz w:val="24"/>
                <w:highlight w:val="none"/>
              </w:rPr>
            </w:pPr>
            <w:r>
              <w:rPr>
                <w:rFonts w:hint="eastAsia" w:ascii="宋体" w:hAnsi="宋体"/>
                <w:bCs/>
                <w:sz w:val="24"/>
                <w:szCs w:val="21"/>
                <w:highlight w:val="none"/>
              </w:rPr>
              <w:t>各承包商的调研费、差旅费等费用自理。</w:t>
            </w:r>
            <w:r>
              <w:rPr>
                <w:rFonts w:hint="eastAsia" w:ascii="宋体" w:hAnsi="宋体"/>
                <w:bCs/>
                <w:sz w:val="24"/>
                <w:highlight w:val="none"/>
              </w:rPr>
              <w:t>无论竞标结果如何，承包商均应自行承担竞标所需一切费用。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999" w:type="dxa"/>
            <w:noWrap w:val="0"/>
            <w:vAlign w:val="center"/>
          </w:tcPr>
          <w:p>
            <w:pPr>
              <w:snapToGrid w:val="0"/>
              <w:spacing w:line="360" w:lineRule="auto"/>
              <w:ind w:right="105" w:rightChars="50"/>
              <w:jc w:val="center"/>
              <w:rPr>
                <w:rFonts w:ascii="宋体" w:hAnsi="宋体"/>
                <w:sz w:val="28"/>
                <w:szCs w:val="28"/>
                <w:highlight w:val="none"/>
              </w:rPr>
            </w:pPr>
            <w:r>
              <w:rPr>
                <w:rFonts w:hint="eastAsia" w:ascii="宋体" w:hAnsi="宋体"/>
                <w:sz w:val="28"/>
                <w:szCs w:val="28"/>
                <w:highlight w:val="none"/>
              </w:rPr>
              <w:t>21</w:t>
            </w:r>
          </w:p>
        </w:tc>
        <w:tc>
          <w:tcPr>
            <w:tcW w:w="8981" w:type="dxa"/>
            <w:noWrap w:val="0"/>
            <w:vAlign w:val="center"/>
          </w:tcPr>
          <w:p>
            <w:pPr>
              <w:snapToGrid w:val="0"/>
              <w:spacing w:line="360" w:lineRule="auto"/>
              <w:ind w:right="105" w:rightChars="50"/>
              <w:rPr>
                <w:rFonts w:ascii="宋体" w:hAnsi="宋体"/>
                <w:b/>
                <w:bCs/>
                <w:sz w:val="24"/>
                <w:szCs w:val="21"/>
                <w:highlight w:val="none"/>
              </w:rPr>
            </w:pPr>
            <w:r>
              <w:rPr>
                <w:rFonts w:hint="eastAsia" w:ascii="宋体" w:hAnsi="宋体"/>
                <w:b/>
                <w:bCs/>
                <w:sz w:val="24"/>
                <w:szCs w:val="21"/>
                <w:highlight w:val="none"/>
              </w:rPr>
              <w:t>特别说明：</w:t>
            </w:r>
          </w:p>
          <w:p>
            <w:pPr>
              <w:snapToGrid w:val="0"/>
              <w:spacing w:line="360" w:lineRule="auto"/>
              <w:ind w:right="105" w:rightChars="50"/>
              <w:rPr>
                <w:rFonts w:ascii="宋体" w:hAnsi="宋体"/>
                <w:b/>
                <w:bCs/>
                <w:sz w:val="24"/>
                <w:szCs w:val="21"/>
                <w:highlight w:val="none"/>
              </w:rPr>
            </w:pPr>
            <w:r>
              <w:rPr>
                <w:rFonts w:hint="eastAsia" w:ascii="宋体" w:hAnsi="宋体"/>
                <w:b/>
                <w:bCs/>
                <w:sz w:val="24"/>
                <w:szCs w:val="21"/>
                <w:highlight w:val="none"/>
              </w:rPr>
              <w:t>1.为保证本项目质量，良好的售后服务，最低报价不作为中标的唯一依据。</w:t>
            </w:r>
          </w:p>
          <w:p>
            <w:pPr>
              <w:snapToGrid w:val="0"/>
              <w:spacing w:line="360" w:lineRule="auto"/>
              <w:ind w:right="105" w:rightChars="50"/>
              <w:rPr>
                <w:rFonts w:ascii="宋体" w:hAnsi="宋体"/>
                <w:b/>
                <w:bCs/>
                <w:sz w:val="24"/>
                <w:szCs w:val="21"/>
                <w:highlight w:val="none"/>
              </w:rPr>
            </w:pPr>
            <w:r>
              <w:rPr>
                <w:rFonts w:hint="eastAsia" w:ascii="宋体" w:hAnsi="宋体"/>
                <w:b/>
                <w:bCs/>
                <w:sz w:val="24"/>
                <w:szCs w:val="21"/>
                <w:highlight w:val="none"/>
              </w:rPr>
              <w:t>2.采购人若发现成交候选承包商在竞标过程中提供虚假证明文件，故意隐瞒公司不良信誉和财务状况，以及存在可能对合同圆满履行造成风险的其他因素等，则按规定取消其成交资格，监管部门依法进行处理。</w:t>
            </w:r>
          </w:p>
        </w:tc>
      </w:tr>
    </w:tbl>
    <w:p>
      <w:pPr>
        <w:pStyle w:val="5"/>
        <w:rPr>
          <w:rFonts w:ascii="宋体" w:hAnsi="宋体"/>
          <w:highlight w:val="none"/>
        </w:rPr>
      </w:pPr>
    </w:p>
    <w:p>
      <w:pPr>
        <w:pStyle w:val="5"/>
        <w:ind w:firstLine="560"/>
        <w:rPr>
          <w:rFonts w:ascii="宋体" w:hAnsi="宋体" w:cs="Arial"/>
          <w:sz w:val="28"/>
          <w:szCs w:val="28"/>
          <w:highlight w:val="none"/>
        </w:rPr>
      </w:pPr>
      <w:bookmarkStart w:id="48" w:name="_Toc349573121"/>
      <w:bookmarkStart w:id="49" w:name="_Toc349637920"/>
      <w:bookmarkStart w:id="50" w:name="_Toc298240405"/>
      <w:bookmarkStart w:id="51" w:name="_Toc516489106"/>
      <w:bookmarkStart w:id="52" w:name="_Toc267301282"/>
    </w:p>
    <w:p>
      <w:pPr>
        <w:pStyle w:val="5"/>
        <w:ind w:firstLine="560"/>
        <w:rPr>
          <w:rFonts w:ascii="宋体" w:hAnsi="宋体" w:cs="Arial"/>
          <w:sz w:val="28"/>
          <w:szCs w:val="28"/>
          <w:highlight w:val="none"/>
        </w:rPr>
      </w:pPr>
    </w:p>
    <w:p>
      <w:pPr>
        <w:pStyle w:val="5"/>
        <w:ind w:firstLine="560"/>
        <w:rPr>
          <w:rFonts w:ascii="宋体" w:hAnsi="宋体" w:cs="Arial"/>
          <w:sz w:val="28"/>
          <w:szCs w:val="28"/>
          <w:highlight w:val="none"/>
        </w:rPr>
      </w:pPr>
    </w:p>
    <w:p>
      <w:pPr>
        <w:pStyle w:val="5"/>
        <w:ind w:firstLine="560"/>
        <w:rPr>
          <w:rFonts w:ascii="宋体" w:hAnsi="宋体" w:cs="Arial"/>
          <w:sz w:val="28"/>
          <w:szCs w:val="28"/>
          <w:highlight w:val="none"/>
        </w:rPr>
      </w:pPr>
    </w:p>
    <w:p>
      <w:pPr>
        <w:pStyle w:val="5"/>
        <w:ind w:firstLine="560"/>
        <w:rPr>
          <w:rFonts w:ascii="宋体" w:hAnsi="宋体" w:cs="Arial"/>
          <w:sz w:val="28"/>
          <w:szCs w:val="28"/>
          <w:highlight w:val="none"/>
        </w:rPr>
      </w:pPr>
    </w:p>
    <w:p>
      <w:pPr>
        <w:pStyle w:val="5"/>
        <w:ind w:firstLine="560"/>
        <w:rPr>
          <w:rFonts w:ascii="宋体" w:hAnsi="宋体" w:cs="Arial"/>
          <w:sz w:val="28"/>
          <w:szCs w:val="28"/>
          <w:highlight w:val="none"/>
        </w:rPr>
      </w:pPr>
    </w:p>
    <w:p>
      <w:pPr>
        <w:pStyle w:val="4"/>
        <w:spacing w:before="100" w:beforeAutospacing="1" w:after="100" w:afterAutospacing="1" w:line="400" w:lineRule="atLeast"/>
        <w:jc w:val="center"/>
        <w:outlineLvl w:val="0"/>
        <w:rPr>
          <w:rFonts w:ascii="宋体" w:hAnsi="宋体" w:eastAsia="宋体" w:cs="Arial"/>
          <w:sz w:val="28"/>
          <w:szCs w:val="28"/>
          <w:highlight w:val="none"/>
        </w:rPr>
      </w:pPr>
      <w:bookmarkStart w:id="53" w:name="_Toc21778"/>
      <w:r>
        <w:rPr>
          <w:rFonts w:ascii="宋体" w:hAnsi="宋体" w:eastAsia="宋体" w:cs="Arial"/>
          <w:sz w:val="28"/>
          <w:szCs w:val="28"/>
          <w:highlight w:val="none"/>
        </w:rPr>
        <w:t>A  说　明</w:t>
      </w:r>
      <w:bookmarkEnd w:id="48"/>
      <w:bookmarkEnd w:id="49"/>
      <w:bookmarkEnd w:id="50"/>
      <w:bookmarkEnd w:id="51"/>
      <w:bookmarkEnd w:id="52"/>
      <w:bookmarkEnd w:id="53"/>
    </w:p>
    <w:p>
      <w:pPr>
        <w:spacing w:line="400" w:lineRule="atLeast"/>
        <w:rPr>
          <w:rFonts w:ascii="宋体" w:hAnsi="宋体" w:cs="Arial"/>
          <w:sz w:val="24"/>
          <w:highlight w:val="none"/>
        </w:rPr>
      </w:pPr>
      <w:r>
        <w:rPr>
          <w:rFonts w:ascii="宋体" w:hAnsi="宋体" w:cs="Arial"/>
          <w:sz w:val="24"/>
          <w:highlight w:val="none"/>
        </w:rPr>
        <w:t>1. 适用范围</w:t>
      </w:r>
    </w:p>
    <w:p>
      <w:pPr>
        <w:numPr>
          <w:ilvl w:val="1"/>
          <w:numId w:val="2"/>
        </w:numPr>
        <w:spacing w:line="400" w:lineRule="atLeast"/>
        <w:rPr>
          <w:rFonts w:ascii="宋体" w:hAnsi="宋体" w:cs="Arial"/>
          <w:sz w:val="24"/>
          <w:highlight w:val="none"/>
        </w:rPr>
      </w:pPr>
      <w:r>
        <w:rPr>
          <w:rFonts w:ascii="宋体" w:hAnsi="宋体" w:cs="Arial"/>
          <w:sz w:val="24"/>
          <w:highlight w:val="none"/>
        </w:rPr>
        <w:t xml:space="preserve"> 本磋商文件仅适用于本次投标邀请中所叙述项目的服务采购。</w:t>
      </w:r>
    </w:p>
    <w:p>
      <w:pPr>
        <w:spacing w:line="400" w:lineRule="atLeast"/>
        <w:rPr>
          <w:rFonts w:ascii="宋体" w:hAnsi="宋体" w:cs="Arial"/>
          <w:sz w:val="24"/>
          <w:highlight w:val="none"/>
        </w:rPr>
      </w:pPr>
      <w:r>
        <w:rPr>
          <w:rFonts w:ascii="宋体" w:hAnsi="宋体" w:cs="Arial"/>
          <w:sz w:val="24"/>
          <w:highlight w:val="none"/>
        </w:rPr>
        <w:t>2．定义</w:t>
      </w:r>
    </w:p>
    <w:p>
      <w:pPr>
        <w:spacing w:line="400" w:lineRule="atLeast"/>
        <w:rPr>
          <w:rFonts w:ascii="宋体" w:hAnsi="宋体" w:cs="Arial"/>
          <w:sz w:val="24"/>
          <w:highlight w:val="none"/>
        </w:rPr>
      </w:pPr>
      <w:r>
        <w:rPr>
          <w:rFonts w:ascii="宋体" w:hAnsi="宋体" w:cs="Arial"/>
          <w:sz w:val="24"/>
          <w:highlight w:val="none"/>
        </w:rPr>
        <w:t>2.1 “招标代理机构”系指</w:t>
      </w:r>
      <w:r>
        <w:rPr>
          <w:rFonts w:hint="eastAsia" w:ascii="宋体" w:hAnsi="宋体" w:cs="Arial"/>
          <w:sz w:val="24"/>
          <w:highlight w:val="none"/>
        </w:rPr>
        <w:t>新疆宣宇项目管理有限公司</w:t>
      </w:r>
      <w:r>
        <w:rPr>
          <w:rFonts w:ascii="宋体" w:hAnsi="宋体" w:cs="Arial"/>
          <w:sz w:val="24"/>
          <w:highlight w:val="none"/>
        </w:rPr>
        <w:t>；</w:t>
      </w:r>
    </w:p>
    <w:p>
      <w:pPr>
        <w:spacing w:line="400" w:lineRule="atLeast"/>
        <w:ind w:left="480" w:hanging="480" w:hangingChars="200"/>
        <w:rPr>
          <w:rFonts w:ascii="宋体" w:hAnsi="宋体" w:cs="Arial"/>
          <w:sz w:val="24"/>
          <w:highlight w:val="none"/>
        </w:rPr>
      </w:pPr>
      <w:r>
        <w:rPr>
          <w:rFonts w:ascii="宋体" w:hAnsi="宋体" w:cs="Arial"/>
          <w:sz w:val="24"/>
          <w:highlight w:val="none"/>
        </w:rPr>
        <w:t>2.2 “买方”系指</w:t>
      </w:r>
      <w:r>
        <w:rPr>
          <w:rFonts w:hint="eastAsia" w:ascii="宋体" w:hAnsi="宋体" w:cs="Arial"/>
          <w:sz w:val="24"/>
          <w:szCs w:val="24"/>
          <w:highlight w:val="none"/>
        </w:rPr>
        <w:t>伊犁职业技术学院</w:t>
      </w:r>
      <w:r>
        <w:rPr>
          <w:rFonts w:ascii="宋体" w:hAnsi="宋体" w:cs="Arial"/>
          <w:sz w:val="24"/>
          <w:highlight w:val="none"/>
        </w:rPr>
        <w:t>；</w:t>
      </w:r>
    </w:p>
    <w:p>
      <w:pPr>
        <w:spacing w:line="400" w:lineRule="atLeast"/>
        <w:rPr>
          <w:rFonts w:ascii="宋体" w:hAnsi="宋体" w:cs="Arial"/>
          <w:sz w:val="24"/>
          <w:highlight w:val="none"/>
        </w:rPr>
      </w:pPr>
      <w:r>
        <w:rPr>
          <w:rFonts w:ascii="宋体" w:hAnsi="宋体" w:cs="Arial"/>
          <w:sz w:val="24"/>
          <w:highlight w:val="none"/>
        </w:rPr>
        <w:t>2.3 “供应商”系指向招标代理机构提交磋商响应文件的制造商或代理商；</w:t>
      </w:r>
    </w:p>
    <w:p>
      <w:pPr>
        <w:spacing w:line="400" w:lineRule="atLeast"/>
        <w:rPr>
          <w:rFonts w:ascii="宋体" w:hAnsi="宋体" w:cs="Arial"/>
          <w:sz w:val="24"/>
          <w:highlight w:val="none"/>
        </w:rPr>
      </w:pPr>
      <w:r>
        <w:rPr>
          <w:rFonts w:ascii="宋体" w:hAnsi="宋体" w:cs="Arial"/>
          <w:sz w:val="24"/>
          <w:highlight w:val="none"/>
        </w:rPr>
        <w:t>2.4 “中标方”系指在本次项目中将被授予合同的供应商。</w:t>
      </w:r>
    </w:p>
    <w:p>
      <w:pPr>
        <w:spacing w:line="400" w:lineRule="atLeast"/>
        <w:rPr>
          <w:rFonts w:ascii="宋体" w:hAnsi="宋体" w:cs="Arial"/>
          <w:sz w:val="24"/>
          <w:highlight w:val="none"/>
        </w:rPr>
      </w:pPr>
      <w:r>
        <w:rPr>
          <w:rFonts w:ascii="宋体" w:hAnsi="宋体" w:cs="Arial"/>
          <w:sz w:val="24"/>
          <w:highlight w:val="none"/>
        </w:rPr>
        <w:t>3．合格的供应商</w:t>
      </w:r>
    </w:p>
    <w:p>
      <w:pPr>
        <w:spacing w:line="400" w:lineRule="atLeast"/>
        <w:ind w:left="480" w:hanging="480" w:hangingChars="200"/>
        <w:rPr>
          <w:rFonts w:ascii="宋体" w:hAnsi="宋体" w:cs="Arial"/>
          <w:sz w:val="24"/>
          <w:highlight w:val="none"/>
        </w:rPr>
      </w:pPr>
      <w:r>
        <w:rPr>
          <w:rFonts w:ascii="宋体" w:hAnsi="宋体" w:cs="Arial"/>
          <w:sz w:val="24"/>
          <w:highlight w:val="none"/>
        </w:rPr>
        <w:t>3.1 有能力提供磋商文件中所要求的服务、资格审查合格的为合格的供应商；</w:t>
      </w:r>
    </w:p>
    <w:p>
      <w:pPr>
        <w:spacing w:line="400" w:lineRule="atLeast"/>
        <w:rPr>
          <w:rFonts w:ascii="宋体" w:hAnsi="宋体" w:cs="Arial"/>
          <w:sz w:val="24"/>
          <w:highlight w:val="none"/>
        </w:rPr>
      </w:pPr>
      <w:r>
        <w:rPr>
          <w:rFonts w:ascii="宋体" w:hAnsi="宋体" w:cs="Arial"/>
          <w:sz w:val="24"/>
          <w:highlight w:val="none"/>
        </w:rPr>
        <w:t>3.2 供应商必须遵守有关的国内法律和规章条例。</w:t>
      </w:r>
    </w:p>
    <w:p>
      <w:pPr>
        <w:spacing w:line="400" w:lineRule="atLeast"/>
        <w:ind w:left="480" w:hanging="480" w:hangingChars="200"/>
        <w:rPr>
          <w:rFonts w:ascii="宋体" w:hAnsi="宋体" w:cs="Arial"/>
          <w:sz w:val="24"/>
          <w:highlight w:val="none"/>
        </w:rPr>
      </w:pPr>
      <w:r>
        <w:rPr>
          <w:rFonts w:ascii="宋体" w:hAnsi="宋体" w:cs="Arial"/>
          <w:sz w:val="24"/>
          <w:highlight w:val="none"/>
        </w:rPr>
        <w:t>4．供应商资格(废标因素)</w:t>
      </w:r>
    </w:p>
    <w:p>
      <w:pPr>
        <w:snapToGrid w:val="0"/>
        <w:spacing w:line="360" w:lineRule="auto"/>
        <w:ind w:right="105" w:rightChars="50"/>
        <w:jc w:val="left"/>
        <w:rPr>
          <w:rFonts w:hint="eastAsia" w:ascii="宋体" w:hAnsi="宋体"/>
          <w:sz w:val="24"/>
          <w:highlight w:val="none"/>
        </w:rPr>
      </w:pPr>
      <w:r>
        <w:rPr>
          <w:rFonts w:hint="eastAsia" w:ascii="宋体" w:hAnsi="宋体" w:cs="Arial"/>
          <w:sz w:val="24"/>
          <w:highlight w:val="none"/>
        </w:rPr>
        <w:t>4.1</w:t>
      </w:r>
      <w:r>
        <w:rPr>
          <w:rFonts w:hint="eastAsia" w:ascii="宋体" w:hAnsi="宋体"/>
          <w:sz w:val="24"/>
          <w:highlight w:val="none"/>
        </w:rPr>
        <w:t>营业执照（要求投标人具有上述经营范围）；</w:t>
      </w:r>
    </w:p>
    <w:p>
      <w:pPr>
        <w:snapToGrid w:val="0"/>
        <w:spacing w:line="360" w:lineRule="auto"/>
        <w:ind w:right="105" w:rightChars="50"/>
        <w:jc w:val="left"/>
        <w:rPr>
          <w:rFonts w:hint="eastAsia" w:ascii="宋体" w:hAnsi="宋体"/>
          <w:sz w:val="24"/>
          <w:highlight w:val="none"/>
        </w:rPr>
      </w:pPr>
      <w:r>
        <w:rPr>
          <w:rFonts w:hint="eastAsia" w:ascii="宋体" w:hAnsi="宋体"/>
          <w:sz w:val="24"/>
          <w:highlight w:val="none"/>
        </w:rPr>
        <w:t>4.2法定代表人授权委托书及委托代理人身份证；</w:t>
      </w:r>
    </w:p>
    <w:p>
      <w:pPr>
        <w:snapToGrid w:val="0"/>
        <w:spacing w:line="360" w:lineRule="auto"/>
        <w:ind w:right="105" w:rightChars="50"/>
        <w:jc w:val="left"/>
        <w:rPr>
          <w:rFonts w:hint="eastAsia" w:ascii="宋体" w:hAnsi="宋体"/>
          <w:sz w:val="24"/>
          <w:highlight w:val="none"/>
        </w:rPr>
      </w:pPr>
      <w:r>
        <w:rPr>
          <w:rFonts w:hint="eastAsia" w:ascii="宋体" w:hAnsi="宋体"/>
          <w:sz w:val="24"/>
          <w:highlight w:val="none"/>
        </w:rPr>
        <w:t>4.3须提供近一年财务审计报告（2021年或2022年）或银行资信证明；</w:t>
      </w:r>
    </w:p>
    <w:p>
      <w:pPr>
        <w:snapToGrid w:val="0"/>
        <w:spacing w:line="360" w:lineRule="auto"/>
        <w:ind w:right="105" w:rightChars="50"/>
        <w:jc w:val="left"/>
        <w:rPr>
          <w:rFonts w:hint="eastAsia" w:ascii="宋体" w:hAnsi="宋体"/>
          <w:sz w:val="24"/>
          <w:highlight w:val="none"/>
        </w:rPr>
      </w:pPr>
      <w:r>
        <w:rPr>
          <w:rFonts w:hint="eastAsia" w:ascii="宋体" w:hAnsi="宋体"/>
          <w:sz w:val="24"/>
          <w:highlight w:val="none"/>
        </w:rPr>
        <w:t>4.4须提供授权委托人在本单位近半年的社保证明（2021年10月至2022年3月）；</w:t>
      </w:r>
    </w:p>
    <w:p>
      <w:pPr>
        <w:snapToGrid w:val="0"/>
        <w:spacing w:line="360" w:lineRule="auto"/>
        <w:ind w:right="105" w:rightChars="50"/>
        <w:jc w:val="left"/>
        <w:rPr>
          <w:rFonts w:hint="eastAsia" w:ascii="宋体" w:hAnsi="宋体"/>
          <w:sz w:val="24"/>
          <w:highlight w:val="none"/>
        </w:rPr>
      </w:pPr>
      <w:r>
        <w:rPr>
          <w:rFonts w:hint="eastAsia" w:ascii="宋体" w:hAnsi="宋体"/>
          <w:sz w:val="24"/>
          <w:highlight w:val="none"/>
        </w:rPr>
        <w:t>4.5提供信用中国网站、国家企业信用信息公示系统和中国政府采购网查询结果打印件（加盖企业公章）；</w:t>
      </w:r>
    </w:p>
    <w:p>
      <w:pPr>
        <w:snapToGrid w:val="0"/>
        <w:spacing w:line="360" w:lineRule="auto"/>
        <w:ind w:right="105" w:rightChars="50"/>
        <w:jc w:val="left"/>
        <w:rPr>
          <w:rFonts w:hint="eastAsia" w:ascii="宋体" w:hAnsi="宋体"/>
          <w:sz w:val="24"/>
          <w:highlight w:val="none"/>
        </w:rPr>
      </w:pPr>
      <w:r>
        <w:rPr>
          <w:rFonts w:hint="eastAsia" w:ascii="宋体" w:hAnsi="宋体"/>
          <w:sz w:val="24"/>
          <w:highlight w:val="none"/>
        </w:rPr>
        <w:t>4.6售后服务承诺书原件；</w:t>
      </w:r>
    </w:p>
    <w:p>
      <w:pPr>
        <w:pStyle w:val="10"/>
        <w:ind w:left="209" w:hanging="208" w:hangingChars="87"/>
        <w:rPr>
          <w:rFonts w:hint="eastAsia" w:hAnsi="宋体" w:cs="Arial"/>
          <w:sz w:val="24"/>
          <w:highlight w:val="none"/>
        </w:rPr>
      </w:pPr>
      <w:r>
        <w:rPr>
          <w:rFonts w:hint="eastAsia" w:hAnsi="宋体"/>
          <w:sz w:val="24"/>
          <w:highlight w:val="none"/>
        </w:rPr>
        <w:t>4.7投标保证金收据；</w:t>
      </w:r>
    </w:p>
    <w:p>
      <w:pPr>
        <w:pStyle w:val="10"/>
        <w:rPr>
          <w:rFonts w:hAnsi="宋体" w:cs="Arial"/>
          <w:sz w:val="24"/>
          <w:highlight w:val="none"/>
        </w:rPr>
      </w:pPr>
      <w:r>
        <w:rPr>
          <w:rFonts w:hint="eastAsia" w:hAnsi="宋体" w:cs="Arial"/>
          <w:sz w:val="24"/>
          <w:highlight w:val="none"/>
        </w:rPr>
        <w:t>4.8依法注册、具有合法的法人资格，并在法律上、财务上与采购人和招标机构不发生关系</w:t>
      </w:r>
    </w:p>
    <w:p>
      <w:pPr>
        <w:pStyle w:val="10"/>
        <w:ind w:left="209" w:hanging="208" w:hangingChars="87"/>
        <w:rPr>
          <w:rFonts w:hAnsi="宋体" w:cs="Arial"/>
          <w:sz w:val="24"/>
          <w:szCs w:val="24"/>
          <w:highlight w:val="none"/>
        </w:rPr>
      </w:pPr>
      <w:r>
        <w:rPr>
          <w:rFonts w:hint="eastAsia" w:hAnsi="宋体" w:cs="Arial"/>
          <w:sz w:val="24"/>
          <w:highlight w:val="none"/>
        </w:rPr>
        <w:t>4.</w:t>
      </w:r>
      <w:r>
        <w:rPr>
          <w:rFonts w:hint="eastAsia" w:hAnsi="宋体" w:cs="Arial"/>
          <w:sz w:val="24"/>
          <w:szCs w:val="24"/>
          <w:highlight w:val="none"/>
        </w:rPr>
        <w:t>9</w:t>
      </w:r>
      <w:r>
        <w:rPr>
          <w:rFonts w:hAnsi="宋体" w:cs="Arial"/>
          <w:sz w:val="24"/>
          <w:szCs w:val="24"/>
          <w:highlight w:val="none"/>
        </w:rPr>
        <w:t>符合国家有关法律法规的规定；</w:t>
      </w:r>
    </w:p>
    <w:p>
      <w:pPr>
        <w:pStyle w:val="10"/>
        <w:ind w:left="689" w:hanging="688" w:hangingChars="287"/>
        <w:rPr>
          <w:rFonts w:hint="eastAsia" w:hAnsi="宋体" w:cs="Arial"/>
          <w:sz w:val="24"/>
          <w:szCs w:val="24"/>
          <w:highlight w:val="none"/>
        </w:rPr>
      </w:pPr>
      <w:r>
        <w:rPr>
          <w:rFonts w:hint="eastAsia" w:hAnsi="宋体" w:cs="Arial"/>
          <w:sz w:val="24"/>
          <w:szCs w:val="24"/>
          <w:highlight w:val="none"/>
        </w:rPr>
        <w:t>4.10</w:t>
      </w:r>
      <w:r>
        <w:rPr>
          <w:rFonts w:hAnsi="宋体" w:cs="Arial"/>
          <w:sz w:val="24"/>
          <w:szCs w:val="24"/>
          <w:highlight w:val="none"/>
        </w:rPr>
        <w:t>关于本项目的特殊要求</w:t>
      </w:r>
      <w:r>
        <w:rPr>
          <w:rFonts w:hint="eastAsia" w:hAnsi="宋体" w:cs="Arial"/>
          <w:sz w:val="24"/>
          <w:szCs w:val="24"/>
          <w:highlight w:val="none"/>
        </w:rPr>
        <w:t>：无</w:t>
      </w:r>
    </w:p>
    <w:p>
      <w:pPr>
        <w:pStyle w:val="10"/>
        <w:ind w:left="689" w:hanging="688" w:hangingChars="287"/>
        <w:rPr>
          <w:rFonts w:hint="eastAsia" w:hAnsi="宋体" w:cs="Arial"/>
          <w:sz w:val="24"/>
          <w:szCs w:val="24"/>
          <w:highlight w:val="none"/>
        </w:rPr>
      </w:pPr>
      <w:r>
        <w:rPr>
          <w:rFonts w:hint="eastAsia" w:hAnsi="宋体" w:cs="Arial"/>
          <w:sz w:val="24"/>
          <w:szCs w:val="24"/>
          <w:highlight w:val="none"/>
        </w:rPr>
        <w:t>4.11本项目不接受联合体投标。</w:t>
      </w:r>
    </w:p>
    <w:p>
      <w:pPr>
        <w:tabs>
          <w:tab w:val="left" w:pos="252"/>
          <w:tab w:val="left" w:pos="671"/>
        </w:tabs>
        <w:rPr>
          <w:rFonts w:ascii="宋体" w:hAnsi="宋体" w:cs="Arial"/>
          <w:sz w:val="24"/>
          <w:highlight w:val="none"/>
        </w:rPr>
      </w:pPr>
      <w:r>
        <w:rPr>
          <w:rFonts w:ascii="宋体" w:hAnsi="宋体" w:cs="Arial"/>
          <w:sz w:val="24"/>
          <w:highlight w:val="none"/>
        </w:rPr>
        <w:t>5．投标费用</w:t>
      </w:r>
    </w:p>
    <w:p>
      <w:pPr>
        <w:spacing w:line="400" w:lineRule="atLeast"/>
        <w:ind w:left="480" w:hanging="480"/>
        <w:rPr>
          <w:rFonts w:ascii="宋体" w:hAnsi="宋体" w:cs="Arial"/>
          <w:sz w:val="24"/>
          <w:highlight w:val="none"/>
        </w:rPr>
      </w:pPr>
      <w:r>
        <w:rPr>
          <w:rFonts w:ascii="宋体" w:hAnsi="宋体" w:cs="Arial"/>
          <w:sz w:val="24"/>
          <w:highlight w:val="none"/>
        </w:rPr>
        <w:t>5.1 无论投标过程中的作法和结果如何，供应商将自行承担所有与参加投标有关的全部费用。</w:t>
      </w:r>
    </w:p>
    <w:p>
      <w:pPr>
        <w:pStyle w:val="4"/>
        <w:spacing w:before="100" w:beforeAutospacing="1" w:after="100" w:afterAutospacing="1" w:line="400" w:lineRule="atLeast"/>
        <w:jc w:val="center"/>
        <w:outlineLvl w:val="9"/>
        <w:rPr>
          <w:rFonts w:ascii="宋体" w:hAnsi="宋体" w:eastAsia="宋体" w:cs="Arial"/>
          <w:sz w:val="28"/>
          <w:szCs w:val="28"/>
          <w:highlight w:val="none"/>
        </w:rPr>
      </w:pPr>
      <w:bookmarkStart w:id="54" w:name="_Toc516489107"/>
      <w:bookmarkStart w:id="55" w:name="_Toc267301283"/>
      <w:bookmarkStart w:id="56" w:name="_Toc349637921"/>
      <w:bookmarkStart w:id="57" w:name="_Toc349573122"/>
      <w:bookmarkStart w:id="58" w:name="_Toc298240406"/>
    </w:p>
    <w:p>
      <w:pPr>
        <w:pStyle w:val="4"/>
        <w:spacing w:before="100" w:beforeAutospacing="1" w:after="100" w:afterAutospacing="1" w:line="400" w:lineRule="atLeast"/>
        <w:jc w:val="center"/>
        <w:outlineLvl w:val="0"/>
        <w:rPr>
          <w:rFonts w:ascii="宋体" w:hAnsi="宋体" w:eastAsia="宋体" w:cs="Arial"/>
          <w:sz w:val="28"/>
          <w:szCs w:val="28"/>
          <w:highlight w:val="none"/>
        </w:rPr>
      </w:pPr>
      <w:bookmarkStart w:id="59" w:name="_Toc2212"/>
      <w:r>
        <w:rPr>
          <w:rFonts w:ascii="宋体" w:hAnsi="宋体" w:eastAsia="宋体" w:cs="Arial"/>
          <w:sz w:val="28"/>
          <w:szCs w:val="28"/>
          <w:highlight w:val="none"/>
        </w:rPr>
        <w:t>B  磋商文件</w:t>
      </w:r>
      <w:bookmarkEnd w:id="54"/>
      <w:bookmarkEnd w:id="55"/>
      <w:bookmarkEnd w:id="56"/>
      <w:bookmarkEnd w:id="57"/>
      <w:bookmarkEnd w:id="58"/>
      <w:bookmarkEnd w:id="59"/>
    </w:p>
    <w:p>
      <w:pPr>
        <w:spacing w:line="400" w:lineRule="atLeast"/>
        <w:rPr>
          <w:rFonts w:ascii="宋体" w:hAnsi="宋体" w:cs="Arial"/>
          <w:sz w:val="24"/>
          <w:highlight w:val="none"/>
        </w:rPr>
      </w:pPr>
      <w:r>
        <w:rPr>
          <w:rFonts w:ascii="宋体" w:hAnsi="宋体" w:cs="Arial"/>
          <w:sz w:val="24"/>
          <w:highlight w:val="none"/>
        </w:rPr>
        <w:t>6．磋商文件构成</w:t>
      </w:r>
    </w:p>
    <w:p>
      <w:pPr>
        <w:spacing w:line="400" w:lineRule="atLeast"/>
        <w:rPr>
          <w:rFonts w:ascii="宋体" w:hAnsi="宋体" w:cs="Arial"/>
          <w:sz w:val="24"/>
          <w:highlight w:val="none"/>
        </w:rPr>
      </w:pPr>
      <w:r>
        <w:rPr>
          <w:rFonts w:ascii="宋体" w:hAnsi="宋体" w:cs="Arial"/>
          <w:sz w:val="24"/>
          <w:highlight w:val="none"/>
        </w:rPr>
        <w:t>6.1磋商文件包括：</w:t>
      </w:r>
    </w:p>
    <w:p>
      <w:pPr>
        <w:spacing w:line="400" w:lineRule="atLeast"/>
        <w:ind w:firstLine="240"/>
        <w:rPr>
          <w:rFonts w:ascii="宋体" w:hAnsi="宋体" w:cs="Arial"/>
          <w:sz w:val="24"/>
          <w:highlight w:val="none"/>
        </w:rPr>
      </w:pPr>
      <w:r>
        <w:rPr>
          <w:rFonts w:ascii="宋体" w:hAnsi="宋体" w:cs="Arial"/>
          <w:sz w:val="24"/>
          <w:highlight w:val="none"/>
        </w:rPr>
        <w:t>⑴投标邀请；</w:t>
      </w:r>
    </w:p>
    <w:p>
      <w:pPr>
        <w:spacing w:line="400" w:lineRule="atLeast"/>
        <w:ind w:firstLine="240"/>
        <w:rPr>
          <w:rFonts w:ascii="宋体" w:hAnsi="宋体" w:cs="Arial"/>
          <w:sz w:val="24"/>
          <w:highlight w:val="none"/>
        </w:rPr>
      </w:pPr>
      <w:r>
        <w:rPr>
          <w:rFonts w:ascii="宋体" w:hAnsi="宋体" w:cs="Arial"/>
          <w:sz w:val="24"/>
          <w:highlight w:val="none"/>
        </w:rPr>
        <w:t>⑵供应商须知；</w:t>
      </w:r>
    </w:p>
    <w:p>
      <w:pPr>
        <w:spacing w:line="400" w:lineRule="atLeast"/>
        <w:ind w:firstLine="240"/>
        <w:rPr>
          <w:rFonts w:ascii="宋体" w:hAnsi="宋体" w:cs="Arial"/>
          <w:sz w:val="24"/>
          <w:highlight w:val="none"/>
        </w:rPr>
      </w:pPr>
      <w:r>
        <w:rPr>
          <w:rFonts w:ascii="宋体" w:hAnsi="宋体" w:cs="Arial"/>
          <w:sz w:val="24"/>
          <w:highlight w:val="none"/>
        </w:rPr>
        <w:t>⑶</w:t>
      </w:r>
      <w:r>
        <w:rPr>
          <w:rFonts w:hint="eastAsia" w:ascii="宋体" w:hAnsi="宋体" w:cs="Arial"/>
          <w:sz w:val="24"/>
          <w:highlight w:val="none"/>
        </w:rPr>
        <w:t>服务</w:t>
      </w:r>
      <w:r>
        <w:rPr>
          <w:rFonts w:ascii="宋体" w:hAnsi="宋体" w:cs="Arial"/>
          <w:sz w:val="24"/>
          <w:highlight w:val="none"/>
        </w:rPr>
        <w:t>需求一览表及技术规格；</w:t>
      </w:r>
    </w:p>
    <w:p>
      <w:pPr>
        <w:spacing w:line="400" w:lineRule="atLeast"/>
        <w:ind w:firstLine="240"/>
        <w:rPr>
          <w:rFonts w:ascii="宋体" w:hAnsi="宋体" w:cs="Arial"/>
          <w:sz w:val="24"/>
          <w:highlight w:val="none"/>
        </w:rPr>
      </w:pPr>
      <w:r>
        <w:rPr>
          <w:rFonts w:ascii="宋体" w:hAnsi="宋体" w:cs="Arial"/>
          <w:sz w:val="24"/>
          <w:highlight w:val="none"/>
        </w:rPr>
        <w:t>⑷合同一般条款；</w:t>
      </w:r>
    </w:p>
    <w:p>
      <w:pPr>
        <w:spacing w:line="400" w:lineRule="atLeast"/>
        <w:ind w:firstLine="240"/>
        <w:rPr>
          <w:rFonts w:ascii="宋体" w:hAnsi="宋体" w:cs="Arial"/>
          <w:sz w:val="24"/>
          <w:highlight w:val="none"/>
        </w:rPr>
      </w:pPr>
      <w:r>
        <w:rPr>
          <w:rFonts w:ascii="宋体" w:hAnsi="宋体" w:cs="Arial"/>
          <w:sz w:val="24"/>
          <w:highlight w:val="none"/>
        </w:rPr>
        <w:t>⑸合同特殊条款；</w:t>
      </w:r>
    </w:p>
    <w:p>
      <w:pPr>
        <w:spacing w:line="400" w:lineRule="atLeast"/>
        <w:ind w:firstLine="240"/>
        <w:rPr>
          <w:rFonts w:ascii="宋体" w:hAnsi="宋体" w:cs="Arial"/>
          <w:sz w:val="24"/>
          <w:highlight w:val="none"/>
        </w:rPr>
      </w:pPr>
      <w:r>
        <w:rPr>
          <w:rFonts w:ascii="宋体" w:hAnsi="宋体" w:cs="Arial"/>
          <w:sz w:val="24"/>
          <w:highlight w:val="none"/>
        </w:rPr>
        <w:t>⑹范本格式。</w:t>
      </w:r>
    </w:p>
    <w:p>
      <w:pPr>
        <w:spacing w:line="400" w:lineRule="atLeast"/>
        <w:rPr>
          <w:rFonts w:ascii="宋体" w:hAnsi="宋体" w:cs="Arial"/>
          <w:sz w:val="24"/>
          <w:highlight w:val="none"/>
        </w:rPr>
      </w:pPr>
      <w:r>
        <w:rPr>
          <w:rFonts w:ascii="宋体" w:hAnsi="宋体" w:cs="Arial"/>
          <w:sz w:val="24"/>
          <w:highlight w:val="none"/>
        </w:rPr>
        <w:t>6.2 磋商文件以中文编写。</w:t>
      </w:r>
    </w:p>
    <w:p>
      <w:pPr>
        <w:spacing w:line="400" w:lineRule="atLeast"/>
        <w:ind w:left="360" w:hanging="360" w:hangingChars="150"/>
        <w:rPr>
          <w:rFonts w:ascii="宋体" w:hAnsi="宋体" w:cs="Arial"/>
          <w:sz w:val="24"/>
          <w:highlight w:val="none"/>
        </w:rPr>
      </w:pPr>
      <w:r>
        <w:rPr>
          <w:rFonts w:ascii="宋体" w:hAnsi="宋体" w:cs="Arial"/>
          <w:sz w:val="24"/>
          <w:highlight w:val="none"/>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00" w:lineRule="atLeast"/>
        <w:rPr>
          <w:rFonts w:ascii="宋体" w:hAnsi="宋体" w:cs="Arial"/>
          <w:sz w:val="24"/>
          <w:highlight w:val="none"/>
        </w:rPr>
      </w:pPr>
      <w:r>
        <w:rPr>
          <w:rFonts w:ascii="宋体" w:hAnsi="宋体" w:cs="Arial"/>
          <w:sz w:val="24"/>
          <w:highlight w:val="none"/>
        </w:rPr>
        <w:t>7．磋商文件澄清</w:t>
      </w:r>
    </w:p>
    <w:p>
      <w:pPr>
        <w:spacing w:line="400" w:lineRule="atLeast"/>
        <w:ind w:left="480" w:hanging="480"/>
        <w:rPr>
          <w:rFonts w:ascii="宋体" w:hAnsi="宋体" w:cs="Arial"/>
          <w:sz w:val="24"/>
          <w:highlight w:val="none"/>
        </w:rPr>
      </w:pPr>
      <w:r>
        <w:rPr>
          <w:rFonts w:ascii="宋体" w:hAnsi="宋体" w:cs="Arial"/>
          <w:sz w:val="24"/>
          <w:highlight w:val="none"/>
        </w:rPr>
        <w:t>7.1 供应商对磋商文件有疑问的，可以向招标代理机构提出询问，招标代理机构将及时做出答复；</w:t>
      </w:r>
    </w:p>
    <w:p>
      <w:pPr>
        <w:spacing w:line="400" w:lineRule="atLeast"/>
        <w:ind w:left="480" w:hanging="480"/>
        <w:rPr>
          <w:rFonts w:ascii="宋体" w:hAnsi="宋体" w:cs="Arial"/>
          <w:sz w:val="24"/>
          <w:highlight w:val="none"/>
        </w:rPr>
      </w:pPr>
      <w:r>
        <w:rPr>
          <w:rFonts w:ascii="宋体" w:hAnsi="宋体" w:cs="Arial"/>
          <w:sz w:val="24"/>
          <w:highlight w:val="none"/>
        </w:rPr>
        <w:t>7.2 供应商对磋商文件有质疑，须在得到磋商文件之日起，以书面形式向招标机构提出质疑；招标机构在收到书面质疑后</w:t>
      </w:r>
      <w:r>
        <w:rPr>
          <w:rFonts w:hint="eastAsia" w:ascii="宋体" w:hAnsi="宋体" w:cs="Arial"/>
          <w:sz w:val="24"/>
          <w:highlight w:val="none"/>
        </w:rPr>
        <w:t>7个工作日内</w:t>
      </w:r>
      <w:r>
        <w:rPr>
          <w:rFonts w:ascii="宋体" w:hAnsi="宋体" w:cs="Arial"/>
          <w:sz w:val="24"/>
          <w:highlight w:val="none"/>
        </w:rPr>
        <w:t>做出答复，并以书面形式通知质疑供应商。</w:t>
      </w:r>
    </w:p>
    <w:p>
      <w:pPr>
        <w:spacing w:line="400" w:lineRule="atLeast"/>
        <w:rPr>
          <w:rFonts w:ascii="宋体" w:hAnsi="宋体" w:cs="Arial"/>
          <w:sz w:val="24"/>
          <w:highlight w:val="none"/>
        </w:rPr>
      </w:pPr>
      <w:r>
        <w:rPr>
          <w:rFonts w:ascii="宋体" w:hAnsi="宋体" w:cs="Arial"/>
          <w:sz w:val="24"/>
          <w:highlight w:val="none"/>
        </w:rPr>
        <w:t>8.  磋商文件的修改</w:t>
      </w:r>
    </w:p>
    <w:p>
      <w:pPr>
        <w:spacing w:line="400" w:lineRule="atLeast"/>
        <w:ind w:left="480" w:hanging="480"/>
        <w:rPr>
          <w:rFonts w:ascii="宋体" w:hAnsi="宋体" w:cs="Arial"/>
          <w:sz w:val="24"/>
          <w:highlight w:val="none"/>
        </w:rPr>
      </w:pPr>
      <w:r>
        <w:rPr>
          <w:rFonts w:ascii="宋体" w:hAnsi="宋体" w:cs="Arial"/>
          <w:sz w:val="24"/>
          <w:highlight w:val="none"/>
        </w:rPr>
        <w:t>8.1 对磋商文件进行必要的修改，招标代理机构将在投标截止时间</w:t>
      </w:r>
      <w:r>
        <w:rPr>
          <w:rFonts w:hint="eastAsia" w:ascii="宋体" w:hAnsi="宋体" w:cs="Arial"/>
          <w:sz w:val="24"/>
          <w:highlight w:val="none"/>
        </w:rPr>
        <w:t>5</w:t>
      </w:r>
      <w:r>
        <w:rPr>
          <w:rFonts w:ascii="宋体" w:hAnsi="宋体" w:cs="Arial"/>
          <w:sz w:val="24"/>
          <w:highlight w:val="none"/>
        </w:rPr>
        <w:t>日前以书面形式通知所有购买磋商文件的供应商。该修改的内容为磋商文件的组成部分；</w:t>
      </w:r>
    </w:p>
    <w:p>
      <w:pPr>
        <w:spacing w:line="400" w:lineRule="atLeast"/>
        <w:ind w:left="480" w:hanging="480"/>
        <w:rPr>
          <w:rFonts w:ascii="宋体" w:hAnsi="宋体" w:cs="Arial"/>
          <w:sz w:val="24"/>
          <w:highlight w:val="none"/>
        </w:rPr>
      </w:pPr>
      <w:r>
        <w:rPr>
          <w:rFonts w:ascii="宋体" w:hAnsi="宋体" w:cs="Arial"/>
          <w:sz w:val="24"/>
          <w:highlight w:val="none"/>
        </w:rPr>
        <w:t>8.2 在投标截止时间前，招标机构可视具体情况延长投标截止时间，并将变更时间书面通知所有购买磋商文件的供应商。</w:t>
      </w:r>
    </w:p>
    <w:p>
      <w:pPr>
        <w:spacing w:line="400" w:lineRule="atLeast"/>
        <w:ind w:left="480" w:hanging="480"/>
        <w:rPr>
          <w:rFonts w:ascii="宋体" w:hAnsi="宋体" w:cs="Arial"/>
          <w:sz w:val="24"/>
          <w:highlight w:val="none"/>
        </w:rPr>
      </w:pPr>
    </w:p>
    <w:p>
      <w:pPr>
        <w:pStyle w:val="4"/>
        <w:spacing w:before="100" w:beforeAutospacing="1" w:after="100" w:afterAutospacing="1" w:line="400" w:lineRule="atLeast"/>
        <w:jc w:val="center"/>
        <w:outlineLvl w:val="0"/>
        <w:rPr>
          <w:rFonts w:ascii="宋体" w:hAnsi="宋体" w:eastAsia="宋体" w:cs="Arial"/>
          <w:sz w:val="28"/>
          <w:szCs w:val="28"/>
          <w:highlight w:val="none"/>
        </w:rPr>
      </w:pPr>
      <w:bookmarkStart w:id="60" w:name="_Toc6428"/>
      <w:bookmarkStart w:id="61" w:name="_Toc298240407"/>
      <w:bookmarkStart w:id="62" w:name="_Toc267301284"/>
      <w:bookmarkStart w:id="63" w:name="_Toc349637922"/>
      <w:bookmarkStart w:id="64" w:name="_Toc349573123"/>
      <w:bookmarkStart w:id="65" w:name="_Toc516489108"/>
      <w:r>
        <w:rPr>
          <w:rFonts w:ascii="宋体" w:hAnsi="宋体" w:eastAsia="宋体" w:cs="Arial"/>
          <w:sz w:val="28"/>
          <w:szCs w:val="28"/>
          <w:highlight w:val="none"/>
        </w:rPr>
        <w:t>C  磋商响应文件的编写</w:t>
      </w:r>
      <w:bookmarkEnd w:id="60"/>
      <w:bookmarkEnd w:id="61"/>
      <w:bookmarkEnd w:id="62"/>
      <w:bookmarkEnd w:id="63"/>
      <w:bookmarkEnd w:id="64"/>
      <w:bookmarkEnd w:id="65"/>
    </w:p>
    <w:p>
      <w:pPr>
        <w:spacing w:line="400" w:lineRule="atLeast"/>
        <w:rPr>
          <w:rFonts w:ascii="宋体" w:hAnsi="宋体" w:cs="Arial"/>
          <w:sz w:val="24"/>
          <w:highlight w:val="none"/>
        </w:rPr>
      </w:pPr>
      <w:r>
        <w:rPr>
          <w:rFonts w:ascii="宋体" w:hAnsi="宋体" w:cs="Arial"/>
          <w:sz w:val="24"/>
          <w:highlight w:val="none"/>
        </w:rPr>
        <w:t>9．要求</w:t>
      </w:r>
    </w:p>
    <w:p>
      <w:pPr>
        <w:spacing w:line="400" w:lineRule="atLeast"/>
        <w:ind w:left="360" w:hanging="360" w:hangingChars="150"/>
        <w:rPr>
          <w:rFonts w:ascii="宋体" w:hAnsi="宋体" w:cs="Arial"/>
          <w:sz w:val="24"/>
          <w:highlight w:val="none"/>
        </w:rPr>
      </w:pPr>
      <w:r>
        <w:rPr>
          <w:rFonts w:ascii="宋体" w:hAnsi="宋体" w:cs="Arial"/>
          <w:sz w:val="24"/>
          <w:highlight w:val="none"/>
        </w:rPr>
        <w:t>9.1 供应商应仔细阅读磋商文件的所有内容，按磋商文件的要求提供磋商响应文件，并保证所提供的全部资料的真实性，以使其投标对磋商文件作出实质性响应，否则，其投标可能被拒绝。</w:t>
      </w:r>
    </w:p>
    <w:p>
      <w:pPr>
        <w:spacing w:line="400" w:lineRule="atLeast"/>
        <w:rPr>
          <w:rFonts w:ascii="宋体" w:hAnsi="宋体" w:cs="Arial"/>
          <w:sz w:val="24"/>
          <w:highlight w:val="none"/>
        </w:rPr>
      </w:pPr>
      <w:r>
        <w:rPr>
          <w:rFonts w:ascii="宋体" w:hAnsi="宋体" w:cs="Arial"/>
          <w:sz w:val="24"/>
          <w:highlight w:val="none"/>
        </w:rPr>
        <w:t>10．投标语言</w:t>
      </w:r>
    </w:p>
    <w:p>
      <w:pPr>
        <w:spacing w:line="400" w:lineRule="atLeast"/>
        <w:ind w:left="600" w:hanging="600" w:hangingChars="250"/>
        <w:rPr>
          <w:rFonts w:ascii="宋体" w:hAnsi="宋体" w:cs="Arial"/>
          <w:sz w:val="24"/>
          <w:highlight w:val="none"/>
        </w:rPr>
      </w:pPr>
      <w:r>
        <w:rPr>
          <w:rFonts w:ascii="宋体" w:hAnsi="宋体" w:cs="Arial"/>
          <w:sz w:val="24"/>
          <w:highlight w:val="none"/>
        </w:rPr>
        <w:t>10.1磋商响应文件及供应商与招标代理机构就投标交换的文件和来往信件，应以中文书写。</w:t>
      </w:r>
    </w:p>
    <w:p>
      <w:pPr>
        <w:spacing w:line="400" w:lineRule="atLeast"/>
        <w:rPr>
          <w:rFonts w:ascii="宋体" w:hAnsi="宋体" w:cs="Arial"/>
          <w:sz w:val="24"/>
          <w:highlight w:val="none"/>
        </w:rPr>
      </w:pPr>
      <w:r>
        <w:rPr>
          <w:rFonts w:ascii="宋体" w:hAnsi="宋体" w:cs="Arial"/>
          <w:sz w:val="24"/>
          <w:highlight w:val="none"/>
        </w:rPr>
        <w:t>11．磋商响应文件的构成</w:t>
      </w:r>
    </w:p>
    <w:p>
      <w:pPr>
        <w:spacing w:line="400" w:lineRule="atLeast"/>
        <w:rPr>
          <w:rFonts w:ascii="宋体" w:hAnsi="宋体" w:cs="Arial"/>
          <w:sz w:val="24"/>
          <w:highlight w:val="none"/>
        </w:rPr>
      </w:pPr>
      <w:r>
        <w:rPr>
          <w:rFonts w:ascii="宋体" w:hAnsi="宋体" w:cs="Arial"/>
          <w:sz w:val="24"/>
          <w:highlight w:val="none"/>
        </w:rPr>
        <w:t>11.1 供应商编写的磋商响应文件应包括下列内容：</w:t>
      </w:r>
    </w:p>
    <w:p>
      <w:pPr>
        <w:numPr>
          <w:ilvl w:val="0"/>
          <w:numId w:val="3"/>
        </w:numPr>
        <w:tabs>
          <w:tab w:val="left" w:pos="540"/>
          <w:tab w:val="left" w:pos="900"/>
          <w:tab w:val="left" w:pos="1080"/>
        </w:tabs>
        <w:spacing w:line="400" w:lineRule="atLeast"/>
        <w:ind w:left="720" w:hanging="360"/>
        <w:rPr>
          <w:rFonts w:ascii="宋体" w:hAnsi="宋体" w:cs="Arial"/>
          <w:sz w:val="24"/>
          <w:highlight w:val="none"/>
        </w:rPr>
      </w:pPr>
      <w:r>
        <w:rPr>
          <w:rFonts w:ascii="宋体" w:hAnsi="宋体" w:cs="Arial"/>
          <w:sz w:val="24"/>
          <w:highlight w:val="none"/>
        </w:rPr>
        <w:t>投标书、</w:t>
      </w:r>
      <w:r>
        <w:rPr>
          <w:rFonts w:hint="eastAsia" w:ascii="宋体" w:hAnsi="宋体" w:cs="Arial"/>
          <w:sz w:val="24"/>
          <w:highlight w:val="none"/>
        </w:rPr>
        <w:t>标价</w:t>
      </w:r>
      <w:r>
        <w:rPr>
          <w:rFonts w:ascii="宋体" w:hAnsi="宋体" w:cs="Arial"/>
          <w:sz w:val="24"/>
          <w:highlight w:val="none"/>
        </w:rPr>
        <w:t>一览表、投标分项报价表；</w:t>
      </w:r>
    </w:p>
    <w:p>
      <w:pPr>
        <w:numPr>
          <w:ilvl w:val="0"/>
          <w:numId w:val="3"/>
        </w:numPr>
        <w:tabs>
          <w:tab w:val="left" w:pos="540"/>
          <w:tab w:val="left" w:pos="900"/>
          <w:tab w:val="left" w:pos="1080"/>
        </w:tabs>
        <w:spacing w:line="400" w:lineRule="atLeast"/>
        <w:ind w:left="720" w:hanging="360"/>
        <w:rPr>
          <w:rFonts w:ascii="宋体" w:hAnsi="宋体" w:cs="Arial"/>
          <w:sz w:val="24"/>
          <w:highlight w:val="none"/>
        </w:rPr>
      </w:pPr>
      <w:r>
        <w:rPr>
          <w:rFonts w:ascii="宋体" w:hAnsi="宋体" w:cs="Arial"/>
          <w:sz w:val="24"/>
          <w:highlight w:val="none"/>
        </w:rPr>
        <w:t>资格证明文件；</w:t>
      </w:r>
      <w:r>
        <w:rPr>
          <w:rFonts w:hint="eastAsia" w:ascii="宋体" w:hAnsi="宋体" w:cs="Arial"/>
          <w:sz w:val="24"/>
          <w:highlight w:val="none"/>
        </w:rPr>
        <w:t>填写投标单位简介表一份</w:t>
      </w:r>
    </w:p>
    <w:p>
      <w:pPr>
        <w:numPr>
          <w:ilvl w:val="0"/>
          <w:numId w:val="3"/>
        </w:numPr>
        <w:tabs>
          <w:tab w:val="left" w:pos="540"/>
          <w:tab w:val="left" w:pos="900"/>
          <w:tab w:val="left" w:pos="1080"/>
        </w:tabs>
        <w:spacing w:line="400" w:lineRule="atLeast"/>
        <w:ind w:left="720" w:hanging="360"/>
        <w:rPr>
          <w:rFonts w:ascii="宋体" w:hAnsi="宋体" w:cs="Arial"/>
          <w:sz w:val="24"/>
          <w:highlight w:val="none"/>
        </w:rPr>
      </w:pPr>
      <w:r>
        <w:rPr>
          <w:rFonts w:ascii="宋体" w:hAnsi="宋体" w:cs="Arial"/>
          <w:sz w:val="24"/>
          <w:highlight w:val="none"/>
        </w:rPr>
        <w:t>所投</w:t>
      </w:r>
      <w:r>
        <w:rPr>
          <w:rFonts w:hint="eastAsia" w:ascii="宋体" w:hAnsi="宋体" w:cs="Arial"/>
          <w:sz w:val="24"/>
          <w:highlight w:val="none"/>
        </w:rPr>
        <w:t>服务</w:t>
      </w:r>
      <w:r>
        <w:rPr>
          <w:rFonts w:ascii="宋体" w:hAnsi="宋体" w:cs="Arial"/>
          <w:sz w:val="24"/>
          <w:highlight w:val="none"/>
        </w:rPr>
        <w:t>的相关技术/证明资料；</w:t>
      </w:r>
    </w:p>
    <w:p>
      <w:pPr>
        <w:numPr>
          <w:ilvl w:val="0"/>
          <w:numId w:val="3"/>
        </w:numPr>
        <w:tabs>
          <w:tab w:val="left" w:pos="540"/>
          <w:tab w:val="left" w:pos="900"/>
          <w:tab w:val="left" w:pos="1080"/>
        </w:tabs>
        <w:spacing w:line="400" w:lineRule="atLeast"/>
        <w:ind w:left="720" w:hanging="360"/>
        <w:rPr>
          <w:rFonts w:hint="eastAsia" w:ascii="宋体" w:hAnsi="宋体" w:cs="Arial"/>
          <w:sz w:val="24"/>
          <w:highlight w:val="none"/>
        </w:rPr>
      </w:pPr>
      <w:r>
        <w:rPr>
          <w:rFonts w:ascii="宋体" w:hAnsi="宋体" w:cs="Arial"/>
          <w:sz w:val="24"/>
          <w:highlight w:val="none"/>
        </w:rPr>
        <w:t>磋商文件货物需求及技术规格、合同特殊条款中要求提交的文件资料。</w:t>
      </w:r>
    </w:p>
    <w:p>
      <w:pPr>
        <w:numPr>
          <w:ilvl w:val="0"/>
          <w:numId w:val="3"/>
        </w:numPr>
        <w:tabs>
          <w:tab w:val="left" w:pos="540"/>
          <w:tab w:val="left" w:pos="900"/>
          <w:tab w:val="left" w:pos="1080"/>
        </w:tabs>
        <w:spacing w:line="400" w:lineRule="atLeast"/>
        <w:ind w:left="720" w:hanging="360"/>
        <w:rPr>
          <w:rFonts w:hint="eastAsia" w:ascii="宋体" w:hAnsi="宋体" w:cs="Arial"/>
          <w:sz w:val="24"/>
          <w:highlight w:val="none"/>
        </w:rPr>
      </w:pPr>
      <w:r>
        <w:rPr>
          <w:rFonts w:hint="eastAsia" w:ascii="宋体" w:hAnsi="宋体" w:cs="Arial"/>
          <w:sz w:val="24"/>
          <w:highlight w:val="none"/>
        </w:rPr>
        <w:t xml:space="preserve">授权委托书及受委托人身份证复印件； </w:t>
      </w:r>
    </w:p>
    <w:p>
      <w:pPr>
        <w:numPr>
          <w:ilvl w:val="0"/>
          <w:numId w:val="3"/>
        </w:numPr>
        <w:tabs>
          <w:tab w:val="left" w:pos="540"/>
          <w:tab w:val="left" w:pos="900"/>
          <w:tab w:val="left" w:pos="1080"/>
        </w:tabs>
        <w:spacing w:line="400" w:lineRule="atLeast"/>
        <w:ind w:left="720" w:hanging="360"/>
        <w:rPr>
          <w:rFonts w:hint="eastAsia" w:ascii="宋体" w:hAnsi="宋体" w:cs="Arial"/>
          <w:sz w:val="24"/>
          <w:highlight w:val="none"/>
        </w:rPr>
      </w:pPr>
      <w:r>
        <w:rPr>
          <w:rFonts w:hint="eastAsia" w:ascii="宋体" w:hAnsi="宋体" w:cs="Arial"/>
          <w:sz w:val="24"/>
          <w:highlight w:val="none"/>
        </w:rPr>
        <w:t xml:space="preserve">报价一览表； </w:t>
      </w:r>
    </w:p>
    <w:p>
      <w:pPr>
        <w:numPr>
          <w:ilvl w:val="0"/>
          <w:numId w:val="3"/>
        </w:numPr>
        <w:tabs>
          <w:tab w:val="left" w:pos="540"/>
          <w:tab w:val="left" w:pos="900"/>
          <w:tab w:val="left" w:pos="1080"/>
        </w:tabs>
        <w:spacing w:line="400" w:lineRule="atLeast"/>
        <w:ind w:left="720" w:hanging="360"/>
        <w:rPr>
          <w:rFonts w:hint="eastAsia" w:ascii="宋体" w:hAnsi="宋体" w:cs="Arial"/>
          <w:sz w:val="24"/>
          <w:highlight w:val="none"/>
        </w:rPr>
      </w:pPr>
      <w:r>
        <w:rPr>
          <w:rFonts w:hint="eastAsia" w:ascii="宋体" w:hAnsi="宋体" w:cs="Arial"/>
          <w:sz w:val="24"/>
          <w:highlight w:val="none"/>
        </w:rPr>
        <w:t xml:space="preserve">商务条款偏离表； </w:t>
      </w:r>
    </w:p>
    <w:p>
      <w:pPr>
        <w:numPr>
          <w:ilvl w:val="0"/>
          <w:numId w:val="3"/>
        </w:numPr>
        <w:tabs>
          <w:tab w:val="left" w:pos="540"/>
          <w:tab w:val="left" w:pos="900"/>
          <w:tab w:val="left" w:pos="1080"/>
        </w:tabs>
        <w:spacing w:line="400" w:lineRule="atLeast"/>
        <w:ind w:left="720" w:hanging="360"/>
        <w:rPr>
          <w:rFonts w:hint="eastAsia" w:ascii="宋体" w:hAnsi="宋体" w:cs="Arial"/>
          <w:sz w:val="24"/>
          <w:highlight w:val="none"/>
        </w:rPr>
      </w:pPr>
      <w:r>
        <w:rPr>
          <w:rFonts w:hint="eastAsia" w:ascii="宋体" w:hAnsi="宋体" w:cs="Arial"/>
          <w:sz w:val="24"/>
          <w:highlight w:val="none"/>
        </w:rPr>
        <w:t xml:space="preserve">投标人近2年同类业绩； </w:t>
      </w:r>
    </w:p>
    <w:p>
      <w:pPr>
        <w:numPr>
          <w:ilvl w:val="0"/>
          <w:numId w:val="3"/>
        </w:numPr>
        <w:tabs>
          <w:tab w:val="left" w:pos="540"/>
          <w:tab w:val="left" w:pos="900"/>
          <w:tab w:val="left" w:pos="1080"/>
        </w:tabs>
        <w:spacing w:line="400" w:lineRule="atLeast"/>
        <w:ind w:left="720" w:hanging="360"/>
        <w:rPr>
          <w:rFonts w:hint="eastAsia" w:ascii="宋体" w:hAnsi="宋体" w:cs="Arial"/>
          <w:sz w:val="24"/>
          <w:highlight w:val="none"/>
        </w:rPr>
      </w:pPr>
      <w:r>
        <w:rPr>
          <w:rFonts w:hint="eastAsia" w:ascii="宋体" w:hAnsi="宋体" w:cs="Arial"/>
          <w:sz w:val="24"/>
          <w:highlight w:val="none"/>
        </w:rPr>
        <w:t xml:space="preserve">投标人基本情况表； </w:t>
      </w:r>
    </w:p>
    <w:p>
      <w:pPr>
        <w:spacing w:line="400" w:lineRule="atLeast"/>
        <w:rPr>
          <w:rFonts w:ascii="宋体" w:hAnsi="宋体" w:cs="Arial"/>
          <w:sz w:val="24"/>
          <w:highlight w:val="none"/>
        </w:rPr>
      </w:pPr>
      <w:r>
        <w:rPr>
          <w:rFonts w:ascii="宋体" w:hAnsi="宋体" w:cs="Arial"/>
          <w:sz w:val="24"/>
          <w:highlight w:val="none"/>
        </w:rPr>
        <w:t>11.2 供应商应将磋商响应文件装订成册，并填写文件资料清单。</w:t>
      </w:r>
    </w:p>
    <w:p>
      <w:pPr>
        <w:spacing w:line="400" w:lineRule="atLeast"/>
        <w:rPr>
          <w:rFonts w:ascii="宋体" w:hAnsi="宋体" w:cs="Arial"/>
          <w:sz w:val="24"/>
          <w:highlight w:val="none"/>
        </w:rPr>
      </w:pPr>
      <w:r>
        <w:rPr>
          <w:rFonts w:ascii="宋体" w:hAnsi="宋体" w:cs="Arial"/>
          <w:sz w:val="24"/>
          <w:highlight w:val="none"/>
        </w:rPr>
        <w:t>12．磋商响应文件格式</w:t>
      </w:r>
    </w:p>
    <w:p>
      <w:pPr>
        <w:spacing w:line="400" w:lineRule="atLeast"/>
        <w:ind w:left="600" w:hanging="600" w:hangingChars="250"/>
        <w:rPr>
          <w:rFonts w:ascii="宋体" w:hAnsi="宋体" w:cs="Arial"/>
          <w:sz w:val="24"/>
          <w:highlight w:val="none"/>
        </w:rPr>
      </w:pPr>
      <w:r>
        <w:rPr>
          <w:rFonts w:ascii="宋体" w:hAnsi="宋体" w:cs="Arial"/>
          <w:sz w:val="24"/>
          <w:highlight w:val="none"/>
        </w:rPr>
        <w:t>12.1 供应商应按磋商文件的范本格式中提供的磋商响应文件格式填写投标书、开标一览表、投标分项报价表。</w:t>
      </w:r>
    </w:p>
    <w:p>
      <w:pPr>
        <w:spacing w:line="400" w:lineRule="atLeast"/>
        <w:rPr>
          <w:rFonts w:ascii="宋体" w:hAnsi="宋体" w:cs="Arial"/>
          <w:sz w:val="24"/>
          <w:highlight w:val="none"/>
        </w:rPr>
      </w:pPr>
      <w:r>
        <w:rPr>
          <w:rFonts w:ascii="宋体" w:hAnsi="宋体" w:cs="Arial"/>
          <w:sz w:val="24"/>
          <w:highlight w:val="none"/>
        </w:rPr>
        <w:t>13．投标报价</w:t>
      </w:r>
    </w:p>
    <w:p>
      <w:pPr>
        <w:spacing w:line="400" w:lineRule="atLeast"/>
        <w:ind w:left="600" w:hanging="600" w:hangingChars="250"/>
        <w:rPr>
          <w:rFonts w:ascii="宋体" w:hAnsi="宋体" w:cs="Arial"/>
          <w:sz w:val="24"/>
          <w:highlight w:val="none"/>
        </w:rPr>
      </w:pPr>
      <w:r>
        <w:rPr>
          <w:rFonts w:ascii="宋体" w:hAnsi="宋体" w:cs="Arial"/>
          <w:sz w:val="24"/>
          <w:highlight w:val="none"/>
        </w:rPr>
        <w:t>13.1</w:t>
      </w:r>
      <w:r>
        <w:rPr>
          <w:rFonts w:hint="eastAsia" w:ascii="宋体" w:hAnsi="宋体" w:cs="Arial"/>
          <w:sz w:val="24"/>
          <w:highlight w:val="none"/>
        </w:rPr>
        <w:t>除本磋商文件另有规定外，供应商应按磋商文件所附相应的投标一览表格式标明拟提供服务的单价和总价等内容。报价以人民币报价</w:t>
      </w:r>
      <w:r>
        <w:rPr>
          <w:rFonts w:ascii="宋体" w:hAnsi="宋体" w:cs="Arial"/>
          <w:sz w:val="24"/>
          <w:highlight w:val="none"/>
        </w:rPr>
        <w:t>，不接受有任何选择性报价。</w:t>
      </w:r>
    </w:p>
    <w:p>
      <w:pPr>
        <w:spacing w:line="400" w:lineRule="atLeast"/>
        <w:rPr>
          <w:rFonts w:hint="eastAsia" w:ascii="宋体" w:hAnsi="宋体" w:cs="Arial"/>
          <w:sz w:val="24"/>
          <w:highlight w:val="none"/>
        </w:rPr>
      </w:pPr>
      <w:r>
        <w:rPr>
          <w:rFonts w:ascii="宋体" w:hAnsi="宋体" w:cs="Arial"/>
          <w:sz w:val="24"/>
          <w:highlight w:val="none"/>
        </w:rPr>
        <w:t>13.2 投标报价应注意下列要求：</w:t>
      </w:r>
    </w:p>
    <w:p>
      <w:pPr>
        <w:spacing w:line="400" w:lineRule="atLeast"/>
        <w:rPr>
          <w:rFonts w:ascii="宋体" w:hAnsi="宋体" w:cs="Arial"/>
          <w:sz w:val="24"/>
          <w:highlight w:val="none"/>
        </w:rPr>
      </w:pPr>
      <w:r>
        <w:rPr>
          <w:rFonts w:hint="eastAsia" w:ascii="宋体" w:hAnsi="宋体" w:cs="Arial"/>
          <w:sz w:val="24"/>
          <w:highlight w:val="none"/>
        </w:rPr>
        <w:t>13.2.1投标报价应包括实施该项目涵盖的所有费用。</w:t>
      </w:r>
    </w:p>
    <w:p>
      <w:pPr>
        <w:spacing w:line="400" w:lineRule="atLeast"/>
        <w:ind w:left="629" w:hanging="628" w:hangingChars="262"/>
        <w:rPr>
          <w:rFonts w:ascii="宋体" w:hAnsi="宋体" w:cs="Arial"/>
          <w:sz w:val="24"/>
          <w:highlight w:val="none"/>
        </w:rPr>
      </w:pPr>
      <w:r>
        <w:rPr>
          <w:rFonts w:ascii="宋体" w:hAnsi="宋体" w:cs="Arial"/>
          <w:sz w:val="24"/>
          <w:highlight w:val="none"/>
        </w:rPr>
        <w:t>13.3 算术性修正。算术性修正是指对磋商响应文件的报价明细进行校核，并对其算术上和运算上的差错给予修正。修正的原则如下：</w:t>
      </w:r>
    </w:p>
    <w:p>
      <w:pPr>
        <w:spacing w:line="400" w:lineRule="atLeast"/>
        <w:ind w:left="720" w:hanging="720" w:hangingChars="300"/>
        <w:rPr>
          <w:rFonts w:ascii="宋体" w:hAnsi="宋体" w:cs="Arial"/>
          <w:sz w:val="24"/>
          <w:highlight w:val="none"/>
        </w:rPr>
      </w:pPr>
      <w:r>
        <w:rPr>
          <w:rFonts w:ascii="宋体" w:hAnsi="宋体" w:cs="Arial"/>
          <w:sz w:val="24"/>
          <w:highlight w:val="none"/>
        </w:rPr>
        <w:t>13.3.1 当以数字表示的金额与文字表示的金额有差异时，以文字表示的金额为准；</w:t>
      </w:r>
    </w:p>
    <w:p>
      <w:pPr>
        <w:spacing w:line="400" w:lineRule="atLeast"/>
        <w:ind w:left="720" w:hanging="720" w:hangingChars="300"/>
        <w:rPr>
          <w:rFonts w:ascii="宋体" w:hAnsi="宋体" w:cs="Arial"/>
          <w:sz w:val="24"/>
          <w:highlight w:val="none"/>
        </w:rPr>
      </w:pPr>
      <w:r>
        <w:rPr>
          <w:rFonts w:ascii="宋体" w:hAnsi="宋体" w:cs="Arial"/>
          <w:sz w:val="24"/>
          <w:highlight w:val="none"/>
        </w:rPr>
        <w:t>13.3.2 当单价与数量相乘不等于合价时，以单价计算为准。如果单价有明显的小数点位置差错，应以标出的合价为准，同时对单价予以修正；</w:t>
      </w:r>
    </w:p>
    <w:p>
      <w:pPr>
        <w:spacing w:line="400" w:lineRule="atLeast"/>
        <w:ind w:left="720" w:hanging="720" w:hangingChars="300"/>
        <w:rPr>
          <w:rFonts w:ascii="宋体" w:hAnsi="宋体" w:cs="Arial"/>
          <w:sz w:val="24"/>
          <w:highlight w:val="none"/>
        </w:rPr>
      </w:pPr>
      <w:r>
        <w:rPr>
          <w:rFonts w:ascii="宋体" w:hAnsi="宋体" w:cs="Arial"/>
          <w:sz w:val="24"/>
          <w:highlight w:val="none"/>
        </w:rPr>
        <w:t>13.3.3 当各明细部分的价格累计不等于合价时，应以各明细的累计计数为准，修正合价。</w:t>
      </w:r>
    </w:p>
    <w:p>
      <w:pPr>
        <w:spacing w:line="400" w:lineRule="atLeast"/>
        <w:ind w:left="720" w:hanging="720" w:hangingChars="300"/>
        <w:rPr>
          <w:rFonts w:ascii="宋体" w:hAnsi="宋体" w:cs="Arial"/>
          <w:sz w:val="24"/>
          <w:highlight w:val="none"/>
        </w:rPr>
      </w:pPr>
      <w:r>
        <w:rPr>
          <w:rFonts w:ascii="宋体" w:hAnsi="宋体" w:cs="Arial"/>
          <w:sz w:val="24"/>
          <w:highlight w:val="none"/>
        </w:rPr>
        <w:t>13.3.4 按以上原则对算术性差错修正，应取得投标人的同意，并确认修正后最终投标价。如果投标人拒绝确认，则其磋商响应文件将不予以评审并按废标处理，没收其投标担保。</w:t>
      </w:r>
    </w:p>
    <w:p>
      <w:pPr>
        <w:spacing w:line="400" w:lineRule="atLeast"/>
        <w:rPr>
          <w:rFonts w:ascii="宋体" w:hAnsi="宋体" w:cs="Arial"/>
          <w:sz w:val="24"/>
          <w:highlight w:val="none"/>
        </w:rPr>
      </w:pPr>
      <w:r>
        <w:rPr>
          <w:rFonts w:ascii="宋体" w:hAnsi="宋体" w:cs="Arial"/>
          <w:sz w:val="24"/>
          <w:highlight w:val="none"/>
        </w:rPr>
        <w:t>14．投标货币</w:t>
      </w:r>
    </w:p>
    <w:p>
      <w:pPr>
        <w:spacing w:line="400" w:lineRule="atLeast"/>
        <w:rPr>
          <w:rFonts w:ascii="宋体" w:hAnsi="宋体" w:cs="Arial"/>
          <w:sz w:val="24"/>
          <w:highlight w:val="none"/>
        </w:rPr>
      </w:pPr>
      <w:r>
        <w:rPr>
          <w:rFonts w:ascii="宋体" w:hAnsi="宋体" w:cs="Arial"/>
          <w:sz w:val="24"/>
          <w:highlight w:val="none"/>
        </w:rPr>
        <w:t>14.1人民币报价。</w:t>
      </w:r>
    </w:p>
    <w:p>
      <w:pPr>
        <w:spacing w:line="400" w:lineRule="atLeast"/>
        <w:rPr>
          <w:rFonts w:ascii="宋体" w:hAnsi="宋体" w:cs="Arial"/>
          <w:b/>
          <w:sz w:val="24"/>
          <w:highlight w:val="none"/>
        </w:rPr>
      </w:pPr>
      <w:r>
        <w:rPr>
          <w:rFonts w:ascii="宋体" w:hAnsi="宋体" w:cs="Arial"/>
          <w:sz w:val="24"/>
          <w:highlight w:val="none"/>
        </w:rPr>
        <w:t>15．</w:t>
      </w:r>
      <w:r>
        <w:rPr>
          <w:rFonts w:ascii="宋体" w:hAnsi="宋体" w:cs="Arial"/>
          <w:b/>
          <w:sz w:val="24"/>
          <w:highlight w:val="none"/>
        </w:rPr>
        <w:t>供应商的证明文件：</w:t>
      </w:r>
    </w:p>
    <w:p>
      <w:pPr>
        <w:spacing w:line="400" w:lineRule="atLeast"/>
        <w:ind w:firstLine="482" w:firstLineChars="200"/>
        <w:rPr>
          <w:rFonts w:ascii="宋体" w:hAnsi="宋体" w:cs="Arial"/>
          <w:b/>
          <w:spacing w:val="8"/>
          <w:sz w:val="24"/>
          <w:szCs w:val="24"/>
          <w:highlight w:val="none"/>
        </w:rPr>
      </w:pPr>
      <w:r>
        <w:rPr>
          <w:rFonts w:ascii="宋体" w:hAnsi="宋体" w:cs="Arial"/>
          <w:b/>
          <w:sz w:val="24"/>
          <w:highlight w:val="none"/>
        </w:rPr>
        <w:t>供应商必须提交证明其有资格进行投标和有能力履行合同的文件（范本格式），作为磋商响应文件的一部分。（</w:t>
      </w:r>
      <w:r>
        <w:rPr>
          <w:rFonts w:ascii="宋体" w:hAnsi="宋体" w:cs="Arial"/>
          <w:b/>
          <w:spacing w:val="8"/>
          <w:sz w:val="24"/>
          <w:szCs w:val="24"/>
          <w:highlight w:val="none"/>
        </w:rPr>
        <w:t>如不满足以下条款将导致废标）</w:t>
      </w:r>
    </w:p>
    <w:p>
      <w:pPr>
        <w:pStyle w:val="10"/>
        <w:ind w:left="-183" w:leftChars="-87" w:firstLine="240" w:firstLineChars="100"/>
        <w:rPr>
          <w:rFonts w:hint="eastAsia" w:hAnsi="宋体" w:cs="Arial"/>
          <w:sz w:val="24"/>
          <w:highlight w:val="none"/>
        </w:rPr>
      </w:pPr>
      <w:r>
        <w:rPr>
          <w:rFonts w:hint="eastAsia" w:hAnsi="宋体" w:cs="Arial"/>
          <w:sz w:val="24"/>
          <w:highlight w:val="none"/>
        </w:rPr>
        <w:t>15.1营业执照（要求投标人具有上述经营范围）；</w:t>
      </w:r>
    </w:p>
    <w:p>
      <w:pPr>
        <w:pStyle w:val="10"/>
        <w:ind w:left="-183" w:leftChars="-87" w:firstLine="240" w:firstLineChars="100"/>
        <w:rPr>
          <w:rFonts w:hint="eastAsia" w:hAnsi="宋体" w:cs="Arial"/>
          <w:sz w:val="24"/>
          <w:highlight w:val="none"/>
        </w:rPr>
      </w:pPr>
      <w:r>
        <w:rPr>
          <w:rFonts w:hint="eastAsia" w:hAnsi="宋体" w:cs="Arial"/>
          <w:sz w:val="24"/>
          <w:highlight w:val="none"/>
        </w:rPr>
        <w:t>15.2法定代表人授权委托书及委托代理人身份证；</w:t>
      </w:r>
    </w:p>
    <w:p>
      <w:pPr>
        <w:pStyle w:val="10"/>
        <w:ind w:left="-183" w:leftChars="-87" w:firstLine="240" w:firstLineChars="100"/>
        <w:rPr>
          <w:rFonts w:hint="eastAsia" w:hAnsi="宋体" w:cs="Arial"/>
          <w:sz w:val="24"/>
          <w:highlight w:val="none"/>
        </w:rPr>
      </w:pPr>
      <w:r>
        <w:rPr>
          <w:rFonts w:hint="eastAsia" w:hAnsi="宋体" w:cs="Arial"/>
          <w:sz w:val="24"/>
          <w:highlight w:val="none"/>
        </w:rPr>
        <w:t>15.3须</w:t>
      </w:r>
      <w:r>
        <w:rPr>
          <w:rFonts w:hint="eastAsia" w:hAnsi="宋体"/>
          <w:sz w:val="24"/>
          <w:highlight w:val="none"/>
        </w:rPr>
        <w:t>提供近一年财务审计报告（2021年或2022年）或银行资信证明</w:t>
      </w:r>
      <w:r>
        <w:rPr>
          <w:rFonts w:hint="eastAsia" w:hAnsi="宋体" w:cs="Arial"/>
          <w:sz w:val="24"/>
          <w:highlight w:val="none"/>
        </w:rPr>
        <w:t>；</w:t>
      </w:r>
    </w:p>
    <w:p>
      <w:pPr>
        <w:pStyle w:val="10"/>
        <w:ind w:left="-183" w:leftChars="-87" w:firstLine="240" w:firstLineChars="100"/>
        <w:rPr>
          <w:rFonts w:hint="eastAsia" w:hAnsi="宋体" w:cs="Arial"/>
          <w:sz w:val="24"/>
          <w:highlight w:val="none"/>
        </w:rPr>
      </w:pPr>
      <w:r>
        <w:rPr>
          <w:rFonts w:hint="eastAsia" w:hAnsi="宋体" w:cs="Arial"/>
          <w:sz w:val="24"/>
          <w:highlight w:val="none"/>
        </w:rPr>
        <w:t>15.4须提供授权委托人在本单位近半年的社保证明（2021年10月至2022年3月）；</w:t>
      </w:r>
    </w:p>
    <w:p>
      <w:pPr>
        <w:pStyle w:val="10"/>
        <w:ind w:left="-183" w:leftChars="-87" w:firstLine="240" w:firstLineChars="100"/>
        <w:rPr>
          <w:rFonts w:hint="eastAsia" w:hAnsi="宋体" w:cs="Arial"/>
          <w:sz w:val="24"/>
          <w:highlight w:val="none"/>
        </w:rPr>
      </w:pPr>
      <w:r>
        <w:rPr>
          <w:rFonts w:hint="eastAsia" w:hAnsi="宋体" w:cs="Arial"/>
          <w:sz w:val="24"/>
          <w:highlight w:val="none"/>
        </w:rPr>
        <w:t>15.5提供信用中国网站、国家企业信用信息公示系统和中国政府采购网查询结果打印件（加盖企业公章）；</w:t>
      </w:r>
    </w:p>
    <w:p>
      <w:pPr>
        <w:pStyle w:val="10"/>
        <w:ind w:left="-183" w:leftChars="-87" w:firstLine="240" w:firstLineChars="100"/>
        <w:rPr>
          <w:rFonts w:hint="eastAsia" w:hAnsi="宋体" w:cs="Arial"/>
          <w:sz w:val="24"/>
          <w:highlight w:val="none"/>
        </w:rPr>
      </w:pPr>
      <w:r>
        <w:rPr>
          <w:rFonts w:hint="eastAsia" w:hAnsi="宋体" w:cs="Arial"/>
          <w:sz w:val="24"/>
          <w:highlight w:val="none"/>
        </w:rPr>
        <w:t>15.6售后服务承诺书原件；</w:t>
      </w:r>
    </w:p>
    <w:p>
      <w:pPr>
        <w:pStyle w:val="10"/>
        <w:ind w:left="-183" w:leftChars="-87" w:firstLine="240" w:firstLineChars="100"/>
        <w:rPr>
          <w:rFonts w:hAnsi="宋体" w:cs="宋体"/>
          <w:sz w:val="24"/>
          <w:szCs w:val="22"/>
          <w:highlight w:val="none"/>
          <w:shd w:val="clear" w:color="050000" w:fill="auto"/>
        </w:rPr>
      </w:pPr>
      <w:r>
        <w:rPr>
          <w:rFonts w:hint="eastAsia" w:hAnsi="宋体" w:cs="Arial"/>
          <w:sz w:val="24"/>
          <w:highlight w:val="none"/>
        </w:rPr>
        <w:t>15.7投标保证金收据；</w:t>
      </w:r>
    </w:p>
    <w:p>
      <w:pPr>
        <w:pStyle w:val="10"/>
        <w:ind w:left="-183" w:leftChars="-87" w:firstLine="240" w:firstLineChars="100"/>
        <w:rPr>
          <w:rFonts w:hAnsi="宋体" w:cs="Arial"/>
          <w:sz w:val="24"/>
          <w:highlight w:val="none"/>
        </w:rPr>
      </w:pPr>
      <w:r>
        <w:rPr>
          <w:rFonts w:hint="eastAsia" w:hAnsi="宋体" w:cs="Arial"/>
          <w:sz w:val="24"/>
          <w:highlight w:val="none"/>
        </w:rPr>
        <w:t>15.8依法注册、具有合法的法人资格，并在法律上、财务上与采购人和招标机构不发生关系</w:t>
      </w:r>
    </w:p>
    <w:p>
      <w:pPr>
        <w:pStyle w:val="10"/>
        <w:ind w:left="209" w:hanging="208" w:hangingChars="87"/>
        <w:rPr>
          <w:rFonts w:hAnsi="宋体" w:cs="Arial"/>
          <w:sz w:val="24"/>
          <w:szCs w:val="24"/>
          <w:highlight w:val="none"/>
        </w:rPr>
      </w:pPr>
      <w:r>
        <w:rPr>
          <w:rFonts w:hint="eastAsia" w:hAnsi="宋体" w:cs="Arial"/>
          <w:sz w:val="24"/>
          <w:highlight w:val="none"/>
        </w:rPr>
        <w:t>15.9</w:t>
      </w:r>
      <w:r>
        <w:rPr>
          <w:rFonts w:hAnsi="宋体" w:cs="Arial"/>
          <w:sz w:val="24"/>
          <w:szCs w:val="24"/>
          <w:highlight w:val="none"/>
        </w:rPr>
        <w:t>符合国家有关法律法规的规定；</w:t>
      </w:r>
    </w:p>
    <w:p>
      <w:pPr>
        <w:pStyle w:val="10"/>
        <w:ind w:left="689" w:hanging="688" w:hangingChars="287"/>
        <w:rPr>
          <w:rFonts w:hAnsi="宋体" w:cs="Arial"/>
          <w:sz w:val="24"/>
          <w:szCs w:val="24"/>
          <w:highlight w:val="none"/>
        </w:rPr>
      </w:pPr>
      <w:r>
        <w:rPr>
          <w:rFonts w:hint="eastAsia" w:hAnsi="宋体" w:cs="Arial"/>
          <w:sz w:val="24"/>
          <w:szCs w:val="24"/>
          <w:highlight w:val="none"/>
        </w:rPr>
        <w:t>15.10</w:t>
      </w:r>
      <w:r>
        <w:rPr>
          <w:rFonts w:hAnsi="宋体" w:cs="Arial"/>
          <w:sz w:val="24"/>
          <w:szCs w:val="24"/>
          <w:highlight w:val="none"/>
        </w:rPr>
        <w:t>关于本项目的特殊要求</w:t>
      </w:r>
      <w:r>
        <w:rPr>
          <w:rFonts w:hint="eastAsia" w:hAnsi="宋体" w:cs="Arial"/>
          <w:sz w:val="24"/>
          <w:szCs w:val="24"/>
          <w:highlight w:val="none"/>
        </w:rPr>
        <w:t>：</w:t>
      </w:r>
    </w:p>
    <w:p>
      <w:pPr>
        <w:pStyle w:val="10"/>
        <w:ind w:left="689" w:hanging="688" w:hangingChars="287"/>
        <w:rPr>
          <w:rFonts w:hAnsi="宋体" w:cs="Arial"/>
          <w:sz w:val="24"/>
          <w:szCs w:val="24"/>
          <w:highlight w:val="none"/>
        </w:rPr>
      </w:pPr>
      <w:r>
        <w:rPr>
          <w:rFonts w:hint="eastAsia" w:hAnsi="宋体" w:cs="Arial"/>
          <w:sz w:val="24"/>
          <w:szCs w:val="24"/>
          <w:highlight w:val="none"/>
        </w:rPr>
        <w:t>15.11本项目不接受联合体投标。</w:t>
      </w:r>
    </w:p>
    <w:p>
      <w:pPr>
        <w:spacing w:line="400" w:lineRule="atLeast"/>
        <w:ind w:left="73" w:leftChars="35"/>
        <w:rPr>
          <w:rFonts w:ascii="宋体" w:hAnsi="宋体" w:cs="Arial"/>
          <w:b/>
          <w:spacing w:val="8"/>
          <w:sz w:val="24"/>
          <w:szCs w:val="24"/>
          <w:highlight w:val="none"/>
        </w:rPr>
      </w:pPr>
      <w:r>
        <w:rPr>
          <w:rFonts w:ascii="宋体" w:hAnsi="宋体" w:cs="Arial"/>
          <w:b/>
          <w:spacing w:val="8"/>
          <w:sz w:val="24"/>
          <w:szCs w:val="24"/>
          <w:highlight w:val="none"/>
        </w:rPr>
        <w:t>注：（1）磋商响应文件中，所有供应商签字、法人代表签字、法人代表授权人签字和其它签字处须同时加盖有关有法律效力的印章方为有效；</w:t>
      </w:r>
    </w:p>
    <w:p>
      <w:pPr>
        <w:spacing w:line="400" w:lineRule="atLeast"/>
        <w:ind w:firstLine="482" w:firstLineChars="200"/>
        <w:rPr>
          <w:rFonts w:ascii="宋体" w:hAnsi="宋体" w:cs="Arial"/>
          <w:sz w:val="24"/>
          <w:highlight w:val="none"/>
        </w:rPr>
      </w:pPr>
      <w:r>
        <w:rPr>
          <w:rFonts w:ascii="宋体" w:hAnsi="宋体" w:cs="Arial"/>
          <w:b/>
          <w:sz w:val="24"/>
          <w:highlight w:val="none"/>
        </w:rPr>
        <w:t>（2）所有资格证明文件必须满足磋商文件要求，否则将导致废标。</w:t>
      </w:r>
    </w:p>
    <w:p>
      <w:pPr>
        <w:spacing w:line="400" w:lineRule="atLeast"/>
        <w:rPr>
          <w:rFonts w:ascii="宋体" w:hAnsi="宋体" w:cs="Arial"/>
          <w:sz w:val="24"/>
          <w:highlight w:val="none"/>
        </w:rPr>
      </w:pPr>
      <w:r>
        <w:rPr>
          <w:rFonts w:ascii="宋体" w:hAnsi="宋体" w:cs="Arial"/>
          <w:sz w:val="24"/>
          <w:highlight w:val="none"/>
        </w:rPr>
        <w:t>16 投标</w:t>
      </w:r>
      <w:r>
        <w:rPr>
          <w:rFonts w:hint="eastAsia" w:ascii="宋体" w:hAnsi="宋体" w:cs="Arial"/>
          <w:sz w:val="24"/>
          <w:highlight w:val="none"/>
        </w:rPr>
        <w:t>服务</w:t>
      </w:r>
      <w:r>
        <w:rPr>
          <w:rFonts w:ascii="宋体" w:hAnsi="宋体" w:cs="Arial"/>
          <w:sz w:val="24"/>
          <w:highlight w:val="none"/>
        </w:rPr>
        <w:t>符合磋商文件规定的技术响应文件</w:t>
      </w:r>
    </w:p>
    <w:p>
      <w:pPr>
        <w:spacing w:line="400" w:lineRule="atLeast"/>
        <w:ind w:left="600" w:hanging="600" w:hangingChars="250"/>
        <w:rPr>
          <w:rFonts w:ascii="宋体" w:hAnsi="宋体" w:cs="Arial"/>
          <w:sz w:val="24"/>
          <w:highlight w:val="none"/>
        </w:rPr>
      </w:pPr>
      <w:r>
        <w:rPr>
          <w:rFonts w:ascii="宋体" w:hAnsi="宋体" w:cs="Arial"/>
          <w:sz w:val="24"/>
          <w:highlight w:val="none"/>
        </w:rPr>
        <w:t>16.1供应商须提交证明拟供服务符合磋商文件规定的技术响应文件，作为磋商响应文件的一部分。</w:t>
      </w:r>
    </w:p>
    <w:p>
      <w:pPr>
        <w:spacing w:line="400" w:lineRule="atLeast"/>
        <w:rPr>
          <w:rFonts w:ascii="宋体" w:hAnsi="宋体" w:cs="Arial"/>
          <w:sz w:val="24"/>
          <w:highlight w:val="none"/>
        </w:rPr>
      </w:pPr>
      <w:r>
        <w:rPr>
          <w:rFonts w:ascii="宋体" w:hAnsi="宋体" w:cs="Arial"/>
          <w:sz w:val="24"/>
          <w:highlight w:val="none"/>
        </w:rPr>
        <w:t>17．投标的有效期</w:t>
      </w:r>
    </w:p>
    <w:p>
      <w:pPr>
        <w:spacing w:line="400" w:lineRule="atLeast"/>
        <w:rPr>
          <w:rFonts w:ascii="宋体" w:hAnsi="宋体" w:cs="Arial"/>
          <w:sz w:val="24"/>
          <w:highlight w:val="none"/>
        </w:rPr>
      </w:pPr>
      <w:r>
        <w:rPr>
          <w:rFonts w:ascii="宋体" w:hAnsi="宋体" w:cs="Arial"/>
          <w:sz w:val="24"/>
          <w:highlight w:val="none"/>
        </w:rPr>
        <w:t>17.1</w:t>
      </w:r>
      <w:r>
        <w:rPr>
          <w:rFonts w:ascii="宋体" w:hAnsi="宋体" w:cs="Arial"/>
          <w:b/>
          <w:sz w:val="24"/>
          <w:highlight w:val="none"/>
        </w:rPr>
        <w:t xml:space="preserve"> 磋商响应文件从开标之日起，投标有效期为</w:t>
      </w:r>
      <w:r>
        <w:rPr>
          <w:rFonts w:hint="eastAsia" w:ascii="宋体" w:hAnsi="宋体" w:cs="Arial"/>
          <w:b/>
          <w:sz w:val="24"/>
          <w:highlight w:val="none"/>
          <w:lang w:val="en-US" w:eastAsia="zh-CN"/>
        </w:rPr>
        <w:t>90</w:t>
      </w:r>
      <w:r>
        <w:rPr>
          <w:rFonts w:ascii="宋体" w:hAnsi="宋体" w:cs="Arial"/>
          <w:b/>
          <w:sz w:val="24"/>
          <w:highlight w:val="none"/>
        </w:rPr>
        <w:t>天。（如不满足将导致废标）</w:t>
      </w:r>
    </w:p>
    <w:p>
      <w:pPr>
        <w:spacing w:line="400" w:lineRule="atLeast"/>
        <w:rPr>
          <w:rFonts w:ascii="宋体" w:hAnsi="宋体" w:cs="Arial"/>
          <w:sz w:val="24"/>
          <w:highlight w:val="none"/>
        </w:rPr>
      </w:pPr>
      <w:r>
        <w:rPr>
          <w:rFonts w:ascii="宋体" w:hAnsi="宋体" w:cs="Arial"/>
          <w:sz w:val="24"/>
          <w:highlight w:val="none"/>
        </w:rPr>
        <w:t>17.2 在特殊情况下，招标代理机构可与供应商商量延长磋商响应文件的有效期。</w:t>
      </w:r>
    </w:p>
    <w:p>
      <w:pPr>
        <w:spacing w:line="400" w:lineRule="atLeast"/>
        <w:rPr>
          <w:rFonts w:ascii="宋体" w:hAnsi="宋体" w:cs="Arial"/>
          <w:sz w:val="24"/>
          <w:highlight w:val="none"/>
        </w:rPr>
      </w:pPr>
      <w:r>
        <w:rPr>
          <w:rFonts w:ascii="宋体" w:hAnsi="宋体" w:cs="Arial"/>
          <w:sz w:val="24"/>
          <w:highlight w:val="none"/>
        </w:rPr>
        <w:t>18．磋商响应文件的书写要求。</w:t>
      </w:r>
    </w:p>
    <w:p>
      <w:pPr>
        <w:spacing w:line="400" w:lineRule="atLeast"/>
        <w:rPr>
          <w:rFonts w:ascii="宋体" w:hAnsi="宋体" w:cs="Arial"/>
          <w:sz w:val="24"/>
          <w:highlight w:val="none"/>
        </w:rPr>
      </w:pPr>
      <w:r>
        <w:rPr>
          <w:rFonts w:ascii="宋体" w:hAnsi="宋体" w:cs="Arial"/>
          <w:sz w:val="24"/>
          <w:highlight w:val="none"/>
        </w:rPr>
        <w:t>18.1 磋商响应文件须打印。</w:t>
      </w:r>
    </w:p>
    <w:p>
      <w:pPr>
        <w:spacing w:line="400" w:lineRule="atLeast"/>
        <w:rPr>
          <w:rFonts w:ascii="宋体" w:hAnsi="宋体" w:cs="Arial"/>
          <w:sz w:val="24"/>
          <w:highlight w:val="none"/>
        </w:rPr>
      </w:pPr>
      <w:r>
        <w:rPr>
          <w:rFonts w:ascii="宋体" w:hAnsi="宋体" w:cs="Arial"/>
          <w:sz w:val="24"/>
          <w:highlight w:val="none"/>
        </w:rPr>
        <w:t>18.2 磋商响应文件应清楚工整，修改处应由投标全权代表签章。</w:t>
      </w:r>
    </w:p>
    <w:p>
      <w:pPr>
        <w:spacing w:line="400" w:lineRule="atLeast"/>
        <w:ind w:left="600" w:hanging="600" w:hangingChars="250"/>
        <w:rPr>
          <w:rFonts w:ascii="宋体" w:hAnsi="宋体" w:cs="Arial"/>
          <w:sz w:val="24"/>
          <w:highlight w:val="none"/>
        </w:rPr>
      </w:pPr>
      <w:r>
        <w:rPr>
          <w:rFonts w:ascii="宋体" w:hAnsi="宋体" w:cs="Arial"/>
          <w:sz w:val="24"/>
          <w:highlight w:val="none"/>
        </w:rPr>
        <w:t>18.3磋商响应文件应由法人代表或法人授权代表在凡规定签章处逐一签署及加盖单位的公章。</w:t>
      </w:r>
    </w:p>
    <w:p>
      <w:pPr>
        <w:spacing w:line="400" w:lineRule="atLeast"/>
        <w:rPr>
          <w:rFonts w:ascii="宋体" w:hAnsi="宋体" w:cs="Arial"/>
          <w:sz w:val="24"/>
          <w:highlight w:val="none"/>
        </w:rPr>
      </w:pPr>
      <w:r>
        <w:rPr>
          <w:rFonts w:ascii="宋体" w:hAnsi="宋体" w:cs="Arial"/>
          <w:sz w:val="24"/>
          <w:highlight w:val="none"/>
        </w:rPr>
        <w:t>18.4电报、电话、传真形式的投标概不接受。</w:t>
      </w:r>
    </w:p>
    <w:p>
      <w:pPr>
        <w:spacing w:line="400" w:lineRule="atLeast"/>
        <w:rPr>
          <w:rFonts w:ascii="宋体" w:hAnsi="宋体" w:cs="Arial"/>
          <w:sz w:val="24"/>
          <w:highlight w:val="none"/>
        </w:rPr>
      </w:pPr>
      <w:r>
        <w:rPr>
          <w:rFonts w:ascii="宋体" w:hAnsi="宋体" w:cs="Arial"/>
          <w:sz w:val="24"/>
          <w:highlight w:val="none"/>
        </w:rPr>
        <w:t>18.5磋商响应文件的份数：一式</w:t>
      </w:r>
      <w:r>
        <w:rPr>
          <w:rFonts w:hint="eastAsia" w:ascii="宋体" w:hAnsi="宋体" w:cs="Arial"/>
          <w:sz w:val="24"/>
          <w:highlight w:val="none"/>
        </w:rPr>
        <w:t>4</w:t>
      </w:r>
      <w:r>
        <w:rPr>
          <w:rFonts w:ascii="宋体" w:hAnsi="宋体" w:cs="Arial"/>
          <w:sz w:val="24"/>
          <w:highlight w:val="none"/>
        </w:rPr>
        <w:t>份。正本1份，副本</w:t>
      </w:r>
      <w:r>
        <w:rPr>
          <w:rFonts w:hint="eastAsia" w:ascii="宋体" w:hAnsi="宋体" w:cs="Arial"/>
          <w:sz w:val="24"/>
          <w:highlight w:val="none"/>
        </w:rPr>
        <w:t>3</w:t>
      </w:r>
      <w:r>
        <w:rPr>
          <w:rFonts w:ascii="宋体" w:hAnsi="宋体" w:cs="Arial"/>
          <w:sz w:val="24"/>
          <w:highlight w:val="none"/>
        </w:rPr>
        <w:t>份</w:t>
      </w:r>
      <w:r>
        <w:rPr>
          <w:rFonts w:hint="eastAsia" w:ascii="宋体" w:hAnsi="宋体" w:cs="Arial"/>
          <w:sz w:val="24"/>
          <w:highlight w:val="none"/>
        </w:rPr>
        <w:t>，</w:t>
      </w:r>
      <w:r>
        <w:rPr>
          <w:rFonts w:hint="eastAsia" w:ascii="宋体" w:hAnsi="宋体"/>
          <w:sz w:val="24"/>
          <w:highlight w:val="none"/>
        </w:rPr>
        <w:t>报价一览表1份</w:t>
      </w:r>
      <w:r>
        <w:rPr>
          <w:rFonts w:ascii="宋体" w:hAnsi="宋体" w:cs="Arial"/>
          <w:sz w:val="24"/>
          <w:highlight w:val="none"/>
        </w:rPr>
        <w:t>。</w:t>
      </w:r>
    </w:p>
    <w:p>
      <w:pPr>
        <w:spacing w:line="400" w:lineRule="atLeast"/>
        <w:rPr>
          <w:rFonts w:ascii="宋体" w:hAnsi="宋体" w:cs="Arial"/>
          <w:sz w:val="24"/>
          <w:highlight w:val="none"/>
        </w:rPr>
      </w:pPr>
      <w:r>
        <w:rPr>
          <w:rFonts w:ascii="宋体" w:hAnsi="宋体" w:cs="Arial"/>
          <w:sz w:val="24"/>
          <w:highlight w:val="none"/>
        </w:rPr>
        <w:t>19．投标保证金</w:t>
      </w:r>
    </w:p>
    <w:p>
      <w:pPr>
        <w:spacing w:line="400" w:lineRule="atLeast"/>
        <w:ind w:left="600" w:hanging="600" w:hangingChars="250"/>
        <w:rPr>
          <w:rFonts w:ascii="宋体" w:hAnsi="宋体" w:cs="Arial"/>
          <w:sz w:val="24"/>
          <w:highlight w:val="none"/>
        </w:rPr>
      </w:pPr>
      <w:r>
        <w:rPr>
          <w:rFonts w:ascii="宋体" w:hAnsi="宋体" w:cs="Arial"/>
          <w:sz w:val="24"/>
          <w:highlight w:val="none"/>
        </w:rPr>
        <w:t>19.1保证金</w:t>
      </w:r>
      <w:r>
        <w:rPr>
          <w:rFonts w:hint="eastAsia" w:ascii="宋体" w:hAnsi="宋体" w:cs="Arial"/>
          <w:sz w:val="24"/>
          <w:highlight w:val="none"/>
        </w:rPr>
        <w:t>见投标须知前附表</w:t>
      </w:r>
      <w:r>
        <w:rPr>
          <w:rFonts w:ascii="宋体" w:hAnsi="宋体" w:cs="Arial"/>
          <w:sz w:val="24"/>
          <w:highlight w:val="none"/>
        </w:rPr>
        <w:t>，于投标截止时间前向招标代理机构交纳投标保证金。</w:t>
      </w:r>
    </w:p>
    <w:p>
      <w:pPr>
        <w:spacing w:line="400" w:lineRule="atLeast"/>
        <w:ind w:left="600" w:hanging="600" w:hangingChars="250"/>
        <w:rPr>
          <w:rFonts w:ascii="宋体" w:hAnsi="宋体" w:cs="Arial"/>
          <w:sz w:val="24"/>
          <w:highlight w:val="none"/>
        </w:rPr>
      </w:pPr>
      <w:r>
        <w:rPr>
          <w:rFonts w:ascii="宋体" w:hAnsi="宋体" w:cs="Arial"/>
          <w:sz w:val="24"/>
          <w:highlight w:val="none"/>
        </w:rPr>
        <w:t>19.2 本次招标</w:t>
      </w:r>
      <w:r>
        <w:rPr>
          <w:rFonts w:hint="eastAsia" w:ascii="宋体" w:hAnsi="宋体" w:cs="Arial"/>
          <w:sz w:val="24"/>
          <w:highlight w:val="none"/>
        </w:rPr>
        <w:t>不</w:t>
      </w:r>
      <w:r>
        <w:rPr>
          <w:rFonts w:ascii="宋体" w:hAnsi="宋体" w:cs="Arial"/>
          <w:sz w:val="24"/>
          <w:highlight w:val="none"/>
        </w:rPr>
        <w:t>接受</w:t>
      </w:r>
      <w:r>
        <w:rPr>
          <w:rFonts w:hint="eastAsia" w:ascii="宋体" w:hAnsi="宋体" w:cs="Arial"/>
          <w:sz w:val="24"/>
          <w:highlight w:val="none"/>
        </w:rPr>
        <w:t>现金</w:t>
      </w:r>
      <w:r>
        <w:rPr>
          <w:rFonts w:ascii="宋体" w:hAnsi="宋体" w:cs="Arial"/>
          <w:sz w:val="24"/>
          <w:highlight w:val="none"/>
        </w:rPr>
        <w:t>作为投标保证金，</w:t>
      </w:r>
      <w:r>
        <w:rPr>
          <w:rFonts w:ascii="宋体" w:hAnsi="宋体" w:cs="Arial"/>
          <w:sz w:val="24"/>
          <w:szCs w:val="24"/>
          <w:highlight w:val="none"/>
        </w:rPr>
        <w:t>投标保证金有效期应当与投标有效期一致</w:t>
      </w:r>
      <w:r>
        <w:rPr>
          <w:rFonts w:ascii="宋体" w:hAnsi="宋体" w:cs="Arial"/>
          <w:sz w:val="24"/>
          <w:highlight w:val="none"/>
        </w:rPr>
        <w:t>。</w:t>
      </w:r>
    </w:p>
    <w:p>
      <w:pPr>
        <w:spacing w:line="400" w:lineRule="atLeast"/>
        <w:ind w:left="600" w:hanging="600" w:hangingChars="250"/>
        <w:rPr>
          <w:rFonts w:ascii="宋体" w:hAnsi="宋体" w:cs="Arial"/>
          <w:sz w:val="24"/>
          <w:highlight w:val="none"/>
        </w:rPr>
      </w:pPr>
      <w:r>
        <w:rPr>
          <w:rFonts w:ascii="宋体" w:hAnsi="宋体" w:cs="Arial"/>
          <w:sz w:val="24"/>
          <w:highlight w:val="none"/>
        </w:rPr>
        <w:t>19.3</w:t>
      </w:r>
      <w:r>
        <w:rPr>
          <w:rFonts w:hint="eastAsia" w:ascii="宋体" w:hAnsi="宋体" w:cs="Arial"/>
          <w:sz w:val="24"/>
          <w:highlight w:val="none"/>
        </w:rPr>
        <w:t xml:space="preserve"> </w:t>
      </w:r>
      <w:r>
        <w:rPr>
          <w:rFonts w:ascii="宋体" w:hAnsi="宋体" w:cs="Arial"/>
          <w:sz w:val="24"/>
          <w:highlight w:val="none"/>
        </w:rPr>
        <w:t>投标保证金的退还时间：</w:t>
      </w:r>
    </w:p>
    <w:p>
      <w:pPr>
        <w:spacing w:line="400" w:lineRule="atLeast"/>
        <w:ind w:left="840" w:hanging="840" w:hangingChars="350"/>
        <w:rPr>
          <w:rFonts w:ascii="宋体" w:hAnsi="宋体" w:cs="Arial"/>
          <w:sz w:val="24"/>
          <w:highlight w:val="none"/>
        </w:rPr>
      </w:pPr>
      <w:r>
        <w:rPr>
          <w:rFonts w:ascii="宋体" w:hAnsi="宋体" w:cs="Arial"/>
          <w:sz w:val="24"/>
          <w:highlight w:val="none"/>
        </w:rPr>
        <w:t>19.3.1在</w:t>
      </w:r>
      <w:r>
        <w:rPr>
          <w:rFonts w:hint="eastAsia" w:ascii="宋体" w:hAnsi="宋体" w:cs="Arial"/>
          <w:sz w:val="24"/>
          <w:highlight w:val="none"/>
        </w:rPr>
        <w:t>成交</w:t>
      </w:r>
      <w:r>
        <w:rPr>
          <w:rFonts w:ascii="宋体" w:hAnsi="宋体" w:cs="Arial"/>
          <w:sz w:val="24"/>
          <w:highlight w:val="none"/>
        </w:rPr>
        <w:t>通知书发出后5个工作日内退还未中标供应商的投标保证金，在采购合同签订后5个工作日内退还中标供应商的投标保证金。</w:t>
      </w:r>
    </w:p>
    <w:p>
      <w:pPr>
        <w:spacing w:line="400" w:lineRule="atLeast"/>
        <w:rPr>
          <w:rFonts w:ascii="宋体" w:hAnsi="宋体" w:cs="Arial"/>
          <w:b/>
          <w:sz w:val="24"/>
          <w:highlight w:val="none"/>
        </w:rPr>
      </w:pPr>
      <w:r>
        <w:rPr>
          <w:rFonts w:ascii="宋体" w:hAnsi="宋体" w:cs="Arial"/>
          <w:sz w:val="24"/>
          <w:highlight w:val="none"/>
        </w:rPr>
        <w:t>19.4</w:t>
      </w:r>
      <w:r>
        <w:rPr>
          <w:rFonts w:ascii="宋体" w:hAnsi="宋体" w:cs="Arial"/>
          <w:b/>
          <w:sz w:val="24"/>
          <w:highlight w:val="none"/>
        </w:rPr>
        <w:t>未按规定提交投标保证金的投标，将被视为投标无效。</w:t>
      </w:r>
    </w:p>
    <w:p>
      <w:pPr>
        <w:pStyle w:val="10"/>
        <w:spacing w:line="400" w:lineRule="atLeast"/>
        <w:rPr>
          <w:rFonts w:hAnsi="宋体" w:cs="Arial"/>
          <w:sz w:val="24"/>
          <w:highlight w:val="none"/>
        </w:rPr>
      </w:pPr>
      <w:r>
        <w:rPr>
          <w:rFonts w:hAnsi="宋体" w:cs="Arial"/>
          <w:sz w:val="24"/>
          <w:highlight w:val="none"/>
        </w:rPr>
        <w:t>19.5下列任何情况发生时，投标保证金将被没收：</w:t>
      </w:r>
    </w:p>
    <w:p>
      <w:pPr>
        <w:pStyle w:val="10"/>
        <w:spacing w:line="400" w:lineRule="atLeast"/>
        <w:rPr>
          <w:rFonts w:hAnsi="宋体" w:cs="Arial"/>
          <w:sz w:val="24"/>
          <w:highlight w:val="none"/>
        </w:rPr>
      </w:pPr>
      <w:r>
        <w:rPr>
          <w:rFonts w:hAnsi="宋体" w:cs="Arial"/>
          <w:sz w:val="24"/>
          <w:highlight w:val="none"/>
        </w:rPr>
        <w:t>19.5.1供应商在磋商文件规定的投标有效期内撤回其投标；</w:t>
      </w:r>
    </w:p>
    <w:p>
      <w:pPr>
        <w:pStyle w:val="10"/>
        <w:spacing w:line="400" w:lineRule="atLeast"/>
        <w:rPr>
          <w:rFonts w:hAnsi="宋体" w:cs="Arial"/>
          <w:sz w:val="24"/>
          <w:highlight w:val="none"/>
        </w:rPr>
      </w:pPr>
      <w:r>
        <w:rPr>
          <w:rFonts w:hAnsi="宋体" w:cs="Arial"/>
          <w:sz w:val="24"/>
          <w:highlight w:val="none"/>
        </w:rPr>
        <w:t>19.5.2</w:t>
      </w:r>
      <w:r>
        <w:rPr>
          <w:rFonts w:hint="eastAsia" w:hAnsi="宋体" w:cs="Arial"/>
          <w:sz w:val="24"/>
          <w:highlight w:val="none"/>
        </w:rPr>
        <w:t>成交</w:t>
      </w:r>
      <w:r>
        <w:rPr>
          <w:rFonts w:hAnsi="宋体" w:cs="Arial"/>
          <w:sz w:val="24"/>
          <w:highlight w:val="none"/>
        </w:rPr>
        <w:t>方在规定期限内未能：</w:t>
      </w:r>
    </w:p>
    <w:p>
      <w:pPr>
        <w:pStyle w:val="10"/>
        <w:spacing w:line="400" w:lineRule="atLeast"/>
        <w:rPr>
          <w:rFonts w:hAnsi="宋体" w:cs="Arial"/>
          <w:sz w:val="24"/>
          <w:highlight w:val="none"/>
        </w:rPr>
      </w:pPr>
      <w:r>
        <w:rPr>
          <w:rFonts w:hAnsi="宋体" w:cs="Arial"/>
          <w:sz w:val="24"/>
          <w:highlight w:val="none"/>
        </w:rPr>
        <w:t xml:space="preserve">19.5.2.1按本须知第31条规定签订合同； </w:t>
      </w:r>
    </w:p>
    <w:p>
      <w:pPr>
        <w:pStyle w:val="10"/>
        <w:spacing w:line="400" w:lineRule="atLeast"/>
        <w:rPr>
          <w:rFonts w:hAnsi="宋体" w:cs="Arial"/>
          <w:sz w:val="24"/>
          <w:highlight w:val="none"/>
        </w:rPr>
      </w:pPr>
      <w:r>
        <w:rPr>
          <w:rFonts w:hAnsi="宋体" w:cs="Arial"/>
          <w:sz w:val="24"/>
          <w:highlight w:val="none"/>
        </w:rPr>
        <w:t>19.5.2.2按须知第32条向</w:t>
      </w:r>
      <w:r>
        <w:rPr>
          <w:rFonts w:hint="eastAsia" w:hAnsi="宋体" w:cs="Arial"/>
          <w:sz w:val="24"/>
          <w:highlight w:val="none"/>
        </w:rPr>
        <w:t>采购人</w:t>
      </w:r>
      <w:r>
        <w:rPr>
          <w:rFonts w:hAnsi="宋体" w:cs="Arial"/>
          <w:sz w:val="24"/>
          <w:highlight w:val="none"/>
        </w:rPr>
        <w:t>提交履约保证金；</w:t>
      </w:r>
    </w:p>
    <w:p>
      <w:pPr>
        <w:pStyle w:val="10"/>
        <w:spacing w:line="400" w:lineRule="atLeast"/>
        <w:rPr>
          <w:rFonts w:hAnsi="宋体" w:cs="Arial"/>
          <w:sz w:val="24"/>
          <w:highlight w:val="none"/>
        </w:rPr>
      </w:pPr>
      <w:r>
        <w:rPr>
          <w:rFonts w:hAnsi="宋体" w:cs="Arial"/>
          <w:sz w:val="24"/>
          <w:highlight w:val="none"/>
        </w:rPr>
        <w:t>19.5.2.3按本须知第33条规定向招标代理机构交纳招标代理服务费。</w:t>
      </w:r>
    </w:p>
    <w:p>
      <w:pPr>
        <w:pStyle w:val="4"/>
        <w:spacing w:before="100" w:beforeAutospacing="1" w:after="100" w:afterAutospacing="1" w:line="400" w:lineRule="atLeast"/>
        <w:jc w:val="center"/>
        <w:outlineLvl w:val="0"/>
        <w:rPr>
          <w:rFonts w:ascii="宋体" w:hAnsi="宋体" w:eastAsia="宋体" w:cs="Arial"/>
          <w:sz w:val="28"/>
          <w:szCs w:val="28"/>
          <w:highlight w:val="none"/>
        </w:rPr>
      </w:pPr>
      <w:bookmarkStart w:id="66" w:name="_Toc267301285"/>
      <w:bookmarkStart w:id="67" w:name="_Toc349637923"/>
      <w:bookmarkStart w:id="68" w:name="_Toc516489109"/>
      <w:bookmarkStart w:id="69" w:name="_Toc349573124"/>
      <w:bookmarkStart w:id="70" w:name="_Toc298240408"/>
      <w:bookmarkStart w:id="71" w:name="_Toc25114"/>
      <w:r>
        <w:rPr>
          <w:rFonts w:ascii="宋体" w:hAnsi="宋体" w:eastAsia="宋体" w:cs="Arial"/>
          <w:sz w:val="28"/>
          <w:szCs w:val="28"/>
          <w:highlight w:val="none"/>
        </w:rPr>
        <w:t>D  磋商响应文件的递交</w:t>
      </w:r>
      <w:bookmarkEnd w:id="66"/>
      <w:bookmarkEnd w:id="67"/>
      <w:bookmarkEnd w:id="68"/>
      <w:bookmarkEnd w:id="69"/>
      <w:bookmarkEnd w:id="70"/>
      <w:bookmarkEnd w:id="71"/>
    </w:p>
    <w:p>
      <w:pPr>
        <w:spacing w:line="400" w:lineRule="atLeast"/>
        <w:rPr>
          <w:rFonts w:ascii="宋体" w:hAnsi="宋体" w:cs="Arial"/>
          <w:sz w:val="24"/>
          <w:highlight w:val="none"/>
        </w:rPr>
      </w:pPr>
      <w:r>
        <w:rPr>
          <w:rFonts w:ascii="宋体" w:hAnsi="宋体" w:cs="Arial"/>
          <w:sz w:val="24"/>
          <w:highlight w:val="none"/>
        </w:rPr>
        <w:t>20. 磋商响应文件的密封与标记</w:t>
      </w:r>
    </w:p>
    <w:p>
      <w:pPr>
        <w:spacing w:line="400" w:lineRule="atLeast"/>
        <w:ind w:left="600" w:hanging="600" w:hangingChars="250"/>
        <w:rPr>
          <w:rFonts w:ascii="宋体" w:hAnsi="宋体" w:cs="Arial"/>
          <w:sz w:val="24"/>
          <w:highlight w:val="none"/>
        </w:rPr>
      </w:pPr>
      <w:r>
        <w:rPr>
          <w:rFonts w:ascii="宋体" w:hAnsi="宋体" w:cs="Arial"/>
          <w:sz w:val="24"/>
          <w:highlight w:val="none"/>
        </w:rPr>
        <w:t>20.1 供应商应将磋商响应文件正、副本分别密封，在每个密封件的封面上标明供应商名称、法定代表人、单位公章、正本或副本。</w:t>
      </w:r>
    </w:p>
    <w:p>
      <w:pPr>
        <w:spacing w:line="400" w:lineRule="atLeast"/>
        <w:rPr>
          <w:rFonts w:ascii="宋体" w:hAnsi="宋体" w:cs="Arial"/>
          <w:sz w:val="24"/>
          <w:highlight w:val="none"/>
        </w:rPr>
      </w:pPr>
      <w:r>
        <w:rPr>
          <w:rFonts w:ascii="宋体" w:hAnsi="宋体" w:cs="Arial"/>
          <w:sz w:val="24"/>
          <w:highlight w:val="none"/>
        </w:rPr>
        <w:t>20.2 磋商响应文件袋上应写明：</w:t>
      </w:r>
    </w:p>
    <w:p>
      <w:pPr>
        <w:numPr>
          <w:ilvl w:val="0"/>
          <w:numId w:val="4"/>
        </w:numPr>
        <w:tabs>
          <w:tab w:val="left" w:pos="1080"/>
          <w:tab w:val="clear" w:pos="1260"/>
        </w:tabs>
        <w:spacing w:line="400" w:lineRule="atLeast"/>
        <w:ind w:left="1080" w:hanging="720"/>
        <w:rPr>
          <w:rFonts w:ascii="宋体" w:hAnsi="宋体" w:cs="Arial"/>
          <w:sz w:val="24"/>
          <w:highlight w:val="none"/>
        </w:rPr>
      </w:pPr>
      <w:r>
        <w:rPr>
          <w:rFonts w:ascii="宋体" w:hAnsi="宋体" w:cs="Arial"/>
          <w:sz w:val="24"/>
          <w:highlight w:val="none"/>
        </w:rPr>
        <w:t>招标机构：</w:t>
      </w:r>
      <w:r>
        <w:rPr>
          <w:rFonts w:hint="eastAsia" w:ascii="宋体" w:hAnsi="宋体" w:cs="Arial"/>
          <w:sz w:val="24"/>
          <w:highlight w:val="none"/>
        </w:rPr>
        <w:t>新疆宣宇项目管理有限公司</w:t>
      </w:r>
    </w:p>
    <w:p>
      <w:pPr>
        <w:numPr>
          <w:ilvl w:val="0"/>
          <w:numId w:val="4"/>
        </w:numPr>
        <w:tabs>
          <w:tab w:val="left" w:pos="1080"/>
          <w:tab w:val="clear" w:pos="1260"/>
        </w:tabs>
        <w:spacing w:line="400" w:lineRule="atLeast"/>
        <w:ind w:left="1080" w:hanging="720"/>
        <w:rPr>
          <w:rFonts w:ascii="宋体" w:hAnsi="宋体" w:cs="Arial"/>
          <w:sz w:val="24"/>
          <w:highlight w:val="none"/>
        </w:rPr>
      </w:pPr>
      <w:r>
        <w:rPr>
          <w:rFonts w:ascii="宋体" w:hAnsi="宋体" w:cs="Arial"/>
          <w:sz w:val="24"/>
          <w:highlight w:val="none"/>
        </w:rPr>
        <w:t>项目名称：</w:t>
      </w:r>
      <w:r>
        <w:rPr>
          <w:rFonts w:ascii="宋体" w:hAnsi="宋体" w:cs="Arial"/>
          <w:sz w:val="24"/>
          <w:highlight w:val="none"/>
          <w:u w:val="single"/>
        </w:rPr>
        <w:t xml:space="preserve">             </w:t>
      </w:r>
    </w:p>
    <w:p>
      <w:pPr>
        <w:numPr>
          <w:ilvl w:val="0"/>
          <w:numId w:val="4"/>
        </w:numPr>
        <w:tabs>
          <w:tab w:val="left" w:pos="1080"/>
          <w:tab w:val="clear" w:pos="1260"/>
        </w:tabs>
        <w:spacing w:line="400" w:lineRule="atLeast"/>
        <w:ind w:left="1080" w:hanging="720"/>
        <w:rPr>
          <w:rFonts w:ascii="宋体" w:hAnsi="宋体" w:cs="Arial"/>
          <w:sz w:val="24"/>
          <w:highlight w:val="none"/>
        </w:rPr>
      </w:pPr>
      <w:r>
        <w:rPr>
          <w:rFonts w:ascii="宋体" w:hAnsi="宋体" w:cs="Arial"/>
          <w:sz w:val="24"/>
          <w:highlight w:val="none"/>
        </w:rPr>
        <w:t>项目编号：</w:t>
      </w:r>
      <w:r>
        <w:rPr>
          <w:rFonts w:ascii="宋体" w:hAnsi="宋体" w:cs="Arial"/>
          <w:sz w:val="24"/>
          <w:highlight w:val="none"/>
          <w:u w:val="single"/>
        </w:rPr>
        <w:t xml:space="preserve">             </w:t>
      </w:r>
    </w:p>
    <w:p>
      <w:pPr>
        <w:numPr>
          <w:ilvl w:val="0"/>
          <w:numId w:val="4"/>
        </w:numPr>
        <w:tabs>
          <w:tab w:val="left" w:pos="1080"/>
          <w:tab w:val="clear" w:pos="1260"/>
        </w:tabs>
        <w:spacing w:line="400" w:lineRule="atLeast"/>
        <w:ind w:left="1080" w:hanging="720"/>
        <w:rPr>
          <w:rFonts w:ascii="宋体" w:hAnsi="宋体" w:cs="Arial"/>
          <w:sz w:val="24"/>
          <w:highlight w:val="none"/>
        </w:rPr>
      </w:pPr>
      <w:r>
        <w:rPr>
          <w:rFonts w:ascii="宋体" w:hAnsi="宋体" w:cs="Arial"/>
          <w:sz w:val="24"/>
          <w:highlight w:val="none"/>
        </w:rPr>
        <w:t xml:space="preserve">包号： </w:t>
      </w:r>
      <w:r>
        <w:rPr>
          <w:rFonts w:ascii="宋体" w:hAnsi="宋体" w:cs="Arial"/>
          <w:sz w:val="24"/>
          <w:highlight w:val="none"/>
          <w:u w:val="single"/>
        </w:rPr>
        <w:t xml:space="preserve">             </w:t>
      </w:r>
      <w:r>
        <w:rPr>
          <w:rFonts w:ascii="宋体" w:hAnsi="宋体" w:cs="Arial"/>
          <w:sz w:val="24"/>
          <w:highlight w:val="none"/>
        </w:rPr>
        <w:t xml:space="preserve">     </w:t>
      </w:r>
    </w:p>
    <w:p>
      <w:pPr>
        <w:numPr>
          <w:ilvl w:val="0"/>
          <w:numId w:val="4"/>
        </w:numPr>
        <w:tabs>
          <w:tab w:val="left" w:pos="1080"/>
          <w:tab w:val="clear" w:pos="1260"/>
        </w:tabs>
        <w:spacing w:line="400" w:lineRule="atLeast"/>
        <w:ind w:left="1080" w:hanging="720"/>
        <w:rPr>
          <w:rFonts w:ascii="宋体" w:hAnsi="宋体" w:cs="Arial"/>
          <w:sz w:val="24"/>
          <w:highlight w:val="none"/>
        </w:rPr>
      </w:pPr>
      <w:r>
        <w:rPr>
          <w:rFonts w:ascii="宋体" w:hAnsi="宋体" w:cs="Arial"/>
          <w:sz w:val="24"/>
          <w:highlight w:val="none"/>
        </w:rPr>
        <w:t>注明“开标时才能启封”</w:t>
      </w:r>
    </w:p>
    <w:p>
      <w:pPr>
        <w:numPr>
          <w:ilvl w:val="0"/>
          <w:numId w:val="4"/>
        </w:numPr>
        <w:tabs>
          <w:tab w:val="left" w:pos="1080"/>
          <w:tab w:val="clear" w:pos="1260"/>
        </w:tabs>
        <w:spacing w:line="400" w:lineRule="atLeast"/>
        <w:ind w:left="1080" w:hanging="720"/>
        <w:rPr>
          <w:rFonts w:ascii="宋体" w:hAnsi="宋体" w:cs="Arial"/>
          <w:sz w:val="24"/>
          <w:highlight w:val="none"/>
        </w:rPr>
      </w:pPr>
      <w:r>
        <w:rPr>
          <w:rFonts w:ascii="宋体" w:hAnsi="宋体" w:cs="Arial"/>
          <w:sz w:val="24"/>
          <w:highlight w:val="none"/>
        </w:rPr>
        <w:t>投标单位名称：</w:t>
      </w:r>
      <w:r>
        <w:rPr>
          <w:rFonts w:ascii="宋体" w:hAnsi="宋体" w:cs="Arial"/>
          <w:sz w:val="24"/>
          <w:highlight w:val="none"/>
          <w:u w:val="single"/>
        </w:rPr>
        <w:t xml:space="preserve">            </w:t>
      </w:r>
    </w:p>
    <w:p>
      <w:pPr>
        <w:spacing w:line="400" w:lineRule="atLeast"/>
        <w:ind w:left="600" w:hanging="600" w:hangingChars="250"/>
        <w:rPr>
          <w:rFonts w:ascii="宋体" w:hAnsi="宋体" w:cs="Arial"/>
          <w:sz w:val="24"/>
          <w:highlight w:val="none"/>
        </w:rPr>
      </w:pPr>
      <w:r>
        <w:rPr>
          <w:rFonts w:ascii="宋体" w:hAnsi="宋体" w:cs="Arial"/>
          <w:sz w:val="24"/>
          <w:highlight w:val="none"/>
        </w:rPr>
        <w:t>20.3为方便开标唱标，供应商须将正本</w:t>
      </w:r>
      <w:r>
        <w:rPr>
          <w:rFonts w:hint="eastAsia" w:ascii="宋体" w:hAnsi="宋体" w:cs="Arial"/>
          <w:sz w:val="24"/>
          <w:highlight w:val="none"/>
        </w:rPr>
        <w:t>的</w:t>
      </w:r>
      <w:r>
        <w:rPr>
          <w:rFonts w:ascii="宋体" w:hAnsi="宋体" w:cs="Arial"/>
          <w:sz w:val="24"/>
          <w:highlight w:val="none"/>
        </w:rPr>
        <w:t>投标书、开标一览表和投标保证金</w:t>
      </w:r>
      <w:r>
        <w:rPr>
          <w:rFonts w:hint="eastAsia" w:ascii="宋体" w:hAnsi="宋体" w:cs="Arial"/>
          <w:sz w:val="24"/>
          <w:highlight w:val="none"/>
        </w:rPr>
        <w:t>凭证</w:t>
      </w:r>
      <w:r>
        <w:rPr>
          <w:rFonts w:ascii="宋体" w:hAnsi="宋体" w:cs="Arial"/>
          <w:sz w:val="24"/>
          <w:highlight w:val="none"/>
        </w:rPr>
        <w:t>单独密封，并在信封上标明“开标一览表”字样，然后再装入正本磋商响应文件密封袋中。</w:t>
      </w:r>
    </w:p>
    <w:p>
      <w:pPr>
        <w:spacing w:line="400" w:lineRule="atLeast"/>
        <w:ind w:left="600" w:hanging="600" w:hangingChars="250"/>
        <w:rPr>
          <w:rFonts w:ascii="宋体" w:hAnsi="宋体" w:cs="Arial"/>
          <w:sz w:val="24"/>
          <w:highlight w:val="none"/>
        </w:rPr>
      </w:pPr>
      <w:r>
        <w:rPr>
          <w:rFonts w:ascii="宋体" w:hAnsi="宋体" w:cs="Arial"/>
          <w:sz w:val="24"/>
          <w:highlight w:val="none"/>
        </w:rPr>
        <w:t>20.4磋商文件装订要求：磋商响应文件要求不得活页装订。</w:t>
      </w:r>
    </w:p>
    <w:p>
      <w:pPr>
        <w:spacing w:line="400" w:lineRule="atLeast"/>
        <w:rPr>
          <w:rFonts w:ascii="宋体" w:hAnsi="宋体" w:cs="Arial"/>
          <w:sz w:val="24"/>
          <w:highlight w:val="none"/>
        </w:rPr>
      </w:pPr>
      <w:r>
        <w:rPr>
          <w:rFonts w:ascii="宋体" w:hAnsi="宋体" w:cs="Arial"/>
          <w:sz w:val="24"/>
          <w:highlight w:val="none"/>
        </w:rPr>
        <w:t>21. 投标截止时间</w:t>
      </w:r>
    </w:p>
    <w:p>
      <w:pPr>
        <w:spacing w:line="400" w:lineRule="atLeast"/>
        <w:rPr>
          <w:rFonts w:ascii="宋体" w:hAnsi="宋体" w:cs="Arial"/>
          <w:sz w:val="24"/>
          <w:highlight w:val="none"/>
        </w:rPr>
      </w:pPr>
      <w:r>
        <w:rPr>
          <w:rFonts w:ascii="宋体" w:hAnsi="宋体" w:cs="Arial"/>
          <w:sz w:val="24"/>
          <w:highlight w:val="none"/>
        </w:rPr>
        <w:t>21.1 磋商响应文件的递交不得迟于</w:t>
      </w:r>
      <w:r>
        <w:rPr>
          <w:rFonts w:hint="eastAsia" w:ascii="宋体" w:hAnsi="宋体" w:cs="宋体"/>
          <w:sz w:val="24"/>
          <w:szCs w:val="24"/>
          <w:highlight w:val="none"/>
        </w:rPr>
        <w:t>2022年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cs="宋体"/>
          <w:sz w:val="24"/>
          <w:szCs w:val="24"/>
          <w:highlight w:val="none"/>
        </w:rPr>
        <w:t>日</w:t>
      </w:r>
      <w:r>
        <w:rPr>
          <w:rFonts w:hint="eastAsia" w:ascii="宋体" w:hAnsi="宋体" w:cs="宋体"/>
          <w:sz w:val="24"/>
          <w:szCs w:val="24"/>
          <w:highlight w:val="none"/>
          <w:lang w:eastAsia="zh-CN"/>
        </w:rPr>
        <w:t>下</w:t>
      </w:r>
      <w:r>
        <w:rPr>
          <w:rFonts w:hint="eastAsia" w:ascii="宋体" w:hAnsi="宋体" w:cs="宋体"/>
          <w:sz w:val="24"/>
          <w:szCs w:val="24"/>
          <w:highlight w:val="none"/>
        </w:rPr>
        <w:t>午</w:t>
      </w:r>
      <w:r>
        <w:rPr>
          <w:rFonts w:hint="eastAsia" w:ascii="宋体" w:hAnsi="宋体" w:cs="宋体"/>
          <w:sz w:val="24"/>
          <w:szCs w:val="24"/>
          <w:highlight w:val="none"/>
          <w:lang w:val="en-US" w:eastAsia="zh-CN"/>
        </w:rPr>
        <w:t>16</w:t>
      </w:r>
      <w:r>
        <w:rPr>
          <w:rFonts w:hint="eastAsia" w:ascii="宋体" w:hAnsi="宋体" w:cs="宋体"/>
          <w:sz w:val="24"/>
          <w:szCs w:val="24"/>
          <w:highlight w:val="none"/>
        </w:rPr>
        <w:t>时</w:t>
      </w:r>
      <w:r>
        <w:rPr>
          <w:rFonts w:hint="eastAsia" w:ascii="宋体" w:hAnsi="宋体" w:cs="宋体"/>
          <w:sz w:val="24"/>
          <w:szCs w:val="24"/>
          <w:highlight w:val="none"/>
          <w:lang w:val="en-US" w:eastAsia="zh-CN"/>
        </w:rPr>
        <w:t>30分</w:t>
      </w:r>
      <w:r>
        <w:rPr>
          <w:rFonts w:ascii="宋体" w:hAnsi="宋体" w:cs="Arial"/>
          <w:sz w:val="24"/>
          <w:highlight w:val="none"/>
        </w:rPr>
        <w:t>（</w:t>
      </w:r>
      <w:r>
        <w:rPr>
          <w:rFonts w:ascii="宋体" w:hAnsi="宋体" w:cs="Arial"/>
          <w:sz w:val="24"/>
          <w:szCs w:val="24"/>
          <w:highlight w:val="none"/>
        </w:rPr>
        <w:t>北京时间）</w:t>
      </w:r>
      <w:r>
        <w:rPr>
          <w:rFonts w:ascii="宋体" w:hAnsi="宋体" w:cs="Arial"/>
          <w:sz w:val="24"/>
          <w:highlight w:val="none"/>
        </w:rPr>
        <w:t>。</w:t>
      </w:r>
    </w:p>
    <w:p>
      <w:pPr>
        <w:spacing w:line="400" w:lineRule="atLeast"/>
        <w:ind w:left="540" w:leftChars="257"/>
        <w:rPr>
          <w:rFonts w:ascii="宋体" w:hAnsi="宋体" w:cs="Arial"/>
          <w:sz w:val="24"/>
          <w:highlight w:val="none"/>
        </w:rPr>
      </w:pPr>
      <w:r>
        <w:rPr>
          <w:rFonts w:ascii="宋体" w:hAnsi="宋体" w:cs="Arial"/>
          <w:sz w:val="24"/>
          <w:highlight w:val="none"/>
        </w:rPr>
        <w:t>磋商响应文件以密封形式递交至：开标现场</w:t>
      </w:r>
    </w:p>
    <w:p>
      <w:pPr>
        <w:spacing w:line="400" w:lineRule="atLeast"/>
        <w:ind w:left="600" w:hanging="600" w:hangingChars="250"/>
        <w:rPr>
          <w:rFonts w:ascii="宋体" w:hAnsi="宋体" w:cs="Arial"/>
          <w:sz w:val="24"/>
          <w:highlight w:val="none"/>
        </w:rPr>
      </w:pPr>
      <w:r>
        <w:rPr>
          <w:rFonts w:ascii="宋体" w:hAnsi="宋体" w:cs="Arial"/>
          <w:sz w:val="24"/>
          <w:highlight w:val="none"/>
        </w:rPr>
        <w:t>21.2 所有磋商响应文件不论派人送交还是通过邮寄递交，都必须按招标代理机构在投标邀请中规定的投标截止时间之前送到磋商文件规定的地点。</w:t>
      </w:r>
    </w:p>
    <w:p>
      <w:pPr>
        <w:spacing w:line="400" w:lineRule="atLeast"/>
        <w:ind w:left="600" w:hanging="600" w:hangingChars="250"/>
        <w:rPr>
          <w:rFonts w:ascii="宋体" w:hAnsi="宋体" w:cs="Arial"/>
          <w:sz w:val="24"/>
          <w:highlight w:val="none"/>
        </w:rPr>
      </w:pPr>
      <w:r>
        <w:rPr>
          <w:rFonts w:ascii="宋体" w:hAnsi="宋体" w:cs="Arial"/>
          <w:sz w:val="24"/>
          <w:highlight w:val="none"/>
        </w:rPr>
        <w:t>21.3 出现第8.2款因磋商文件的修改推迟投标截止时间时，则按招标代理机构修改通知规定的时间递交。</w:t>
      </w:r>
    </w:p>
    <w:p>
      <w:pPr>
        <w:spacing w:line="400" w:lineRule="atLeast"/>
        <w:rPr>
          <w:rFonts w:ascii="宋体" w:hAnsi="宋体" w:cs="Arial"/>
          <w:sz w:val="24"/>
          <w:highlight w:val="none"/>
        </w:rPr>
      </w:pPr>
      <w:r>
        <w:rPr>
          <w:rFonts w:ascii="宋体" w:hAnsi="宋体" w:cs="Arial"/>
          <w:sz w:val="24"/>
          <w:highlight w:val="none"/>
        </w:rPr>
        <w:t>22．磋商响应文件的修改和撤销</w:t>
      </w:r>
    </w:p>
    <w:p>
      <w:pPr>
        <w:spacing w:line="400" w:lineRule="atLeast"/>
        <w:ind w:left="600" w:hanging="600" w:hangingChars="250"/>
        <w:rPr>
          <w:rFonts w:ascii="宋体" w:hAnsi="宋体" w:cs="Arial"/>
          <w:sz w:val="24"/>
          <w:highlight w:val="none"/>
        </w:rPr>
      </w:pPr>
      <w:r>
        <w:rPr>
          <w:rFonts w:ascii="宋体" w:hAnsi="宋体" w:cs="Arial"/>
          <w:sz w:val="24"/>
          <w:highlight w:val="none"/>
        </w:rPr>
        <w:t>22.1 供应商在提交磋商响应文件后可对其磋商响应文件进行修改或撤销，但招标代理机构须在投标截止时间之前收到该修改或撤销的书面通知，该通知须有经正式授权的供应商代表签字。</w:t>
      </w:r>
    </w:p>
    <w:p>
      <w:pPr>
        <w:spacing w:line="400" w:lineRule="atLeast"/>
        <w:rPr>
          <w:rFonts w:ascii="宋体" w:hAnsi="宋体" w:cs="Arial"/>
          <w:sz w:val="24"/>
          <w:highlight w:val="none"/>
        </w:rPr>
      </w:pPr>
      <w:r>
        <w:rPr>
          <w:rFonts w:ascii="宋体" w:hAnsi="宋体" w:cs="Arial"/>
          <w:sz w:val="24"/>
          <w:highlight w:val="none"/>
        </w:rPr>
        <w:t>22.2 投标截止时间以后不得修改磋商响应文件。</w:t>
      </w:r>
    </w:p>
    <w:p>
      <w:pPr>
        <w:spacing w:line="400" w:lineRule="atLeast"/>
        <w:ind w:left="600" w:hanging="600" w:hangingChars="250"/>
        <w:rPr>
          <w:rFonts w:ascii="宋体" w:hAnsi="宋体" w:cs="Arial"/>
          <w:sz w:val="24"/>
          <w:highlight w:val="none"/>
        </w:rPr>
      </w:pPr>
      <w:r>
        <w:rPr>
          <w:rFonts w:ascii="宋体" w:hAnsi="宋体" w:cs="Arial"/>
          <w:sz w:val="24"/>
          <w:highlight w:val="none"/>
        </w:rPr>
        <w:t>22.3 供应商不得在开标时间起至投标有效期期满前撤销磋商响应文件。否则招标代理机构将没收其投标保证金。</w:t>
      </w:r>
    </w:p>
    <w:p>
      <w:pPr>
        <w:spacing w:line="400" w:lineRule="atLeast"/>
        <w:ind w:left="600" w:hanging="600" w:hangingChars="250"/>
        <w:rPr>
          <w:rFonts w:ascii="宋体" w:hAnsi="宋体" w:cs="Arial"/>
          <w:sz w:val="24"/>
          <w:highlight w:val="none"/>
        </w:rPr>
      </w:pPr>
    </w:p>
    <w:p>
      <w:pPr>
        <w:pStyle w:val="4"/>
        <w:spacing w:before="100" w:beforeAutospacing="1" w:after="100" w:afterAutospacing="1" w:line="400" w:lineRule="atLeast"/>
        <w:jc w:val="center"/>
        <w:outlineLvl w:val="0"/>
        <w:rPr>
          <w:rFonts w:ascii="宋体" w:hAnsi="宋体" w:eastAsia="宋体" w:cs="Arial"/>
          <w:sz w:val="28"/>
          <w:szCs w:val="28"/>
          <w:highlight w:val="none"/>
        </w:rPr>
      </w:pPr>
      <w:bookmarkStart w:id="72" w:name="_Toc516489110"/>
      <w:bookmarkStart w:id="73" w:name="_Toc25633"/>
      <w:bookmarkStart w:id="74" w:name="_Toc267301286"/>
      <w:bookmarkStart w:id="75" w:name="_Toc349637924"/>
      <w:bookmarkStart w:id="76" w:name="_Toc298240409"/>
      <w:bookmarkStart w:id="77" w:name="_Toc349573125"/>
      <w:r>
        <w:rPr>
          <w:rFonts w:ascii="宋体" w:hAnsi="宋体" w:eastAsia="宋体" w:cs="Arial"/>
          <w:sz w:val="28"/>
          <w:szCs w:val="28"/>
          <w:highlight w:val="none"/>
        </w:rPr>
        <w:t xml:space="preserve">E  </w:t>
      </w:r>
      <w:r>
        <w:rPr>
          <w:rFonts w:hint="eastAsia" w:ascii="宋体" w:hAnsi="宋体" w:eastAsia="宋体" w:cs="Arial"/>
          <w:sz w:val="28"/>
          <w:szCs w:val="28"/>
          <w:highlight w:val="none"/>
        </w:rPr>
        <w:t>磋商</w:t>
      </w:r>
      <w:r>
        <w:rPr>
          <w:rFonts w:ascii="宋体" w:hAnsi="宋体" w:eastAsia="宋体" w:cs="Arial"/>
          <w:sz w:val="28"/>
          <w:szCs w:val="28"/>
          <w:highlight w:val="none"/>
        </w:rPr>
        <w:t>程序</w:t>
      </w:r>
      <w:bookmarkEnd w:id="72"/>
      <w:bookmarkEnd w:id="73"/>
      <w:bookmarkEnd w:id="74"/>
      <w:bookmarkEnd w:id="75"/>
      <w:bookmarkEnd w:id="76"/>
      <w:bookmarkEnd w:id="77"/>
    </w:p>
    <w:p>
      <w:pPr>
        <w:spacing w:line="400" w:lineRule="atLeast"/>
        <w:rPr>
          <w:rFonts w:hint="eastAsia" w:ascii="宋体" w:hAnsi="宋体" w:cs="Arial"/>
          <w:sz w:val="24"/>
          <w:highlight w:val="none"/>
        </w:rPr>
      </w:pPr>
      <w:r>
        <w:rPr>
          <w:rFonts w:ascii="宋体" w:hAnsi="宋体" w:cs="Arial"/>
          <w:sz w:val="24"/>
          <w:highlight w:val="none"/>
        </w:rPr>
        <w:t>23．</w:t>
      </w:r>
      <w:r>
        <w:rPr>
          <w:rFonts w:hint="eastAsia" w:ascii="宋体" w:hAnsi="宋体" w:cs="Arial"/>
          <w:sz w:val="24"/>
          <w:highlight w:val="none"/>
        </w:rPr>
        <w:t>磋商</w:t>
      </w:r>
    </w:p>
    <w:p>
      <w:pPr>
        <w:spacing w:line="400" w:lineRule="atLeast"/>
        <w:ind w:left="600" w:hanging="600" w:hangingChars="250"/>
        <w:rPr>
          <w:rFonts w:hint="eastAsia" w:ascii="宋体" w:hAnsi="宋体" w:cs="Arial"/>
          <w:sz w:val="24"/>
          <w:highlight w:val="none"/>
        </w:rPr>
      </w:pPr>
      <w:r>
        <w:rPr>
          <w:rFonts w:hint="eastAsia" w:ascii="宋体" w:hAnsi="宋体" w:cs="Arial"/>
          <w:sz w:val="24"/>
          <w:highlight w:val="none"/>
        </w:rPr>
        <w:t>23.1磋商时，需带营业执照（要求投标人具有上述经营范围）、法定代表人授权委托书及委托代理人身份证、须</w:t>
      </w:r>
      <w:r>
        <w:rPr>
          <w:rFonts w:hint="eastAsia" w:ascii="宋体" w:hAnsi="宋体"/>
          <w:sz w:val="24"/>
          <w:highlight w:val="none"/>
        </w:rPr>
        <w:t>提供近一年财务审计报告（2021年或2022年）或银行资信证明</w:t>
      </w:r>
      <w:r>
        <w:rPr>
          <w:rFonts w:hint="eastAsia" w:ascii="宋体" w:hAnsi="宋体" w:cs="Arial"/>
          <w:sz w:val="24"/>
          <w:highlight w:val="none"/>
        </w:rPr>
        <w:t>、须提供授权委托人在本单位近半年的社保证明（2021年10月至2022年3月）、提供信用中国网站、国家企业信用信息公示系统和中国政府采购网查询结果打印件（加盖企业公章）、售后服务承诺书原件、</w:t>
      </w:r>
      <w:r>
        <w:rPr>
          <w:rFonts w:hint="eastAsia" w:ascii="宋体" w:hAnsi="宋体" w:cs="Arial"/>
          <w:sz w:val="24"/>
          <w:highlight w:val="none"/>
          <w:lang w:eastAsia="zh-CN"/>
        </w:rPr>
        <w:t>银行保函或</w:t>
      </w:r>
      <w:r>
        <w:rPr>
          <w:rFonts w:hint="eastAsia" w:ascii="宋体" w:hAnsi="宋体" w:cs="Arial"/>
          <w:sz w:val="24"/>
          <w:highlight w:val="none"/>
        </w:rPr>
        <w:t>投标保证金收据。</w:t>
      </w:r>
    </w:p>
    <w:p>
      <w:pPr>
        <w:spacing w:line="400" w:lineRule="atLeast"/>
        <w:ind w:left="602" w:hanging="602" w:hangingChars="250"/>
        <w:rPr>
          <w:rFonts w:hint="eastAsia" w:ascii="宋体" w:hAnsi="宋体" w:cs="Arial"/>
          <w:b/>
          <w:bCs/>
          <w:sz w:val="24"/>
          <w:highlight w:val="none"/>
        </w:rPr>
      </w:pPr>
      <w:r>
        <w:rPr>
          <w:rFonts w:hint="eastAsia" w:ascii="宋体" w:hAnsi="宋体" w:cs="Arial"/>
          <w:b/>
          <w:bCs/>
          <w:sz w:val="24"/>
          <w:highlight w:val="none"/>
        </w:rPr>
        <w:t xml:space="preserve">    上述证件资料须带原件</w:t>
      </w:r>
      <w:r>
        <w:rPr>
          <w:rFonts w:hint="eastAsia" w:ascii="宋体" w:hAnsi="宋体" w:cs="Arial"/>
          <w:b/>
          <w:bCs/>
          <w:sz w:val="24"/>
          <w:highlight w:val="none"/>
          <w:lang w:eastAsia="zh-CN"/>
        </w:rPr>
        <w:t>，缺一不可，未提供按否决投标处理</w:t>
      </w:r>
      <w:r>
        <w:rPr>
          <w:rFonts w:hint="eastAsia" w:ascii="宋体" w:hAnsi="宋体" w:cs="Arial"/>
          <w:b/>
          <w:bCs/>
          <w:sz w:val="24"/>
          <w:highlight w:val="none"/>
        </w:rPr>
        <w:t>。</w:t>
      </w:r>
    </w:p>
    <w:p>
      <w:pPr>
        <w:spacing w:line="400" w:lineRule="atLeast"/>
        <w:ind w:left="600" w:hanging="600" w:hangingChars="250"/>
        <w:rPr>
          <w:rFonts w:hint="eastAsia" w:ascii="宋体" w:hAnsi="宋体" w:cs="Arial"/>
          <w:sz w:val="24"/>
          <w:highlight w:val="none"/>
        </w:rPr>
      </w:pPr>
      <w:r>
        <w:rPr>
          <w:rFonts w:ascii="宋体" w:hAnsi="宋体" w:cs="Arial"/>
          <w:sz w:val="24"/>
          <w:highlight w:val="none"/>
        </w:rPr>
        <w:t>23.</w:t>
      </w:r>
      <w:r>
        <w:rPr>
          <w:rFonts w:hint="eastAsia" w:ascii="宋体" w:hAnsi="宋体" w:cs="Arial"/>
          <w:sz w:val="24"/>
          <w:highlight w:val="none"/>
        </w:rPr>
        <w:t>2</w:t>
      </w:r>
      <w:r>
        <w:rPr>
          <w:rFonts w:ascii="宋体" w:hAnsi="宋体" w:cs="Arial"/>
          <w:sz w:val="24"/>
          <w:highlight w:val="none"/>
        </w:rPr>
        <w:t xml:space="preserve"> 本次</w:t>
      </w:r>
      <w:r>
        <w:rPr>
          <w:rFonts w:hint="eastAsia" w:ascii="宋体" w:hAnsi="宋体" w:cs="Arial"/>
          <w:sz w:val="24"/>
          <w:highlight w:val="none"/>
        </w:rPr>
        <w:t>磋商</w:t>
      </w:r>
      <w:r>
        <w:rPr>
          <w:rFonts w:ascii="宋体" w:hAnsi="宋体" w:cs="Arial"/>
          <w:sz w:val="24"/>
          <w:highlight w:val="none"/>
        </w:rPr>
        <w:t>按</w:t>
      </w:r>
      <w:r>
        <w:rPr>
          <w:rFonts w:hint="eastAsia" w:ascii="宋体" w:hAnsi="宋体" w:cs="Arial"/>
          <w:sz w:val="24"/>
          <w:highlight w:val="none"/>
        </w:rPr>
        <w:t>磋商</w:t>
      </w:r>
      <w:r>
        <w:rPr>
          <w:rFonts w:ascii="宋体" w:hAnsi="宋体" w:cs="Arial"/>
          <w:sz w:val="24"/>
          <w:highlight w:val="none"/>
        </w:rPr>
        <w:t>文件中</w:t>
      </w:r>
      <w:r>
        <w:rPr>
          <w:rFonts w:hint="eastAsia" w:ascii="宋体" w:hAnsi="宋体" w:cs="Arial"/>
          <w:sz w:val="24"/>
          <w:highlight w:val="none"/>
        </w:rPr>
        <w:t>磋商</w:t>
      </w:r>
      <w:r>
        <w:rPr>
          <w:rFonts w:ascii="宋体" w:hAnsi="宋体" w:cs="Arial"/>
          <w:sz w:val="24"/>
          <w:highlight w:val="none"/>
        </w:rPr>
        <w:t>邀请规定的时间地点进行</w:t>
      </w:r>
      <w:r>
        <w:rPr>
          <w:rFonts w:hint="eastAsia" w:ascii="宋体" w:hAnsi="宋体" w:cs="Arial"/>
          <w:sz w:val="24"/>
          <w:highlight w:val="none"/>
        </w:rPr>
        <w:t>磋商</w:t>
      </w:r>
      <w:r>
        <w:rPr>
          <w:rFonts w:ascii="宋体" w:hAnsi="宋体" w:cs="Arial"/>
          <w:sz w:val="24"/>
          <w:highlight w:val="none"/>
        </w:rPr>
        <w:t>，将邀请供应商的法定代表人或其授权委托人准时参加</w:t>
      </w:r>
      <w:r>
        <w:rPr>
          <w:rFonts w:hint="eastAsia" w:ascii="宋体" w:hAnsi="宋体" w:cs="Arial"/>
          <w:sz w:val="24"/>
          <w:highlight w:val="none"/>
        </w:rPr>
        <w:t>磋商</w:t>
      </w:r>
      <w:r>
        <w:rPr>
          <w:rFonts w:ascii="宋体" w:hAnsi="宋体" w:cs="Arial"/>
          <w:sz w:val="24"/>
          <w:highlight w:val="none"/>
        </w:rPr>
        <w:t>会。</w:t>
      </w:r>
    </w:p>
    <w:p>
      <w:pPr>
        <w:spacing w:line="400" w:lineRule="atLeast"/>
        <w:ind w:left="600" w:hanging="600" w:hangingChars="250"/>
        <w:rPr>
          <w:rFonts w:hint="eastAsia" w:ascii="宋体" w:hAnsi="宋体" w:cs="Arial"/>
          <w:sz w:val="24"/>
          <w:highlight w:val="none"/>
        </w:rPr>
      </w:pPr>
      <w:r>
        <w:rPr>
          <w:rFonts w:hint="eastAsia" w:ascii="宋体" w:hAnsi="宋体" w:cs="Arial"/>
          <w:sz w:val="24"/>
          <w:highlight w:val="none"/>
        </w:rPr>
        <w:t>23.3</w:t>
      </w:r>
      <w:r>
        <w:rPr>
          <w:rFonts w:hint="eastAsia" w:ascii="宋体" w:hAnsi="宋体"/>
          <w:sz w:val="24"/>
          <w:szCs w:val="24"/>
          <w:highlight w:val="none"/>
        </w:rPr>
        <w:t>宣布磋商响应文件开启顺序</w:t>
      </w:r>
      <w:r>
        <w:rPr>
          <w:rFonts w:hint="eastAsia" w:ascii="宋体" w:hAnsi="宋体"/>
          <w:sz w:val="30"/>
          <w:szCs w:val="30"/>
          <w:highlight w:val="none"/>
        </w:rPr>
        <w:t>。</w:t>
      </w:r>
    </w:p>
    <w:p>
      <w:pPr>
        <w:spacing w:line="400" w:lineRule="atLeast"/>
        <w:ind w:left="600" w:hanging="600" w:hangingChars="250"/>
        <w:rPr>
          <w:rFonts w:ascii="宋体" w:hAnsi="宋体" w:cs="Arial"/>
          <w:sz w:val="24"/>
          <w:highlight w:val="none"/>
        </w:rPr>
      </w:pPr>
      <w:r>
        <w:rPr>
          <w:rFonts w:ascii="宋体" w:hAnsi="宋体" w:cs="Arial"/>
          <w:sz w:val="24"/>
          <w:highlight w:val="none"/>
        </w:rPr>
        <w:t>23.</w:t>
      </w:r>
      <w:r>
        <w:rPr>
          <w:rFonts w:hint="eastAsia" w:ascii="宋体" w:hAnsi="宋体" w:cs="Arial"/>
          <w:sz w:val="24"/>
          <w:highlight w:val="none"/>
        </w:rPr>
        <w:t>4</w:t>
      </w:r>
      <w:r>
        <w:rPr>
          <w:rFonts w:ascii="宋体" w:hAnsi="宋体" w:cs="Arial"/>
          <w:sz w:val="24"/>
          <w:highlight w:val="none"/>
        </w:rPr>
        <w:t xml:space="preserve"> </w:t>
      </w:r>
      <w:r>
        <w:rPr>
          <w:rFonts w:hint="eastAsia" w:ascii="宋体" w:hAnsi="宋体" w:cs="Arial"/>
          <w:sz w:val="24"/>
          <w:highlight w:val="none"/>
        </w:rPr>
        <w:t>磋商</w:t>
      </w:r>
      <w:r>
        <w:rPr>
          <w:rFonts w:ascii="宋体" w:hAnsi="宋体" w:cs="Arial"/>
          <w:sz w:val="24"/>
          <w:highlight w:val="none"/>
        </w:rPr>
        <w:t>时检查</w:t>
      </w:r>
      <w:r>
        <w:rPr>
          <w:rFonts w:hint="eastAsia" w:ascii="宋体" w:hAnsi="宋体" w:cs="Arial"/>
          <w:sz w:val="24"/>
          <w:highlight w:val="none"/>
        </w:rPr>
        <w:t>磋商</w:t>
      </w:r>
      <w:r>
        <w:rPr>
          <w:rFonts w:ascii="宋体" w:hAnsi="宋体" w:cs="Arial"/>
          <w:sz w:val="24"/>
          <w:highlight w:val="none"/>
        </w:rPr>
        <w:t>响应文件密封情况。</w:t>
      </w:r>
    </w:p>
    <w:p>
      <w:pPr>
        <w:spacing w:line="400" w:lineRule="atLeast"/>
        <w:rPr>
          <w:rFonts w:hint="eastAsia" w:ascii="宋体" w:hAnsi="宋体" w:cs="Arial"/>
          <w:sz w:val="24"/>
          <w:highlight w:val="none"/>
        </w:rPr>
      </w:pPr>
      <w:r>
        <w:rPr>
          <w:rFonts w:ascii="宋体" w:hAnsi="宋体" w:cs="Arial"/>
          <w:sz w:val="24"/>
          <w:highlight w:val="none"/>
        </w:rPr>
        <w:t>23.</w:t>
      </w:r>
      <w:r>
        <w:rPr>
          <w:rFonts w:hint="eastAsia" w:ascii="宋体" w:hAnsi="宋体" w:cs="Arial"/>
          <w:sz w:val="24"/>
          <w:highlight w:val="none"/>
        </w:rPr>
        <w:t>5</w:t>
      </w:r>
      <w:r>
        <w:rPr>
          <w:rFonts w:ascii="宋体" w:hAnsi="宋体" w:cs="Arial"/>
          <w:sz w:val="24"/>
          <w:highlight w:val="none"/>
        </w:rPr>
        <w:t xml:space="preserve"> </w:t>
      </w:r>
      <w:r>
        <w:rPr>
          <w:rFonts w:hint="eastAsia" w:ascii="宋体" w:hAnsi="宋体" w:cs="Arial"/>
          <w:sz w:val="24"/>
          <w:highlight w:val="none"/>
        </w:rPr>
        <w:t>磋商</w:t>
      </w:r>
      <w:r>
        <w:rPr>
          <w:rFonts w:ascii="宋体" w:hAnsi="宋体" w:cs="Arial"/>
          <w:sz w:val="24"/>
          <w:highlight w:val="none"/>
        </w:rPr>
        <w:t>原则在</w:t>
      </w:r>
      <w:r>
        <w:rPr>
          <w:rFonts w:hint="eastAsia" w:ascii="宋体" w:hAnsi="宋体" w:cs="Arial"/>
          <w:sz w:val="24"/>
          <w:highlight w:val="none"/>
        </w:rPr>
        <w:t>磋商</w:t>
      </w:r>
      <w:r>
        <w:rPr>
          <w:rFonts w:ascii="宋体" w:hAnsi="宋体" w:cs="Arial"/>
          <w:sz w:val="24"/>
          <w:highlight w:val="none"/>
        </w:rPr>
        <w:t>会议上宣布。</w:t>
      </w:r>
    </w:p>
    <w:p>
      <w:pPr>
        <w:spacing w:line="400" w:lineRule="atLeast"/>
        <w:rPr>
          <w:rFonts w:hint="eastAsia" w:ascii="宋体" w:hAnsi="宋体" w:cs="Arial"/>
          <w:sz w:val="24"/>
          <w:highlight w:val="none"/>
        </w:rPr>
      </w:pPr>
      <w:r>
        <w:rPr>
          <w:rFonts w:hint="eastAsia" w:ascii="宋体" w:hAnsi="宋体" w:cs="Arial"/>
          <w:sz w:val="24"/>
          <w:highlight w:val="none"/>
        </w:rPr>
        <w:t>23.6 对采购方的纪律要求</w:t>
      </w:r>
    </w:p>
    <w:p>
      <w:pPr>
        <w:spacing w:line="400" w:lineRule="atLeast"/>
        <w:ind w:left="720" w:hanging="720" w:hangingChars="300"/>
        <w:rPr>
          <w:rFonts w:hint="eastAsia" w:ascii="宋体" w:hAnsi="宋体" w:cs="Arial"/>
          <w:sz w:val="24"/>
          <w:highlight w:val="none"/>
        </w:rPr>
      </w:pPr>
      <w:r>
        <w:rPr>
          <w:rFonts w:hint="eastAsia" w:ascii="宋体" w:hAnsi="宋体" w:cs="Arial"/>
          <w:sz w:val="24"/>
          <w:highlight w:val="none"/>
        </w:rPr>
        <w:t xml:space="preserve">      采购方不得泄露磋商活动中应当保密的情况和资料，不得与供应商串通损害国家利益、社会公共利益或者他人合法权益。</w:t>
      </w:r>
    </w:p>
    <w:p>
      <w:pPr>
        <w:spacing w:line="400" w:lineRule="atLeast"/>
        <w:rPr>
          <w:rFonts w:hint="eastAsia" w:ascii="宋体" w:hAnsi="宋体" w:cs="Arial"/>
          <w:sz w:val="24"/>
          <w:highlight w:val="none"/>
        </w:rPr>
      </w:pPr>
      <w:r>
        <w:rPr>
          <w:rFonts w:hint="eastAsia" w:ascii="宋体" w:hAnsi="宋体" w:cs="Arial"/>
          <w:sz w:val="24"/>
          <w:highlight w:val="none"/>
        </w:rPr>
        <w:t>23.7对供应商的纪律要求</w:t>
      </w:r>
    </w:p>
    <w:p>
      <w:pPr>
        <w:spacing w:line="400" w:lineRule="atLeast"/>
        <w:ind w:left="598" w:leftChars="285"/>
        <w:rPr>
          <w:rFonts w:hint="eastAsia" w:ascii="宋体" w:hAnsi="宋体" w:cs="Arial"/>
          <w:sz w:val="24"/>
          <w:highlight w:val="none"/>
        </w:rPr>
      </w:pPr>
      <w:r>
        <w:rPr>
          <w:rFonts w:hint="eastAsia" w:ascii="宋体" w:hAnsi="宋体" w:cs="Arial"/>
          <w:sz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400" w:lineRule="atLeast"/>
        <w:rPr>
          <w:rFonts w:hint="eastAsia" w:ascii="宋体" w:hAnsi="宋体" w:cs="Arial"/>
          <w:sz w:val="24"/>
          <w:highlight w:val="none"/>
        </w:rPr>
      </w:pPr>
      <w:r>
        <w:rPr>
          <w:rFonts w:hint="eastAsia" w:ascii="宋体" w:hAnsi="宋体" w:cs="Arial"/>
          <w:sz w:val="24"/>
          <w:highlight w:val="none"/>
        </w:rPr>
        <w:t>23.8 对与磋商活动有关的工作人员的纪律要求</w:t>
      </w:r>
    </w:p>
    <w:p>
      <w:pPr>
        <w:spacing w:line="400" w:lineRule="atLeast"/>
        <w:rPr>
          <w:rFonts w:hint="eastAsia" w:ascii="宋体" w:hAnsi="宋体" w:cs="Arial"/>
          <w:sz w:val="24"/>
          <w:highlight w:val="none"/>
        </w:rPr>
      </w:pPr>
      <w:r>
        <w:rPr>
          <w:rFonts w:hint="eastAsia" w:ascii="宋体" w:hAnsi="宋体" w:cs="Arial"/>
          <w:sz w:val="24"/>
          <w:highlight w:val="none"/>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400" w:lineRule="atLeast"/>
        <w:rPr>
          <w:rFonts w:hint="eastAsia" w:ascii="宋体" w:hAnsi="宋体" w:cs="Arial"/>
          <w:sz w:val="24"/>
          <w:highlight w:val="none"/>
        </w:rPr>
      </w:pPr>
      <w:r>
        <w:rPr>
          <w:rFonts w:hint="eastAsia" w:ascii="宋体" w:hAnsi="宋体" w:cs="Arial"/>
          <w:sz w:val="24"/>
          <w:highlight w:val="none"/>
        </w:rPr>
        <w:t>23.9对磋商小组成员要求磋商纪律</w:t>
      </w:r>
    </w:p>
    <w:p>
      <w:pPr>
        <w:spacing w:line="400" w:lineRule="atLeast"/>
        <w:rPr>
          <w:rFonts w:hint="eastAsia" w:ascii="宋体" w:hAnsi="宋体" w:cs="Arial"/>
          <w:sz w:val="24"/>
          <w:highlight w:val="none"/>
        </w:rPr>
      </w:pPr>
      <w:r>
        <w:rPr>
          <w:rFonts w:hint="eastAsia" w:ascii="宋体" w:hAnsi="宋体" w:cs="Arial"/>
          <w:sz w:val="24"/>
          <w:highlight w:val="none"/>
        </w:rPr>
        <w:t>23.9.1磋商小组应当依照有关法律法规的规定，按照磋商文件确定的磋商标准和办法客观、公正的对磋商响应文件提出评审意见。磋商文件设有规定的磋商标准和方法不得作为磋商依据。</w:t>
      </w:r>
    </w:p>
    <w:p>
      <w:pPr>
        <w:spacing w:line="400" w:lineRule="atLeast"/>
        <w:rPr>
          <w:rFonts w:hint="eastAsia" w:ascii="宋体" w:hAnsi="宋体" w:cs="Arial"/>
          <w:sz w:val="24"/>
          <w:highlight w:val="none"/>
        </w:rPr>
      </w:pPr>
      <w:r>
        <w:rPr>
          <w:rFonts w:hint="eastAsia" w:ascii="宋体" w:hAnsi="宋体" w:cs="Arial"/>
          <w:sz w:val="24"/>
          <w:highlight w:val="none"/>
        </w:rPr>
        <w:t>23.9.2磋商小组成员不得私下接触供应商，不得收受供应商给予的财务或者其他好处，不得向采购方征询确定成交方意向。</w:t>
      </w:r>
    </w:p>
    <w:p>
      <w:pPr>
        <w:spacing w:line="400" w:lineRule="atLeast"/>
        <w:rPr>
          <w:rFonts w:hint="eastAsia" w:ascii="宋体" w:hAnsi="宋体" w:cs="Arial"/>
          <w:sz w:val="24"/>
          <w:highlight w:val="none"/>
        </w:rPr>
      </w:pPr>
      <w:r>
        <w:rPr>
          <w:rFonts w:hint="eastAsia" w:ascii="宋体" w:hAnsi="宋体" w:cs="Arial"/>
          <w:sz w:val="24"/>
          <w:highlight w:val="none"/>
        </w:rPr>
        <w:t>23.9.3不得接受任何单位或个人明示或暗示提出的倾向或排斥特定供应商的要求。</w:t>
      </w:r>
    </w:p>
    <w:p>
      <w:pPr>
        <w:spacing w:line="400" w:lineRule="atLeast"/>
        <w:rPr>
          <w:rFonts w:hint="eastAsia" w:ascii="宋体" w:hAnsi="宋体" w:cs="Arial"/>
          <w:sz w:val="24"/>
          <w:highlight w:val="none"/>
        </w:rPr>
      </w:pPr>
      <w:r>
        <w:rPr>
          <w:rFonts w:hint="eastAsia" w:ascii="宋体" w:hAnsi="宋体" w:cs="Arial"/>
          <w:sz w:val="24"/>
          <w:highlight w:val="none"/>
        </w:rPr>
        <w:t>23.9.4不得有其他不客观，不公正履行职务的行为。</w:t>
      </w:r>
    </w:p>
    <w:p>
      <w:pPr>
        <w:spacing w:line="400" w:lineRule="atLeast"/>
        <w:rPr>
          <w:rFonts w:ascii="宋体" w:hAnsi="宋体" w:cs="Arial"/>
          <w:sz w:val="24"/>
          <w:highlight w:val="none"/>
        </w:rPr>
      </w:pPr>
      <w:r>
        <w:rPr>
          <w:rFonts w:ascii="宋体" w:hAnsi="宋体" w:cs="Arial"/>
          <w:sz w:val="24"/>
          <w:highlight w:val="none"/>
        </w:rPr>
        <w:t>24．</w:t>
      </w:r>
      <w:r>
        <w:rPr>
          <w:rFonts w:hint="eastAsia" w:ascii="宋体" w:hAnsi="宋体" w:cs="Arial"/>
          <w:sz w:val="24"/>
          <w:highlight w:val="none"/>
        </w:rPr>
        <w:t>磋商</w:t>
      </w:r>
      <w:r>
        <w:rPr>
          <w:rFonts w:ascii="宋体" w:hAnsi="宋体" w:cs="Arial"/>
          <w:sz w:val="24"/>
          <w:highlight w:val="none"/>
        </w:rPr>
        <w:t>过程</w:t>
      </w:r>
    </w:p>
    <w:p>
      <w:pPr>
        <w:spacing w:line="400" w:lineRule="atLeast"/>
        <w:ind w:right="-340" w:rightChars="-162"/>
        <w:rPr>
          <w:rFonts w:ascii="宋体" w:hAnsi="宋体" w:cs="Arial"/>
          <w:sz w:val="24"/>
          <w:highlight w:val="none"/>
        </w:rPr>
      </w:pPr>
      <w:r>
        <w:rPr>
          <w:rFonts w:ascii="宋体" w:hAnsi="宋体" w:cs="Arial"/>
          <w:sz w:val="24"/>
          <w:highlight w:val="none"/>
        </w:rPr>
        <w:t xml:space="preserve">24.1 </w:t>
      </w:r>
      <w:r>
        <w:rPr>
          <w:rFonts w:hint="eastAsia" w:ascii="宋体" w:hAnsi="宋体" w:cs="Arial"/>
          <w:sz w:val="24"/>
          <w:highlight w:val="none"/>
        </w:rPr>
        <w:t>磋商</w:t>
      </w:r>
      <w:r>
        <w:rPr>
          <w:rFonts w:ascii="宋体" w:hAnsi="宋体" w:cs="Arial"/>
          <w:sz w:val="24"/>
          <w:highlight w:val="none"/>
        </w:rPr>
        <w:t>的依据为</w:t>
      </w:r>
      <w:r>
        <w:rPr>
          <w:rFonts w:hint="eastAsia" w:ascii="宋体" w:hAnsi="宋体" w:cs="Arial"/>
          <w:sz w:val="24"/>
          <w:highlight w:val="none"/>
        </w:rPr>
        <w:t>磋商</w:t>
      </w:r>
      <w:r>
        <w:rPr>
          <w:rFonts w:ascii="宋体" w:hAnsi="宋体" w:cs="Arial"/>
          <w:sz w:val="24"/>
          <w:highlight w:val="none"/>
        </w:rPr>
        <w:t>文件和</w:t>
      </w:r>
      <w:r>
        <w:rPr>
          <w:rFonts w:hint="eastAsia" w:ascii="宋体" w:hAnsi="宋体" w:cs="Arial"/>
          <w:sz w:val="24"/>
          <w:highlight w:val="none"/>
        </w:rPr>
        <w:t>磋商</w:t>
      </w:r>
      <w:r>
        <w:rPr>
          <w:rFonts w:ascii="宋体" w:hAnsi="宋体" w:cs="Arial"/>
          <w:sz w:val="24"/>
          <w:highlight w:val="none"/>
        </w:rPr>
        <w:t>响应文件。</w:t>
      </w:r>
    </w:p>
    <w:p>
      <w:pPr>
        <w:pStyle w:val="25"/>
        <w:ind w:right="-340" w:rightChars="-162" w:firstLine="0" w:firstLineChars="0"/>
        <w:rPr>
          <w:rFonts w:hint="eastAsia" w:ascii="宋体" w:hAnsi="宋体"/>
          <w:kern w:val="0"/>
          <w:szCs w:val="21"/>
          <w:highlight w:val="none"/>
        </w:rPr>
      </w:pPr>
      <w:r>
        <w:rPr>
          <w:rFonts w:hint="eastAsia" w:ascii="宋体" w:hAnsi="宋体" w:cs="Arial"/>
          <w:sz w:val="24"/>
          <w:highlight w:val="none"/>
        </w:rPr>
        <w:t>2</w:t>
      </w:r>
      <w:r>
        <w:rPr>
          <w:rFonts w:ascii="宋体" w:hAnsi="宋体" w:cs="Arial"/>
          <w:sz w:val="24"/>
          <w:highlight w:val="none"/>
        </w:rPr>
        <w:t>4</w:t>
      </w:r>
      <w:r>
        <w:rPr>
          <w:rFonts w:hint="eastAsia" w:ascii="宋体" w:hAnsi="宋体" w:cs="Arial"/>
          <w:sz w:val="24"/>
          <w:highlight w:val="none"/>
        </w:rPr>
        <w:t>.</w:t>
      </w:r>
      <w:r>
        <w:rPr>
          <w:rFonts w:ascii="宋体" w:hAnsi="宋体" w:cs="Arial"/>
          <w:sz w:val="24"/>
          <w:highlight w:val="none"/>
        </w:rPr>
        <w:t>2</w:t>
      </w:r>
      <w:r>
        <w:rPr>
          <w:rFonts w:hint="eastAsia" w:ascii="宋体" w:hAnsi="宋体" w:cs="Arial"/>
          <w:sz w:val="24"/>
          <w:highlight w:val="none"/>
        </w:rPr>
        <w:t>磋商时，有关行政监督部门的工作人员将对供应商进行资格审核。供应商应在密封的磋商响应文件之外随身携带</w:t>
      </w:r>
      <w:r>
        <w:rPr>
          <w:rFonts w:hint="eastAsia" w:ascii="宋体" w:hAnsi="宋体" w:cs="Arial"/>
          <w:b/>
          <w:bCs/>
          <w:sz w:val="24"/>
          <w:highlight w:val="none"/>
        </w:rPr>
        <w:t>原件</w:t>
      </w:r>
      <w:r>
        <w:rPr>
          <w:rFonts w:hint="eastAsia" w:ascii="宋体" w:hAnsi="宋体" w:cs="Arial"/>
          <w:sz w:val="24"/>
          <w:highlight w:val="none"/>
        </w:rPr>
        <w:t>：营业执照（要求投标人具有上述经营范围）、法定代表人授权委托书及委托代理人身份证、须</w:t>
      </w:r>
      <w:r>
        <w:rPr>
          <w:rFonts w:hint="eastAsia" w:ascii="宋体" w:hAnsi="宋体"/>
          <w:sz w:val="24"/>
          <w:highlight w:val="none"/>
        </w:rPr>
        <w:t>提供近一年财务审计报告（2021年或2022年）或银行资信证明</w:t>
      </w:r>
      <w:r>
        <w:rPr>
          <w:rFonts w:hint="eastAsia" w:ascii="宋体" w:hAnsi="宋体" w:cs="Arial"/>
          <w:sz w:val="24"/>
          <w:highlight w:val="none"/>
        </w:rPr>
        <w:t>、须提供授权委托人在本单位近半年的社保证明（2021年10月至2022年3月）、提供信用中国网站、国家企业信用信息公示系统和中国政府采购网查询结果打印件（加盖企业公章）、售后服务承诺书原件、投标保证金收据。</w:t>
      </w:r>
    </w:p>
    <w:p>
      <w:pPr>
        <w:spacing w:line="440" w:lineRule="exact"/>
        <w:ind w:left="600" w:right="-340" w:rightChars="-162" w:hanging="600" w:hangingChars="250"/>
        <w:rPr>
          <w:rFonts w:ascii="宋体" w:hAnsi="宋体" w:cs="Arial"/>
          <w:sz w:val="24"/>
          <w:highlight w:val="none"/>
        </w:rPr>
      </w:pPr>
      <w:r>
        <w:rPr>
          <w:rFonts w:ascii="宋体" w:hAnsi="宋体" w:cs="Arial"/>
          <w:sz w:val="24"/>
          <w:highlight w:val="none"/>
        </w:rPr>
        <w:t>24.2 对通过资格审核的</w:t>
      </w:r>
      <w:r>
        <w:rPr>
          <w:rFonts w:hint="eastAsia" w:ascii="宋体" w:hAnsi="宋体" w:cs="Arial"/>
          <w:sz w:val="24"/>
          <w:highlight w:val="none"/>
        </w:rPr>
        <w:t>供应</w:t>
      </w:r>
      <w:r>
        <w:rPr>
          <w:rFonts w:ascii="宋体" w:hAnsi="宋体" w:cs="Arial"/>
          <w:sz w:val="24"/>
          <w:highlight w:val="none"/>
        </w:rPr>
        <w:t>商</w:t>
      </w:r>
      <w:r>
        <w:rPr>
          <w:rFonts w:hint="eastAsia" w:ascii="宋体" w:hAnsi="宋体" w:cs="Arial"/>
          <w:sz w:val="24"/>
          <w:highlight w:val="none"/>
        </w:rPr>
        <w:t>，磋商小组将</w:t>
      </w:r>
      <w:r>
        <w:rPr>
          <w:rFonts w:ascii="宋体" w:hAnsi="宋体" w:cs="Arial"/>
          <w:sz w:val="24"/>
          <w:highlight w:val="none"/>
        </w:rPr>
        <w:t>审查</w:t>
      </w:r>
      <w:r>
        <w:rPr>
          <w:rFonts w:hint="eastAsia" w:ascii="宋体" w:hAnsi="宋体" w:cs="Arial"/>
          <w:sz w:val="24"/>
          <w:highlight w:val="none"/>
        </w:rPr>
        <w:t>磋商</w:t>
      </w:r>
      <w:r>
        <w:rPr>
          <w:rFonts w:ascii="宋体" w:hAnsi="宋体" w:cs="Arial"/>
          <w:sz w:val="24"/>
          <w:highlight w:val="none"/>
        </w:rPr>
        <w:t>响应文件是否完整，是否有计算错误，要求的保证金是否提供，文件是否恰当地签署。</w:t>
      </w:r>
    </w:p>
    <w:p>
      <w:pPr>
        <w:spacing w:line="440" w:lineRule="exact"/>
        <w:ind w:left="600" w:hanging="600" w:hangingChars="250"/>
        <w:rPr>
          <w:rFonts w:hint="eastAsia" w:ascii="宋体" w:hAnsi="宋体" w:cs="Arial"/>
          <w:sz w:val="24"/>
          <w:highlight w:val="none"/>
        </w:rPr>
      </w:pPr>
      <w:r>
        <w:rPr>
          <w:rFonts w:ascii="宋体" w:hAnsi="宋体" w:cs="Arial"/>
          <w:sz w:val="24"/>
          <w:highlight w:val="none"/>
        </w:rPr>
        <w:t>24.3 在对</w:t>
      </w:r>
      <w:r>
        <w:rPr>
          <w:rFonts w:hint="eastAsia" w:ascii="宋体" w:hAnsi="宋体" w:cs="Arial"/>
          <w:sz w:val="24"/>
          <w:highlight w:val="none"/>
        </w:rPr>
        <w:t>磋商</w:t>
      </w:r>
      <w:r>
        <w:rPr>
          <w:rFonts w:ascii="宋体" w:hAnsi="宋体" w:cs="Arial"/>
          <w:sz w:val="24"/>
          <w:highlight w:val="none"/>
        </w:rPr>
        <w:t>响应文件进行详细评估之前，</w:t>
      </w:r>
      <w:r>
        <w:rPr>
          <w:rFonts w:hint="eastAsia" w:ascii="宋体" w:hAnsi="宋体" w:cs="Arial"/>
          <w:sz w:val="24"/>
          <w:highlight w:val="none"/>
        </w:rPr>
        <w:t>磋商小组</w:t>
      </w:r>
      <w:r>
        <w:rPr>
          <w:rFonts w:ascii="宋体" w:hAnsi="宋体" w:cs="Arial"/>
          <w:sz w:val="24"/>
          <w:highlight w:val="none"/>
        </w:rPr>
        <w:t>将依据供应商提供的资格证明文件审查供应商的财务、技术和生产能力。如果确定供应商无资格履行合同，其投标将被拒绝</w:t>
      </w:r>
    </w:p>
    <w:p>
      <w:pPr>
        <w:spacing w:line="440" w:lineRule="exact"/>
        <w:ind w:left="600" w:hanging="600" w:hangingChars="250"/>
        <w:rPr>
          <w:rFonts w:ascii="宋体" w:hAnsi="宋体" w:cs="Arial"/>
          <w:sz w:val="24"/>
          <w:highlight w:val="none"/>
        </w:rPr>
      </w:pPr>
      <w:r>
        <w:rPr>
          <w:rFonts w:ascii="宋体" w:hAnsi="宋体" w:cs="Arial"/>
          <w:sz w:val="24"/>
          <w:highlight w:val="none"/>
        </w:rPr>
        <w:t xml:space="preserve">24.4 </w:t>
      </w:r>
      <w:r>
        <w:rPr>
          <w:rFonts w:hint="eastAsia" w:ascii="宋体" w:hAnsi="宋体" w:cs="Arial"/>
          <w:sz w:val="24"/>
          <w:highlight w:val="none"/>
        </w:rPr>
        <w:t>磋商小组</w:t>
      </w:r>
      <w:r>
        <w:rPr>
          <w:rFonts w:ascii="宋体" w:hAnsi="宋体" w:cs="Arial"/>
          <w:sz w:val="24"/>
          <w:highlight w:val="none"/>
        </w:rPr>
        <w:t>将确定每一</w:t>
      </w:r>
      <w:r>
        <w:rPr>
          <w:rFonts w:hint="eastAsia" w:ascii="宋体" w:hAnsi="宋体" w:cs="Arial"/>
          <w:sz w:val="24"/>
          <w:highlight w:val="none"/>
        </w:rPr>
        <w:t>磋商响应文件</w:t>
      </w:r>
      <w:r>
        <w:rPr>
          <w:rFonts w:ascii="宋体" w:hAnsi="宋体" w:cs="Arial"/>
          <w:sz w:val="24"/>
          <w:highlight w:val="none"/>
        </w:rPr>
        <w:t>是否对</w:t>
      </w:r>
      <w:r>
        <w:rPr>
          <w:rFonts w:hint="eastAsia" w:ascii="宋体" w:hAnsi="宋体" w:cs="Arial"/>
          <w:sz w:val="24"/>
          <w:highlight w:val="none"/>
        </w:rPr>
        <w:t>磋商</w:t>
      </w:r>
      <w:r>
        <w:rPr>
          <w:rFonts w:ascii="宋体" w:hAnsi="宋体" w:cs="Arial"/>
          <w:sz w:val="24"/>
          <w:highlight w:val="none"/>
        </w:rPr>
        <w:t>文件的要求作出了实质性的响应，而没有重大偏离。实质性响应的</w:t>
      </w:r>
      <w:r>
        <w:rPr>
          <w:rFonts w:hint="eastAsia" w:ascii="宋体" w:hAnsi="宋体" w:cs="Arial"/>
          <w:sz w:val="24"/>
          <w:highlight w:val="none"/>
        </w:rPr>
        <w:t>磋商响应文件</w:t>
      </w:r>
      <w:r>
        <w:rPr>
          <w:rFonts w:ascii="宋体" w:hAnsi="宋体" w:cs="Arial"/>
          <w:sz w:val="24"/>
          <w:highlight w:val="none"/>
        </w:rPr>
        <w:t>是指符合</w:t>
      </w:r>
      <w:r>
        <w:rPr>
          <w:rFonts w:hint="eastAsia" w:ascii="宋体" w:hAnsi="宋体" w:cs="Arial"/>
          <w:sz w:val="24"/>
          <w:highlight w:val="none"/>
        </w:rPr>
        <w:t>磋商</w:t>
      </w:r>
      <w:r>
        <w:rPr>
          <w:rFonts w:ascii="宋体" w:hAnsi="宋体" w:cs="Arial"/>
          <w:sz w:val="24"/>
          <w:highlight w:val="none"/>
        </w:rPr>
        <w:t>文件的所有条款、条件和规定且没有重大偏离或保留。重大偏离或保留系指影响到</w:t>
      </w:r>
      <w:r>
        <w:rPr>
          <w:rFonts w:hint="eastAsia" w:ascii="宋体" w:hAnsi="宋体" w:cs="Arial"/>
          <w:sz w:val="24"/>
          <w:highlight w:val="none"/>
        </w:rPr>
        <w:t>磋商</w:t>
      </w:r>
      <w:r>
        <w:rPr>
          <w:rFonts w:ascii="宋体" w:hAnsi="宋体" w:cs="Arial"/>
          <w:sz w:val="24"/>
          <w:highlight w:val="none"/>
        </w:rPr>
        <w:t>文件规定的供货范围、质量和性能，或限制了</w:t>
      </w:r>
      <w:r>
        <w:rPr>
          <w:rFonts w:hint="eastAsia" w:ascii="宋体" w:hAnsi="宋体" w:cs="Arial"/>
          <w:sz w:val="24"/>
          <w:highlight w:val="none"/>
        </w:rPr>
        <w:t>采购人</w:t>
      </w:r>
      <w:r>
        <w:rPr>
          <w:rFonts w:ascii="宋体" w:hAnsi="宋体" w:cs="Arial"/>
          <w:sz w:val="24"/>
          <w:highlight w:val="none"/>
        </w:rPr>
        <w:t>的权利和供应商的义务的规定，而纠正这些偏离将影响到其他提交实质性响应投标的供应商的公平竞争地位。</w:t>
      </w:r>
    </w:p>
    <w:p>
      <w:pPr>
        <w:spacing w:line="440" w:lineRule="exact"/>
        <w:rPr>
          <w:rFonts w:ascii="宋体" w:hAnsi="宋体" w:cs="Arial"/>
          <w:sz w:val="24"/>
          <w:highlight w:val="none"/>
        </w:rPr>
      </w:pPr>
      <w:r>
        <w:rPr>
          <w:rFonts w:ascii="宋体" w:hAnsi="宋体" w:cs="Arial"/>
          <w:sz w:val="24"/>
          <w:highlight w:val="none"/>
        </w:rPr>
        <w:t>25．</w:t>
      </w:r>
      <w:r>
        <w:rPr>
          <w:rFonts w:hint="eastAsia" w:ascii="宋体" w:hAnsi="宋体" w:cs="Arial"/>
          <w:sz w:val="24"/>
          <w:highlight w:val="none"/>
        </w:rPr>
        <w:t>磋商</w:t>
      </w:r>
      <w:r>
        <w:rPr>
          <w:rFonts w:ascii="宋体" w:hAnsi="宋体" w:cs="Arial"/>
          <w:sz w:val="24"/>
          <w:highlight w:val="none"/>
        </w:rPr>
        <w:t>响应文件的澄清</w:t>
      </w:r>
    </w:p>
    <w:p>
      <w:pPr>
        <w:spacing w:line="440" w:lineRule="exact"/>
        <w:ind w:left="600" w:hanging="600" w:hangingChars="250"/>
        <w:rPr>
          <w:rFonts w:ascii="宋体" w:hAnsi="宋体" w:cs="Arial"/>
          <w:sz w:val="24"/>
          <w:highlight w:val="none"/>
        </w:rPr>
      </w:pPr>
      <w:r>
        <w:rPr>
          <w:rFonts w:ascii="宋体" w:hAnsi="宋体" w:cs="Arial"/>
          <w:sz w:val="24"/>
          <w:highlight w:val="none"/>
        </w:rPr>
        <w:t>25.1为有助于对</w:t>
      </w:r>
      <w:r>
        <w:rPr>
          <w:rFonts w:hint="eastAsia" w:ascii="宋体" w:hAnsi="宋体" w:cs="Arial"/>
          <w:sz w:val="24"/>
          <w:highlight w:val="none"/>
        </w:rPr>
        <w:t>磋商</w:t>
      </w:r>
      <w:r>
        <w:rPr>
          <w:rFonts w:ascii="宋体" w:hAnsi="宋体" w:cs="Arial"/>
          <w:sz w:val="24"/>
          <w:highlight w:val="none"/>
        </w:rPr>
        <w:t>响应文件进行审查、评估和比较，</w:t>
      </w:r>
      <w:r>
        <w:rPr>
          <w:rFonts w:hint="eastAsia" w:ascii="宋体" w:hAnsi="宋体" w:cs="Arial"/>
          <w:sz w:val="24"/>
          <w:highlight w:val="none"/>
        </w:rPr>
        <w:t>磋商</w:t>
      </w:r>
      <w:r>
        <w:rPr>
          <w:rFonts w:ascii="宋体" w:hAnsi="宋体" w:cs="Arial"/>
          <w:sz w:val="24"/>
          <w:highlight w:val="none"/>
        </w:rPr>
        <w:t>小组将</w:t>
      </w:r>
      <w:r>
        <w:rPr>
          <w:rFonts w:hint="eastAsia" w:ascii="宋体" w:hAnsi="宋体" w:cs="Arial"/>
          <w:sz w:val="24"/>
          <w:highlight w:val="none"/>
        </w:rPr>
        <w:t>对</w:t>
      </w:r>
      <w:r>
        <w:rPr>
          <w:rFonts w:ascii="宋体" w:hAnsi="宋体" w:cs="Arial"/>
          <w:sz w:val="24"/>
          <w:highlight w:val="none"/>
        </w:rPr>
        <w:t>供应商进行</w:t>
      </w:r>
      <w:r>
        <w:rPr>
          <w:rFonts w:hint="eastAsia" w:ascii="宋体" w:hAnsi="宋体" w:cs="Arial"/>
          <w:sz w:val="24"/>
          <w:highlight w:val="none"/>
        </w:rPr>
        <w:t>磋商</w:t>
      </w:r>
      <w:r>
        <w:rPr>
          <w:rFonts w:ascii="宋体" w:hAnsi="宋体" w:cs="Arial"/>
          <w:sz w:val="24"/>
          <w:highlight w:val="none"/>
        </w:rPr>
        <w:t>，请供应商澄清其</w:t>
      </w:r>
      <w:r>
        <w:rPr>
          <w:rFonts w:hint="eastAsia" w:ascii="宋体" w:hAnsi="宋体" w:cs="Arial"/>
          <w:sz w:val="24"/>
          <w:highlight w:val="none"/>
        </w:rPr>
        <w:t>磋商</w:t>
      </w:r>
      <w:r>
        <w:rPr>
          <w:rFonts w:ascii="宋体" w:hAnsi="宋体" w:cs="Arial"/>
          <w:sz w:val="24"/>
          <w:highlight w:val="none"/>
        </w:rPr>
        <w:t>内容，供应商有责任按照招标</w:t>
      </w:r>
      <w:r>
        <w:rPr>
          <w:rFonts w:hint="eastAsia" w:ascii="宋体" w:hAnsi="宋体" w:cs="Arial"/>
          <w:sz w:val="24"/>
          <w:highlight w:val="none"/>
        </w:rPr>
        <w:t>代理</w:t>
      </w:r>
      <w:r>
        <w:rPr>
          <w:rFonts w:ascii="宋体" w:hAnsi="宋体" w:cs="Arial"/>
          <w:sz w:val="24"/>
          <w:highlight w:val="none"/>
        </w:rPr>
        <w:t>机构通知的时间、地点指派专人进行答疑和澄清。</w:t>
      </w:r>
      <w:r>
        <w:rPr>
          <w:rFonts w:hint="eastAsia" w:ascii="宋体" w:hAnsi="宋体" w:cs="Arial"/>
          <w:sz w:val="24"/>
          <w:highlight w:val="none"/>
        </w:rPr>
        <w:t>磋商</w:t>
      </w:r>
      <w:r>
        <w:rPr>
          <w:rFonts w:ascii="宋体" w:hAnsi="宋体" w:cs="Arial"/>
          <w:sz w:val="24"/>
          <w:highlight w:val="none"/>
        </w:rPr>
        <w:t>时供应商代表应作书面记录。并对重要内容作出书面答复。</w:t>
      </w:r>
    </w:p>
    <w:p>
      <w:pPr>
        <w:spacing w:line="440" w:lineRule="exact"/>
        <w:ind w:left="600" w:hanging="600" w:hangingChars="250"/>
        <w:rPr>
          <w:rFonts w:hint="eastAsia" w:ascii="宋体" w:hAnsi="宋体" w:cs="Arial"/>
          <w:sz w:val="24"/>
          <w:highlight w:val="none"/>
        </w:rPr>
      </w:pPr>
      <w:r>
        <w:rPr>
          <w:rFonts w:ascii="宋体" w:hAnsi="宋体" w:cs="Arial"/>
          <w:sz w:val="24"/>
          <w:highlight w:val="none"/>
        </w:rPr>
        <w:t>25.2 要澄清的答复应是书面的，但不得对</w:t>
      </w:r>
      <w:r>
        <w:rPr>
          <w:rFonts w:hint="eastAsia" w:ascii="宋体" w:hAnsi="宋体" w:cs="Arial"/>
          <w:sz w:val="24"/>
          <w:highlight w:val="none"/>
        </w:rPr>
        <w:t>磋商</w:t>
      </w:r>
      <w:r>
        <w:rPr>
          <w:rFonts w:ascii="宋体" w:hAnsi="宋体" w:cs="Arial"/>
          <w:sz w:val="24"/>
          <w:highlight w:val="none"/>
        </w:rPr>
        <w:t>内容进行实质性修改。澄清文件须由供应商法人代表或法人授权代表签字和/或加盖公章并作为</w:t>
      </w:r>
      <w:r>
        <w:rPr>
          <w:rFonts w:hint="eastAsia" w:ascii="宋体" w:hAnsi="宋体" w:cs="Arial"/>
          <w:sz w:val="24"/>
          <w:highlight w:val="none"/>
        </w:rPr>
        <w:t>磋商</w:t>
      </w:r>
      <w:r>
        <w:rPr>
          <w:rFonts w:ascii="宋体" w:hAnsi="宋体" w:cs="Arial"/>
          <w:sz w:val="24"/>
          <w:highlight w:val="none"/>
        </w:rPr>
        <w:t>响应文件的组成部分。</w:t>
      </w:r>
    </w:p>
    <w:p>
      <w:pPr>
        <w:spacing w:line="440" w:lineRule="exact"/>
        <w:ind w:left="600" w:hanging="600" w:hangingChars="250"/>
        <w:rPr>
          <w:rFonts w:ascii="宋体" w:hAnsi="宋体" w:cs="Arial"/>
          <w:sz w:val="24"/>
          <w:highlight w:val="none"/>
        </w:rPr>
      </w:pPr>
      <w:r>
        <w:rPr>
          <w:rFonts w:hint="eastAsia" w:ascii="宋体" w:hAnsi="宋体" w:cs="Arial"/>
          <w:sz w:val="24"/>
          <w:highlight w:val="none"/>
        </w:rPr>
        <w:t>25.3 磋商结束后，磋商小组要求所有参加磋商的供应商在规定的时间内进行二次报价。</w:t>
      </w:r>
    </w:p>
    <w:p>
      <w:pPr>
        <w:spacing w:line="440" w:lineRule="exact"/>
        <w:rPr>
          <w:rFonts w:ascii="宋体" w:hAnsi="宋体" w:cs="Arial"/>
          <w:sz w:val="24"/>
          <w:highlight w:val="none"/>
        </w:rPr>
      </w:pPr>
      <w:r>
        <w:rPr>
          <w:rFonts w:ascii="宋体" w:hAnsi="宋体" w:cs="Arial"/>
          <w:sz w:val="24"/>
          <w:highlight w:val="none"/>
        </w:rPr>
        <w:t>26．</w:t>
      </w:r>
      <w:r>
        <w:rPr>
          <w:rFonts w:hint="eastAsia" w:ascii="宋体" w:hAnsi="宋体" w:cs="Arial"/>
          <w:sz w:val="24"/>
          <w:highlight w:val="none"/>
        </w:rPr>
        <w:t>确定成交供应商的办法</w:t>
      </w:r>
    </w:p>
    <w:p>
      <w:pPr>
        <w:spacing w:line="440" w:lineRule="exact"/>
        <w:rPr>
          <w:rFonts w:hint="eastAsia" w:ascii="宋体" w:hAnsi="宋体" w:cs="Arial"/>
          <w:bCs/>
          <w:sz w:val="24"/>
          <w:highlight w:val="none"/>
        </w:rPr>
      </w:pPr>
      <w:r>
        <w:rPr>
          <w:rFonts w:hint="eastAsia" w:ascii="宋体" w:hAnsi="宋体" w:cs="Arial"/>
          <w:bCs/>
          <w:sz w:val="24"/>
          <w:highlight w:val="none"/>
        </w:rPr>
        <w:t>26.1磋商</w:t>
      </w:r>
      <w:r>
        <w:rPr>
          <w:rFonts w:ascii="宋体" w:hAnsi="宋体" w:cs="Arial"/>
          <w:bCs/>
          <w:sz w:val="24"/>
          <w:highlight w:val="none"/>
        </w:rPr>
        <w:t>小组按照</w:t>
      </w:r>
      <w:r>
        <w:rPr>
          <w:rFonts w:hint="eastAsia" w:ascii="宋体" w:hAnsi="宋体" w:cs="Arial"/>
          <w:bCs/>
          <w:sz w:val="24"/>
          <w:highlight w:val="none"/>
        </w:rPr>
        <w:t>磋商</w:t>
      </w:r>
      <w:r>
        <w:rPr>
          <w:rFonts w:ascii="宋体" w:hAnsi="宋体" w:cs="Arial"/>
          <w:bCs/>
          <w:sz w:val="24"/>
          <w:highlight w:val="none"/>
        </w:rPr>
        <w:t>文件要求对</w:t>
      </w:r>
      <w:r>
        <w:rPr>
          <w:rFonts w:hint="eastAsia" w:ascii="宋体" w:hAnsi="宋体" w:cs="Arial"/>
          <w:bCs/>
          <w:sz w:val="24"/>
          <w:highlight w:val="none"/>
        </w:rPr>
        <w:t>磋商</w:t>
      </w:r>
      <w:r>
        <w:rPr>
          <w:rFonts w:ascii="宋体" w:hAnsi="宋体" w:cs="Arial"/>
          <w:bCs/>
          <w:sz w:val="24"/>
          <w:highlight w:val="none"/>
        </w:rPr>
        <w:t>响应文件中重要技术指标以及技术和商务上要求的其它重要内容进行审核</w:t>
      </w:r>
      <w:r>
        <w:rPr>
          <w:rFonts w:hint="eastAsia" w:ascii="宋体" w:hAnsi="宋体" w:cs="Arial"/>
          <w:bCs/>
          <w:sz w:val="24"/>
          <w:highlight w:val="none"/>
        </w:rPr>
        <w:t>。</w:t>
      </w:r>
    </w:p>
    <w:p>
      <w:pPr>
        <w:spacing w:line="440" w:lineRule="exact"/>
        <w:rPr>
          <w:rFonts w:hint="eastAsia" w:ascii="宋体" w:hAnsi="宋体" w:cs="Arial"/>
          <w:bCs/>
          <w:sz w:val="24"/>
          <w:highlight w:val="none"/>
        </w:rPr>
      </w:pPr>
      <w:r>
        <w:rPr>
          <w:rFonts w:hint="eastAsia" w:ascii="宋体" w:hAnsi="宋体" w:cs="Arial"/>
          <w:bCs/>
          <w:sz w:val="24"/>
          <w:highlight w:val="none"/>
        </w:rPr>
        <w:t>26.2磋商</w:t>
      </w:r>
      <w:r>
        <w:rPr>
          <w:rFonts w:ascii="宋体" w:hAnsi="宋体" w:cs="Arial"/>
          <w:bCs/>
          <w:sz w:val="24"/>
          <w:highlight w:val="none"/>
        </w:rPr>
        <w:t>小组</w:t>
      </w:r>
      <w:r>
        <w:rPr>
          <w:rFonts w:hint="eastAsia" w:ascii="宋体" w:hAnsi="宋体" w:cs="Arial"/>
          <w:bCs/>
          <w:sz w:val="24"/>
          <w:highlight w:val="none"/>
        </w:rPr>
        <w:t>和供应商磋商过程中作出的书面承诺是否符合磋商文件中对质量、技术和服务的要求。</w:t>
      </w:r>
    </w:p>
    <w:p>
      <w:pPr>
        <w:spacing w:line="440" w:lineRule="exact"/>
        <w:rPr>
          <w:rFonts w:hint="eastAsia" w:ascii="宋体" w:hAnsi="宋体" w:cs="Arial"/>
          <w:bCs/>
          <w:sz w:val="24"/>
          <w:szCs w:val="22"/>
          <w:highlight w:val="none"/>
        </w:rPr>
      </w:pPr>
      <w:r>
        <w:rPr>
          <w:rFonts w:hint="eastAsia" w:ascii="宋体" w:hAnsi="宋体" w:cs="Arial"/>
          <w:bCs/>
          <w:sz w:val="24"/>
          <w:highlight w:val="none"/>
        </w:rPr>
        <w:t>26.3</w:t>
      </w:r>
      <w:r>
        <w:rPr>
          <w:rFonts w:hint="eastAsia" w:ascii="宋体" w:hAnsi="宋体" w:cs="Arial"/>
          <w:bCs/>
          <w:sz w:val="24"/>
          <w:szCs w:val="22"/>
          <w:highlight w:val="none"/>
        </w:rPr>
        <w:t>经磋商确定最终采购需求和提交最后报价（二次报价）的供应商后，由磋商小组采用综合评分法对提交最后报价（二次报价）的供应商的响应文件和最后报价（二次报价）进行综合评分。</w:t>
      </w:r>
    </w:p>
    <w:p>
      <w:pPr>
        <w:spacing w:line="440" w:lineRule="exact"/>
        <w:rPr>
          <w:rFonts w:hint="eastAsia" w:ascii="宋体" w:hAnsi="宋体" w:cs="Arial"/>
          <w:bCs/>
          <w:sz w:val="24"/>
          <w:szCs w:val="22"/>
          <w:highlight w:val="none"/>
        </w:rPr>
      </w:pPr>
      <w:r>
        <w:rPr>
          <w:rFonts w:hint="eastAsia" w:ascii="宋体" w:hAnsi="宋体" w:cs="Arial"/>
          <w:bCs/>
          <w:sz w:val="24"/>
          <w:szCs w:val="22"/>
          <w:highlight w:val="none"/>
        </w:rPr>
        <w:t>对响应文件的评估和比较分为两步进行，磋商小组会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价格因素占30分，技术因素、商务因素占70分。将每位供应商的价格得分、技术得分、商务得分相加即为该供应商的总得分。</w:t>
      </w:r>
    </w:p>
    <w:p>
      <w:pPr>
        <w:pStyle w:val="34"/>
        <w:keepNext w:val="0"/>
        <w:keepLines w:val="0"/>
        <w:pageBreakBefore w:val="0"/>
        <w:widowControl w:val="0"/>
        <w:numPr>
          <w:ilvl w:val="0"/>
          <w:numId w:val="0"/>
        </w:numPr>
        <w:kinsoku/>
        <w:wordWrap/>
        <w:overflowPunct/>
        <w:topLinePunct w:val="0"/>
        <w:autoSpaceDE/>
        <w:autoSpaceDN/>
        <w:bidi w:val="0"/>
        <w:snapToGrid/>
        <w:spacing w:line="400" w:lineRule="exact"/>
        <w:ind w:firstLine="482"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政府采购政策功能落实</w:t>
      </w:r>
    </w:p>
    <w:p>
      <w:pPr>
        <w:pStyle w:val="34"/>
        <w:keepNext w:val="0"/>
        <w:keepLines w:val="0"/>
        <w:pageBreakBefore w:val="0"/>
        <w:widowControl w:val="0"/>
        <w:kinsoku/>
        <w:wordWrap/>
        <w:overflowPunct/>
        <w:topLinePunct w:val="0"/>
        <w:autoSpaceDE/>
        <w:autoSpaceDN/>
        <w:bidi w:val="0"/>
        <w:snapToGrid/>
        <w:spacing w:line="400" w:lineRule="exact"/>
        <w:ind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1、小微型企业价格扣除</w:t>
      </w:r>
    </w:p>
    <w:p>
      <w:pPr>
        <w:pStyle w:val="34"/>
        <w:keepNext w:val="0"/>
        <w:keepLines w:val="0"/>
        <w:pageBreakBefore w:val="0"/>
        <w:widowControl w:val="0"/>
        <w:kinsoku/>
        <w:wordWrap/>
        <w:overflowPunct/>
        <w:topLinePunct w:val="0"/>
        <w:autoSpaceDE/>
        <w:autoSpaceDN/>
        <w:bidi w:val="0"/>
        <w:snapToGrid/>
        <w:spacing w:line="400" w:lineRule="exact"/>
        <w:ind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（1）本项目对小型和微型企业报价给予6%的扣除价格，用扣除后的价格参与评审。</w:t>
      </w:r>
    </w:p>
    <w:p>
      <w:pPr>
        <w:pStyle w:val="34"/>
        <w:keepNext w:val="0"/>
        <w:keepLines w:val="0"/>
        <w:pageBreakBefore w:val="0"/>
        <w:widowControl w:val="0"/>
        <w:kinsoku/>
        <w:wordWrap/>
        <w:overflowPunct/>
        <w:topLinePunct w:val="0"/>
        <w:autoSpaceDE/>
        <w:autoSpaceDN/>
        <w:bidi w:val="0"/>
        <w:snapToGrid/>
        <w:spacing w:line="400" w:lineRule="exact"/>
        <w:ind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（2）供应商需按照采购文件的要求提供相应的《企业声明函》。</w:t>
      </w:r>
    </w:p>
    <w:p>
      <w:pPr>
        <w:pStyle w:val="34"/>
        <w:keepNext w:val="0"/>
        <w:keepLines w:val="0"/>
        <w:pageBreakBefore w:val="0"/>
        <w:widowControl w:val="0"/>
        <w:kinsoku/>
        <w:wordWrap/>
        <w:overflowPunct/>
        <w:topLinePunct w:val="0"/>
        <w:autoSpaceDE/>
        <w:autoSpaceDN/>
        <w:bidi w:val="0"/>
        <w:snapToGrid/>
        <w:spacing w:line="400" w:lineRule="exact"/>
        <w:ind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（3）企业标准请参照《政府采购促进中小企业发展管理办法》（财库〔2020〕46号）文件规定自行填写。</w:t>
      </w:r>
    </w:p>
    <w:p>
      <w:pPr>
        <w:pStyle w:val="34"/>
        <w:keepNext w:val="0"/>
        <w:keepLines w:val="0"/>
        <w:pageBreakBefore w:val="0"/>
        <w:widowControl w:val="0"/>
        <w:kinsoku/>
        <w:wordWrap/>
        <w:overflowPunct/>
        <w:topLinePunct w:val="0"/>
        <w:autoSpaceDE/>
        <w:autoSpaceDN/>
        <w:bidi w:val="0"/>
        <w:snapToGrid/>
        <w:spacing w:line="400" w:lineRule="exact"/>
        <w:ind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2、残疾人福利单位价格扣除</w:t>
      </w:r>
    </w:p>
    <w:p>
      <w:pPr>
        <w:pStyle w:val="34"/>
        <w:keepNext w:val="0"/>
        <w:keepLines w:val="0"/>
        <w:pageBreakBefore w:val="0"/>
        <w:widowControl w:val="0"/>
        <w:kinsoku/>
        <w:wordWrap/>
        <w:overflowPunct/>
        <w:topLinePunct w:val="0"/>
        <w:autoSpaceDE/>
        <w:autoSpaceDN/>
        <w:bidi w:val="0"/>
        <w:snapToGrid/>
        <w:spacing w:line="400" w:lineRule="exact"/>
        <w:ind w:left="120" w:leftChars="57"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（1）本项目对残疾人福利性单位视同小型、微型企业，给予6%的价格扣除，用扣除后的价格参与评审。</w:t>
      </w:r>
    </w:p>
    <w:p>
      <w:pPr>
        <w:pStyle w:val="34"/>
        <w:keepNext w:val="0"/>
        <w:keepLines w:val="0"/>
        <w:pageBreakBefore w:val="0"/>
        <w:widowControl w:val="0"/>
        <w:kinsoku/>
        <w:wordWrap/>
        <w:overflowPunct/>
        <w:topLinePunct w:val="0"/>
        <w:autoSpaceDE/>
        <w:autoSpaceDN/>
        <w:bidi w:val="0"/>
        <w:snapToGrid/>
        <w:spacing w:line="400" w:lineRule="exact"/>
        <w:ind w:left="120" w:leftChars="57"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（2）残疾人福利单位需按照采购文件的要求提供《残疾人福利性单位声明函》。</w:t>
      </w:r>
    </w:p>
    <w:p>
      <w:pPr>
        <w:pStyle w:val="34"/>
        <w:keepNext w:val="0"/>
        <w:keepLines w:val="0"/>
        <w:pageBreakBefore w:val="0"/>
        <w:widowControl w:val="0"/>
        <w:kinsoku/>
        <w:wordWrap/>
        <w:overflowPunct/>
        <w:topLinePunct w:val="0"/>
        <w:autoSpaceDE/>
        <w:autoSpaceDN/>
        <w:bidi w:val="0"/>
        <w:snapToGrid/>
        <w:spacing w:line="400" w:lineRule="exact"/>
        <w:ind w:left="120" w:leftChars="57"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（3）残疾人福利单位标准请参照《关于促进残疾人就业政府采购政策的通知》（财库〔2017〕141号）。</w:t>
      </w:r>
    </w:p>
    <w:p>
      <w:pPr>
        <w:pStyle w:val="34"/>
        <w:keepNext w:val="0"/>
        <w:keepLines w:val="0"/>
        <w:pageBreakBefore w:val="0"/>
        <w:widowControl w:val="0"/>
        <w:kinsoku/>
        <w:wordWrap/>
        <w:overflowPunct/>
        <w:topLinePunct w:val="0"/>
        <w:autoSpaceDE/>
        <w:autoSpaceDN/>
        <w:bidi w:val="0"/>
        <w:snapToGrid/>
        <w:spacing w:line="400" w:lineRule="exact"/>
        <w:ind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3、监狱和戒毒企业价格扣除</w:t>
      </w:r>
    </w:p>
    <w:p>
      <w:pPr>
        <w:pStyle w:val="34"/>
        <w:keepNext w:val="0"/>
        <w:keepLines w:val="0"/>
        <w:pageBreakBefore w:val="0"/>
        <w:widowControl w:val="0"/>
        <w:kinsoku/>
        <w:wordWrap/>
        <w:overflowPunct/>
        <w:topLinePunct w:val="0"/>
        <w:autoSpaceDE/>
        <w:autoSpaceDN/>
        <w:bidi w:val="0"/>
        <w:adjustRightInd w:val="0"/>
        <w:snapToGrid/>
        <w:spacing w:line="400" w:lineRule="exact"/>
        <w:ind w:firstLineChars="200"/>
        <w:textAlignment w:val="baseline"/>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（1）本项目对监狱和戒毒企业（简称监狱企业）视同小型、微型企业，给予6%的价格扣除，用扣除后的价格参与评审。</w:t>
      </w:r>
    </w:p>
    <w:p>
      <w:pPr>
        <w:pStyle w:val="34"/>
        <w:keepNext w:val="0"/>
        <w:keepLines w:val="0"/>
        <w:pageBreakBefore w:val="0"/>
        <w:widowControl w:val="0"/>
        <w:kinsoku/>
        <w:wordWrap/>
        <w:overflowPunct/>
        <w:topLinePunct w:val="0"/>
        <w:autoSpaceDE/>
        <w:autoSpaceDN/>
        <w:bidi w:val="0"/>
        <w:adjustRightInd w:val="0"/>
        <w:snapToGrid/>
        <w:spacing w:line="400" w:lineRule="exact"/>
        <w:ind w:firstLineChars="200"/>
        <w:textAlignment w:val="baseline"/>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（2）监狱企业参加政府采购活动时，需提供由省级以上监狱管理局、戒毒管理局(含新疆生产建设兵团)出具的属于监狱企业的证明文件。供应商如不提供上述证明文件，价格将不做相应扣除。</w:t>
      </w:r>
    </w:p>
    <w:p>
      <w:pPr>
        <w:pStyle w:val="34"/>
        <w:keepNext w:val="0"/>
        <w:keepLines w:val="0"/>
        <w:pageBreakBefore w:val="0"/>
        <w:widowControl w:val="0"/>
        <w:kinsoku/>
        <w:wordWrap/>
        <w:overflowPunct/>
        <w:topLinePunct w:val="0"/>
        <w:autoSpaceDE/>
        <w:autoSpaceDN/>
        <w:bidi w:val="0"/>
        <w:snapToGrid/>
        <w:spacing w:line="400" w:lineRule="exact"/>
        <w:ind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（3）监狱企业标准请参照《关于政府采购支持监狱企业发展有关问题的通知》（财库[2014]68号）。</w:t>
      </w:r>
    </w:p>
    <w:p>
      <w:pPr>
        <w:pStyle w:val="34"/>
        <w:keepNext w:val="0"/>
        <w:keepLines w:val="0"/>
        <w:pageBreakBefore w:val="0"/>
        <w:widowControl w:val="0"/>
        <w:kinsoku/>
        <w:wordWrap/>
        <w:overflowPunct/>
        <w:topLinePunct w:val="0"/>
        <w:autoSpaceDE/>
        <w:autoSpaceDN/>
        <w:bidi w:val="0"/>
        <w:snapToGrid/>
        <w:spacing w:line="400" w:lineRule="exact"/>
        <w:ind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4、小微型企业、残疾人福利单位、监狱企业属于小型、微型企业的，不重复享受政策。</w:t>
      </w:r>
    </w:p>
    <w:p>
      <w:pPr>
        <w:pStyle w:val="17"/>
        <w:keepNext w:val="0"/>
        <w:keepLines w:val="0"/>
        <w:pageBreakBefore w:val="0"/>
        <w:widowControl w:val="0"/>
        <w:kinsoku/>
        <w:wordWrap/>
        <w:overflowPunct/>
        <w:topLinePunct w:val="0"/>
        <w:autoSpaceDE/>
        <w:autoSpaceDN/>
        <w:bidi w:val="0"/>
        <w:snapToGrid/>
        <w:spacing w:line="400" w:lineRule="exact"/>
        <w:ind w:firstLine="240"/>
        <w:jc w:val="both"/>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注：（1）上述评标价仅用于计算价格评分，中标金额以实际投标价为准。</w:t>
      </w:r>
    </w:p>
    <w:p>
      <w:pPr>
        <w:pStyle w:val="17"/>
        <w:keepNext w:val="0"/>
        <w:keepLines w:val="0"/>
        <w:pageBreakBefore w:val="0"/>
        <w:widowControl w:val="0"/>
        <w:numPr>
          <w:ilvl w:val="0"/>
          <w:numId w:val="5"/>
        </w:numPr>
        <w:kinsoku/>
        <w:wordWrap/>
        <w:overflowPunct/>
        <w:topLinePunct w:val="0"/>
        <w:autoSpaceDE/>
        <w:autoSpaceDN/>
        <w:bidi w:val="0"/>
        <w:snapToGrid/>
        <w:spacing w:line="400" w:lineRule="exact"/>
        <w:ind w:firstLine="723" w:firstLineChars="3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小微企业/监狱企业/残疾人福利性单位是指投标企业及其所投产品的制造商均为小微企业/监狱企业/残疾人福利性单位。</w:t>
      </w:r>
    </w:p>
    <w:p>
      <w:pPr>
        <w:spacing w:line="460" w:lineRule="exact"/>
        <w:ind w:right="118" w:firstLine="482" w:firstLineChars="200"/>
        <w:rPr>
          <w:rFonts w:hint="eastAsia" w:ascii="宋体" w:hAnsi="宋体" w:cs="宋体"/>
          <w:b/>
          <w:bCs/>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宋体" w:cs="Arial"/>
          <w:bCs/>
          <w:sz w:val="24"/>
          <w:highlight w:val="none"/>
          <w:lang w:val="en-US" w:eastAsia="zh-CN"/>
        </w:rPr>
      </w:pPr>
      <w:bookmarkStart w:id="314" w:name="_GoBack"/>
      <w:bookmarkEnd w:id="314"/>
      <w:r>
        <w:rPr>
          <w:rFonts w:hint="eastAsia" w:ascii="Arial" w:hAnsi="Arial" w:cs="Arial"/>
          <w:bCs/>
          <w:sz w:val="24"/>
          <w:highlight w:val="none"/>
          <w:lang w:val="en-US" w:eastAsia="zh-CN"/>
        </w:rPr>
        <w:t>26.4</w:t>
      </w:r>
      <w:r>
        <w:rPr>
          <w:rFonts w:hint="eastAsia" w:ascii="Arial" w:hAnsi="Arial" w:cs="Arial"/>
          <w:bCs/>
          <w:sz w:val="24"/>
          <w:highlight w:val="none"/>
        </w:rPr>
        <w:t>符合性审查标准如下：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8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55" w:type="dxa"/>
            <w:noWrap w:val="0"/>
            <w:vAlign w:val="center"/>
          </w:tcPr>
          <w:p>
            <w:pPr>
              <w:pageBreakBefore w:val="0"/>
              <w:kinsoku/>
              <w:wordWrap/>
              <w:overflowPunct/>
              <w:topLinePunct w:val="0"/>
              <w:bidi w:val="0"/>
              <w:spacing w:after="0" w:line="440" w:lineRule="exact"/>
              <w:jc w:val="center"/>
              <w:textAlignment w:val="auto"/>
              <w:rPr>
                <w:rFonts w:ascii="宋体" w:hAnsi="宋体"/>
                <w:color w:val="000000"/>
                <w:spacing w:val="-2"/>
                <w:sz w:val="24"/>
                <w:szCs w:val="24"/>
                <w:highlight w:val="none"/>
              </w:rPr>
            </w:pPr>
            <w:r>
              <w:rPr>
                <w:rFonts w:hint="eastAsia" w:ascii="宋体" w:hAnsi="宋体"/>
                <w:color w:val="000000"/>
                <w:spacing w:val="-2"/>
                <w:sz w:val="24"/>
                <w:szCs w:val="24"/>
                <w:highlight w:val="none"/>
              </w:rPr>
              <w:t>序号</w:t>
            </w:r>
          </w:p>
        </w:tc>
        <w:tc>
          <w:tcPr>
            <w:tcW w:w="8508" w:type="dxa"/>
            <w:noWrap w:val="0"/>
            <w:vAlign w:val="center"/>
          </w:tcPr>
          <w:p>
            <w:pPr>
              <w:pageBreakBefore w:val="0"/>
              <w:kinsoku/>
              <w:wordWrap/>
              <w:overflowPunct/>
              <w:topLinePunct w:val="0"/>
              <w:bidi w:val="0"/>
              <w:spacing w:after="0" w:line="440" w:lineRule="exact"/>
              <w:jc w:val="center"/>
              <w:textAlignment w:val="auto"/>
              <w:rPr>
                <w:rFonts w:ascii="宋体" w:hAnsi="宋体"/>
                <w:color w:val="000000"/>
                <w:spacing w:val="-2"/>
                <w:sz w:val="24"/>
                <w:szCs w:val="24"/>
                <w:highlight w:val="none"/>
              </w:rPr>
            </w:pPr>
            <w:r>
              <w:rPr>
                <w:rFonts w:hint="eastAsia" w:ascii="宋体" w:hAnsi="宋体"/>
                <w:color w:val="000000"/>
                <w:spacing w:val="-2"/>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55" w:type="dxa"/>
            <w:noWrap w:val="0"/>
            <w:vAlign w:val="center"/>
          </w:tcPr>
          <w:p>
            <w:pPr>
              <w:pageBreakBefore w:val="0"/>
              <w:kinsoku/>
              <w:wordWrap/>
              <w:overflowPunct/>
              <w:topLinePunct w:val="0"/>
              <w:bidi w:val="0"/>
              <w:spacing w:after="0" w:line="440" w:lineRule="exact"/>
              <w:jc w:val="center"/>
              <w:textAlignment w:val="auto"/>
              <w:rPr>
                <w:rFonts w:ascii="宋体" w:hAnsi="宋体"/>
                <w:color w:val="000000"/>
                <w:spacing w:val="-2"/>
                <w:sz w:val="24"/>
                <w:szCs w:val="24"/>
                <w:highlight w:val="none"/>
              </w:rPr>
            </w:pPr>
            <w:r>
              <w:rPr>
                <w:rFonts w:hint="eastAsia" w:ascii="宋体" w:hAnsi="宋体"/>
                <w:color w:val="000000"/>
                <w:spacing w:val="-2"/>
                <w:sz w:val="24"/>
                <w:szCs w:val="24"/>
                <w:highlight w:val="none"/>
              </w:rPr>
              <w:t>1</w:t>
            </w:r>
          </w:p>
        </w:tc>
        <w:tc>
          <w:tcPr>
            <w:tcW w:w="8508" w:type="dxa"/>
            <w:noWrap w:val="0"/>
            <w:vAlign w:val="center"/>
          </w:tcPr>
          <w:p>
            <w:pPr>
              <w:pageBreakBefore w:val="0"/>
              <w:kinsoku/>
              <w:wordWrap/>
              <w:overflowPunct/>
              <w:topLinePunct w:val="0"/>
              <w:bidi w:val="0"/>
              <w:spacing w:after="0" w:line="440" w:lineRule="exact"/>
              <w:textAlignment w:val="auto"/>
              <w:rPr>
                <w:rFonts w:ascii="宋体" w:hAnsi="宋体" w:cs="宋体"/>
                <w:color w:val="000000"/>
                <w:sz w:val="24"/>
                <w:szCs w:val="24"/>
                <w:highlight w:val="none"/>
                <w:lang w:eastAsia="zh-CN"/>
              </w:rPr>
            </w:pPr>
            <w:r>
              <w:rPr>
                <w:rFonts w:hint="eastAsia"/>
                <w:color w:val="000000"/>
                <w:sz w:val="24"/>
                <w:szCs w:val="24"/>
                <w:highlight w:val="none"/>
                <w:lang w:eastAsia="zh-CN"/>
              </w:rPr>
              <w:t>投标文件是否有供应商法定代表人或其授权代表人签章和加盖供应商公章；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55" w:type="dxa"/>
            <w:noWrap w:val="0"/>
            <w:vAlign w:val="center"/>
          </w:tcPr>
          <w:p>
            <w:pPr>
              <w:pageBreakBefore w:val="0"/>
              <w:kinsoku/>
              <w:wordWrap/>
              <w:overflowPunct/>
              <w:topLinePunct w:val="0"/>
              <w:bidi w:val="0"/>
              <w:spacing w:after="0" w:line="440" w:lineRule="exact"/>
              <w:jc w:val="center"/>
              <w:textAlignment w:val="auto"/>
              <w:rPr>
                <w:rFonts w:ascii="宋体" w:hAnsi="宋体"/>
                <w:color w:val="000000"/>
                <w:spacing w:val="-2"/>
                <w:sz w:val="24"/>
                <w:szCs w:val="24"/>
                <w:highlight w:val="none"/>
              </w:rPr>
            </w:pPr>
            <w:r>
              <w:rPr>
                <w:rFonts w:hint="eastAsia" w:ascii="宋体" w:hAnsi="宋体"/>
                <w:color w:val="000000"/>
                <w:spacing w:val="-2"/>
                <w:sz w:val="24"/>
                <w:szCs w:val="24"/>
                <w:highlight w:val="none"/>
              </w:rPr>
              <w:t>2</w:t>
            </w:r>
          </w:p>
        </w:tc>
        <w:tc>
          <w:tcPr>
            <w:tcW w:w="8508" w:type="dxa"/>
            <w:noWrap w:val="0"/>
            <w:vAlign w:val="center"/>
          </w:tcPr>
          <w:p>
            <w:pPr>
              <w:pageBreakBefore w:val="0"/>
              <w:kinsoku/>
              <w:wordWrap/>
              <w:overflowPunct/>
              <w:topLinePunct w:val="0"/>
              <w:bidi w:val="0"/>
              <w:spacing w:after="0" w:line="440" w:lineRule="exact"/>
              <w:textAlignment w:val="auto"/>
              <w:rPr>
                <w:rFonts w:ascii="宋体" w:hAnsi="宋体" w:cs="宋体"/>
                <w:color w:val="000000"/>
                <w:sz w:val="24"/>
                <w:szCs w:val="24"/>
                <w:highlight w:val="none"/>
                <w:lang w:eastAsia="zh-CN"/>
              </w:rPr>
            </w:pPr>
            <w:r>
              <w:rPr>
                <w:rFonts w:hint="eastAsia"/>
                <w:color w:val="000000"/>
                <w:sz w:val="24"/>
                <w:szCs w:val="24"/>
                <w:highlight w:val="none"/>
                <w:lang w:eastAsia="zh-CN"/>
              </w:rPr>
              <w:t>投标保证金是否按采购文件要求缴纳；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55" w:type="dxa"/>
            <w:noWrap w:val="0"/>
            <w:vAlign w:val="center"/>
          </w:tcPr>
          <w:p>
            <w:pPr>
              <w:pageBreakBefore w:val="0"/>
              <w:kinsoku/>
              <w:wordWrap/>
              <w:overflowPunct/>
              <w:topLinePunct w:val="0"/>
              <w:bidi w:val="0"/>
              <w:spacing w:after="0" w:line="440" w:lineRule="exact"/>
              <w:jc w:val="center"/>
              <w:textAlignment w:val="auto"/>
              <w:rPr>
                <w:rFonts w:ascii="宋体" w:hAnsi="宋体"/>
                <w:color w:val="000000"/>
                <w:spacing w:val="-2"/>
                <w:sz w:val="24"/>
                <w:szCs w:val="24"/>
                <w:highlight w:val="none"/>
              </w:rPr>
            </w:pPr>
            <w:r>
              <w:rPr>
                <w:rFonts w:hint="eastAsia" w:ascii="宋体" w:hAnsi="宋体"/>
                <w:color w:val="000000"/>
                <w:spacing w:val="-2"/>
                <w:sz w:val="24"/>
                <w:szCs w:val="24"/>
                <w:highlight w:val="none"/>
              </w:rPr>
              <w:t>3</w:t>
            </w:r>
          </w:p>
        </w:tc>
        <w:tc>
          <w:tcPr>
            <w:tcW w:w="8508" w:type="dxa"/>
            <w:noWrap w:val="0"/>
            <w:vAlign w:val="center"/>
          </w:tcPr>
          <w:p>
            <w:pPr>
              <w:pageBreakBefore w:val="0"/>
              <w:kinsoku/>
              <w:wordWrap/>
              <w:overflowPunct/>
              <w:topLinePunct w:val="0"/>
              <w:bidi w:val="0"/>
              <w:spacing w:after="0" w:line="440" w:lineRule="exact"/>
              <w:textAlignment w:val="auto"/>
              <w:rPr>
                <w:rFonts w:ascii="宋体" w:hAnsi="宋体" w:cs="宋体"/>
                <w:color w:val="000000"/>
                <w:sz w:val="24"/>
                <w:szCs w:val="24"/>
                <w:highlight w:val="none"/>
                <w:lang w:eastAsia="zh-CN"/>
              </w:rPr>
            </w:pPr>
            <w:r>
              <w:rPr>
                <w:rFonts w:hint="eastAsia"/>
                <w:color w:val="000000"/>
                <w:sz w:val="24"/>
                <w:szCs w:val="24"/>
                <w:highlight w:val="none"/>
                <w:lang w:eastAsia="zh-CN"/>
              </w:rPr>
              <w:t>投标文件是否按采购文件内容不存在不全或字迹模糊、辨认不清的；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55" w:type="dxa"/>
            <w:noWrap w:val="0"/>
            <w:vAlign w:val="center"/>
          </w:tcPr>
          <w:p>
            <w:pPr>
              <w:pageBreakBefore w:val="0"/>
              <w:kinsoku/>
              <w:wordWrap/>
              <w:overflowPunct/>
              <w:topLinePunct w:val="0"/>
              <w:bidi w:val="0"/>
              <w:spacing w:after="0" w:line="440" w:lineRule="exact"/>
              <w:jc w:val="center"/>
              <w:textAlignment w:val="auto"/>
              <w:rPr>
                <w:rFonts w:ascii="宋体" w:hAnsi="宋体"/>
                <w:color w:val="000000"/>
                <w:spacing w:val="-2"/>
                <w:sz w:val="24"/>
                <w:szCs w:val="24"/>
                <w:highlight w:val="none"/>
              </w:rPr>
            </w:pPr>
            <w:r>
              <w:rPr>
                <w:rFonts w:hint="eastAsia" w:ascii="宋体" w:hAnsi="宋体"/>
                <w:color w:val="000000"/>
                <w:spacing w:val="-2"/>
                <w:sz w:val="24"/>
                <w:szCs w:val="24"/>
                <w:highlight w:val="none"/>
              </w:rPr>
              <w:t>4</w:t>
            </w:r>
          </w:p>
        </w:tc>
        <w:tc>
          <w:tcPr>
            <w:tcW w:w="8508" w:type="dxa"/>
            <w:noWrap w:val="0"/>
            <w:vAlign w:val="center"/>
          </w:tcPr>
          <w:p>
            <w:pPr>
              <w:pageBreakBefore w:val="0"/>
              <w:kinsoku/>
              <w:wordWrap/>
              <w:overflowPunct/>
              <w:topLinePunct w:val="0"/>
              <w:bidi w:val="0"/>
              <w:spacing w:after="0" w:line="440" w:lineRule="exact"/>
              <w:textAlignment w:val="auto"/>
              <w:rPr>
                <w:rFonts w:ascii="宋体" w:hAnsi="宋体" w:cs="宋体"/>
                <w:color w:val="000000"/>
                <w:sz w:val="24"/>
                <w:szCs w:val="24"/>
                <w:highlight w:val="none"/>
                <w:lang w:eastAsia="zh-CN"/>
              </w:rPr>
            </w:pPr>
            <w:r>
              <w:rPr>
                <w:rFonts w:hint="eastAsia"/>
                <w:color w:val="000000"/>
                <w:sz w:val="24"/>
                <w:szCs w:val="24"/>
                <w:highlight w:val="none"/>
                <w:lang w:eastAsia="zh-CN"/>
              </w:rPr>
              <w:t>合同特殊条款是否符合招标文件要求。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55" w:type="dxa"/>
            <w:noWrap w:val="0"/>
            <w:vAlign w:val="center"/>
          </w:tcPr>
          <w:p>
            <w:pPr>
              <w:pageBreakBefore w:val="0"/>
              <w:kinsoku/>
              <w:wordWrap/>
              <w:overflowPunct/>
              <w:topLinePunct w:val="0"/>
              <w:bidi w:val="0"/>
              <w:spacing w:after="0" w:line="440" w:lineRule="exact"/>
              <w:jc w:val="center"/>
              <w:textAlignment w:val="auto"/>
              <w:rPr>
                <w:rFonts w:ascii="宋体" w:hAnsi="宋体"/>
                <w:color w:val="000000"/>
                <w:spacing w:val="-2"/>
                <w:sz w:val="24"/>
                <w:szCs w:val="24"/>
                <w:highlight w:val="none"/>
              </w:rPr>
            </w:pPr>
            <w:r>
              <w:rPr>
                <w:rFonts w:hint="eastAsia" w:ascii="宋体" w:hAnsi="宋体"/>
                <w:color w:val="000000"/>
                <w:spacing w:val="-2"/>
                <w:sz w:val="24"/>
                <w:szCs w:val="24"/>
                <w:highlight w:val="none"/>
              </w:rPr>
              <w:t>5</w:t>
            </w:r>
          </w:p>
        </w:tc>
        <w:tc>
          <w:tcPr>
            <w:tcW w:w="8508" w:type="dxa"/>
            <w:noWrap w:val="0"/>
            <w:vAlign w:val="center"/>
          </w:tcPr>
          <w:p>
            <w:pPr>
              <w:pageBreakBefore w:val="0"/>
              <w:kinsoku/>
              <w:wordWrap/>
              <w:overflowPunct/>
              <w:topLinePunct w:val="0"/>
              <w:bidi w:val="0"/>
              <w:spacing w:after="0" w:line="440" w:lineRule="exact"/>
              <w:textAlignment w:val="auto"/>
              <w:rPr>
                <w:rFonts w:ascii="宋体" w:hAnsi="宋体" w:cs="宋体"/>
                <w:color w:val="000000"/>
                <w:sz w:val="24"/>
                <w:szCs w:val="24"/>
                <w:highlight w:val="none"/>
                <w:lang w:eastAsia="zh-CN"/>
              </w:rPr>
            </w:pPr>
            <w:r>
              <w:rPr>
                <w:rFonts w:hint="eastAsia"/>
                <w:color w:val="000000"/>
                <w:sz w:val="24"/>
                <w:szCs w:val="24"/>
                <w:highlight w:val="none"/>
                <w:lang w:eastAsia="zh-CN"/>
              </w:rPr>
              <w:t>投标报价未超出本次项目预算。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55" w:type="dxa"/>
            <w:noWrap w:val="0"/>
            <w:vAlign w:val="center"/>
          </w:tcPr>
          <w:p>
            <w:pPr>
              <w:pageBreakBefore w:val="0"/>
              <w:kinsoku/>
              <w:wordWrap/>
              <w:overflowPunct/>
              <w:topLinePunct w:val="0"/>
              <w:bidi w:val="0"/>
              <w:spacing w:after="0" w:line="440" w:lineRule="exact"/>
              <w:jc w:val="center"/>
              <w:textAlignment w:val="auto"/>
              <w:rPr>
                <w:rFonts w:ascii="宋体" w:hAnsi="宋体"/>
                <w:color w:val="000000"/>
                <w:spacing w:val="-2"/>
                <w:sz w:val="24"/>
                <w:szCs w:val="24"/>
                <w:highlight w:val="none"/>
              </w:rPr>
            </w:pPr>
            <w:r>
              <w:rPr>
                <w:rFonts w:hint="eastAsia" w:ascii="宋体" w:hAnsi="宋体"/>
                <w:color w:val="000000"/>
                <w:spacing w:val="-2"/>
                <w:sz w:val="24"/>
                <w:szCs w:val="24"/>
                <w:highlight w:val="none"/>
              </w:rPr>
              <w:t>6</w:t>
            </w:r>
          </w:p>
        </w:tc>
        <w:tc>
          <w:tcPr>
            <w:tcW w:w="8508" w:type="dxa"/>
            <w:noWrap w:val="0"/>
            <w:vAlign w:val="center"/>
          </w:tcPr>
          <w:p>
            <w:pPr>
              <w:pageBreakBefore w:val="0"/>
              <w:kinsoku/>
              <w:wordWrap/>
              <w:overflowPunct/>
              <w:topLinePunct w:val="0"/>
              <w:bidi w:val="0"/>
              <w:spacing w:after="0" w:line="440" w:lineRule="exact"/>
              <w:textAlignment w:val="auto"/>
              <w:rPr>
                <w:rFonts w:ascii="宋体" w:hAnsi="宋体" w:cs="宋体"/>
                <w:color w:val="000000"/>
                <w:sz w:val="24"/>
                <w:szCs w:val="24"/>
                <w:highlight w:val="none"/>
                <w:lang w:eastAsia="zh-CN"/>
              </w:rPr>
            </w:pPr>
            <w:r>
              <w:rPr>
                <w:rFonts w:hint="eastAsia"/>
                <w:color w:val="000000"/>
                <w:sz w:val="24"/>
                <w:szCs w:val="24"/>
                <w:highlight w:val="none"/>
                <w:lang w:eastAsia="zh-CN"/>
              </w:rPr>
              <w:t>投标文件中无采购人不能接受的条件。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63" w:type="dxa"/>
            <w:gridSpan w:val="2"/>
            <w:noWrap w:val="0"/>
            <w:vAlign w:val="center"/>
          </w:tcPr>
          <w:p>
            <w:pPr>
              <w:pageBreakBefore w:val="0"/>
              <w:kinsoku/>
              <w:wordWrap/>
              <w:overflowPunct/>
              <w:topLinePunct w:val="0"/>
              <w:bidi w:val="0"/>
              <w:spacing w:after="0" w:line="440" w:lineRule="exact"/>
              <w:textAlignment w:val="auto"/>
              <w:rPr>
                <w:rFonts w:ascii="宋体" w:hAnsi="宋体"/>
                <w:color w:val="000000"/>
                <w:spacing w:val="-2"/>
                <w:sz w:val="24"/>
                <w:szCs w:val="24"/>
                <w:highlight w:val="none"/>
                <w:lang w:eastAsia="zh-CN"/>
              </w:rPr>
            </w:pPr>
            <w:r>
              <w:rPr>
                <w:rFonts w:hint="eastAsia" w:ascii="宋体" w:hAnsi="宋体"/>
                <w:color w:val="000000"/>
                <w:spacing w:val="-2"/>
                <w:sz w:val="24"/>
                <w:szCs w:val="24"/>
                <w:highlight w:val="none"/>
                <w:lang w:eastAsia="zh-CN"/>
              </w:rPr>
              <w:t>注：投标文件有不符合上述情形之一的，作废标处理。出现重大偏差的标记“×”，没有出现重大偏差的标记“√” 。</w:t>
            </w:r>
          </w:p>
        </w:tc>
      </w:tr>
    </w:tbl>
    <w:p>
      <w:pPr>
        <w:pStyle w:val="8"/>
        <w:rPr>
          <w:rFonts w:hint="eastAsia"/>
          <w:highlight w:val="none"/>
        </w:rPr>
      </w:pPr>
    </w:p>
    <w:p>
      <w:pPr>
        <w:spacing w:line="360" w:lineRule="exact"/>
        <w:rPr>
          <w:rFonts w:hint="eastAsia" w:ascii="宋体" w:hAnsi="宋体" w:cs="Arial"/>
          <w:sz w:val="24"/>
          <w:szCs w:val="24"/>
          <w:highlight w:val="none"/>
        </w:rPr>
      </w:pPr>
      <w:r>
        <w:rPr>
          <w:rFonts w:hint="eastAsia" w:ascii="宋体" w:hAnsi="宋体" w:cs="Arial"/>
          <w:sz w:val="24"/>
          <w:szCs w:val="24"/>
          <w:highlight w:val="none"/>
          <w:lang w:val="en-US" w:eastAsia="zh-CN"/>
        </w:rPr>
        <w:t>26.5</w:t>
      </w:r>
      <w:r>
        <w:rPr>
          <w:rFonts w:ascii="宋体" w:hAnsi="宋体" w:cs="Arial"/>
          <w:sz w:val="24"/>
          <w:szCs w:val="24"/>
          <w:highlight w:val="none"/>
        </w:rPr>
        <w:t>详细评标标准：</w:t>
      </w:r>
    </w:p>
    <w:tbl>
      <w:tblPr>
        <w:tblStyle w:val="19"/>
        <w:tblW w:w="9939" w:type="dxa"/>
        <w:jc w:val="center"/>
        <w:tblLayout w:type="fixed"/>
        <w:tblCellMar>
          <w:top w:w="0" w:type="dxa"/>
          <w:left w:w="0" w:type="dxa"/>
          <w:bottom w:w="0" w:type="dxa"/>
          <w:right w:w="0" w:type="dxa"/>
        </w:tblCellMar>
      </w:tblPr>
      <w:tblGrid>
        <w:gridCol w:w="995"/>
        <w:gridCol w:w="3147"/>
        <w:gridCol w:w="5797"/>
      </w:tblGrid>
      <w:tr>
        <w:trPr>
          <w:trHeight w:val="403" w:hRule="exact"/>
          <w:jc w:val="center"/>
        </w:trPr>
        <w:tc>
          <w:tcPr>
            <w:tcW w:w="995" w:type="dxa"/>
            <w:tcBorders>
              <w:top w:val="single" w:color="000000" w:sz="4" w:space="0"/>
              <w:left w:val="single" w:color="000000" w:sz="4" w:space="0"/>
              <w:bottom w:val="single" w:color="000000" w:sz="4" w:space="0"/>
              <w:right w:val="single" w:color="000000" w:sz="4" w:space="0"/>
            </w:tcBorders>
            <w:noWrap w:val="0"/>
            <w:vAlign w:val="center"/>
          </w:tcPr>
          <w:p>
            <w:pPr>
              <w:pStyle w:val="26"/>
              <w:ind w:firstLine="240" w:firstLineChars="100"/>
              <w:rPr>
                <w:rFonts w:ascii="宋体" w:hAnsi="宋体" w:cs="宋体"/>
                <w:color w:val="auto"/>
                <w:sz w:val="24"/>
                <w:szCs w:val="24"/>
                <w:highlight w:val="none"/>
              </w:rPr>
            </w:pPr>
            <w:bookmarkStart w:id="78" w:name="_Toc267301288"/>
            <w:r>
              <w:rPr>
                <w:rFonts w:hint="eastAsia" w:ascii="宋体" w:hAnsi="宋体" w:cs="宋体"/>
                <w:color w:val="auto"/>
                <w:sz w:val="24"/>
                <w:szCs w:val="24"/>
                <w:highlight w:val="none"/>
              </w:rPr>
              <w:t>条款号</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pPr>
              <w:pStyle w:val="26"/>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评分因素（偏差率）</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pPr>
              <w:pStyle w:val="26"/>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评分标准</w:t>
            </w:r>
          </w:p>
        </w:tc>
      </w:tr>
      <w:tr>
        <w:tblPrEx>
          <w:tblCellMar>
            <w:top w:w="0" w:type="dxa"/>
            <w:left w:w="0" w:type="dxa"/>
            <w:bottom w:w="0" w:type="dxa"/>
            <w:right w:w="0" w:type="dxa"/>
          </w:tblCellMar>
        </w:tblPrEx>
        <w:trPr>
          <w:trHeight w:val="896" w:hRule="exact"/>
          <w:jc w:val="center"/>
        </w:trPr>
        <w:tc>
          <w:tcPr>
            <w:tcW w:w="995" w:type="dxa"/>
            <w:vMerge w:val="restart"/>
            <w:tcBorders>
              <w:top w:val="single" w:color="000000" w:sz="4" w:space="0"/>
              <w:left w:val="single" w:color="000000" w:sz="4" w:space="0"/>
              <w:right w:val="single" w:color="000000" w:sz="4" w:space="0"/>
            </w:tcBorders>
            <w:noWrap w:val="0"/>
            <w:vAlign w:val="center"/>
          </w:tcPr>
          <w:p>
            <w:pPr>
              <w:pStyle w:val="26"/>
              <w:ind w:firstLine="480" w:firstLineChars="200"/>
              <w:jc w:val="center"/>
              <w:rPr>
                <w:rFonts w:ascii="宋体" w:hAnsi="宋体" w:cs="宋体"/>
                <w:color w:val="auto"/>
                <w:sz w:val="24"/>
                <w:szCs w:val="24"/>
                <w:highlight w:val="none"/>
              </w:rPr>
            </w:pPr>
          </w:p>
          <w:p>
            <w:pPr>
              <w:pStyle w:val="26"/>
              <w:ind w:firstLine="480" w:firstLineChars="200"/>
              <w:jc w:val="center"/>
              <w:rPr>
                <w:rFonts w:ascii="宋体" w:hAnsi="宋体" w:cs="宋体"/>
                <w:color w:val="auto"/>
                <w:sz w:val="24"/>
                <w:szCs w:val="24"/>
                <w:highlight w:val="none"/>
              </w:rPr>
            </w:pPr>
          </w:p>
          <w:p>
            <w:pPr>
              <w:pStyle w:val="26"/>
              <w:ind w:firstLine="480" w:firstLineChars="200"/>
              <w:jc w:val="center"/>
              <w:rPr>
                <w:rFonts w:ascii="宋体" w:hAnsi="宋体" w:cs="宋体"/>
                <w:color w:val="auto"/>
                <w:sz w:val="24"/>
                <w:szCs w:val="24"/>
                <w:highlight w:val="none"/>
              </w:rPr>
            </w:pPr>
          </w:p>
          <w:p>
            <w:pPr>
              <w:pStyle w:val="26"/>
              <w:ind w:firstLine="480" w:firstLineChars="200"/>
              <w:jc w:val="center"/>
              <w:rPr>
                <w:rFonts w:ascii="宋体" w:hAnsi="宋体" w:cs="宋体"/>
                <w:color w:val="auto"/>
                <w:sz w:val="24"/>
                <w:szCs w:val="24"/>
                <w:highlight w:val="none"/>
              </w:rPr>
            </w:pPr>
          </w:p>
          <w:p>
            <w:pPr>
              <w:pStyle w:val="26"/>
              <w:jc w:val="center"/>
              <w:rPr>
                <w:rFonts w:ascii="宋体" w:hAnsi="宋体" w:cs="宋体"/>
                <w:color w:val="auto"/>
                <w:sz w:val="24"/>
                <w:szCs w:val="24"/>
                <w:highlight w:val="none"/>
              </w:rPr>
            </w:pPr>
          </w:p>
          <w:p>
            <w:pPr>
              <w:pStyle w:val="26"/>
              <w:jc w:val="center"/>
              <w:rPr>
                <w:rFonts w:ascii="宋体" w:hAnsi="宋体" w:cs="宋体"/>
                <w:color w:val="auto"/>
                <w:sz w:val="24"/>
                <w:szCs w:val="24"/>
                <w:highlight w:val="none"/>
              </w:rPr>
            </w:pPr>
            <w:r>
              <w:rPr>
                <w:rFonts w:hint="eastAsia" w:ascii="宋体" w:hAnsi="宋体" w:cs="宋体"/>
                <w:color w:val="auto"/>
                <w:sz w:val="24"/>
                <w:szCs w:val="24"/>
                <w:highlight w:val="none"/>
              </w:rPr>
              <w:t>商务评分</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标准</w:t>
            </w:r>
          </w:p>
          <w:p>
            <w:pPr>
              <w:pStyle w:val="26"/>
              <w:jc w:val="center"/>
              <w:rPr>
                <w:rFonts w:ascii="宋体" w:hAnsi="宋体" w:cs="宋体"/>
                <w:color w:val="auto"/>
                <w:sz w:val="24"/>
                <w:szCs w:val="24"/>
                <w:highlight w:val="none"/>
              </w:rPr>
            </w:pPr>
            <w:r>
              <w:rPr>
                <w:rFonts w:hint="eastAsia" w:ascii="宋体" w:hAnsi="宋体" w:cs="宋体"/>
                <w:color w:val="auto"/>
                <w:sz w:val="24"/>
                <w:szCs w:val="24"/>
                <w:highlight w:val="none"/>
              </w:rPr>
              <w:t>20分</w:t>
            </w:r>
          </w:p>
        </w:tc>
        <w:tc>
          <w:tcPr>
            <w:tcW w:w="8944"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auto"/>
                <w:sz w:val="24"/>
                <w:szCs w:val="24"/>
                <w:highlight w:val="none"/>
              </w:rPr>
            </w:pPr>
            <w:r>
              <w:rPr>
                <w:rFonts w:hint="eastAsia" w:ascii="宋体" w:hAnsi="宋体" w:cs="宋体"/>
                <w:color w:val="auto"/>
                <w:sz w:val="24"/>
                <w:szCs w:val="24"/>
                <w:highlight w:val="none"/>
              </w:rPr>
              <w:t>商务响应（包括交货期、付款方式、保修期和其他优惠条件）（</w:t>
            </w:r>
            <w:r>
              <w:rPr>
                <w:rFonts w:ascii="宋体" w:hAnsi="宋体" w:cs="宋体"/>
                <w:color w:val="auto"/>
                <w:sz w:val="24"/>
                <w:szCs w:val="24"/>
                <w:highlight w:val="none"/>
              </w:rPr>
              <w:t>4</w:t>
            </w:r>
            <w:r>
              <w:rPr>
                <w:rFonts w:hint="eastAsia" w:ascii="宋体" w:hAnsi="宋体" w:cs="宋体"/>
                <w:color w:val="auto"/>
                <w:sz w:val="24"/>
                <w:szCs w:val="24"/>
                <w:highlight w:val="none"/>
              </w:rPr>
              <w:t>分）：每低于一项减</w:t>
            </w:r>
            <w:r>
              <w:rPr>
                <w:rFonts w:ascii="宋体" w:hAnsi="宋体" w:cs="宋体"/>
                <w:color w:val="auto"/>
                <w:sz w:val="24"/>
                <w:szCs w:val="24"/>
                <w:highlight w:val="none"/>
              </w:rPr>
              <w:t>1</w:t>
            </w:r>
            <w:r>
              <w:rPr>
                <w:rFonts w:hint="eastAsia" w:ascii="宋体" w:hAnsi="宋体" w:cs="宋体"/>
                <w:color w:val="auto"/>
                <w:sz w:val="24"/>
                <w:szCs w:val="24"/>
                <w:highlight w:val="none"/>
              </w:rPr>
              <w:t>分，最高分为</w:t>
            </w:r>
            <w:r>
              <w:rPr>
                <w:rFonts w:ascii="宋体" w:hAnsi="宋体" w:cs="宋体"/>
                <w:color w:val="auto"/>
                <w:sz w:val="24"/>
                <w:szCs w:val="24"/>
                <w:highlight w:val="none"/>
              </w:rPr>
              <w:t>4</w:t>
            </w:r>
            <w:r>
              <w:rPr>
                <w:rFonts w:hint="eastAsia" w:ascii="宋体" w:hAnsi="宋体" w:cs="宋体"/>
                <w:color w:val="auto"/>
                <w:sz w:val="24"/>
                <w:szCs w:val="24"/>
                <w:highlight w:val="none"/>
              </w:rPr>
              <w:t>分，最低为</w:t>
            </w:r>
            <w:r>
              <w:rPr>
                <w:rFonts w:ascii="宋体" w:hAnsi="宋体" w:cs="宋体"/>
                <w:color w:val="auto"/>
                <w:sz w:val="24"/>
                <w:szCs w:val="24"/>
                <w:highlight w:val="none"/>
              </w:rPr>
              <w:t>0</w:t>
            </w:r>
            <w:r>
              <w:rPr>
                <w:rFonts w:hint="eastAsia" w:ascii="宋体" w:hAnsi="宋体" w:cs="宋体"/>
                <w:color w:val="auto"/>
                <w:sz w:val="24"/>
                <w:szCs w:val="24"/>
                <w:highlight w:val="none"/>
              </w:rPr>
              <w:t>分。</w:t>
            </w:r>
          </w:p>
        </w:tc>
      </w:tr>
      <w:tr>
        <w:tblPrEx>
          <w:tblCellMar>
            <w:top w:w="0" w:type="dxa"/>
            <w:left w:w="0" w:type="dxa"/>
            <w:bottom w:w="0" w:type="dxa"/>
            <w:right w:w="0" w:type="dxa"/>
          </w:tblCellMar>
        </w:tblPrEx>
        <w:trPr>
          <w:trHeight w:val="674" w:hRule="exact"/>
          <w:jc w:val="center"/>
        </w:trPr>
        <w:tc>
          <w:tcPr>
            <w:tcW w:w="995" w:type="dxa"/>
            <w:vMerge w:val="continue"/>
            <w:tcBorders>
              <w:left w:val="single" w:color="000000" w:sz="4" w:space="0"/>
              <w:right w:val="single" w:color="000000" w:sz="4" w:space="0"/>
            </w:tcBorders>
            <w:noWrap w:val="0"/>
            <w:vAlign w:val="center"/>
          </w:tcPr>
          <w:p>
            <w:pPr>
              <w:pStyle w:val="26"/>
              <w:jc w:val="center"/>
              <w:rPr>
                <w:rFonts w:hint="eastAsia" w:ascii="宋体" w:hAnsi="宋体" w:cs="宋体"/>
                <w:color w:val="auto"/>
                <w:sz w:val="24"/>
                <w:szCs w:val="24"/>
                <w:highlight w:val="none"/>
              </w:rPr>
            </w:pPr>
          </w:p>
        </w:tc>
        <w:tc>
          <w:tcPr>
            <w:tcW w:w="8944"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信誉情况（</w:t>
            </w:r>
            <w:r>
              <w:rPr>
                <w:rFonts w:ascii="宋体" w:hAnsi="宋体" w:cs="宋体"/>
                <w:color w:val="auto"/>
                <w:sz w:val="24"/>
                <w:szCs w:val="24"/>
                <w:highlight w:val="none"/>
              </w:rPr>
              <w:t>2</w:t>
            </w:r>
            <w:r>
              <w:rPr>
                <w:rFonts w:hint="eastAsia" w:ascii="宋体" w:hAnsi="宋体" w:cs="宋体"/>
                <w:color w:val="auto"/>
                <w:sz w:val="24"/>
                <w:szCs w:val="24"/>
                <w:highlight w:val="none"/>
              </w:rPr>
              <w:t>分）：信誉良好、无不良业绩的，得</w:t>
            </w:r>
            <w:r>
              <w:rPr>
                <w:rFonts w:ascii="宋体" w:hAnsi="宋体" w:cs="宋体"/>
                <w:color w:val="auto"/>
                <w:sz w:val="24"/>
                <w:szCs w:val="24"/>
                <w:highlight w:val="none"/>
              </w:rPr>
              <w:t>2</w:t>
            </w:r>
            <w:r>
              <w:rPr>
                <w:rFonts w:hint="eastAsia" w:ascii="宋体" w:hAnsi="宋体" w:cs="宋体"/>
                <w:color w:val="auto"/>
                <w:sz w:val="24"/>
                <w:szCs w:val="24"/>
                <w:highlight w:val="none"/>
              </w:rPr>
              <w:t>分，否则不得分。</w:t>
            </w:r>
          </w:p>
        </w:tc>
      </w:tr>
      <w:tr>
        <w:tblPrEx>
          <w:tblCellMar>
            <w:top w:w="0" w:type="dxa"/>
            <w:left w:w="0" w:type="dxa"/>
            <w:bottom w:w="0" w:type="dxa"/>
            <w:right w:w="0" w:type="dxa"/>
          </w:tblCellMar>
        </w:tblPrEx>
        <w:trPr>
          <w:trHeight w:val="1378" w:hRule="exact"/>
          <w:jc w:val="center"/>
        </w:trPr>
        <w:tc>
          <w:tcPr>
            <w:tcW w:w="995" w:type="dxa"/>
            <w:vMerge w:val="continue"/>
            <w:tcBorders>
              <w:left w:val="single" w:color="000000" w:sz="4" w:space="0"/>
              <w:right w:val="single" w:color="000000" w:sz="4" w:space="0"/>
            </w:tcBorders>
            <w:noWrap w:val="0"/>
            <w:vAlign w:val="center"/>
          </w:tcPr>
          <w:p>
            <w:pPr>
              <w:ind w:firstLine="480" w:firstLineChars="200"/>
              <w:jc w:val="center"/>
              <w:rPr>
                <w:rFonts w:ascii="宋体" w:hAnsi="宋体" w:cs="宋体"/>
                <w:color w:val="auto"/>
                <w:sz w:val="24"/>
                <w:szCs w:val="24"/>
                <w:highlight w:val="none"/>
              </w:rPr>
            </w:pPr>
          </w:p>
        </w:tc>
        <w:tc>
          <w:tcPr>
            <w:tcW w:w="3147"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color w:val="auto"/>
                <w:sz w:val="24"/>
                <w:szCs w:val="24"/>
                <w:highlight w:val="none"/>
              </w:rPr>
            </w:pPr>
            <w:r>
              <w:rPr>
                <w:rFonts w:hint="eastAsia" w:ascii="宋体" w:hAnsi="宋体" w:cs="宋体"/>
                <w:color w:val="auto"/>
                <w:sz w:val="24"/>
                <w:szCs w:val="24"/>
                <w:highlight w:val="none"/>
              </w:rPr>
              <w:t>近两年有销售业绩（</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pPr>
              <w:pStyle w:val="26"/>
              <w:ind w:left="105" w:leftChars="50"/>
              <w:jc w:val="left"/>
              <w:rPr>
                <w:rFonts w:ascii="宋体" w:hAnsi="宋体" w:cs="宋体"/>
                <w:color w:val="auto"/>
                <w:sz w:val="24"/>
                <w:szCs w:val="24"/>
                <w:highlight w:val="none"/>
              </w:rPr>
            </w:pPr>
            <w:r>
              <w:rPr>
                <w:rFonts w:hint="eastAsia" w:ascii="宋体" w:hAnsi="宋体" w:cs="宋体"/>
                <w:color w:val="auto"/>
                <w:sz w:val="24"/>
                <w:szCs w:val="24"/>
                <w:highlight w:val="none"/>
              </w:rPr>
              <w:t>提供近两年度以来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2020年1月1日及以后）同类项目业绩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每出具一份合同或中标通知书得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分，满分</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分，不能提供的得</w:t>
            </w:r>
            <w:r>
              <w:rPr>
                <w:rFonts w:hint="eastAsia" w:ascii="宋体" w:hAnsi="宋体" w:cs="宋体"/>
                <w:color w:val="auto"/>
                <w:sz w:val="24"/>
                <w:szCs w:val="24"/>
                <w:highlight w:val="none"/>
                <w:lang w:eastAsia="zh-CN"/>
              </w:rPr>
              <w:t>不得</w:t>
            </w:r>
            <w:r>
              <w:rPr>
                <w:rFonts w:hint="eastAsia" w:ascii="宋体" w:hAnsi="宋体" w:cs="宋体"/>
                <w:color w:val="auto"/>
                <w:sz w:val="24"/>
                <w:szCs w:val="24"/>
                <w:highlight w:val="none"/>
              </w:rPr>
              <w:t>分。</w:t>
            </w:r>
          </w:p>
        </w:tc>
      </w:tr>
      <w:tr>
        <w:tblPrEx>
          <w:tblCellMar>
            <w:top w:w="0" w:type="dxa"/>
            <w:left w:w="0" w:type="dxa"/>
            <w:bottom w:w="0" w:type="dxa"/>
            <w:right w:w="0" w:type="dxa"/>
          </w:tblCellMar>
        </w:tblPrEx>
        <w:trPr>
          <w:trHeight w:val="1625" w:hRule="exact"/>
          <w:jc w:val="center"/>
        </w:trPr>
        <w:tc>
          <w:tcPr>
            <w:tcW w:w="995" w:type="dxa"/>
            <w:vMerge w:val="continue"/>
            <w:tcBorders>
              <w:left w:val="single" w:color="000000" w:sz="4" w:space="0"/>
              <w:right w:val="single" w:color="000000" w:sz="4" w:space="0"/>
            </w:tcBorders>
            <w:noWrap w:val="0"/>
            <w:vAlign w:val="center"/>
          </w:tcPr>
          <w:p>
            <w:pPr>
              <w:ind w:firstLine="480" w:firstLineChars="200"/>
              <w:jc w:val="center"/>
              <w:rPr>
                <w:rFonts w:ascii="宋体" w:hAnsi="宋体" w:cs="宋体"/>
                <w:color w:val="auto"/>
                <w:sz w:val="24"/>
                <w:szCs w:val="24"/>
                <w:highlight w:val="none"/>
              </w:rPr>
            </w:pPr>
          </w:p>
        </w:tc>
        <w:tc>
          <w:tcPr>
            <w:tcW w:w="3147"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售后服务（</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售后服务说明,保修、售后服务方案,维修服务响应时间、修复时间、应急处理等售后计划措施完整、内容齐全得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分。方案措施不完整、内容不全</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分，未提供的不得分。</w:t>
            </w:r>
          </w:p>
        </w:tc>
      </w:tr>
      <w:tr>
        <w:tblPrEx>
          <w:tblCellMar>
            <w:top w:w="0" w:type="dxa"/>
            <w:left w:w="0" w:type="dxa"/>
            <w:bottom w:w="0" w:type="dxa"/>
            <w:right w:w="0" w:type="dxa"/>
          </w:tblCellMar>
        </w:tblPrEx>
        <w:trPr>
          <w:trHeight w:val="1277" w:hRule="exact"/>
          <w:jc w:val="center"/>
        </w:trPr>
        <w:tc>
          <w:tcPr>
            <w:tcW w:w="995" w:type="dxa"/>
            <w:vMerge w:val="continue"/>
            <w:tcBorders>
              <w:left w:val="single" w:color="000000" w:sz="4" w:space="0"/>
              <w:right w:val="single" w:color="000000" w:sz="4" w:space="0"/>
            </w:tcBorders>
            <w:noWrap w:val="0"/>
            <w:vAlign w:val="center"/>
          </w:tcPr>
          <w:p>
            <w:pPr>
              <w:ind w:firstLine="480" w:firstLineChars="200"/>
              <w:jc w:val="center"/>
              <w:rPr>
                <w:rFonts w:ascii="宋体" w:hAnsi="宋体" w:cs="宋体"/>
                <w:color w:val="auto"/>
                <w:sz w:val="24"/>
                <w:szCs w:val="24"/>
                <w:highlight w:val="none"/>
              </w:rPr>
            </w:pPr>
          </w:p>
        </w:tc>
        <w:tc>
          <w:tcPr>
            <w:tcW w:w="3147" w:type="dxa"/>
            <w:tcBorders>
              <w:left w:val="single" w:color="000000" w:sz="4" w:space="0"/>
              <w:right w:val="single" w:color="000000" w:sz="4" w:space="0"/>
            </w:tcBorders>
            <w:noWrap w:val="0"/>
            <w:vAlign w:val="center"/>
          </w:tcPr>
          <w:p>
            <w:pPr>
              <w:pStyle w:val="26"/>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投标文件的编制（3分）</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auto"/>
                <w:sz w:val="24"/>
                <w:szCs w:val="24"/>
                <w:highlight w:val="none"/>
              </w:rPr>
            </w:pPr>
            <w:r>
              <w:rPr>
                <w:rFonts w:hint="eastAsia" w:ascii="宋体" w:hAnsi="宋体" w:cs="宋体"/>
                <w:color w:val="auto"/>
                <w:sz w:val="24"/>
                <w:szCs w:val="24"/>
                <w:highlight w:val="none"/>
              </w:rPr>
              <w:t>投标文件按招标文件规定的格式、内容、顺序编制，胶装成册，书面整洁</w:t>
            </w:r>
            <w:r>
              <w:rPr>
                <w:rFonts w:hint="eastAsia" w:ascii="宋体" w:hAnsi="宋体" w:cs="宋体"/>
                <w:color w:val="auto"/>
                <w:sz w:val="24"/>
                <w:szCs w:val="24"/>
                <w:highlight w:val="none"/>
                <w:lang w:eastAsia="zh-CN"/>
              </w:rPr>
              <w:t>清晰</w:t>
            </w:r>
            <w:r>
              <w:rPr>
                <w:rFonts w:hint="eastAsia" w:ascii="宋体" w:hAnsi="宋体" w:cs="宋体"/>
                <w:color w:val="auto"/>
                <w:sz w:val="24"/>
                <w:szCs w:val="24"/>
                <w:highlight w:val="none"/>
              </w:rPr>
              <w:t>无涂改，</w:t>
            </w:r>
            <w:r>
              <w:rPr>
                <w:rFonts w:hint="eastAsia" w:ascii="宋体" w:hAnsi="宋体" w:cs="宋体"/>
                <w:color w:val="auto"/>
                <w:sz w:val="24"/>
                <w:szCs w:val="24"/>
                <w:highlight w:val="none"/>
                <w:lang w:eastAsia="zh-CN"/>
              </w:rPr>
              <w:t>无</w:t>
            </w:r>
            <w:r>
              <w:rPr>
                <w:rFonts w:hint="eastAsia" w:ascii="宋体" w:hAnsi="宋体" w:cs="宋体"/>
                <w:color w:val="auto"/>
                <w:sz w:val="24"/>
                <w:szCs w:val="24"/>
                <w:highlight w:val="none"/>
              </w:rPr>
              <w:t>缺漏</w:t>
            </w:r>
            <w:r>
              <w:rPr>
                <w:rFonts w:hint="eastAsia" w:ascii="宋体" w:hAnsi="宋体" w:cs="宋体"/>
                <w:color w:val="auto"/>
                <w:sz w:val="24"/>
                <w:szCs w:val="24"/>
                <w:highlight w:val="none"/>
                <w:lang w:eastAsia="zh-CN"/>
              </w:rPr>
              <w:t>错</w:t>
            </w:r>
            <w:r>
              <w:rPr>
                <w:rFonts w:hint="eastAsia" w:ascii="宋体" w:hAnsi="宋体" w:cs="宋体"/>
                <w:color w:val="auto"/>
                <w:sz w:val="24"/>
                <w:szCs w:val="24"/>
                <w:highlight w:val="none"/>
              </w:rPr>
              <w:t>项，计3分。有缺漏</w:t>
            </w:r>
            <w:r>
              <w:rPr>
                <w:rFonts w:hint="eastAsia" w:ascii="宋体" w:hAnsi="宋体" w:cs="宋体"/>
                <w:color w:val="auto"/>
                <w:sz w:val="24"/>
                <w:szCs w:val="24"/>
                <w:highlight w:val="none"/>
                <w:lang w:eastAsia="zh-CN"/>
              </w:rPr>
              <w:t>错</w:t>
            </w:r>
            <w:r>
              <w:rPr>
                <w:rFonts w:hint="eastAsia" w:ascii="宋体" w:hAnsi="宋体" w:cs="宋体"/>
                <w:color w:val="auto"/>
                <w:sz w:val="24"/>
                <w:szCs w:val="24"/>
                <w:highlight w:val="none"/>
              </w:rPr>
              <w:t>项的每项扣</w:t>
            </w:r>
            <w:r>
              <w:rPr>
                <w:rFonts w:ascii="宋体" w:hAnsi="宋体" w:cs="宋体"/>
                <w:color w:val="auto"/>
                <w:sz w:val="24"/>
                <w:szCs w:val="24"/>
                <w:highlight w:val="none"/>
              </w:rPr>
              <w:t>1</w:t>
            </w:r>
            <w:r>
              <w:rPr>
                <w:rFonts w:hint="eastAsia" w:ascii="宋体" w:hAnsi="宋体" w:cs="宋体"/>
                <w:color w:val="auto"/>
                <w:sz w:val="24"/>
                <w:szCs w:val="24"/>
                <w:highlight w:val="none"/>
              </w:rPr>
              <w:t>分，扣完为止。</w:t>
            </w:r>
          </w:p>
        </w:tc>
      </w:tr>
      <w:tr>
        <w:tblPrEx>
          <w:tblCellMar>
            <w:top w:w="0" w:type="dxa"/>
            <w:left w:w="0" w:type="dxa"/>
            <w:bottom w:w="0" w:type="dxa"/>
            <w:right w:w="0" w:type="dxa"/>
          </w:tblCellMar>
        </w:tblPrEx>
        <w:trPr>
          <w:trHeight w:val="4150" w:hRule="exact"/>
          <w:jc w:val="center"/>
        </w:trPr>
        <w:tc>
          <w:tcPr>
            <w:tcW w:w="995" w:type="dxa"/>
            <w:vMerge w:val="restart"/>
            <w:tcBorders>
              <w:top w:val="single" w:color="000000" w:sz="4" w:space="0"/>
              <w:left w:val="single" w:color="000000" w:sz="4" w:space="0"/>
              <w:right w:val="single" w:color="000000" w:sz="4" w:space="0"/>
            </w:tcBorders>
            <w:noWrap w:val="0"/>
            <w:vAlign w:val="center"/>
          </w:tcPr>
          <w:p>
            <w:pPr>
              <w:pStyle w:val="26"/>
              <w:ind w:firstLine="480" w:firstLineChars="200"/>
              <w:jc w:val="center"/>
              <w:rPr>
                <w:rFonts w:ascii="宋体" w:hAnsi="宋体" w:cs="宋体"/>
                <w:color w:val="auto"/>
                <w:sz w:val="24"/>
                <w:szCs w:val="24"/>
                <w:highlight w:val="none"/>
              </w:rPr>
            </w:pPr>
          </w:p>
          <w:p>
            <w:pPr>
              <w:pStyle w:val="26"/>
              <w:ind w:firstLine="480" w:firstLineChars="200"/>
              <w:jc w:val="center"/>
              <w:rPr>
                <w:rFonts w:ascii="宋体" w:hAnsi="宋体" w:cs="宋体"/>
                <w:color w:val="auto"/>
                <w:sz w:val="24"/>
                <w:szCs w:val="24"/>
                <w:highlight w:val="none"/>
              </w:rPr>
            </w:pPr>
          </w:p>
          <w:p>
            <w:pPr>
              <w:pStyle w:val="26"/>
              <w:ind w:firstLine="480" w:firstLineChars="200"/>
              <w:jc w:val="center"/>
              <w:rPr>
                <w:rFonts w:ascii="宋体" w:hAnsi="宋体" w:cs="宋体"/>
                <w:color w:val="auto"/>
                <w:sz w:val="24"/>
                <w:szCs w:val="24"/>
                <w:highlight w:val="none"/>
              </w:rPr>
            </w:pPr>
          </w:p>
          <w:p>
            <w:pPr>
              <w:pStyle w:val="26"/>
              <w:ind w:firstLine="480" w:firstLineChars="200"/>
              <w:jc w:val="center"/>
              <w:rPr>
                <w:rFonts w:ascii="宋体" w:hAnsi="宋体" w:cs="宋体"/>
                <w:color w:val="auto"/>
                <w:sz w:val="24"/>
                <w:szCs w:val="24"/>
                <w:highlight w:val="none"/>
              </w:rPr>
            </w:pPr>
          </w:p>
          <w:p>
            <w:pPr>
              <w:pStyle w:val="26"/>
              <w:jc w:val="center"/>
              <w:rPr>
                <w:rFonts w:ascii="宋体" w:hAnsi="宋体" w:cs="宋体"/>
                <w:color w:val="auto"/>
                <w:sz w:val="24"/>
                <w:szCs w:val="24"/>
                <w:highlight w:val="none"/>
              </w:rPr>
            </w:pPr>
          </w:p>
          <w:p>
            <w:pPr>
              <w:pStyle w:val="26"/>
              <w:jc w:val="center"/>
              <w:rPr>
                <w:rFonts w:ascii="宋体" w:hAnsi="宋体" w:cs="宋体"/>
                <w:color w:val="auto"/>
                <w:sz w:val="24"/>
                <w:szCs w:val="24"/>
                <w:highlight w:val="none"/>
              </w:rPr>
            </w:pPr>
            <w:r>
              <w:rPr>
                <w:rFonts w:hint="eastAsia" w:ascii="宋体" w:hAnsi="宋体" w:cs="宋体"/>
                <w:color w:val="auto"/>
                <w:sz w:val="24"/>
                <w:szCs w:val="24"/>
                <w:highlight w:val="none"/>
              </w:rPr>
              <w:t>技术评分</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标准</w:t>
            </w:r>
          </w:p>
          <w:p>
            <w:pPr>
              <w:pStyle w:val="26"/>
              <w:jc w:val="center"/>
              <w:rPr>
                <w:rFonts w:ascii="宋体" w:hAnsi="宋体" w:cs="宋体"/>
                <w:color w:val="auto"/>
                <w:sz w:val="24"/>
                <w:szCs w:val="24"/>
                <w:highlight w:val="none"/>
              </w:rPr>
            </w:pPr>
            <w:r>
              <w:rPr>
                <w:rFonts w:hint="eastAsia" w:ascii="宋体" w:hAnsi="宋体" w:cs="宋体"/>
                <w:color w:val="auto"/>
                <w:sz w:val="24"/>
                <w:szCs w:val="24"/>
                <w:highlight w:val="none"/>
              </w:rPr>
              <w:t>50分</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投标产品性能及技术参数（30分）</w:t>
            </w:r>
          </w:p>
        </w:tc>
        <w:tc>
          <w:tcPr>
            <w:tcW w:w="5797" w:type="dxa"/>
            <w:tcBorders>
              <w:top w:val="single" w:color="000000" w:sz="4" w:space="0"/>
              <w:left w:val="single" w:color="000000" w:sz="4" w:space="0"/>
              <w:bottom w:val="single" w:color="auto" w:sz="4" w:space="0"/>
              <w:right w:val="single" w:color="000000" w:sz="4" w:space="0"/>
            </w:tcBorders>
            <w:noWrap w:val="0"/>
            <w:vAlign w:val="center"/>
          </w:tcPr>
          <w:p>
            <w:pPr>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1.投标货物主要结构、主要技术、质量是否满足招标文件需求，完全满足得26分，★项为关键性指标，每偏离一项扣5分；非★项指标项，每偏离一项扣2分，扣完为止。要求</w:t>
            </w:r>
            <w:r>
              <w:rPr>
                <w:rFonts w:hint="eastAsia" w:ascii="宋体" w:hAnsi="宋体"/>
                <w:sz w:val="24"/>
                <w:szCs w:val="24"/>
                <w:highlight w:val="none"/>
              </w:rPr>
              <w:t>投标现场需对平台功能进行演示</w:t>
            </w:r>
            <w:r>
              <w:rPr>
                <w:rFonts w:hint="eastAsia" w:ascii="宋体" w:hAnsi="宋体"/>
                <w:sz w:val="24"/>
                <w:szCs w:val="24"/>
                <w:highlight w:val="none"/>
                <w:lang w:eastAsia="zh-CN"/>
              </w:rPr>
              <w:t>的项目，不能提供现场演示的每项扣</w:t>
            </w:r>
            <w:r>
              <w:rPr>
                <w:rFonts w:hint="eastAsia" w:ascii="宋体" w:hAnsi="宋体"/>
                <w:sz w:val="24"/>
                <w:szCs w:val="24"/>
                <w:highlight w:val="none"/>
                <w:lang w:val="en-US" w:eastAsia="zh-CN"/>
              </w:rPr>
              <w:t>1分。</w:t>
            </w:r>
          </w:p>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2.要求随标书提供的计算机软件著作权证明材料和相关软件测评报告复印件的软件项目，需提供原件现场备查，未能提供原件备查的每一项扣1分。</w:t>
            </w:r>
          </w:p>
          <w:p>
            <w:pPr>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3.计算机软件著作权是供应商自主知识产权的，每一项加1分，最高加4分。</w:t>
            </w:r>
          </w:p>
        </w:tc>
      </w:tr>
      <w:tr>
        <w:tblPrEx>
          <w:tblCellMar>
            <w:top w:w="0" w:type="dxa"/>
            <w:left w:w="0" w:type="dxa"/>
            <w:bottom w:w="0" w:type="dxa"/>
            <w:right w:w="0" w:type="dxa"/>
          </w:tblCellMar>
        </w:tblPrEx>
        <w:trPr>
          <w:trHeight w:val="2876" w:hRule="exact"/>
          <w:jc w:val="center"/>
        </w:trPr>
        <w:tc>
          <w:tcPr>
            <w:tcW w:w="995" w:type="dxa"/>
            <w:vMerge w:val="continue"/>
            <w:tcBorders>
              <w:left w:val="single" w:color="000000" w:sz="4" w:space="0"/>
              <w:right w:val="single" w:color="000000" w:sz="4" w:space="0"/>
            </w:tcBorders>
            <w:noWrap w:val="0"/>
            <w:vAlign w:val="center"/>
          </w:tcPr>
          <w:p>
            <w:pPr>
              <w:pStyle w:val="26"/>
              <w:jc w:val="center"/>
              <w:rPr>
                <w:rFonts w:ascii="宋体" w:hAnsi="宋体" w:cs="宋体"/>
                <w:color w:val="auto"/>
                <w:sz w:val="24"/>
                <w:szCs w:val="24"/>
                <w:highlight w:val="none"/>
              </w:rPr>
            </w:pPr>
          </w:p>
        </w:tc>
        <w:tc>
          <w:tcPr>
            <w:tcW w:w="3147"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供货、</w:t>
            </w:r>
            <w:r>
              <w:rPr>
                <w:rFonts w:hint="eastAsia" w:ascii="宋体" w:hAnsi="宋体" w:cs="宋体"/>
                <w:color w:val="auto"/>
                <w:sz w:val="24"/>
                <w:szCs w:val="24"/>
                <w:highlight w:val="none"/>
              </w:rPr>
              <w:t>安装及</w:t>
            </w:r>
            <w:r>
              <w:rPr>
                <w:rFonts w:hint="eastAsia" w:ascii="宋体" w:hAnsi="宋体" w:cs="宋体"/>
                <w:color w:val="auto"/>
                <w:sz w:val="24"/>
                <w:szCs w:val="24"/>
                <w:highlight w:val="none"/>
                <w:lang w:eastAsia="zh-CN"/>
              </w:rPr>
              <w:t>施工</w:t>
            </w:r>
            <w:r>
              <w:rPr>
                <w:rFonts w:hint="eastAsia" w:ascii="宋体" w:hAnsi="宋体" w:cs="宋体"/>
                <w:color w:val="auto"/>
                <w:sz w:val="24"/>
                <w:szCs w:val="24"/>
                <w:highlight w:val="none"/>
              </w:rPr>
              <w:t>方案（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579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货物的供货、安装、</w:t>
            </w:r>
            <w:r>
              <w:rPr>
                <w:rFonts w:hint="eastAsia" w:ascii="宋体" w:hAnsi="宋体" w:cs="宋体"/>
                <w:color w:val="auto"/>
                <w:sz w:val="24"/>
                <w:szCs w:val="24"/>
                <w:highlight w:val="none"/>
                <w:lang w:eastAsia="zh-CN"/>
              </w:rPr>
              <w:t>施工</w:t>
            </w:r>
            <w:r>
              <w:rPr>
                <w:rFonts w:hint="eastAsia" w:ascii="宋体" w:hAnsi="宋体" w:cs="宋体"/>
                <w:color w:val="auto"/>
                <w:sz w:val="24"/>
                <w:szCs w:val="24"/>
                <w:highlight w:val="none"/>
              </w:rPr>
              <w:t>计划（包括主要设备的供货、运输、安装、调试、辅材的安装），进度计划应在空间和时间上做合理的统筹安排且符合施工的科学规律</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质量保证措施清晰完整，能够保证供应货物</w:t>
            </w:r>
            <w:r>
              <w:rPr>
                <w:rFonts w:hint="eastAsia" w:ascii="宋体" w:hAnsi="宋体" w:cs="宋体"/>
                <w:color w:val="auto"/>
                <w:sz w:val="24"/>
                <w:szCs w:val="24"/>
                <w:highlight w:val="none"/>
                <w:lang w:eastAsia="zh-CN"/>
              </w:rPr>
              <w:t>和施工</w:t>
            </w:r>
            <w:r>
              <w:rPr>
                <w:rFonts w:hint="eastAsia" w:ascii="宋体" w:hAnsi="宋体" w:cs="宋体"/>
                <w:color w:val="auto"/>
                <w:sz w:val="24"/>
                <w:szCs w:val="24"/>
                <w:highlight w:val="none"/>
              </w:rPr>
              <w:t>质量的计</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计划较合理但不完整或不详细得</w:t>
            </w:r>
            <w:r>
              <w:rPr>
                <w:rFonts w:hint="eastAsia" w:ascii="宋体" w:hAnsi="宋体" w:cs="宋体"/>
                <w:color w:val="auto"/>
                <w:sz w:val="24"/>
                <w:szCs w:val="24"/>
                <w:highlight w:val="none"/>
                <w:lang w:val="en-US" w:eastAsia="zh-CN"/>
              </w:rPr>
              <w:t>3-4分。计划</w:t>
            </w:r>
            <w:r>
              <w:rPr>
                <w:rFonts w:hint="eastAsia" w:ascii="宋体" w:hAnsi="宋体" w:cs="宋体"/>
                <w:color w:val="auto"/>
                <w:sz w:val="24"/>
                <w:szCs w:val="24"/>
                <w:highlight w:val="none"/>
              </w:rPr>
              <w:t>有缺漏项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欠合理</w:t>
            </w:r>
            <w:r>
              <w:rPr>
                <w:rFonts w:hint="eastAsia" w:ascii="宋体" w:hAnsi="宋体" w:cs="宋体"/>
                <w:color w:val="auto"/>
                <w:sz w:val="24"/>
                <w:szCs w:val="24"/>
                <w:highlight w:val="none"/>
                <w:lang w:eastAsia="zh-CN"/>
              </w:rPr>
              <w:t>或不够详细</w:t>
            </w:r>
            <w:r>
              <w:rPr>
                <w:rFonts w:hint="eastAsia" w:ascii="宋体" w:hAnsi="宋体" w:cs="宋体"/>
                <w:color w:val="auto"/>
                <w:sz w:val="24"/>
                <w:szCs w:val="24"/>
                <w:highlight w:val="none"/>
              </w:rPr>
              <w:t>的，根据重要程度</w:t>
            </w:r>
            <w:r>
              <w:rPr>
                <w:rFonts w:hint="eastAsia" w:ascii="宋体" w:hAnsi="宋体" w:cs="宋体"/>
                <w:color w:val="auto"/>
                <w:sz w:val="24"/>
                <w:szCs w:val="24"/>
                <w:highlight w:val="none"/>
                <w:lang w:eastAsia="zh-CN"/>
              </w:rPr>
              <w:t>得</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分。</w:t>
            </w:r>
          </w:p>
        </w:tc>
      </w:tr>
      <w:tr>
        <w:tblPrEx>
          <w:tblCellMar>
            <w:top w:w="0" w:type="dxa"/>
            <w:left w:w="0" w:type="dxa"/>
            <w:bottom w:w="0" w:type="dxa"/>
            <w:right w:w="0" w:type="dxa"/>
          </w:tblCellMar>
        </w:tblPrEx>
        <w:trPr>
          <w:trHeight w:val="1625" w:hRule="exact"/>
          <w:jc w:val="center"/>
        </w:trPr>
        <w:tc>
          <w:tcPr>
            <w:tcW w:w="995" w:type="dxa"/>
            <w:vMerge w:val="continue"/>
            <w:tcBorders>
              <w:left w:val="single" w:color="000000" w:sz="4" w:space="0"/>
              <w:right w:val="single" w:color="000000" w:sz="4" w:space="0"/>
            </w:tcBorders>
            <w:noWrap w:val="0"/>
            <w:vAlign w:val="center"/>
          </w:tcPr>
          <w:p>
            <w:pPr>
              <w:ind w:firstLine="480" w:firstLineChars="200"/>
              <w:jc w:val="center"/>
              <w:rPr>
                <w:rFonts w:ascii="宋体" w:hAnsi="宋体" w:cs="宋体"/>
                <w:color w:val="auto"/>
                <w:sz w:val="24"/>
                <w:szCs w:val="24"/>
                <w:highlight w:val="none"/>
              </w:rPr>
            </w:pPr>
          </w:p>
        </w:tc>
        <w:tc>
          <w:tcPr>
            <w:tcW w:w="3147" w:type="dxa"/>
            <w:vMerge w:val="restart"/>
            <w:tcBorders>
              <w:top w:val="single" w:color="000000" w:sz="4" w:space="0"/>
              <w:left w:val="single" w:color="000000" w:sz="4" w:space="0"/>
              <w:right w:val="single" w:color="auto" w:sz="4" w:space="0"/>
            </w:tcBorders>
            <w:noWrap w:val="0"/>
            <w:vAlign w:val="center"/>
          </w:tcPr>
          <w:p>
            <w:pPr>
              <w:jc w:val="center"/>
              <w:rPr>
                <w:rFonts w:hint="default" w:ascii="宋体" w:hAnsi="宋体"/>
                <w:color w:val="auto"/>
                <w:sz w:val="24"/>
                <w:szCs w:val="24"/>
                <w:highlight w:val="none"/>
                <w:lang w:val="en-US"/>
              </w:rPr>
            </w:pPr>
            <w:r>
              <w:rPr>
                <w:rFonts w:hint="eastAsia" w:ascii="宋体" w:hAnsi="宋体" w:cs="宋体"/>
                <w:color w:val="auto"/>
                <w:sz w:val="24"/>
                <w:szCs w:val="24"/>
                <w:highlight w:val="none"/>
                <w:lang w:eastAsia="zh-CN"/>
              </w:rPr>
              <w:t>技术服务能力（</w:t>
            </w:r>
            <w:r>
              <w:rPr>
                <w:rFonts w:hint="eastAsia" w:ascii="宋体" w:hAnsi="宋体" w:cs="宋体"/>
                <w:color w:val="auto"/>
                <w:sz w:val="24"/>
                <w:szCs w:val="24"/>
                <w:highlight w:val="none"/>
                <w:lang w:val="en-US" w:eastAsia="zh-CN"/>
              </w:rPr>
              <w:t>8分）</w:t>
            </w:r>
          </w:p>
        </w:tc>
        <w:tc>
          <w:tcPr>
            <w:tcW w:w="5797" w:type="dxa"/>
            <w:tcBorders>
              <w:top w:val="single" w:color="auto" w:sz="4" w:space="0"/>
              <w:left w:val="single" w:color="auto" w:sz="4" w:space="0"/>
              <w:bottom w:val="single" w:color="000000" w:sz="4" w:space="0"/>
              <w:right w:val="single" w:color="000000" w:sz="4" w:space="0"/>
            </w:tcBorders>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投标商能够提供与国内其他高校全面合作、开展专业技术支持服务的案例（包括：人才培养方案修订、课程开发协助、师资培训支持、社会服务支持等），每个合作案例得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分，最高</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分。（须提供相应的合作协议复印件，否则不得分）。</w:t>
            </w:r>
          </w:p>
        </w:tc>
      </w:tr>
      <w:tr>
        <w:tblPrEx>
          <w:tblCellMar>
            <w:top w:w="0" w:type="dxa"/>
            <w:left w:w="0" w:type="dxa"/>
            <w:bottom w:w="0" w:type="dxa"/>
            <w:right w:w="0" w:type="dxa"/>
          </w:tblCellMar>
        </w:tblPrEx>
        <w:trPr>
          <w:trHeight w:val="1731" w:hRule="exact"/>
          <w:jc w:val="center"/>
        </w:trPr>
        <w:tc>
          <w:tcPr>
            <w:tcW w:w="995" w:type="dxa"/>
            <w:vMerge w:val="continue"/>
            <w:tcBorders>
              <w:left w:val="single" w:color="000000" w:sz="4" w:space="0"/>
              <w:right w:val="single" w:color="000000" w:sz="4" w:space="0"/>
            </w:tcBorders>
            <w:noWrap w:val="0"/>
            <w:vAlign w:val="center"/>
          </w:tcPr>
          <w:p>
            <w:pPr>
              <w:ind w:firstLine="480" w:firstLineChars="200"/>
              <w:jc w:val="center"/>
              <w:rPr>
                <w:rFonts w:ascii="宋体" w:hAnsi="宋体" w:cs="宋体"/>
                <w:color w:val="auto"/>
                <w:sz w:val="24"/>
                <w:szCs w:val="24"/>
                <w:highlight w:val="none"/>
              </w:rPr>
            </w:pPr>
          </w:p>
        </w:tc>
        <w:tc>
          <w:tcPr>
            <w:tcW w:w="3147" w:type="dxa"/>
            <w:vMerge w:val="continue"/>
            <w:tcBorders>
              <w:left w:val="single" w:color="000000" w:sz="4" w:space="0"/>
              <w:bottom w:val="single" w:color="000000" w:sz="4" w:space="0"/>
              <w:right w:val="single" w:color="auto" w:sz="4" w:space="0"/>
            </w:tcBorders>
            <w:noWrap w:val="0"/>
            <w:vAlign w:val="center"/>
          </w:tcPr>
          <w:p>
            <w:pPr>
              <w:jc w:val="center"/>
              <w:rPr>
                <w:rFonts w:hint="eastAsia" w:ascii="宋体" w:hAnsi="宋体" w:cs="宋体"/>
                <w:color w:val="auto"/>
                <w:sz w:val="24"/>
                <w:szCs w:val="24"/>
                <w:highlight w:val="none"/>
              </w:rPr>
            </w:pPr>
          </w:p>
        </w:tc>
        <w:tc>
          <w:tcPr>
            <w:tcW w:w="5797" w:type="dxa"/>
            <w:tcBorders>
              <w:top w:val="single" w:color="000000" w:sz="4" w:space="0"/>
              <w:left w:val="single" w:color="auto" w:sz="4" w:space="0"/>
              <w:bottom w:val="single" w:color="000000" w:sz="4" w:space="0"/>
              <w:right w:val="single" w:color="000000" w:sz="4" w:space="0"/>
            </w:tcBorders>
            <w:noWrap w:val="0"/>
            <w:vAlign w:val="center"/>
          </w:tcPr>
          <w:p>
            <w:pPr>
              <w:jc w:val="left"/>
              <w:rPr>
                <w:rFonts w:hint="eastAsia" w:ascii="宋体" w:hAnsi="宋体" w:cs="宋体"/>
                <w:color w:val="auto"/>
                <w:sz w:val="24"/>
                <w:szCs w:val="24"/>
                <w:highlight w:val="none"/>
              </w:rPr>
            </w:pPr>
            <w:r>
              <w:rPr>
                <w:rFonts w:hint="eastAsia"/>
                <w:sz w:val="24"/>
                <w:szCs w:val="24"/>
                <w:highlight w:val="none"/>
              </w:rPr>
              <w:t>投标商在标书中能够提供针对学校相关专业实际情况详细的专业合作服务支持方案的，包括：人才培养方案修订、课程开发协助、师资培训支持、社会服务支持等方向，每个合作方向计</w:t>
            </w:r>
            <w:r>
              <w:rPr>
                <w:rFonts w:hint="eastAsia"/>
                <w:sz w:val="24"/>
                <w:szCs w:val="24"/>
                <w:highlight w:val="none"/>
                <w:lang w:val="en-US" w:eastAsia="zh-CN"/>
              </w:rPr>
              <w:t>1</w:t>
            </w:r>
            <w:r>
              <w:rPr>
                <w:sz w:val="24"/>
                <w:szCs w:val="24"/>
                <w:highlight w:val="none"/>
              </w:rPr>
              <w:t>分，最多</w:t>
            </w:r>
            <w:r>
              <w:rPr>
                <w:rFonts w:hint="eastAsia"/>
                <w:sz w:val="24"/>
                <w:szCs w:val="24"/>
                <w:highlight w:val="none"/>
                <w:lang w:val="en-US" w:eastAsia="zh-CN"/>
              </w:rPr>
              <w:t>4</w:t>
            </w:r>
            <w:r>
              <w:rPr>
                <w:sz w:val="24"/>
                <w:szCs w:val="24"/>
                <w:highlight w:val="none"/>
              </w:rPr>
              <w:t>分。</w:t>
            </w:r>
          </w:p>
        </w:tc>
      </w:tr>
      <w:tr>
        <w:tblPrEx>
          <w:tblCellMar>
            <w:top w:w="0" w:type="dxa"/>
            <w:left w:w="0" w:type="dxa"/>
            <w:bottom w:w="0" w:type="dxa"/>
            <w:right w:w="0" w:type="dxa"/>
          </w:tblCellMar>
        </w:tblPrEx>
        <w:trPr>
          <w:trHeight w:val="2037" w:hRule="exact"/>
          <w:jc w:val="center"/>
        </w:trPr>
        <w:tc>
          <w:tcPr>
            <w:tcW w:w="995" w:type="dxa"/>
            <w:vMerge w:val="continue"/>
            <w:tcBorders>
              <w:left w:val="single" w:color="000000" w:sz="4" w:space="0"/>
              <w:right w:val="single" w:color="000000" w:sz="4" w:space="0"/>
            </w:tcBorders>
            <w:noWrap w:val="0"/>
            <w:vAlign w:val="center"/>
          </w:tcPr>
          <w:p>
            <w:pPr>
              <w:ind w:firstLine="480" w:firstLineChars="200"/>
              <w:jc w:val="center"/>
              <w:rPr>
                <w:rFonts w:ascii="宋体" w:hAnsi="宋体" w:cs="宋体"/>
                <w:color w:val="auto"/>
                <w:sz w:val="24"/>
                <w:szCs w:val="24"/>
                <w:highlight w:val="none"/>
              </w:rPr>
            </w:pPr>
          </w:p>
        </w:tc>
        <w:tc>
          <w:tcPr>
            <w:tcW w:w="31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质量及安全保障体系（</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分）</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质量保证措施体系和安全保证措施体系应符合科学的施工规律、国家规定的强制性标准并有针对性。投标商具有质量管理体系认证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环境管理体系认证、信息安全管理体系认证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软件企业认证的，每个计1分，无则不计分；最高总计4分。</w:t>
            </w:r>
          </w:p>
        </w:tc>
      </w:tr>
      <w:tr>
        <w:tblPrEx>
          <w:tblCellMar>
            <w:top w:w="0" w:type="dxa"/>
            <w:left w:w="0" w:type="dxa"/>
            <w:bottom w:w="0" w:type="dxa"/>
            <w:right w:w="0" w:type="dxa"/>
          </w:tblCellMar>
        </w:tblPrEx>
        <w:trPr>
          <w:trHeight w:val="1250" w:hRule="exact"/>
          <w:jc w:val="center"/>
        </w:trPr>
        <w:tc>
          <w:tcPr>
            <w:tcW w:w="995" w:type="dxa"/>
            <w:vMerge w:val="continue"/>
            <w:tcBorders>
              <w:left w:val="single" w:color="000000" w:sz="4" w:space="0"/>
              <w:right w:val="single" w:color="000000" w:sz="4" w:space="0"/>
            </w:tcBorders>
            <w:noWrap w:val="0"/>
            <w:vAlign w:val="center"/>
          </w:tcPr>
          <w:p>
            <w:pPr>
              <w:ind w:firstLine="480" w:firstLineChars="200"/>
              <w:jc w:val="center"/>
              <w:rPr>
                <w:rFonts w:ascii="宋体" w:hAnsi="宋体" w:cs="宋体"/>
                <w:color w:val="auto"/>
                <w:sz w:val="24"/>
                <w:szCs w:val="24"/>
                <w:highlight w:val="none"/>
              </w:rPr>
            </w:pPr>
          </w:p>
        </w:tc>
        <w:tc>
          <w:tcPr>
            <w:tcW w:w="31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增值服务</w:t>
            </w:r>
            <w:r>
              <w:rPr>
                <w:rFonts w:ascii="宋体" w:hAnsi="宋体" w:cs="宋体"/>
                <w:color w:val="auto"/>
                <w:sz w:val="24"/>
                <w:szCs w:val="24"/>
                <w:highlight w:val="none"/>
              </w:rPr>
              <w:t>(</w:t>
            </w:r>
            <w:r>
              <w:rPr>
                <w:rFonts w:hint="eastAsia" w:ascii="宋体" w:hAnsi="宋体" w:cs="宋体"/>
                <w:color w:val="auto"/>
                <w:sz w:val="24"/>
                <w:szCs w:val="24"/>
                <w:highlight w:val="none"/>
              </w:rPr>
              <w:t>2分</w:t>
            </w:r>
            <w:r>
              <w:rPr>
                <w:rFonts w:ascii="宋体" w:hAnsi="宋体" w:cs="宋体"/>
                <w:color w:val="auto"/>
                <w:sz w:val="24"/>
                <w:szCs w:val="24"/>
                <w:highlight w:val="none"/>
              </w:rPr>
              <w:t>)</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未纳入原采购需求内，但投标人承诺能够额外提供的增值服务、保障承诺、延长质保、免费服务等，每项加</w:t>
            </w:r>
            <w:r>
              <w:rPr>
                <w:rFonts w:ascii="宋体" w:hAnsi="宋体" w:cs="宋体"/>
                <w:color w:val="auto"/>
                <w:sz w:val="24"/>
                <w:szCs w:val="24"/>
                <w:highlight w:val="none"/>
              </w:rPr>
              <w:t>0.5</w:t>
            </w:r>
            <w:r>
              <w:rPr>
                <w:rFonts w:hint="eastAsia" w:ascii="宋体" w:hAnsi="宋体" w:cs="宋体"/>
                <w:color w:val="auto"/>
                <w:sz w:val="24"/>
                <w:szCs w:val="24"/>
                <w:highlight w:val="none"/>
              </w:rPr>
              <w:t>分，加满为止，无增值服务</w:t>
            </w:r>
            <w:r>
              <w:rPr>
                <w:rFonts w:hint="eastAsia" w:ascii="宋体" w:hAnsi="宋体" w:cs="宋体"/>
                <w:color w:val="auto"/>
                <w:sz w:val="24"/>
                <w:szCs w:val="24"/>
                <w:highlight w:val="none"/>
                <w:lang w:eastAsia="zh-CN"/>
              </w:rPr>
              <w:t>不</w:t>
            </w:r>
            <w:r>
              <w:rPr>
                <w:rFonts w:hint="eastAsia" w:ascii="宋体" w:hAnsi="宋体" w:cs="宋体"/>
                <w:color w:val="auto"/>
                <w:sz w:val="24"/>
                <w:szCs w:val="24"/>
                <w:highlight w:val="none"/>
              </w:rPr>
              <w:t>得分</w:t>
            </w:r>
            <w:r>
              <w:rPr>
                <w:rFonts w:hint="eastAsia" w:ascii="宋体" w:hAnsi="宋体" w:cs="宋体"/>
                <w:color w:val="auto"/>
                <w:sz w:val="24"/>
                <w:szCs w:val="24"/>
                <w:highlight w:val="none"/>
                <w:lang w:eastAsia="zh-CN"/>
              </w:rPr>
              <w:t>。</w:t>
            </w:r>
          </w:p>
        </w:tc>
      </w:tr>
      <w:tr>
        <w:tblPrEx>
          <w:tblCellMar>
            <w:top w:w="0" w:type="dxa"/>
            <w:left w:w="0" w:type="dxa"/>
            <w:bottom w:w="0" w:type="dxa"/>
            <w:right w:w="0" w:type="dxa"/>
          </w:tblCellMar>
        </w:tblPrEx>
        <w:trPr>
          <w:trHeight w:val="1212" w:hRule="exact"/>
          <w:jc w:val="center"/>
        </w:trPr>
        <w:tc>
          <w:tcPr>
            <w:tcW w:w="995" w:type="dxa"/>
            <w:vMerge w:val="restart"/>
            <w:tcBorders>
              <w:top w:val="single" w:color="000000" w:sz="4" w:space="0"/>
              <w:left w:val="single" w:color="000000" w:sz="4" w:space="0"/>
              <w:right w:val="single" w:color="000000" w:sz="4" w:space="0"/>
            </w:tcBorders>
            <w:noWrap w:val="0"/>
            <w:vAlign w:val="center"/>
          </w:tcPr>
          <w:p>
            <w:pPr>
              <w:pStyle w:val="26"/>
              <w:ind w:firstLine="480" w:firstLineChars="200"/>
              <w:jc w:val="center"/>
              <w:rPr>
                <w:rFonts w:ascii="宋体" w:hAnsi="宋体" w:cs="宋体"/>
                <w:color w:val="auto"/>
                <w:sz w:val="24"/>
                <w:szCs w:val="24"/>
                <w:highlight w:val="none"/>
              </w:rPr>
            </w:pPr>
          </w:p>
          <w:p>
            <w:pPr>
              <w:pStyle w:val="26"/>
              <w:jc w:val="center"/>
              <w:rPr>
                <w:rFonts w:ascii="宋体" w:hAnsi="宋体" w:cs="宋体"/>
                <w:color w:val="auto"/>
                <w:sz w:val="24"/>
                <w:szCs w:val="24"/>
                <w:highlight w:val="none"/>
              </w:rPr>
            </w:pPr>
          </w:p>
          <w:p>
            <w:pPr>
              <w:pStyle w:val="26"/>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评分标准</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color w:val="auto"/>
                <w:sz w:val="24"/>
                <w:szCs w:val="24"/>
                <w:highlight w:val="none"/>
              </w:rPr>
            </w:pPr>
            <w:r>
              <w:rPr>
                <w:rFonts w:hint="eastAsia" w:ascii="宋体" w:hAnsi="宋体" w:cs="宋体"/>
                <w:color w:val="auto"/>
                <w:sz w:val="24"/>
                <w:szCs w:val="24"/>
                <w:highlight w:val="none"/>
              </w:rPr>
              <w:t>评标基准价计算方法</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pPr>
              <w:pStyle w:val="26"/>
              <w:ind w:left="105" w:leftChars="50"/>
              <w:jc w:val="center"/>
              <w:rPr>
                <w:rFonts w:ascii="宋体" w:hAnsi="宋体" w:cs="宋体"/>
                <w:color w:val="auto"/>
                <w:sz w:val="24"/>
                <w:szCs w:val="24"/>
                <w:highlight w:val="none"/>
              </w:rPr>
            </w:pPr>
            <w:r>
              <w:rPr>
                <w:rFonts w:hint="eastAsia" w:ascii="宋体" w:hAnsi="宋体" w:cs="宋体"/>
                <w:color w:val="auto"/>
                <w:sz w:val="24"/>
                <w:szCs w:val="24"/>
                <w:highlight w:val="none"/>
              </w:rPr>
              <w:t>采用低价优先法计算，即满足招标文件要求且投标价格最低的投标报价为评标基准价，其价格为满分（保留小数点后两位）</w:t>
            </w:r>
          </w:p>
        </w:tc>
      </w:tr>
      <w:tr>
        <w:tblPrEx>
          <w:tblCellMar>
            <w:top w:w="0" w:type="dxa"/>
            <w:left w:w="0" w:type="dxa"/>
            <w:bottom w:w="0" w:type="dxa"/>
            <w:right w:w="0" w:type="dxa"/>
          </w:tblCellMar>
        </w:tblPrEx>
        <w:trPr>
          <w:trHeight w:val="2287" w:hRule="exact"/>
          <w:jc w:val="center"/>
        </w:trPr>
        <w:tc>
          <w:tcPr>
            <w:tcW w:w="995" w:type="dxa"/>
            <w:vMerge w:val="continue"/>
            <w:tcBorders>
              <w:left w:val="single" w:color="000000" w:sz="4" w:space="0"/>
              <w:bottom w:val="single" w:color="000000" w:sz="4" w:space="0"/>
              <w:right w:val="single" w:color="000000" w:sz="4" w:space="0"/>
            </w:tcBorders>
            <w:noWrap w:val="0"/>
            <w:vAlign w:val="center"/>
          </w:tcPr>
          <w:p>
            <w:pPr>
              <w:ind w:firstLine="480" w:firstLineChars="200"/>
              <w:jc w:val="center"/>
              <w:rPr>
                <w:rFonts w:ascii="宋体" w:hAnsi="宋体" w:cs="宋体"/>
                <w:color w:val="auto"/>
                <w:sz w:val="24"/>
                <w:szCs w:val="24"/>
                <w:highlight w:val="none"/>
              </w:rPr>
            </w:pPr>
          </w:p>
        </w:tc>
        <w:tc>
          <w:tcPr>
            <w:tcW w:w="3147" w:type="dxa"/>
            <w:tcBorders>
              <w:top w:val="single" w:color="000000" w:sz="4" w:space="0"/>
              <w:left w:val="single" w:color="000000" w:sz="4" w:space="0"/>
              <w:bottom w:val="single" w:color="000000" w:sz="4" w:space="0"/>
              <w:right w:val="single" w:color="000000" w:sz="4" w:space="0"/>
            </w:tcBorders>
            <w:noWrap w:val="0"/>
            <w:vAlign w:val="center"/>
          </w:tcPr>
          <w:p>
            <w:pPr>
              <w:pStyle w:val="26"/>
              <w:ind w:left="105" w:leftChars="50"/>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投标报价得分计算公式</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pPr>
              <w:pStyle w:val="26"/>
              <w:ind w:left="105" w:leftChars="50"/>
              <w:jc w:val="left"/>
              <w:rPr>
                <w:rFonts w:ascii="宋体" w:hAnsi="宋体" w:cs="宋体"/>
                <w:color w:val="auto"/>
                <w:sz w:val="24"/>
                <w:szCs w:val="24"/>
                <w:highlight w:val="none"/>
              </w:rPr>
            </w:pPr>
            <w:r>
              <w:rPr>
                <w:rFonts w:hint="eastAsia" w:ascii="宋体" w:hAnsi="宋体" w:cs="宋体"/>
                <w:color w:val="auto"/>
                <w:sz w:val="24"/>
                <w:szCs w:val="24"/>
                <w:highlight w:val="none"/>
              </w:rPr>
              <w:t>报价得分</w:t>
            </w:r>
            <w:r>
              <w:rPr>
                <w:rFonts w:ascii="宋体" w:hAnsi="宋体" w:cs="宋体"/>
                <w:color w:val="auto"/>
                <w:sz w:val="24"/>
                <w:szCs w:val="24"/>
                <w:highlight w:val="none"/>
              </w:rPr>
              <w:t>=(</w:t>
            </w:r>
            <w:r>
              <w:rPr>
                <w:rFonts w:hint="eastAsia" w:ascii="宋体" w:hAnsi="宋体" w:cs="宋体"/>
                <w:color w:val="auto"/>
                <w:sz w:val="24"/>
                <w:szCs w:val="24"/>
                <w:highlight w:val="none"/>
              </w:rPr>
              <w:t>评标基准价</w:t>
            </w:r>
            <w:r>
              <w:rPr>
                <w:rFonts w:ascii="宋体" w:hAnsi="宋体" w:cs="宋体"/>
                <w:color w:val="auto"/>
                <w:sz w:val="24"/>
                <w:szCs w:val="24"/>
                <w:highlight w:val="none"/>
              </w:rPr>
              <w:t>/</w:t>
            </w:r>
            <w:r>
              <w:rPr>
                <w:rFonts w:hint="eastAsia" w:ascii="宋体" w:hAnsi="宋体" w:cs="宋体"/>
                <w:color w:val="auto"/>
                <w:sz w:val="24"/>
                <w:szCs w:val="24"/>
                <w:highlight w:val="none"/>
              </w:rPr>
              <w:t>报价</w:t>
            </w:r>
            <w:r>
              <w:rPr>
                <w:rFonts w:ascii="宋体" w:hAnsi="宋体" w:cs="宋体"/>
                <w:color w:val="auto"/>
                <w:sz w:val="24"/>
                <w:szCs w:val="24"/>
                <w:highlight w:val="none"/>
              </w:rPr>
              <w:t>)</w:t>
            </w:r>
            <w:r>
              <w:rPr>
                <w:rFonts w:hint="eastAsia" w:ascii="宋体" w:hAnsi="宋体" w:cs="宋体"/>
                <w:color w:val="auto"/>
                <w:sz w:val="24"/>
                <w:szCs w:val="24"/>
                <w:highlight w:val="none"/>
              </w:rPr>
              <w:t>×</w:t>
            </w:r>
            <w:r>
              <w:rPr>
                <w:rFonts w:ascii="宋体" w:hAnsi="宋体" w:cs="宋体"/>
                <w:color w:val="auto"/>
                <w:sz w:val="24"/>
                <w:szCs w:val="24"/>
                <w:highlight w:val="none"/>
              </w:rPr>
              <w:t>30%</w:t>
            </w:r>
            <w:r>
              <w:rPr>
                <w:rFonts w:hint="eastAsia" w:ascii="宋体" w:hAnsi="宋体" w:cs="宋体"/>
                <w:color w:val="auto"/>
                <w:sz w:val="24"/>
                <w:szCs w:val="24"/>
                <w:highlight w:val="none"/>
              </w:rPr>
              <w:t>×</w:t>
            </w:r>
            <w:r>
              <w:rPr>
                <w:rFonts w:ascii="宋体" w:hAnsi="宋体" w:cs="宋体"/>
                <w:color w:val="auto"/>
                <w:sz w:val="24"/>
                <w:szCs w:val="24"/>
                <w:highlight w:val="none"/>
              </w:rPr>
              <w:t>100</w:t>
            </w:r>
          </w:p>
          <w:p>
            <w:pPr>
              <w:pStyle w:val="26"/>
              <w:ind w:left="105" w:leftChars="50"/>
              <w:jc w:val="center"/>
              <w:rPr>
                <w:rFonts w:hint="eastAsia" w:asciiTheme="minorEastAsia" w:hAnsiTheme="minorEastAsia" w:eastAsiaTheme="minorEastAsia" w:cstheme="minorEastAsia"/>
                <w:bCs/>
                <w:color w:val="000000"/>
                <w:kern w:val="0"/>
                <w:sz w:val="24"/>
                <w:szCs w:val="24"/>
                <w:highlight w:val="none"/>
                <w:lang w:bidi="ar"/>
              </w:rPr>
            </w:pPr>
            <w:r>
              <w:rPr>
                <w:rFonts w:hint="eastAsia" w:asciiTheme="minorEastAsia" w:hAnsiTheme="minorEastAsia" w:eastAsiaTheme="minorEastAsia" w:cstheme="minorEastAsia"/>
                <w:bCs/>
                <w:color w:val="000000"/>
                <w:kern w:val="0"/>
                <w:sz w:val="24"/>
                <w:szCs w:val="24"/>
                <w:highlight w:val="none"/>
                <w:lang w:bidi="ar"/>
              </w:rPr>
              <w:t>最低报价不是中标的唯一依据。评审时小型和微型企业产品享受6%的价格折扣。监狱企业视同小型、微型企</w:t>
            </w:r>
          </w:p>
          <w:p>
            <w:pPr>
              <w:pStyle w:val="26"/>
              <w:ind w:left="105" w:leftChars="50"/>
              <w:jc w:val="both"/>
              <w:rPr>
                <w:rFonts w:ascii="宋体" w:hAnsi="宋体" w:cs="宋体"/>
                <w:color w:val="auto"/>
                <w:sz w:val="24"/>
                <w:szCs w:val="24"/>
                <w:highlight w:val="none"/>
              </w:rPr>
            </w:pPr>
            <w:r>
              <w:rPr>
                <w:rFonts w:hint="eastAsia" w:asciiTheme="minorEastAsia" w:hAnsiTheme="minorEastAsia" w:eastAsiaTheme="minorEastAsia" w:cstheme="minorEastAsia"/>
                <w:bCs/>
                <w:color w:val="000000"/>
                <w:kern w:val="0"/>
                <w:sz w:val="24"/>
                <w:szCs w:val="24"/>
                <w:highlight w:val="none"/>
                <w:lang w:bidi="ar"/>
              </w:rPr>
              <w:t>业。残疾人福利性单位视同小型、微型企业。不重复享受</w:t>
            </w:r>
          </w:p>
        </w:tc>
      </w:tr>
    </w:tbl>
    <w:p>
      <w:pPr>
        <w:spacing w:line="400" w:lineRule="atLeast"/>
        <w:ind w:left="480" w:hanging="480" w:hangingChars="200"/>
        <w:rPr>
          <w:rFonts w:ascii="宋体" w:hAnsi="宋体"/>
          <w:sz w:val="24"/>
          <w:szCs w:val="24"/>
          <w:highlight w:val="none"/>
          <w:shd w:val="clear" w:color="auto" w:fill="FFFFFF"/>
        </w:rPr>
      </w:pPr>
      <w:r>
        <w:rPr>
          <w:rFonts w:hint="eastAsia" w:ascii="宋体" w:hAnsi="宋体" w:cs="Arial"/>
          <w:bCs/>
          <w:sz w:val="24"/>
          <w:highlight w:val="none"/>
        </w:rPr>
        <w:t>26.</w:t>
      </w:r>
      <w:r>
        <w:rPr>
          <w:rFonts w:hint="eastAsia" w:ascii="宋体" w:hAnsi="宋体" w:cs="Arial"/>
          <w:bCs/>
          <w:sz w:val="24"/>
          <w:highlight w:val="none"/>
          <w:lang w:val="en-US" w:eastAsia="zh-CN"/>
        </w:rPr>
        <w:t>6</w:t>
      </w:r>
      <w:r>
        <w:rPr>
          <w:rFonts w:hint="eastAsia" w:ascii="宋体" w:hAnsi="宋体" w:cs="宋体"/>
          <w:bCs/>
          <w:sz w:val="24"/>
          <w:highlight w:val="none"/>
        </w:rPr>
        <w:t>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spacing w:line="400" w:lineRule="atLeast"/>
        <w:ind w:left="480" w:hanging="480" w:hangingChars="200"/>
        <w:rPr>
          <w:rFonts w:hint="eastAsia" w:ascii="宋体" w:hAnsi="宋体" w:cs="Arial"/>
          <w:bCs/>
          <w:sz w:val="24"/>
          <w:highlight w:val="none"/>
        </w:rPr>
      </w:pPr>
      <w:r>
        <w:rPr>
          <w:rFonts w:hint="eastAsia" w:ascii="宋体" w:hAnsi="宋体" w:cs="Arial"/>
          <w:bCs/>
          <w:sz w:val="24"/>
          <w:highlight w:val="none"/>
        </w:rPr>
        <w:t>26.</w:t>
      </w:r>
      <w:r>
        <w:rPr>
          <w:rFonts w:hint="eastAsia" w:ascii="宋体" w:hAnsi="宋体" w:cs="Arial"/>
          <w:bCs/>
          <w:sz w:val="24"/>
          <w:highlight w:val="none"/>
          <w:lang w:val="en-US" w:eastAsia="zh-CN"/>
        </w:rPr>
        <w:t>7</w:t>
      </w:r>
      <w:r>
        <w:rPr>
          <w:rFonts w:hint="eastAsia" w:ascii="宋体" w:hAnsi="宋体" w:cs="Arial"/>
          <w:bCs/>
          <w:sz w:val="24"/>
          <w:highlight w:val="none"/>
        </w:rPr>
        <w:t>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400" w:lineRule="atLeast"/>
        <w:rPr>
          <w:rFonts w:ascii="宋体" w:hAnsi="宋体" w:cs="Arial"/>
          <w:sz w:val="24"/>
          <w:highlight w:val="none"/>
        </w:rPr>
      </w:pPr>
      <w:r>
        <w:rPr>
          <w:rFonts w:ascii="宋体" w:hAnsi="宋体" w:cs="Arial"/>
          <w:sz w:val="24"/>
          <w:highlight w:val="none"/>
        </w:rPr>
        <w:t>27．</w:t>
      </w:r>
      <w:r>
        <w:rPr>
          <w:rFonts w:hint="eastAsia" w:ascii="宋体" w:hAnsi="宋体" w:cs="Arial"/>
          <w:sz w:val="24"/>
          <w:highlight w:val="none"/>
        </w:rPr>
        <w:t>磋商</w:t>
      </w:r>
      <w:r>
        <w:rPr>
          <w:rFonts w:ascii="宋体" w:hAnsi="宋体" w:cs="Arial"/>
          <w:sz w:val="24"/>
          <w:highlight w:val="none"/>
        </w:rPr>
        <w:t>过程的保密性</w:t>
      </w:r>
    </w:p>
    <w:p>
      <w:pPr>
        <w:spacing w:line="400" w:lineRule="atLeast"/>
        <w:ind w:left="552" w:hanging="552" w:hangingChars="230"/>
        <w:rPr>
          <w:rFonts w:ascii="宋体" w:hAnsi="宋体" w:cs="Arial"/>
          <w:sz w:val="24"/>
          <w:highlight w:val="none"/>
        </w:rPr>
      </w:pPr>
      <w:r>
        <w:rPr>
          <w:rFonts w:ascii="宋体" w:hAnsi="宋体" w:cs="Arial"/>
          <w:sz w:val="24"/>
          <w:highlight w:val="none"/>
        </w:rPr>
        <w:t xml:space="preserve">27.1 </w:t>
      </w:r>
      <w:r>
        <w:rPr>
          <w:rFonts w:hint="eastAsia" w:ascii="宋体" w:hAnsi="宋体" w:cs="Arial"/>
          <w:sz w:val="24"/>
          <w:highlight w:val="none"/>
        </w:rPr>
        <w:t>磋商</w:t>
      </w:r>
      <w:r>
        <w:rPr>
          <w:rFonts w:ascii="宋体" w:hAnsi="宋体" w:cs="Arial"/>
          <w:sz w:val="24"/>
          <w:highlight w:val="none"/>
        </w:rPr>
        <w:t>后，直到授予合同为止，凡是属于审查、澄清、评价和比较的有关资料以及授</w:t>
      </w:r>
      <w:r>
        <w:rPr>
          <w:rFonts w:hint="eastAsia" w:ascii="宋体" w:hAnsi="宋体" w:cs="Arial"/>
          <w:sz w:val="24"/>
          <w:highlight w:val="none"/>
        </w:rPr>
        <w:t>予成交方的</w:t>
      </w:r>
      <w:r>
        <w:rPr>
          <w:rFonts w:ascii="宋体" w:hAnsi="宋体" w:cs="Arial"/>
          <w:sz w:val="24"/>
          <w:highlight w:val="none"/>
        </w:rPr>
        <w:t>建议等</w:t>
      </w:r>
      <w:r>
        <w:rPr>
          <w:rFonts w:hint="eastAsia" w:ascii="宋体" w:hAnsi="宋体" w:cs="Arial"/>
          <w:sz w:val="24"/>
          <w:highlight w:val="none"/>
        </w:rPr>
        <w:t>磋商小组成员</w:t>
      </w:r>
      <w:r>
        <w:rPr>
          <w:rFonts w:ascii="宋体" w:hAnsi="宋体" w:cs="Arial"/>
          <w:sz w:val="24"/>
          <w:highlight w:val="none"/>
        </w:rPr>
        <w:t>或参与</w:t>
      </w:r>
      <w:r>
        <w:rPr>
          <w:rFonts w:hint="eastAsia" w:ascii="宋体" w:hAnsi="宋体" w:cs="Arial"/>
          <w:sz w:val="24"/>
          <w:highlight w:val="none"/>
        </w:rPr>
        <w:t>磋商</w:t>
      </w:r>
      <w:r>
        <w:rPr>
          <w:rFonts w:ascii="宋体" w:hAnsi="宋体" w:cs="Arial"/>
          <w:sz w:val="24"/>
          <w:highlight w:val="none"/>
        </w:rPr>
        <w:t>的有关工作人员均不得向供应商或其他无关的人员透露，违者给予警告、取消担任</w:t>
      </w:r>
      <w:r>
        <w:rPr>
          <w:rFonts w:hint="eastAsia" w:ascii="宋体" w:hAnsi="宋体" w:cs="Arial"/>
          <w:sz w:val="24"/>
          <w:highlight w:val="none"/>
        </w:rPr>
        <w:t>磋商小组成员</w:t>
      </w:r>
      <w:r>
        <w:rPr>
          <w:rFonts w:ascii="宋体" w:hAnsi="宋体" w:cs="Arial"/>
          <w:sz w:val="24"/>
          <w:highlight w:val="none"/>
        </w:rPr>
        <w:t>的资格，不得再参加任何项目的</w:t>
      </w:r>
      <w:r>
        <w:rPr>
          <w:rFonts w:hint="eastAsia" w:ascii="宋体" w:hAnsi="宋体" w:cs="Arial"/>
          <w:sz w:val="24"/>
          <w:highlight w:val="none"/>
        </w:rPr>
        <w:t>磋商</w:t>
      </w:r>
      <w:r>
        <w:rPr>
          <w:rFonts w:ascii="宋体" w:hAnsi="宋体" w:cs="Arial"/>
          <w:sz w:val="24"/>
          <w:highlight w:val="none"/>
        </w:rPr>
        <w:t>。</w:t>
      </w:r>
    </w:p>
    <w:p>
      <w:pPr>
        <w:spacing w:line="400" w:lineRule="atLeast"/>
        <w:ind w:left="552" w:hanging="552" w:hangingChars="230"/>
        <w:rPr>
          <w:rFonts w:ascii="宋体" w:hAnsi="宋体" w:cs="Arial"/>
          <w:sz w:val="24"/>
          <w:highlight w:val="none"/>
        </w:rPr>
      </w:pPr>
      <w:r>
        <w:rPr>
          <w:rFonts w:ascii="宋体" w:hAnsi="宋体" w:cs="Arial"/>
          <w:sz w:val="24"/>
          <w:highlight w:val="none"/>
        </w:rPr>
        <w:t>27.2 供应商在</w:t>
      </w:r>
      <w:r>
        <w:rPr>
          <w:rFonts w:hint="eastAsia" w:ascii="宋体" w:hAnsi="宋体" w:cs="Arial"/>
          <w:sz w:val="24"/>
          <w:highlight w:val="none"/>
        </w:rPr>
        <w:t>磋商</w:t>
      </w:r>
      <w:r>
        <w:rPr>
          <w:rFonts w:ascii="宋体" w:hAnsi="宋体" w:cs="Arial"/>
          <w:sz w:val="24"/>
          <w:highlight w:val="none"/>
        </w:rPr>
        <w:t>过程中，所进行的力图影响</w:t>
      </w:r>
      <w:r>
        <w:rPr>
          <w:rFonts w:hint="eastAsia" w:ascii="宋体" w:hAnsi="宋体" w:cs="Arial"/>
          <w:sz w:val="24"/>
          <w:highlight w:val="none"/>
        </w:rPr>
        <w:t>磋商</w:t>
      </w:r>
      <w:r>
        <w:rPr>
          <w:rFonts w:ascii="宋体" w:hAnsi="宋体" w:cs="Arial"/>
          <w:sz w:val="24"/>
          <w:highlight w:val="none"/>
        </w:rPr>
        <w:t>结果的</w:t>
      </w:r>
      <w:r>
        <w:rPr>
          <w:rFonts w:hint="eastAsia" w:ascii="宋体" w:hAnsi="宋体" w:cs="Arial"/>
          <w:sz w:val="24"/>
          <w:highlight w:val="none"/>
        </w:rPr>
        <w:t>，</w:t>
      </w:r>
      <w:r>
        <w:rPr>
          <w:rFonts w:ascii="宋体" w:hAnsi="宋体" w:cs="Arial"/>
          <w:sz w:val="24"/>
          <w:highlight w:val="none"/>
        </w:rPr>
        <w:t>不符合《政府采购法》及本次</w:t>
      </w:r>
      <w:r>
        <w:rPr>
          <w:rFonts w:hint="eastAsia" w:ascii="宋体" w:hAnsi="宋体" w:cs="Arial"/>
          <w:sz w:val="24"/>
          <w:highlight w:val="none"/>
        </w:rPr>
        <w:t>磋商</w:t>
      </w:r>
      <w:r>
        <w:rPr>
          <w:rFonts w:ascii="宋体" w:hAnsi="宋体" w:cs="Arial"/>
          <w:sz w:val="24"/>
          <w:highlight w:val="none"/>
        </w:rPr>
        <w:t>中有关规定的活动，将被取消其</w:t>
      </w:r>
      <w:r>
        <w:rPr>
          <w:rFonts w:hint="eastAsia" w:ascii="宋体" w:hAnsi="宋体" w:cs="Arial"/>
          <w:sz w:val="24"/>
          <w:highlight w:val="none"/>
        </w:rPr>
        <w:t>磋商</w:t>
      </w:r>
      <w:r>
        <w:rPr>
          <w:rFonts w:ascii="宋体" w:hAnsi="宋体" w:cs="Arial"/>
          <w:sz w:val="24"/>
          <w:highlight w:val="none"/>
        </w:rPr>
        <w:t>资格。</w:t>
      </w:r>
    </w:p>
    <w:p>
      <w:pPr>
        <w:pStyle w:val="4"/>
        <w:spacing w:before="100" w:beforeAutospacing="1" w:after="100" w:afterAutospacing="1" w:line="400" w:lineRule="atLeast"/>
        <w:jc w:val="center"/>
        <w:outlineLvl w:val="0"/>
        <w:rPr>
          <w:rFonts w:ascii="宋体" w:hAnsi="宋体" w:eastAsia="宋体" w:cs="Arial"/>
          <w:sz w:val="28"/>
          <w:szCs w:val="28"/>
          <w:highlight w:val="none"/>
        </w:rPr>
      </w:pPr>
      <w:bookmarkStart w:id="79" w:name="_Toc8827"/>
      <w:bookmarkStart w:id="80" w:name="_Toc349637925"/>
      <w:bookmarkStart w:id="81" w:name="_Toc298240410"/>
      <w:bookmarkStart w:id="82" w:name="_Toc349573126"/>
      <w:bookmarkStart w:id="83" w:name="_Toc471489758"/>
      <w:bookmarkStart w:id="84" w:name="_Toc516489111"/>
      <w:bookmarkStart w:id="85" w:name="_Toc267301287"/>
      <w:r>
        <w:rPr>
          <w:rFonts w:ascii="宋体" w:hAnsi="宋体" w:eastAsia="宋体" w:cs="Arial"/>
          <w:sz w:val="28"/>
          <w:szCs w:val="28"/>
          <w:highlight w:val="none"/>
        </w:rPr>
        <w:t>F  授予合同</w:t>
      </w:r>
      <w:bookmarkEnd w:id="79"/>
      <w:bookmarkEnd w:id="80"/>
      <w:bookmarkEnd w:id="81"/>
      <w:bookmarkEnd w:id="82"/>
      <w:bookmarkEnd w:id="83"/>
      <w:bookmarkEnd w:id="84"/>
      <w:bookmarkEnd w:id="85"/>
    </w:p>
    <w:p>
      <w:pPr>
        <w:spacing w:line="400" w:lineRule="atLeast"/>
        <w:rPr>
          <w:rFonts w:ascii="宋体" w:hAnsi="宋体" w:cs="Arial"/>
          <w:sz w:val="24"/>
          <w:highlight w:val="none"/>
        </w:rPr>
      </w:pPr>
      <w:r>
        <w:rPr>
          <w:rFonts w:ascii="宋体" w:hAnsi="宋体" w:cs="Arial"/>
          <w:sz w:val="24"/>
          <w:highlight w:val="none"/>
        </w:rPr>
        <w:t>28．合同授予标准</w:t>
      </w:r>
    </w:p>
    <w:p>
      <w:pPr>
        <w:spacing w:line="400" w:lineRule="atLeast"/>
        <w:ind w:left="600" w:hanging="600" w:hangingChars="250"/>
        <w:rPr>
          <w:rFonts w:ascii="宋体" w:hAnsi="宋体" w:cs="Arial"/>
          <w:sz w:val="24"/>
          <w:highlight w:val="none"/>
        </w:rPr>
      </w:pPr>
      <w:r>
        <w:rPr>
          <w:rFonts w:ascii="宋体" w:hAnsi="宋体" w:cs="Arial"/>
          <w:sz w:val="24"/>
          <w:highlight w:val="none"/>
        </w:rPr>
        <w:t>28.1</w:t>
      </w:r>
      <w:r>
        <w:rPr>
          <w:rFonts w:ascii="宋体" w:hAnsi="宋体" w:cs="Arial"/>
          <w:bCs/>
          <w:sz w:val="24"/>
          <w:highlight w:val="none"/>
        </w:rPr>
        <w:t>合同将授予被确定为实质上响应</w:t>
      </w:r>
      <w:r>
        <w:rPr>
          <w:rFonts w:hint="eastAsia" w:ascii="宋体" w:hAnsi="宋体" w:cs="Arial"/>
          <w:bCs/>
          <w:sz w:val="24"/>
          <w:highlight w:val="none"/>
        </w:rPr>
        <w:t>磋商</w:t>
      </w:r>
      <w:r>
        <w:rPr>
          <w:rFonts w:ascii="宋体" w:hAnsi="宋体" w:cs="Arial"/>
          <w:bCs/>
          <w:sz w:val="24"/>
          <w:highlight w:val="none"/>
        </w:rPr>
        <w:t>文件要求，</w:t>
      </w:r>
      <w:r>
        <w:rPr>
          <w:rFonts w:hint="eastAsia" w:ascii="宋体" w:hAnsi="宋体" w:cs="Arial"/>
          <w:bCs/>
          <w:sz w:val="24"/>
          <w:highlight w:val="none"/>
        </w:rPr>
        <w:t>符合采购需求、质量和服务相等且报价最低的供应商</w:t>
      </w:r>
      <w:r>
        <w:rPr>
          <w:rFonts w:ascii="宋体" w:hAnsi="宋体" w:cs="Arial"/>
          <w:sz w:val="24"/>
          <w:highlight w:val="none"/>
        </w:rPr>
        <w:t>。</w:t>
      </w:r>
    </w:p>
    <w:p>
      <w:pPr>
        <w:spacing w:line="400" w:lineRule="atLeast"/>
        <w:rPr>
          <w:rFonts w:ascii="宋体" w:hAnsi="宋体" w:cs="Arial"/>
          <w:sz w:val="24"/>
          <w:highlight w:val="none"/>
        </w:rPr>
      </w:pPr>
      <w:r>
        <w:rPr>
          <w:rFonts w:ascii="宋体" w:hAnsi="宋体" w:cs="Arial"/>
          <w:sz w:val="24"/>
          <w:highlight w:val="none"/>
        </w:rPr>
        <w:t>28.2 最低</w:t>
      </w:r>
      <w:r>
        <w:rPr>
          <w:rFonts w:hint="eastAsia" w:ascii="宋体" w:hAnsi="宋体" w:cs="Arial"/>
          <w:sz w:val="24"/>
          <w:highlight w:val="none"/>
        </w:rPr>
        <w:t>报</w:t>
      </w:r>
      <w:r>
        <w:rPr>
          <w:rFonts w:ascii="宋体" w:hAnsi="宋体" w:cs="Arial"/>
          <w:sz w:val="24"/>
          <w:highlight w:val="none"/>
        </w:rPr>
        <w:t>价不一定是被授予合同的保证。</w:t>
      </w:r>
    </w:p>
    <w:p>
      <w:pPr>
        <w:spacing w:line="400" w:lineRule="atLeast"/>
        <w:ind w:left="600" w:hanging="600" w:hangingChars="250"/>
        <w:rPr>
          <w:rFonts w:ascii="宋体" w:hAnsi="宋体" w:cs="Arial"/>
          <w:sz w:val="24"/>
          <w:highlight w:val="none"/>
        </w:rPr>
      </w:pPr>
      <w:r>
        <w:rPr>
          <w:rFonts w:ascii="宋体" w:hAnsi="宋体" w:cs="Arial"/>
          <w:sz w:val="24"/>
          <w:highlight w:val="none"/>
        </w:rPr>
        <w:t>28.3</w:t>
      </w:r>
      <w:r>
        <w:rPr>
          <w:rFonts w:hint="eastAsia" w:ascii="宋体" w:hAnsi="宋体" w:cs="Arial"/>
          <w:sz w:val="24"/>
          <w:highlight w:val="none"/>
        </w:rPr>
        <w:t>排名第一的成交候选人放弃中标、因不可抗力不能履行合同、不按照招标文件要求提交履约保证金，或者被查实存在影响中标结果的违法行为等情形，不符合成交条件的，采购人可以按照评标委员会提出的成交候选人名单排序依次确定其他中标候选人为成交供应商，也可以重新招标。</w:t>
      </w:r>
    </w:p>
    <w:p>
      <w:pPr>
        <w:spacing w:line="400" w:lineRule="atLeast"/>
        <w:rPr>
          <w:rFonts w:ascii="宋体" w:hAnsi="宋体" w:cs="Arial"/>
          <w:sz w:val="24"/>
          <w:highlight w:val="none"/>
        </w:rPr>
      </w:pPr>
      <w:r>
        <w:rPr>
          <w:rFonts w:ascii="宋体" w:hAnsi="宋体" w:cs="Arial"/>
          <w:sz w:val="24"/>
          <w:highlight w:val="none"/>
        </w:rPr>
        <w:t>29．接受和拒绝任何或所有</w:t>
      </w:r>
      <w:r>
        <w:rPr>
          <w:rFonts w:hint="eastAsia" w:ascii="宋体" w:hAnsi="宋体" w:cs="Arial"/>
          <w:sz w:val="24"/>
          <w:highlight w:val="none"/>
        </w:rPr>
        <w:t>磋商</w:t>
      </w:r>
      <w:r>
        <w:rPr>
          <w:rFonts w:ascii="宋体" w:hAnsi="宋体" w:cs="Arial"/>
          <w:sz w:val="24"/>
          <w:highlight w:val="none"/>
        </w:rPr>
        <w:t>的权力</w:t>
      </w:r>
    </w:p>
    <w:p>
      <w:pPr>
        <w:spacing w:line="400" w:lineRule="atLeast"/>
        <w:ind w:left="600" w:hanging="600" w:hangingChars="250"/>
        <w:rPr>
          <w:rFonts w:ascii="宋体" w:hAnsi="宋体" w:cs="Arial"/>
          <w:sz w:val="24"/>
          <w:highlight w:val="none"/>
        </w:rPr>
      </w:pPr>
      <w:r>
        <w:rPr>
          <w:rFonts w:ascii="宋体" w:hAnsi="宋体" w:cs="Arial"/>
          <w:sz w:val="24"/>
          <w:highlight w:val="none"/>
        </w:rPr>
        <w:t>29.1为维护国家利益，</w:t>
      </w:r>
      <w:r>
        <w:rPr>
          <w:rFonts w:hint="eastAsia" w:ascii="宋体" w:hAnsi="宋体" w:cs="Arial"/>
          <w:sz w:val="24"/>
          <w:highlight w:val="none"/>
        </w:rPr>
        <w:t>买方</w:t>
      </w:r>
      <w:r>
        <w:rPr>
          <w:rFonts w:ascii="宋体" w:hAnsi="宋体" w:cs="Arial"/>
          <w:sz w:val="24"/>
          <w:highlight w:val="none"/>
        </w:rPr>
        <w:t>在授予合同之前仍有选择或拒绝任何全部</w:t>
      </w:r>
      <w:r>
        <w:rPr>
          <w:rFonts w:hint="eastAsia" w:ascii="宋体" w:hAnsi="宋体" w:cs="Arial"/>
          <w:sz w:val="24"/>
          <w:highlight w:val="none"/>
        </w:rPr>
        <w:t>磋商</w:t>
      </w:r>
      <w:r>
        <w:rPr>
          <w:rFonts w:ascii="宋体" w:hAnsi="宋体" w:cs="Arial"/>
          <w:sz w:val="24"/>
          <w:highlight w:val="none"/>
        </w:rPr>
        <w:t>的权力，并对所采取的行为不作任何解释。</w:t>
      </w:r>
    </w:p>
    <w:p>
      <w:pPr>
        <w:spacing w:line="400" w:lineRule="atLeast"/>
        <w:rPr>
          <w:rFonts w:ascii="宋体" w:hAnsi="宋体" w:cs="Arial"/>
          <w:sz w:val="24"/>
          <w:highlight w:val="none"/>
        </w:rPr>
      </w:pPr>
      <w:r>
        <w:rPr>
          <w:rFonts w:ascii="宋体" w:hAnsi="宋体" w:cs="Arial"/>
          <w:sz w:val="24"/>
          <w:highlight w:val="none"/>
        </w:rPr>
        <w:t>30．成交通知书</w:t>
      </w:r>
    </w:p>
    <w:p>
      <w:pPr>
        <w:spacing w:line="400" w:lineRule="atLeast"/>
        <w:ind w:left="552" w:hanging="552" w:hangingChars="230"/>
        <w:rPr>
          <w:rFonts w:ascii="宋体" w:hAnsi="宋体" w:cs="Arial"/>
          <w:sz w:val="24"/>
          <w:highlight w:val="none"/>
        </w:rPr>
      </w:pPr>
      <w:r>
        <w:rPr>
          <w:rFonts w:ascii="宋体" w:hAnsi="宋体" w:cs="Arial"/>
          <w:sz w:val="24"/>
          <w:highlight w:val="none"/>
        </w:rPr>
        <w:t xml:space="preserve">30.1 </w:t>
      </w:r>
      <w:r>
        <w:rPr>
          <w:rFonts w:hint="eastAsia" w:ascii="宋体" w:hAnsi="宋体" w:cs="Arial"/>
          <w:sz w:val="24"/>
          <w:highlight w:val="none"/>
        </w:rPr>
        <w:t>成交公告期满后</w:t>
      </w:r>
      <w:r>
        <w:rPr>
          <w:rFonts w:ascii="宋体" w:hAnsi="宋体" w:cs="Arial"/>
          <w:sz w:val="24"/>
          <w:highlight w:val="none"/>
        </w:rPr>
        <w:t>，招标</w:t>
      </w:r>
      <w:r>
        <w:rPr>
          <w:rFonts w:hint="eastAsia" w:ascii="宋体" w:hAnsi="宋体" w:cs="Arial"/>
          <w:sz w:val="24"/>
          <w:highlight w:val="none"/>
        </w:rPr>
        <w:t>代理</w:t>
      </w:r>
      <w:r>
        <w:rPr>
          <w:rFonts w:ascii="宋体" w:hAnsi="宋体" w:cs="Arial"/>
          <w:sz w:val="24"/>
          <w:highlight w:val="none"/>
        </w:rPr>
        <w:t>机构将以书面形式发出《成交通知书》，但发出时间不超过</w:t>
      </w:r>
      <w:r>
        <w:rPr>
          <w:rFonts w:hint="eastAsia" w:ascii="宋体" w:hAnsi="宋体" w:cs="Arial"/>
          <w:sz w:val="24"/>
          <w:highlight w:val="none"/>
        </w:rPr>
        <w:t>磋商</w:t>
      </w:r>
      <w:r>
        <w:rPr>
          <w:rFonts w:ascii="宋体" w:hAnsi="宋体" w:cs="Arial"/>
          <w:sz w:val="24"/>
          <w:highlight w:val="none"/>
        </w:rPr>
        <w:t>有效期，《成交通知书》一经发出即发生法律效力。</w:t>
      </w:r>
    </w:p>
    <w:p>
      <w:pPr>
        <w:spacing w:line="400" w:lineRule="atLeast"/>
        <w:rPr>
          <w:rFonts w:ascii="宋体" w:hAnsi="宋体" w:cs="Arial"/>
          <w:sz w:val="24"/>
          <w:highlight w:val="none"/>
        </w:rPr>
      </w:pPr>
      <w:r>
        <w:rPr>
          <w:rFonts w:ascii="宋体" w:hAnsi="宋体" w:cs="Arial"/>
          <w:sz w:val="24"/>
          <w:highlight w:val="none"/>
        </w:rPr>
        <w:t>30.2 《成交通知书》将作为签订合同的依据。</w:t>
      </w:r>
    </w:p>
    <w:p>
      <w:pPr>
        <w:spacing w:line="400" w:lineRule="atLeast"/>
        <w:ind w:left="600" w:hanging="600" w:hangingChars="250"/>
        <w:rPr>
          <w:rFonts w:ascii="宋体" w:hAnsi="宋体" w:cs="Arial"/>
          <w:sz w:val="24"/>
          <w:highlight w:val="none"/>
        </w:rPr>
      </w:pPr>
      <w:r>
        <w:rPr>
          <w:rFonts w:ascii="宋体" w:hAnsi="宋体" w:cs="Arial"/>
          <w:sz w:val="24"/>
          <w:highlight w:val="none"/>
        </w:rPr>
        <w:t>30.3 招标</w:t>
      </w:r>
      <w:r>
        <w:rPr>
          <w:rFonts w:hint="eastAsia" w:ascii="宋体" w:hAnsi="宋体" w:cs="Arial"/>
          <w:sz w:val="24"/>
          <w:highlight w:val="none"/>
        </w:rPr>
        <w:t>代理</w:t>
      </w:r>
      <w:r>
        <w:rPr>
          <w:rFonts w:ascii="宋体" w:hAnsi="宋体" w:cs="Arial"/>
          <w:sz w:val="24"/>
          <w:highlight w:val="none"/>
        </w:rPr>
        <w:t>机构将在成交方按规定签订合同并提交履约保证金（如适用）后退还其</w:t>
      </w:r>
      <w:r>
        <w:rPr>
          <w:rFonts w:hint="eastAsia" w:ascii="宋体" w:hAnsi="宋体" w:cs="Arial"/>
          <w:sz w:val="24"/>
          <w:highlight w:val="none"/>
        </w:rPr>
        <w:t>磋商</w:t>
      </w:r>
      <w:r>
        <w:rPr>
          <w:rFonts w:ascii="宋体" w:hAnsi="宋体" w:cs="Arial"/>
          <w:sz w:val="24"/>
          <w:highlight w:val="none"/>
        </w:rPr>
        <w:t>保证金。</w:t>
      </w:r>
    </w:p>
    <w:p>
      <w:pPr>
        <w:spacing w:line="400" w:lineRule="atLeast"/>
        <w:rPr>
          <w:rFonts w:ascii="宋体" w:hAnsi="宋体" w:cs="Arial"/>
          <w:sz w:val="24"/>
          <w:highlight w:val="none"/>
        </w:rPr>
      </w:pPr>
      <w:r>
        <w:rPr>
          <w:rFonts w:ascii="宋体" w:hAnsi="宋体" w:cs="Arial"/>
          <w:sz w:val="24"/>
          <w:highlight w:val="none"/>
        </w:rPr>
        <w:t>31．签订合同</w:t>
      </w:r>
    </w:p>
    <w:p>
      <w:pPr>
        <w:spacing w:line="400" w:lineRule="atLeast"/>
        <w:ind w:left="540" w:hanging="540" w:hangingChars="225"/>
        <w:rPr>
          <w:rFonts w:ascii="宋体" w:hAnsi="宋体" w:cs="Arial"/>
          <w:sz w:val="24"/>
          <w:highlight w:val="none"/>
        </w:rPr>
      </w:pPr>
      <w:r>
        <w:rPr>
          <w:rFonts w:ascii="宋体" w:hAnsi="宋体" w:cs="Arial"/>
          <w:sz w:val="24"/>
          <w:highlight w:val="none"/>
        </w:rPr>
        <w:t>31.1 供应商收到《成交通知书》后，按《成交通知书》中规定的时间地点与买方签订合同。买方和成交方不得再订立背离合同实质性内容的其他协议。</w:t>
      </w:r>
    </w:p>
    <w:p>
      <w:pPr>
        <w:spacing w:line="400" w:lineRule="atLeast"/>
        <w:rPr>
          <w:rFonts w:ascii="宋体" w:hAnsi="宋体" w:cs="Arial"/>
          <w:sz w:val="24"/>
          <w:highlight w:val="none"/>
        </w:rPr>
      </w:pPr>
      <w:r>
        <w:rPr>
          <w:rFonts w:ascii="宋体" w:hAnsi="宋体" w:cs="Arial"/>
          <w:sz w:val="24"/>
          <w:highlight w:val="none"/>
        </w:rPr>
        <w:t>31.2如成交方拒签合同，则按违约处理。招标</w:t>
      </w:r>
      <w:r>
        <w:rPr>
          <w:rFonts w:hint="eastAsia" w:ascii="宋体" w:hAnsi="宋体" w:cs="Arial"/>
          <w:sz w:val="24"/>
          <w:highlight w:val="none"/>
        </w:rPr>
        <w:t>代理</w:t>
      </w:r>
      <w:r>
        <w:rPr>
          <w:rFonts w:ascii="宋体" w:hAnsi="宋体" w:cs="Arial"/>
          <w:sz w:val="24"/>
          <w:highlight w:val="none"/>
        </w:rPr>
        <w:t>机构没收其</w:t>
      </w:r>
      <w:r>
        <w:rPr>
          <w:rFonts w:hint="eastAsia" w:ascii="宋体" w:hAnsi="宋体" w:cs="Arial"/>
          <w:sz w:val="24"/>
          <w:highlight w:val="none"/>
        </w:rPr>
        <w:t>磋商</w:t>
      </w:r>
      <w:r>
        <w:rPr>
          <w:rFonts w:ascii="宋体" w:hAnsi="宋体" w:cs="Arial"/>
          <w:sz w:val="24"/>
          <w:highlight w:val="none"/>
        </w:rPr>
        <w:t>保证金。</w:t>
      </w:r>
    </w:p>
    <w:p>
      <w:pPr>
        <w:spacing w:line="400" w:lineRule="atLeast"/>
        <w:rPr>
          <w:rFonts w:ascii="宋体" w:hAnsi="宋体" w:cs="Arial"/>
          <w:sz w:val="24"/>
          <w:highlight w:val="none"/>
        </w:rPr>
      </w:pPr>
      <w:r>
        <w:rPr>
          <w:rFonts w:ascii="宋体" w:hAnsi="宋体" w:cs="Arial"/>
          <w:sz w:val="24"/>
          <w:highlight w:val="none"/>
        </w:rPr>
        <w:t>31.3</w:t>
      </w:r>
      <w:r>
        <w:rPr>
          <w:rFonts w:hint="eastAsia" w:ascii="宋体" w:hAnsi="宋体" w:cs="Arial"/>
          <w:sz w:val="24"/>
          <w:highlight w:val="none"/>
        </w:rPr>
        <w:t>磋商</w:t>
      </w:r>
      <w:r>
        <w:rPr>
          <w:rFonts w:ascii="宋体" w:hAnsi="宋体" w:cs="Arial"/>
          <w:sz w:val="24"/>
          <w:highlight w:val="none"/>
        </w:rPr>
        <w:t>文件、成交方的</w:t>
      </w:r>
      <w:r>
        <w:rPr>
          <w:rFonts w:hint="eastAsia" w:ascii="宋体" w:hAnsi="宋体" w:cs="Arial"/>
          <w:sz w:val="24"/>
          <w:highlight w:val="none"/>
        </w:rPr>
        <w:t>磋商</w:t>
      </w:r>
      <w:r>
        <w:rPr>
          <w:rFonts w:ascii="宋体" w:hAnsi="宋体" w:cs="Arial"/>
          <w:sz w:val="24"/>
          <w:highlight w:val="none"/>
        </w:rPr>
        <w:t>响应文件及其澄清文件等，均为签订经济合同的依据。</w:t>
      </w:r>
    </w:p>
    <w:p>
      <w:pPr>
        <w:spacing w:line="400" w:lineRule="atLeast"/>
        <w:rPr>
          <w:rFonts w:ascii="宋体" w:hAnsi="宋体" w:cs="Arial"/>
          <w:sz w:val="24"/>
          <w:highlight w:val="none"/>
        </w:rPr>
      </w:pPr>
      <w:r>
        <w:rPr>
          <w:rFonts w:ascii="宋体" w:hAnsi="宋体" w:cs="Arial"/>
          <w:sz w:val="24"/>
          <w:highlight w:val="none"/>
        </w:rPr>
        <w:t>32．履约保证金（如适用）</w:t>
      </w:r>
    </w:p>
    <w:p>
      <w:pPr>
        <w:spacing w:line="400" w:lineRule="atLeast"/>
        <w:ind w:left="720" w:hanging="720"/>
        <w:rPr>
          <w:rFonts w:ascii="宋体" w:hAnsi="宋体" w:cs="Arial"/>
          <w:sz w:val="24"/>
          <w:highlight w:val="none"/>
        </w:rPr>
      </w:pPr>
      <w:r>
        <w:rPr>
          <w:rFonts w:ascii="宋体" w:hAnsi="宋体" w:cs="Arial"/>
          <w:sz w:val="24"/>
          <w:highlight w:val="none"/>
        </w:rPr>
        <w:t>32.1成交方应按合同规定的方式、时间和金额向买方提交履约保证金。</w:t>
      </w:r>
    </w:p>
    <w:p>
      <w:pPr>
        <w:spacing w:line="400" w:lineRule="atLeast"/>
        <w:rPr>
          <w:rFonts w:ascii="宋体" w:hAnsi="宋体" w:cs="Arial"/>
          <w:sz w:val="24"/>
          <w:highlight w:val="none"/>
        </w:rPr>
      </w:pPr>
      <w:r>
        <w:rPr>
          <w:rFonts w:ascii="宋体" w:hAnsi="宋体" w:cs="Arial"/>
          <w:sz w:val="24"/>
          <w:highlight w:val="none"/>
        </w:rPr>
        <w:t>33．</w:t>
      </w:r>
      <w:r>
        <w:rPr>
          <w:rFonts w:hint="eastAsia" w:ascii="宋体" w:hAnsi="宋体" w:cs="Arial"/>
          <w:sz w:val="24"/>
          <w:highlight w:val="none"/>
        </w:rPr>
        <w:t>招标代理</w:t>
      </w:r>
      <w:r>
        <w:rPr>
          <w:rFonts w:ascii="宋体" w:hAnsi="宋体" w:cs="Arial"/>
          <w:sz w:val="24"/>
          <w:highlight w:val="none"/>
        </w:rPr>
        <w:t>服务费</w:t>
      </w:r>
    </w:p>
    <w:p>
      <w:pPr>
        <w:pStyle w:val="10"/>
        <w:spacing w:line="400" w:lineRule="atLeast"/>
        <w:rPr>
          <w:rFonts w:hAnsi="宋体" w:cs="Arial"/>
          <w:sz w:val="24"/>
          <w:highlight w:val="none"/>
        </w:rPr>
      </w:pPr>
      <w:r>
        <w:rPr>
          <w:rFonts w:hAnsi="宋体" w:cs="Arial"/>
          <w:sz w:val="24"/>
          <w:highlight w:val="none"/>
        </w:rPr>
        <w:t>33.1成交方须向招标</w:t>
      </w:r>
      <w:r>
        <w:rPr>
          <w:rFonts w:hint="eastAsia" w:hAnsi="宋体" w:cs="Arial"/>
          <w:sz w:val="24"/>
          <w:highlight w:val="none"/>
        </w:rPr>
        <w:t>代理</w:t>
      </w:r>
      <w:r>
        <w:rPr>
          <w:rFonts w:hAnsi="宋体" w:cs="Arial"/>
          <w:sz w:val="24"/>
          <w:highlight w:val="none"/>
        </w:rPr>
        <w:t>机构按如下标准和期限交纳</w:t>
      </w:r>
      <w:r>
        <w:rPr>
          <w:rFonts w:hint="eastAsia" w:hAnsi="宋体" w:cs="Arial"/>
          <w:sz w:val="24"/>
          <w:highlight w:val="none"/>
        </w:rPr>
        <w:t>招标代理代理</w:t>
      </w:r>
      <w:r>
        <w:rPr>
          <w:rFonts w:hAnsi="宋体" w:cs="Arial"/>
          <w:sz w:val="24"/>
          <w:highlight w:val="none"/>
        </w:rPr>
        <w:t>服务费：</w:t>
      </w:r>
    </w:p>
    <w:p>
      <w:pPr>
        <w:pStyle w:val="10"/>
        <w:adjustRightInd w:val="0"/>
        <w:spacing w:line="400" w:lineRule="atLeast"/>
        <w:ind w:left="720" w:hanging="720" w:hangingChars="300"/>
        <w:rPr>
          <w:rFonts w:hint="eastAsia" w:hAnsi="宋体" w:cs="Arial"/>
          <w:sz w:val="24"/>
          <w:highlight w:val="none"/>
        </w:rPr>
      </w:pPr>
      <w:r>
        <w:rPr>
          <w:rFonts w:hAnsi="宋体" w:cs="Arial"/>
          <w:bCs/>
          <w:sz w:val="24"/>
          <w:highlight w:val="none"/>
        </w:rPr>
        <w:t>33.1.1</w:t>
      </w:r>
      <w:r>
        <w:rPr>
          <w:rFonts w:hint="eastAsia" w:hAnsi="宋体" w:cs="Arial"/>
          <w:sz w:val="24"/>
          <w:szCs w:val="24"/>
          <w:highlight w:val="none"/>
        </w:rPr>
        <w:t>成交方</w:t>
      </w:r>
      <w:r>
        <w:rPr>
          <w:rFonts w:hAnsi="宋体" w:cs="Arial"/>
          <w:sz w:val="24"/>
          <w:szCs w:val="24"/>
          <w:highlight w:val="none"/>
        </w:rPr>
        <w:t>须向</w:t>
      </w:r>
      <w:r>
        <w:rPr>
          <w:rFonts w:hint="eastAsia" w:hAnsi="宋体" w:cs="Arial"/>
          <w:sz w:val="24"/>
          <w:szCs w:val="24"/>
          <w:highlight w:val="none"/>
        </w:rPr>
        <w:t>新疆宣宇项目管理有限公司</w:t>
      </w:r>
      <w:r>
        <w:rPr>
          <w:rFonts w:hAnsi="宋体" w:cs="Arial"/>
          <w:sz w:val="24"/>
          <w:szCs w:val="24"/>
          <w:highlight w:val="none"/>
        </w:rPr>
        <w:t>支付</w:t>
      </w:r>
      <w:r>
        <w:rPr>
          <w:rFonts w:hint="eastAsia" w:hAnsi="宋体" w:cs="Arial"/>
          <w:sz w:val="24"/>
          <w:highlight w:val="none"/>
        </w:rPr>
        <w:t>招标代理服务费</w:t>
      </w:r>
      <w:r>
        <w:rPr>
          <w:rFonts w:hAnsi="宋体" w:cs="Arial"/>
          <w:sz w:val="24"/>
          <w:highlight w:val="none"/>
        </w:rPr>
        <w:t>。</w:t>
      </w:r>
    </w:p>
    <w:p>
      <w:pPr>
        <w:pStyle w:val="10"/>
        <w:adjustRightInd w:val="0"/>
        <w:spacing w:line="400" w:lineRule="atLeast"/>
        <w:ind w:left="720" w:hanging="720" w:hangingChars="300"/>
        <w:rPr>
          <w:rFonts w:hint="eastAsia" w:hAnsi="宋体" w:cs="Arial"/>
          <w:bCs/>
          <w:sz w:val="24"/>
          <w:highlight w:val="none"/>
        </w:rPr>
      </w:pPr>
      <w:r>
        <w:rPr>
          <w:rFonts w:hAnsi="宋体" w:cs="Arial"/>
          <w:bCs/>
          <w:sz w:val="24"/>
          <w:highlight w:val="none"/>
        </w:rPr>
        <w:t>33.1.2 在宣布中标后一周内，成交方须按第33.1.1条规定的标准以银行汇票、转帐支票或电汇的方式一次性向招标</w:t>
      </w:r>
      <w:r>
        <w:rPr>
          <w:rFonts w:hint="eastAsia" w:hAnsi="宋体" w:cs="Arial"/>
          <w:bCs/>
          <w:sz w:val="24"/>
          <w:highlight w:val="none"/>
        </w:rPr>
        <w:t>代理</w:t>
      </w:r>
      <w:r>
        <w:rPr>
          <w:rFonts w:hAnsi="宋体" w:cs="Arial"/>
          <w:bCs/>
          <w:sz w:val="24"/>
          <w:highlight w:val="none"/>
        </w:rPr>
        <w:t>机构缴纳</w:t>
      </w:r>
      <w:r>
        <w:rPr>
          <w:rFonts w:hint="eastAsia" w:hAnsi="宋体" w:cs="Arial"/>
          <w:bCs/>
          <w:sz w:val="24"/>
          <w:highlight w:val="none"/>
        </w:rPr>
        <w:t>磋商代理</w:t>
      </w:r>
      <w:r>
        <w:rPr>
          <w:rFonts w:hAnsi="宋体" w:cs="Arial"/>
          <w:bCs/>
          <w:sz w:val="24"/>
          <w:highlight w:val="none"/>
        </w:rPr>
        <w:t>服务费。</w:t>
      </w:r>
    </w:p>
    <w:p>
      <w:pPr>
        <w:pStyle w:val="4"/>
        <w:spacing w:before="100" w:beforeAutospacing="1" w:after="100" w:afterAutospacing="1" w:line="400" w:lineRule="atLeast"/>
        <w:jc w:val="center"/>
        <w:outlineLvl w:val="0"/>
        <w:rPr>
          <w:rFonts w:hint="eastAsia" w:ascii="宋体" w:hAnsi="宋体" w:eastAsia="宋体" w:cs="Arial"/>
          <w:bCs w:val="0"/>
          <w:sz w:val="24"/>
          <w:highlight w:val="none"/>
        </w:rPr>
      </w:pPr>
      <w:bookmarkStart w:id="86" w:name="_Toc516489112"/>
      <w:bookmarkStart w:id="87" w:name="_Toc18381"/>
      <w:bookmarkStart w:id="88" w:name="_Toc471489759"/>
      <w:r>
        <w:rPr>
          <w:rFonts w:hint="eastAsia" w:ascii="宋体" w:hAnsi="宋体" w:eastAsia="宋体" w:cs="Arial"/>
          <w:sz w:val="28"/>
          <w:szCs w:val="28"/>
          <w:highlight w:val="none"/>
        </w:rPr>
        <w:t>G</w:t>
      </w:r>
      <w:r>
        <w:rPr>
          <w:rFonts w:ascii="宋体" w:hAnsi="宋体" w:eastAsia="宋体" w:cs="Arial"/>
          <w:sz w:val="28"/>
          <w:szCs w:val="28"/>
          <w:highlight w:val="none"/>
        </w:rPr>
        <w:t xml:space="preserve">  </w:t>
      </w:r>
      <w:r>
        <w:rPr>
          <w:rFonts w:hint="eastAsia" w:ascii="宋体" w:hAnsi="宋体" w:eastAsia="宋体" w:cs="Arial"/>
          <w:sz w:val="28"/>
          <w:szCs w:val="28"/>
          <w:highlight w:val="none"/>
        </w:rPr>
        <w:t>磋商失败条件</w:t>
      </w:r>
      <w:bookmarkEnd w:id="86"/>
      <w:bookmarkEnd w:id="87"/>
      <w:bookmarkEnd w:id="88"/>
    </w:p>
    <w:p>
      <w:pPr>
        <w:pStyle w:val="10"/>
        <w:tabs>
          <w:tab w:val="left" w:pos="720"/>
          <w:tab w:val="left" w:pos="900"/>
          <w:tab w:val="left" w:pos="1260"/>
        </w:tabs>
        <w:adjustRightInd w:val="0"/>
        <w:spacing w:line="400" w:lineRule="atLeast"/>
        <w:ind w:left="720" w:hanging="720" w:hangingChars="300"/>
        <w:rPr>
          <w:rFonts w:hint="eastAsia" w:hAnsi="宋体" w:cs="Arial"/>
          <w:bCs/>
          <w:sz w:val="24"/>
          <w:highlight w:val="none"/>
        </w:rPr>
      </w:pPr>
      <w:r>
        <w:rPr>
          <w:rFonts w:hint="eastAsia" w:hAnsi="宋体" w:cs="Arial"/>
          <w:bCs/>
          <w:sz w:val="24"/>
          <w:highlight w:val="none"/>
        </w:rPr>
        <w:t>34.出现影响采购公正的违法、违规行为的；</w:t>
      </w:r>
    </w:p>
    <w:p>
      <w:pPr>
        <w:pStyle w:val="10"/>
        <w:tabs>
          <w:tab w:val="left" w:pos="720"/>
          <w:tab w:val="left" w:pos="900"/>
          <w:tab w:val="left" w:pos="1260"/>
        </w:tabs>
        <w:adjustRightInd w:val="0"/>
        <w:spacing w:line="400" w:lineRule="atLeast"/>
        <w:ind w:left="720" w:hanging="720" w:hangingChars="300"/>
        <w:rPr>
          <w:rFonts w:hint="eastAsia" w:hAnsi="宋体" w:cs="Arial"/>
          <w:bCs/>
          <w:sz w:val="24"/>
          <w:highlight w:val="none"/>
        </w:rPr>
      </w:pPr>
      <w:r>
        <w:rPr>
          <w:rFonts w:hint="eastAsia" w:hAnsi="宋体" w:cs="Arial"/>
          <w:bCs/>
          <w:sz w:val="24"/>
          <w:highlight w:val="none"/>
        </w:rPr>
        <w:t>35.因重大变故，采购任务取消的；</w:t>
      </w:r>
    </w:p>
    <w:p>
      <w:pPr>
        <w:pStyle w:val="10"/>
        <w:tabs>
          <w:tab w:val="left" w:pos="720"/>
          <w:tab w:val="left" w:pos="900"/>
          <w:tab w:val="left" w:pos="1260"/>
        </w:tabs>
        <w:adjustRightInd w:val="0"/>
        <w:spacing w:line="400" w:lineRule="atLeast"/>
        <w:ind w:left="720" w:hanging="720" w:hangingChars="300"/>
        <w:rPr>
          <w:rFonts w:hint="eastAsia" w:hAnsi="宋体" w:cs="Arial"/>
          <w:bCs/>
          <w:sz w:val="24"/>
          <w:highlight w:val="none"/>
        </w:rPr>
      </w:pPr>
      <w:r>
        <w:rPr>
          <w:rFonts w:hint="eastAsia" w:hAnsi="宋体" w:cs="Arial"/>
          <w:bCs/>
          <w:sz w:val="24"/>
          <w:highlight w:val="none"/>
        </w:rPr>
        <w:t>36.磋商响应文件截止时间后，实际参与的供应商不足法定家数的；</w:t>
      </w:r>
    </w:p>
    <w:p>
      <w:pPr>
        <w:pStyle w:val="10"/>
        <w:tabs>
          <w:tab w:val="left" w:pos="720"/>
          <w:tab w:val="left" w:pos="900"/>
          <w:tab w:val="left" w:pos="1260"/>
        </w:tabs>
        <w:adjustRightInd w:val="0"/>
        <w:spacing w:line="400" w:lineRule="atLeast"/>
        <w:ind w:left="720" w:hanging="720" w:hangingChars="300"/>
        <w:rPr>
          <w:rFonts w:hint="eastAsia" w:hAnsi="宋体" w:cs="Arial"/>
          <w:bCs/>
          <w:sz w:val="24"/>
          <w:highlight w:val="none"/>
        </w:rPr>
      </w:pPr>
      <w:r>
        <w:rPr>
          <w:rFonts w:hint="eastAsia" w:hAnsi="宋体" w:cs="Arial"/>
          <w:bCs/>
          <w:sz w:val="24"/>
          <w:highlight w:val="none"/>
        </w:rPr>
        <w:t>37.最终报价均超过采购预算的；</w:t>
      </w:r>
    </w:p>
    <w:p>
      <w:pPr>
        <w:pStyle w:val="10"/>
        <w:tabs>
          <w:tab w:val="left" w:pos="720"/>
          <w:tab w:val="left" w:pos="900"/>
          <w:tab w:val="left" w:pos="1260"/>
        </w:tabs>
        <w:adjustRightInd w:val="0"/>
        <w:spacing w:line="400" w:lineRule="atLeast"/>
        <w:ind w:left="720" w:hanging="720" w:hangingChars="300"/>
        <w:rPr>
          <w:rFonts w:hAnsi="宋体" w:cs="Arial"/>
          <w:bCs/>
          <w:sz w:val="24"/>
          <w:highlight w:val="none"/>
        </w:rPr>
      </w:pPr>
      <w:r>
        <w:rPr>
          <w:rFonts w:hint="eastAsia" w:hAnsi="宋体" w:cs="Arial"/>
          <w:bCs/>
          <w:sz w:val="24"/>
          <w:highlight w:val="none"/>
        </w:rPr>
        <w:t>38.对磋商文件作出实质性响应的供应商不足法定家数的；</w:t>
      </w:r>
    </w:p>
    <w:p>
      <w:pPr>
        <w:pStyle w:val="3"/>
        <w:numPr>
          <w:ilvl w:val="0"/>
          <w:numId w:val="6"/>
        </w:numPr>
        <w:spacing w:line="400" w:lineRule="atLeast"/>
        <w:jc w:val="center"/>
        <w:rPr>
          <w:rFonts w:ascii="宋体" w:hAnsi="宋体" w:cs="Arial"/>
          <w:sz w:val="32"/>
          <w:szCs w:val="32"/>
          <w:highlight w:val="none"/>
        </w:rPr>
        <w:sectPr>
          <w:footerReference r:id="rId6" w:type="first"/>
          <w:headerReference r:id="rId3" w:type="default"/>
          <w:footerReference r:id="rId4" w:type="default"/>
          <w:footerReference r:id="rId5" w:type="even"/>
          <w:pgSz w:w="11907" w:h="16840"/>
          <w:pgMar w:top="1440" w:right="1080" w:bottom="1440" w:left="1080" w:header="851" w:footer="68" w:gutter="0"/>
          <w:pgNumType w:fmt="decimal" w:start="1"/>
          <w:cols w:space="720" w:num="1"/>
          <w:titlePg/>
          <w:docGrid w:type="lines" w:linePitch="409" w:charSpace="0"/>
        </w:sectPr>
      </w:pPr>
    </w:p>
    <w:bookmarkEnd w:id="78"/>
    <w:p>
      <w:pPr>
        <w:pStyle w:val="8"/>
        <w:spacing w:line="400" w:lineRule="exact"/>
        <w:ind w:right="120"/>
        <w:jc w:val="center"/>
        <w:outlineLvl w:val="0"/>
        <w:rPr>
          <w:rFonts w:hint="eastAsia" w:ascii="宋体" w:hAnsi="宋体" w:eastAsia="宋体" w:cs="宋体"/>
          <w:b/>
          <w:bCs/>
          <w:highlight w:val="none"/>
        </w:rPr>
      </w:pPr>
      <w:bookmarkStart w:id="89" w:name="_Toc21993"/>
      <w:r>
        <w:rPr>
          <w:rFonts w:hint="eastAsia" w:ascii="宋体" w:hAnsi="宋体" w:eastAsia="宋体" w:cs="宋体"/>
          <w:b/>
          <w:bCs/>
          <w:highlight w:val="none"/>
          <w:lang w:eastAsia="zh-CN"/>
        </w:rPr>
        <w:t>第三部分</w:t>
      </w:r>
      <w:r>
        <w:rPr>
          <w:rFonts w:hint="eastAsia" w:ascii="宋体" w:hAnsi="宋体" w:eastAsia="宋体" w:cs="宋体"/>
          <w:b/>
          <w:bCs/>
          <w:highlight w:val="none"/>
          <w:lang w:val="en-US" w:eastAsia="zh-CN"/>
        </w:rPr>
        <w:t xml:space="preserve">  </w:t>
      </w:r>
      <w:r>
        <w:rPr>
          <w:rFonts w:hint="eastAsia" w:ascii="宋体" w:hAnsi="宋体" w:eastAsia="宋体" w:cs="宋体"/>
          <w:b/>
          <w:bCs/>
          <w:highlight w:val="none"/>
        </w:rPr>
        <w:t>供货要求</w:t>
      </w:r>
      <w:bookmarkEnd w:id="89"/>
    </w:p>
    <w:p>
      <w:pPr>
        <w:pStyle w:val="8"/>
        <w:spacing w:line="400" w:lineRule="exact"/>
        <w:ind w:right="120" w:firstLine="480" w:firstLineChars="200"/>
        <w:rPr>
          <w:rFonts w:hint="eastAsia" w:ascii="宋体" w:hAnsi="宋体" w:cs="宋体"/>
          <w:highlight w:val="none"/>
        </w:rPr>
      </w:pPr>
      <w:r>
        <w:rPr>
          <w:rFonts w:hint="eastAsia" w:ascii="宋体" w:hAnsi="宋体" w:cs="宋体"/>
          <w:highlight w:val="none"/>
        </w:rPr>
        <w:t>招标人可根据需要对工程项目的概况进行介绍，以使投标人更清晰地了解供货的总体要求和相关信息。</w:t>
      </w:r>
    </w:p>
    <w:p>
      <w:pPr>
        <w:pStyle w:val="8"/>
        <w:spacing w:line="400" w:lineRule="exact"/>
        <w:ind w:right="120"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一、项目建设总体要求：</w:t>
      </w:r>
    </w:p>
    <w:p>
      <w:pPr>
        <w:pStyle w:val="8"/>
        <w:spacing w:line="400" w:lineRule="exact"/>
        <w:ind w:right="12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1.</w:t>
      </w:r>
      <w:r>
        <w:rPr>
          <w:rFonts w:hint="eastAsia" w:ascii="宋体" w:hAnsi="宋体" w:eastAsia="宋体" w:cs="宋体"/>
          <w:highlight w:val="none"/>
          <w:lang w:eastAsia="zh-CN"/>
        </w:rPr>
        <w:t>项目整体建设以真实的新媒体行业项目作为实训教学基础，赋予学生真实生产流程中的工作岗位，引入行业真实商业项目资源，按企业的人才要求锻炼学生岗位能力。依托短视频工厂产教融合实训基地加强学生的项目实习实践质量、提升学生的社会就业能力，培养学生创新创业综合素养。</w:t>
      </w:r>
    </w:p>
    <w:p>
      <w:pPr>
        <w:pStyle w:val="8"/>
        <w:spacing w:line="400" w:lineRule="exact"/>
        <w:ind w:right="12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2.</w:t>
      </w:r>
      <w:r>
        <w:rPr>
          <w:rFonts w:hint="eastAsia" w:ascii="宋体" w:hAnsi="宋体" w:eastAsia="宋体" w:cs="宋体"/>
          <w:highlight w:val="none"/>
          <w:lang w:eastAsia="zh-CN"/>
        </w:rPr>
        <w:t>项目建设完成后要能够实现《短视频创作》、《短视频广告》、《短视频脚本创作》、《短视频表演》、《短视频制片》、《短视频布光技巧》、《短视频后期剪辑》、《新媒体运营》、《直播策划》、《直播运营》、《电商直播实务》、《电商直播选品》等课程的实训功能，并能实现真实的在线短视频产业项目承接、项目管理、在线学习、资源下载、三维虚拟场景、仿真实训等功能。</w:t>
      </w:r>
    </w:p>
    <w:p>
      <w:pPr>
        <w:pStyle w:val="8"/>
        <w:spacing w:line="400" w:lineRule="exact"/>
        <w:ind w:right="12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3.</w:t>
      </w:r>
      <w:r>
        <w:rPr>
          <w:rFonts w:hint="eastAsia" w:ascii="宋体" w:hAnsi="宋体" w:eastAsia="宋体" w:cs="宋体"/>
          <w:highlight w:val="none"/>
          <w:lang w:eastAsia="zh-CN"/>
        </w:rPr>
        <w:t>设备选型方面，各平台主设备应采用行业主流厂商的设备，投标主设备应在实际行业中普遍使用；</w:t>
      </w:r>
    </w:p>
    <w:p>
      <w:pPr>
        <w:pStyle w:val="8"/>
        <w:spacing w:line="400" w:lineRule="exact"/>
        <w:ind w:right="12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4.</w:t>
      </w:r>
      <w:r>
        <w:rPr>
          <w:rFonts w:hint="eastAsia" w:ascii="宋体" w:hAnsi="宋体" w:eastAsia="宋体" w:cs="宋体"/>
          <w:highlight w:val="none"/>
          <w:lang w:eastAsia="zh-CN"/>
        </w:rPr>
        <w:t>项目建设完成后，中标人需为学校提供基地内涵建设服务,包括成立行业应用服务中心及产业双创中心，进行创业工作发展及市场推广和技术服务工作，基地的主要职能要满足产教融合项目定位；</w:t>
      </w:r>
    </w:p>
    <w:p>
      <w:pPr>
        <w:pStyle w:val="8"/>
        <w:spacing w:line="400" w:lineRule="exact"/>
        <w:ind w:right="12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5.</w:t>
      </w:r>
      <w:r>
        <w:rPr>
          <w:rFonts w:hint="eastAsia" w:ascii="宋体" w:hAnsi="宋体" w:eastAsia="宋体" w:cs="宋体"/>
          <w:highlight w:val="none"/>
          <w:lang w:eastAsia="zh-CN"/>
        </w:rPr>
        <w:t>中标人需承诺针对本次项目为学校整合人社部及行业头部企业相关技术能力认证体系，并协助学校相关专业建设具有公信力的技术技能评价标准，对通过认证标准的学生或老师发放认证证书，承诺签订合同前提供相关合作协议。</w:t>
      </w:r>
    </w:p>
    <w:p>
      <w:pPr>
        <w:pStyle w:val="8"/>
        <w:spacing w:line="400" w:lineRule="exact"/>
        <w:ind w:right="12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6.</w:t>
      </w:r>
      <w:r>
        <w:rPr>
          <w:rFonts w:hint="eastAsia" w:ascii="宋体" w:hAnsi="宋体" w:eastAsia="宋体" w:cs="宋体"/>
          <w:highlight w:val="none"/>
          <w:lang w:eastAsia="zh-CN"/>
        </w:rPr>
        <w:t>投标商必须在投标书中提供有完善规范的施工流程、详细的设备交货/项目实施进度表，有专业的施工小组。</w:t>
      </w:r>
    </w:p>
    <w:p>
      <w:pPr>
        <w:pStyle w:val="8"/>
        <w:spacing w:line="400" w:lineRule="exact"/>
        <w:ind w:right="12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7.</w:t>
      </w:r>
      <w:r>
        <w:rPr>
          <w:rFonts w:hint="eastAsia" w:ascii="宋体" w:hAnsi="宋体" w:eastAsia="宋体" w:cs="宋体"/>
          <w:highlight w:val="none"/>
          <w:lang w:eastAsia="zh-CN"/>
        </w:rPr>
        <w:t>中标人必须严格按照技术规格要求进行建设。项目设备安装和调试时，不能缺少的一切附属配件和零星工程，亦应由中标人考虑并承担供应和安装，校方不再因此承担任何费用。</w:t>
      </w:r>
    </w:p>
    <w:p>
      <w:pPr>
        <w:pStyle w:val="8"/>
        <w:spacing w:line="400" w:lineRule="exact"/>
        <w:ind w:right="12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8.</w:t>
      </w:r>
      <w:r>
        <w:rPr>
          <w:rFonts w:hint="eastAsia" w:ascii="宋体" w:hAnsi="宋体" w:eastAsia="宋体" w:cs="宋体"/>
          <w:highlight w:val="none"/>
          <w:lang w:eastAsia="zh-CN"/>
        </w:rPr>
        <w:t>投标商须承诺对学校提供至少2人次教师教学及科研能力的培训（免培训费），培训内容必须符合</w:t>
      </w:r>
      <w:bookmarkStart w:id="90" w:name="_Hlk96885453"/>
      <w:r>
        <w:rPr>
          <w:rFonts w:hint="eastAsia" w:ascii="宋体" w:hAnsi="宋体" w:eastAsia="宋体" w:cs="宋体"/>
          <w:highlight w:val="none"/>
          <w:lang w:eastAsia="zh-CN"/>
        </w:rPr>
        <w:t>短视频工厂项目</w:t>
      </w:r>
      <w:bookmarkEnd w:id="90"/>
      <w:r>
        <w:rPr>
          <w:rFonts w:hint="eastAsia" w:ascii="宋体" w:hAnsi="宋体" w:eastAsia="宋体" w:cs="宋体"/>
          <w:highlight w:val="none"/>
          <w:lang w:eastAsia="zh-CN"/>
        </w:rPr>
        <w:t>的要求，并提供相应的培训认证证书，每次培训时间不少于七个工作日。</w:t>
      </w:r>
    </w:p>
    <w:p>
      <w:pPr>
        <w:pStyle w:val="8"/>
        <w:spacing w:line="400" w:lineRule="exact"/>
        <w:ind w:right="120"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9.本项目要求提供整体不少于1年的系统及设备原厂免费质保服务，软件平台免费升级服务按参数要求执行。质保期自项目终验合格签字之日起计算。投标商应与设备原厂商共同提供相应承诺。投标商应详细阐述质保期内服务的内容与范围，免费服务至少包括以下内容：</w:t>
      </w:r>
    </w:p>
    <w:p>
      <w:pPr>
        <w:pStyle w:val="8"/>
        <w:spacing w:line="400" w:lineRule="exact"/>
        <w:ind w:right="120"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①因中标人的原因出现问题，应免费到现场进行再次调试，直至系统恢复正常为止。</w:t>
      </w:r>
    </w:p>
    <w:p>
      <w:pPr>
        <w:pStyle w:val="8"/>
        <w:spacing w:line="400" w:lineRule="exact"/>
        <w:ind w:right="120"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②保修期内，免费提供所有硬件设备的维修及软件维护、升级等技术支持服务；所有设备维修服务、软件维护、升级均为上门服务，由此产生的费用均不再收取。</w:t>
      </w:r>
    </w:p>
    <w:p>
      <w:pPr>
        <w:pStyle w:val="8"/>
        <w:spacing w:line="400" w:lineRule="exact"/>
        <w:ind w:right="120"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③在质保期内，系统故障，中标人应在接到报修通知后，维修人员在48小时内到达现场查明故障原因并提出解决方案予以解决；在硬件方面：对于损坏的设备，中标商在接到校方通知后，在72小时内完成损坏设备的更换，使系统或设备恢复正常工作。备件、人员、交通等费用完全由中标人承担；在软件方面：中标人免费为校方提供软件升级和技术支持，并免费提供技术资料1套。</w:t>
      </w:r>
    </w:p>
    <w:p>
      <w:pPr>
        <w:pStyle w:val="8"/>
        <w:numPr>
          <w:ilvl w:val="0"/>
          <w:numId w:val="7"/>
        </w:numPr>
        <w:spacing w:line="400" w:lineRule="exact"/>
        <w:ind w:right="120"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具体设备采购清单</w:t>
      </w:r>
    </w:p>
    <w:p>
      <w:pPr>
        <w:numPr>
          <w:ilvl w:val="0"/>
          <w:numId w:val="0"/>
        </w:numPr>
        <w:rPr>
          <w:rFonts w:hint="default"/>
          <w:highlight w:val="none"/>
          <w:lang w:val="en-US" w:eastAsia="zh-CN"/>
        </w:rPr>
      </w:pPr>
      <w:r>
        <w:rPr>
          <w:rFonts w:hint="eastAsia"/>
          <w:highlight w:val="none"/>
          <w:lang w:val="en-US" w:eastAsia="zh-CN"/>
        </w:rPr>
        <w:t xml:space="preserve">    详见下表。</w:t>
      </w:r>
    </w:p>
    <w:tbl>
      <w:tblPr>
        <w:tblStyle w:val="19"/>
        <w:tblpPr w:leftFromText="180" w:rightFromText="180" w:vertAnchor="text" w:horzAnchor="page" w:tblpXSpec="center" w:tblpY="600"/>
        <w:tblOverlap w:val="never"/>
        <w:tblW w:w="8378" w:type="dxa"/>
        <w:jc w:val="center"/>
        <w:tblLayout w:type="fixed"/>
        <w:tblCellMar>
          <w:top w:w="0" w:type="dxa"/>
          <w:left w:w="108" w:type="dxa"/>
          <w:bottom w:w="0" w:type="dxa"/>
          <w:right w:w="108" w:type="dxa"/>
        </w:tblCellMar>
      </w:tblPr>
      <w:tblGrid>
        <w:gridCol w:w="552"/>
        <w:gridCol w:w="682"/>
        <w:gridCol w:w="6068"/>
        <w:gridCol w:w="570"/>
        <w:gridCol w:w="506"/>
      </w:tblGrid>
      <w:tr>
        <w:tblPrEx>
          <w:tblCellMar>
            <w:top w:w="0" w:type="dxa"/>
            <w:left w:w="108" w:type="dxa"/>
            <w:bottom w:w="0" w:type="dxa"/>
            <w:right w:w="108" w:type="dxa"/>
          </w:tblCellMar>
        </w:tblPrEx>
        <w:trPr>
          <w:trHeight w:val="391" w:hRule="atLeast"/>
          <w:jc w:val="center"/>
        </w:trPr>
        <w:tc>
          <w:tcPr>
            <w:tcW w:w="837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新宋体"/>
                <w:color w:val="000000"/>
                <w:kern w:val="0"/>
                <w:szCs w:val="21"/>
                <w:highlight w:val="none"/>
                <w:lang w:bidi="ar"/>
              </w:rPr>
            </w:pPr>
            <w:r>
              <w:rPr>
                <w:rFonts w:hint="eastAsia" w:ascii="宋体" w:hAnsi="宋体" w:cs="新宋体"/>
                <w:b/>
                <w:bCs/>
                <w:color w:val="000000"/>
                <w:kern w:val="0"/>
                <w:szCs w:val="21"/>
                <w:highlight w:val="none"/>
                <w:lang w:bidi="ar"/>
              </w:rPr>
              <w:t>一、短视频工厂产教融合实训基地设备</w:t>
            </w:r>
          </w:p>
        </w:tc>
      </w:tr>
      <w:tr>
        <w:tblPrEx>
          <w:tblCellMar>
            <w:top w:w="0" w:type="dxa"/>
            <w:left w:w="108" w:type="dxa"/>
            <w:bottom w:w="0" w:type="dxa"/>
            <w:right w:w="108" w:type="dxa"/>
          </w:tblCellMar>
        </w:tblPrEx>
        <w:trPr>
          <w:trHeight w:val="391"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新宋体"/>
                <w:color w:val="000000"/>
                <w:kern w:val="0"/>
                <w:szCs w:val="21"/>
                <w:highlight w:val="none"/>
                <w:lang w:bidi="ar"/>
              </w:rPr>
            </w:pPr>
            <w:r>
              <w:rPr>
                <w:rFonts w:hint="eastAsia" w:ascii="宋体" w:hAnsi="宋体" w:cs="新宋体"/>
                <w:color w:val="000000"/>
                <w:kern w:val="0"/>
                <w:szCs w:val="21"/>
                <w:highlight w:val="none"/>
                <w:lang w:bidi="ar"/>
              </w:rPr>
              <w:t>序号</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新宋体"/>
                <w:color w:val="000000"/>
                <w:szCs w:val="21"/>
                <w:highlight w:val="none"/>
              </w:rPr>
            </w:pPr>
            <w:r>
              <w:rPr>
                <w:rFonts w:hint="eastAsia" w:ascii="宋体" w:hAnsi="宋体" w:cs="新宋体"/>
                <w:color w:val="000000"/>
                <w:kern w:val="0"/>
                <w:szCs w:val="21"/>
                <w:highlight w:val="none"/>
                <w:lang w:bidi="ar"/>
              </w:rPr>
              <w:t>名称</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新宋体"/>
                <w:color w:val="000000"/>
                <w:szCs w:val="21"/>
                <w:highlight w:val="none"/>
              </w:rPr>
            </w:pPr>
            <w:r>
              <w:rPr>
                <w:rFonts w:hint="eastAsia" w:ascii="宋体" w:hAnsi="宋体" w:cs="新宋体"/>
                <w:color w:val="000000"/>
                <w:kern w:val="0"/>
                <w:szCs w:val="21"/>
                <w:highlight w:val="none"/>
                <w:lang w:bidi="ar"/>
              </w:rPr>
              <w:t>具体技术要求</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新宋体"/>
                <w:color w:val="000000"/>
                <w:szCs w:val="21"/>
                <w:highlight w:val="none"/>
              </w:rPr>
            </w:pPr>
            <w:r>
              <w:rPr>
                <w:rFonts w:hint="eastAsia" w:ascii="宋体" w:hAnsi="宋体" w:cs="新宋体"/>
                <w:color w:val="000000"/>
                <w:kern w:val="0"/>
                <w:szCs w:val="21"/>
                <w:highlight w:val="none"/>
                <w:lang w:bidi="ar"/>
              </w:rPr>
              <w:t>单位</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新宋体"/>
                <w:color w:val="000000"/>
                <w:kern w:val="0"/>
                <w:szCs w:val="21"/>
                <w:highlight w:val="none"/>
                <w:lang w:bidi="ar"/>
              </w:rPr>
            </w:pPr>
            <w:r>
              <w:rPr>
                <w:rFonts w:hint="eastAsia" w:ascii="宋体" w:hAnsi="宋体" w:cs="新宋体"/>
                <w:color w:val="000000"/>
                <w:kern w:val="0"/>
                <w:szCs w:val="21"/>
                <w:highlight w:val="none"/>
                <w:lang w:bidi="ar"/>
              </w:rPr>
              <w:t>数量</w:t>
            </w:r>
          </w:p>
        </w:tc>
      </w:tr>
      <w:tr>
        <w:tblPrEx>
          <w:tblCellMar>
            <w:top w:w="0" w:type="dxa"/>
            <w:left w:w="108" w:type="dxa"/>
            <w:bottom w:w="0" w:type="dxa"/>
            <w:right w:w="108" w:type="dxa"/>
          </w:tblCellMar>
        </w:tblPrEx>
        <w:trPr>
          <w:trHeight w:val="360"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jc w:val="center"/>
              <w:rPr>
                <w:rFonts w:ascii="宋体" w:hAnsi="宋体"/>
                <w:szCs w:val="21"/>
                <w:highlight w:val="none"/>
              </w:rPr>
            </w:pPr>
            <w:r>
              <w:rPr>
                <w:rFonts w:hint="eastAsia" w:ascii="宋体" w:hAnsi="宋体"/>
                <w:szCs w:val="21"/>
                <w:highlight w:val="none"/>
              </w:rPr>
              <w:t>4K摄像机</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color w:val="333333"/>
                <w:szCs w:val="21"/>
                <w:highlight w:val="none"/>
                <w:shd w:val="clear" w:color="auto" w:fill="FFFFFF"/>
              </w:rPr>
              <w:t>★</w:t>
            </w: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 xml:space="preserve">知名品牌，支持4K 50p/60p高质量拍摄，具备针对4K 10bit 4:2:0输出配备的HDMI接口。 </w:t>
            </w:r>
          </w:p>
          <w:p>
            <w:pPr>
              <w:spacing w:line="260" w:lineRule="exact"/>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传感器不低于80</w:t>
            </w:r>
            <w:r>
              <w:rPr>
                <w:rFonts w:ascii="宋体" w:hAnsi="宋体"/>
                <w:szCs w:val="21"/>
                <w:highlight w:val="none"/>
              </w:rPr>
              <w:t>0</w:t>
            </w:r>
            <w:r>
              <w:rPr>
                <w:rFonts w:hint="eastAsia" w:ascii="宋体" w:hAnsi="宋体"/>
                <w:szCs w:val="21"/>
                <w:highlight w:val="none"/>
              </w:rPr>
              <w:t>万像素</w:t>
            </w:r>
          </w:p>
          <w:p>
            <w:pPr>
              <w:spacing w:line="260" w:lineRule="exact"/>
              <w:jc w:val="left"/>
              <w:rPr>
                <w:rFonts w:ascii="宋体" w:hAnsi="宋体"/>
                <w:szCs w:val="21"/>
                <w:highlight w:val="none"/>
              </w:rPr>
            </w:pPr>
            <w:r>
              <w:rPr>
                <w:rFonts w:hint="eastAsia" w:ascii="宋体" w:hAnsi="宋体"/>
                <w:color w:val="333333"/>
                <w:szCs w:val="21"/>
                <w:highlight w:val="none"/>
                <w:shd w:val="clear" w:color="auto" w:fill="FFFFFF"/>
              </w:rPr>
              <w:t>★</w:t>
            </w:r>
            <w:r>
              <w:rPr>
                <w:rFonts w:ascii="宋体" w:hAnsi="宋体"/>
                <w:szCs w:val="21"/>
                <w:highlight w:val="none"/>
              </w:rPr>
              <w:t>3.</w:t>
            </w:r>
            <w:r>
              <w:rPr>
                <w:rFonts w:hint="eastAsia" w:ascii="宋体" w:hAnsi="宋体"/>
                <w:szCs w:val="21"/>
                <w:highlight w:val="none"/>
              </w:rPr>
              <w:t>拥有广角25mm镜头和具备人脸检测AF/AE功能的</w:t>
            </w:r>
            <w:r>
              <w:rPr>
                <w:rFonts w:ascii="宋体" w:hAnsi="宋体" w:cs="Segoe UI"/>
                <w:szCs w:val="21"/>
                <w:highlight w:val="none"/>
                <w:shd w:val="clear" w:color="auto" w:fill="FFFFFF"/>
              </w:rPr>
              <w:t>4驱</w:t>
            </w:r>
            <w:r>
              <w:rPr>
                <w:rFonts w:hint="eastAsia" w:ascii="宋体" w:hAnsi="宋体"/>
                <w:szCs w:val="21"/>
                <w:highlight w:val="none"/>
              </w:rPr>
              <w:t>莱卡镜头，光学24倍变焦</w:t>
            </w:r>
          </w:p>
          <w:p>
            <w:pPr>
              <w:spacing w:line="260" w:lineRule="exact"/>
              <w:jc w:val="left"/>
              <w:rPr>
                <w:rFonts w:ascii="宋体" w:hAnsi="宋体"/>
                <w:szCs w:val="21"/>
                <w:highlight w:val="none"/>
              </w:rPr>
            </w:pPr>
            <w:r>
              <w:rPr>
                <w:rFonts w:ascii="宋体" w:hAnsi="宋体"/>
                <w:szCs w:val="21"/>
                <w:highlight w:val="none"/>
              </w:rPr>
              <w:t>4</w:t>
            </w:r>
            <w:r>
              <w:rPr>
                <w:rFonts w:hint="eastAsia" w:ascii="宋体" w:hAnsi="宋体"/>
                <w:szCs w:val="21"/>
                <w:highlight w:val="none"/>
              </w:rPr>
              <w:t>.视频采集采用4:2:2 10-bit 内部记录*和全新的 HEVC ( 高效视频编码)。</w:t>
            </w:r>
          </w:p>
          <w:p>
            <w:pPr>
              <w:spacing w:line="260" w:lineRule="exact"/>
              <w:jc w:val="left"/>
              <w:rPr>
                <w:rFonts w:ascii="宋体" w:hAnsi="宋体"/>
                <w:szCs w:val="21"/>
                <w:highlight w:val="none"/>
              </w:rPr>
            </w:pPr>
            <w:r>
              <w:rPr>
                <w:rFonts w:ascii="宋体" w:hAnsi="宋体"/>
                <w:szCs w:val="21"/>
                <w:highlight w:val="none"/>
              </w:rPr>
              <w:t>5</w:t>
            </w:r>
            <w:r>
              <w:rPr>
                <w:rFonts w:hint="eastAsia" w:ascii="宋体" w:hAnsi="宋体"/>
                <w:szCs w:val="21"/>
                <w:highlight w:val="none"/>
              </w:rPr>
              <w:t>.支持实时流媒体、支持NDI</w:t>
            </w:r>
            <w:r>
              <w:rPr>
                <w:rFonts w:ascii="宋体" w:hAnsi="宋体"/>
                <w:szCs w:val="21"/>
                <w:highlight w:val="none"/>
              </w:rPr>
              <w:t>/</w:t>
            </w:r>
            <w:r>
              <w:rPr>
                <w:rFonts w:hint="eastAsia" w:ascii="宋体" w:hAnsi="宋体"/>
                <w:szCs w:val="21"/>
                <w:highlight w:val="none"/>
              </w:rPr>
              <w:t>HX IP连接网络功能。拥有内置Wi-Fi功能，仅摄像机主体就可以进行高清直播</w:t>
            </w:r>
          </w:p>
          <w:p>
            <w:pPr>
              <w:spacing w:line="260" w:lineRule="exact"/>
              <w:jc w:val="left"/>
              <w:rPr>
                <w:rFonts w:ascii="宋体" w:hAnsi="宋体"/>
                <w:szCs w:val="21"/>
                <w:highlight w:val="none"/>
              </w:rPr>
            </w:pPr>
            <w:r>
              <w:rPr>
                <w:rFonts w:hint="eastAsia" w:ascii="宋体" w:hAnsi="宋体"/>
                <w:szCs w:val="21"/>
                <w:highlight w:val="none"/>
              </w:rPr>
              <w:t>6.具备5轴混合图像稳定器，除了光学图像稳定功能，电子图像稳定功能可检测并校正5 个轴向的手抖。在低角度拍摄、高角度拍摄等不稳定情况下均可提供强大的校正功能。</w:t>
            </w:r>
          </w:p>
          <w:p>
            <w:pPr>
              <w:spacing w:line="260" w:lineRule="exact"/>
              <w:jc w:val="left"/>
              <w:rPr>
                <w:rFonts w:ascii="宋体" w:hAnsi="宋体"/>
                <w:szCs w:val="21"/>
                <w:highlight w:val="none"/>
              </w:rPr>
            </w:pPr>
            <w:r>
              <w:rPr>
                <w:rFonts w:hint="eastAsia" w:ascii="宋体" w:hAnsi="宋体"/>
                <w:szCs w:val="21"/>
                <w:highlight w:val="none"/>
              </w:rPr>
              <w:t>7.内置ND 滤镜可减少镜头的进光量。滤镜有4 档（1/4,1/16,1/ 64 或OFF）可供选择以适应不同的拍摄环境。</w:t>
            </w:r>
          </w:p>
          <w:p>
            <w:pPr>
              <w:spacing w:line="260" w:lineRule="exact"/>
              <w:jc w:val="left"/>
              <w:rPr>
                <w:rFonts w:ascii="宋体" w:hAnsi="宋体"/>
                <w:szCs w:val="21"/>
                <w:highlight w:val="none"/>
              </w:rPr>
            </w:pPr>
            <w:r>
              <w:rPr>
                <w:rFonts w:hint="eastAsia" w:ascii="宋体" w:hAnsi="宋体"/>
                <w:szCs w:val="21"/>
                <w:highlight w:val="none"/>
              </w:rPr>
              <w:t>8.内置LED新闻灯和外接话筒接口</w:t>
            </w:r>
          </w:p>
          <w:p>
            <w:pPr>
              <w:spacing w:line="260" w:lineRule="exact"/>
              <w:jc w:val="left"/>
              <w:rPr>
                <w:rFonts w:ascii="宋体" w:hAnsi="宋体"/>
                <w:szCs w:val="21"/>
                <w:highlight w:val="none"/>
              </w:rPr>
            </w:pPr>
            <w:r>
              <w:rPr>
                <w:rFonts w:ascii="宋体" w:hAnsi="宋体"/>
                <w:szCs w:val="21"/>
                <w:highlight w:val="none"/>
              </w:rPr>
              <w:t>9.</w:t>
            </w:r>
            <w:r>
              <w:rPr>
                <w:rFonts w:hint="eastAsia" w:ascii="宋体" w:hAnsi="宋体"/>
                <w:szCs w:val="21"/>
                <w:highlight w:val="none"/>
              </w:rPr>
              <w:t>液晶屏尺寸 3.5英寸以上，液晶屏显示像素15</w:t>
            </w:r>
            <w:r>
              <w:rPr>
                <w:rFonts w:ascii="宋体" w:hAnsi="宋体"/>
                <w:szCs w:val="21"/>
                <w:highlight w:val="none"/>
              </w:rPr>
              <w:t>0</w:t>
            </w:r>
            <w:r>
              <w:rPr>
                <w:rFonts w:hint="eastAsia" w:ascii="宋体" w:hAnsi="宋体"/>
                <w:szCs w:val="21"/>
                <w:highlight w:val="none"/>
              </w:rPr>
              <w:t>万以上，可触控并1</w:t>
            </w:r>
            <w:r>
              <w:rPr>
                <w:rFonts w:ascii="宋体" w:hAnsi="宋体"/>
                <w:szCs w:val="21"/>
                <w:highlight w:val="none"/>
              </w:rPr>
              <w:t>80</w:t>
            </w:r>
            <w:r>
              <w:rPr>
                <w:rFonts w:hint="eastAsia" w:ascii="宋体" w:hAnsi="宋体"/>
                <w:szCs w:val="21"/>
                <w:highlight w:val="none"/>
              </w:rPr>
              <w:t>度旋转。</w:t>
            </w:r>
          </w:p>
          <w:p>
            <w:pPr>
              <w:spacing w:line="260" w:lineRule="exact"/>
              <w:jc w:val="left"/>
              <w:rPr>
                <w:rFonts w:ascii="宋体" w:hAnsi="宋体"/>
                <w:szCs w:val="21"/>
                <w:highlight w:val="none"/>
              </w:rPr>
            </w:pPr>
            <w:r>
              <w:rPr>
                <w:rFonts w:ascii="宋体" w:hAnsi="宋体"/>
                <w:szCs w:val="21"/>
                <w:highlight w:val="none"/>
              </w:rPr>
              <w:t>10.</w:t>
            </w:r>
            <w:r>
              <w:rPr>
                <w:rFonts w:hint="eastAsia" w:ascii="宋体" w:hAnsi="宋体"/>
                <w:szCs w:val="21"/>
                <w:highlight w:val="none"/>
              </w:rPr>
              <w:t>提供多种格式和比特率。 除了易于编辑的 MOV 和MP4 外，还包括720p AVCHD 8Mbps (PM) 模式。</w:t>
            </w:r>
          </w:p>
          <w:p>
            <w:pPr>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.含1</w:t>
            </w:r>
            <w:r>
              <w:rPr>
                <w:rFonts w:ascii="宋体" w:hAnsi="宋体"/>
                <w:szCs w:val="21"/>
                <w:highlight w:val="none"/>
              </w:rPr>
              <w:t>28G</w:t>
            </w:r>
            <w:r>
              <w:rPr>
                <w:rFonts w:hint="eastAsia" w:ascii="宋体" w:hAnsi="宋体"/>
                <w:szCs w:val="21"/>
                <w:highlight w:val="none"/>
              </w:rPr>
              <w:t>高速S</w:t>
            </w:r>
            <w:r>
              <w:rPr>
                <w:rFonts w:ascii="宋体" w:hAnsi="宋体"/>
                <w:szCs w:val="21"/>
                <w:highlight w:val="none"/>
              </w:rPr>
              <w:t>D</w:t>
            </w:r>
            <w:r>
              <w:rPr>
                <w:rFonts w:hint="eastAsia" w:ascii="宋体" w:hAnsi="宋体"/>
                <w:szCs w:val="21"/>
                <w:highlight w:val="none"/>
              </w:rPr>
              <w:t>卡2张，专用U</w:t>
            </w:r>
            <w:r>
              <w:rPr>
                <w:rFonts w:ascii="宋体" w:hAnsi="宋体"/>
                <w:szCs w:val="21"/>
                <w:highlight w:val="none"/>
              </w:rPr>
              <w:t>V</w:t>
            </w:r>
            <w:r>
              <w:rPr>
                <w:rFonts w:hint="eastAsia" w:ascii="宋体" w:hAnsi="宋体"/>
                <w:szCs w:val="21"/>
                <w:highlight w:val="none"/>
              </w:rPr>
              <w:t>镜1套，备用电池套装（含充电器）1套，外置机头话筒1套以及专用摄像包1套</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w:t>
            </w:r>
          </w:p>
        </w:tc>
      </w:tr>
      <w:tr>
        <w:tblPrEx>
          <w:tblCellMar>
            <w:top w:w="0" w:type="dxa"/>
            <w:left w:w="108" w:type="dxa"/>
            <w:bottom w:w="0" w:type="dxa"/>
            <w:right w:w="108" w:type="dxa"/>
          </w:tblCellMar>
        </w:tblPrEx>
        <w:trPr>
          <w:trHeight w:val="324"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0" w:lineRule="atLeast"/>
              <w:jc w:val="center"/>
              <w:rPr>
                <w:rFonts w:ascii="宋体" w:hAnsi="宋体"/>
                <w:szCs w:val="21"/>
                <w:highlight w:val="none"/>
              </w:rPr>
            </w:pPr>
            <w:r>
              <w:rPr>
                <w:rFonts w:hint="eastAsia" w:ascii="宋体" w:hAnsi="宋体"/>
                <w:szCs w:val="21"/>
                <w:highlight w:val="none"/>
              </w:rPr>
              <w:t>摄像机三脚架</w:t>
            </w:r>
          </w:p>
        </w:tc>
        <w:tc>
          <w:tcPr>
            <w:tcW w:w="6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left"/>
              <w:rPr>
                <w:rFonts w:ascii="宋体" w:hAnsi="宋体"/>
                <w:szCs w:val="21"/>
                <w:highlight w:val="none"/>
              </w:rPr>
            </w:pPr>
            <w:r>
              <w:rPr>
                <w:rFonts w:hint="eastAsia" w:ascii="宋体" w:hAnsi="宋体"/>
                <w:color w:val="333333"/>
                <w:szCs w:val="21"/>
                <w:highlight w:val="none"/>
                <w:shd w:val="clear" w:color="auto" w:fill="FFFFFF"/>
              </w:rPr>
              <w:t>★</w:t>
            </w: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三脚架承重不小于5kg。</w:t>
            </w:r>
          </w:p>
          <w:p>
            <w:pPr>
              <w:spacing w:line="260" w:lineRule="exact"/>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球碗直径7</w:t>
            </w:r>
            <w:r>
              <w:rPr>
                <w:rFonts w:ascii="宋体" w:hAnsi="宋体"/>
                <w:szCs w:val="21"/>
                <w:highlight w:val="none"/>
              </w:rPr>
              <w:t>5</w:t>
            </w:r>
            <w:r>
              <w:rPr>
                <w:rFonts w:hint="eastAsia" w:ascii="宋体" w:hAnsi="宋体"/>
                <w:szCs w:val="21"/>
                <w:highlight w:val="none"/>
              </w:rPr>
              <w:t>mm。</w:t>
            </w:r>
          </w:p>
          <w:p>
            <w:pPr>
              <w:spacing w:line="260" w:lineRule="exact"/>
              <w:jc w:val="left"/>
              <w:rPr>
                <w:rFonts w:ascii="宋体" w:hAnsi="宋体"/>
                <w:szCs w:val="21"/>
                <w:highlight w:val="none"/>
              </w:rPr>
            </w:pPr>
            <w:r>
              <w:rPr>
                <w:rFonts w:ascii="宋体" w:hAnsi="宋体"/>
                <w:szCs w:val="21"/>
                <w:highlight w:val="none"/>
              </w:rPr>
              <w:t>3.</w:t>
            </w:r>
            <w:r>
              <w:rPr>
                <w:rFonts w:hint="eastAsia" w:ascii="宋体" w:hAnsi="宋体"/>
                <w:szCs w:val="21"/>
                <w:highlight w:val="none"/>
              </w:rPr>
              <w:t>脚架材质碳纤.</w:t>
            </w:r>
          </w:p>
          <w:p>
            <w:pPr>
              <w:spacing w:line="260" w:lineRule="exact"/>
              <w:jc w:val="left"/>
              <w:rPr>
                <w:rFonts w:ascii="宋体" w:hAnsi="宋体"/>
                <w:szCs w:val="21"/>
                <w:highlight w:val="none"/>
              </w:rPr>
            </w:pPr>
            <w:r>
              <w:rPr>
                <w:rFonts w:ascii="宋体" w:hAnsi="宋体"/>
                <w:szCs w:val="21"/>
                <w:highlight w:val="none"/>
              </w:rPr>
              <w:t>4.</w:t>
            </w:r>
            <w:r>
              <w:rPr>
                <w:rFonts w:hint="eastAsia" w:ascii="宋体" w:hAnsi="宋体"/>
                <w:szCs w:val="21"/>
                <w:highlight w:val="none"/>
              </w:rPr>
              <w:t>脚架最大高度不小于1510 mm，最小高度不小于 670mm</w:t>
            </w:r>
          </w:p>
          <w:p>
            <w:pPr>
              <w:widowControl/>
              <w:spacing w:line="260" w:lineRule="exact"/>
              <w:jc w:val="left"/>
              <w:rPr>
                <w:rFonts w:ascii="宋体" w:hAnsi="宋体"/>
                <w:szCs w:val="21"/>
                <w:highlight w:val="none"/>
              </w:rPr>
            </w:pPr>
            <w:r>
              <w:rPr>
                <w:rFonts w:ascii="宋体" w:hAnsi="宋体"/>
                <w:szCs w:val="21"/>
                <w:highlight w:val="none"/>
              </w:rPr>
              <w:t>5.</w:t>
            </w:r>
            <w:r>
              <w:rPr>
                <w:rFonts w:hint="eastAsia" w:ascii="宋体" w:hAnsi="宋体"/>
                <w:szCs w:val="21"/>
                <w:highlight w:val="none"/>
              </w:rPr>
              <w:t>脚架管径不小于16 mm</w:t>
            </w:r>
          </w:p>
          <w:p>
            <w:pPr>
              <w:widowControl/>
              <w:spacing w:line="260" w:lineRule="exact"/>
              <w:jc w:val="left"/>
              <w:rPr>
                <w:rFonts w:ascii="宋体" w:hAnsi="宋体"/>
                <w:szCs w:val="21"/>
                <w:highlight w:val="none"/>
              </w:rPr>
            </w:pPr>
            <w:r>
              <w:rPr>
                <w:rFonts w:ascii="宋体" w:hAnsi="宋体"/>
                <w:szCs w:val="21"/>
                <w:highlight w:val="none"/>
              </w:rPr>
              <w:t>6.</w:t>
            </w:r>
            <w:r>
              <w:rPr>
                <w:rFonts w:hint="eastAsia" w:ascii="宋体" w:hAnsi="宋体"/>
                <w:szCs w:val="21"/>
                <w:highlight w:val="none"/>
              </w:rPr>
              <w:t>脚架级数单级2节</w:t>
            </w:r>
          </w:p>
          <w:p>
            <w:pPr>
              <w:widowControl/>
              <w:spacing w:line="260" w:lineRule="exact"/>
              <w:jc w:val="left"/>
              <w:rPr>
                <w:rFonts w:ascii="宋体" w:hAnsi="宋体"/>
                <w:kern w:val="0"/>
                <w:szCs w:val="21"/>
                <w:highlight w:val="none"/>
              </w:rPr>
            </w:pPr>
            <w:r>
              <w:rPr>
                <w:rFonts w:hint="eastAsia" w:ascii="宋体" w:hAnsi="宋体"/>
                <w:szCs w:val="21"/>
                <w:highlight w:val="none"/>
              </w:rPr>
              <w:t>7.配置专用脚轮</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szCs w:val="21"/>
                <w:highlight w:val="none"/>
              </w:rPr>
              <w:t>个</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w:t>
            </w:r>
          </w:p>
        </w:tc>
      </w:tr>
      <w:tr>
        <w:tblPrEx>
          <w:tblCellMar>
            <w:top w:w="0" w:type="dxa"/>
            <w:left w:w="108" w:type="dxa"/>
            <w:bottom w:w="0" w:type="dxa"/>
            <w:right w:w="108" w:type="dxa"/>
          </w:tblCellMar>
        </w:tblPrEx>
        <w:trPr>
          <w:trHeight w:val="346"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0" w:lineRule="atLeast"/>
              <w:jc w:val="center"/>
              <w:rPr>
                <w:rFonts w:ascii="宋体" w:hAnsi="宋体"/>
                <w:szCs w:val="21"/>
                <w:highlight w:val="none"/>
              </w:rPr>
            </w:pPr>
            <w:r>
              <w:rPr>
                <w:rFonts w:hint="eastAsia" w:ascii="宋体" w:hAnsi="宋体"/>
                <w:szCs w:val="21"/>
                <w:highlight w:val="none"/>
              </w:rPr>
              <w:t>数据返送系统</w:t>
            </w:r>
          </w:p>
        </w:tc>
        <w:tc>
          <w:tcPr>
            <w:tcW w:w="6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知名品牌，屏幕尺寸不低于55寸。</w:t>
            </w:r>
          </w:p>
          <w:p>
            <w:pPr>
              <w:spacing w:line="260" w:lineRule="exact"/>
              <w:jc w:val="left"/>
              <w:rPr>
                <w:rFonts w:ascii="宋体" w:hAnsi="宋体" w:cs="Tahoma"/>
                <w:szCs w:val="21"/>
                <w:highlight w:val="none"/>
                <w:shd w:val="clear" w:color="auto" w:fill="FFFFFF"/>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显示分辨率支持</w:t>
            </w:r>
            <w:r>
              <w:rPr>
                <w:rFonts w:ascii="宋体" w:hAnsi="宋体" w:cs="Tahoma"/>
                <w:szCs w:val="21"/>
                <w:highlight w:val="none"/>
                <w:shd w:val="clear" w:color="auto" w:fill="FFFFFF"/>
              </w:rPr>
              <w:t>3840*2160</w:t>
            </w:r>
          </w:p>
          <w:p>
            <w:pPr>
              <w:spacing w:line="260" w:lineRule="exact"/>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屏幕支持HDR显示</w:t>
            </w:r>
          </w:p>
          <w:p>
            <w:pPr>
              <w:spacing w:line="260" w:lineRule="exact"/>
              <w:jc w:val="left"/>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四核CPU。</w:t>
            </w:r>
          </w:p>
          <w:p>
            <w:pPr>
              <w:spacing w:line="260" w:lineRule="exact"/>
              <w:jc w:val="left"/>
              <w:rPr>
                <w:rFonts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存储内存</w:t>
            </w:r>
            <w:r>
              <w:rPr>
                <w:rFonts w:ascii="宋体" w:hAnsi="宋体"/>
                <w:szCs w:val="21"/>
                <w:highlight w:val="none"/>
              </w:rPr>
              <w:t>8GB</w:t>
            </w:r>
            <w:r>
              <w:rPr>
                <w:rFonts w:hint="eastAsia" w:ascii="宋体" w:hAnsi="宋体"/>
                <w:szCs w:val="21"/>
                <w:highlight w:val="none"/>
              </w:rPr>
              <w:t>。</w:t>
            </w:r>
          </w:p>
          <w:p>
            <w:pPr>
              <w:spacing w:line="260" w:lineRule="exact"/>
              <w:jc w:val="left"/>
              <w:rPr>
                <w:rFonts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USB2.0接口2个，HDMI2.0接口2个。</w:t>
            </w:r>
          </w:p>
          <w:p>
            <w:pPr>
              <w:spacing w:line="260" w:lineRule="exact"/>
              <w:jc w:val="left"/>
              <w:rPr>
                <w:rFonts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显示亮度200-300尼特。</w:t>
            </w:r>
          </w:p>
          <w:p>
            <w:pPr>
              <w:spacing w:line="260" w:lineRule="exact"/>
              <w:jc w:val="left"/>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屏占比95%&gt;N≥90%。</w:t>
            </w:r>
          </w:p>
          <w:p>
            <w:pPr>
              <w:spacing w:line="260" w:lineRule="exact"/>
              <w:jc w:val="left"/>
              <w:rPr>
                <w:rFonts w:ascii="宋体" w:hAnsi="宋体"/>
                <w:szCs w:val="21"/>
                <w:highlight w:val="none"/>
              </w:rPr>
            </w:pPr>
            <w:r>
              <w:rPr>
                <w:rFonts w:hint="eastAsia" w:ascii="宋体" w:hAnsi="宋体"/>
                <w:szCs w:val="21"/>
                <w:highlight w:val="none"/>
              </w:rPr>
              <w:t>9</w:t>
            </w:r>
            <w:r>
              <w:rPr>
                <w:rFonts w:ascii="宋体" w:hAnsi="宋体"/>
                <w:szCs w:val="21"/>
                <w:highlight w:val="none"/>
              </w:rPr>
              <w:t>.</w:t>
            </w:r>
            <w:r>
              <w:rPr>
                <w:rFonts w:hint="eastAsia" w:ascii="宋体" w:hAnsi="宋体"/>
                <w:szCs w:val="21"/>
                <w:highlight w:val="none"/>
              </w:rPr>
              <w:t>运行内存/RAM 不低于2</w:t>
            </w:r>
            <w:r>
              <w:rPr>
                <w:rFonts w:ascii="宋体" w:hAnsi="宋体"/>
                <w:szCs w:val="21"/>
                <w:highlight w:val="none"/>
              </w:rPr>
              <w:t>GB</w:t>
            </w:r>
          </w:p>
          <w:p>
            <w:pPr>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.配套落地移动支架（1.</w:t>
            </w:r>
            <w:r>
              <w:rPr>
                <w:rFonts w:ascii="宋体" w:hAnsi="宋体"/>
                <w:szCs w:val="21"/>
                <w:highlight w:val="none"/>
              </w:rPr>
              <w:t>5M-1</w:t>
            </w:r>
            <w:r>
              <w:rPr>
                <w:rFonts w:hint="eastAsia" w:ascii="宋体" w:hAnsi="宋体"/>
                <w:szCs w:val="21"/>
                <w:highlight w:val="none"/>
              </w:rPr>
              <w:t>.</w:t>
            </w:r>
            <w:r>
              <w:rPr>
                <w:rFonts w:ascii="宋体" w:hAnsi="宋体"/>
                <w:szCs w:val="21"/>
                <w:highlight w:val="none"/>
              </w:rPr>
              <w:t>8M</w:t>
            </w:r>
            <w:r>
              <w:rPr>
                <w:rFonts w:hint="eastAsia" w:ascii="宋体" w:hAnsi="宋体"/>
                <w:szCs w:val="21"/>
                <w:highlight w:val="none"/>
              </w:rPr>
              <w:t>高度可调）</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szCs w:val="21"/>
                <w:highlight w:val="none"/>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8</w:t>
            </w:r>
          </w:p>
        </w:tc>
      </w:tr>
      <w:tr>
        <w:tblPrEx>
          <w:tblCellMar>
            <w:top w:w="0" w:type="dxa"/>
            <w:left w:w="108" w:type="dxa"/>
            <w:bottom w:w="0" w:type="dxa"/>
            <w:right w:w="108" w:type="dxa"/>
          </w:tblCellMar>
        </w:tblPrEx>
        <w:trPr>
          <w:trHeight w:val="334"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4</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0" w:lineRule="atLeast"/>
              <w:jc w:val="center"/>
              <w:rPr>
                <w:rFonts w:ascii="宋体" w:hAnsi="宋体"/>
                <w:szCs w:val="21"/>
                <w:highlight w:val="none"/>
              </w:rPr>
            </w:pPr>
            <w:r>
              <w:rPr>
                <w:rFonts w:hint="eastAsia" w:ascii="宋体" w:hAnsi="宋体"/>
                <w:szCs w:val="21"/>
                <w:highlight w:val="none"/>
              </w:rPr>
              <w:t>调音台</w:t>
            </w:r>
          </w:p>
        </w:tc>
        <w:tc>
          <w:tcPr>
            <w:tcW w:w="6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.知名品牌，不少于12通道调音台（4单声道+</w:t>
            </w:r>
            <w:r>
              <w:rPr>
                <w:rFonts w:ascii="宋体" w:hAnsi="宋体"/>
                <w:szCs w:val="21"/>
                <w:highlight w:val="none"/>
              </w:rPr>
              <w:t>4</w:t>
            </w:r>
            <w:r>
              <w:rPr>
                <w:rFonts w:hint="eastAsia" w:ascii="宋体" w:hAnsi="宋体"/>
                <w:szCs w:val="21"/>
                <w:highlight w:val="none"/>
              </w:rPr>
              <w:t>立体声）</w:t>
            </w:r>
          </w:p>
          <w:p>
            <w:pPr>
              <w:spacing w:line="260" w:lineRule="exact"/>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.支持不少于6个话筒 / 12个线路输入 (6个单声道 + 3个立体声)</w:t>
            </w:r>
          </w:p>
          <w:p>
            <w:pPr>
              <w:spacing w:line="260" w:lineRule="exact"/>
              <w:jc w:val="left"/>
              <w:rPr>
                <w:rFonts w:ascii="宋体" w:hAnsi="宋体"/>
                <w:szCs w:val="21"/>
                <w:highlight w:val="none"/>
              </w:rPr>
            </w:pPr>
            <w:r>
              <w:rPr>
                <w:rFonts w:hint="eastAsia" w:ascii="宋体" w:hAnsi="宋体"/>
                <w:szCs w:val="21"/>
                <w:highlight w:val="none"/>
              </w:rPr>
              <w:t>3.提供2编组母线+1立体声母线</w:t>
            </w:r>
          </w:p>
          <w:p>
            <w:pPr>
              <w:spacing w:line="260" w:lineRule="exact"/>
              <w:jc w:val="left"/>
              <w:rPr>
                <w:rFonts w:ascii="宋体" w:hAnsi="宋体"/>
                <w:szCs w:val="21"/>
                <w:highlight w:val="none"/>
              </w:rPr>
            </w:pPr>
            <w:r>
              <w:rPr>
                <w:rFonts w:ascii="宋体" w:hAnsi="宋体"/>
                <w:szCs w:val="21"/>
                <w:highlight w:val="none"/>
              </w:rPr>
              <w:t>4</w:t>
            </w:r>
            <w:r>
              <w:rPr>
                <w:rFonts w:hint="eastAsia" w:ascii="宋体" w:hAnsi="宋体"/>
                <w:szCs w:val="21"/>
                <w:highlight w:val="none"/>
              </w:rPr>
              <w:t>.具备倒向晶体管电路。</w:t>
            </w:r>
          </w:p>
          <w:p>
            <w:pPr>
              <w:spacing w:line="260" w:lineRule="exact"/>
              <w:jc w:val="left"/>
              <w:rPr>
                <w:rFonts w:ascii="宋体" w:hAnsi="宋体"/>
                <w:szCs w:val="21"/>
                <w:highlight w:val="none"/>
              </w:rPr>
            </w:pPr>
            <w:r>
              <w:rPr>
                <w:rFonts w:hint="eastAsia" w:ascii="宋体" w:hAnsi="宋体"/>
                <w:szCs w:val="21"/>
                <w:highlight w:val="none"/>
              </w:rPr>
              <w:t>5.支持不少于24组预置常用效果器</w:t>
            </w:r>
          </w:p>
          <w:p>
            <w:pPr>
              <w:spacing w:line="260" w:lineRule="exact"/>
              <w:jc w:val="left"/>
              <w:rPr>
                <w:rFonts w:ascii="宋体" w:hAnsi="宋体"/>
                <w:szCs w:val="21"/>
                <w:highlight w:val="none"/>
              </w:rPr>
            </w:pPr>
            <w:r>
              <w:rPr>
                <w:rFonts w:ascii="宋体" w:hAnsi="宋体"/>
                <w:szCs w:val="21"/>
                <w:highlight w:val="none"/>
              </w:rPr>
              <w:t>6</w:t>
            </w:r>
            <w:r>
              <w:rPr>
                <w:rFonts w:hint="eastAsia" w:ascii="宋体" w:hAnsi="宋体"/>
                <w:szCs w:val="21"/>
                <w:highlight w:val="none"/>
              </w:rPr>
              <w:t>.支持24-bit/192kHz 2进/2出 USB音频功能</w:t>
            </w:r>
          </w:p>
          <w:p>
            <w:pPr>
              <w:spacing w:line="260" w:lineRule="exact"/>
              <w:jc w:val="left"/>
              <w:rPr>
                <w:rFonts w:ascii="宋体" w:hAnsi="宋体"/>
                <w:szCs w:val="21"/>
                <w:highlight w:val="none"/>
              </w:rPr>
            </w:pPr>
            <w:r>
              <w:rPr>
                <w:rFonts w:hint="eastAsia" w:ascii="宋体" w:hAnsi="宋体"/>
                <w:szCs w:val="21"/>
                <w:highlight w:val="none"/>
              </w:rPr>
              <w:t>7.支持+48V幻象供电及XLR平衡输出。</w:t>
            </w:r>
          </w:p>
          <w:p>
            <w:pPr>
              <w:spacing w:line="260" w:lineRule="exact"/>
              <w:jc w:val="left"/>
              <w:rPr>
                <w:rFonts w:ascii="宋体" w:hAnsi="宋体"/>
                <w:szCs w:val="21"/>
                <w:highlight w:val="none"/>
              </w:rPr>
            </w:pPr>
            <w:r>
              <w:rPr>
                <w:rFonts w:hint="eastAsia" w:ascii="宋体" w:hAnsi="宋体"/>
                <w:szCs w:val="21"/>
                <w:highlight w:val="none"/>
              </w:rPr>
              <w:t>8.金属机身</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szCs w:val="21"/>
                <w:highlight w:val="none"/>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373"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5</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0" w:lineRule="atLeast"/>
              <w:jc w:val="center"/>
              <w:rPr>
                <w:rFonts w:ascii="宋体" w:hAnsi="宋体"/>
                <w:szCs w:val="21"/>
                <w:highlight w:val="none"/>
              </w:rPr>
            </w:pPr>
            <w:r>
              <w:rPr>
                <w:rFonts w:hint="eastAsia" w:ascii="宋体" w:hAnsi="宋体"/>
                <w:szCs w:val="21"/>
                <w:highlight w:val="none"/>
              </w:rPr>
              <w:t>无线领夹话筒</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ascii="宋体" w:hAnsi="宋体"/>
                <w:szCs w:val="21"/>
                <w:highlight w:val="none"/>
              </w:rPr>
            </w:pPr>
            <w:r>
              <w:rPr>
                <w:rFonts w:hint="eastAsia" w:ascii="宋体" w:hAnsi="宋体"/>
                <w:szCs w:val="21"/>
                <w:highlight w:val="none"/>
              </w:rPr>
              <w:t>知名品牌</w:t>
            </w:r>
          </w:p>
          <w:p>
            <w:pPr>
              <w:spacing w:line="260" w:lineRule="exact"/>
              <w:jc w:val="left"/>
              <w:rPr>
                <w:rFonts w:ascii="宋体" w:hAnsi="宋体"/>
                <w:szCs w:val="21"/>
                <w:highlight w:val="none"/>
              </w:rPr>
            </w:pPr>
            <w:r>
              <w:rPr>
                <w:rFonts w:hint="eastAsia" w:ascii="宋体" w:hAnsi="宋体"/>
                <w:szCs w:val="21"/>
                <w:highlight w:val="none"/>
              </w:rPr>
              <w:t>接收器具体要求：</w:t>
            </w:r>
          </w:p>
          <w:p>
            <w:pPr>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信噪比：60 dB (1 kHz正弦波，5kHz调制)</w:t>
            </w:r>
          </w:p>
          <w:p>
            <w:pPr>
              <w:spacing w:line="260" w:lineRule="exact"/>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失真：(T.H.D)0.9%或更低(1kHz正弦波，5kHz调制)</w:t>
            </w:r>
          </w:p>
          <w:p>
            <w:pPr>
              <w:spacing w:line="260" w:lineRule="exact"/>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音频延迟： 约0.35毫秒（模拟输出)约0.24毫秒(数字输出)</w:t>
            </w:r>
          </w:p>
          <w:p>
            <w:pPr>
              <w:spacing w:line="260" w:lineRule="exact"/>
              <w:jc w:val="left"/>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音频输出接口：3.5 mm直径3极锁定迷你插孔，外部连接</w:t>
            </w:r>
          </w:p>
          <w:p>
            <w:pPr>
              <w:pStyle w:val="18"/>
              <w:spacing w:line="260" w:lineRule="exact"/>
              <w:ind w:firstLine="0" w:firstLineChars="0"/>
              <w:jc w:val="left"/>
              <w:rPr>
                <w:rFonts w:ascii="宋体" w:hAnsi="宋体"/>
                <w:sz w:val="21"/>
                <w:szCs w:val="21"/>
                <w:highlight w:val="none"/>
              </w:rPr>
            </w:pPr>
            <w:r>
              <w:rPr>
                <w:rFonts w:hint="eastAsia" w:ascii="宋体" w:hAnsi="宋体"/>
                <w:sz w:val="21"/>
                <w:szCs w:val="21"/>
                <w:highlight w:val="none"/>
              </w:rPr>
              <w:t>5</w:t>
            </w:r>
            <w:r>
              <w:rPr>
                <w:rFonts w:ascii="宋体" w:hAnsi="宋体"/>
                <w:sz w:val="21"/>
                <w:szCs w:val="21"/>
                <w:highlight w:val="none"/>
              </w:rPr>
              <w:t>.</w:t>
            </w:r>
            <w:r>
              <w:rPr>
                <w:rFonts w:hint="eastAsia" w:ascii="宋体" w:hAnsi="宋体"/>
                <w:sz w:val="21"/>
                <w:szCs w:val="21"/>
                <w:highlight w:val="none"/>
              </w:rPr>
              <w:t>模拟音频输出调整范围：-12dB至+12dB (3dB步进)</w:t>
            </w:r>
          </w:p>
          <w:p>
            <w:pPr>
              <w:pStyle w:val="18"/>
              <w:spacing w:line="260" w:lineRule="exact"/>
              <w:ind w:firstLine="0" w:firstLineChars="0"/>
              <w:jc w:val="left"/>
              <w:rPr>
                <w:rFonts w:ascii="宋体" w:hAnsi="宋体"/>
                <w:sz w:val="21"/>
                <w:szCs w:val="21"/>
                <w:highlight w:val="none"/>
              </w:rPr>
            </w:pPr>
            <w:r>
              <w:rPr>
                <w:rFonts w:hint="eastAsia" w:ascii="宋体" w:hAnsi="宋体"/>
                <w:sz w:val="21"/>
                <w:szCs w:val="21"/>
                <w:highlight w:val="none"/>
              </w:rPr>
              <w:t>6</w:t>
            </w:r>
            <w:r>
              <w:rPr>
                <w:rFonts w:ascii="宋体" w:hAnsi="宋体"/>
                <w:sz w:val="21"/>
                <w:szCs w:val="21"/>
                <w:highlight w:val="none"/>
              </w:rPr>
              <w:t>.</w:t>
            </w:r>
            <w:r>
              <w:rPr>
                <w:rFonts w:hint="eastAsia" w:ascii="宋体" w:hAnsi="宋体"/>
                <w:sz w:val="21"/>
                <w:szCs w:val="21"/>
                <w:highlight w:val="none"/>
              </w:rPr>
              <w:t>监听耳机输出接口3.5 mm直径迷你插孔</w:t>
            </w:r>
          </w:p>
          <w:p>
            <w:pPr>
              <w:pStyle w:val="18"/>
              <w:spacing w:line="260" w:lineRule="exact"/>
              <w:ind w:firstLine="0" w:firstLineChars="0"/>
              <w:jc w:val="left"/>
              <w:rPr>
                <w:rFonts w:ascii="宋体" w:hAnsi="宋体"/>
                <w:sz w:val="21"/>
                <w:szCs w:val="21"/>
                <w:highlight w:val="none"/>
              </w:rPr>
            </w:pPr>
            <w:r>
              <w:rPr>
                <w:rFonts w:hint="eastAsia" w:ascii="宋体" w:hAnsi="宋体"/>
                <w:sz w:val="21"/>
                <w:szCs w:val="21"/>
                <w:highlight w:val="none"/>
              </w:rPr>
              <w:t>7</w:t>
            </w:r>
            <w:r>
              <w:rPr>
                <w:rFonts w:ascii="宋体" w:hAnsi="宋体"/>
                <w:sz w:val="21"/>
                <w:szCs w:val="21"/>
                <w:highlight w:val="none"/>
              </w:rPr>
              <w:t>.</w:t>
            </w:r>
            <w:r>
              <w:rPr>
                <w:rFonts w:hint="eastAsia" w:ascii="宋体" w:hAnsi="宋体"/>
                <w:sz w:val="21"/>
                <w:szCs w:val="21"/>
                <w:highlight w:val="none"/>
              </w:rPr>
              <w:t>耳机输出电平：最大10mW (16 ohm)</w:t>
            </w:r>
          </w:p>
          <w:p>
            <w:pPr>
              <w:pStyle w:val="18"/>
              <w:spacing w:line="260" w:lineRule="exact"/>
              <w:ind w:firstLine="0" w:firstLineChars="0"/>
              <w:jc w:val="left"/>
              <w:rPr>
                <w:rFonts w:ascii="宋体" w:hAnsi="宋体"/>
                <w:sz w:val="21"/>
                <w:szCs w:val="21"/>
                <w:highlight w:val="none"/>
              </w:rPr>
            </w:pPr>
            <w:r>
              <w:rPr>
                <w:rFonts w:hint="eastAsia" w:ascii="宋体" w:hAnsi="宋体"/>
                <w:sz w:val="21"/>
                <w:szCs w:val="21"/>
                <w:highlight w:val="none"/>
              </w:rPr>
              <w:t>发射器具体要求：</w:t>
            </w:r>
          </w:p>
          <w:p>
            <w:pPr>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指向性：全指向</w:t>
            </w:r>
          </w:p>
          <w:p>
            <w:pPr>
              <w:spacing w:line="260" w:lineRule="exact"/>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输入接口：3.5 mm直径3极锁定迷你插孔</w:t>
            </w:r>
          </w:p>
          <w:p>
            <w:pPr>
              <w:spacing w:line="260" w:lineRule="exact"/>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参考音频输入电平：-60 dBV (麦克风输入，GAIN MODE设置为NORMAL，0dB衰减)</w:t>
            </w:r>
          </w:p>
          <w:p>
            <w:pPr>
              <w:spacing w:line="260" w:lineRule="exact"/>
              <w:jc w:val="left"/>
              <w:rPr>
                <w:rFonts w:ascii="宋体" w:hAnsi="宋体"/>
                <w:szCs w:val="21"/>
                <w:highlight w:val="none"/>
              </w:rPr>
            </w:pPr>
            <w:r>
              <w:rPr>
                <w:rFonts w:hint="eastAsia" w:ascii="宋体" w:hAnsi="宋体"/>
                <w:szCs w:val="21"/>
                <w:highlight w:val="none"/>
              </w:rPr>
              <w:t>+4 dBu (线路输入)</w:t>
            </w:r>
          </w:p>
          <w:p>
            <w:pPr>
              <w:spacing w:line="260" w:lineRule="exact"/>
              <w:jc w:val="left"/>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音频哀减器调整范围：0 dB到27dB (3dB步长)</w:t>
            </w:r>
          </w:p>
          <w:p>
            <w:pPr>
              <w:spacing w:line="260" w:lineRule="exact"/>
              <w:jc w:val="left"/>
              <w:rPr>
                <w:rFonts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信噪比：60 dB (-60 dBV，1kHz输入)102 dB (GAIN MODE设置为AUTO GAIN、最大)96 dB (GAIN MODE设置为NORMAL、最大)</w:t>
            </w:r>
          </w:p>
          <w:p>
            <w:pPr>
              <w:spacing w:line="260" w:lineRule="exact"/>
              <w:jc w:val="left"/>
              <w:rPr>
                <w:rFonts w:ascii="宋体" w:hAnsi="宋体"/>
                <w:szCs w:val="21"/>
                <w:highlight w:val="none"/>
              </w:rPr>
            </w:pPr>
            <w:r>
              <w:rPr>
                <w:rFonts w:hint="eastAsia" w:ascii="宋体" w:hAnsi="宋体"/>
                <w:szCs w:val="21"/>
                <w:highlight w:val="none"/>
              </w:rPr>
              <w:t>失真：0.9%或更低(-60 dBv,1 kHz输入)</w:t>
            </w:r>
          </w:p>
          <w:p>
            <w:pPr>
              <w:spacing w:line="260" w:lineRule="exact"/>
              <w:jc w:val="left"/>
              <w:rPr>
                <w:rFonts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音频延迟：0.35 ms</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w:t>
            </w:r>
          </w:p>
        </w:tc>
      </w:tr>
      <w:tr>
        <w:tblPrEx>
          <w:tblCellMar>
            <w:top w:w="0" w:type="dxa"/>
            <w:left w:w="108" w:type="dxa"/>
            <w:bottom w:w="0" w:type="dxa"/>
            <w:right w:w="108" w:type="dxa"/>
          </w:tblCellMar>
        </w:tblPrEx>
        <w:trPr>
          <w:trHeight w:val="363"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6</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0" w:lineRule="atLeast"/>
              <w:jc w:val="center"/>
              <w:rPr>
                <w:rFonts w:ascii="宋体" w:hAnsi="宋体"/>
                <w:szCs w:val="21"/>
                <w:highlight w:val="none"/>
              </w:rPr>
            </w:pPr>
            <w:r>
              <w:rPr>
                <w:rFonts w:hint="eastAsia" w:ascii="宋体" w:hAnsi="宋体"/>
                <w:szCs w:val="21"/>
                <w:highlight w:val="none"/>
              </w:rPr>
              <w:t>专业监听耳机</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知名品牌，降噪专业全封闭录音监听有线耳机</w:t>
            </w:r>
          </w:p>
          <w:p>
            <w:pPr>
              <w:widowControl/>
              <w:spacing w:line="260" w:lineRule="exact"/>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频率范围不低于5-35000Hz 阻抗 250Ω</w:t>
            </w:r>
          </w:p>
          <w:p>
            <w:pPr>
              <w:widowControl/>
              <w:spacing w:line="260" w:lineRule="exact"/>
              <w:jc w:val="left"/>
              <w:rPr>
                <w:rFonts w:ascii="宋体" w:hAnsi="宋体"/>
                <w:szCs w:val="21"/>
                <w:highlight w:val="none"/>
              </w:rPr>
            </w:pPr>
            <w:r>
              <w:rPr>
                <w:rFonts w:ascii="宋体" w:hAnsi="宋体"/>
                <w:szCs w:val="21"/>
                <w:highlight w:val="none"/>
              </w:rPr>
              <w:t>3.</w:t>
            </w:r>
            <w:r>
              <w:rPr>
                <w:rFonts w:hint="eastAsia" w:ascii="宋体" w:hAnsi="宋体"/>
                <w:szCs w:val="21"/>
                <w:highlight w:val="none"/>
              </w:rPr>
              <w:t>灵敏度 ≥96dB</w:t>
            </w:r>
          </w:p>
          <w:p>
            <w:pPr>
              <w:widowControl/>
              <w:spacing w:line="260" w:lineRule="exact"/>
              <w:jc w:val="left"/>
              <w:rPr>
                <w:rFonts w:ascii="宋体" w:hAnsi="宋体"/>
                <w:szCs w:val="21"/>
                <w:highlight w:val="none"/>
              </w:rPr>
            </w:pPr>
            <w:r>
              <w:rPr>
                <w:rFonts w:ascii="宋体" w:hAnsi="宋体"/>
                <w:szCs w:val="21"/>
                <w:highlight w:val="none"/>
              </w:rPr>
              <w:t>4.</w:t>
            </w:r>
            <w:r>
              <w:rPr>
                <w:rFonts w:hint="eastAsia" w:ascii="宋体" w:hAnsi="宋体"/>
                <w:szCs w:val="21"/>
                <w:highlight w:val="none"/>
              </w:rPr>
              <w:t>插头/接口 3.5mm/6.3mm 线缆长度不小于 3m</w:t>
            </w:r>
          </w:p>
          <w:p>
            <w:pPr>
              <w:widowControl/>
              <w:spacing w:line="260" w:lineRule="exact"/>
              <w:jc w:val="left"/>
              <w:rPr>
                <w:rFonts w:ascii="宋体" w:hAnsi="宋体"/>
                <w:szCs w:val="21"/>
                <w:highlight w:val="none"/>
              </w:rPr>
            </w:pPr>
            <w:r>
              <w:rPr>
                <w:rFonts w:ascii="宋体" w:hAnsi="宋体"/>
                <w:szCs w:val="21"/>
                <w:highlight w:val="none"/>
              </w:rPr>
              <w:t>5.</w:t>
            </w:r>
            <w:r>
              <w:rPr>
                <w:rFonts w:hint="eastAsia" w:ascii="宋体" w:hAnsi="宋体"/>
                <w:szCs w:val="21"/>
                <w:highlight w:val="none"/>
              </w:rPr>
              <w:t>最大功率不小于100mW 频率范围≥5-35000Hz</w:t>
            </w:r>
          </w:p>
          <w:p>
            <w:pPr>
              <w:widowControl/>
              <w:spacing w:line="260" w:lineRule="exact"/>
              <w:jc w:val="left"/>
              <w:rPr>
                <w:rFonts w:ascii="宋体" w:hAnsi="宋体"/>
                <w:szCs w:val="21"/>
                <w:highlight w:val="none"/>
              </w:rPr>
            </w:pPr>
            <w:r>
              <w:rPr>
                <w:rFonts w:ascii="宋体" w:hAnsi="宋体"/>
                <w:szCs w:val="21"/>
                <w:highlight w:val="none"/>
              </w:rPr>
              <w:t>6.</w:t>
            </w:r>
            <w:r>
              <w:rPr>
                <w:rFonts w:hint="eastAsia" w:ascii="宋体" w:hAnsi="宋体"/>
                <w:szCs w:val="21"/>
                <w:highlight w:val="none"/>
              </w:rPr>
              <w:t>阻抗 250Ω</w:t>
            </w:r>
          </w:p>
          <w:p>
            <w:pPr>
              <w:widowControl/>
              <w:spacing w:line="260" w:lineRule="exact"/>
              <w:jc w:val="left"/>
              <w:rPr>
                <w:rFonts w:ascii="宋体" w:hAnsi="宋体"/>
                <w:szCs w:val="21"/>
                <w:highlight w:val="none"/>
              </w:rPr>
            </w:pPr>
            <w:r>
              <w:rPr>
                <w:rFonts w:ascii="宋体" w:hAnsi="宋体"/>
                <w:szCs w:val="21"/>
                <w:highlight w:val="none"/>
              </w:rPr>
              <w:t>7.</w:t>
            </w:r>
            <w:r>
              <w:rPr>
                <w:rFonts w:hint="eastAsia" w:ascii="宋体" w:hAnsi="宋体"/>
                <w:szCs w:val="21"/>
                <w:highlight w:val="none"/>
              </w:rPr>
              <w:t>灵敏度 ≥96dB</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szCs w:val="21"/>
                <w:highlight w:val="none"/>
              </w:rPr>
              <w:t>个</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391"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7</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0" w:lineRule="atLeast"/>
              <w:jc w:val="center"/>
              <w:rPr>
                <w:rFonts w:ascii="宋体" w:hAnsi="宋体"/>
                <w:szCs w:val="21"/>
                <w:highlight w:val="none"/>
              </w:rPr>
            </w:pPr>
            <w:r>
              <w:rPr>
                <w:rFonts w:hint="eastAsia" w:ascii="宋体" w:hAnsi="宋体"/>
                <w:szCs w:val="21"/>
                <w:highlight w:val="none"/>
              </w:rPr>
              <w:t>专业监听音箱</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知名品牌，音箱电源方式：有源音箱</w:t>
            </w:r>
          </w:p>
          <w:p>
            <w:pPr>
              <w:pStyle w:val="18"/>
              <w:spacing w:line="260" w:lineRule="exact"/>
              <w:ind w:firstLine="0" w:firstLineChars="0"/>
              <w:jc w:val="left"/>
              <w:rPr>
                <w:rFonts w:ascii="宋体" w:hAnsi="宋体"/>
                <w:sz w:val="21"/>
                <w:szCs w:val="21"/>
                <w:highlight w:val="none"/>
              </w:rPr>
            </w:pPr>
            <w:r>
              <w:rPr>
                <w:rFonts w:hint="eastAsia" w:ascii="宋体" w:hAnsi="宋体"/>
                <w:sz w:val="21"/>
                <w:szCs w:val="21"/>
                <w:highlight w:val="none"/>
              </w:rPr>
              <w:t>2</w:t>
            </w:r>
            <w:r>
              <w:rPr>
                <w:rFonts w:ascii="宋体" w:hAnsi="宋体"/>
                <w:sz w:val="21"/>
                <w:szCs w:val="21"/>
                <w:highlight w:val="none"/>
              </w:rPr>
              <w:t>.</w:t>
            </w:r>
            <w:r>
              <w:rPr>
                <w:rFonts w:hint="eastAsia" w:ascii="宋体" w:hAnsi="宋体"/>
                <w:sz w:val="21"/>
                <w:szCs w:val="21"/>
                <w:highlight w:val="none"/>
              </w:rPr>
              <w:t>音箱2.0声道系统</w:t>
            </w:r>
          </w:p>
          <w:p>
            <w:pPr>
              <w:pStyle w:val="18"/>
              <w:spacing w:line="260" w:lineRule="exact"/>
              <w:ind w:firstLine="0" w:firstLineChars="0"/>
              <w:jc w:val="left"/>
              <w:rPr>
                <w:rFonts w:ascii="宋体" w:hAnsi="宋体"/>
                <w:sz w:val="21"/>
                <w:szCs w:val="21"/>
                <w:highlight w:val="none"/>
              </w:rPr>
            </w:pPr>
            <w:r>
              <w:rPr>
                <w:rFonts w:hint="eastAsia" w:ascii="宋体" w:hAnsi="宋体"/>
                <w:sz w:val="21"/>
                <w:szCs w:val="21"/>
                <w:highlight w:val="none"/>
              </w:rPr>
              <w:t>3</w:t>
            </w:r>
            <w:r>
              <w:rPr>
                <w:rFonts w:ascii="宋体" w:hAnsi="宋体"/>
                <w:sz w:val="21"/>
                <w:szCs w:val="21"/>
                <w:highlight w:val="none"/>
              </w:rPr>
              <w:t>.</w:t>
            </w:r>
            <w:r>
              <w:rPr>
                <w:rFonts w:hint="eastAsia" w:ascii="宋体" w:hAnsi="宋体"/>
                <w:sz w:val="21"/>
                <w:szCs w:val="21"/>
                <w:highlight w:val="none"/>
              </w:rPr>
              <w:t>旋钮调节方式</w:t>
            </w:r>
          </w:p>
          <w:p>
            <w:pPr>
              <w:pStyle w:val="18"/>
              <w:spacing w:line="260" w:lineRule="exact"/>
              <w:ind w:firstLine="0" w:firstLineChars="0"/>
              <w:jc w:val="left"/>
              <w:rPr>
                <w:rFonts w:ascii="宋体" w:hAnsi="宋体"/>
                <w:sz w:val="21"/>
                <w:szCs w:val="21"/>
                <w:highlight w:val="none"/>
              </w:rPr>
            </w:pPr>
            <w:r>
              <w:rPr>
                <w:rFonts w:hint="eastAsia" w:ascii="宋体" w:hAnsi="宋体"/>
                <w:sz w:val="21"/>
                <w:szCs w:val="21"/>
                <w:highlight w:val="none"/>
              </w:rPr>
              <w:t>4</w:t>
            </w:r>
            <w:r>
              <w:rPr>
                <w:rFonts w:ascii="宋体" w:hAnsi="宋体"/>
                <w:sz w:val="21"/>
                <w:szCs w:val="21"/>
                <w:highlight w:val="none"/>
              </w:rPr>
              <w:t>.</w:t>
            </w:r>
            <w:r>
              <w:rPr>
                <w:rFonts w:hint="eastAsia" w:ascii="宋体" w:hAnsi="宋体"/>
                <w:sz w:val="21"/>
                <w:szCs w:val="21"/>
                <w:highlight w:val="none"/>
              </w:rPr>
              <w:t>频率响应不低于 50Hz-40KHz</w:t>
            </w:r>
          </w:p>
          <w:p>
            <w:pPr>
              <w:spacing w:line="260" w:lineRule="exact"/>
              <w:jc w:val="left"/>
              <w:rPr>
                <w:rFonts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扬声器单元不小于4英寸+1英寸</w:t>
            </w:r>
          </w:p>
          <w:p>
            <w:pPr>
              <w:spacing w:line="260" w:lineRule="exact"/>
              <w:jc w:val="left"/>
              <w:rPr>
                <w:rFonts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信噪比≥95dB</w:t>
            </w:r>
          </w:p>
          <w:p>
            <w:pPr>
              <w:spacing w:line="260" w:lineRule="exact"/>
              <w:jc w:val="left"/>
              <w:rPr>
                <w:rFonts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音频接口3.5mm音频接口</w:t>
            </w:r>
          </w:p>
          <w:p>
            <w:pPr>
              <w:spacing w:line="260" w:lineRule="exact"/>
              <w:jc w:val="left"/>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支持防磁功能</w:t>
            </w:r>
          </w:p>
          <w:p>
            <w:pPr>
              <w:spacing w:line="260" w:lineRule="exact"/>
              <w:jc w:val="left"/>
              <w:rPr>
                <w:rFonts w:ascii="宋体" w:hAnsi="宋体"/>
                <w:szCs w:val="21"/>
                <w:highlight w:val="none"/>
              </w:rPr>
            </w:pPr>
            <w:r>
              <w:rPr>
                <w:rFonts w:hint="eastAsia" w:ascii="宋体" w:hAnsi="宋体"/>
                <w:szCs w:val="21"/>
                <w:highlight w:val="none"/>
              </w:rPr>
              <w:t>9</w:t>
            </w:r>
            <w:r>
              <w:rPr>
                <w:rFonts w:ascii="宋体" w:hAnsi="宋体"/>
                <w:szCs w:val="21"/>
                <w:highlight w:val="none"/>
              </w:rPr>
              <w:t>.</w:t>
            </w:r>
            <w:r>
              <w:rPr>
                <w:rFonts w:hint="eastAsia" w:ascii="宋体" w:hAnsi="宋体"/>
                <w:szCs w:val="21"/>
                <w:highlight w:val="none"/>
              </w:rPr>
              <w:t>音箱尺寸不低于140×228×197mm</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332"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8</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jc w:val="center"/>
              <w:rPr>
                <w:rFonts w:ascii="宋体" w:hAnsi="宋体"/>
                <w:szCs w:val="21"/>
                <w:highlight w:val="none"/>
              </w:rPr>
            </w:pPr>
            <w:r>
              <w:rPr>
                <w:rFonts w:hint="eastAsia" w:ascii="宋体" w:hAnsi="宋体"/>
                <w:szCs w:val="21"/>
                <w:highlight w:val="none"/>
              </w:rPr>
              <w:t>背景绿幕套装</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szCs w:val="21"/>
                <w:highlight w:val="none"/>
              </w:rPr>
              <w:t>1.铝制U型专业背景架</w:t>
            </w:r>
          </w:p>
          <w:p>
            <w:pPr>
              <w:widowControl/>
              <w:spacing w:line="260" w:lineRule="exact"/>
              <w:jc w:val="left"/>
              <w:rPr>
                <w:rFonts w:ascii="宋体" w:hAnsi="宋体"/>
                <w:szCs w:val="21"/>
                <w:highlight w:val="none"/>
              </w:rPr>
            </w:pPr>
            <w:r>
              <w:rPr>
                <w:rFonts w:hint="eastAsia" w:ascii="宋体" w:hAnsi="宋体"/>
                <w:szCs w:val="21"/>
                <w:highlight w:val="none"/>
              </w:rPr>
              <w:t>2.专业绿色无反光抠像布</w:t>
            </w:r>
          </w:p>
          <w:p>
            <w:pPr>
              <w:widowControl/>
              <w:spacing w:line="260" w:lineRule="exact"/>
              <w:jc w:val="left"/>
              <w:rPr>
                <w:rFonts w:ascii="宋体" w:hAnsi="宋体"/>
                <w:szCs w:val="21"/>
                <w:highlight w:val="none"/>
              </w:rPr>
            </w:pPr>
            <w:r>
              <w:rPr>
                <w:rFonts w:hint="eastAsia" w:ascii="宋体" w:hAnsi="宋体"/>
                <w:szCs w:val="21"/>
                <w:highlight w:val="none"/>
              </w:rPr>
              <w:t>3.提供尼龙手提袋</w:t>
            </w:r>
          </w:p>
          <w:p>
            <w:pPr>
              <w:widowControl/>
              <w:spacing w:line="260" w:lineRule="exact"/>
              <w:jc w:val="left"/>
              <w:rPr>
                <w:rFonts w:ascii="宋体" w:hAnsi="宋体"/>
                <w:szCs w:val="21"/>
                <w:highlight w:val="none"/>
              </w:rPr>
            </w:pPr>
            <w:r>
              <w:rPr>
                <w:rFonts w:hint="eastAsia" w:ascii="宋体" w:hAnsi="宋体"/>
                <w:szCs w:val="21"/>
                <w:highlight w:val="none"/>
              </w:rPr>
              <w:t>4.支架支持自动伸缩抽拉折叠</w:t>
            </w:r>
          </w:p>
          <w:p>
            <w:pPr>
              <w:widowControl/>
              <w:spacing w:line="260" w:lineRule="exact"/>
              <w:jc w:val="left"/>
              <w:rPr>
                <w:rFonts w:ascii="宋体" w:hAnsi="宋体"/>
                <w:szCs w:val="21"/>
                <w:highlight w:val="none"/>
              </w:rPr>
            </w:pPr>
            <w:r>
              <w:rPr>
                <w:rFonts w:hint="eastAsia" w:ascii="宋体" w:hAnsi="宋体"/>
                <w:szCs w:val="21"/>
                <w:highlight w:val="none"/>
              </w:rPr>
              <w:t>5.具体尺寸：满足各场地实际需求</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6</w:t>
            </w:r>
          </w:p>
        </w:tc>
      </w:tr>
      <w:tr>
        <w:tblPrEx>
          <w:tblCellMar>
            <w:top w:w="0" w:type="dxa"/>
            <w:left w:w="108" w:type="dxa"/>
            <w:bottom w:w="0" w:type="dxa"/>
            <w:right w:w="108" w:type="dxa"/>
          </w:tblCellMar>
        </w:tblPrEx>
        <w:trPr>
          <w:trHeight w:val="359"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9</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jc w:val="center"/>
              <w:rPr>
                <w:rFonts w:ascii="宋体" w:hAnsi="宋体"/>
                <w:szCs w:val="21"/>
                <w:highlight w:val="none"/>
              </w:rPr>
            </w:pPr>
            <w:r>
              <w:rPr>
                <w:rFonts w:hint="eastAsia" w:ascii="宋体" w:hAnsi="宋体"/>
                <w:szCs w:val="21"/>
                <w:highlight w:val="none"/>
              </w:rPr>
              <w:t>微单相机</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知名品牌，有效像素不低于2</w:t>
            </w:r>
            <w:r>
              <w:rPr>
                <w:rFonts w:ascii="宋体" w:hAnsi="宋体"/>
                <w:szCs w:val="21"/>
                <w:highlight w:val="none"/>
              </w:rPr>
              <w:t>420</w:t>
            </w:r>
            <w:r>
              <w:rPr>
                <w:rFonts w:hint="eastAsia" w:ascii="宋体" w:hAnsi="宋体"/>
                <w:szCs w:val="21"/>
                <w:highlight w:val="none"/>
              </w:rPr>
              <w:t>万像素，支持4K超高清视频拍摄, 支持全像素双核CMOS AF功能。</w:t>
            </w:r>
          </w:p>
          <w:p>
            <w:pPr>
              <w:widowControl/>
              <w:spacing w:line="260" w:lineRule="exact"/>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镜头卡口为EF卡口，随机配套18-55标准变焦镜头</w:t>
            </w:r>
          </w:p>
          <w:p>
            <w:pPr>
              <w:widowControl/>
              <w:spacing w:line="260" w:lineRule="exact"/>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内容记录模式SD存储卡，配置64</w:t>
            </w:r>
            <w:r>
              <w:rPr>
                <w:rFonts w:ascii="宋体" w:hAnsi="宋体"/>
                <w:szCs w:val="21"/>
                <w:highlight w:val="none"/>
              </w:rPr>
              <w:t>G SD</w:t>
            </w:r>
            <w:r>
              <w:rPr>
                <w:rFonts w:hint="eastAsia" w:ascii="宋体" w:hAnsi="宋体"/>
                <w:szCs w:val="21"/>
                <w:highlight w:val="none"/>
              </w:rPr>
              <w:t>卡</w:t>
            </w:r>
          </w:p>
          <w:p>
            <w:pPr>
              <w:spacing w:line="260" w:lineRule="exact"/>
              <w:jc w:val="left"/>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图像类型支持JPEG、RAW</w:t>
            </w:r>
          </w:p>
          <w:p>
            <w:pPr>
              <w:widowControl/>
              <w:spacing w:line="260" w:lineRule="exact"/>
              <w:jc w:val="left"/>
              <w:rPr>
                <w:rFonts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支持TTL辅助影响重合，专用自动对焦传感器的相差检测</w:t>
            </w:r>
          </w:p>
          <w:p>
            <w:pPr>
              <w:widowControl/>
              <w:spacing w:line="260" w:lineRule="exact"/>
              <w:jc w:val="left"/>
              <w:rPr>
                <w:rFonts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对焦模式支持单次自动对焦、人工智能伺服自动对焦、人工智能自动对焦、手动对焦</w:t>
            </w:r>
          </w:p>
          <w:p>
            <w:pPr>
              <w:widowControl/>
              <w:spacing w:line="260" w:lineRule="exact"/>
              <w:jc w:val="left"/>
              <w:rPr>
                <w:rFonts w:ascii="宋体" w:hAnsi="宋体"/>
                <w:szCs w:val="21"/>
                <w:highlight w:val="none"/>
              </w:rPr>
            </w:pPr>
            <w:r>
              <w:rPr>
                <w:rFonts w:ascii="宋体" w:hAnsi="宋体"/>
                <w:szCs w:val="21"/>
                <w:highlight w:val="none"/>
              </w:rPr>
              <w:t>7.</w:t>
            </w:r>
            <w:r>
              <w:rPr>
                <w:rFonts w:hint="eastAsia" w:ascii="宋体" w:hAnsi="宋体"/>
                <w:szCs w:val="21"/>
                <w:highlight w:val="none"/>
              </w:rPr>
              <w:t>设备内置闪光灯</w:t>
            </w:r>
          </w:p>
          <w:p>
            <w:pPr>
              <w:widowControl/>
              <w:spacing w:line="260" w:lineRule="exact"/>
              <w:jc w:val="left"/>
              <w:rPr>
                <w:rFonts w:ascii="宋体" w:hAnsi="宋体"/>
                <w:szCs w:val="21"/>
                <w:highlight w:val="none"/>
              </w:rPr>
            </w:pPr>
            <w:r>
              <w:rPr>
                <w:rFonts w:ascii="宋体" w:hAnsi="宋体"/>
                <w:szCs w:val="21"/>
                <w:highlight w:val="none"/>
              </w:rPr>
              <w:t>8.</w:t>
            </w:r>
            <w:r>
              <w:rPr>
                <w:rFonts w:hint="eastAsia" w:ascii="宋体" w:hAnsi="宋体"/>
                <w:szCs w:val="21"/>
                <w:highlight w:val="none"/>
              </w:rPr>
              <w:t>屏幕尺寸不低于3寸</w:t>
            </w:r>
          </w:p>
          <w:p>
            <w:pPr>
              <w:widowControl/>
              <w:spacing w:line="260" w:lineRule="exact"/>
              <w:jc w:val="left"/>
              <w:rPr>
                <w:rFonts w:ascii="宋体" w:hAnsi="宋体"/>
                <w:szCs w:val="21"/>
                <w:highlight w:val="none"/>
              </w:rPr>
            </w:pPr>
            <w:r>
              <w:rPr>
                <w:rFonts w:ascii="宋体" w:hAnsi="宋体"/>
                <w:szCs w:val="21"/>
                <w:highlight w:val="none"/>
              </w:rPr>
              <w:t>9</w:t>
            </w:r>
            <w:r>
              <w:rPr>
                <w:rFonts w:hint="eastAsia" w:ascii="宋体" w:hAnsi="宋体"/>
                <w:szCs w:val="21"/>
                <w:highlight w:val="none"/>
              </w:rPr>
              <w:t>.ISO感光度：100-25600</w:t>
            </w:r>
          </w:p>
          <w:p>
            <w:pPr>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具备内置立体声麦克风、外接立体声麦克风，可调节录音电平、具备风声抑制功能（使用内置麦克风时）、具备衰减器功能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szCs w:val="21"/>
                <w:highlight w:val="none"/>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w:t>
            </w:r>
          </w:p>
        </w:tc>
      </w:tr>
      <w:tr>
        <w:tblPrEx>
          <w:tblCellMar>
            <w:top w:w="0" w:type="dxa"/>
            <w:left w:w="108" w:type="dxa"/>
            <w:bottom w:w="0" w:type="dxa"/>
            <w:right w:w="108" w:type="dxa"/>
          </w:tblCellMar>
        </w:tblPrEx>
        <w:trPr>
          <w:trHeight w:val="320"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jc w:val="center"/>
              <w:rPr>
                <w:rFonts w:ascii="宋体" w:hAnsi="宋体"/>
                <w:szCs w:val="21"/>
                <w:highlight w:val="none"/>
              </w:rPr>
            </w:pPr>
            <w:r>
              <w:rPr>
                <w:rFonts w:hint="eastAsia" w:ascii="宋体" w:hAnsi="宋体"/>
                <w:szCs w:val="21"/>
                <w:highlight w:val="none"/>
              </w:rPr>
              <w:t>微单三脚架</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pStyle w:val="25"/>
              <w:numPr>
                <w:ilvl w:val="0"/>
                <w:numId w:val="8"/>
              </w:numPr>
              <w:spacing w:line="260" w:lineRule="exact"/>
              <w:ind w:firstLineChars="0"/>
              <w:jc w:val="left"/>
              <w:rPr>
                <w:rFonts w:ascii="宋体" w:hAnsi="宋体"/>
                <w:szCs w:val="21"/>
                <w:highlight w:val="none"/>
              </w:rPr>
            </w:pPr>
            <w:r>
              <w:rPr>
                <w:rFonts w:hint="eastAsia" w:ascii="宋体" w:hAnsi="宋体"/>
                <w:szCs w:val="21"/>
                <w:highlight w:val="none"/>
              </w:rPr>
              <w:t>三脚架材质：铝合金</w:t>
            </w:r>
          </w:p>
          <w:p>
            <w:pPr>
              <w:pStyle w:val="18"/>
              <w:numPr>
                <w:ilvl w:val="0"/>
                <w:numId w:val="8"/>
              </w:numPr>
              <w:spacing w:line="260" w:lineRule="exact"/>
              <w:ind w:firstLineChars="0"/>
              <w:jc w:val="left"/>
              <w:rPr>
                <w:rFonts w:ascii="宋体" w:hAnsi="宋体"/>
                <w:sz w:val="21"/>
                <w:szCs w:val="21"/>
                <w:highlight w:val="none"/>
              </w:rPr>
            </w:pPr>
            <w:r>
              <w:rPr>
                <w:rFonts w:hint="eastAsia" w:ascii="宋体" w:hAnsi="宋体"/>
                <w:sz w:val="21"/>
                <w:szCs w:val="21"/>
                <w:highlight w:val="none"/>
              </w:rPr>
              <w:t>三脚架承重</w:t>
            </w:r>
            <w:r>
              <w:rPr>
                <w:rFonts w:ascii="宋体" w:hAnsi="宋体"/>
                <w:sz w:val="21"/>
                <w:szCs w:val="21"/>
                <w:highlight w:val="none"/>
              </w:rPr>
              <w:t>3</w:t>
            </w:r>
            <w:r>
              <w:rPr>
                <w:rFonts w:hint="eastAsia" w:ascii="宋体" w:hAnsi="宋体"/>
                <w:sz w:val="21"/>
                <w:szCs w:val="21"/>
                <w:highlight w:val="none"/>
              </w:rPr>
              <w:t>kg</w:t>
            </w:r>
          </w:p>
          <w:p>
            <w:pPr>
              <w:pStyle w:val="25"/>
              <w:numPr>
                <w:ilvl w:val="0"/>
                <w:numId w:val="8"/>
              </w:numPr>
              <w:spacing w:line="260" w:lineRule="exact"/>
              <w:ind w:firstLineChars="0"/>
              <w:jc w:val="left"/>
              <w:rPr>
                <w:rFonts w:ascii="宋体" w:hAnsi="宋体"/>
                <w:szCs w:val="21"/>
                <w:highlight w:val="none"/>
              </w:rPr>
            </w:pPr>
            <w:r>
              <w:rPr>
                <w:rFonts w:hint="eastAsia" w:ascii="宋体" w:hAnsi="宋体"/>
                <w:szCs w:val="21"/>
                <w:highlight w:val="none"/>
              </w:rPr>
              <w:t>三脚架自重不超过1kg</w:t>
            </w:r>
          </w:p>
          <w:p>
            <w:pPr>
              <w:pStyle w:val="25"/>
              <w:numPr>
                <w:ilvl w:val="0"/>
                <w:numId w:val="8"/>
              </w:numPr>
              <w:spacing w:line="260" w:lineRule="exact"/>
              <w:ind w:firstLineChars="0"/>
              <w:jc w:val="left"/>
              <w:rPr>
                <w:rFonts w:ascii="宋体" w:hAnsi="宋体"/>
                <w:szCs w:val="21"/>
                <w:highlight w:val="none"/>
              </w:rPr>
            </w:pPr>
            <w:r>
              <w:rPr>
                <w:rFonts w:hint="eastAsia" w:ascii="宋体" w:hAnsi="宋体"/>
                <w:szCs w:val="21"/>
                <w:highlight w:val="none"/>
              </w:rPr>
              <w:t>脚架节数：6节</w:t>
            </w:r>
          </w:p>
          <w:p>
            <w:pPr>
              <w:pStyle w:val="25"/>
              <w:numPr>
                <w:ilvl w:val="0"/>
                <w:numId w:val="8"/>
              </w:numPr>
              <w:spacing w:line="260" w:lineRule="exact"/>
              <w:ind w:firstLineChars="0"/>
              <w:jc w:val="left"/>
              <w:rPr>
                <w:rFonts w:ascii="宋体" w:hAnsi="宋体"/>
                <w:szCs w:val="21"/>
                <w:highlight w:val="none"/>
              </w:rPr>
            </w:pPr>
            <w:r>
              <w:rPr>
                <w:rFonts w:hint="eastAsia" w:ascii="宋体" w:hAnsi="宋体"/>
                <w:szCs w:val="21"/>
                <w:highlight w:val="none"/>
              </w:rPr>
              <w:t>脚架收纳高度：2</w:t>
            </w:r>
            <w:r>
              <w:rPr>
                <w:rFonts w:ascii="宋体" w:hAnsi="宋体"/>
                <w:szCs w:val="21"/>
                <w:highlight w:val="none"/>
              </w:rPr>
              <w:t>20</w:t>
            </w:r>
            <w:r>
              <w:rPr>
                <w:rFonts w:hint="eastAsia" w:ascii="宋体" w:hAnsi="宋体"/>
                <w:szCs w:val="21"/>
                <w:highlight w:val="none"/>
              </w:rPr>
              <w:t>mm</w:t>
            </w:r>
          </w:p>
          <w:p>
            <w:pPr>
              <w:pStyle w:val="25"/>
              <w:numPr>
                <w:ilvl w:val="0"/>
                <w:numId w:val="8"/>
              </w:numPr>
              <w:spacing w:line="260" w:lineRule="exact"/>
              <w:ind w:firstLineChars="0"/>
              <w:jc w:val="left"/>
              <w:rPr>
                <w:rFonts w:ascii="宋体" w:hAnsi="宋体"/>
                <w:szCs w:val="21"/>
                <w:highlight w:val="none"/>
              </w:rPr>
            </w:pPr>
            <w:r>
              <w:rPr>
                <w:rFonts w:hint="eastAsia" w:ascii="宋体" w:hAnsi="宋体"/>
                <w:szCs w:val="21"/>
                <w:highlight w:val="none"/>
              </w:rPr>
              <w:t>脚架最大高度：1</w:t>
            </w:r>
            <w:r>
              <w:rPr>
                <w:rFonts w:ascii="宋体" w:hAnsi="宋体"/>
                <w:szCs w:val="21"/>
                <w:highlight w:val="none"/>
              </w:rPr>
              <w:t>398</w:t>
            </w:r>
            <w:r>
              <w:rPr>
                <w:rFonts w:hint="eastAsia" w:ascii="宋体" w:hAnsi="宋体"/>
                <w:szCs w:val="21"/>
                <w:highlight w:val="none"/>
              </w:rPr>
              <w:t>mm</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jc w:val="center"/>
              <w:rPr>
                <w:rFonts w:ascii="宋体" w:hAnsi="宋体"/>
                <w:szCs w:val="21"/>
                <w:highlight w:val="none"/>
              </w:rPr>
            </w:pPr>
            <w:r>
              <w:rPr>
                <w:rFonts w:hint="eastAsia" w:ascii="宋体" w:hAnsi="宋体"/>
                <w:szCs w:val="21"/>
                <w:highlight w:val="none"/>
              </w:rPr>
              <w:t>个</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w:t>
            </w:r>
          </w:p>
        </w:tc>
      </w:tr>
      <w:tr>
        <w:tblPrEx>
          <w:tblCellMar>
            <w:top w:w="0" w:type="dxa"/>
            <w:left w:w="108" w:type="dxa"/>
            <w:bottom w:w="0" w:type="dxa"/>
            <w:right w:w="108" w:type="dxa"/>
          </w:tblCellMar>
        </w:tblPrEx>
        <w:trPr>
          <w:trHeight w:val="388"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11</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jc w:val="center"/>
              <w:rPr>
                <w:rFonts w:ascii="宋体" w:hAnsi="宋体"/>
                <w:szCs w:val="21"/>
                <w:highlight w:val="none"/>
              </w:rPr>
            </w:pPr>
            <w:r>
              <w:rPr>
                <w:rFonts w:hint="eastAsia" w:ascii="宋体" w:hAnsi="宋体"/>
                <w:szCs w:val="21"/>
                <w:highlight w:val="none"/>
              </w:rPr>
              <w:t>摄影补光灯套装</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szCs w:val="21"/>
                <w:highlight w:val="none"/>
              </w:rPr>
              <w:t>1.150瓦LED常亮灯2个，每个不少于190个LED灯珠；</w:t>
            </w:r>
          </w:p>
          <w:p>
            <w:pPr>
              <w:widowControl/>
              <w:spacing w:line="260" w:lineRule="exact"/>
              <w:jc w:val="left"/>
              <w:rPr>
                <w:rFonts w:ascii="宋体" w:hAnsi="宋体"/>
                <w:szCs w:val="21"/>
                <w:highlight w:val="none"/>
              </w:rPr>
            </w:pPr>
            <w:r>
              <w:rPr>
                <w:rFonts w:hint="eastAsia" w:ascii="宋体" w:hAnsi="宋体"/>
                <w:szCs w:val="21"/>
                <w:highlight w:val="none"/>
              </w:rPr>
              <w:t>2.球形柔光罩2个，尺寸不小于65cm</w:t>
            </w:r>
          </w:p>
          <w:p>
            <w:pPr>
              <w:widowControl/>
              <w:spacing w:line="260" w:lineRule="exact"/>
              <w:jc w:val="left"/>
              <w:rPr>
                <w:rFonts w:ascii="宋体" w:hAnsi="宋体"/>
                <w:szCs w:val="21"/>
                <w:highlight w:val="none"/>
              </w:rPr>
            </w:pPr>
            <w:r>
              <w:rPr>
                <w:rFonts w:hint="eastAsia" w:ascii="宋体" w:hAnsi="宋体"/>
                <w:szCs w:val="21"/>
                <w:highlight w:val="none"/>
              </w:rPr>
              <w:t>3.灯架2个，高度不小于2米。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jc w:val="center"/>
              <w:rPr>
                <w:rFonts w:ascii="宋体" w:hAnsi="宋体"/>
                <w:szCs w:val="21"/>
                <w:highlight w:val="none"/>
              </w:rPr>
            </w:pPr>
            <w:r>
              <w:rPr>
                <w:rFonts w:hint="eastAsia"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6</w:t>
            </w:r>
          </w:p>
        </w:tc>
      </w:tr>
      <w:tr>
        <w:tblPrEx>
          <w:tblCellMar>
            <w:top w:w="0" w:type="dxa"/>
            <w:left w:w="108" w:type="dxa"/>
            <w:bottom w:w="0" w:type="dxa"/>
            <w:right w:w="108" w:type="dxa"/>
          </w:tblCellMar>
        </w:tblPrEx>
        <w:trPr>
          <w:trHeight w:val="361"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12</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拍摄滑轨</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铝合金材质便携微移摄影滑轨</w:t>
            </w:r>
          </w:p>
          <w:p>
            <w:pPr>
              <w:widowControl/>
              <w:spacing w:line="260" w:lineRule="exact"/>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滑动总长4</w:t>
            </w:r>
            <w:r>
              <w:rPr>
                <w:rFonts w:ascii="宋体" w:hAnsi="宋体"/>
                <w:szCs w:val="21"/>
                <w:highlight w:val="none"/>
              </w:rPr>
              <w:t>0</w:t>
            </w:r>
            <w:r>
              <w:rPr>
                <w:rFonts w:hint="eastAsia" w:ascii="宋体" w:hAnsi="宋体"/>
                <w:szCs w:val="21"/>
                <w:highlight w:val="none"/>
              </w:rPr>
              <w:t>cm</w:t>
            </w:r>
          </w:p>
          <w:p>
            <w:pPr>
              <w:widowControl/>
              <w:spacing w:line="260" w:lineRule="exact"/>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自身重量</w:t>
            </w:r>
            <w:r>
              <w:rPr>
                <w:rFonts w:ascii="宋体" w:hAnsi="宋体"/>
                <w:szCs w:val="21"/>
                <w:highlight w:val="none"/>
              </w:rPr>
              <w:t>1.5kg</w:t>
            </w:r>
          </w:p>
          <w:p>
            <w:pPr>
              <w:widowControl/>
              <w:spacing w:line="260" w:lineRule="exact"/>
              <w:jc w:val="left"/>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支持滑动阻尼控制</w:t>
            </w:r>
          </w:p>
          <w:p>
            <w:pPr>
              <w:widowControl/>
              <w:spacing w:line="260" w:lineRule="exact"/>
              <w:jc w:val="left"/>
              <w:rPr>
                <w:rFonts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支持三脚架连接模式</w:t>
            </w:r>
          </w:p>
          <w:p>
            <w:pPr>
              <w:widowControl/>
              <w:spacing w:line="260" w:lineRule="exact"/>
              <w:jc w:val="left"/>
              <w:rPr>
                <w:rFonts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最大承重支持8KG</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227"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13</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jc w:val="center"/>
              <w:rPr>
                <w:rFonts w:ascii="宋体" w:hAnsi="宋体"/>
                <w:szCs w:val="21"/>
                <w:highlight w:val="none"/>
              </w:rPr>
            </w:pPr>
            <w:r>
              <w:rPr>
                <w:rFonts w:hint="eastAsia" w:ascii="宋体" w:hAnsi="宋体"/>
                <w:szCs w:val="21"/>
                <w:highlight w:val="none"/>
              </w:rPr>
              <w:t>展示货架</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货架尺寸不小于2400*600*2200mm；</w:t>
            </w:r>
          </w:p>
          <w:p>
            <w:pPr>
              <w:widowControl/>
              <w:spacing w:line="260" w:lineRule="exact"/>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立柱厚度不小于40*80*1.0mmC型钢；</w:t>
            </w:r>
          </w:p>
          <w:p>
            <w:pPr>
              <w:widowControl/>
              <w:spacing w:line="260" w:lineRule="exact"/>
              <w:jc w:val="left"/>
              <w:rPr>
                <w:rFonts w:ascii="宋体" w:hAnsi="宋体"/>
                <w:szCs w:val="21"/>
                <w:highlight w:val="none"/>
              </w:rPr>
            </w:pPr>
            <w:r>
              <w:rPr>
                <w:rFonts w:ascii="宋体" w:hAnsi="宋体"/>
                <w:szCs w:val="21"/>
                <w:highlight w:val="none"/>
              </w:rPr>
              <w:t>3.</w:t>
            </w:r>
            <w:r>
              <w:rPr>
                <w:rFonts w:hint="eastAsia" w:ascii="宋体" w:hAnsi="宋体"/>
                <w:szCs w:val="21"/>
                <w:highlight w:val="none"/>
              </w:rPr>
              <w:t>横梁厚度不小于40*60*10mmP型钢；</w:t>
            </w:r>
          </w:p>
          <w:p>
            <w:pPr>
              <w:widowControl/>
              <w:spacing w:line="260" w:lineRule="exact"/>
              <w:jc w:val="left"/>
              <w:rPr>
                <w:rFonts w:ascii="宋体" w:hAnsi="宋体"/>
                <w:szCs w:val="21"/>
                <w:highlight w:val="none"/>
              </w:rPr>
            </w:pPr>
            <w:r>
              <w:rPr>
                <w:rFonts w:ascii="宋体" w:hAnsi="宋体"/>
                <w:szCs w:val="21"/>
                <w:highlight w:val="none"/>
              </w:rPr>
              <w:t>4.</w:t>
            </w:r>
            <w:r>
              <w:rPr>
                <w:rFonts w:hint="eastAsia" w:ascii="宋体" w:hAnsi="宋体"/>
                <w:szCs w:val="21"/>
                <w:highlight w:val="none"/>
              </w:rPr>
              <w:t>层板厚度不小于0.5mm厚的冷轧钢板；</w:t>
            </w:r>
          </w:p>
          <w:p>
            <w:pPr>
              <w:widowControl/>
              <w:spacing w:line="260" w:lineRule="exact"/>
              <w:jc w:val="left"/>
              <w:rPr>
                <w:rFonts w:ascii="宋体" w:hAnsi="宋体"/>
                <w:szCs w:val="21"/>
                <w:highlight w:val="none"/>
              </w:rPr>
            </w:pPr>
            <w:r>
              <w:rPr>
                <w:rFonts w:ascii="宋体" w:hAnsi="宋体"/>
                <w:szCs w:val="21"/>
                <w:highlight w:val="none"/>
              </w:rPr>
              <w:t>5.</w:t>
            </w:r>
            <w:r>
              <w:rPr>
                <w:rFonts w:hint="eastAsia" w:ascii="宋体" w:hAnsi="宋体"/>
                <w:szCs w:val="21"/>
                <w:highlight w:val="none"/>
              </w:rPr>
              <w:t>货架层数不小于3层；</w:t>
            </w:r>
          </w:p>
          <w:p>
            <w:pPr>
              <w:widowControl/>
              <w:spacing w:line="260" w:lineRule="exact"/>
              <w:jc w:val="left"/>
              <w:rPr>
                <w:rFonts w:ascii="宋体" w:hAnsi="宋体"/>
                <w:szCs w:val="21"/>
                <w:highlight w:val="none"/>
              </w:rPr>
            </w:pPr>
            <w:r>
              <w:rPr>
                <w:rFonts w:ascii="宋体" w:hAnsi="宋体"/>
                <w:szCs w:val="21"/>
                <w:highlight w:val="none"/>
              </w:rPr>
              <w:t>6.</w:t>
            </w:r>
            <w:r>
              <w:rPr>
                <w:rFonts w:hint="eastAsia" w:ascii="宋体" w:hAnsi="宋体"/>
                <w:szCs w:val="21"/>
                <w:highlight w:val="none"/>
              </w:rPr>
              <w:t>每次层高不小于50cm；</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8</w:t>
            </w:r>
          </w:p>
        </w:tc>
      </w:tr>
      <w:tr>
        <w:tblPrEx>
          <w:tblCellMar>
            <w:top w:w="0" w:type="dxa"/>
            <w:left w:w="108" w:type="dxa"/>
            <w:bottom w:w="0" w:type="dxa"/>
            <w:right w:w="108" w:type="dxa"/>
          </w:tblCellMar>
        </w:tblPrEx>
        <w:trPr>
          <w:trHeight w:val="227"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14</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jc w:val="center"/>
              <w:rPr>
                <w:rFonts w:ascii="宋体" w:hAnsi="宋体"/>
                <w:szCs w:val="21"/>
                <w:highlight w:val="none"/>
              </w:rPr>
            </w:pPr>
            <w:r>
              <w:rPr>
                <w:rFonts w:hint="eastAsia" w:ascii="宋体" w:hAnsi="宋体"/>
                <w:szCs w:val="21"/>
                <w:highlight w:val="none"/>
              </w:rPr>
              <w:t>直播桌椅</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szCs w:val="21"/>
                <w:highlight w:val="none"/>
              </w:rPr>
              <w:t>1.尺寸1800*800*750mm。</w:t>
            </w:r>
          </w:p>
          <w:p>
            <w:pPr>
              <w:widowControl/>
              <w:spacing w:line="260" w:lineRule="exact"/>
              <w:jc w:val="left"/>
              <w:rPr>
                <w:rFonts w:ascii="宋体" w:hAnsi="宋体"/>
                <w:szCs w:val="21"/>
                <w:highlight w:val="none"/>
              </w:rPr>
            </w:pPr>
            <w:r>
              <w:rPr>
                <w:rFonts w:hint="eastAsia" w:ascii="宋体" w:hAnsi="宋体"/>
                <w:szCs w:val="21"/>
                <w:highlight w:val="none"/>
              </w:rPr>
              <w:t>2.环保优质板材，不同地区气温、湿度的变化中不受影响，长期不变形、不开裂。</w:t>
            </w:r>
          </w:p>
          <w:p>
            <w:pPr>
              <w:widowControl/>
              <w:spacing w:line="260" w:lineRule="exact"/>
              <w:jc w:val="left"/>
              <w:rPr>
                <w:rFonts w:ascii="宋体" w:hAnsi="宋体"/>
                <w:szCs w:val="21"/>
                <w:highlight w:val="none"/>
              </w:rPr>
            </w:pPr>
            <w:r>
              <w:rPr>
                <w:rFonts w:hint="eastAsia" w:ascii="宋体" w:hAnsi="宋体"/>
                <w:szCs w:val="21"/>
                <w:highlight w:val="none"/>
              </w:rPr>
              <w:t>3.金属件采用铁或钢镀层材质，所有五金件作防锈、防腐处理。</w:t>
            </w:r>
          </w:p>
          <w:p>
            <w:pPr>
              <w:widowControl/>
              <w:spacing w:line="260" w:lineRule="exact"/>
              <w:jc w:val="left"/>
              <w:rPr>
                <w:rFonts w:ascii="宋体" w:hAnsi="宋体"/>
                <w:szCs w:val="21"/>
                <w:highlight w:val="none"/>
              </w:rPr>
            </w:pPr>
            <w:r>
              <w:rPr>
                <w:rFonts w:hint="eastAsia" w:ascii="宋体" w:hAnsi="宋体"/>
                <w:szCs w:val="21"/>
                <w:highlight w:val="none"/>
              </w:rPr>
              <w:t>4.可旋转升降直播椅1把、最高115cm、最低60cm、高密度海绵。</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6</w:t>
            </w:r>
          </w:p>
        </w:tc>
      </w:tr>
      <w:tr>
        <w:tblPrEx>
          <w:tblCellMar>
            <w:top w:w="0" w:type="dxa"/>
            <w:left w:w="108" w:type="dxa"/>
            <w:bottom w:w="0" w:type="dxa"/>
            <w:right w:w="108" w:type="dxa"/>
          </w:tblCellMar>
        </w:tblPrEx>
        <w:trPr>
          <w:trHeight w:val="227"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15</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内容采集平台系统集成</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提供项目涉及内容采集平台的视频、音频系统连接与现场调试；</w:t>
            </w:r>
          </w:p>
          <w:p>
            <w:pPr>
              <w:widowControl/>
              <w:spacing w:line="260" w:lineRule="exact"/>
              <w:jc w:val="left"/>
              <w:rPr>
                <w:rFonts w:ascii="宋体" w:hAnsi="宋体"/>
                <w:szCs w:val="21"/>
                <w:highlight w:val="none"/>
              </w:rPr>
            </w:pPr>
            <w:r>
              <w:rPr>
                <w:rFonts w:hint="eastAsia" w:ascii="宋体" w:hAnsi="宋体"/>
                <w:szCs w:val="21"/>
                <w:highlight w:val="none"/>
                <w:shd w:val="clear" w:color="auto" w:fill="FFFFFF"/>
              </w:rPr>
              <w:t>2</w:t>
            </w:r>
            <w:r>
              <w:rPr>
                <w:rFonts w:ascii="宋体" w:hAnsi="宋体"/>
                <w:szCs w:val="21"/>
                <w:highlight w:val="none"/>
              </w:rPr>
              <w:t>.</w:t>
            </w:r>
            <w:r>
              <w:rPr>
                <w:rFonts w:hint="eastAsia" w:ascii="宋体" w:hAnsi="宋体"/>
                <w:szCs w:val="21"/>
                <w:highlight w:val="none"/>
              </w:rPr>
              <w:t>提供项目涉及内容采集平台的导播控制及存储系统连接与现场调试；</w:t>
            </w:r>
          </w:p>
          <w:p>
            <w:pPr>
              <w:widowControl/>
              <w:spacing w:line="260" w:lineRule="exact"/>
              <w:jc w:val="left"/>
              <w:rPr>
                <w:rFonts w:ascii="宋体" w:hAnsi="宋体"/>
                <w:szCs w:val="21"/>
                <w:highlight w:val="none"/>
              </w:rPr>
            </w:pPr>
            <w:r>
              <w:rPr>
                <w:rFonts w:ascii="宋体" w:hAnsi="宋体"/>
                <w:szCs w:val="21"/>
                <w:highlight w:val="none"/>
              </w:rPr>
              <w:t>3.</w:t>
            </w:r>
            <w:r>
              <w:rPr>
                <w:rFonts w:hint="eastAsia" w:ascii="宋体" w:hAnsi="宋体"/>
                <w:szCs w:val="21"/>
                <w:highlight w:val="none"/>
              </w:rPr>
              <w:t>提供项目涉及内容采集平台的软硬件系统现场面授基础培训。</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227"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16</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高清直播摄像系统</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 xml:space="preserve"> 4K直播摄像头,支持美颜高清，快手抖音等直播带货专用，支持绿幕抠图功能</w:t>
            </w:r>
          </w:p>
          <w:p>
            <w:pPr>
              <w:widowControl/>
              <w:spacing w:line="260" w:lineRule="exact"/>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．自动遥控变焦不低于1</w:t>
            </w:r>
            <w:r>
              <w:rPr>
                <w:rFonts w:ascii="宋体" w:hAnsi="宋体"/>
                <w:szCs w:val="21"/>
                <w:highlight w:val="none"/>
              </w:rPr>
              <w:t>0</w:t>
            </w:r>
            <w:r>
              <w:rPr>
                <w:rFonts w:hint="eastAsia" w:ascii="宋体" w:hAnsi="宋体"/>
                <w:szCs w:val="21"/>
                <w:highlight w:val="none"/>
              </w:rPr>
              <w:t>倍，摄像头有效像素不低于8</w:t>
            </w:r>
            <w:r>
              <w:rPr>
                <w:rFonts w:ascii="宋体" w:hAnsi="宋体"/>
                <w:szCs w:val="21"/>
                <w:highlight w:val="none"/>
              </w:rPr>
              <w:t>00</w:t>
            </w:r>
            <w:r>
              <w:rPr>
                <w:rFonts w:hint="eastAsia" w:ascii="宋体" w:hAnsi="宋体"/>
                <w:szCs w:val="21"/>
                <w:highlight w:val="none"/>
              </w:rPr>
              <w:t>万；</w:t>
            </w:r>
          </w:p>
          <w:p>
            <w:pPr>
              <w:spacing w:line="260" w:lineRule="exact"/>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摄像头焦段4</w:t>
            </w:r>
            <w:r>
              <w:rPr>
                <w:rFonts w:ascii="宋体" w:hAnsi="宋体"/>
                <w:szCs w:val="21"/>
                <w:highlight w:val="none"/>
              </w:rPr>
              <w:t>.7</w:t>
            </w:r>
            <w:r>
              <w:rPr>
                <w:rFonts w:hint="eastAsia" w:ascii="宋体" w:hAnsi="宋体"/>
                <w:szCs w:val="21"/>
                <w:highlight w:val="none"/>
              </w:rPr>
              <w:t>-</w:t>
            </w:r>
            <w:r>
              <w:rPr>
                <w:rFonts w:ascii="宋体" w:hAnsi="宋体"/>
                <w:szCs w:val="21"/>
                <w:highlight w:val="none"/>
              </w:rPr>
              <w:t>47</w:t>
            </w:r>
            <w:r>
              <w:rPr>
                <w:rFonts w:hint="eastAsia" w:ascii="宋体" w:hAnsi="宋体"/>
                <w:szCs w:val="21"/>
                <w:highlight w:val="none"/>
              </w:rPr>
              <w:t>mm；</w:t>
            </w:r>
          </w:p>
          <w:p>
            <w:pPr>
              <w:spacing w:line="260" w:lineRule="exact"/>
              <w:jc w:val="left"/>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支持外置麦克风；</w:t>
            </w:r>
          </w:p>
          <w:p>
            <w:pPr>
              <w:pStyle w:val="18"/>
              <w:spacing w:line="260" w:lineRule="exact"/>
              <w:ind w:firstLine="0" w:firstLineChars="0"/>
              <w:jc w:val="left"/>
              <w:rPr>
                <w:rFonts w:ascii="宋体" w:hAnsi="宋体"/>
                <w:sz w:val="21"/>
                <w:szCs w:val="21"/>
                <w:highlight w:val="none"/>
              </w:rPr>
            </w:pPr>
            <w:r>
              <w:rPr>
                <w:rFonts w:hint="eastAsia" w:ascii="宋体" w:hAnsi="宋体"/>
                <w:sz w:val="21"/>
                <w:szCs w:val="21"/>
                <w:highlight w:val="none"/>
              </w:rPr>
              <w:t>5</w:t>
            </w:r>
            <w:r>
              <w:rPr>
                <w:rFonts w:ascii="宋体" w:hAnsi="宋体"/>
                <w:sz w:val="21"/>
                <w:szCs w:val="21"/>
                <w:highlight w:val="none"/>
              </w:rPr>
              <w:t>.</w:t>
            </w:r>
            <w:r>
              <w:rPr>
                <w:rFonts w:hint="eastAsia" w:ascii="宋体" w:hAnsi="宋体"/>
                <w:sz w:val="21"/>
                <w:szCs w:val="21"/>
                <w:highlight w:val="none"/>
              </w:rPr>
              <w:t>摄像头接口模式USB。</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个</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4</w:t>
            </w:r>
          </w:p>
        </w:tc>
      </w:tr>
      <w:tr>
        <w:tblPrEx>
          <w:tblCellMar>
            <w:top w:w="0" w:type="dxa"/>
            <w:left w:w="108" w:type="dxa"/>
            <w:bottom w:w="0" w:type="dxa"/>
            <w:right w:w="108" w:type="dxa"/>
          </w:tblCellMar>
        </w:tblPrEx>
        <w:trPr>
          <w:trHeight w:val="227"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17</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数据信号采集系统</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ascii="宋体" w:hAnsi="宋体"/>
                <w:szCs w:val="21"/>
                <w:highlight w:val="none"/>
              </w:rPr>
            </w:pPr>
            <w:r>
              <w:rPr>
                <w:rFonts w:hint="eastAsia" w:ascii="宋体" w:hAnsi="宋体"/>
                <w:szCs w:val="21"/>
                <w:highlight w:val="none"/>
              </w:rPr>
              <w:t>1、CPU≥</w:t>
            </w:r>
            <w:r>
              <w:rPr>
                <w:rFonts w:ascii="宋体" w:hAnsi="宋体"/>
                <w:szCs w:val="21"/>
                <w:highlight w:val="none"/>
              </w:rPr>
              <w:t>i5-1155G7</w:t>
            </w:r>
            <w:r>
              <w:rPr>
                <w:rFonts w:hint="eastAsia" w:ascii="宋体" w:hAnsi="宋体"/>
                <w:szCs w:val="21"/>
                <w:highlight w:val="none"/>
              </w:rPr>
              <w:t>，核心数四核，1</w:t>
            </w:r>
            <w:r>
              <w:rPr>
                <w:rFonts w:ascii="宋体" w:hAnsi="宋体"/>
                <w:szCs w:val="21"/>
                <w:highlight w:val="none"/>
              </w:rPr>
              <w:t>0nm SuperFin</w:t>
            </w:r>
            <w:r>
              <w:rPr>
                <w:rFonts w:hint="eastAsia" w:ascii="宋体" w:hAnsi="宋体"/>
                <w:szCs w:val="21"/>
                <w:highlight w:val="none"/>
              </w:rPr>
              <w:t>制程；</w:t>
            </w:r>
          </w:p>
          <w:p>
            <w:pPr>
              <w:spacing w:line="260" w:lineRule="exact"/>
              <w:jc w:val="left"/>
              <w:rPr>
                <w:rFonts w:ascii="宋体" w:hAnsi="宋体"/>
                <w:szCs w:val="21"/>
                <w:highlight w:val="none"/>
              </w:rPr>
            </w:pPr>
            <w:r>
              <w:rPr>
                <w:rFonts w:hint="eastAsia" w:ascii="宋体" w:hAnsi="宋体"/>
                <w:szCs w:val="21"/>
                <w:highlight w:val="none"/>
              </w:rPr>
              <w:t>2、显卡≥Intel集成锐炬X显卡；</w:t>
            </w:r>
          </w:p>
          <w:p>
            <w:pPr>
              <w:spacing w:line="260" w:lineRule="exact"/>
              <w:jc w:val="left"/>
              <w:rPr>
                <w:rFonts w:ascii="宋体" w:hAnsi="宋体"/>
                <w:szCs w:val="21"/>
                <w:highlight w:val="none"/>
              </w:rPr>
            </w:pPr>
            <w:r>
              <w:rPr>
                <w:rFonts w:ascii="宋体" w:hAnsi="宋体"/>
                <w:szCs w:val="21"/>
                <w:highlight w:val="none"/>
              </w:rPr>
              <w:t>3</w:t>
            </w:r>
            <w:r>
              <w:rPr>
                <w:rFonts w:hint="eastAsia" w:ascii="宋体" w:hAnsi="宋体"/>
                <w:szCs w:val="21"/>
                <w:highlight w:val="none"/>
              </w:rPr>
              <w:t>、内存≥1</w:t>
            </w:r>
            <w:r>
              <w:rPr>
                <w:rFonts w:ascii="宋体" w:hAnsi="宋体"/>
                <w:szCs w:val="21"/>
                <w:highlight w:val="none"/>
              </w:rPr>
              <w:t>6</w:t>
            </w:r>
            <w:r>
              <w:rPr>
                <w:rFonts w:hint="eastAsia" w:ascii="宋体" w:hAnsi="宋体"/>
                <w:szCs w:val="21"/>
                <w:highlight w:val="none"/>
              </w:rPr>
              <w:t>G</w:t>
            </w:r>
            <w:r>
              <w:rPr>
                <w:rFonts w:ascii="宋体" w:hAnsi="宋体"/>
                <w:szCs w:val="21"/>
                <w:highlight w:val="none"/>
              </w:rPr>
              <w:t xml:space="preserve"> DDR4</w:t>
            </w:r>
            <w:r>
              <w:rPr>
                <w:rFonts w:hint="eastAsia" w:ascii="宋体" w:hAnsi="宋体"/>
                <w:szCs w:val="21"/>
                <w:highlight w:val="none"/>
              </w:rPr>
              <w:t>双通道；</w:t>
            </w:r>
          </w:p>
          <w:p>
            <w:pPr>
              <w:spacing w:line="260" w:lineRule="exact"/>
              <w:jc w:val="left"/>
              <w:rPr>
                <w:rFonts w:ascii="宋体" w:hAnsi="宋体"/>
                <w:szCs w:val="21"/>
                <w:highlight w:val="none"/>
              </w:rPr>
            </w:pPr>
            <w:r>
              <w:rPr>
                <w:rFonts w:ascii="宋体" w:hAnsi="宋体"/>
                <w:szCs w:val="21"/>
                <w:highlight w:val="none"/>
              </w:rPr>
              <w:t>4</w:t>
            </w:r>
            <w:r>
              <w:rPr>
                <w:rFonts w:hint="eastAsia" w:ascii="宋体" w:hAnsi="宋体"/>
                <w:szCs w:val="21"/>
                <w:highlight w:val="none"/>
              </w:rPr>
              <w:t>、硬盘≥</w:t>
            </w:r>
            <w:r>
              <w:rPr>
                <w:rFonts w:ascii="宋体" w:hAnsi="宋体"/>
                <w:szCs w:val="21"/>
                <w:highlight w:val="none"/>
              </w:rPr>
              <w:t>512</w:t>
            </w:r>
            <w:r>
              <w:rPr>
                <w:rFonts w:hint="eastAsia" w:ascii="宋体" w:hAnsi="宋体"/>
                <w:szCs w:val="21"/>
                <w:highlight w:val="none"/>
              </w:rPr>
              <w:t>G固态硬盘</w:t>
            </w:r>
            <w:r>
              <w:rPr>
                <w:rFonts w:ascii="宋体" w:hAnsi="宋体"/>
                <w:szCs w:val="21"/>
                <w:highlight w:val="none"/>
              </w:rPr>
              <w:t>NVMe PCle SSD</w:t>
            </w:r>
            <w:r>
              <w:rPr>
                <w:rFonts w:hint="eastAsia" w:ascii="宋体" w:hAnsi="宋体"/>
                <w:szCs w:val="21"/>
                <w:highlight w:val="none"/>
              </w:rPr>
              <w:t>；</w:t>
            </w:r>
          </w:p>
          <w:p>
            <w:pPr>
              <w:spacing w:line="260" w:lineRule="exact"/>
              <w:jc w:val="left"/>
              <w:rPr>
                <w:rFonts w:ascii="宋体" w:hAnsi="宋体"/>
                <w:szCs w:val="21"/>
                <w:highlight w:val="none"/>
              </w:rPr>
            </w:pPr>
            <w:r>
              <w:rPr>
                <w:rFonts w:ascii="宋体" w:hAnsi="宋体"/>
                <w:szCs w:val="21"/>
                <w:highlight w:val="none"/>
              </w:rPr>
              <w:t>5</w:t>
            </w:r>
            <w:r>
              <w:rPr>
                <w:rFonts w:hint="eastAsia" w:ascii="宋体" w:hAnsi="宋体"/>
                <w:szCs w:val="21"/>
                <w:highlight w:val="none"/>
              </w:rPr>
              <w:t>、屏幕尺寸≥14英寸液晶显示，IPS显示类型；</w:t>
            </w:r>
          </w:p>
          <w:p>
            <w:pPr>
              <w:spacing w:line="260" w:lineRule="exact"/>
              <w:jc w:val="left"/>
              <w:rPr>
                <w:rFonts w:ascii="宋体" w:hAnsi="宋体"/>
                <w:szCs w:val="21"/>
                <w:highlight w:val="none"/>
              </w:rPr>
            </w:pPr>
            <w:r>
              <w:rPr>
                <w:rFonts w:hint="eastAsia" w:ascii="宋体" w:hAnsi="宋体"/>
                <w:szCs w:val="21"/>
                <w:highlight w:val="none"/>
              </w:rPr>
              <w:t>6、屏幕分辨率≥</w:t>
            </w:r>
            <w:r>
              <w:rPr>
                <w:rFonts w:ascii="宋体" w:hAnsi="宋体"/>
                <w:szCs w:val="21"/>
                <w:highlight w:val="none"/>
              </w:rPr>
              <w:t>1920*1080DPI</w:t>
            </w:r>
            <w:r>
              <w:rPr>
                <w:rFonts w:hint="eastAsia" w:ascii="宋体" w:hAnsi="宋体"/>
                <w:szCs w:val="21"/>
                <w:highlight w:val="none"/>
              </w:rPr>
              <w:t>；</w:t>
            </w:r>
          </w:p>
          <w:p>
            <w:pPr>
              <w:pStyle w:val="8"/>
              <w:spacing w:line="260" w:lineRule="exact"/>
              <w:rPr>
                <w:rFonts w:ascii="宋体" w:hAnsi="宋体"/>
                <w:sz w:val="21"/>
                <w:szCs w:val="21"/>
                <w:highlight w:val="none"/>
              </w:rPr>
            </w:pPr>
            <w:r>
              <w:rPr>
                <w:rFonts w:hint="eastAsia" w:ascii="宋体" w:hAnsi="宋体"/>
                <w:sz w:val="21"/>
                <w:szCs w:val="21"/>
                <w:highlight w:val="none"/>
              </w:rPr>
              <w:t>7、电池容量≥</w:t>
            </w:r>
            <w:r>
              <w:rPr>
                <w:rFonts w:ascii="宋体" w:hAnsi="宋体"/>
                <w:sz w:val="21"/>
                <w:szCs w:val="21"/>
                <w:highlight w:val="none"/>
              </w:rPr>
              <w:t>56Wh</w:t>
            </w:r>
            <w:r>
              <w:rPr>
                <w:rFonts w:hint="eastAsia" w:ascii="宋体" w:hAnsi="宋体"/>
                <w:sz w:val="21"/>
                <w:szCs w:val="21"/>
                <w:highlight w:val="none"/>
              </w:rPr>
              <w:t>；</w:t>
            </w:r>
          </w:p>
          <w:p>
            <w:pPr>
              <w:spacing w:line="260" w:lineRule="exact"/>
              <w:rPr>
                <w:rFonts w:ascii="宋体" w:hAnsi="宋体"/>
                <w:szCs w:val="21"/>
                <w:highlight w:val="none"/>
              </w:rPr>
            </w:pPr>
            <w:r>
              <w:rPr>
                <w:rFonts w:hint="eastAsia" w:ascii="宋体" w:hAnsi="宋体"/>
                <w:szCs w:val="21"/>
                <w:highlight w:val="none"/>
              </w:rPr>
              <w:t>8、理论续航时间≥8小时（具体时间视使用环境而定）；</w:t>
            </w:r>
          </w:p>
          <w:p>
            <w:pPr>
              <w:pStyle w:val="8"/>
              <w:spacing w:line="260" w:lineRule="exact"/>
              <w:rPr>
                <w:rFonts w:ascii="宋体" w:hAnsi="宋体"/>
                <w:sz w:val="21"/>
                <w:szCs w:val="21"/>
                <w:highlight w:val="none"/>
              </w:rPr>
            </w:pPr>
            <w:r>
              <w:rPr>
                <w:rFonts w:ascii="宋体" w:hAnsi="宋体"/>
                <w:sz w:val="21"/>
                <w:szCs w:val="21"/>
                <w:highlight w:val="none"/>
              </w:rPr>
              <w:t>9</w:t>
            </w:r>
            <w:r>
              <w:rPr>
                <w:rFonts w:hint="eastAsia" w:ascii="宋体" w:hAnsi="宋体"/>
                <w:sz w:val="21"/>
                <w:szCs w:val="21"/>
                <w:highlight w:val="none"/>
              </w:rPr>
              <w:t>、摄像头≥一个内置摄像头；</w:t>
            </w:r>
          </w:p>
          <w:p>
            <w:pPr>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、装载</w:t>
            </w:r>
            <w:r>
              <w:rPr>
                <w:rFonts w:ascii="宋体" w:hAnsi="宋体"/>
                <w:szCs w:val="21"/>
                <w:highlight w:val="none"/>
              </w:rPr>
              <w:t>W</w:t>
            </w:r>
            <w:r>
              <w:rPr>
                <w:rFonts w:hint="eastAsia" w:ascii="宋体" w:hAnsi="宋体"/>
                <w:szCs w:val="21"/>
                <w:highlight w:val="none"/>
              </w:rPr>
              <w:t>indows</w:t>
            </w:r>
            <w:r>
              <w:rPr>
                <w:rFonts w:ascii="宋体" w:hAnsi="宋体"/>
                <w:szCs w:val="21"/>
                <w:highlight w:val="none"/>
              </w:rPr>
              <w:t>10</w:t>
            </w:r>
            <w:r>
              <w:rPr>
                <w:rFonts w:hint="eastAsia" w:ascii="宋体" w:hAnsi="宋体"/>
                <w:szCs w:val="21"/>
                <w:highlight w:val="none"/>
              </w:rPr>
              <w:t>操作系统，耳机、麦克风二合一接口 3.5mm，HDMI显示端口，WIFI</w:t>
            </w:r>
            <w:r>
              <w:rPr>
                <w:rFonts w:ascii="宋体" w:hAnsi="宋体"/>
                <w:szCs w:val="21"/>
                <w:highlight w:val="none"/>
              </w:rPr>
              <w:t>6</w:t>
            </w:r>
            <w:r>
              <w:rPr>
                <w:rFonts w:hint="eastAsia" w:ascii="宋体" w:hAnsi="宋体"/>
                <w:szCs w:val="21"/>
                <w:highlight w:val="none"/>
              </w:rPr>
              <w:t>。</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227"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18</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专用数字声卡</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ascii="宋体" w:hAnsi="宋体"/>
                <w:szCs w:val="21"/>
                <w:highlight w:val="none"/>
              </w:rPr>
            </w:pPr>
            <w:r>
              <w:rPr>
                <w:rFonts w:hint="eastAsia" w:ascii="宋体" w:hAnsi="宋体"/>
                <w:szCs w:val="21"/>
                <w:highlight w:val="none"/>
              </w:rPr>
              <w:t>直播、录音专用数字声卡，配套专用麦克风具体参数：</w:t>
            </w:r>
          </w:p>
          <w:p>
            <w:pPr>
              <w:spacing w:line="260" w:lineRule="exact"/>
              <w:jc w:val="left"/>
              <w:rPr>
                <w:rFonts w:ascii="宋体" w:hAnsi="宋体"/>
                <w:szCs w:val="21"/>
                <w:highlight w:val="none"/>
              </w:rPr>
            </w:pPr>
            <w:r>
              <w:rPr>
                <w:rFonts w:hint="eastAsia" w:ascii="宋体" w:hAnsi="宋体"/>
                <w:color w:val="333333"/>
                <w:szCs w:val="21"/>
                <w:highlight w:val="none"/>
                <w:shd w:val="clear" w:color="auto" w:fill="FFFFFF"/>
              </w:rPr>
              <w:t>★</w:t>
            </w:r>
            <w:r>
              <w:rPr>
                <w:rFonts w:hint="eastAsia" w:ascii="宋体" w:hAnsi="宋体"/>
                <w:szCs w:val="21"/>
                <w:highlight w:val="none"/>
              </w:rPr>
              <w:t>1、支持12种电音基调，附带8种调音效果功能（混音/录音/监听/闪避/消原音等）</w:t>
            </w:r>
          </w:p>
          <w:p>
            <w:pPr>
              <w:spacing w:line="260" w:lineRule="exact"/>
              <w:jc w:val="left"/>
              <w:rPr>
                <w:rFonts w:ascii="宋体" w:hAnsi="宋体"/>
                <w:szCs w:val="21"/>
                <w:highlight w:val="none"/>
              </w:rPr>
            </w:pPr>
            <w:r>
              <w:rPr>
                <w:rFonts w:hint="eastAsia" w:ascii="宋体" w:hAnsi="宋体"/>
                <w:color w:val="333333"/>
                <w:szCs w:val="21"/>
                <w:highlight w:val="none"/>
                <w:shd w:val="clear" w:color="auto" w:fill="FFFFFF"/>
              </w:rPr>
              <w:t>★</w:t>
            </w:r>
            <w:r>
              <w:rPr>
                <w:rFonts w:hint="eastAsia" w:ascii="宋体" w:hAnsi="宋体"/>
                <w:szCs w:val="21"/>
                <w:highlight w:val="none"/>
              </w:rPr>
              <w:t>2、支持14种互动音效，可一键切换</w:t>
            </w:r>
          </w:p>
          <w:p>
            <w:pPr>
              <w:spacing w:line="260" w:lineRule="exact"/>
              <w:jc w:val="left"/>
              <w:rPr>
                <w:rFonts w:ascii="宋体" w:hAnsi="宋体"/>
                <w:szCs w:val="21"/>
                <w:highlight w:val="none"/>
              </w:rPr>
            </w:pPr>
            <w:r>
              <w:rPr>
                <w:rFonts w:hint="eastAsia" w:ascii="宋体" w:hAnsi="宋体"/>
                <w:szCs w:val="21"/>
                <w:highlight w:val="none"/>
              </w:rPr>
              <w:t>3、支持高中低音3段音调调节</w:t>
            </w:r>
          </w:p>
          <w:p>
            <w:pPr>
              <w:spacing w:line="260" w:lineRule="exact"/>
              <w:jc w:val="left"/>
              <w:rPr>
                <w:rFonts w:ascii="宋体" w:hAnsi="宋体"/>
                <w:szCs w:val="21"/>
                <w:highlight w:val="none"/>
              </w:rPr>
            </w:pPr>
            <w:r>
              <w:rPr>
                <w:rFonts w:hint="eastAsia" w:ascii="宋体" w:hAnsi="宋体"/>
                <w:szCs w:val="21"/>
                <w:highlight w:val="none"/>
              </w:rPr>
              <w:t>4、支持蓝牙无线伴奏</w:t>
            </w:r>
          </w:p>
          <w:p>
            <w:pPr>
              <w:spacing w:line="260" w:lineRule="exact"/>
              <w:jc w:val="left"/>
              <w:rPr>
                <w:rFonts w:ascii="宋体" w:hAnsi="宋体"/>
                <w:szCs w:val="21"/>
                <w:highlight w:val="none"/>
              </w:rPr>
            </w:pPr>
            <w:r>
              <w:rPr>
                <w:rFonts w:hint="eastAsia" w:ascii="宋体" w:hAnsi="宋体"/>
                <w:szCs w:val="21"/>
                <w:highlight w:val="none"/>
              </w:rPr>
              <w:t>5、内置大容量电池，支持8小时持续直播</w:t>
            </w:r>
          </w:p>
          <w:p>
            <w:pPr>
              <w:spacing w:line="260" w:lineRule="exact"/>
              <w:jc w:val="left"/>
              <w:rPr>
                <w:rFonts w:ascii="宋体" w:hAnsi="宋体"/>
                <w:szCs w:val="21"/>
                <w:highlight w:val="none"/>
              </w:rPr>
            </w:pPr>
            <w:r>
              <w:rPr>
                <w:rFonts w:hint="eastAsia" w:ascii="宋体" w:hAnsi="宋体"/>
                <w:szCs w:val="21"/>
                <w:highlight w:val="none"/>
              </w:rPr>
              <w:t>6、兼容大多手机、支持平板、苹果/安卓手机及各类K歌、直播软件</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4</w:t>
            </w:r>
          </w:p>
        </w:tc>
      </w:tr>
      <w:tr>
        <w:tblPrEx>
          <w:tblCellMar>
            <w:top w:w="0" w:type="dxa"/>
            <w:left w:w="108" w:type="dxa"/>
            <w:bottom w:w="0" w:type="dxa"/>
            <w:right w:w="108" w:type="dxa"/>
          </w:tblCellMar>
        </w:tblPrEx>
        <w:trPr>
          <w:trHeight w:val="361"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19</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jc w:val="center"/>
              <w:rPr>
                <w:rFonts w:ascii="宋体" w:hAnsi="宋体"/>
                <w:szCs w:val="21"/>
                <w:highlight w:val="none"/>
              </w:rPr>
            </w:pPr>
            <w:r>
              <w:rPr>
                <w:rFonts w:hint="eastAsia" w:ascii="宋体" w:hAnsi="宋体"/>
                <w:szCs w:val="21"/>
                <w:highlight w:val="none"/>
              </w:rPr>
              <w:t>无线麦克风</w:t>
            </w:r>
          </w:p>
        </w:tc>
        <w:tc>
          <w:tcPr>
            <w:tcW w:w="6068"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频率响应</w:t>
            </w:r>
            <w:r>
              <w:rPr>
                <w:rFonts w:ascii="宋体" w:hAnsi="宋体"/>
                <w:szCs w:val="21"/>
                <w:highlight w:val="none"/>
              </w:rPr>
              <w:t>40HZ-20KHZ</w:t>
            </w:r>
          </w:p>
          <w:p>
            <w:pPr>
              <w:widowControl/>
              <w:spacing w:line="260" w:lineRule="exact"/>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阻抗</w:t>
            </w:r>
            <w:r>
              <w:rPr>
                <w:rFonts w:ascii="宋体" w:hAnsi="宋体"/>
                <w:szCs w:val="21"/>
                <w:highlight w:val="none"/>
              </w:rPr>
              <w:t>800Ω</w:t>
            </w:r>
          </w:p>
          <w:p>
            <w:pPr>
              <w:widowControl/>
              <w:spacing w:line="260" w:lineRule="exact"/>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麦克风直径</w:t>
            </w:r>
            <w:r>
              <w:rPr>
                <w:rFonts w:ascii="宋体" w:hAnsi="宋体"/>
                <w:szCs w:val="21"/>
                <w:highlight w:val="none"/>
              </w:rPr>
              <w:t>7.8mm</w:t>
            </w:r>
          </w:p>
          <w:p>
            <w:pPr>
              <w:widowControl/>
              <w:spacing w:line="260" w:lineRule="exact"/>
              <w:jc w:val="left"/>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信噪比≥90dB</w:t>
            </w:r>
          </w:p>
          <w:p>
            <w:pPr>
              <w:widowControl/>
              <w:spacing w:line="260" w:lineRule="exact"/>
              <w:jc w:val="left"/>
              <w:rPr>
                <w:rFonts w:ascii="宋体" w:hAnsi="宋体"/>
                <w:szCs w:val="21"/>
                <w:highlight w:val="none"/>
              </w:rPr>
            </w:pPr>
            <w:r>
              <w:rPr>
                <w:rFonts w:ascii="宋体" w:hAnsi="宋体"/>
                <w:szCs w:val="21"/>
                <w:highlight w:val="none"/>
              </w:rPr>
              <w:t>5</w:t>
            </w:r>
            <w:r>
              <w:rPr>
                <w:rFonts w:hint="eastAsia" w:ascii="宋体" w:hAnsi="宋体"/>
                <w:szCs w:val="21"/>
                <w:highlight w:val="none"/>
              </w:rPr>
              <w:t>插头直径</w:t>
            </w:r>
            <w:r>
              <w:rPr>
                <w:rFonts w:ascii="宋体" w:hAnsi="宋体"/>
                <w:szCs w:val="21"/>
                <w:highlight w:val="none"/>
              </w:rPr>
              <w:t>3.5mm</w:t>
            </w:r>
          </w:p>
          <w:p>
            <w:pPr>
              <w:widowControl/>
              <w:spacing w:line="260" w:lineRule="exact"/>
              <w:jc w:val="left"/>
              <w:rPr>
                <w:rFonts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最大声压级</w:t>
            </w:r>
            <w:r>
              <w:rPr>
                <w:rFonts w:ascii="宋体" w:hAnsi="宋体"/>
                <w:szCs w:val="21"/>
                <w:highlight w:val="none"/>
              </w:rPr>
              <w:t>120dB SPL</w:t>
            </w:r>
          </w:p>
          <w:p>
            <w:pPr>
              <w:widowControl/>
              <w:spacing w:line="260" w:lineRule="exact"/>
              <w:jc w:val="left"/>
              <w:rPr>
                <w:rFonts w:ascii="宋体" w:hAnsi="宋体"/>
                <w:szCs w:val="21"/>
                <w:highlight w:val="none"/>
              </w:rPr>
            </w:pPr>
            <w:r>
              <w:rPr>
                <w:rFonts w:ascii="宋体" w:hAnsi="宋体"/>
                <w:szCs w:val="21"/>
                <w:highlight w:val="none"/>
              </w:rPr>
              <w:t>7.</w:t>
            </w:r>
            <w:r>
              <w:rPr>
                <w:rFonts w:hint="eastAsia" w:ascii="宋体" w:hAnsi="宋体"/>
                <w:szCs w:val="21"/>
                <w:highlight w:val="none"/>
              </w:rPr>
              <w:t>灵敏度</w:t>
            </w:r>
            <w:r>
              <w:rPr>
                <w:rFonts w:ascii="宋体" w:hAnsi="宋体"/>
                <w:szCs w:val="21"/>
                <w:highlight w:val="none"/>
              </w:rPr>
              <w:t>-40+3dB(0DB=1V/Pa</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jc w:val="center"/>
              <w:rPr>
                <w:rFonts w:ascii="宋体" w:hAnsi="宋体"/>
                <w:szCs w:val="21"/>
                <w:highlight w:val="none"/>
              </w:rPr>
            </w:pPr>
            <w:r>
              <w:rPr>
                <w:rFonts w:hint="eastAsia"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4</w:t>
            </w:r>
          </w:p>
        </w:tc>
      </w:tr>
      <w:tr>
        <w:tblPrEx>
          <w:tblCellMar>
            <w:top w:w="0" w:type="dxa"/>
            <w:left w:w="108" w:type="dxa"/>
            <w:bottom w:w="0" w:type="dxa"/>
            <w:right w:w="108" w:type="dxa"/>
          </w:tblCellMar>
        </w:tblPrEx>
        <w:trPr>
          <w:trHeight w:val="363"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jc w:val="center"/>
              <w:rPr>
                <w:rFonts w:ascii="宋体" w:hAnsi="宋体"/>
                <w:szCs w:val="21"/>
                <w:highlight w:val="none"/>
              </w:rPr>
            </w:pPr>
            <w:r>
              <w:rPr>
                <w:rFonts w:hint="eastAsia" w:ascii="宋体" w:hAnsi="宋体"/>
                <w:szCs w:val="21"/>
                <w:highlight w:val="none"/>
              </w:rPr>
              <w:t>竖拍L板</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pStyle w:val="25"/>
              <w:widowControl/>
              <w:numPr>
                <w:ilvl w:val="0"/>
                <w:numId w:val="9"/>
              </w:numPr>
              <w:spacing w:line="260" w:lineRule="exact"/>
              <w:ind w:firstLineChars="0"/>
              <w:jc w:val="left"/>
              <w:rPr>
                <w:rFonts w:ascii="宋体" w:hAnsi="宋体"/>
                <w:szCs w:val="21"/>
                <w:highlight w:val="none"/>
              </w:rPr>
            </w:pPr>
            <w:r>
              <w:rPr>
                <w:rFonts w:hint="eastAsia" w:ascii="宋体" w:hAnsi="宋体"/>
                <w:szCs w:val="21"/>
                <w:highlight w:val="none"/>
              </w:rPr>
              <w:t>卡槽3</w:t>
            </w:r>
            <w:r>
              <w:rPr>
                <w:rFonts w:ascii="宋体" w:hAnsi="宋体"/>
                <w:szCs w:val="21"/>
                <w:highlight w:val="none"/>
              </w:rPr>
              <w:t>8</w:t>
            </w:r>
            <w:r>
              <w:rPr>
                <w:rFonts w:hint="eastAsia" w:ascii="宋体" w:hAnsi="宋体"/>
                <w:szCs w:val="21"/>
                <w:highlight w:val="none"/>
              </w:rPr>
              <w:t>mm</w:t>
            </w:r>
          </w:p>
          <w:p>
            <w:pPr>
              <w:pStyle w:val="18"/>
              <w:numPr>
                <w:ilvl w:val="0"/>
                <w:numId w:val="9"/>
              </w:numPr>
              <w:spacing w:line="260" w:lineRule="exact"/>
              <w:ind w:firstLineChars="0"/>
              <w:jc w:val="left"/>
              <w:rPr>
                <w:rFonts w:ascii="宋体" w:hAnsi="宋体"/>
                <w:sz w:val="21"/>
                <w:szCs w:val="21"/>
                <w:highlight w:val="none"/>
              </w:rPr>
            </w:pPr>
            <w:r>
              <w:rPr>
                <w:rFonts w:hint="eastAsia" w:ascii="宋体" w:hAnsi="宋体"/>
                <w:sz w:val="21"/>
                <w:szCs w:val="21"/>
                <w:highlight w:val="none"/>
              </w:rPr>
              <w:t>铝合金材质</w:t>
            </w:r>
          </w:p>
          <w:p>
            <w:pPr>
              <w:pStyle w:val="25"/>
              <w:numPr>
                <w:ilvl w:val="0"/>
                <w:numId w:val="9"/>
              </w:numPr>
              <w:spacing w:line="260" w:lineRule="exact"/>
              <w:ind w:firstLineChars="0"/>
              <w:jc w:val="left"/>
              <w:rPr>
                <w:rFonts w:ascii="宋体" w:hAnsi="宋体"/>
                <w:szCs w:val="21"/>
                <w:highlight w:val="none"/>
              </w:rPr>
            </w:pPr>
            <w:r>
              <w:rPr>
                <w:rFonts w:hint="eastAsia" w:ascii="宋体" w:hAnsi="宋体"/>
                <w:szCs w:val="21"/>
                <w:highlight w:val="none"/>
              </w:rPr>
              <w:t>规格尺寸1</w:t>
            </w:r>
            <w:r>
              <w:rPr>
                <w:rFonts w:ascii="宋体" w:hAnsi="宋体"/>
                <w:szCs w:val="21"/>
                <w:highlight w:val="none"/>
              </w:rPr>
              <w:t>35*75</w:t>
            </w:r>
            <w:r>
              <w:rPr>
                <w:rFonts w:hint="eastAsia" w:ascii="宋体" w:hAnsi="宋体"/>
                <w:szCs w:val="21"/>
                <w:highlight w:val="none"/>
              </w:rPr>
              <w:t>mm</w:t>
            </w:r>
          </w:p>
          <w:p>
            <w:pPr>
              <w:pStyle w:val="25"/>
              <w:numPr>
                <w:ilvl w:val="0"/>
                <w:numId w:val="9"/>
              </w:numPr>
              <w:spacing w:line="260" w:lineRule="exact"/>
              <w:ind w:firstLineChars="0"/>
              <w:jc w:val="left"/>
              <w:rPr>
                <w:rFonts w:ascii="宋体" w:hAnsi="宋体"/>
                <w:szCs w:val="21"/>
                <w:highlight w:val="none"/>
              </w:rPr>
            </w:pPr>
            <w:r>
              <w:rPr>
                <w:rFonts w:hint="eastAsia" w:ascii="宋体" w:hAnsi="宋体"/>
                <w:szCs w:val="21"/>
                <w:highlight w:val="none"/>
              </w:rPr>
              <w:t>重量1</w:t>
            </w:r>
            <w:r>
              <w:rPr>
                <w:rFonts w:ascii="宋体" w:hAnsi="宋体"/>
                <w:szCs w:val="21"/>
                <w:highlight w:val="none"/>
              </w:rPr>
              <w:t>34</w:t>
            </w:r>
            <w:r>
              <w:rPr>
                <w:rFonts w:hint="eastAsia" w:ascii="宋体" w:hAnsi="宋体"/>
                <w:szCs w:val="21"/>
                <w:highlight w:val="none"/>
              </w:rPr>
              <w:t>g</w:t>
            </w:r>
          </w:p>
          <w:p>
            <w:pPr>
              <w:pStyle w:val="25"/>
              <w:numPr>
                <w:ilvl w:val="0"/>
                <w:numId w:val="9"/>
              </w:numPr>
              <w:spacing w:line="260" w:lineRule="exact"/>
              <w:ind w:firstLineChars="0"/>
              <w:jc w:val="left"/>
              <w:rPr>
                <w:rFonts w:ascii="宋体" w:hAnsi="宋体"/>
                <w:szCs w:val="21"/>
                <w:highlight w:val="none"/>
              </w:rPr>
            </w:pPr>
            <w:r>
              <w:rPr>
                <w:rFonts w:hint="eastAsia" w:ascii="宋体" w:hAnsi="宋体"/>
                <w:szCs w:val="21"/>
                <w:highlight w:val="none"/>
              </w:rPr>
              <w:t>支持横拍和竖拍</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个</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4</w:t>
            </w:r>
          </w:p>
        </w:tc>
      </w:tr>
      <w:tr>
        <w:tblPrEx>
          <w:tblCellMar>
            <w:top w:w="0" w:type="dxa"/>
            <w:left w:w="108" w:type="dxa"/>
            <w:bottom w:w="0" w:type="dxa"/>
            <w:right w:w="108" w:type="dxa"/>
          </w:tblCellMar>
        </w:tblPrEx>
        <w:trPr>
          <w:trHeight w:val="361"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21</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太阳灯</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灯光采用LED灯珠。</w:t>
            </w:r>
          </w:p>
          <w:p>
            <w:pPr>
              <w:widowControl/>
              <w:spacing w:line="260" w:lineRule="exact"/>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不低于100W耗能。</w:t>
            </w:r>
          </w:p>
          <w:p>
            <w:pPr>
              <w:widowControl/>
              <w:spacing w:line="260" w:lineRule="exact"/>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灯头配有散热风扇。</w:t>
            </w:r>
          </w:p>
          <w:p>
            <w:pPr>
              <w:widowControl/>
              <w:spacing w:line="260" w:lineRule="exact"/>
              <w:jc w:val="left"/>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灯光标准色温5600K</w:t>
            </w:r>
          </w:p>
          <w:p>
            <w:pPr>
              <w:widowControl/>
              <w:spacing w:line="260" w:lineRule="exact"/>
              <w:jc w:val="left"/>
              <w:rPr>
                <w:rFonts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显示指数Ra:95，</w:t>
            </w:r>
          </w:p>
          <w:p>
            <w:pPr>
              <w:widowControl/>
              <w:spacing w:line="260" w:lineRule="exact"/>
              <w:jc w:val="left"/>
              <w:rPr>
                <w:rFonts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配置数码管显示屏，可显示地址码和亮度。</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4</w:t>
            </w:r>
          </w:p>
        </w:tc>
      </w:tr>
      <w:tr>
        <w:tblPrEx>
          <w:tblCellMar>
            <w:top w:w="0" w:type="dxa"/>
            <w:left w:w="108" w:type="dxa"/>
            <w:bottom w:w="0" w:type="dxa"/>
            <w:right w:w="108" w:type="dxa"/>
          </w:tblCellMar>
        </w:tblPrEx>
        <w:trPr>
          <w:trHeight w:val="28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22</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高清导播系统</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支持10-bit 1920 x 1080i视频输出；</w:t>
            </w:r>
          </w:p>
          <w:p>
            <w:pPr>
              <w:widowControl/>
              <w:spacing w:line="260" w:lineRule="exact"/>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配备4通道全高清视频输入；</w:t>
            </w:r>
          </w:p>
          <w:p>
            <w:pPr>
              <w:widowControl/>
              <w:spacing w:line="260" w:lineRule="exact"/>
              <w:jc w:val="left"/>
              <w:rPr>
                <w:rFonts w:ascii="宋体" w:hAnsi="宋体"/>
                <w:szCs w:val="21"/>
                <w:highlight w:val="none"/>
              </w:rPr>
            </w:pPr>
            <w:r>
              <w:rPr>
                <w:rFonts w:hint="eastAsia" w:ascii="宋体" w:hAnsi="宋体"/>
                <w:color w:val="333333"/>
                <w:szCs w:val="21"/>
                <w:highlight w:val="none"/>
                <w:shd w:val="clear" w:color="auto" w:fill="FFFFFF"/>
              </w:rPr>
              <w:t>★</w:t>
            </w:r>
            <w:r>
              <w:rPr>
                <w:rFonts w:ascii="宋体" w:hAnsi="宋体"/>
                <w:szCs w:val="21"/>
                <w:highlight w:val="none"/>
              </w:rPr>
              <w:t>3.</w:t>
            </w:r>
            <w:r>
              <w:rPr>
                <w:rFonts w:hint="eastAsia" w:ascii="宋体" w:hAnsi="宋体"/>
                <w:szCs w:val="21"/>
                <w:highlight w:val="none"/>
              </w:rPr>
              <w:t>具备直播导播系统功能，支持rtsp/rtmp视频拉流、IP访问、PPT播放、实时字幕/比分、视频延时播出、PGM资源录制、平台同步流媒体直播、图片/视频/音频素材添加、虚拟抠像、节目播出、音频调节；</w:t>
            </w:r>
          </w:p>
          <w:p>
            <w:pPr>
              <w:widowControl/>
              <w:spacing w:line="260" w:lineRule="exact"/>
              <w:jc w:val="left"/>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配备8组通话系统；</w:t>
            </w:r>
          </w:p>
          <w:p>
            <w:pPr>
              <w:widowControl/>
              <w:spacing w:line="260" w:lineRule="exact"/>
              <w:jc w:val="left"/>
              <w:rPr>
                <w:rFonts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监看屏幕不小于17英寸。</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361"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23</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视频采集盒</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接口USB 3.2 Gen1x1 Type-c</w:t>
            </w:r>
          </w:p>
          <w:p>
            <w:pPr>
              <w:widowControl/>
              <w:spacing w:line="260" w:lineRule="exact"/>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视频输入HDMI2.0</w:t>
            </w:r>
          </w:p>
          <w:p>
            <w:pPr>
              <w:widowControl/>
              <w:spacing w:line="260" w:lineRule="exact"/>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视频输出(环出)HDMI2.0</w:t>
            </w:r>
          </w:p>
          <w:p>
            <w:pPr>
              <w:widowControl/>
              <w:spacing w:line="260" w:lineRule="exact"/>
              <w:jc w:val="left"/>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音频输入HDMI2.0</w:t>
            </w:r>
          </w:p>
          <w:p>
            <w:pPr>
              <w:widowControl/>
              <w:spacing w:line="260" w:lineRule="exact"/>
              <w:jc w:val="left"/>
              <w:rPr>
                <w:rFonts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音频输出(环出)HDMI2.0</w:t>
            </w:r>
          </w:p>
          <w:p>
            <w:pPr>
              <w:widowControl/>
              <w:spacing w:line="260" w:lineRule="exact"/>
              <w:jc w:val="left"/>
              <w:rPr>
                <w:rFonts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视频分辨率(输入)4k@6OHz HDR/2K@144Hz HDR/1080P@240Hz HDR</w:t>
            </w:r>
          </w:p>
          <w:p>
            <w:pPr>
              <w:widowControl/>
              <w:spacing w:line="260" w:lineRule="exact"/>
              <w:jc w:val="left"/>
              <w:rPr>
                <w:rFonts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视频最高分辨率(环出)4k@6OHz HDR/2K@144Hz HDR/108OP@240Hz HDR</w:t>
            </w:r>
          </w:p>
          <w:p>
            <w:pPr>
              <w:widowControl/>
              <w:spacing w:line="260" w:lineRule="exact"/>
              <w:jc w:val="left"/>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视频最高分辨率(录制)</w:t>
            </w:r>
          </w:p>
          <w:p>
            <w:pPr>
              <w:widowControl/>
              <w:spacing w:line="260" w:lineRule="exact"/>
              <w:jc w:val="left"/>
              <w:rPr>
                <w:rFonts w:ascii="宋体" w:hAnsi="宋体"/>
                <w:szCs w:val="21"/>
                <w:highlight w:val="none"/>
              </w:rPr>
            </w:pPr>
            <w:r>
              <w:rPr>
                <w:rFonts w:hint="eastAsia" w:ascii="宋体" w:hAnsi="宋体"/>
                <w:szCs w:val="21"/>
                <w:highlight w:val="none"/>
              </w:rPr>
              <w:t>USB3.2 Gen 1x1 Type-CR:无压缩2160p30 /1440p60 / 1080p60 / 1080p30720p60 / 720p30 /576p / 480puSB 2.O:无压缩720p30</w:t>
            </w:r>
          </w:p>
          <w:p>
            <w:pPr>
              <w:widowControl/>
              <w:spacing w:line="260" w:lineRule="exact"/>
              <w:jc w:val="left"/>
              <w:rPr>
                <w:rFonts w:ascii="宋体" w:hAnsi="宋体"/>
                <w:szCs w:val="21"/>
                <w:highlight w:val="none"/>
              </w:rPr>
            </w:pPr>
            <w:r>
              <w:rPr>
                <w:rFonts w:hint="eastAsia" w:ascii="宋体" w:hAnsi="宋体"/>
                <w:szCs w:val="21"/>
                <w:highlight w:val="none"/>
              </w:rPr>
              <w:t>9</w:t>
            </w:r>
            <w:r>
              <w:rPr>
                <w:rFonts w:ascii="宋体" w:hAnsi="宋体"/>
                <w:szCs w:val="21"/>
                <w:highlight w:val="none"/>
              </w:rPr>
              <w:t>.</w:t>
            </w:r>
            <w:r>
              <w:rPr>
                <w:rFonts w:hint="eastAsia" w:ascii="宋体" w:hAnsi="宋体"/>
                <w:szCs w:val="21"/>
                <w:highlight w:val="none"/>
              </w:rPr>
              <w:t>音频混音输入3.5mm耳麦</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333"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24</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left"/>
              <w:rPr>
                <w:rFonts w:ascii="宋体" w:hAnsi="宋体"/>
                <w:szCs w:val="21"/>
                <w:highlight w:val="none"/>
              </w:rPr>
            </w:pPr>
            <w:r>
              <w:rPr>
                <w:rFonts w:hint="eastAsia" w:ascii="宋体" w:hAnsi="宋体"/>
                <w:szCs w:val="21"/>
                <w:highlight w:val="none"/>
              </w:rPr>
              <w:t>全媒体制作系统</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ascii="宋体" w:hAnsi="宋体"/>
                <w:szCs w:val="21"/>
                <w:highlight w:val="none"/>
              </w:rPr>
            </w:pPr>
            <w:r>
              <w:rPr>
                <w:rFonts w:hint="eastAsia" w:ascii="宋体" w:hAnsi="宋体"/>
                <w:szCs w:val="21"/>
                <w:highlight w:val="none"/>
              </w:rPr>
              <w:t>系统功能：</w:t>
            </w:r>
          </w:p>
          <w:p>
            <w:pPr>
              <w:spacing w:line="26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系统</w:t>
            </w:r>
            <w:r>
              <w:rPr>
                <w:rFonts w:ascii="宋体" w:hAnsi="宋体"/>
                <w:szCs w:val="21"/>
                <w:highlight w:val="none"/>
              </w:rPr>
              <w:t>支持基本的三维模型，如球形、圆盘，方块等，是真三维设计软件，支持三维建模。</w:t>
            </w:r>
          </w:p>
          <w:p>
            <w:pPr>
              <w:spacing w:line="26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系统</w:t>
            </w:r>
            <w:r>
              <w:rPr>
                <w:rFonts w:ascii="宋体" w:hAnsi="宋体"/>
                <w:szCs w:val="21"/>
                <w:highlight w:val="none"/>
              </w:rPr>
              <w:t>支持VR全景渲染功能。</w:t>
            </w:r>
          </w:p>
          <w:p>
            <w:pPr>
              <w:spacing w:line="260" w:lineRule="exact"/>
              <w:rPr>
                <w:rFonts w:ascii="宋体" w:hAnsi="宋体"/>
                <w:szCs w:val="21"/>
                <w:highlight w:val="none"/>
              </w:rPr>
            </w:pPr>
            <w:r>
              <w:rPr>
                <w:rFonts w:ascii="宋体" w:hAnsi="宋体"/>
                <w:szCs w:val="21"/>
                <w:highlight w:val="none"/>
              </w:rPr>
              <w:t>3.</w:t>
            </w:r>
            <w:r>
              <w:rPr>
                <w:rFonts w:hint="eastAsia" w:ascii="宋体" w:hAnsi="宋体"/>
                <w:szCs w:val="21"/>
                <w:highlight w:val="none"/>
              </w:rPr>
              <w:t>系统</w:t>
            </w:r>
            <w:r>
              <w:rPr>
                <w:rFonts w:ascii="宋体" w:hAnsi="宋体"/>
                <w:szCs w:val="21"/>
                <w:highlight w:val="none"/>
              </w:rPr>
              <w:t>支持二维图片实时转变三维模型并对模型参数修改。</w:t>
            </w:r>
          </w:p>
          <w:p>
            <w:pPr>
              <w:spacing w:line="260" w:lineRule="exact"/>
              <w:rPr>
                <w:rFonts w:ascii="宋体" w:hAnsi="宋体"/>
                <w:szCs w:val="21"/>
                <w:highlight w:val="none"/>
              </w:rPr>
            </w:pPr>
            <w:r>
              <w:rPr>
                <w:rFonts w:ascii="宋体" w:hAnsi="宋体"/>
                <w:szCs w:val="21"/>
                <w:highlight w:val="none"/>
              </w:rPr>
              <w:t>4.</w:t>
            </w:r>
            <w:r>
              <w:rPr>
                <w:rFonts w:hint="eastAsia" w:ascii="宋体" w:hAnsi="宋体"/>
                <w:szCs w:val="21"/>
                <w:highlight w:val="none"/>
              </w:rPr>
              <w:t>系统</w:t>
            </w:r>
            <w:r>
              <w:rPr>
                <w:rFonts w:ascii="宋体" w:hAnsi="宋体"/>
                <w:szCs w:val="21"/>
                <w:highlight w:val="none"/>
              </w:rPr>
              <w:t>支持实时景深调节及快捷惯性动画调节。</w:t>
            </w:r>
          </w:p>
          <w:p>
            <w:pPr>
              <w:spacing w:line="260" w:lineRule="exact"/>
              <w:rPr>
                <w:rFonts w:ascii="宋体" w:hAnsi="宋体"/>
                <w:szCs w:val="21"/>
                <w:highlight w:val="none"/>
              </w:rPr>
            </w:pPr>
            <w:r>
              <w:rPr>
                <w:rFonts w:ascii="宋体" w:hAnsi="宋体"/>
                <w:szCs w:val="21"/>
                <w:highlight w:val="none"/>
              </w:rPr>
              <w:t>5.</w:t>
            </w:r>
            <w:r>
              <w:rPr>
                <w:rFonts w:hint="eastAsia" w:ascii="宋体" w:hAnsi="宋体"/>
                <w:szCs w:val="21"/>
                <w:highlight w:val="none"/>
              </w:rPr>
              <w:t>系统</w:t>
            </w:r>
            <w:r>
              <w:rPr>
                <w:rFonts w:ascii="宋体" w:hAnsi="宋体"/>
                <w:szCs w:val="21"/>
                <w:highlight w:val="none"/>
              </w:rPr>
              <w:t>支持实时建模及参数关联动画。</w:t>
            </w:r>
          </w:p>
          <w:p>
            <w:pPr>
              <w:spacing w:line="260" w:lineRule="exact"/>
              <w:rPr>
                <w:rFonts w:ascii="宋体" w:hAnsi="宋体"/>
                <w:szCs w:val="21"/>
                <w:highlight w:val="none"/>
              </w:rPr>
            </w:pPr>
            <w:r>
              <w:rPr>
                <w:rFonts w:ascii="宋体" w:hAnsi="宋体"/>
                <w:szCs w:val="21"/>
                <w:highlight w:val="none"/>
              </w:rPr>
              <w:t>6.</w:t>
            </w:r>
            <w:r>
              <w:rPr>
                <w:rFonts w:hint="eastAsia" w:ascii="宋体" w:hAnsi="宋体"/>
                <w:szCs w:val="21"/>
                <w:highlight w:val="none"/>
              </w:rPr>
              <w:t>系统</w:t>
            </w:r>
            <w:r>
              <w:rPr>
                <w:rFonts w:ascii="宋体" w:hAnsi="宋体"/>
                <w:szCs w:val="21"/>
                <w:highlight w:val="none"/>
              </w:rPr>
              <w:t>支持交互节点制作。</w:t>
            </w:r>
          </w:p>
          <w:p>
            <w:pPr>
              <w:spacing w:line="260" w:lineRule="exact"/>
              <w:rPr>
                <w:rFonts w:ascii="宋体" w:hAnsi="宋体"/>
                <w:szCs w:val="21"/>
                <w:highlight w:val="none"/>
              </w:rPr>
            </w:pPr>
            <w:r>
              <w:rPr>
                <w:rFonts w:ascii="宋体" w:hAnsi="宋体"/>
                <w:szCs w:val="21"/>
                <w:highlight w:val="none"/>
              </w:rPr>
              <w:t>7.</w:t>
            </w:r>
            <w:r>
              <w:rPr>
                <w:rFonts w:hint="eastAsia" w:ascii="宋体" w:hAnsi="宋体"/>
                <w:szCs w:val="21"/>
                <w:highlight w:val="none"/>
              </w:rPr>
              <w:t>系统</w:t>
            </w:r>
            <w:r>
              <w:rPr>
                <w:rFonts w:ascii="宋体" w:hAnsi="宋体"/>
                <w:szCs w:val="21"/>
                <w:highlight w:val="none"/>
              </w:rPr>
              <w:t>支持数据可视化插件。</w:t>
            </w:r>
          </w:p>
          <w:p>
            <w:pPr>
              <w:spacing w:line="260" w:lineRule="exact"/>
              <w:rPr>
                <w:rFonts w:ascii="宋体" w:hAnsi="宋体"/>
                <w:szCs w:val="21"/>
                <w:highlight w:val="none"/>
              </w:rPr>
            </w:pPr>
            <w:r>
              <w:rPr>
                <w:rFonts w:ascii="宋体" w:hAnsi="宋体"/>
                <w:szCs w:val="21"/>
                <w:highlight w:val="none"/>
              </w:rPr>
              <w:t>8.</w:t>
            </w:r>
            <w:r>
              <w:rPr>
                <w:rFonts w:hint="eastAsia" w:ascii="宋体" w:hAnsi="宋体"/>
                <w:szCs w:val="21"/>
                <w:highlight w:val="none"/>
              </w:rPr>
              <w:t>系统</w:t>
            </w:r>
            <w:r>
              <w:rPr>
                <w:rFonts w:ascii="宋体" w:hAnsi="宋体"/>
                <w:szCs w:val="21"/>
                <w:highlight w:val="none"/>
              </w:rPr>
              <w:t>支持实时三维模型裁剪。</w:t>
            </w:r>
          </w:p>
          <w:p>
            <w:pPr>
              <w:spacing w:line="260" w:lineRule="exact"/>
              <w:rPr>
                <w:rFonts w:ascii="宋体" w:hAnsi="宋体"/>
                <w:szCs w:val="21"/>
                <w:highlight w:val="none"/>
              </w:rPr>
            </w:pPr>
            <w:r>
              <w:rPr>
                <w:rFonts w:ascii="宋体" w:hAnsi="宋体"/>
                <w:szCs w:val="21"/>
                <w:highlight w:val="none"/>
              </w:rPr>
              <w:t>9.</w:t>
            </w:r>
            <w:r>
              <w:rPr>
                <w:rFonts w:hint="eastAsia" w:ascii="宋体" w:hAnsi="宋体"/>
                <w:szCs w:val="21"/>
                <w:highlight w:val="none"/>
              </w:rPr>
              <w:t>系统</w:t>
            </w:r>
            <w:r>
              <w:rPr>
                <w:rFonts w:ascii="宋体" w:hAnsi="宋体"/>
                <w:szCs w:val="21"/>
                <w:highlight w:val="none"/>
              </w:rPr>
              <w:t>支持实时阴影倒影效果。</w:t>
            </w:r>
          </w:p>
          <w:p>
            <w:pPr>
              <w:spacing w:line="260" w:lineRule="exact"/>
              <w:rPr>
                <w:rFonts w:ascii="宋体" w:hAnsi="宋体"/>
                <w:szCs w:val="21"/>
                <w:highlight w:val="none"/>
              </w:rPr>
            </w:pPr>
            <w:r>
              <w:rPr>
                <w:rFonts w:ascii="宋体" w:hAnsi="宋体"/>
                <w:szCs w:val="21"/>
                <w:highlight w:val="none"/>
              </w:rPr>
              <w:t>10.</w:t>
            </w:r>
            <w:r>
              <w:rPr>
                <w:rFonts w:hint="eastAsia" w:ascii="宋体" w:hAnsi="宋体"/>
                <w:szCs w:val="21"/>
                <w:highlight w:val="none"/>
              </w:rPr>
              <w:t>系统</w:t>
            </w:r>
            <w:r>
              <w:rPr>
                <w:rFonts w:ascii="宋体" w:hAnsi="宋体"/>
                <w:szCs w:val="21"/>
                <w:highlight w:val="none"/>
              </w:rPr>
              <w:t>支持实时快捷惯性动画调节。</w:t>
            </w:r>
          </w:p>
          <w:p>
            <w:pPr>
              <w:spacing w:line="260" w:lineRule="exact"/>
              <w:rPr>
                <w:rFonts w:ascii="宋体" w:hAnsi="宋体"/>
                <w:szCs w:val="21"/>
                <w:highlight w:val="none"/>
              </w:rPr>
            </w:pPr>
            <w:r>
              <w:rPr>
                <w:rFonts w:ascii="宋体" w:hAnsi="宋体"/>
                <w:szCs w:val="21"/>
                <w:highlight w:val="none"/>
              </w:rPr>
              <w:t>11.</w:t>
            </w:r>
            <w:r>
              <w:rPr>
                <w:rFonts w:hint="eastAsia" w:ascii="宋体" w:hAnsi="宋体"/>
                <w:szCs w:val="21"/>
                <w:highlight w:val="none"/>
              </w:rPr>
              <w:t>系统</w:t>
            </w:r>
            <w:r>
              <w:rPr>
                <w:rFonts w:ascii="宋体" w:hAnsi="宋体"/>
                <w:szCs w:val="21"/>
                <w:highlight w:val="none"/>
              </w:rPr>
              <w:t>支持FBX导入光效实时合成。</w:t>
            </w:r>
          </w:p>
          <w:p>
            <w:pPr>
              <w:spacing w:line="260" w:lineRule="exact"/>
              <w:rPr>
                <w:rFonts w:ascii="宋体" w:hAnsi="宋体"/>
                <w:szCs w:val="21"/>
                <w:highlight w:val="none"/>
              </w:rPr>
            </w:pPr>
            <w:r>
              <w:rPr>
                <w:rFonts w:ascii="宋体" w:hAnsi="宋体"/>
                <w:szCs w:val="21"/>
                <w:highlight w:val="none"/>
              </w:rPr>
              <w:t>12.</w:t>
            </w:r>
            <w:r>
              <w:rPr>
                <w:rFonts w:hint="eastAsia" w:ascii="宋体" w:hAnsi="宋体"/>
                <w:szCs w:val="21"/>
                <w:highlight w:val="none"/>
              </w:rPr>
              <w:t>系统</w:t>
            </w:r>
            <w:r>
              <w:rPr>
                <w:rFonts w:ascii="宋体" w:hAnsi="宋体"/>
                <w:szCs w:val="21"/>
                <w:highlight w:val="none"/>
              </w:rPr>
              <w:t>三维模型运动轨迹设计，轨迹可以是直线、曲线或自行设计。</w:t>
            </w:r>
          </w:p>
          <w:p>
            <w:pPr>
              <w:spacing w:line="260" w:lineRule="exact"/>
              <w:rPr>
                <w:rFonts w:ascii="宋体" w:hAnsi="宋体"/>
                <w:szCs w:val="21"/>
                <w:highlight w:val="none"/>
              </w:rPr>
            </w:pPr>
            <w:r>
              <w:rPr>
                <w:rFonts w:ascii="宋体" w:hAnsi="宋体"/>
                <w:szCs w:val="21"/>
                <w:highlight w:val="none"/>
              </w:rPr>
              <w:t>13.</w:t>
            </w:r>
            <w:r>
              <w:rPr>
                <w:rFonts w:hint="eastAsia" w:ascii="宋体" w:hAnsi="宋体"/>
                <w:szCs w:val="21"/>
                <w:highlight w:val="none"/>
              </w:rPr>
              <w:t>系统</w:t>
            </w:r>
            <w:r>
              <w:rPr>
                <w:rFonts w:ascii="宋体" w:hAnsi="宋体"/>
                <w:szCs w:val="21"/>
                <w:highlight w:val="none"/>
              </w:rPr>
              <w:t>支持常用的3D/2D特效，可以对物体做移动、旋转、缩放、卷页等特效。</w:t>
            </w:r>
          </w:p>
          <w:p>
            <w:pPr>
              <w:spacing w:line="260" w:lineRule="exact"/>
              <w:rPr>
                <w:rFonts w:ascii="宋体" w:hAnsi="宋体"/>
                <w:szCs w:val="21"/>
                <w:highlight w:val="none"/>
              </w:rPr>
            </w:pPr>
            <w:r>
              <w:rPr>
                <w:rFonts w:ascii="宋体" w:hAnsi="宋体"/>
                <w:szCs w:val="21"/>
                <w:highlight w:val="none"/>
              </w:rPr>
              <w:t>14.</w:t>
            </w:r>
            <w:r>
              <w:rPr>
                <w:rFonts w:hint="eastAsia" w:ascii="宋体" w:hAnsi="宋体"/>
                <w:szCs w:val="21"/>
                <w:highlight w:val="none"/>
              </w:rPr>
              <w:t>系统</w:t>
            </w:r>
            <w:r>
              <w:rPr>
                <w:rFonts w:ascii="宋体" w:hAnsi="宋体"/>
                <w:szCs w:val="21"/>
                <w:highlight w:val="none"/>
              </w:rPr>
              <w:t>支持对外来实时视频进行三维DVE处理，例如移动、旋转、缩放等效果。</w:t>
            </w:r>
          </w:p>
          <w:p>
            <w:pPr>
              <w:spacing w:line="260" w:lineRule="exact"/>
              <w:rPr>
                <w:rFonts w:ascii="宋体" w:hAnsi="宋体"/>
                <w:szCs w:val="21"/>
                <w:highlight w:val="none"/>
              </w:rPr>
            </w:pPr>
            <w:r>
              <w:rPr>
                <w:rFonts w:ascii="宋体" w:hAnsi="宋体"/>
                <w:szCs w:val="21"/>
                <w:highlight w:val="none"/>
              </w:rPr>
              <w:t>15.</w:t>
            </w:r>
            <w:r>
              <w:rPr>
                <w:rFonts w:hint="eastAsia" w:ascii="宋体" w:hAnsi="宋体"/>
                <w:szCs w:val="21"/>
                <w:highlight w:val="none"/>
              </w:rPr>
              <w:t>系统</w:t>
            </w:r>
            <w:r>
              <w:rPr>
                <w:rFonts w:ascii="宋体" w:hAnsi="宋体"/>
                <w:szCs w:val="21"/>
                <w:highlight w:val="none"/>
              </w:rPr>
              <w:t>支持常用的图片格式(TGA、jpeg、bmp、png等)，支持图像的Alpha通道，支持TGA序列的导入，支持TGA序列中的Alpha通道。</w:t>
            </w:r>
          </w:p>
          <w:p>
            <w:pPr>
              <w:spacing w:line="260" w:lineRule="exact"/>
              <w:rPr>
                <w:rFonts w:ascii="宋体" w:hAnsi="宋体"/>
                <w:szCs w:val="21"/>
                <w:highlight w:val="none"/>
              </w:rPr>
            </w:pPr>
            <w:r>
              <w:rPr>
                <w:rFonts w:ascii="宋体" w:hAnsi="宋体"/>
                <w:szCs w:val="21"/>
                <w:highlight w:val="none"/>
              </w:rPr>
              <w:t>16.</w:t>
            </w:r>
            <w:r>
              <w:rPr>
                <w:rFonts w:hint="eastAsia" w:ascii="宋体" w:hAnsi="宋体"/>
                <w:szCs w:val="21"/>
                <w:highlight w:val="none"/>
              </w:rPr>
              <w:t>系统</w:t>
            </w:r>
            <w:r>
              <w:rPr>
                <w:rFonts w:ascii="宋体" w:hAnsi="宋体"/>
                <w:szCs w:val="21"/>
                <w:highlight w:val="none"/>
              </w:rPr>
              <w:t>支持3DMax、Maya等常用三维设计软件输出的标准三维模型的导入，并能够编辑导入的模型。</w:t>
            </w:r>
          </w:p>
          <w:p>
            <w:pPr>
              <w:pStyle w:val="18"/>
              <w:spacing w:line="260" w:lineRule="exact"/>
              <w:ind w:firstLine="0" w:firstLineChars="0"/>
              <w:rPr>
                <w:rFonts w:ascii="宋体" w:hAnsi="宋体"/>
                <w:sz w:val="21"/>
                <w:szCs w:val="21"/>
                <w:highlight w:val="none"/>
              </w:rPr>
            </w:pPr>
            <w:r>
              <w:rPr>
                <w:rFonts w:ascii="宋体" w:hAnsi="宋体"/>
                <w:sz w:val="21"/>
                <w:szCs w:val="21"/>
                <w:highlight w:val="none"/>
              </w:rPr>
              <w:t>17.可读取外部数据库，根据数据库信息实时变换文本或图形，当外部数据断开时支持对文本和图形的手动更新</w:t>
            </w:r>
            <w:r>
              <w:rPr>
                <w:rFonts w:hint="eastAsia" w:ascii="宋体" w:hAnsi="宋体"/>
                <w:sz w:val="21"/>
                <w:szCs w:val="21"/>
                <w:highlight w:val="none"/>
              </w:rPr>
              <w:t>。</w:t>
            </w:r>
          </w:p>
          <w:p>
            <w:pPr>
              <w:spacing w:line="260" w:lineRule="exact"/>
              <w:rPr>
                <w:rFonts w:ascii="宋体" w:hAnsi="宋体"/>
                <w:szCs w:val="21"/>
                <w:highlight w:val="none"/>
              </w:rPr>
            </w:pPr>
            <w:r>
              <w:rPr>
                <w:rFonts w:hint="eastAsia" w:ascii="宋体" w:hAnsi="宋体"/>
                <w:szCs w:val="21"/>
                <w:highlight w:val="none"/>
              </w:rPr>
              <w:t>系统硬件具体要求：（知名品牌）</w:t>
            </w:r>
          </w:p>
          <w:p>
            <w:pPr>
              <w:spacing w:line="260" w:lineRule="exact"/>
              <w:rPr>
                <w:rFonts w:ascii="宋体" w:hAnsi="宋体"/>
                <w:szCs w:val="21"/>
                <w:highlight w:val="none"/>
              </w:rPr>
            </w:pPr>
            <w:r>
              <w:rPr>
                <w:rFonts w:ascii="宋体" w:hAnsi="宋体"/>
                <w:szCs w:val="21"/>
                <w:highlight w:val="none"/>
              </w:rPr>
              <w:t>1.CPU</w:t>
            </w:r>
            <w:r>
              <w:rPr>
                <w:rFonts w:hint="eastAsia" w:ascii="宋体" w:hAnsi="宋体"/>
                <w:szCs w:val="21"/>
                <w:highlight w:val="none"/>
              </w:rPr>
              <w:t>≥酷睿i7-11700 (8 核/16MB/16T/2.5GHz 至 4.9GHz/65W)；</w:t>
            </w:r>
          </w:p>
          <w:p>
            <w:pPr>
              <w:spacing w:line="260" w:lineRule="exact"/>
              <w:rPr>
                <w:rFonts w:ascii="宋体" w:hAnsi="宋体"/>
                <w:szCs w:val="21"/>
                <w:highlight w:val="none"/>
              </w:rPr>
            </w:pPr>
            <w:r>
              <w:rPr>
                <w:rFonts w:ascii="宋体" w:hAnsi="宋体"/>
                <w:szCs w:val="21"/>
                <w:highlight w:val="none"/>
              </w:rPr>
              <w:t>2.内存</w:t>
            </w:r>
            <w:r>
              <w:rPr>
                <w:rFonts w:hint="eastAsia" w:ascii="宋体" w:hAnsi="宋体"/>
                <w:szCs w:val="21"/>
                <w:highlight w:val="none"/>
              </w:rPr>
              <w:t>≥16GB DDR4 非-ECC 内存；</w:t>
            </w:r>
          </w:p>
          <w:p>
            <w:pPr>
              <w:spacing w:line="260" w:lineRule="exact"/>
              <w:rPr>
                <w:rFonts w:ascii="宋体" w:hAnsi="宋体"/>
                <w:szCs w:val="21"/>
                <w:highlight w:val="none"/>
              </w:rPr>
            </w:pPr>
            <w:r>
              <w:rPr>
                <w:rFonts w:ascii="宋体" w:hAnsi="宋体"/>
                <w:szCs w:val="21"/>
                <w:highlight w:val="none"/>
              </w:rPr>
              <w:t>3.</w:t>
            </w:r>
            <w:r>
              <w:rPr>
                <w:rFonts w:hint="eastAsia" w:ascii="宋体" w:hAnsi="宋体"/>
                <w:szCs w:val="21"/>
                <w:highlight w:val="none"/>
              </w:rPr>
              <w:t>固态</w:t>
            </w:r>
            <w:r>
              <w:rPr>
                <w:rFonts w:ascii="宋体" w:hAnsi="宋体"/>
                <w:szCs w:val="21"/>
                <w:highlight w:val="none"/>
              </w:rPr>
              <w:t>硬盘</w:t>
            </w:r>
            <w:r>
              <w:rPr>
                <w:rFonts w:hint="eastAsia" w:ascii="宋体" w:hAnsi="宋体"/>
                <w:szCs w:val="21"/>
                <w:highlight w:val="none"/>
              </w:rPr>
              <w:t>≥256GB PCIe NVME Class 35 固态硬盘；</w:t>
            </w:r>
            <w:r>
              <w:rPr>
                <w:rFonts w:ascii="宋体" w:hAnsi="宋体"/>
                <w:szCs w:val="21"/>
                <w:highlight w:val="none"/>
              </w:rPr>
              <w:t xml:space="preserve"> </w:t>
            </w:r>
          </w:p>
          <w:p>
            <w:pPr>
              <w:spacing w:line="260" w:lineRule="exact"/>
              <w:rPr>
                <w:rFonts w:ascii="宋体" w:hAnsi="宋体"/>
                <w:szCs w:val="21"/>
                <w:highlight w:val="none"/>
              </w:rPr>
            </w:pPr>
            <w:r>
              <w:rPr>
                <w:rFonts w:ascii="宋体" w:hAnsi="宋体"/>
                <w:szCs w:val="21"/>
                <w:highlight w:val="none"/>
              </w:rPr>
              <w:t>4.</w:t>
            </w:r>
            <w:r>
              <w:rPr>
                <w:rFonts w:hint="eastAsia" w:ascii="宋体" w:hAnsi="宋体"/>
                <w:szCs w:val="21"/>
                <w:highlight w:val="none"/>
              </w:rPr>
              <w:t>机械硬盘≥1TB 3.5 英寸 7200rpm 机械硬盘；</w:t>
            </w:r>
          </w:p>
          <w:p>
            <w:pPr>
              <w:spacing w:line="260" w:lineRule="exact"/>
              <w:rPr>
                <w:rFonts w:ascii="宋体" w:hAnsi="宋体"/>
                <w:szCs w:val="21"/>
                <w:highlight w:val="none"/>
              </w:rPr>
            </w:pPr>
            <w:r>
              <w:rPr>
                <w:rFonts w:ascii="宋体" w:hAnsi="宋体"/>
                <w:szCs w:val="21"/>
                <w:highlight w:val="none"/>
              </w:rPr>
              <w:t>5.显卡</w:t>
            </w:r>
            <w:r>
              <w:rPr>
                <w:rFonts w:hint="eastAsia" w:ascii="宋体" w:hAnsi="宋体"/>
                <w:szCs w:val="21"/>
                <w:highlight w:val="none"/>
              </w:rPr>
              <w:t>≥</w:t>
            </w:r>
            <w:r>
              <w:rPr>
                <w:rFonts w:ascii="宋体" w:hAnsi="宋体"/>
                <w:szCs w:val="21"/>
                <w:highlight w:val="none"/>
              </w:rPr>
              <w:t>4G独立</w:t>
            </w:r>
            <w:r>
              <w:rPr>
                <w:rFonts w:hint="eastAsia" w:ascii="宋体" w:hAnsi="宋体"/>
                <w:szCs w:val="21"/>
                <w:highlight w:val="none"/>
              </w:rPr>
              <w:t>GPU，</w:t>
            </w:r>
            <w:r>
              <w:rPr>
                <w:rFonts w:ascii="宋体" w:hAnsi="宋体"/>
                <w:szCs w:val="21"/>
                <w:highlight w:val="none"/>
              </w:rPr>
              <w:t>RX640FH(DP/mDP/mDP)</w:t>
            </w:r>
            <w:r>
              <w:rPr>
                <w:rFonts w:hint="eastAsia" w:ascii="宋体" w:hAnsi="宋体"/>
                <w:szCs w:val="21"/>
                <w:highlight w:val="none"/>
              </w:rPr>
              <w:t>；</w:t>
            </w:r>
          </w:p>
          <w:p>
            <w:pPr>
              <w:spacing w:line="260" w:lineRule="exact"/>
              <w:rPr>
                <w:rFonts w:ascii="宋体" w:hAnsi="宋体"/>
                <w:szCs w:val="21"/>
                <w:highlight w:val="none"/>
              </w:rPr>
            </w:pPr>
            <w:r>
              <w:rPr>
                <w:rFonts w:ascii="宋体" w:hAnsi="宋体"/>
                <w:szCs w:val="21"/>
                <w:highlight w:val="none"/>
              </w:rPr>
              <w:t>5.显示器</w:t>
            </w:r>
            <w:r>
              <w:rPr>
                <w:rFonts w:hint="eastAsia" w:ascii="宋体" w:hAnsi="宋体"/>
                <w:szCs w:val="21"/>
                <w:highlight w:val="none"/>
              </w:rPr>
              <w:t>≥</w:t>
            </w:r>
            <w:r>
              <w:rPr>
                <w:rFonts w:ascii="宋体" w:hAnsi="宋体"/>
                <w:szCs w:val="21"/>
                <w:highlight w:val="none"/>
              </w:rPr>
              <w:t>24寸液晶</w:t>
            </w:r>
            <w:r>
              <w:rPr>
                <w:rFonts w:hint="eastAsia" w:ascii="宋体" w:hAnsi="宋体"/>
                <w:szCs w:val="21"/>
                <w:highlight w:val="none"/>
              </w:rPr>
              <w:t>显示器，</w:t>
            </w:r>
            <w:r>
              <w:rPr>
                <w:rFonts w:ascii="宋体" w:hAnsi="宋体"/>
                <w:szCs w:val="21"/>
                <w:highlight w:val="none"/>
              </w:rPr>
              <w:t>16:9</w:t>
            </w:r>
            <w:r>
              <w:rPr>
                <w:rFonts w:hint="eastAsia" w:ascii="宋体" w:hAnsi="宋体"/>
                <w:szCs w:val="21"/>
                <w:highlight w:val="none"/>
              </w:rPr>
              <w:t>显示比例，分辨率</w:t>
            </w:r>
            <w:r>
              <w:rPr>
                <w:rFonts w:ascii="宋体" w:hAnsi="宋体"/>
                <w:szCs w:val="21"/>
                <w:highlight w:val="none"/>
              </w:rPr>
              <w:t>1920*1080</w:t>
            </w:r>
            <w:r>
              <w:rPr>
                <w:rFonts w:hint="eastAsia" w:ascii="宋体" w:hAnsi="宋体"/>
                <w:szCs w:val="21"/>
                <w:highlight w:val="none"/>
              </w:rPr>
              <w:t>，对比度对比度1000:1</w:t>
            </w:r>
            <w:r>
              <w:rPr>
                <w:rFonts w:ascii="宋体" w:hAnsi="宋体"/>
                <w:szCs w:val="21"/>
                <w:highlight w:val="none"/>
              </w:rPr>
              <w:t>,</w:t>
            </w:r>
            <w:r>
              <w:rPr>
                <w:rFonts w:hint="eastAsia" w:ascii="宋体" w:hAnsi="宋体"/>
                <w:szCs w:val="21"/>
                <w:highlight w:val="none"/>
              </w:rPr>
              <w:t xml:space="preserve"> 屏幕刷新率：60Hz</w:t>
            </w:r>
            <w:r>
              <w:rPr>
                <w:rFonts w:ascii="宋体" w:hAnsi="宋体"/>
                <w:szCs w:val="21"/>
                <w:highlight w:val="none"/>
              </w:rPr>
              <w:t>,</w:t>
            </w:r>
            <w:r>
              <w:rPr>
                <w:rFonts w:hint="eastAsia" w:ascii="宋体" w:hAnsi="宋体"/>
                <w:szCs w:val="21"/>
                <w:highlight w:val="none"/>
              </w:rPr>
              <w:t xml:space="preserve"> 响应时间：5ms</w:t>
            </w:r>
            <w:r>
              <w:rPr>
                <w:rFonts w:ascii="宋体" w:hAnsi="宋体"/>
                <w:szCs w:val="21"/>
                <w:highlight w:val="none"/>
              </w:rPr>
              <w:t>,178</w:t>
            </w:r>
            <w:r>
              <w:rPr>
                <w:rFonts w:hint="eastAsia" w:ascii="宋体" w:hAnsi="宋体"/>
                <w:szCs w:val="21"/>
                <w:highlight w:val="none"/>
              </w:rPr>
              <w:t>度超宽视角， IPS面板技术；</w:t>
            </w:r>
          </w:p>
          <w:p>
            <w:pPr>
              <w:spacing w:line="260" w:lineRule="exact"/>
              <w:rPr>
                <w:rFonts w:ascii="宋体" w:hAnsi="宋体"/>
                <w:szCs w:val="21"/>
                <w:highlight w:val="none"/>
              </w:rPr>
            </w:pPr>
            <w:r>
              <w:rPr>
                <w:rFonts w:ascii="宋体" w:hAnsi="宋体"/>
                <w:szCs w:val="21"/>
                <w:highlight w:val="none"/>
              </w:rPr>
              <w:t>6.</w:t>
            </w:r>
            <w:r>
              <w:rPr>
                <w:rFonts w:hint="eastAsia" w:ascii="宋体" w:hAnsi="宋体"/>
                <w:szCs w:val="21"/>
                <w:highlight w:val="none"/>
              </w:rPr>
              <w:t>包含</w:t>
            </w:r>
            <w:r>
              <w:rPr>
                <w:rFonts w:ascii="宋体" w:hAnsi="宋体"/>
                <w:szCs w:val="21"/>
                <w:highlight w:val="none"/>
              </w:rPr>
              <w:t>标准鼠标键盘</w:t>
            </w:r>
            <w:r>
              <w:rPr>
                <w:rFonts w:hint="eastAsia" w:ascii="宋体" w:hAnsi="宋体"/>
                <w:szCs w:val="21"/>
                <w:highlight w:val="none"/>
              </w:rPr>
              <w:t>；</w:t>
            </w:r>
          </w:p>
          <w:p>
            <w:pPr>
              <w:pStyle w:val="25"/>
              <w:widowControl/>
              <w:spacing w:line="260" w:lineRule="exact"/>
              <w:ind w:firstLine="0" w:firstLineChars="0"/>
              <w:jc w:val="left"/>
              <w:rPr>
                <w:rFonts w:ascii="宋体" w:hAnsi="宋体"/>
                <w:szCs w:val="21"/>
                <w:highlight w:val="none"/>
              </w:rPr>
            </w:pPr>
            <w:r>
              <w:rPr>
                <w:rFonts w:ascii="宋体" w:hAnsi="宋体"/>
                <w:szCs w:val="21"/>
                <w:highlight w:val="none"/>
              </w:rPr>
              <w:t>7.</w:t>
            </w:r>
            <w:r>
              <w:rPr>
                <w:rFonts w:hint="eastAsia" w:ascii="宋体" w:hAnsi="宋体"/>
                <w:szCs w:val="21"/>
                <w:highlight w:val="none"/>
              </w:rPr>
              <w:t>配备</w:t>
            </w:r>
            <w:r>
              <w:rPr>
                <w:rFonts w:ascii="宋体" w:hAnsi="宋体"/>
                <w:szCs w:val="21"/>
                <w:highlight w:val="none"/>
              </w:rPr>
              <w:t>Windows10操作系统</w:t>
            </w:r>
            <w:r>
              <w:rPr>
                <w:rFonts w:hint="eastAsia" w:ascii="宋体" w:hAnsi="宋体"/>
                <w:szCs w:val="21"/>
                <w:highlight w:val="none"/>
              </w:rPr>
              <w:t>。</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41</w:t>
            </w:r>
          </w:p>
        </w:tc>
      </w:tr>
      <w:tr>
        <w:tblPrEx>
          <w:tblCellMar>
            <w:top w:w="0" w:type="dxa"/>
            <w:left w:w="108" w:type="dxa"/>
            <w:bottom w:w="0" w:type="dxa"/>
            <w:right w:w="108" w:type="dxa"/>
          </w:tblCellMar>
        </w:tblPrEx>
        <w:trPr>
          <w:trHeight w:val="371"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25</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工作桌椅</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szCs w:val="21"/>
                <w:highlight w:val="none"/>
              </w:rPr>
              <w:t>桌子：（8个工位一组）</w:t>
            </w:r>
          </w:p>
          <w:p>
            <w:pPr>
              <w:widowControl/>
              <w:spacing w:line="260" w:lineRule="exact"/>
              <w:jc w:val="left"/>
              <w:rPr>
                <w:rFonts w:ascii="宋体" w:hAnsi="宋体"/>
                <w:szCs w:val="21"/>
                <w:highlight w:val="none"/>
              </w:rPr>
            </w:pPr>
            <w:r>
              <w:rPr>
                <w:rFonts w:hint="eastAsia" w:ascii="宋体" w:hAnsi="宋体"/>
                <w:szCs w:val="21"/>
                <w:highlight w:val="none"/>
              </w:rPr>
              <w:t>板材材质：采用E1级绿色环保三聚氢胺饰面密度纤维板，抗硬度性能良好，含水率低于国家标准的12%，经过耐酸碱、防虫、防腐特殊处理，具有防潮、防火、防污、耐磨等特点； 2mm厚近色PVC全自动机器封边，优质五金配件连接。</w:t>
            </w:r>
          </w:p>
          <w:p>
            <w:pPr>
              <w:widowControl/>
              <w:spacing w:line="260" w:lineRule="exact"/>
              <w:jc w:val="left"/>
              <w:rPr>
                <w:rFonts w:ascii="宋体" w:hAnsi="宋体"/>
                <w:szCs w:val="21"/>
                <w:highlight w:val="none"/>
              </w:rPr>
            </w:pPr>
            <w:r>
              <w:rPr>
                <w:rFonts w:hint="eastAsia" w:ascii="宋体" w:hAnsi="宋体"/>
                <w:szCs w:val="21"/>
                <w:highlight w:val="none"/>
              </w:rPr>
              <w:t>钢架材质：采用50W*15Hmm优质冷轧扁钢管电焊成型，壁厚1.2mm，表面经精心打磨、去毛刺后高温无尘碳灰烤漆，不脱落，不生锈。</w:t>
            </w:r>
          </w:p>
          <w:p>
            <w:pPr>
              <w:widowControl/>
              <w:spacing w:line="260" w:lineRule="exact"/>
              <w:jc w:val="left"/>
              <w:rPr>
                <w:rFonts w:ascii="宋体" w:hAnsi="宋体"/>
                <w:szCs w:val="21"/>
                <w:highlight w:val="none"/>
              </w:rPr>
            </w:pPr>
            <w:r>
              <w:rPr>
                <w:rFonts w:hint="eastAsia" w:ascii="宋体" w:hAnsi="宋体"/>
                <w:szCs w:val="21"/>
                <w:highlight w:val="none"/>
              </w:rPr>
              <w:t>规格：尺寸5037*2203*750</w:t>
            </w:r>
          </w:p>
          <w:p>
            <w:pPr>
              <w:widowControl/>
              <w:spacing w:line="260" w:lineRule="exact"/>
              <w:jc w:val="left"/>
              <w:rPr>
                <w:rFonts w:ascii="宋体" w:hAnsi="宋体"/>
                <w:szCs w:val="21"/>
                <w:highlight w:val="none"/>
              </w:rPr>
            </w:pPr>
          </w:p>
          <w:p>
            <w:pPr>
              <w:widowControl/>
              <w:spacing w:line="260" w:lineRule="exact"/>
              <w:jc w:val="left"/>
              <w:rPr>
                <w:rFonts w:ascii="宋体" w:hAnsi="宋体"/>
                <w:szCs w:val="21"/>
                <w:highlight w:val="none"/>
              </w:rPr>
            </w:pPr>
            <w:r>
              <w:rPr>
                <w:rFonts w:hint="eastAsia" w:ascii="宋体" w:hAnsi="宋体"/>
                <w:szCs w:val="21"/>
                <w:highlight w:val="none"/>
              </w:rPr>
              <w:t>椅子：</w:t>
            </w:r>
          </w:p>
          <w:p>
            <w:pPr>
              <w:widowControl/>
              <w:spacing w:line="260" w:lineRule="exact"/>
              <w:jc w:val="left"/>
              <w:rPr>
                <w:rFonts w:ascii="宋体" w:hAnsi="宋体"/>
                <w:szCs w:val="21"/>
                <w:highlight w:val="none"/>
              </w:rPr>
            </w:pPr>
            <w:r>
              <w:rPr>
                <w:rFonts w:hint="eastAsia" w:ascii="宋体" w:hAnsi="宋体"/>
                <w:szCs w:val="21"/>
                <w:highlight w:val="none"/>
              </w:rPr>
              <w:t>结构：尼龙塑料/优质钢材结构，依据人体工程学原理设计,经防潮,防腐,防虫化学处理，经过干燥处理。     </w:t>
            </w:r>
          </w:p>
          <w:p>
            <w:pPr>
              <w:widowControl/>
              <w:spacing w:line="260" w:lineRule="exact"/>
              <w:jc w:val="left"/>
              <w:rPr>
                <w:rFonts w:ascii="宋体" w:hAnsi="宋体"/>
                <w:szCs w:val="21"/>
                <w:highlight w:val="none"/>
              </w:rPr>
            </w:pPr>
            <w:r>
              <w:rPr>
                <w:rFonts w:hint="eastAsia" w:ascii="宋体" w:hAnsi="宋体"/>
                <w:szCs w:val="21"/>
                <w:highlight w:val="none"/>
              </w:rPr>
              <w:t>饰面：选用优质进口网布面料,具有透气性强无气味，柔软且富有韧性，具有冬暖夏凉等效果，色彩富丰多样，色泽亮丽，阻燃、防污、耐磨性强，清洁方便；</w:t>
            </w:r>
          </w:p>
          <w:p>
            <w:pPr>
              <w:widowControl/>
              <w:spacing w:line="260" w:lineRule="exact"/>
              <w:jc w:val="left"/>
              <w:rPr>
                <w:rFonts w:ascii="宋体" w:hAnsi="宋体"/>
                <w:szCs w:val="21"/>
                <w:highlight w:val="none"/>
              </w:rPr>
            </w:pPr>
            <w:r>
              <w:rPr>
                <w:rFonts w:hint="eastAsia" w:ascii="宋体" w:hAnsi="宋体"/>
                <w:szCs w:val="21"/>
                <w:highlight w:val="none"/>
              </w:rPr>
              <w:t>海绵：选用高密度PU成型泡棉，回弹性能好，不易变形，坐感舒适；</w:t>
            </w:r>
          </w:p>
          <w:p>
            <w:pPr>
              <w:widowControl/>
              <w:spacing w:line="260" w:lineRule="exact"/>
              <w:jc w:val="left"/>
              <w:rPr>
                <w:rFonts w:ascii="宋体" w:hAnsi="宋体"/>
                <w:szCs w:val="21"/>
                <w:highlight w:val="none"/>
              </w:rPr>
            </w:pPr>
            <w:r>
              <w:rPr>
                <w:rFonts w:hint="eastAsia" w:ascii="宋体" w:hAnsi="宋体"/>
                <w:szCs w:val="21"/>
                <w:highlight w:val="none"/>
              </w:rPr>
              <w:t>扶手：合金扶手/PU扶手，手感舒适；</w:t>
            </w:r>
          </w:p>
          <w:p>
            <w:pPr>
              <w:widowControl/>
              <w:spacing w:line="260" w:lineRule="exact"/>
              <w:jc w:val="left"/>
              <w:rPr>
                <w:rFonts w:ascii="宋体" w:hAnsi="宋体"/>
                <w:szCs w:val="21"/>
                <w:highlight w:val="none"/>
              </w:rPr>
            </w:pPr>
            <w:r>
              <w:rPr>
                <w:rFonts w:hint="eastAsia" w:ascii="宋体" w:hAnsi="宋体"/>
                <w:szCs w:val="21"/>
                <w:highlight w:val="none"/>
              </w:rPr>
              <w:t>气压棒：进口台制（MDI）、德制（suspa）、韩制(SHS)气压棒，升降行程80-100mm，升降达10万次无损，性能优越，结构牢固，调节轻便，经过国家标准升降测量；</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48</w:t>
            </w:r>
          </w:p>
        </w:tc>
      </w:tr>
      <w:tr>
        <w:tblPrEx>
          <w:tblCellMar>
            <w:top w:w="0" w:type="dxa"/>
            <w:left w:w="108" w:type="dxa"/>
            <w:bottom w:w="0" w:type="dxa"/>
            <w:right w:w="108" w:type="dxa"/>
          </w:tblCellMar>
        </w:tblPrEx>
        <w:trPr>
          <w:trHeight w:val="33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26</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多媒体触控一体机</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ascii="宋体" w:hAnsi="宋体"/>
                <w:szCs w:val="21"/>
                <w:highlight w:val="none"/>
              </w:rPr>
            </w:pPr>
            <w:r>
              <w:rPr>
                <w:rFonts w:ascii="宋体" w:hAnsi="宋体"/>
                <w:szCs w:val="21"/>
                <w:highlight w:val="none"/>
              </w:rPr>
              <w:t>1.</w:t>
            </w:r>
            <w:r>
              <w:rPr>
                <w:rFonts w:hint="eastAsia" w:ascii="宋体" w:hAnsi="宋体"/>
                <w:szCs w:val="21"/>
                <w:highlight w:val="none"/>
              </w:rPr>
              <w:t>CPU≥</w:t>
            </w:r>
            <w:r>
              <w:rPr>
                <w:rFonts w:ascii="宋体" w:hAnsi="宋体"/>
                <w:szCs w:val="21"/>
                <w:highlight w:val="none"/>
              </w:rPr>
              <w:t xml:space="preserve">Intel </w:t>
            </w:r>
            <w:r>
              <w:rPr>
                <w:rFonts w:hint="eastAsia" w:ascii="宋体" w:hAnsi="宋体"/>
                <w:szCs w:val="21"/>
                <w:highlight w:val="none"/>
              </w:rPr>
              <w:t>i5四代处理器；</w:t>
            </w:r>
          </w:p>
          <w:p>
            <w:pPr>
              <w:spacing w:line="260" w:lineRule="exact"/>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内存≥4G</w:t>
            </w:r>
            <w:r>
              <w:rPr>
                <w:rFonts w:ascii="宋体" w:hAnsi="宋体"/>
                <w:szCs w:val="21"/>
                <w:highlight w:val="none"/>
              </w:rPr>
              <w:t xml:space="preserve"> DDR3</w:t>
            </w:r>
            <w:r>
              <w:rPr>
                <w:rFonts w:hint="eastAsia" w:ascii="宋体" w:hAnsi="宋体"/>
                <w:szCs w:val="21"/>
                <w:highlight w:val="none"/>
              </w:rPr>
              <w:t>；</w:t>
            </w:r>
          </w:p>
          <w:p>
            <w:pPr>
              <w:pStyle w:val="8"/>
              <w:spacing w:line="260" w:lineRule="exact"/>
              <w:rPr>
                <w:rFonts w:ascii="宋体" w:hAnsi="宋体"/>
                <w:sz w:val="21"/>
                <w:szCs w:val="21"/>
                <w:highlight w:val="none"/>
              </w:rPr>
            </w:pPr>
            <w:r>
              <w:rPr>
                <w:rFonts w:hint="eastAsia" w:ascii="宋体" w:hAnsi="宋体"/>
                <w:sz w:val="21"/>
                <w:szCs w:val="21"/>
                <w:highlight w:val="none"/>
              </w:rPr>
              <w:t>3</w:t>
            </w:r>
            <w:r>
              <w:rPr>
                <w:rFonts w:ascii="宋体" w:hAnsi="宋体"/>
                <w:sz w:val="21"/>
                <w:szCs w:val="21"/>
                <w:highlight w:val="none"/>
              </w:rPr>
              <w:t>.</w:t>
            </w:r>
            <w:r>
              <w:rPr>
                <w:rFonts w:hint="eastAsia" w:ascii="宋体" w:hAnsi="宋体"/>
                <w:sz w:val="21"/>
                <w:szCs w:val="21"/>
                <w:highlight w:val="none"/>
              </w:rPr>
              <w:t>硬盘≥120G固态硬盘；</w:t>
            </w:r>
          </w:p>
          <w:p>
            <w:pPr>
              <w:spacing w:line="260" w:lineRule="exact"/>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显卡≥Intel核芯显卡Intel HD Graphics；</w:t>
            </w:r>
          </w:p>
          <w:p>
            <w:pPr>
              <w:pStyle w:val="8"/>
              <w:spacing w:line="260" w:lineRule="exact"/>
              <w:rPr>
                <w:rFonts w:ascii="宋体" w:hAnsi="宋体" w:cs="Arial"/>
                <w:kern w:val="0"/>
                <w:sz w:val="21"/>
                <w:szCs w:val="21"/>
                <w:highlight w:val="none"/>
              </w:rPr>
            </w:pPr>
            <w:r>
              <w:rPr>
                <w:rFonts w:hint="eastAsia" w:ascii="宋体" w:hAnsi="宋体"/>
                <w:sz w:val="21"/>
                <w:szCs w:val="21"/>
                <w:highlight w:val="none"/>
              </w:rPr>
              <w:t>5</w:t>
            </w:r>
            <w:r>
              <w:rPr>
                <w:rFonts w:ascii="宋体" w:hAnsi="宋体"/>
                <w:sz w:val="21"/>
                <w:szCs w:val="21"/>
                <w:highlight w:val="none"/>
              </w:rPr>
              <w:t>.</w:t>
            </w:r>
            <w:r>
              <w:rPr>
                <w:rFonts w:hint="eastAsia" w:ascii="宋体" w:hAnsi="宋体" w:cs="Arial"/>
                <w:kern w:val="0"/>
                <w:sz w:val="21"/>
                <w:szCs w:val="21"/>
                <w:highlight w:val="none"/>
              </w:rPr>
              <w:t>声卡</w:t>
            </w:r>
            <w:r>
              <w:rPr>
                <w:rFonts w:hint="eastAsia" w:ascii="宋体" w:hAnsi="宋体"/>
                <w:sz w:val="21"/>
                <w:szCs w:val="21"/>
                <w:highlight w:val="none"/>
              </w:rPr>
              <w:t>≥</w:t>
            </w:r>
            <w:r>
              <w:rPr>
                <w:rFonts w:hint="eastAsia" w:ascii="宋体" w:hAnsi="宋体" w:cs="Arial"/>
                <w:kern w:val="0"/>
                <w:sz w:val="21"/>
                <w:szCs w:val="21"/>
                <w:highlight w:val="none"/>
              </w:rPr>
              <w:t>集成高清晰立体音效声卡；</w:t>
            </w:r>
          </w:p>
          <w:p>
            <w:pPr>
              <w:spacing w:line="260" w:lineRule="exact"/>
              <w:rPr>
                <w:rFonts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网卡≥集成10/100/1000M自适应网卡；</w:t>
            </w:r>
          </w:p>
          <w:p>
            <w:pPr>
              <w:spacing w:line="260" w:lineRule="exact"/>
              <w:rPr>
                <w:rFonts w:ascii="宋体" w:hAnsi="宋体"/>
                <w:szCs w:val="21"/>
                <w:highlight w:val="none"/>
              </w:rPr>
            </w:pPr>
            <w:r>
              <w:rPr>
                <w:rFonts w:ascii="宋体" w:hAnsi="宋体"/>
                <w:szCs w:val="21"/>
                <w:highlight w:val="none"/>
              </w:rPr>
              <w:t>7.</w:t>
            </w:r>
            <w:r>
              <w:rPr>
                <w:rFonts w:hint="eastAsia" w:ascii="宋体" w:hAnsi="宋体"/>
                <w:szCs w:val="21"/>
                <w:highlight w:val="none"/>
              </w:rPr>
              <w:t>Wi-Fi≥集成无线网卡802.11b/g/n；</w:t>
            </w:r>
          </w:p>
          <w:p>
            <w:pPr>
              <w:spacing w:line="260" w:lineRule="exact"/>
              <w:rPr>
                <w:rFonts w:ascii="宋体" w:hAnsi="宋体"/>
                <w:szCs w:val="21"/>
                <w:highlight w:val="none"/>
              </w:rPr>
            </w:pPr>
            <w:r>
              <w:rPr>
                <w:rFonts w:ascii="宋体" w:hAnsi="宋体"/>
                <w:szCs w:val="21"/>
                <w:highlight w:val="none"/>
              </w:rPr>
              <w:t>8.</w:t>
            </w:r>
            <w:r>
              <w:rPr>
                <w:rFonts w:hint="eastAsia" w:ascii="宋体" w:hAnsi="宋体"/>
                <w:szCs w:val="21"/>
                <w:highlight w:val="none"/>
              </w:rPr>
              <w:t>USB2.0接口≥2个；</w:t>
            </w:r>
          </w:p>
          <w:p>
            <w:pPr>
              <w:spacing w:line="260" w:lineRule="exact"/>
              <w:rPr>
                <w:rFonts w:ascii="宋体" w:hAnsi="宋体"/>
                <w:szCs w:val="21"/>
                <w:highlight w:val="none"/>
              </w:rPr>
            </w:pPr>
            <w:r>
              <w:rPr>
                <w:rFonts w:ascii="宋体" w:hAnsi="宋体"/>
                <w:szCs w:val="21"/>
                <w:highlight w:val="none"/>
              </w:rPr>
              <w:t>9.</w:t>
            </w:r>
            <w:r>
              <w:rPr>
                <w:rFonts w:hint="eastAsia" w:ascii="宋体" w:hAnsi="宋体"/>
                <w:szCs w:val="21"/>
                <w:highlight w:val="none"/>
              </w:rPr>
              <w:t>USB3.0接口≥2个；</w:t>
            </w:r>
          </w:p>
          <w:p>
            <w:pPr>
              <w:spacing w:line="260" w:lineRule="exact"/>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网络接口≥1个；</w:t>
            </w:r>
          </w:p>
          <w:p>
            <w:pPr>
              <w:spacing w:line="260" w:lineRule="exact"/>
              <w:rPr>
                <w:rFonts w:ascii="宋体" w:hAnsi="宋体"/>
                <w:szCs w:val="21"/>
                <w:highlight w:val="none"/>
              </w:rPr>
            </w:pPr>
            <w:r>
              <w:rPr>
                <w:rFonts w:ascii="宋体" w:hAnsi="宋体"/>
                <w:szCs w:val="21"/>
                <w:highlight w:val="none"/>
              </w:rPr>
              <w:t>11.</w:t>
            </w:r>
            <w:r>
              <w:rPr>
                <w:rFonts w:hint="eastAsia" w:ascii="宋体" w:hAnsi="宋体"/>
                <w:szCs w:val="21"/>
                <w:highlight w:val="none"/>
              </w:rPr>
              <w:t>VGA输出≥1个；</w:t>
            </w:r>
          </w:p>
          <w:p>
            <w:pPr>
              <w:spacing w:line="260" w:lineRule="exact"/>
              <w:rPr>
                <w:rFonts w:ascii="宋体" w:hAnsi="宋体"/>
                <w:szCs w:val="21"/>
                <w:highlight w:val="none"/>
              </w:rPr>
            </w:pPr>
            <w:r>
              <w:rPr>
                <w:rFonts w:ascii="宋体" w:hAnsi="宋体"/>
                <w:szCs w:val="21"/>
                <w:highlight w:val="none"/>
              </w:rPr>
              <w:t>12.</w:t>
            </w:r>
            <w:r>
              <w:rPr>
                <w:rFonts w:hint="eastAsia" w:ascii="宋体" w:hAnsi="宋体"/>
                <w:szCs w:val="21"/>
                <w:highlight w:val="none"/>
              </w:rPr>
              <w:t>HDMI输出≥1个；</w:t>
            </w:r>
          </w:p>
          <w:p>
            <w:pPr>
              <w:spacing w:line="260" w:lineRule="exact"/>
              <w:rPr>
                <w:rFonts w:ascii="宋体" w:hAnsi="宋体"/>
                <w:szCs w:val="21"/>
                <w:highlight w:val="none"/>
              </w:rPr>
            </w:pPr>
            <w:r>
              <w:rPr>
                <w:rFonts w:ascii="宋体" w:hAnsi="宋体"/>
                <w:szCs w:val="21"/>
                <w:highlight w:val="none"/>
              </w:rPr>
              <w:t>13.</w:t>
            </w:r>
            <w:r>
              <w:rPr>
                <w:rFonts w:hint="eastAsia" w:ascii="宋体" w:hAnsi="宋体"/>
                <w:szCs w:val="21"/>
                <w:highlight w:val="none"/>
              </w:rPr>
              <w:t>耳机输出≥1个；</w:t>
            </w:r>
          </w:p>
          <w:p>
            <w:pPr>
              <w:spacing w:line="260" w:lineRule="exact"/>
              <w:rPr>
                <w:rFonts w:ascii="宋体" w:hAnsi="宋体"/>
                <w:szCs w:val="21"/>
                <w:highlight w:val="none"/>
              </w:rPr>
            </w:pPr>
            <w:r>
              <w:rPr>
                <w:rFonts w:hint="eastAsia" w:ascii="宋体" w:hAnsi="宋体"/>
                <w:szCs w:val="21"/>
                <w:highlight w:val="none"/>
              </w:rPr>
              <w:t>1</w:t>
            </w:r>
            <w:r>
              <w:rPr>
                <w:rFonts w:ascii="宋体" w:hAnsi="宋体"/>
                <w:szCs w:val="21"/>
                <w:highlight w:val="none"/>
              </w:rPr>
              <w:t>4.</w:t>
            </w:r>
            <w:r>
              <w:rPr>
                <w:rFonts w:hint="eastAsia" w:ascii="宋体" w:hAnsi="宋体"/>
                <w:szCs w:val="21"/>
                <w:highlight w:val="none"/>
              </w:rPr>
              <w:t>麦克风输入≥1个；</w:t>
            </w:r>
          </w:p>
          <w:p>
            <w:pPr>
              <w:spacing w:line="260" w:lineRule="exact"/>
              <w:rPr>
                <w:rFonts w:ascii="宋体" w:hAnsi="宋体"/>
                <w:szCs w:val="21"/>
                <w:highlight w:val="none"/>
              </w:rPr>
            </w:pPr>
            <w:r>
              <w:rPr>
                <w:rFonts w:hint="eastAsia" w:ascii="宋体" w:hAnsi="宋体"/>
                <w:szCs w:val="21"/>
                <w:highlight w:val="none"/>
              </w:rPr>
              <w:t>1</w:t>
            </w:r>
            <w:r>
              <w:rPr>
                <w:rFonts w:ascii="宋体" w:hAnsi="宋体"/>
                <w:szCs w:val="21"/>
                <w:highlight w:val="none"/>
              </w:rPr>
              <w:t>5.</w:t>
            </w:r>
            <w:r>
              <w:rPr>
                <w:rFonts w:hint="eastAsia" w:ascii="宋体" w:hAnsi="宋体"/>
                <w:szCs w:val="21"/>
                <w:highlight w:val="none"/>
              </w:rPr>
              <w:t>操作系统支持双系统（安卓+WIN），并支持实时切换；</w:t>
            </w:r>
          </w:p>
          <w:p>
            <w:pPr>
              <w:spacing w:line="260" w:lineRule="exact"/>
              <w:rPr>
                <w:rFonts w:ascii="宋体" w:hAnsi="宋体"/>
                <w:szCs w:val="21"/>
                <w:highlight w:val="none"/>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屏幕尺寸≥85英寸，4K高清显示，同时支持无线投屏及多屏互动功能；</w:t>
            </w:r>
          </w:p>
          <w:p>
            <w:pPr>
              <w:spacing w:line="260" w:lineRule="exact"/>
              <w:rPr>
                <w:rFonts w:ascii="宋体" w:hAnsi="宋体"/>
                <w:szCs w:val="21"/>
                <w:highlight w:val="none"/>
              </w:rPr>
            </w:pPr>
            <w:r>
              <w:rPr>
                <w:rFonts w:hint="eastAsia" w:ascii="宋体" w:hAnsi="宋体"/>
                <w:szCs w:val="21"/>
                <w:highlight w:val="none"/>
              </w:rPr>
              <w:t>1</w:t>
            </w:r>
            <w:r>
              <w:rPr>
                <w:rFonts w:ascii="宋体" w:hAnsi="宋体"/>
                <w:szCs w:val="21"/>
                <w:highlight w:val="none"/>
              </w:rPr>
              <w:t>7.</w:t>
            </w:r>
            <w:r>
              <w:rPr>
                <w:rFonts w:hint="eastAsia" w:ascii="宋体" w:hAnsi="宋体"/>
                <w:szCs w:val="21"/>
                <w:highlight w:val="none"/>
              </w:rPr>
              <w:t>屏幕亮度≥350cd/㎡，可视角≥ 175°；</w:t>
            </w:r>
          </w:p>
          <w:p>
            <w:pPr>
              <w:spacing w:line="260" w:lineRule="exact"/>
              <w:rPr>
                <w:rFonts w:ascii="宋体" w:hAnsi="宋体"/>
                <w:szCs w:val="21"/>
                <w:highlight w:val="none"/>
              </w:rPr>
            </w:pPr>
            <w:r>
              <w:rPr>
                <w:rFonts w:hint="eastAsia" w:ascii="宋体" w:hAnsi="宋体"/>
                <w:szCs w:val="21"/>
                <w:highlight w:val="none"/>
              </w:rPr>
              <w:t>1</w:t>
            </w:r>
            <w:r>
              <w:rPr>
                <w:rFonts w:ascii="宋体" w:hAnsi="宋体"/>
                <w:szCs w:val="21"/>
                <w:highlight w:val="none"/>
              </w:rPr>
              <w:t>8.</w:t>
            </w:r>
            <w:r>
              <w:rPr>
                <w:rFonts w:hint="eastAsia" w:ascii="宋体" w:hAnsi="宋体"/>
                <w:szCs w:val="21"/>
                <w:highlight w:val="none"/>
              </w:rPr>
              <w:t>支持不少于10点触控，支持多人同步书写，支持绘画书写、智能批注、手势缩放、手势擦除、图形编辑等智能触控功能。</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361"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w:t>
            </w:r>
            <w:r>
              <w:rPr>
                <w:rFonts w:ascii="宋体" w:hAnsi="宋体" w:cs="宋体"/>
                <w:kern w:val="0"/>
                <w:szCs w:val="21"/>
                <w:highlight w:val="none"/>
              </w:rPr>
              <w:t>7</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产业项目承接平台</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ascii="宋体" w:hAnsi="宋体" w:cs="宋体"/>
                <w:kern w:val="0"/>
                <w:szCs w:val="21"/>
                <w:highlight w:val="none"/>
              </w:rPr>
            </w:pPr>
            <w:r>
              <w:rPr>
                <w:rFonts w:hint="eastAsia" w:ascii="宋体" w:hAnsi="宋体" w:cs="宋体"/>
                <w:kern w:val="0"/>
                <w:szCs w:val="21"/>
                <w:highlight w:val="none"/>
              </w:rPr>
              <w:t>1.提供企业端发布需求、管理项目、验收项目、进行项目结算</w:t>
            </w:r>
          </w:p>
          <w:p>
            <w:pPr>
              <w:spacing w:line="260" w:lineRule="exact"/>
              <w:jc w:val="left"/>
              <w:rPr>
                <w:rFonts w:ascii="宋体" w:hAnsi="宋体" w:cs="宋体"/>
                <w:kern w:val="0"/>
                <w:szCs w:val="21"/>
                <w:highlight w:val="none"/>
              </w:rPr>
            </w:pPr>
            <w:r>
              <w:rPr>
                <w:rFonts w:hint="eastAsia" w:ascii="宋体" w:hAnsi="宋体" w:cs="宋体"/>
                <w:kern w:val="0"/>
                <w:szCs w:val="21"/>
                <w:highlight w:val="none"/>
              </w:rPr>
              <w:t>2.支持客户管理、项目方案创建与管理、付款查询、线上项目结算对接、需求对接、任务下发</w:t>
            </w:r>
          </w:p>
          <w:p>
            <w:pPr>
              <w:spacing w:line="260" w:lineRule="exact"/>
              <w:jc w:val="left"/>
              <w:rPr>
                <w:rFonts w:ascii="宋体" w:hAnsi="宋体" w:cs="宋体"/>
                <w:kern w:val="0"/>
                <w:szCs w:val="21"/>
                <w:highlight w:val="none"/>
              </w:rPr>
            </w:pPr>
            <w:r>
              <w:rPr>
                <w:rFonts w:hint="eastAsia" w:ascii="宋体" w:hAnsi="宋体" w:cs="宋体"/>
                <w:kern w:val="0"/>
                <w:szCs w:val="21"/>
                <w:highlight w:val="none"/>
              </w:rPr>
              <w:t>3.支持需求项目经理对公域需求进行二次修正和转化（包含制作模板，制作方法等结构化澄清信息的追加）</w:t>
            </w:r>
          </w:p>
          <w:p>
            <w:pPr>
              <w:spacing w:line="260" w:lineRule="exact"/>
              <w:jc w:val="left"/>
              <w:rPr>
                <w:rFonts w:ascii="宋体" w:hAnsi="宋体" w:cs="宋体"/>
                <w:kern w:val="0"/>
                <w:szCs w:val="21"/>
                <w:highlight w:val="none"/>
              </w:rPr>
            </w:pPr>
            <w:r>
              <w:rPr>
                <w:rFonts w:hint="eastAsia" w:ascii="宋体" w:hAnsi="宋体" w:cs="宋体"/>
                <w:kern w:val="0"/>
                <w:szCs w:val="21"/>
                <w:highlight w:val="none"/>
              </w:rPr>
              <w:t>★4.提供准实时项目承接情况看板及团队持有项目任务信息的统计。</w:t>
            </w:r>
          </w:p>
          <w:p>
            <w:pPr>
              <w:spacing w:line="260" w:lineRule="exact"/>
              <w:jc w:val="left"/>
              <w:rPr>
                <w:rFonts w:ascii="宋体" w:hAnsi="宋体" w:cs="宋体"/>
                <w:kern w:val="0"/>
                <w:szCs w:val="21"/>
                <w:highlight w:val="none"/>
              </w:rPr>
            </w:pPr>
            <w:r>
              <w:rPr>
                <w:rFonts w:hint="eastAsia" w:ascii="宋体" w:hAnsi="宋体" w:cs="宋体"/>
                <w:kern w:val="0"/>
                <w:szCs w:val="21"/>
                <w:highlight w:val="none"/>
              </w:rPr>
              <w:t>★5.具备短视频/直播类项目制作看板功能：提供包括编导工作任务看板、制片工作任务看板、演员工作任务看板、摄像师工作任务看板、录音师工作任务看板、灯光师工作任务看板、剪辑师工作任务看板、包装师工作任务看板、配音演员工作任务看板、优化师工作任务看板、运营工作任务看板、数据分析工作任务看板共12种岗位角色任务看板、看板任务管理、任务查询、任务时间设定、关联任务相关人员、项目进度查询。</w:t>
            </w:r>
          </w:p>
          <w:p>
            <w:pPr>
              <w:spacing w:line="260" w:lineRule="exact"/>
              <w:jc w:val="left"/>
              <w:rPr>
                <w:rFonts w:ascii="宋体" w:hAnsi="宋体" w:cs="宋体"/>
                <w:kern w:val="0"/>
                <w:szCs w:val="21"/>
                <w:highlight w:val="none"/>
              </w:rPr>
            </w:pPr>
            <w:r>
              <w:rPr>
                <w:rFonts w:ascii="宋体" w:hAnsi="宋体" w:cs="宋体"/>
                <w:kern w:val="0"/>
                <w:szCs w:val="21"/>
                <w:highlight w:val="none"/>
              </w:rPr>
              <w:t>6</w:t>
            </w:r>
            <w:r>
              <w:rPr>
                <w:rFonts w:hint="eastAsia" w:ascii="宋体" w:hAnsi="宋体" w:cs="宋体"/>
                <w:kern w:val="0"/>
                <w:szCs w:val="21"/>
                <w:highlight w:val="none"/>
              </w:rPr>
              <w:t>.配套管理后台</w:t>
            </w:r>
          </w:p>
          <w:p>
            <w:pPr>
              <w:spacing w:line="260" w:lineRule="exact"/>
              <w:jc w:val="left"/>
              <w:rPr>
                <w:rFonts w:ascii="宋体" w:hAnsi="宋体" w:cs="宋体"/>
                <w:kern w:val="0"/>
                <w:szCs w:val="21"/>
                <w:highlight w:val="none"/>
              </w:rPr>
            </w:pPr>
            <w:r>
              <w:rPr>
                <w:rFonts w:ascii="宋体" w:hAnsi="宋体" w:cs="宋体"/>
                <w:kern w:val="0"/>
                <w:szCs w:val="21"/>
                <w:highlight w:val="none"/>
              </w:rPr>
              <w:t>7</w:t>
            </w:r>
            <w:r>
              <w:rPr>
                <w:rFonts w:hint="eastAsia" w:ascii="宋体" w:hAnsi="宋体" w:cs="宋体"/>
                <w:kern w:val="0"/>
                <w:szCs w:val="21"/>
                <w:highlight w:val="none"/>
              </w:rPr>
              <w:t>.支持账号导入及新建，支持闲时账号的禁用</w:t>
            </w:r>
          </w:p>
          <w:p>
            <w:pPr>
              <w:spacing w:line="260" w:lineRule="exact"/>
              <w:jc w:val="left"/>
              <w:rPr>
                <w:rFonts w:ascii="宋体" w:hAnsi="宋体" w:cs="宋体"/>
                <w:kern w:val="0"/>
                <w:szCs w:val="21"/>
                <w:highlight w:val="none"/>
              </w:rPr>
            </w:pPr>
            <w:r>
              <w:rPr>
                <w:rFonts w:ascii="宋体" w:hAnsi="宋体" w:cs="宋体"/>
                <w:kern w:val="0"/>
                <w:szCs w:val="21"/>
                <w:highlight w:val="none"/>
              </w:rPr>
              <w:t>8</w:t>
            </w:r>
            <w:r>
              <w:rPr>
                <w:rFonts w:hint="eastAsia" w:ascii="宋体" w:hAnsi="宋体" w:cs="宋体"/>
                <w:kern w:val="0"/>
                <w:szCs w:val="21"/>
                <w:highlight w:val="none"/>
              </w:rPr>
              <w:t>.支持角色功能权限维护</w:t>
            </w:r>
          </w:p>
          <w:p>
            <w:pPr>
              <w:spacing w:line="260" w:lineRule="exact"/>
              <w:jc w:val="left"/>
              <w:rPr>
                <w:rFonts w:ascii="宋体" w:hAnsi="宋体" w:cs="宋体"/>
                <w:kern w:val="0"/>
                <w:szCs w:val="21"/>
                <w:highlight w:val="none"/>
              </w:rPr>
            </w:pPr>
            <w:r>
              <w:rPr>
                <w:rFonts w:ascii="宋体" w:hAnsi="宋体" w:cs="宋体"/>
                <w:kern w:val="0"/>
                <w:szCs w:val="21"/>
                <w:highlight w:val="none"/>
              </w:rPr>
              <w:t>9</w:t>
            </w:r>
            <w:r>
              <w:rPr>
                <w:rFonts w:hint="eastAsia" w:ascii="宋体" w:hAnsi="宋体" w:cs="宋体"/>
                <w:kern w:val="0"/>
                <w:szCs w:val="21"/>
                <w:highlight w:val="none"/>
              </w:rPr>
              <w:t>.具备剪辑软件、调色软件、包装软件、字幕软件、直播软件、三维软件、平面软件、项目协作软件共八大类软件提供、下载、软件版本和类型支持实时更新</w:t>
            </w:r>
          </w:p>
          <w:p>
            <w:pPr>
              <w:spacing w:line="260" w:lineRule="exact"/>
              <w:jc w:val="left"/>
              <w:rPr>
                <w:rFonts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0</w:t>
            </w:r>
            <w:r>
              <w:rPr>
                <w:rFonts w:hint="eastAsia" w:ascii="宋体" w:hAnsi="宋体" w:cs="宋体"/>
                <w:kern w:val="0"/>
                <w:szCs w:val="21"/>
                <w:highlight w:val="none"/>
              </w:rPr>
              <w:t>.支持包括电商类样片、游戏类样片、教育类样片、网服类样片、理财类样片、金融类样片、生活类样片、情感类样片、喜剧类样片、职场类样片、街访类样片、科普类样片、口播类样片在线查看，样片的实时更新，优秀样片推荐</w:t>
            </w:r>
          </w:p>
          <w:p>
            <w:pPr>
              <w:spacing w:line="260" w:lineRule="exact"/>
              <w:jc w:val="left"/>
              <w:rPr>
                <w:rFonts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1</w:t>
            </w:r>
            <w:r>
              <w:rPr>
                <w:rFonts w:hint="eastAsia" w:ascii="宋体" w:hAnsi="宋体" w:cs="宋体"/>
                <w:kern w:val="0"/>
                <w:szCs w:val="21"/>
                <w:highlight w:val="none"/>
              </w:rPr>
              <w:t>.包括常用字体、音乐、图片、动画等相关制作素材查看、下载，自有行业素材查看、下载</w:t>
            </w:r>
          </w:p>
          <w:p>
            <w:pPr>
              <w:spacing w:line="260" w:lineRule="exact"/>
              <w:jc w:val="left"/>
              <w:rPr>
                <w:rFonts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2</w:t>
            </w:r>
            <w:r>
              <w:rPr>
                <w:rFonts w:hint="eastAsia" w:ascii="宋体" w:hAnsi="宋体" w:cs="宋体"/>
                <w:kern w:val="0"/>
                <w:szCs w:val="21"/>
                <w:highlight w:val="none"/>
              </w:rPr>
              <w:t>.支持项目、团队、人员数据图表形式的展现。</w:t>
            </w:r>
          </w:p>
          <w:p>
            <w:pPr>
              <w:spacing w:line="260" w:lineRule="exact"/>
              <w:jc w:val="left"/>
              <w:rPr>
                <w:rFonts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3</w:t>
            </w:r>
            <w:r>
              <w:rPr>
                <w:rFonts w:hint="eastAsia" w:ascii="宋体" w:hAnsi="宋体" w:cs="宋体"/>
                <w:kern w:val="0"/>
                <w:szCs w:val="21"/>
                <w:highlight w:val="none"/>
              </w:rPr>
              <w:t>．平台需支持5年免费升级及资源更新</w:t>
            </w:r>
          </w:p>
          <w:p>
            <w:pPr>
              <w:spacing w:line="260" w:lineRule="exact"/>
              <w:jc w:val="left"/>
              <w:rPr>
                <w:rFonts w:ascii="宋体" w:hAnsi="宋体" w:cs="宋体"/>
                <w:kern w:val="0"/>
                <w:szCs w:val="21"/>
                <w:highlight w:val="none"/>
              </w:rPr>
            </w:pPr>
            <w:r>
              <w:rPr>
                <w:rFonts w:hint="eastAsia" w:ascii="宋体" w:hAnsi="宋体" w:cs="宋体"/>
                <w:kern w:val="0"/>
                <w:szCs w:val="21"/>
                <w:highlight w:val="none"/>
              </w:rPr>
              <w:t>★14.需提供此平台的计算机软件著作权的知识产权证明材料及相关软件测评报告复印件。</w:t>
            </w:r>
          </w:p>
          <w:p>
            <w:pPr>
              <w:spacing w:line="260" w:lineRule="exact"/>
              <w:jc w:val="left"/>
              <w:rPr>
                <w:rFonts w:hint="eastAsia" w:ascii="宋体" w:hAnsi="宋体"/>
                <w:sz w:val="21"/>
                <w:szCs w:val="21"/>
                <w:highlight w:val="none"/>
              </w:rPr>
            </w:pPr>
            <w:r>
              <w:rPr>
                <w:rFonts w:hint="eastAsia" w:ascii="宋体" w:hAnsi="宋体" w:cs="宋体"/>
                <w:kern w:val="0"/>
                <w:szCs w:val="21"/>
                <w:highlight w:val="none"/>
              </w:rPr>
              <w:t>★1</w:t>
            </w:r>
            <w:r>
              <w:rPr>
                <w:rFonts w:ascii="宋体" w:hAnsi="宋体" w:cs="宋体"/>
                <w:kern w:val="0"/>
                <w:szCs w:val="21"/>
                <w:highlight w:val="none"/>
              </w:rPr>
              <w:t>5.</w:t>
            </w:r>
            <w:r>
              <w:rPr>
                <w:rFonts w:hint="eastAsia" w:ascii="宋体" w:hAnsi="宋体" w:cs="宋体"/>
                <w:kern w:val="0"/>
                <w:szCs w:val="21"/>
                <w:highlight w:val="none"/>
              </w:rPr>
              <w:t>需</w:t>
            </w:r>
            <w:r>
              <w:rPr>
                <w:rFonts w:hint="eastAsia" w:ascii="宋体" w:hAnsi="宋体" w:cs="宋体"/>
                <w:kern w:val="0"/>
                <w:szCs w:val="21"/>
                <w:highlight w:val="none"/>
                <w:lang w:eastAsia="zh-CN"/>
              </w:rPr>
              <w:t>投标现场</w:t>
            </w:r>
            <w:r>
              <w:rPr>
                <w:rFonts w:hint="eastAsia" w:ascii="宋体" w:hAnsi="宋体" w:cs="宋体"/>
                <w:kern w:val="0"/>
                <w:szCs w:val="21"/>
                <w:highlight w:val="none"/>
              </w:rPr>
              <w:t>对平台功能进行演示。</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0</w:t>
            </w:r>
          </w:p>
        </w:tc>
      </w:tr>
      <w:tr>
        <w:tblPrEx>
          <w:tblCellMar>
            <w:top w:w="0" w:type="dxa"/>
            <w:left w:w="108" w:type="dxa"/>
            <w:bottom w:w="0" w:type="dxa"/>
            <w:right w:w="108" w:type="dxa"/>
          </w:tblCellMar>
        </w:tblPrEx>
        <w:trPr>
          <w:trHeight w:val="361"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w:t>
            </w:r>
            <w:r>
              <w:rPr>
                <w:rFonts w:ascii="宋体" w:hAnsi="宋体" w:cs="宋体"/>
                <w:kern w:val="0"/>
                <w:szCs w:val="21"/>
                <w:highlight w:val="none"/>
              </w:rPr>
              <w:t>8</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color w:val="000000"/>
                <w:szCs w:val="21"/>
                <w:highlight w:val="none"/>
              </w:rPr>
            </w:pPr>
            <w:r>
              <w:rPr>
                <w:rFonts w:hint="eastAsia" w:ascii="宋体" w:hAnsi="宋体"/>
                <w:color w:val="000000"/>
                <w:szCs w:val="21"/>
                <w:highlight w:val="none"/>
              </w:rPr>
              <w:t>短视频工厂系统集成</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color w:val="333333"/>
                <w:szCs w:val="21"/>
                <w:highlight w:val="none"/>
                <w:shd w:val="clear" w:color="auto" w:fill="FFFFFF"/>
              </w:rPr>
              <w:t>★</w:t>
            </w: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提供短视频工厂涉及的</w:t>
            </w:r>
            <w:r>
              <w:rPr>
                <w:rFonts w:ascii="宋体" w:hAnsi="宋体"/>
                <w:szCs w:val="21"/>
                <w:highlight w:val="none"/>
              </w:rPr>
              <w:t>核心课程</w:t>
            </w:r>
            <w:r>
              <w:rPr>
                <w:rFonts w:hint="eastAsia" w:ascii="宋体" w:hAnsi="宋体"/>
                <w:szCs w:val="21"/>
                <w:highlight w:val="none"/>
              </w:rPr>
              <w:t>及实训项目教学资源不少于</w:t>
            </w:r>
            <w:r>
              <w:rPr>
                <w:rFonts w:ascii="宋体" w:hAnsi="宋体"/>
                <w:szCs w:val="21"/>
                <w:highlight w:val="none"/>
              </w:rPr>
              <w:t>4</w:t>
            </w:r>
            <w:r>
              <w:rPr>
                <w:rFonts w:hint="eastAsia" w:ascii="宋体" w:hAnsi="宋体"/>
                <w:szCs w:val="21"/>
                <w:highlight w:val="none"/>
              </w:rPr>
              <w:t>个方向</w:t>
            </w:r>
            <w:r>
              <w:rPr>
                <w:rFonts w:ascii="宋体" w:hAnsi="宋体"/>
                <w:szCs w:val="21"/>
                <w:highlight w:val="none"/>
              </w:rPr>
              <w:t>（</w:t>
            </w:r>
            <w:r>
              <w:rPr>
                <w:rFonts w:hint="eastAsia" w:ascii="宋体" w:hAnsi="宋体"/>
                <w:szCs w:val="21"/>
                <w:highlight w:val="none"/>
              </w:rPr>
              <w:t>需提供纸质样本）。</w:t>
            </w:r>
          </w:p>
          <w:p>
            <w:pPr>
              <w:widowControl/>
              <w:spacing w:line="260" w:lineRule="exact"/>
              <w:jc w:val="left"/>
              <w:rPr>
                <w:rFonts w:ascii="宋体" w:hAnsi="宋体"/>
                <w:szCs w:val="21"/>
                <w:highlight w:val="none"/>
              </w:rPr>
            </w:pPr>
            <w:r>
              <w:rPr>
                <w:rFonts w:hint="eastAsia" w:ascii="宋体" w:hAnsi="宋体"/>
                <w:color w:val="333333"/>
                <w:szCs w:val="21"/>
                <w:highlight w:val="none"/>
                <w:shd w:val="clear" w:color="auto" w:fill="FFFFFF"/>
              </w:rPr>
              <w:t>★</w:t>
            </w: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提供基于平台的双创服务；（需详细说明）。</w:t>
            </w:r>
          </w:p>
          <w:p>
            <w:pPr>
              <w:widowControl/>
              <w:spacing w:line="260" w:lineRule="exact"/>
              <w:jc w:val="left"/>
              <w:rPr>
                <w:rFonts w:ascii="宋体" w:hAnsi="宋体"/>
                <w:szCs w:val="21"/>
                <w:highlight w:val="none"/>
              </w:rPr>
            </w:pPr>
            <w:r>
              <w:rPr>
                <w:rFonts w:ascii="宋体" w:hAnsi="宋体"/>
                <w:szCs w:val="21"/>
                <w:highlight w:val="none"/>
              </w:rPr>
              <w:t>3.</w:t>
            </w:r>
            <w:r>
              <w:rPr>
                <w:rFonts w:hint="eastAsia" w:ascii="宋体" w:hAnsi="宋体"/>
                <w:szCs w:val="21"/>
                <w:highlight w:val="none"/>
              </w:rPr>
              <w:t>提供短视频工厂数字媒体制作系统的现场搭建与调试。</w:t>
            </w:r>
          </w:p>
          <w:p>
            <w:pPr>
              <w:widowControl/>
              <w:spacing w:line="260" w:lineRule="exact"/>
              <w:jc w:val="left"/>
              <w:rPr>
                <w:rFonts w:ascii="宋体" w:hAnsi="宋体"/>
                <w:szCs w:val="21"/>
                <w:highlight w:val="none"/>
              </w:rPr>
            </w:pPr>
            <w:r>
              <w:rPr>
                <w:rFonts w:ascii="宋体" w:hAnsi="宋体"/>
                <w:szCs w:val="21"/>
                <w:highlight w:val="none"/>
              </w:rPr>
              <w:t>4.</w:t>
            </w:r>
            <w:r>
              <w:rPr>
                <w:rFonts w:hint="eastAsia" w:ascii="宋体" w:hAnsi="宋体"/>
                <w:szCs w:val="21"/>
                <w:highlight w:val="none"/>
              </w:rPr>
              <w:t>提供短视频工厂项目管理平台的系统现场搭建与调试。</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jc w:val="center"/>
              <w:rPr>
                <w:rFonts w:ascii="宋体" w:hAnsi="宋体"/>
                <w:szCs w:val="21"/>
                <w:highlight w:val="none"/>
              </w:rPr>
            </w:pPr>
            <w:r>
              <w:rPr>
                <w:rFonts w:hint="eastAsia"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jc w:val="center"/>
              <w:rPr>
                <w:rFonts w:ascii="宋体" w:hAnsi="宋体"/>
                <w:szCs w:val="21"/>
                <w:highlight w:val="none"/>
              </w:rPr>
            </w:pPr>
            <w:r>
              <w:rPr>
                <w:rFonts w:hint="eastAsia" w:ascii="宋体" w:hAnsi="宋体"/>
                <w:szCs w:val="21"/>
                <w:highlight w:val="none"/>
              </w:rPr>
              <w:t>1</w:t>
            </w:r>
          </w:p>
        </w:tc>
      </w:tr>
      <w:tr>
        <w:tblPrEx>
          <w:tblCellMar>
            <w:top w:w="0" w:type="dxa"/>
            <w:left w:w="108" w:type="dxa"/>
            <w:bottom w:w="0" w:type="dxa"/>
            <w:right w:w="108" w:type="dxa"/>
          </w:tblCellMar>
        </w:tblPrEx>
        <w:trPr>
          <w:trHeight w:val="361"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w:t>
            </w:r>
            <w:r>
              <w:rPr>
                <w:rFonts w:ascii="宋体" w:hAnsi="宋体" w:cs="宋体"/>
                <w:kern w:val="0"/>
                <w:szCs w:val="21"/>
                <w:highlight w:val="none"/>
              </w:rPr>
              <w:t>9</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大数据平台</w:t>
            </w:r>
          </w:p>
        </w:tc>
        <w:tc>
          <w:tcPr>
            <w:tcW w:w="6068"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将所有业务系统中可以公开、分享、使用的私域数据进行模型算法计算后，通过事件推送方式同步至校内服务端，以此支持校内进行消息推送及数据二次开发。</w:t>
            </w:r>
          </w:p>
          <w:p>
            <w:pPr>
              <w:widowControl/>
              <w:spacing w:line="260" w:lineRule="exact"/>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根据任务价值和任务提交成功率提供能力模型算法，自动根据平台任务提交人进行能力地图评估。</w:t>
            </w:r>
          </w:p>
          <w:p>
            <w:pPr>
              <w:widowControl/>
              <w:spacing w:line="260" w:lineRule="exact"/>
              <w:jc w:val="left"/>
              <w:rPr>
                <w:rFonts w:ascii="宋体" w:hAnsi="宋体"/>
                <w:szCs w:val="21"/>
                <w:highlight w:val="none"/>
              </w:rPr>
            </w:pPr>
            <w:r>
              <w:rPr>
                <w:rFonts w:hint="eastAsia" w:ascii="宋体" w:hAnsi="宋体"/>
                <w:szCs w:val="21"/>
                <w:highlight w:val="none"/>
              </w:rPr>
              <w:t>3.平台需支持5年免费升级</w:t>
            </w:r>
          </w:p>
          <w:p>
            <w:pPr>
              <w:pStyle w:val="18"/>
              <w:spacing w:line="260" w:lineRule="exact"/>
              <w:ind w:firstLine="0" w:firstLineChars="0"/>
              <w:jc w:val="left"/>
              <w:rPr>
                <w:rFonts w:ascii="宋体" w:hAnsi="宋体"/>
                <w:sz w:val="21"/>
                <w:szCs w:val="21"/>
                <w:highlight w:val="none"/>
              </w:rPr>
            </w:pPr>
            <w:r>
              <w:rPr>
                <w:rFonts w:hint="eastAsia" w:ascii="宋体" w:hAnsi="宋体"/>
                <w:sz w:val="21"/>
                <w:szCs w:val="21"/>
                <w:highlight w:val="none"/>
              </w:rPr>
              <w:t>★</w:t>
            </w:r>
            <w:r>
              <w:rPr>
                <w:rFonts w:hint="eastAsia" w:ascii="宋体" w:hAnsi="宋体"/>
                <w:color w:val="333333"/>
                <w:sz w:val="21"/>
                <w:szCs w:val="21"/>
                <w:highlight w:val="none"/>
                <w:shd w:val="clear" w:color="auto" w:fill="FFFFFF"/>
              </w:rPr>
              <w:t>4. 需提供此平台的计算机软件著作权的知识产权证明材料及相关软件测评报告复印件。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361"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0</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开发者平台</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支持核心模块二次开发。</w:t>
            </w:r>
          </w:p>
          <w:p>
            <w:pPr>
              <w:widowControl/>
              <w:spacing w:line="260" w:lineRule="exact"/>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开放核心业务逻辑API网关支持校内系统调用。</w:t>
            </w:r>
          </w:p>
          <w:p>
            <w:pPr>
              <w:widowControl/>
              <w:spacing w:line="260" w:lineRule="exact"/>
              <w:jc w:val="left"/>
              <w:rPr>
                <w:rFonts w:ascii="宋体" w:hAnsi="宋体"/>
                <w:szCs w:val="21"/>
                <w:highlight w:val="none"/>
              </w:rPr>
            </w:pPr>
            <w:r>
              <w:rPr>
                <w:rFonts w:hint="eastAsia" w:ascii="宋体" w:hAnsi="宋体"/>
                <w:szCs w:val="21"/>
                <w:highlight w:val="none"/>
              </w:rPr>
              <w:t>3.平台需支持5年免费升级</w:t>
            </w:r>
          </w:p>
          <w:p>
            <w:pPr>
              <w:widowControl/>
              <w:spacing w:line="260" w:lineRule="exact"/>
              <w:jc w:val="left"/>
              <w:rPr>
                <w:rFonts w:ascii="宋体" w:hAnsi="宋体"/>
                <w:szCs w:val="21"/>
                <w:highlight w:val="none"/>
              </w:rPr>
            </w:pPr>
            <w:r>
              <w:rPr>
                <w:rFonts w:hint="eastAsia" w:ascii="宋体" w:hAnsi="宋体"/>
                <w:szCs w:val="21"/>
                <w:highlight w:val="none"/>
              </w:rPr>
              <w:t>★4. 需提供此平台的计算机软件著作权的知识产权证明材料及相关软件测评报告复印件。</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33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教学资源系统</w:t>
            </w:r>
          </w:p>
        </w:tc>
        <w:tc>
          <w:tcPr>
            <w:tcW w:w="6068"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.短视频项目教学资源</w:t>
            </w:r>
          </w:p>
          <w:p>
            <w:pPr>
              <w:pStyle w:val="8"/>
              <w:rPr>
                <w:rFonts w:ascii="宋体" w:hAnsi="宋体"/>
                <w:sz w:val="21"/>
                <w:szCs w:val="21"/>
                <w:highlight w:val="none"/>
              </w:rPr>
            </w:pPr>
            <w:r>
              <w:rPr>
                <w:rFonts w:ascii="宋体" w:hAnsi="宋体"/>
                <w:sz w:val="21"/>
                <w:szCs w:val="21"/>
                <w:highlight w:val="none"/>
              </w:rPr>
              <w:t>短视频</w:t>
            </w:r>
            <w:r>
              <w:rPr>
                <w:rFonts w:hint="eastAsia" w:ascii="宋体" w:hAnsi="宋体"/>
                <w:sz w:val="21"/>
                <w:szCs w:val="21"/>
                <w:highlight w:val="none"/>
              </w:rPr>
              <w:t>教学资源需按照短视频生产全流程编排，至少包含：</w:t>
            </w:r>
          </w:p>
          <w:p>
            <w:pPr>
              <w:pStyle w:val="8"/>
              <w:numPr>
                <w:ilvl w:val="0"/>
                <w:numId w:val="10"/>
              </w:numPr>
              <w:rPr>
                <w:rFonts w:ascii="宋体" w:hAnsi="宋体"/>
                <w:sz w:val="21"/>
                <w:szCs w:val="21"/>
                <w:highlight w:val="none"/>
              </w:rPr>
            </w:pPr>
            <w:r>
              <w:rPr>
                <w:rFonts w:hint="eastAsia" w:ascii="宋体" w:hAnsi="宋体"/>
                <w:sz w:val="21"/>
                <w:szCs w:val="21"/>
                <w:highlight w:val="none"/>
              </w:rPr>
              <w:t>短视频商务BD教学内容</w:t>
            </w:r>
          </w:p>
          <w:p>
            <w:pPr>
              <w:pStyle w:val="8"/>
              <w:numPr>
                <w:ilvl w:val="0"/>
                <w:numId w:val="10"/>
              </w:numPr>
              <w:rPr>
                <w:rFonts w:ascii="宋体" w:hAnsi="宋体"/>
                <w:sz w:val="21"/>
                <w:szCs w:val="21"/>
                <w:highlight w:val="none"/>
              </w:rPr>
            </w:pPr>
            <w:r>
              <w:rPr>
                <w:rFonts w:hint="eastAsia" w:ascii="宋体" w:hAnsi="宋体"/>
                <w:sz w:val="21"/>
                <w:szCs w:val="21"/>
                <w:highlight w:val="none"/>
              </w:rPr>
              <w:t>短视频脚本编写教学内容</w:t>
            </w:r>
          </w:p>
          <w:p>
            <w:pPr>
              <w:pStyle w:val="8"/>
              <w:numPr>
                <w:ilvl w:val="0"/>
                <w:numId w:val="10"/>
              </w:numPr>
              <w:rPr>
                <w:rFonts w:ascii="宋体" w:hAnsi="宋体"/>
                <w:sz w:val="21"/>
                <w:szCs w:val="21"/>
                <w:highlight w:val="none"/>
              </w:rPr>
            </w:pPr>
            <w:r>
              <w:rPr>
                <w:rFonts w:hint="eastAsia" w:ascii="宋体" w:hAnsi="宋体"/>
                <w:sz w:val="21"/>
                <w:szCs w:val="21"/>
                <w:highlight w:val="none"/>
              </w:rPr>
              <w:t>短视频制片教学内容</w:t>
            </w:r>
          </w:p>
          <w:p>
            <w:pPr>
              <w:pStyle w:val="8"/>
              <w:numPr>
                <w:ilvl w:val="0"/>
                <w:numId w:val="10"/>
              </w:numPr>
              <w:rPr>
                <w:rFonts w:ascii="宋体" w:hAnsi="宋体"/>
                <w:sz w:val="21"/>
                <w:szCs w:val="21"/>
                <w:highlight w:val="none"/>
              </w:rPr>
            </w:pPr>
            <w:r>
              <w:rPr>
                <w:rFonts w:hint="eastAsia" w:ascii="宋体" w:hAnsi="宋体"/>
                <w:sz w:val="21"/>
                <w:szCs w:val="21"/>
                <w:highlight w:val="none"/>
              </w:rPr>
              <w:t>短视频拍摄教学内容</w:t>
            </w:r>
          </w:p>
          <w:p>
            <w:pPr>
              <w:pStyle w:val="8"/>
              <w:numPr>
                <w:ilvl w:val="0"/>
                <w:numId w:val="10"/>
              </w:numPr>
              <w:rPr>
                <w:rFonts w:ascii="宋体" w:hAnsi="宋体"/>
                <w:sz w:val="21"/>
                <w:szCs w:val="21"/>
                <w:highlight w:val="none"/>
              </w:rPr>
            </w:pPr>
            <w:r>
              <w:rPr>
                <w:rFonts w:hint="eastAsia" w:ascii="宋体" w:hAnsi="宋体"/>
                <w:sz w:val="21"/>
                <w:szCs w:val="21"/>
                <w:highlight w:val="none"/>
              </w:rPr>
              <w:t>短视频剪辑教学内容</w:t>
            </w:r>
          </w:p>
          <w:p>
            <w:pPr>
              <w:pStyle w:val="25"/>
              <w:numPr>
                <w:ilvl w:val="0"/>
                <w:numId w:val="10"/>
              </w:numPr>
              <w:ind w:firstLineChars="0"/>
              <w:rPr>
                <w:rFonts w:ascii="宋体" w:hAnsi="宋体"/>
                <w:szCs w:val="21"/>
                <w:highlight w:val="none"/>
              </w:rPr>
            </w:pPr>
            <w:r>
              <w:rPr>
                <w:rFonts w:hint="eastAsia" w:ascii="宋体" w:hAnsi="宋体"/>
                <w:szCs w:val="21"/>
                <w:highlight w:val="none"/>
              </w:rPr>
              <w:t>短视频运营教学内容</w:t>
            </w:r>
          </w:p>
          <w:p>
            <w:pPr>
              <w:widowControl/>
              <w:spacing w:line="260" w:lineRule="exact"/>
              <w:jc w:val="left"/>
              <w:rPr>
                <w:rFonts w:ascii="宋体" w:hAnsi="宋体"/>
                <w:szCs w:val="21"/>
                <w:highlight w:val="none"/>
              </w:rPr>
            </w:pPr>
            <w:r>
              <w:rPr>
                <w:rFonts w:hint="eastAsia" w:ascii="宋体" w:hAnsi="宋体"/>
                <w:szCs w:val="21"/>
                <w:highlight w:val="none"/>
              </w:rPr>
              <w:t>2</w:t>
            </w:r>
            <w:r>
              <w:rPr>
                <w:rFonts w:ascii="宋体" w:hAnsi="宋体"/>
                <w:szCs w:val="21"/>
                <w:highlight w:val="none"/>
              </w:rPr>
              <w:t>.直播项目教学资源</w:t>
            </w:r>
          </w:p>
          <w:p>
            <w:pPr>
              <w:pStyle w:val="8"/>
              <w:rPr>
                <w:rFonts w:ascii="宋体" w:hAnsi="宋体"/>
                <w:sz w:val="21"/>
                <w:szCs w:val="21"/>
                <w:highlight w:val="none"/>
              </w:rPr>
            </w:pPr>
            <w:r>
              <w:rPr>
                <w:rFonts w:hint="eastAsia" w:ascii="宋体" w:hAnsi="宋体"/>
                <w:sz w:val="21"/>
                <w:szCs w:val="21"/>
                <w:highlight w:val="none"/>
              </w:rPr>
              <w:t>直播项目教学资源需按照直播行业核心要点编排，至少包含：</w:t>
            </w:r>
          </w:p>
          <w:p>
            <w:pPr>
              <w:pStyle w:val="8"/>
              <w:numPr>
                <w:ilvl w:val="0"/>
                <w:numId w:val="11"/>
              </w:numPr>
              <w:rPr>
                <w:rFonts w:ascii="宋体" w:hAnsi="宋体"/>
                <w:sz w:val="21"/>
                <w:szCs w:val="21"/>
                <w:highlight w:val="none"/>
              </w:rPr>
            </w:pPr>
            <w:r>
              <w:rPr>
                <w:rFonts w:hint="eastAsia" w:ascii="宋体" w:hAnsi="宋体"/>
                <w:sz w:val="21"/>
                <w:szCs w:val="21"/>
                <w:highlight w:val="none"/>
              </w:rPr>
              <w:t>主流直播平台概览教学内容</w:t>
            </w:r>
          </w:p>
          <w:p>
            <w:pPr>
              <w:pStyle w:val="25"/>
              <w:numPr>
                <w:ilvl w:val="0"/>
                <w:numId w:val="11"/>
              </w:numPr>
              <w:ind w:firstLineChars="0"/>
              <w:rPr>
                <w:rFonts w:ascii="宋体" w:hAnsi="宋体"/>
                <w:szCs w:val="21"/>
                <w:highlight w:val="none"/>
              </w:rPr>
            </w:pPr>
            <w:r>
              <w:rPr>
                <w:rFonts w:hint="eastAsia" w:ascii="宋体" w:hAnsi="宋体"/>
                <w:szCs w:val="21"/>
                <w:highlight w:val="none"/>
              </w:rPr>
              <w:t>直播电商带货方式教学内容</w:t>
            </w:r>
          </w:p>
          <w:p>
            <w:pPr>
              <w:pStyle w:val="8"/>
              <w:numPr>
                <w:ilvl w:val="0"/>
                <w:numId w:val="11"/>
              </w:numPr>
              <w:rPr>
                <w:rFonts w:ascii="宋体" w:hAnsi="宋体"/>
                <w:sz w:val="21"/>
                <w:szCs w:val="21"/>
                <w:highlight w:val="none"/>
              </w:rPr>
            </w:pPr>
            <w:r>
              <w:rPr>
                <w:rFonts w:hint="eastAsia" w:ascii="宋体" w:hAnsi="宋体"/>
                <w:sz w:val="21"/>
                <w:szCs w:val="21"/>
                <w:highlight w:val="none"/>
              </w:rPr>
              <w:t>直播间搭建方法教学内容</w:t>
            </w:r>
          </w:p>
          <w:p>
            <w:pPr>
              <w:pStyle w:val="25"/>
              <w:numPr>
                <w:ilvl w:val="0"/>
                <w:numId w:val="11"/>
              </w:numPr>
              <w:ind w:firstLineChars="0"/>
              <w:rPr>
                <w:rFonts w:ascii="宋体" w:hAnsi="宋体"/>
                <w:szCs w:val="21"/>
                <w:highlight w:val="none"/>
              </w:rPr>
            </w:pPr>
            <w:r>
              <w:rPr>
                <w:rFonts w:hint="eastAsia" w:ascii="宋体" w:hAnsi="宋体"/>
                <w:szCs w:val="21"/>
                <w:highlight w:val="none"/>
              </w:rPr>
              <w:t>直播必备设备教学内容</w:t>
            </w:r>
          </w:p>
          <w:p>
            <w:pPr>
              <w:pStyle w:val="8"/>
              <w:numPr>
                <w:ilvl w:val="0"/>
                <w:numId w:val="11"/>
              </w:numPr>
              <w:rPr>
                <w:rFonts w:ascii="宋体" w:hAnsi="宋体"/>
                <w:sz w:val="21"/>
                <w:szCs w:val="21"/>
                <w:highlight w:val="none"/>
              </w:rPr>
            </w:pPr>
            <w:r>
              <w:rPr>
                <w:rFonts w:hint="eastAsia" w:ascii="宋体" w:hAnsi="宋体"/>
                <w:sz w:val="21"/>
                <w:szCs w:val="21"/>
                <w:highlight w:val="none"/>
              </w:rPr>
              <w:t>主播形象与能力教学内容</w:t>
            </w:r>
          </w:p>
          <w:p>
            <w:pPr>
              <w:pStyle w:val="25"/>
              <w:numPr>
                <w:ilvl w:val="0"/>
                <w:numId w:val="11"/>
              </w:numPr>
              <w:ind w:firstLineChars="0"/>
              <w:rPr>
                <w:rFonts w:ascii="宋体" w:hAnsi="宋体"/>
                <w:szCs w:val="21"/>
                <w:highlight w:val="none"/>
              </w:rPr>
            </w:pPr>
            <w:r>
              <w:rPr>
                <w:rFonts w:hint="eastAsia" w:ascii="宋体" w:hAnsi="宋体"/>
                <w:szCs w:val="21"/>
                <w:highlight w:val="none"/>
              </w:rPr>
              <w:t>粉丝人群画像分析教学内容</w:t>
            </w:r>
          </w:p>
          <w:p>
            <w:pPr>
              <w:pStyle w:val="25"/>
              <w:numPr>
                <w:ilvl w:val="0"/>
                <w:numId w:val="11"/>
              </w:numPr>
              <w:ind w:firstLineChars="0"/>
              <w:rPr>
                <w:rFonts w:ascii="宋体" w:hAnsi="宋体"/>
                <w:szCs w:val="21"/>
                <w:highlight w:val="none"/>
              </w:rPr>
            </w:pPr>
            <w:r>
              <w:rPr>
                <w:rFonts w:hint="eastAsia" w:ascii="宋体" w:hAnsi="宋体"/>
                <w:szCs w:val="21"/>
                <w:highlight w:val="none"/>
              </w:rPr>
              <w:t>粉丝运营方法教学内容</w:t>
            </w:r>
          </w:p>
          <w:p>
            <w:pPr>
              <w:pStyle w:val="8"/>
              <w:numPr>
                <w:ilvl w:val="0"/>
                <w:numId w:val="11"/>
              </w:numPr>
              <w:rPr>
                <w:rFonts w:ascii="宋体" w:hAnsi="宋体"/>
                <w:sz w:val="21"/>
                <w:szCs w:val="21"/>
                <w:highlight w:val="none"/>
              </w:rPr>
            </w:pPr>
            <w:r>
              <w:rPr>
                <w:rFonts w:hint="eastAsia" w:ascii="宋体" w:hAnsi="宋体"/>
                <w:sz w:val="21"/>
                <w:szCs w:val="21"/>
                <w:highlight w:val="none"/>
              </w:rPr>
              <w:t>直播禁忌注意事项教学内容</w:t>
            </w:r>
          </w:p>
          <w:p>
            <w:pPr>
              <w:widowControl/>
              <w:spacing w:line="260" w:lineRule="exact"/>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.行业大咖课教学资源</w:t>
            </w:r>
          </w:p>
          <w:p>
            <w:pPr>
              <w:pStyle w:val="8"/>
              <w:rPr>
                <w:rFonts w:ascii="宋体" w:hAnsi="宋体"/>
                <w:sz w:val="21"/>
                <w:szCs w:val="21"/>
                <w:highlight w:val="none"/>
              </w:rPr>
            </w:pPr>
            <w:r>
              <w:rPr>
                <w:rFonts w:ascii="宋体" w:hAnsi="宋体"/>
                <w:sz w:val="21"/>
                <w:szCs w:val="21"/>
                <w:highlight w:val="none"/>
              </w:rPr>
              <w:t>行业大咖课教学资源</w:t>
            </w:r>
            <w:r>
              <w:rPr>
                <w:rFonts w:hint="eastAsia" w:ascii="宋体" w:hAnsi="宋体"/>
                <w:sz w:val="21"/>
                <w:szCs w:val="21"/>
                <w:highlight w:val="none"/>
              </w:rPr>
              <w:t>需提供影视、新媒体、营销等业内知名专家、学者、企业家的教学课程。</w:t>
            </w:r>
          </w:p>
          <w:p>
            <w:pPr>
              <w:widowControl/>
              <w:spacing w:line="260" w:lineRule="exact"/>
              <w:jc w:val="left"/>
              <w:rPr>
                <w:rFonts w:ascii="宋体" w:hAnsi="宋体"/>
                <w:szCs w:val="21"/>
                <w:highlight w:val="none"/>
              </w:rPr>
            </w:pPr>
            <w:r>
              <w:rPr>
                <w:rFonts w:hint="eastAsia" w:ascii="宋体" w:hAnsi="宋体"/>
                <w:szCs w:val="21"/>
                <w:highlight w:val="none"/>
              </w:rPr>
              <w:t>4</w:t>
            </w:r>
            <w:r>
              <w:rPr>
                <w:rFonts w:ascii="宋体" w:hAnsi="宋体"/>
                <w:szCs w:val="21"/>
                <w:highlight w:val="none"/>
              </w:rPr>
              <w:t>.职业素养教学资源</w:t>
            </w:r>
          </w:p>
          <w:p>
            <w:pPr>
              <w:pStyle w:val="8"/>
              <w:rPr>
                <w:rFonts w:ascii="宋体" w:hAnsi="宋体"/>
                <w:sz w:val="21"/>
                <w:szCs w:val="21"/>
                <w:highlight w:val="none"/>
              </w:rPr>
            </w:pPr>
            <w:r>
              <w:rPr>
                <w:rFonts w:ascii="宋体" w:hAnsi="宋体"/>
                <w:sz w:val="21"/>
                <w:szCs w:val="21"/>
                <w:highlight w:val="none"/>
              </w:rPr>
              <w:t>职业素养教学资源</w:t>
            </w:r>
            <w:r>
              <w:rPr>
                <w:rFonts w:hint="eastAsia" w:ascii="宋体" w:hAnsi="宋体"/>
                <w:sz w:val="21"/>
                <w:szCs w:val="21"/>
                <w:highlight w:val="none"/>
              </w:rPr>
              <w:t>需按照职场必备素养编排，至少包含：</w:t>
            </w:r>
          </w:p>
          <w:p>
            <w:pPr>
              <w:pStyle w:val="25"/>
              <w:numPr>
                <w:ilvl w:val="0"/>
                <w:numId w:val="12"/>
              </w:numPr>
              <w:ind w:firstLineChars="0"/>
              <w:rPr>
                <w:rFonts w:ascii="宋体" w:hAnsi="宋体"/>
                <w:szCs w:val="21"/>
                <w:highlight w:val="none"/>
              </w:rPr>
            </w:pPr>
            <w:r>
              <w:rPr>
                <w:rFonts w:hint="eastAsia" w:ascii="宋体" w:hAnsi="宋体"/>
                <w:szCs w:val="21"/>
                <w:highlight w:val="none"/>
              </w:rPr>
              <w:t>职场礼貌用语教学内容</w:t>
            </w:r>
          </w:p>
          <w:p>
            <w:pPr>
              <w:pStyle w:val="8"/>
              <w:numPr>
                <w:ilvl w:val="0"/>
                <w:numId w:val="12"/>
              </w:numPr>
              <w:rPr>
                <w:rFonts w:ascii="宋体" w:hAnsi="宋体"/>
                <w:sz w:val="21"/>
                <w:szCs w:val="21"/>
                <w:highlight w:val="none"/>
              </w:rPr>
            </w:pPr>
            <w:r>
              <w:rPr>
                <w:rFonts w:hint="eastAsia" w:ascii="宋体" w:hAnsi="宋体"/>
                <w:sz w:val="21"/>
                <w:szCs w:val="21"/>
                <w:highlight w:val="none"/>
              </w:rPr>
              <w:t>职场形象管理教学内容</w:t>
            </w:r>
          </w:p>
          <w:p>
            <w:pPr>
              <w:pStyle w:val="25"/>
              <w:numPr>
                <w:ilvl w:val="0"/>
                <w:numId w:val="12"/>
              </w:numPr>
              <w:ind w:firstLineChars="0"/>
              <w:rPr>
                <w:rFonts w:ascii="宋体" w:hAnsi="宋体"/>
                <w:szCs w:val="21"/>
                <w:highlight w:val="none"/>
              </w:rPr>
            </w:pPr>
            <w:r>
              <w:rPr>
                <w:rFonts w:hint="eastAsia" w:ascii="宋体" w:hAnsi="宋体"/>
                <w:szCs w:val="21"/>
                <w:highlight w:val="none"/>
              </w:rPr>
              <w:t>职场处事心态教学内容</w:t>
            </w:r>
          </w:p>
          <w:p>
            <w:pPr>
              <w:pStyle w:val="8"/>
              <w:numPr>
                <w:ilvl w:val="0"/>
                <w:numId w:val="12"/>
              </w:numPr>
              <w:rPr>
                <w:rFonts w:ascii="宋体" w:hAnsi="宋体"/>
                <w:sz w:val="21"/>
                <w:szCs w:val="21"/>
                <w:highlight w:val="none"/>
              </w:rPr>
            </w:pPr>
            <w:r>
              <w:rPr>
                <w:rFonts w:hint="eastAsia" w:ascii="宋体" w:hAnsi="宋体"/>
                <w:sz w:val="21"/>
                <w:szCs w:val="21"/>
                <w:highlight w:val="none"/>
              </w:rPr>
              <w:t>职场沟通技巧教学内容</w:t>
            </w:r>
          </w:p>
          <w:p>
            <w:pPr>
              <w:pStyle w:val="8"/>
              <w:numPr>
                <w:ilvl w:val="0"/>
                <w:numId w:val="12"/>
              </w:numPr>
              <w:rPr>
                <w:rFonts w:ascii="宋体" w:hAnsi="宋体"/>
                <w:sz w:val="21"/>
                <w:szCs w:val="21"/>
                <w:highlight w:val="none"/>
              </w:rPr>
            </w:pPr>
            <w:r>
              <w:rPr>
                <w:rFonts w:hint="eastAsia" w:ascii="宋体" w:hAnsi="宋体"/>
                <w:sz w:val="21"/>
                <w:szCs w:val="21"/>
                <w:highlight w:val="none"/>
              </w:rPr>
              <w:t>职场情商培养教学内容</w:t>
            </w:r>
          </w:p>
          <w:p>
            <w:pPr>
              <w:widowControl/>
              <w:spacing w:line="260" w:lineRule="exact"/>
              <w:jc w:val="left"/>
              <w:rPr>
                <w:rFonts w:ascii="宋体" w:hAnsi="宋体"/>
                <w:szCs w:val="21"/>
                <w:highlight w:val="none"/>
              </w:rPr>
            </w:pPr>
            <w:r>
              <w:rPr>
                <w:rFonts w:hint="eastAsia" w:ascii="宋体" w:hAnsi="宋体"/>
                <w:szCs w:val="21"/>
                <w:highlight w:val="none"/>
              </w:rPr>
              <w:t>5</w:t>
            </w:r>
            <w:r>
              <w:rPr>
                <w:rFonts w:ascii="宋体" w:hAnsi="宋体"/>
                <w:szCs w:val="21"/>
                <w:highlight w:val="none"/>
              </w:rPr>
              <w:t>.专业技术师资培训资源</w:t>
            </w:r>
          </w:p>
          <w:p>
            <w:pPr>
              <w:pStyle w:val="8"/>
              <w:rPr>
                <w:sz w:val="21"/>
                <w:szCs w:val="21"/>
                <w:highlight w:val="none"/>
              </w:rPr>
            </w:pPr>
            <w:r>
              <w:rPr>
                <w:rFonts w:ascii="宋体" w:hAnsi="宋体"/>
                <w:sz w:val="21"/>
                <w:szCs w:val="21"/>
                <w:highlight w:val="none"/>
              </w:rPr>
              <w:t>专业技术师资培训资源</w:t>
            </w:r>
            <w:r>
              <w:rPr>
                <w:rFonts w:hint="eastAsia" w:ascii="宋体" w:hAnsi="宋体"/>
                <w:sz w:val="21"/>
                <w:szCs w:val="21"/>
                <w:highlight w:val="none"/>
              </w:rPr>
              <w:t>需</w:t>
            </w:r>
            <w:r>
              <w:rPr>
                <w:rFonts w:hint="eastAsia"/>
                <w:sz w:val="21"/>
                <w:szCs w:val="21"/>
                <w:highlight w:val="none"/>
              </w:rPr>
              <w:t>提供影视、新媒体、营销等方向涉及行业技术、项目流程管理、项目运营等行业相关课程内容。</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ascii="宋体" w:hAnsi="宋体" w:cs="宋体"/>
                <w:kern w:val="0"/>
                <w:szCs w:val="21"/>
                <w:highlight w:val="none"/>
              </w:rPr>
              <w:t>30</w:t>
            </w:r>
          </w:p>
        </w:tc>
      </w:tr>
      <w:tr>
        <w:tblPrEx>
          <w:tblCellMar>
            <w:top w:w="0" w:type="dxa"/>
            <w:left w:w="108" w:type="dxa"/>
            <w:bottom w:w="0" w:type="dxa"/>
            <w:right w:w="108" w:type="dxa"/>
          </w:tblCellMar>
        </w:tblPrEx>
        <w:trPr>
          <w:trHeight w:val="354"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系统控制平台</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ascii="宋体" w:hAnsi="宋体" w:cs="宋体"/>
                <w:szCs w:val="21"/>
                <w:highlight w:val="none"/>
              </w:rPr>
            </w:pPr>
            <w:r>
              <w:rPr>
                <w:rFonts w:hint="eastAsia" w:ascii="宋体" w:hAnsi="宋体" w:cs="宋体"/>
                <w:szCs w:val="21"/>
                <w:highlight w:val="none"/>
              </w:rPr>
              <w:t>2U机架式服务器；</w:t>
            </w:r>
          </w:p>
          <w:p>
            <w:pPr>
              <w:spacing w:line="260" w:lineRule="exact"/>
              <w:rPr>
                <w:rFonts w:ascii="宋体" w:hAnsi="宋体" w:cs="宋体"/>
                <w:szCs w:val="21"/>
                <w:highlight w:val="none"/>
              </w:rPr>
            </w:pPr>
            <w:r>
              <w:rPr>
                <w:rFonts w:hint="eastAsia" w:ascii="宋体" w:hAnsi="宋体" w:cs="宋体"/>
                <w:szCs w:val="21"/>
                <w:highlight w:val="none"/>
              </w:rPr>
              <w:t>CPU≥至强4210*2 10C/20T, 9.6GT/s, 13.75M 缓存, Turbo, HT(100W) DDR4-2400；</w:t>
            </w:r>
          </w:p>
          <w:p>
            <w:pPr>
              <w:spacing w:line="260" w:lineRule="exact"/>
              <w:rPr>
                <w:rFonts w:ascii="宋体" w:hAnsi="宋体" w:cs="宋体"/>
                <w:szCs w:val="21"/>
                <w:highlight w:val="none"/>
              </w:rPr>
            </w:pPr>
            <w:r>
              <w:rPr>
                <w:rFonts w:hint="eastAsia" w:ascii="宋体" w:hAnsi="宋体" w:cs="宋体"/>
                <w:szCs w:val="21"/>
                <w:highlight w:val="none"/>
              </w:rPr>
              <w:t xml:space="preserve">内存≥32G*2 RDIMM, 3200MT/s, 双列, 16Gb BASE；  </w:t>
            </w:r>
          </w:p>
          <w:p>
            <w:pPr>
              <w:spacing w:line="260" w:lineRule="exact"/>
              <w:rPr>
                <w:rFonts w:ascii="宋体" w:hAnsi="宋体" w:cs="宋体"/>
                <w:szCs w:val="21"/>
                <w:highlight w:val="none"/>
              </w:rPr>
            </w:pPr>
            <w:r>
              <w:rPr>
                <w:rFonts w:hint="eastAsia" w:ascii="宋体" w:hAnsi="宋体" w:cs="宋体"/>
                <w:szCs w:val="21"/>
                <w:highlight w:val="none"/>
              </w:rPr>
              <w:t>硬盘≥480G+8T*3；</w:t>
            </w:r>
          </w:p>
          <w:p>
            <w:pPr>
              <w:spacing w:line="260" w:lineRule="exact"/>
              <w:rPr>
                <w:rFonts w:ascii="宋体" w:hAnsi="宋体" w:cs="宋体"/>
                <w:szCs w:val="21"/>
                <w:highlight w:val="none"/>
              </w:rPr>
            </w:pPr>
            <w:r>
              <w:rPr>
                <w:rFonts w:hint="eastAsia" w:ascii="宋体" w:hAnsi="宋体" w:cs="宋体"/>
                <w:szCs w:val="21"/>
                <w:highlight w:val="none"/>
              </w:rPr>
              <w:t>电源≥750W双电；</w:t>
            </w:r>
          </w:p>
          <w:p>
            <w:pPr>
              <w:spacing w:line="260" w:lineRule="exact"/>
              <w:rPr>
                <w:rFonts w:ascii="宋体" w:hAnsi="宋体" w:cs="宋体"/>
                <w:szCs w:val="21"/>
                <w:highlight w:val="none"/>
              </w:rPr>
            </w:pPr>
            <w:r>
              <w:rPr>
                <w:rFonts w:hint="eastAsia" w:ascii="宋体" w:hAnsi="宋体" w:cs="宋体"/>
                <w:szCs w:val="21"/>
                <w:highlight w:val="none"/>
              </w:rPr>
              <w:t>Riser 配置2, 3x8, 1x16插槽；</w:t>
            </w:r>
          </w:p>
          <w:p>
            <w:pPr>
              <w:spacing w:line="260" w:lineRule="exact"/>
              <w:rPr>
                <w:rFonts w:ascii="宋体" w:hAnsi="宋体" w:cs="宋体"/>
                <w:szCs w:val="21"/>
                <w:highlight w:val="none"/>
              </w:rPr>
            </w:pPr>
            <w:r>
              <w:rPr>
                <w:rFonts w:hint="eastAsia" w:ascii="宋体" w:hAnsi="宋体" w:cs="宋体"/>
                <w:szCs w:val="21"/>
                <w:highlight w:val="none"/>
              </w:rPr>
              <w:t>Broadcom 5719 四端口1GbE BASE-T 适配器。</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361"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3</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存储系统</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ascii="宋体" w:hAnsi="宋体" w:cs="宋体"/>
                <w:szCs w:val="21"/>
                <w:highlight w:val="none"/>
              </w:rPr>
            </w:pPr>
            <w:r>
              <w:rPr>
                <w:rFonts w:hint="eastAsia" w:ascii="宋体" w:hAnsi="宋体" w:cs="宋体"/>
                <w:szCs w:val="21"/>
                <w:highlight w:val="none"/>
              </w:rPr>
              <w:t>2U机架式服务器；</w:t>
            </w:r>
          </w:p>
          <w:p>
            <w:pPr>
              <w:widowControl/>
              <w:spacing w:line="260" w:lineRule="exact"/>
              <w:jc w:val="left"/>
              <w:rPr>
                <w:rFonts w:ascii="宋体" w:hAnsi="宋体" w:cs="宋体"/>
                <w:szCs w:val="21"/>
                <w:highlight w:val="none"/>
              </w:rPr>
            </w:pPr>
            <w:r>
              <w:rPr>
                <w:rFonts w:hint="eastAsia" w:ascii="宋体" w:hAnsi="宋体" w:cs="宋体"/>
                <w:szCs w:val="21"/>
                <w:highlight w:val="none"/>
              </w:rPr>
              <w:t>CPU≥3204*2 6核1.9GHz, 6C/6T, 9.6GT/s, 8.25M 缓存,  DDR4-2133；</w:t>
            </w:r>
          </w:p>
          <w:p>
            <w:pPr>
              <w:widowControl/>
              <w:spacing w:line="260" w:lineRule="exact"/>
              <w:jc w:val="left"/>
              <w:rPr>
                <w:rFonts w:ascii="宋体" w:hAnsi="宋体" w:cs="宋体"/>
                <w:szCs w:val="21"/>
                <w:highlight w:val="none"/>
              </w:rPr>
            </w:pPr>
            <w:r>
              <w:rPr>
                <w:rFonts w:hint="eastAsia" w:ascii="宋体" w:hAnsi="宋体" w:cs="宋体"/>
                <w:szCs w:val="21"/>
                <w:highlight w:val="none"/>
              </w:rPr>
              <w:t xml:space="preserve">电源≥750w双电； </w:t>
            </w:r>
          </w:p>
          <w:p>
            <w:pPr>
              <w:widowControl/>
              <w:spacing w:line="260" w:lineRule="exact"/>
              <w:jc w:val="left"/>
              <w:rPr>
                <w:rFonts w:ascii="宋体" w:hAnsi="宋体" w:cs="宋体"/>
                <w:szCs w:val="21"/>
                <w:highlight w:val="none"/>
              </w:rPr>
            </w:pPr>
            <w:r>
              <w:rPr>
                <w:rFonts w:hint="eastAsia" w:ascii="宋体" w:hAnsi="宋体" w:cs="宋体"/>
                <w:szCs w:val="21"/>
                <w:highlight w:val="none"/>
              </w:rPr>
              <w:t xml:space="preserve">内存≥32G RDIMM, 3200MT/s, 双列, 16Gb BASE；  </w:t>
            </w:r>
          </w:p>
          <w:p>
            <w:pPr>
              <w:widowControl/>
              <w:spacing w:line="260" w:lineRule="exact"/>
              <w:jc w:val="left"/>
              <w:rPr>
                <w:rFonts w:ascii="宋体" w:hAnsi="宋体" w:cs="宋体"/>
                <w:szCs w:val="21"/>
                <w:highlight w:val="none"/>
              </w:rPr>
            </w:pPr>
            <w:r>
              <w:rPr>
                <w:rFonts w:hint="eastAsia" w:ascii="宋体" w:hAnsi="宋体" w:cs="宋体"/>
                <w:szCs w:val="21"/>
                <w:highlight w:val="none"/>
              </w:rPr>
              <w:t xml:space="preserve">硬盘≥6TSAS*5； </w:t>
            </w:r>
          </w:p>
          <w:p>
            <w:pPr>
              <w:widowControl/>
              <w:spacing w:line="260" w:lineRule="exact"/>
              <w:jc w:val="left"/>
              <w:rPr>
                <w:rFonts w:ascii="宋体" w:hAnsi="宋体" w:cs="宋体"/>
                <w:szCs w:val="21"/>
                <w:highlight w:val="none"/>
              </w:rPr>
            </w:pPr>
            <w:r>
              <w:rPr>
                <w:rFonts w:hint="eastAsia" w:ascii="宋体" w:hAnsi="宋体" w:cs="宋体"/>
                <w:szCs w:val="21"/>
                <w:highlight w:val="none"/>
              </w:rPr>
              <w:t>Riser 配置 2, 3 x8, 1 x16插槽；</w:t>
            </w:r>
          </w:p>
          <w:p>
            <w:pPr>
              <w:widowControl/>
              <w:spacing w:line="260" w:lineRule="exact"/>
              <w:jc w:val="left"/>
              <w:rPr>
                <w:rFonts w:ascii="宋体" w:hAnsi="宋体"/>
                <w:szCs w:val="21"/>
                <w:highlight w:val="none"/>
              </w:rPr>
            </w:pPr>
            <w:r>
              <w:rPr>
                <w:rFonts w:hint="eastAsia" w:ascii="宋体" w:hAnsi="宋体" w:cs="宋体"/>
                <w:szCs w:val="21"/>
                <w:highlight w:val="none"/>
              </w:rPr>
              <w:t>Broadcom 5719 四端口1GbE BASE-T 适配器。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379"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4</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UPS电源</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ascii="宋体" w:hAnsi="宋体"/>
                <w:szCs w:val="21"/>
                <w:highlight w:val="none"/>
              </w:rPr>
            </w:pPr>
            <w:r>
              <w:rPr>
                <w:rFonts w:hint="eastAsia" w:ascii="宋体" w:hAnsi="宋体"/>
                <w:szCs w:val="21"/>
                <w:highlight w:val="none"/>
              </w:rPr>
              <w:t>在线式UPS不间断电源稳压服务器，机房电脑停电后备电源，内置电池标3000VA/2400W</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379"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5</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交换机</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szCs w:val="21"/>
                <w:highlight w:val="none"/>
              </w:rPr>
              <w:t>48千兆电口+4千兆光智能网管企业级网络交换机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379"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6</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机柜</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left"/>
              <w:rPr>
                <w:rFonts w:ascii="宋体" w:hAnsi="宋体" w:cs="Arial"/>
                <w:kern w:val="1"/>
                <w:szCs w:val="21"/>
                <w:highlight w:val="none"/>
              </w:rPr>
            </w:pPr>
            <w:r>
              <w:rPr>
                <w:rFonts w:hint="eastAsia" w:ascii="宋体" w:hAnsi="宋体" w:cs="宋体"/>
                <w:szCs w:val="21"/>
                <w:highlight w:val="none"/>
              </w:rPr>
              <w:t>高度1</w:t>
            </w:r>
            <w:r>
              <w:rPr>
                <w:rFonts w:ascii="宋体" w:hAnsi="宋体" w:cs="宋体"/>
                <w:szCs w:val="21"/>
                <w:highlight w:val="none"/>
              </w:rPr>
              <w:t>200</w:t>
            </w:r>
            <w:r>
              <w:rPr>
                <w:rFonts w:hint="eastAsia" w:ascii="宋体" w:hAnsi="宋体" w:cs="宋体"/>
                <w:szCs w:val="21"/>
                <w:highlight w:val="none"/>
              </w:rPr>
              <w:t>mm(24u),深度1</w:t>
            </w:r>
            <w:r>
              <w:rPr>
                <w:rFonts w:ascii="宋体" w:hAnsi="宋体" w:cs="宋体"/>
                <w:szCs w:val="21"/>
                <w:highlight w:val="none"/>
              </w:rPr>
              <w:t>10</w:t>
            </w:r>
            <w:r>
              <w:rPr>
                <w:rFonts w:hint="eastAsia" w:ascii="宋体" w:hAnsi="宋体" w:cs="宋体"/>
                <w:szCs w:val="21"/>
                <w:highlight w:val="none"/>
              </w:rPr>
              <w:t>0mm，宽度600mm,机柜后部净深（角规到后门)205mm,静态承重</w:t>
            </w:r>
            <w:r>
              <w:rPr>
                <w:rFonts w:ascii="宋体" w:hAnsi="宋体" w:cs="宋体"/>
                <w:szCs w:val="21"/>
                <w:highlight w:val="none"/>
              </w:rPr>
              <w:t>400</w:t>
            </w:r>
            <w:r>
              <w:rPr>
                <w:rFonts w:hint="eastAsia" w:ascii="宋体" w:hAnsi="宋体" w:cs="宋体"/>
                <w:szCs w:val="21"/>
                <w:highlight w:val="none"/>
              </w:rPr>
              <w:t>Kg。</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组</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379"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7</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安全管理防火墙</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szCs w:val="21"/>
                <w:highlight w:val="none"/>
              </w:rPr>
            </w:pPr>
            <w:r>
              <w:rPr>
                <w:rFonts w:hint="eastAsia" w:ascii="宋体" w:hAnsi="宋体" w:cs="宋体"/>
                <w:szCs w:val="21"/>
                <w:highlight w:val="none"/>
              </w:rPr>
              <w:t>多业务千兆企业级安全管理防火墙，带机量300-400，免费100条SSL VPN。</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组</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379"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8</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无线AP</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宋体" w:hAnsi="宋体"/>
                <w:szCs w:val="21"/>
                <w:highlight w:val="none"/>
              </w:rPr>
            </w:pPr>
            <w:r>
              <w:rPr>
                <w:rFonts w:ascii="宋体" w:hAnsi="宋体"/>
                <w:szCs w:val="21"/>
                <w:highlight w:val="none"/>
              </w:rPr>
              <w:t>1.</w:t>
            </w:r>
            <w:r>
              <w:rPr>
                <w:rFonts w:hint="eastAsia" w:ascii="宋体" w:hAnsi="宋体"/>
                <w:szCs w:val="21"/>
                <w:highlight w:val="none"/>
              </w:rPr>
              <w:t xml:space="preserve">Wi-Fi6 3000M双频千兆 </w:t>
            </w:r>
          </w:p>
          <w:p>
            <w:pPr>
              <w:widowControl/>
              <w:spacing w:line="260" w:lineRule="exact"/>
              <w:rPr>
                <w:rFonts w:ascii="宋体" w:hAnsi="宋体"/>
                <w:szCs w:val="21"/>
                <w:highlight w:val="none"/>
              </w:rPr>
            </w:pPr>
            <w:r>
              <w:rPr>
                <w:rFonts w:ascii="宋体" w:hAnsi="宋体"/>
                <w:szCs w:val="21"/>
                <w:highlight w:val="none"/>
              </w:rPr>
              <w:t>2.</w:t>
            </w:r>
            <w:r>
              <w:rPr>
                <w:rFonts w:hint="eastAsia" w:ascii="宋体" w:hAnsi="宋体"/>
                <w:szCs w:val="21"/>
                <w:highlight w:val="none"/>
              </w:rPr>
              <w:t xml:space="preserve">吸顶式AP </w:t>
            </w:r>
          </w:p>
          <w:p>
            <w:pPr>
              <w:widowControl/>
              <w:spacing w:line="260" w:lineRule="exact"/>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 xml:space="preserve">企业级wifi无线接入点 </w:t>
            </w:r>
          </w:p>
          <w:p>
            <w:pPr>
              <w:widowControl/>
              <w:spacing w:line="260" w:lineRule="exact"/>
              <w:rPr>
                <w:rFonts w:ascii="宋体" w:hAnsi="宋体"/>
                <w:szCs w:val="21"/>
                <w:highlight w:val="none"/>
              </w:rPr>
            </w:pPr>
            <w:r>
              <w:rPr>
                <w:rFonts w:ascii="宋体" w:hAnsi="宋体"/>
                <w:szCs w:val="21"/>
                <w:highlight w:val="none"/>
              </w:rPr>
              <w:t>4.</w:t>
            </w:r>
            <w:r>
              <w:rPr>
                <w:rFonts w:hint="eastAsia" w:ascii="宋体" w:hAnsi="宋体"/>
                <w:szCs w:val="21"/>
                <w:highlight w:val="none"/>
              </w:rPr>
              <w:t>POE/DC供电</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2</w:t>
            </w:r>
          </w:p>
        </w:tc>
      </w:tr>
      <w:tr>
        <w:tblPrEx>
          <w:tblCellMar>
            <w:top w:w="0" w:type="dxa"/>
            <w:left w:w="108" w:type="dxa"/>
            <w:bottom w:w="0" w:type="dxa"/>
            <w:right w:w="108" w:type="dxa"/>
          </w:tblCellMar>
        </w:tblPrEx>
        <w:trPr>
          <w:trHeight w:val="379"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9</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三维虚拟系统</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kern w:val="0"/>
                <w:szCs w:val="21"/>
                <w:highlight w:val="none"/>
              </w:rPr>
            </w:pPr>
            <w:r>
              <w:rPr>
                <w:rFonts w:hint="eastAsia" w:ascii="宋体" w:hAnsi="宋体"/>
                <w:color w:val="333333"/>
                <w:szCs w:val="21"/>
                <w:highlight w:val="none"/>
                <w:shd w:val="clear" w:color="auto" w:fill="FFFFFF"/>
              </w:rPr>
              <w:t>★</w:t>
            </w:r>
            <w:r>
              <w:rPr>
                <w:rFonts w:hint="eastAsia" w:ascii="宋体" w:hAnsi="宋体" w:cs="宋体"/>
                <w:kern w:val="0"/>
                <w:szCs w:val="21"/>
                <w:highlight w:val="none"/>
              </w:rPr>
              <w:t>1、具备三维场景还原功能 ：凭借三维模型及材质系统，实现场景在光影关系之下的逼真效果，并结合时间线功能，不止于光影的效果还原，让预演场景呈现出细腻丰富的真实质感。</w:t>
            </w:r>
          </w:p>
          <w:p>
            <w:pPr>
              <w:widowControl/>
              <w:spacing w:line="260" w:lineRule="exact"/>
              <w:jc w:val="left"/>
              <w:rPr>
                <w:rFonts w:ascii="宋体" w:hAnsi="宋体" w:cs="宋体"/>
                <w:kern w:val="0"/>
                <w:szCs w:val="21"/>
                <w:highlight w:val="none"/>
              </w:rPr>
            </w:pPr>
            <w:r>
              <w:rPr>
                <w:rFonts w:hint="eastAsia" w:ascii="宋体" w:hAnsi="宋体"/>
                <w:color w:val="333333"/>
                <w:szCs w:val="21"/>
                <w:highlight w:val="none"/>
                <w:shd w:val="clear" w:color="auto" w:fill="FFFFFF"/>
              </w:rPr>
              <w:t>★</w:t>
            </w:r>
            <w:r>
              <w:rPr>
                <w:rFonts w:hint="eastAsia" w:ascii="宋体" w:hAnsi="宋体" w:cs="宋体"/>
                <w:kern w:val="0"/>
                <w:szCs w:val="21"/>
                <w:highlight w:val="none"/>
              </w:rPr>
              <w:t>2、具备基于时间轴的播控系统时间线具有非线性编辑功能，可以对媒体素材编辑多种视觉效果，凭借强大的解码技术，实现几乎全部格式的超大分辨率视频解码和流畅播放。结合智能总控及云控系统，可以完成对项目工程的远程操控。</w:t>
            </w:r>
          </w:p>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3、系统具备内置多种类型摄像机（摇臂、轨道等），提前预演摄像机拍摄画面，基于时间轴的控制方式，实现精准的导播切换。同时可基于CUE点管理生成电子台本，将导播设计和现场执行无缝对接，通过云端来实现协同工作，可完成无人值守的导播切换任务。</w:t>
            </w:r>
          </w:p>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4、具备灯光预演与预编程功能，内置主流品牌灯具，基于Art-Net协议配接，实现灯光的预编程、现场真实灯具控制，模拟三维场景中真实光影效果，再现舞台现场灯光的绚丽多彩。</w:t>
            </w:r>
          </w:p>
          <w:p>
            <w:pPr>
              <w:widowControl/>
              <w:spacing w:line="260" w:lineRule="exact"/>
              <w:jc w:val="left"/>
              <w:rPr>
                <w:rFonts w:ascii="宋体" w:hAnsi="宋体" w:cs="宋体"/>
                <w:kern w:val="0"/>
                <w:szCs w:val="21"/>
                <w:highlight w:val="none"/>
              </w:rPr>
            </w:pPr>
            <w:r>
              <w:rPr>
                <w:rFonts w:hint="eastAsia" w:ascii="宋体" w:hAnsi="宋体" w:cs="宋体"/>
                <w:kern w:val="0"/>
                <w:szCs w:val="21"/>
                <w:highlight w:val="none"/>
              </w:rPr>
              <w:t>5、具备投影光路设计与3D Mapping 模拟真实投影机的光路和画面畸变， 精准测量投影机在实际环境中的照度和遮挡区域，通过内置多个品牌多种参数的投影机，轻松完成各种复杂模型的光路设计和3D Mapping模拟。</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套</w:t>
            </w:r>
            <w:r>
              <w:rPr>
                <w:rFonts w:ascii="宋体" w:hAnsi="宋体" w:cs="宋体"/>
                <w:kern w:val="0"/>
                <w:szCs w:val="21"/>
                <w:highlight w:val="none"/>
              </w:rPr>
              <w:t xml:space="preserve"> </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379"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4</w:t>
            </w:r>
            <w:r>
              <w:rPr>
                <w:rFonts w:ascii="宋体" w:hAnsi="宋体" w:cs="宋体"/>
                <w:kern w:val="0"/>
                <w:szCs w:val="21"/>
                <w:highlight w:val="none"/>
              </w:rPr>
              <w:t>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三维虚拟资源库</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ascii="宋体" w:hAnsi="宋体" w:cs="宋体"/>
                <w:kern w:val="0"/>
                <w:szCs w:val="21"/>
                <w:highlight w:val="none"/>
              </w:rPr>
            </w:pPr>
            <w:r>
              <w:rPr>
                <w:rFonts w:hint="eastAsia" w:ascii="宋体" w:hAnsi="宋体"/>
                <w:color w:val="333333"/>
                <w:szCs w:val="21"/>
                <w:highlight w:val="none"/>
                <w:shd w:val="clear" w:color="auto" w:fill="FFFFFF"/>
              </w:rPr>
              <w:t>★</w:t>
            </w:r>
            <w:r>
              <w:rPr>
                <w:rFonts w:hint="eastAsia" w:ascii="宋体" w:hAnsi="宋体"/>
                <w:szCs w:val="21"/>
                <w:highlight w:val="none"/>
              </w:rPr>
              <w:t>包含不少于</w:t>
            </w:r>
            <w:r>
              <w:rPr>
                <w:rFonts w:ascii="宋体" w:hAnsi="宋体"/>
                <w:szCs w:val="21"/>
                <w:highlight w:val="none"/>
              </w:rPr>
              <w:t>1</w:t>
            </w:r>
            <w:r>
              <w:rPr>
                <w:rFonts w:hint="eastAsia" w:ascii="宋体" w:hAnsi="宋体"/>
                <w:szCs w:val="21"/>
                <w:highlight w:val="none"/>
              </w:rPr>
              <w:t>00个三维场景和模型。每个三维虚拟场景支持导入虚拟演播系统预演，根据不同虚拟场景可模拟制作摄像机演播效果，可模拟演播现场灯光特效，可设置虚拟拍摄镜头运动轨迹动画。</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套</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1</w:t>
            </w:r>
          </w:p>
        </w:tc>
      </w:tr>
      <w:tr>
        <w:tblPrEx>
          <w:tblCellMar>
            <w:top w:w="0" w:type="dxa"/>
            <w:left w:w="108" w:type="dxa"/>
            <w:bottom w:w="0" w:type="dxa"/>
            <w:right w:w="108" w:type="dxa"/>
          </w:tblCellMar>
        </w:tblPrEx>
        <w:trPr>
          <w:trHeight w:val="379" w:hRule="atLeast"/>
          <w:jc w:val="center"/>
        </w:trPr>
        <w:tc>
          <w:tcPr>
            <w:tcW w:w="837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kern w:val="0"/>
                <w:szCs w:val="21"/>
                <w:highlight w:val="none"/>
              </w:rPr>
            </w:pPr>
            <w:r>
              <w:rPr>
                <w:rFonts w:hint="eastAsia" w:ascii="宋体" w:hAnsi="宋体" w:cs="宋体"/>
                <w:b/>
                <w:bCs/>
                <w:kern w:val="0"/>
                <w:szCs w:val="21"/>
                <w:highlight w:val="none"/>
              </w:rPr>
              <w:t>二、视频教学与虚拟仿真实训软件</w:t>
            </w:r>
          </w:p>
        </w:tc>
      </w:tr>
      <w:tr>
        <w:tblPrEx>
          <w:tblCellMar>
            <w:top w:w="0" w:type="dxa"/>
            <w:left w:w="108" w:type="dxa"/>
            <w:bottom w:w="0" w:type="dxa"/>
            <w:right w:w="108" w:type="dxa"/>
          </w:tblCellMar>
        </w:tblPrEx>
        <w:trPr>
          <w:trHeight w:val="379"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41</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color w:val="000000"/>
                <w:kern w:val="0"/>
                <w:szCs w:val="21"/>
                <w:highlight w:val="none"/>
              </w:rPr>
              <w:t>智慧学习平台</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★1.点播：支持学生解除地域时间限制，自由针对知识点、课程进行7*24h线上播放，整合第三方资源提供多样的教学材料。</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2.直播：支持老师通过直播形式授课，学生预约加入直播课程在线与老师进行互动。（标准版支持最大100方音视频通道）</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3.人培方案管理：包括人培培养方案总体要求、培养方案制定、规划查询、公共资源管理、可根据需要进行增、删、改操作与导入导出操作。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4.课程管理：包括课程内容编辑，课程发布，课后作业管理。课程可以根据章节维护课程介绍、课时、课程标题、课程目录、课程资源、课程学分等信息内容。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5.教案：将课程教案随课程同步发布，供学生使用。支持按章节进行教案的上传和学习。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6.随堂测验：按照章节和知识点设置随堂测试试题，支持自定义题型。</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7.评论：在线学习的过程中，可以对某一个具体的章节、知识点、某一个视频、直播进行评论和评价，事实收集意见进行改良。</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★8.课程资源：支持教师端多节点章节自由配置课程，课程与班级关联。课程的评论，评价及学生端查看。（课件支持PPT、Word、Excel、PDF、图片、视频）丰富老师课件内容。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9.在线考试：提供了在线考试的业务能力，包含了题库设计，考试设计，考试发布，在线考试，在线阅卷，在线练习，模拟考试。</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10.作业功能：提供了在线布置（随堂）作业，在线提交作业和在线批改作业功能，在线审阅，作业信息留言，作业成绩编辑，历史作业查询，作业完成情况，作业成绩。</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★11.支持培养方案总体要求、培养方案制定、规划查询，公共资源管理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12.支持课程内容编辑，课程发布，课后作业，直播课程推送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13.支持作业编辑，作业发布，在线审阅，作业成绩编辑，历史作业查询，个人作业完成情况查询。</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14.支持考试成绩查询，成绩统计，历史记录。</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szCs w:val="21"/>
                <w:highlight w:val="none"/>
              </w:rPr>
            </w:pPr>
            <w:r>
              <w:rPr>
                <w:rFonts w:hint="eastAsia" w:ascii="宋体" w:hAnsi="宋体"/>
                <w:szCs w:val="21"/>
                <w:highlight w:val="none"/>
              </w:rPr>
              <w:t>★15.培训认证评价功能：满足学生及社会人员对人社、行业头部企业主流认证的线上学习，考核及分类查询和详情查询；能够有效对接人社、行业头部企业主流认证流程，支持报考指南、学习计划、线上学习、模拟考试、预约考试、线上考试、成绩查询、证书查询需求；有效支撑各类认证培训资源（课程资源 + 题库）的管理并提供线上（直播+录播）认证培训支持；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szCs w:val="21"/>
                <w:highlight w:val="none"/>
              </w:rPr>
            </w:pPr>
            <w:r>
              <w:rPr>
                <w:rFonts w:hint="eastAsia" w:ascii="宋体" w:hAnsi="宋体"/>
                <w:szCs w:val="21"/>
                <w:highlight w:val="none"/>
              </w:rPr>
              <w:t>★16.需提供此平台的计算机软件著作权的知识产权证明材料及相关软件测评报告复印件。</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szCs w:val="21"/>
                <w:highlight w:val="none"/>
              </w:rPr>
            </w:pPr>
            <w:r>
              <w:rPr>
                <w:rFonts w:hint="eastAsia" w:ascii="宋体" w:hAnsi="宋体"/>
                <w:szCs w:val="21"/>
                <w:highlight w:val="none"/>
              </w:rPr>
              <w:t>17.平台需支持5年免费升级</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highlight w:val="none"/>
              </w:rPr>
            </w:pPr>
            <w:r>
              <w:rPr>
                <w:rFonts w:hint="eastAsia" w:ascii="宋体" w:hAnsi="宋体"/>
                <w:szCs w:val="21"/>
                <w:highlight w:val="none"/>
              </w:rPr>
              <w:t>★18.需投标现场对平台功能进行演示</w:t>
            </w:r>
            <w:r>
              <w:rPr>
                <w:rFonts w:hint="eastAsia" w:ascii="宋体" w:hAnsi="宋体"/>
                <w:sz w:val="21"/>
                <w:szCs w:val="21"/>
                <w:highlight w:val="none"/>
              </w:rPr>
              <w:t>。</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点位</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40</w:t>
            </w:r>
          </w:p>
        </w:tc>
      </w:tr>
      <w:tr>
        <w:tblPrEx>
          <w:tblCellMar>
            <w:top w:w="0" w:type="dxa"/>
            <w:left w:w="108" w:type="dxa"/>
            <w:bottom w:w="0" w:type="dxa"/>
            <w:right w:w="108" w:type="dxa"/>
          </w:tblCellMar>
        </w:tblPrEx>
        <w:trPr>
          <w:trHeight w:val="379"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42</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rPr>
                <w:rFonts w:ascii="宋体" w:hAnsi="宋体" w:cs="宋体"/>
                <w:color w:val="000000"/>
                <w:kern w:val="0"/>
                <w:szCs w:val="21"/>
                <w:highlight w:val="none"/>
              </w:rPr>
            </w:pPr>
            <w:r>
              <w:rPr>
                <w:rFonts w:hint="eastAsia" w:ascii="宋体" w:hAnsi="宋体" w:cs="宋体"/>
                <w:color w:val="000000"/>
                <w:kern w:val="0"/>
                <w:szCs w:val="21"/>
                <w:highlight w:val="none"/>
              </w:rPr>
              <w:t>短视频项目实训虚拟仿真平台</w:t>
            </w:r>
          </w:p>
          <w:p>
            <w:pPr>
              <w:widowControl/>
              <w:spacing w:line="0" w:lineRule="atLeast"/>
              <w:jc w:val="center"/>
              <w:rPr>
                <w:rFonts w:ascii="宋体" w:hAnsi="宋体" w:cs="宋体"/>
                <w:kern w:val="0"/>
                <w:szCs w:val="21"/>
                <w:highlight w:val="none"/>
              </w:rPr>
            </w:pPr>
          </w:p>
        </w:tc>
        <w:tc>
          <w:tcPr>
            <w:tcW w:w="6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★1.提供5大类主流短视频虚拟项目类型全生命周期线上仿真实训操作。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包括短视频项目从项目发起-商务洽谈-项目制作-项目交付-项目验收-运营数据分析全工作流程演练。</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提供短视频类虚拟训练的项目管理和项目查询。</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★2.提供5大类主流直播虚拟项目类型全生命周期线上仿真实训操作。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包括直播项目从项目发起-商务洽谈-项目制作-项目交付-项目验收-运营数据分析全工作流程演练。</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提供直播类虚拟训练的项目管理和项目查询。</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 xml:space="preserve">★3.具备个人能力在线分析功能，提供分阶段考核功能，提供整体考核功能，考试结果查询，历史考试结果查询。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★4.提供训练考核功能，考试结果查询，历史考试结果查询。</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5.通过考核结果进行项目能力在线分析，提供岗位技能数据、职业素养数据、项目效率数据，专业知识数据。</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6.提供短视频类虚拟仿真项目的看板功能，提供包括编导工作任务看板、制片工作任务看板、演员工作任务看板、摄像师工作任务看板、录音师工作任务看板、灯光师工作任务看板、剪辑师工作任务看板、包装师工作任务看板、配音演员工作任务看板、优化师工作任务看板、运营工作任务看板、数据分析工作任务看板共12种岗位角色任务看板，提供任务管理、任务查询、关联任务相关人员、项目进度查询。</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7.提供直播类虚拟仿真项目的看板功能，提供包括策划工作任务看板、主播工作任务看板、副播工作任务看板、现场助理工作任务看板、场控工作任务看板、运营工作任务看板、导播工作任务看板共7种岗位角色任务看板。提供任务管理、任务查询、关联任务相关人员、项目进度查询。</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szCs w:val="21"/>
                <w:highlight w:val="none"/>
              </w:rPr>
              <w:t>8.提供虚拟仿真项目的交付及验收功能，包括项目小样提交功能、在线预览功能、项目成片提交功能、在线下载功能、在线审核验收功能、问题反馈功能。</w:t>
            </w:r>
          </w:p>
          <w:p>
            <w:pPr>
              <w:pStyle w:val="8"/>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9</w:t>
            </w:r>
            <w:r>
              <w:rPr>
                <w:rFonts w:hint="eastAsia" w:ascii="宋体" w:hAnsi="宋体"/>
                <w:sz w:val="21"/>
                <w:szCs w:val="21"/>
                <w:highlight w:val="none"/>
              </w:rPr>
              <w:t>.需提供此平台的计算机软件著作权的知识产权证明材料及相关软件测评报告复印件。</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ascii="宋体" w:hAnsi="宋体"/>
                <w:szCs w:val="21"/>
                <w:highlight w:val="none"/>
              </w:rPr>
              <w:t>10</w:t>
            </w:r>
            <w:r>
              <w:rPr>
                <w:rFonts w:hint="eastAsia" w:ascii="宋体" w:hAnsi="宋体"/>
                <w:szCs w:val="21"/>
                <w:highlight w:val="none"/>
              </w:rPr>
              <w:t>. 平台需支持</w:t>
            </w:r>
            <w:r>
              <w:rPr>
                <w:rFonts w:ascii="宋体" w:hAnsi="宋体"/>
                <w:szCs w:val="21"/>
                <w:highlight w:val="none"/>
              </w:rPr>
              <w:t>5</w:t>
            </w:r>
            <w:r>
              <w:rPr>
                <w:rFonts w:hint="eastAsia" w:ascii="宋体" w:hAnsi="宋体"/>
                <w:szCs w:val="21"/>
                <w:highlight w:val="none"/>
              </w:rPr>
              <w:t xml:space="preserve">年免费升级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highlight w:val="none"/>
              </w:rPr>
            </w:pPr>
            <w:r>
              <w:rPr>
                <w:rFonts w:hint="eastAsia" w:ascii="宋体" w:hAnsi="宋体" w:cs="宋体"/>
                <w:kern w:val="0"/>
                <w:szCs w:val="21"/>
                <w:highlight w:val="none"/>
              </w:rPr>
              <w:t>★</w:t>
            </w: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 xml:space="preserve">需投标现场对平台功能进行演示。              </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点位</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rPr>
                <w:rFonts w:ascii="宋体" w:hAnsi="宋体" w:cs="宋体"/>
                <w:kern w:val="0"/>
                <w:szCs w:val="21"/>
                <w:highlight w:val="none"/>
              </w:rPr>
            </w:pPr>
            <w:r>
              <w:rPr>
                <w:rFonts w:hint="eastAsia" w:ascii="宋体" w:hAnsi="宋体" w:cs="宋体"/>
                <w:kern w:val="0"/>
                <w:szCs w:val="21"/>
                <w:highlight w:val="none"/>
              </w:rPr>
              <w:t>40</w:t>
            </w:r>
          </w:p>
        </w:tc>
      </w:tr>
    </w:tbl>
    <w:p>
      <w:pPr>
        <w:rPr>
          <w:highlight w:val="none"/>
        </w:rPr>
      </w:pPr>
    </w:p>
    <w:p>
      <w:pPr>
        <w:pStyle w:val="8"/>
        <w:rPr>
          <w:highlight w:val="none"/>
        </w:rPr>
      </w:pPr>
    </w:p>
    <w:p>
      <w:pPr>
        <w:rPr>
          <w:highlight w:val="none"/>
        </w:rPr>
      </w:pPr>
    </w:p>
    <w:p>
      <w:pPr>
        <w:pStyle w:val="8"/>
        <w:rPr>
          <w:highlight w:val="none"/>
        </w:rPr>
      </w:pPr>
    </w:p>
    <w:p>
      <w:pPr>
        <w:rPr>
          <w:highlight w:val="none"/>
        </w:rPr>
      </w:pPr>
    </w:p>
    <w:p>
      <w:pPr>
        <w:pStyle w:val="8"/>
        <w:rPr>
          <w:highlight w:val="none"/>
        </w:rPr>
      </w:pPr>
    </w:p>
    <w:p>
      <w:pPr>
        <w:pStyle w:val="3"/>
        <w:numPr>
          <w:ilvl w:val="0"/>
          <w:numId w:val="0"/>
        </w:numPr>
        <w:tabs>
          <w:tab w:val="left" w:pos="1080"/>
        </w:tabs>
        <w:jc w:val="center"/>
        <w:outlineLvl w:val="9"/>
        <w:rPr>
          <w:rFonts w:ascii="宋体" w:hAnsi="宋体" w:cs="Arial"/>
          <w:sz w:val="32"/>
          <w:szCs w:val="32"/>
          <w:highlight w:val="none"/>
        </w:rPr>
      </w:pPr>
    </w:p>
    <w:p>
      <w:pPr>
        <w:rPr>
          <w:rFonts w:ascii="宋体" w:hAnsi="宋体" w:cs="Arial"/>
          <w:sz w:val="32"/>
          <w:szCs w:val="32"/>
          <w:highlight w:val="none"/>
        </w:rPr>
      </w:pPr>
    </w:p>
    <w:p>
      <w:pPr>
        <w:pStyle w:val="8"/>
        <w:rPr>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rPr>
          <w:rFonts w:ascii="宋体" w:hAnsi="宋体" w:cs="Arial"/>
          <w:sz w:val="32"/>
          <w:szCs w:val="32"/>
          <w:highlight w:val="none"/>
        </w:rPr>
      </w:pPr>
    </w:p>
    <w:p>
      <w:pPr>
        <w:pStyle w:val="8"/>
        <w:rPr>
          <w:rFonts w:ascii="宋体" w:hAnsi="宋体" w:cs="Arial"/>
          <w:sz w:val="32"/>
          <w:szCs w:val="32"/>
          <w:highlight w:val="none"/>
        </w:rPr>
      </w:pPr>
    </w:p>
    <w:p>
      <w:pPr>
        <w:rPr>
          <w:rFonts w:ascii="宋体" w:hAnsi="宋体" w:cs="Arial"/>
          <w:sz w:val="32"/>
          <w:szCs w:val="32"/>
          <w:highlight w:val="none"/>
        </w:rPr>
      </w:pPr>
    </w:p>
    <w:p>
      <w:pPr>
        <w:pStyle w:val="8"/>
        <w:rPr>
          <w:highlight w:val="none"/>
        </w:rPr>
      </w:pPr>
    </w:p>
    <w:p>
      <w:pPr>
        <w:rPr>
          <w:highlight w:val="none"/>
        </w:rPr>
      </w:pPr>
    </w:p>
    <w:p>
      <w:pPr>
        <w:pStyle w:val="8"/>
        <w:rPr>
          <w:highlight w:val="none"/>
        </w:rPr>
      </w:pPr>
    </w:p>
    <w:p>
      <w:pPr>
        <w:rPr>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outlineLvl w:val="9"/>
        <w:rPr>
          <w:rFonts w:ascii="宋体" w:hAnsi="宋体" w:cs="Arial"/>
          <w:sz w:val="32"/>
          <w:szCs w:val="32"/>
          <w:highlight w:val="none"/>
        </w:rPr>
      </w:pPr>
    </w:p>
    <w:p>
      <w:pPr>
        <w:pStyle w:val="3"/>
        <w:numPr>
          <w:ilvl w:val="0"/>
          <w:numId w:val="0"/>
        </w:numPr>
        <w:tabs>
          <w:tab w:val="left" w:pos="1080"/>
        </w:tabs>
        <w:jc w:val="center"/>
        <w:rPr>
          <w:rFonts w:ascii="宋体" w:hAnsi="宋体" w:cs="Arial"/>
          <w:sz w:val="32"/>
          <w:szCs w:val="32"/>
          <w:highlight w:val="none"/>
        </w:rPr>
      </w:pPr>
      <w:bookmarkStart w:id="91" w:name="_Toc32304"/>
      <w:r>
        <w:rPr>
          <w:rFonts w:ascii="宋体" w:hAnsi="宋体" w:cs="Arial"/>
          <w:sz w:val="32"/>
          <w:szCs w:val="32"/>
          <w:highlight w:val="none"/>
        </w:rPr>
        <w:t xml:space="preserve">第四部分  </w:t>
      </w:r>
      <w:r>
        <w:rPr>
          <w:rFonts w:hint="eastAsia" w:ascii="宋体" w:hAnsi="宋体" w:cs="Arial"/>
          <w:sz w:val="32"/>
          <w:szCs w:val="32"/>
          <w:highlight w:val="none"/>
        </w:rPr>
        <w:t>合同格式</w:t>
      </w:r>
      <w:bookmarkEnd w:id="91"/>
    </w:p>
    <w:p>
      <w:pPr>
        <w:rPr>
          <w:rFonts w:hint="eastAsia" w:ascii="宋体" w:hAnsi="宋体" w:cs="宋体"/>
          <w:sz w:val="24"/>
          <w:highlight w:val="none"/>
        </w:rPr>
      </w:pPr>
    </w:p>
    <w:p>
      <w:pPr>
        <w:rPr>
          <w:rFonts w:hint="eastAsia"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w:t>
      </w:r>
    </w:p>
    <w:p>
      <w:pPr>
        <w:spacing w:line="480" w:lineRule="auto"/>
        <w:jc w:val="center"/>
        <w:rPr>
          <w:rFonts w:hint="eastAsia" w:ascii="宋体" w:hAnsi="宋体" w:cs="宋体"/>
          <w:b/>
          <w:sz w:val="28"/>
          <w:szCs w:val="28"/>
          <w:highlight w:val="none"/>
        </w:rPr>
      </w:pPr>
    </w:p>
    <w:p>
      <w:pPr>
        <w:spacing w:line="480" w:lineRule="auto"/>
        <w:jc w:val="center"/>
        <w:rPr>
          <w:rFonts w:hint="eastAsia" w:ascii="宋体" w:hAnsi="宋体" w:cs="宋体"/>
          <w:b/>
          <w:sz w:val="28"/>
          <w:szCs w:val="28"/>
          <w:highlight w:val="none"/>
        </w:rPr>
      </w:pPr>
    </w:p>
    <w:p>
      <w:pPr>
        <w:spacing w:line="480" w:lineRule="auto"/>
        <w:jc w:val="center"/>
        <w:outlineLvl w:val="0"/>
        <w:rPr>
          <w:rFonts w:hint="eastAsia" w:ascii="宋体" w:hAnsi="宋体" w:cs="宋体"/>
          <w:b/>
          <w:sz w:val="44"/>
          <w:szCs w:val="44"/>
          <w:highlight w:val="none"/>
        </w:rPr>
      </w:pPr>
      <w:bookmarkStart w:id="92" w:name="_Toc22217"/>
      <w:r>
        <w:rPr>
          <w:rFonts w:hint="eastAsia" w:ascii="宋体" w:hAnsi="宋体" w:cs="宋体"/>
          <w:b/>
          <w:sz w:val="44"/>
          <w:szCs w:val="44"/>
          <w:highlight w:val="none"/>
        </w:rPr>
        <w:t>政府采购合同参考范本</w:t>
      </w:r>
      <w:bookmarkEnd w:id="92"/>
    </w:p>
    <w:p>
      <w:pPr>
        <w:spacing w:line="480" w:lineRule="auto"/>
        <w:jc w:val="center"/>
        <w:outlineLvl w:val="0"/>
        <w:rPr>
          <w:rFonts w:hint="eastAsia" w:ascii="宋体" w:hAnsi="宋体" w:cs="宋体"/>
          <w:b/>
          <w:sz w:val="24"/>
          <w:highlight w:val="none"/>
        </w:rPr>
      </w:pPr>
      <w:bookmarkStart w:id="93" w:name="_Toc15008"/>
      <w:r>
        <w:rPr>
          <w:rFonts w:hint="eastAsia" w:ascii="宋体" w:hAnsi="宋体" w:cs="宋体"/>
          <w:b/>
          <w:sz w:val="24"/>
          <w:highlight w:val="none"/>
        </w:rPr>
        <w:t>（货物类）</w:t>
      </w:r>
      <w:bookmarkEnd w:id="93"/>
    </w:p>
    <w:p>
      <w:pPr>
        <w:pStyle w:val="27"/>
        <w:ind w:firstLine="0"/>
        <w:rPr>
          <w:rFonts w:hint="eastAsia" w:hAnsi="宋体" w:cs="宋体"/>
          <w:szCs w:val="24"/>
          <w:highlight w:val="none"/>
        </w:rPr>
      </w:pPr>
    </w:p>
    <w:p>
      <w:pPr>
        <w:pStyle w:val="27"/>
        <w:ind w:firstLine="0"/>
        <w:rPr>
          <w:rFonts w:hint="eastAsia" w:hAnsi="宋体" w:cs="宋体"/>
          <w:szCs w:val="24"/>
          <w:highlight w:val="none"/>
        </w:rPr>
      </w:pPr>
    </w:p>
    <w:p>
      <w:pPr>
        <w:pStyle w:val="27"/>
        <w:ind w:firstLine="0"/>
        <w:rPr>
          <w:rFonts w:hint="eastAsia" w:hAnsi="宋体" w:cs="宋体"/>
          <w:szCs w:val="24"/>
          <w:highlight w:val="none"/>
        </w:rPr>
      </w:pPr>
    </w:p>
    <w:p>
      <w:pPr>
        <w:pStyle w:val="27"/>
        <w:ind w:firstLine="0"/>
        <w:jc w:val="center"/>
        <w:outlineLvl w:val="0"/>
        <w:rPr>
          <w:rFonts w:hint="eastAsia" w:hAnsi="宋体" w:cs="宋体"/>
          <w:b/>
          <w:szCs w:val="24"/>
          <w:highlight w:val="none"/>
        </w:rPr>
      </w:pPr>
      <w:bookmarkStart w:id="94" w:name="_Toc24680"/>
      <w:r>
        <w:rPr>
          <w:rFonts w:hint="eastAsia" w:hAnsi="宋体" w:cs="宋体"/>
          <w:b/>
          <w:szCs w:val="24"/>
          <w:highlight w:val="none"/>
        </w:rPr>
        <w:t>第一部分 合同书</w:t>
      </w:r>
      <w:bookmarkEnd w:id="94"/>
    </w:p>
    <w:p>
      <w:pPr>
        <w:pStyle w:val="27"/>
        <w:ind w:firstLine="0"/>
        <w:rPr>
          <w:rFonts w:hint="eastAsia" w:hAnsi="宋体" w:cs="宋体"/>
          <w:szCs w:val="24"/>
          <w:highlight w:val="none"/>
        </w:rPr>
      </w:pPr>
    </w:p>
    <w:p>
      <w:pPr>
        <w:pStyle w:val="27"/>
        <w:ind w:firstLine="0"/>
        <w:rPr>
          <w:rFonts w:hint="eastAsia" w:hAnsi="宋体" w:cs="宋体"/>
          <w:szCs w:val="24"/>
          <w:highlight w:val="none"/>
        </w:rPr>
      </w:pPr>
    </w:p>
    <w:p>
      <w:pPr>
        <w:spacing w:before="120" w:line="22" w:lineRule="atLeast"/>
        <w:rPr>
          <w:rFonts w:hint="eastAsia" w:ascii="宋体" w:hAnsi="宋体" w:cs="宋体"/>
          <w:sz w:val="24"/>
          <w:highlight w:val="none"/>
        </w:rPr>
      </w:pPr>
    </w:p>
    <w:p>
      <w:pPr>
        <w:spacing w:before="120" w:line="22" w:lineRule="atLeast"/>
        <w:ind w:left="960"/>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pPr>
        <w:pStyle w:val="28"/>
        <w:spacing w:before="120" w:line="22" w:lineRule="atLeast"/>
        <w:rPr>
          <w:rFonts w:hint="eastAsia" w:ascii="宋体" w:hAnsi="宋体" w:eastAsia="宋体" w:cs="宋体"/>
          <w:szCs w:val="24"/>
          <w:highlight w:val="none"/>
        </w:rPr>
      </w:pPr>
    </w:p>
    <w:p>
      <w:pPr>
        <w:pStyle w:val="28"/>
        <w:spacing w:before="120" w:line="22" w:lineRule="atLeast"/>
        <w:rPr>
          <w:rFonts w:hint="eastAsia" w:ascii="宋体" w:hAnsi="宋体" w:eastAsia="宋体" w:cs="宋体"/>
          <w:szCs w:val="24"/>
          <w:highlight w:val="none"/>
        </w:rPr>
      </w:pPr>
    </w:p>
    <w:p>
      <w:pPr>
        <w:rPr>
          <w:rFonts w:hint="eastAsia" w:ascii="宋体" w:hAnsi="宋体" w:cs="宋体"/>
          <w:highlight w:val="none"/>
        </w:rPr>
      </w:pPr>
    </w:p>
    <w:p>
      <w:pPr>
        <w:spacing w:before="120" w:line="22" w:lineRule="atLeast"/>
        <w:ind w:left="960"/>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 xml:space="preserve">                                       </w:t>
      </w:r>
    </w:p>
    <w:p>
      <w:pPr>
        <w:spacing w:before="120" w:line="22" w:lineRule="atLeast"/>
        <w:rPr>
          <w:rFonts w:hint="eastAsia" w:ascii="宋体" w:hAnsi="宋体" w:cs="宋体"/>
          <w:sz w:val="24"/>
          <w:highlight w:val="none"/>
        </w:rPr>
      </w:pPr>
    </w:p>
    <w:p>
      <w:pPr>
        <w:spacing w:before="120" w:line="22" w:lineRule="atLeast"/>
        <w:ind w:left="960"/>
        <w:rPr>
          <w:rFonts w:hint="eastAsia" w:ascii="宋体" w:hAnsi="宋体" w:cs="宋体"/>
          <w:sz w:val="24"/>
          <w:highlight w:val="none"/>
          <w:u w:val="single"/>
        </w:rPr>
      </w:pPr>
      <w:r>
        <w:rPr>
          <w:rFonts w:hint="eastAsia" w:ascii="宋体" w:hAnsi="宋体" w:cs="宋体"/>
          <w:sz w:val="24"/>
          <w:highlight w:val="none"/>
        </w:rPr>
        <w:t>乙方：</w:t>
      </w:r>
      <w:r>
        <w:rPr>
          <w:rFonts w:hint="eastAsia" w:ascii="宋体" w:hAnsi="宋体" w:cs="宋体"/>
          <w:sz w:val="24"/>
          <w:highlight w:val="none"/>
          <w:u w:val="single"/>
        </w:rPr>
        <w:t xml:space="preserve">                                       </w:t>
      </w:r>
    </w:p>
    <w:p>
      <w:pPr>
        <w:spacing w:before="120" w:line="22" w:lineRule="atLeast"/>
        <w:rPr>
          <w:rFonts w:hint="eastAsia" w:ascii="宋体" w:hAnsi="宋体" w:cs="宋体"/>
          <w:sz w:val="24"/>
          <w:highlight w:val="none"/>
        </w:rPr>
      </w:pPr>
    </w:p>
    <w:p>
      <w:pPr>
        <w:spacing w:before="120" w:line="22" w:lineRule="atLeast"/>
        <w:ind w:firstLine="960" w:firstLineChars="400"/>
        <w:rPr>
          <w:rFonts w:hint="eastAsia"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pPr>
        <w:spacing w:before="120" w:line="22" w:lineRule="atLeast"/>
        <w:rPr>
          <w:rFonts w:hint="eastAsia" w:ascii="宋体" w:hAnsi="宋体" w:cs="宋体"/>
          <w:sz w:val="24"/>
          <w:highlight w:val="none"/>
        </w:rPr>
      </w:pPr>
    </w:p>
    <w:p>
      <w:pPr>
        <w:spacing w:before="120" w:line="22" w:lineRule="atLeast"/>
        <w:ind w:firstLine="960" w:firstLineChars="400"/>
        <w:rPr>
          <w:rFonts w:hint="eastAsia"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autoSpaceDE w:val="0"/>
        <w:autoSpaceDN w:val="0"/>
        <w:adjustRightInd w:val="0"/>
        <w:spacing w:line="600" w:lineRule="exact"/>
        <w:ind w:firstLine="640"/>
        <w:jc w:val="center"/>
        <w:rPr>
          <w:rFonts w:hint="eastAsia" w:ascii="宋体" w:hAnsi="宋体" w:cs="宋体"/>
          <w:sz w:val="24"/>
          <w:highlight w:val="none"/>
        </w:rPr>
        <w:sectPr>
          <w:pgSz w:w="11907" w:h="16840"/>
          <w:pgMar w:top="1440" w:right="1080" w:bottom="1440" w:left="1080" w:header="851" w:footer="851" w:gutter="0"/>
          <w:pgNumType w:fmt="decimal"/>
          <w:cols w:space="720" w:num="1"/>
          <w:docGrid w:linePitch="462" w:charSpace="0"/>
        </w:sectPr>
      </w:pP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（采购人名称）   </w:t>
      </w:r>
      <w:r>
        <w:rPr>
          <w:rFonts w:hint="eastAsia" w:ascii="宋体" w:hAnsi="宋体" w:cs="宋体"/>
          <w:sz w:val="24"/>
          <w:highlight w:val="none"/>
        </w:rPr>
        <w:t>以</w:t>
      </w:r>
      <w:r>
        <w:rPr>
          <w:rFonts w:hint="eastAsia" w:ascii="宋体" w:hAnsi="宋体" w:cs="宋体"/>
          <w:sz w:val="24"/>
          <w:highlight w:val="none"/>
          <w:u w:val="single"/>
        </w:rPr>
        <w:t xml:space="preserve">   （政府采购方式）  </w:t>
      </w:r>
      <w:r>
        <w:rPr>
          <w:rFonts w:hint="eastAsia" w:ascii="宋体" w:hAnsi="宋体" w:cs="宋体"/>
          <w:sz w:val="24"/>
          <w:highlight w:val="none"/>
        </w:rPr>
        <w:t>对</w:t>
      </w:r>
      <w:r>
        <w:rPr>
          <w:rFonts w:hint="eastAsia" w:ascii="宋体" w:hAnsi="宋体" w:cs="宋体"/>
          <w:sz w:val="24"/>
          <w:highlight w:val="none"/>
          <w:u w:val="single"/>
        </w:rPr>
        <w:t xml:space="preserve">   （同前页项目名称）   </w:t>
      </w:r>
      <w:r>
        <w:rPr>
          <w:rFonts w:hint="eastAsia" w:ascii="宋体" w:hAnsi="宋体" w:cs="宋体"/>
          <w:sz w:val="24"/>
          <w:highlight w:val="none"/>
        </w:rPr>
        <w:t>项目进行了采购。经</w:t>
      </w:r>
      <w:r>
        <w:rPr>
          <w:rFonts w:hint="eastAsia" w:ascii="宋体" w:hAnsi="宋体" w:cs="宋体"/>
          <w:sz w:val="24"/>
          <w:highlight w:val="none"/>
          <w:u w:val="single"/>
        </w:rPr>
        <w:t xml:space="preserve">   （相关评定主体名称）   </w:t>
      </w:r>
      <w:r>
        <w:rPr>
          <w:rFonts w:hint="eastAsia" w:ascii="宋体" w:hAnsi="宋体" w:cs="宋体"/>
          <w:sz w:val="24"/>
          <w:highlight w:val="none"/>
        </w:rPr>
        <w:t>评定，</w:t>
      </w:r>
      <w:r>
        <w:rPr>
          <w:rFonts w:hint="eastAsia" w:ascii="宋体" w:hAnsi="宋体" w:cs="宋体"/>
          <w:sz w:val="24"/>
          <w:highlight w:val="none"/>
          <w:u w:val="single"/>
        </w:rPr>
        <w:t xml:space="preserve">   （中标供应商名称）</w:t>
      </w:r>
      <w:r>
        <w:rPr>
          <w:rFonts w:hint="eastAsia" w:ascii="宋体" w:hAnsi="宋体" w:cs="宋体"/>
          <w:sz w:val="24"/>
          <w:highlight w:val="none"/>
        </w:rPr>
        <w:t>为该项目中标供应商。现于中标通知书发出之日起三十日内，按照采购文件确定的事项签订本合同。</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lang w:val="zh-CN"/>
        </w:rPr>
        <w:t>根据《中华人民共和国合同法》、《中华人民共和国政府采购法》等相关法律法规之规定，按照平等、自愿、公平和诚实信用的原则，经</w:t>
      </w:r>
      <w:r>
        <w:rPr>
          <w:rFonts w:hint="eastAsia" w:ascii="宋体" w:hAnsi="宋体" w:cs="宋体"/>
          <w:sz w:val="24"/>
          <w:highlight w:val="none"/>
          <w:u w:val="single"/>
        </w:rPr>
        <w:t xml:space="preserve">   （采购人名称）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560" w:lineRule="exact"/>
        <w:ind w:firstLine="482" w:firstLineChars="200"/>
        <w:outlineLvl w:val="0"/>
        <w:rPr>
          <w:rFonts w:hint="eastAsia" w:ascii="宋体" w:hAnsi="宋体" w:cs="宋体"/>
          <w:b/>
          <w:sz w:val="24"/>
          <w:highlight w:val="none"/>
        </w:rPr>
      </w:pPr>
      <w:bookmarkStart w:id="95" w:name="_Toc24059"/>
      <w:bookmarkStart w:id="96" w:name="_Toc27800"/>
      <w:bookmarkStart w:id="97" w:name="_Toc3029"/>
      <w:bookmarkStart w:id="98" w:name="_Toc2232"/>
      <w:r>
        <w:rPr>
          <w:rFonts w:hint="eastAsia" w:ascii="宋体" w:hAnsi="宋体" w:cs="宋体"/>
          <w:b/>
          <w:sz w:val="24"/>
          <w:highlight w:val="none"/>
        </w:rPr>
        <w:t>1.1 合同组成部分</w:t>
      </w:r>
      <w:bookmarkEnd w:id="95"/>
      <w:bookmarkEnd w:id="96"/>
      <w:bookmarkEnd w:id="97"/>
      <w:bookmarkEnd w:id="98"/>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1.1.1 本合同及其补充合同、变更协议；</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1.1.2 中标通知书；</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1.1.3 投标文件（含澄清或者说明文件）；</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1.1.4 招标文件（含澄清或者修改文件）；</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1.1.5 其他相关采购文件。</w:t>
      </w:r>
    </w:p>
    <w:p>
      <w:pPr>
        <w:spacing w:line="560" w:lineRule="exact"/>
        <w:ind w:firstLine="482" w:firstLineChars="200"/>
        <w:outlineLvl w:val="0"/>
        <w:rPr>
          <w:rFonts w:hint="eastAsia" w:ascii="宋体" w:hAnsi="宋体" w:cs="宋体"/>
          <w:b/>
          <w:sz w:val="24"/>
          <w:highlight w:val="none"/>
        </w:rPr>
      </w:pPr>
      <w:bookmarkStart w:id="99" w:name="_Toc27126"/>
      <w:bookmarkStart w:id="100" w:name="_Toc21295"/>
      <w:bookmarkStart w:id="101" w:name="_Toc15137"/>
      <w:bookmarkStart w:id="102" w:name="_Toc24300"/>
      <w:r>
        <w:rPr>
          <w:rFonts w:hint="eastAsia" w:ascii="宋体" w:hAnsi="宋体" w:cs="宋体"/>
          <w:b/>
          <w:sz w:val="24"/>
          <w:highlight w:val="none"/>
        </w:rPr>
        <w:t>1.2 货物</w:t>
      </w:r>
      <w:bookmarkEnd w:id="99"/>
      <w:bookmarkEnd w:id="100"/>
      <w:bookmarkEnd w:id="101"/>
      <w:bookmarkEnd w:id="102"/>
    </w:p>
    <w:p>
      <w:pPr>
        <w:spacing w:line="560" w:lineRule="exact"/>
        <w:ind w:firstLine="480" w:firstLineChars="200"/>
        <w:rPr>
          <w:rFonts w:hint="eastAsia" w:ascii="宋体" w:hAnsi="宋体" w:cs="宋体"/>
          <w:sz w:val="24"/>
          <w:highlight w:val="none"/>
          <w:u w:val="single"/>
        </w:rPr>
      </w:pPr>
      <w:r>
        <w:rPr>
          <w:rFonts w:hint="eastAsia" w:ascii="宋体" w:hAnsi="宋体" w:cs="宋体"/>
          <w:sz w:val="24"/>
          <w:highlight w:val="none"/>
        </w:rPr>
        <w:t>1.2.1 货物名称：</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hint="eastAsia" w:ascii="宋体" w:hAnsi="宋体" w:cs="宋体"/>
          <w:sz w:val="24"/>
          <w:highlight w:val="none"/>
          <w:u w:val="single"/>
        </w:rPr>
      </w:pPr>
      <w:r>
        <w:rPr>
          <w:rFonts w:hint="eastAsia" w:ascii="宋体" w:hAnsi="宋体" w:cs="宋体"/>
          <w:sz w:val="24"/>
          <w:highlight w:val="none"/>
        </w:rPr>
        <w:t>1.2.2 货物数量：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1.2.3 货物质量：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hint="eastAsia" w:ascii="宋体" w:hAnsi="宋体" w:cs="宋体"/>
          <w:b/>
          <w:sz w:val="24"/>
          <w:highlight w:val="none"/>
        </w:rPr>
      </w:pPr>
      <w:bookmarkStart w:id="103" w:name="_Toc21551"/>
      <w:bookmarkStart w:id="104" w:name="_Toc23292"/>
      <w:bookmarkStart w:id="105" w:name="_Toc29480"/>
      <w:bookmarkStart w:id="106" w:name="_Toc21631"/>
      <w:r>
        <w:rPr>
          <w:rFonts w:hint="eastAsia" w:ascii="宋体" w:hAnsi="宋体" w:cs="宋体"/>
          <w:b/>
          <w:sz w:val="24"/>
          <w:highlight w:val="none"/>
        </w:rPr>
        <w:t>1.3 价款</w:t>
      </w:r>
      <w:bookmarkEnd w:id="103"/>
      <w:bookmarkEnd w:id="104"/>
      <w:bookmarkEnd w:id="105"/>
      <w:bookmarkEnd w:id="106"/>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本合同总价为：￥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p>
    <w:p>
      <w:pPr>
        <w:spacing w:line="560" w:lineRule="exact"/>
        <w:ind w:firstLine="480" w:firstLineChars="200"/>
        <w:rPr>
          <w:rFonts w:hint="eastAsia" w:ascii="宋体" w:hAnsi="宋体" w:cs="宋体"/>
          <w:sz w:val="24"/>
          <w:highlight w:val="none"/>
          <w:u w:val="single"/>
        </w:rPr>
      </w:pPr>
      <w:r>
        <w:rPr>
          <w:rFonts w:hint="eastAsia" w:ascii="宋体" w:hAnsi="宋体" w:cs="宋体"/>
          <w:sz w:val="24"/>
          <w:highlight w:val="none"/>
        </w:rPr>
        <w:t>分项价格：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jc w:val="center"/>
              <w:rPr>
                <w:rFonts w:hint="eastAsia" w:hAnsi="宋体" w:cs="宋体"/>
                <w:sz w:val="24"/>
                <w:szCs w:val="24"/>
                <w:highlight w:val="none"/>
              </w:rPr>
            </w:pPr>
            <w:r>
              <w:rPr>
                <w:rFonts w:hint="eastAsia" w:hAnsi="宋体" w:cs="宋体"/>
                <w:sz w:val="24"/>
                <w:szCs w:val="24"/>
                <w:highlight w:val="none"/>
              </w:rPr>
              <w:t>序号</w:t>
            </w:r>
          </w:p>
        </w:tc>
        <w:tc>
          <w:tcPr>
            <w:tcW w:w="3402" w:type="dxa"/>
            <w:noWrap w:val="0"/>
            <w:vAlign w:val="center"/>
          </w:tcPr>
          <w:p>
            <w:pPr>
              <w:pStyle w:val="29"/>
              <w:spacing w:line="560" w:lineRule="exact"/>
              <w:ind w:firstLine="200"/>
              <w:jc w:val="center"/>
              <w:rPr>
                <w:rFonts w:hint="eastAsia" w:hAnsi="宋体" w:cs="宋体"/>
                <w:sz w:val="24"/>
                <w:szCs w:val="24"/>
                <w:highlight w:val="none"/>
              </w:rPr>
            </w:pPr>
            <w:r>
              <w:rPr>
                <w:rFonts w:hint="eastAsia" w:hAnsi="宋体" w:cs="宋体"/>
                <w:sz w:val="24"/>
                <w:szCs w:val="24"/>
                <w:highlight w:val="none"/>
              </w:rPr>
              <w:t>分项名称</w:t>
            </w:r>
          </w:p>
        </w:tc>
        <w:tc>
          <w:tcPr>
            <w:tcW w:w="2552" w:type="dxa"/>
            <w:noWrap w:val="0"/>
            <w:vAlign w:val="center"/>
          </w:tcPr>
          <w:p>
            <w:pPr>
              <w:pStyle w:val="29"/>
              <w:spacing w:line="560" w:lineRule="exact"/>
              <w:jc w:val="center"/>
              <w:rPr>
                <w:rFonts w:hint="eastAsia" w:hAnsi="宋体" w:cs="宋体"/>
                <w:sz w:val="24"/>
                <w:szCs w:val="24"/>
                <w:highlight w:val="none"/>
              </w:rPr>
            </w:pPr>
            <w:r>
              <w:rPr>
                <w:rFonts w:hint="eastAsia" w:hAnsi="宋体" w:cs="宋体"/>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int="eastAsia" w:hAnsi="宋体" w:cs="宋体"/>
                <w:sz w:val="24"/>
                <w:szCs w:val="24"/>
                <w:highlight w:val="none"/>
              </w:rPr>
            </w:pPr>
          </w:p>
        </w:tc>
        <w:tc>
          <w:tcPr>
            <w:tcW w:w="3402" w:type="dxa"/>
            <w:noWrap w:val="0"/>
            <w:vAlign w:val="center"/>
          </w:tcPr>
          <w:p>
            <w:pPr>
              <w:pStyle w:val="29"/>
              <w:spacing w:line="560" w:lineRule="exact"/>
              <w:ind w:firstLine="200"/>
              <w:jc w:val="center"/>
              <w:rPr>
                <w:rFonts w:hint="eastAsia" w:hAnsi="宋体" w:cs="宋体"/>
                <w:sz w:val="24"/>
                <w:szCs w:val="24"/>
                <w:highlight w:val="none"/>
              </w:rPr>
            </w:pPr>
          </w:p>
        </w:tc>
        <w:tc>
          <w:tcPr>
            <w:tcW w:w="2552" w:type="dxa"/>
            <w:noWrap w:val="0"/>
            <w:vAlign w:val="center"/>
          </w:tcPr>
          <w:p>
            <w:pPr>
              <w:pStyle w:val="29"/>
              <w:spacing w:line="560" w:lineRule="exact"/>
              <w:ind w:firstLine="200"/>
              <w:jc w:val="center"/>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int="eastAsia" w:hAnsi="宋体" w:cs="宋体"/>
                <w:sz w:val="24"/>
                <w:szCs w:val="24"/>
                <w:highlight w:val="none"/>
              </w:rPr>
            </w:pPr>
          </w:p>
        </w:tc>
        <w:tc>
          <w:tcPr>
            <w:tcW w:w="3402" w:type="dxa"/>
            <w:noWrap w:val="0"/>
            <w:vAlign w:val="center"/>
          </w:tcPr>
          <w:p>
            <w:pPr>
              <w:pStyle w:val="29"/>
              <w:spacing w:line="560" w:lineRule="exact"/>
              <w:ind w:firstLine="200"/>
              <w:jc w:val="center"/>
              <w:rPr>
                <w:rFonts w:hint="eastAsia" w:hAnsi="宋体" w:cs="宋体"/>
                <w:sz w:val="24"/>
                <w:szCs w:val="24"/>
                <w:highlight w:val="none"/>
              </w:rPr>
            </w:pPr>
          </w:p>
        </w:tc>
        <w:tc>
          <w:tcPr>
            <w:tcW w:w="2552" w:type="dxa"/>
            <w:noWrap w:val="0"/>
            <w:vAlign w:val="center"/>
          </w:tcPr>
          <w:p>
            <w:pPr>
              <w:pStyle w:val="29"/>
              <w:spacing w:line="560" w:lineRule="exact"/>
              <w:ind w:firstLine="200"/>
              <w:jc w:val="center"/>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int="eastAsia" w:hAnsi="宋体" w:cs="宋体"/>
                <w:sz w:val="24"/>
                <w:szCs w:val="24"/>
                <w:highlight w:val="none"/>
              </w:rPr>
            </w:pPr>
          </w:p>
        </w:tc>
        <w:tc>
          <w:tcPr>
            <w:tcW w:w="3402" w:type="dxa"/>
            <w:noWrap w:val="0"/>
            <w:vAlign w:val="center"/>
          </w:tcPr>
          <w:p>
            <w:pPr>
              <w:pStyle w:val="29"/>
              <w:spacing w:line="560" w:lineRule="exact"/>
              <w:ind w:firstLine="200"/>
              <w:jc w:val="center"/>
              <w:rPr>
                <w:rFonts w:hint="eastAsia" w:hAnsi="宋体" w:cs="宋体"/>
                <w:sz w:val="24"/>
                <w:szCs w:val="24"/>
                <w:highlight w:val="none"/>
              </w:rPr>
            </w:pPr>
          </w:p>
        </w:tc>
        <w:tc>
          <w:tcPr>
            <w:tcW w:w="2552" w:type="dxa"/>
            <w:noWrap w:val="0"/>
            <w:vAlign w:val="center"/>
          </w:tcPr>
          <w:p>
            <w:pPr>
              <w:pStyle w:val="29"/>
              <w:spacing w:line="560" w:lineRule="exact"/>
              <w:ind w:firstLine="200"/>
              <w:jc w:val="center"/>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int="eastAsia" w:hAnsi="宋体" w:cs="宋体"/>
                <w:sz w:val="24"/>
                <w:szCs w:val="24"/>
                <w:highlight w:val="none"/>
              </w:rPr>
            </w:pPr>
          </w:p>
        </w:tc>
        <w:tc>
          <w:tcPr>
            <w:tcW w:w="3402" w:type="dxa"/>
            <w:noWrap w:val="0"/>
            <w:vAlign w:val="center"/>
          </w:tcPr>
          <w:p>
            <w:pPr>
              <w:pStyle w:val="29"/>
              <w:spacing w:line="560" w:lineRule="exact"/>
              <w:ind w:firstLine="200"/>
              <w:jc w:val="center"/>
              <w:rPr>
                <w:rFonts w:hint="eastAsia" w:hAnsi="宋体" w:cs="宋体"/>
                <w:sz w:val="24"/>
                <w:szCs w:val="24"/>
                <w:highlight w:val="none"/>
              </w:rPr>
            </w:pPr>
          </w:p>
        </w:tc>
        <w:tc>
          <w:tcPr>
            <w:tcW w:w="2552" w:type="dxa"/>
            <w:noWrap w:val="0"/>
            <w:vAlign w:val="center"/>
          </w:tcPr>
          <w:p>
            <w:pPr>
              <w:pStyle w:val="29"/>
              <w:spacing w:line="560" w:lineRule="exact"/>
              <w:ind w:firstLine="200"/>
              <w:jc w:val="center"/>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9"/>
              <w:spacing w:line="560" w:lineRule="exact"/>
              <w:ind w:firstLine="200"/>
              <w:jc w:val="center"/>
              <w:rPr>
                <w:rFonts w:hint="eastAsia" w:hAnsi="宋体" w:cs="宋体"/>
                <w:sz w:val="24"/>
                <w:szCs w:val="24"/>
                <w:highlight w:val="none"/>
              </w:rPr>
            </w:pPr>
            <w:r>
              <w:rPr>
                <w:rFonts w:hint="eastAsia" w:hAnsi="宋体" w:cs="宋体"/>
                <w:sz w:val="24"/>
                <w:szCs w:val="24"/>
                <w:highlight w:val="none"/>
              </w:rPr>
              <w:t>总价</w:t>
            </w:r>
          </w:p>
        </w:tc>
        <w:tc>
          <w:tcPr>
            <w:tcW w:w="2552" w:type="dxa"/>
            <w:noWrap w:val="0"/>
            <w:vAlign w:val="center"/>
          </w:tcPr>
          <w:p>
            <w:pPr>
              <w:pStyle w:val="29"/>
              <w:spacing w:line="560" w:lineRule="exact"/>
              <w:ind w:firstLine="200"/>
              <w:jc w:val="center"/>
              <w:rPr>
                <w:rFonts w:hint="eastAsia" w:hAnsi="宋体" w:cs="宋体"/>
                <w:sz w:val="24"/>
                <w:szCs w:val="24"/>
                <w:highlight w:val="none"/>
              </w:rPr>
            </w:pPr>
          </w:p>
        </w:tc>
      </w:tr>
    </w:tbl>
    <w:p>
      <w:pPr>
        <w:spacing w:line="560" w:lineRule="exact"/>
        <w:ind w:firstLine="482" w:firstLineChars="200"/>
        <w:outlineLvl w:val="0"/>
        <w:rPr>
          <w:rFonts w:hint="eastAsia" w:ascii="宋体" w:hAnsi="宋体" w:cs="宋体"/>
          <w:b/>
          <w:sz w:val="24"/>
          <w:highlight w:val="none"/>
        </w:rPr>
      </w:pPr>
      <w:bookmarkStart w:id="107" w:name="_Toc10340"/>
      <w:bookmarkStart w:id="108" w:name="_Toc1814"/>
      <w:bookmarkStart w:id="109" w:name="_Toc22618"/>
      <w:bookmarkStart w:id="110" w:name="_Toc10593"/>
      <w:r>
        <w:rPr>
          <w:rFonts w:hint="eastAsia" w:ascii="宋体" w:hAnsi="宋体" w:cs="宋体"/>
          <w:b/>
          <w:sz w:val="24"/>
          <w:highlight w:val="none"/>
        </w:rPr>
        <w:t>1.4 付款方式和发票开具方式</w:t>
      </w:r>
      <w:bookmarkEnd w:id="107"/>
      <w:bookmarkEnd w:id="108"/>
      <w:bookmarkEnd w:id="109"/>
      <w:bookmarkEnd w:id="110"/>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1.4.1 付款方</w:t>
      </w:r>
      <w:r>
        <w:rPr>
          <w:rFonts w:hint="eastAsia" w:ascii="宋体" w:hAnsi="宋体" w:cs="宋体"/>
          <w:sz w:val="24"/>
          <w:szCs w:val="22"/>
          <w:highlight w:val="none"/>
        </w:rPr>
        <w:t>式：</w:t>
      </w:r>
      <w:r>
        <w:rPr>
          <w:rFonts w:hint="eastAsia" w:ascii="宋体" w:hAnsi="宋体" w:cs="宋体"/>
          <w:sz w:val="24"/>
          <w:szCs w:val="22"/>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1.4.2 发票开具方式：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hint="eastAsia" w:ascii="宋体" w:hAnsi="宋体" w:cs="宋体"/>
          <w:b/>
          <w:sz w:val="24"/>
          <w:highlight w:val="none"/>
        </w:rPr>
      </w:pPr>
      <w:bookmarkStart w:id="111" w:name="_Toc19304"/>
      <w:bookmarkStart w:id="112" w:name="_Toc20539"/>
      <w:bookmarkStart w:id="113" w:name="_Toc32071"/>
      <w:bookmarkStart w:id="114" w:name="_Toc2846"/>
      <w:r>
        <w:rPr>
          <w:rFonts w:hint="eastAsia" w:ascii="宋体" w:hAnsi="宋体" w:cs="宋体"/>
          <w:b/>
          <w:sz w:val="24"/>
          <w:highlight w:val="none"/>
        </w:rPr>
        <w:t>1.5 货物交付期限、地点和方式</w:t>
      </w:r>
      <w:bookmarkEnd w:id="111"/>
      <w:bookmarkEnd w:id="112"/>
      <w:bookmarkEnd w:id="113"/>
      <w:bookmarkEnd w:id="114"/>
    </w:p>
    <w:p>
      <w:pPr>
        <w:spacing w:line="560" w:lineRule="exact"/>
        <w:ind w:firstLine="480" w:firstLineChars="200"/>
        <w:rPr>
          <w:rFonts w:hint="eastAsia" w:ascii="宋体" w:hAnsi="宋体" w:cs="宋体"/>
          <w:sz w:val="24"/>
          <w:highlight w:val="none"/>
          <w:u w:val="single"/>
        </w:rPr>
      </w:pPr>
      <w:r>
        <w:rPr>
          <w:rFonts w:hint="eastAsia" w:ascii="宋体" w:hAnsi="宋体" w:cs="宋体"/>
          <w:sz w:val="24"/>
          <w:highlight w:val="none"/>
        </w:rPr>
        <w:t>1.5.1 交付期限：</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1.5.2 交付地点：</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1.5.3 交付方式：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hint="eastAsia" w:ascii="宋体" w:hAnsi="宋体" w:cs="宋体"/>
          <w:b/>
          <w:sz w:val="24"/>
          <w:highlight w:val="none"/>
        </w:rPr>
      </w:pPr>
      <w:bookmarkStart w:id="115" w:name="_Toc19554"/>
      <w:bookmarkStart w:id="116" w:name="_Toc27250"/>
      <w:bookmarkStart w:id="117" w:name="_Toc21423"/>
      <w:bookmarkStart w:id="118" w:name="_Toc4558"/>
      <w:r>
        <w:rPr>
          <w:rFonts w:hint="eastAsia" w:ascii="宋体" w:hAnsi="宋体" w:cs="宋体"/>
          <w:b/>
          <w:sz w:val="24"/>
          <w:highlight w:val="none"/>
        </w:rPr>
        <w:t>1.6 违约责任</w:t>
      </w:r>
      <w:bookmarkEnd w:id="115"/>
      <w:bookmarkEnd w:id="116"/>
      <w:bookmarkEnd w:id="117"/>
      <w:bookmarkEnd w:id="118"/>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cs="宋体"/>
          <w:b/>
          <w:sz w:val="24"/>
          <w:highlight w:val="none"/>
        </w:rPr>
      </w:pPr>
      <w:bookmarkStart w:id="119" w:name="_Toc15583"/>
      <w:bookmarkStart w:id="120" w:name="_Toc16021"/>
      <w:bookmarkStart w:id="121" w:name="_Toc12962"/>
      <w:bookmarkStart w:id="122" w:name="_Toc28375"/>
      <w:r>
        <w:rPr>
          <w:rFonts w:hint="eastAsia" w:ascii="宋体" w:hAnsi="宋体" w:cs="宋体"/>
          <w:b/>
          <w:sz w:val="24"/>
          <w:highlight w:val="none"/>
        </w:rPr>
        <w:t>1.7 合同争议的解决</w:t>
      </w:r>
      <w:bookmarkEnd w:id="119"/>
      <w:bookmarkEnd w:id="120"/>
      <w:bookmarkEnd w:id="121"/>
      <w:bookmarkEnd w:id="122"/>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cs="宋体"/>
          <w:sz w:val="24"/>
          <w:highlight w:val="none"/>
          <w:u w:val="single"/>
        </w:rPr>
        <w:t xml:space="preserve">    </w:t>
      </w:r>
      <w:r>
        <w:rPr>
          <w:rFonts w:hint="eastAsia" w:ascii="宋体" w:hAnsi="宋体" w:cs="宋体"/>
          <w:sz w:val="24"/>
          <w:highlight w:val="none"/>
        </w:rPr>
        <w:t>种方式解决：</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1.7.1 将争议提交</w:t>
      </w:r>
      <w:r>
        <w:rPr>
          <w:rFonts w:hint="eastAsia" w:ascii="宋体" w:hAnsi="宋体" w:cs="宋体"/>
          <w:sz w:val="24"/>
          <w:highlight w:val="none"/>
          <w:u w:val="single"/>
        </w:rPr>
        <w:t xml:space="preserve">              </w:t>
      </w:r>
      <w:r>
        <w:rPr>
          <w:rFonts w:hint="eastAsia" w:ascii="宋体" w:hAnsi="宋体" w:cs="宋体"/>
          <w:sz w:val="24"/>
          <w:highlight w:val="none"/>
        </w:rPr>
        <w:t>仲裁委员会依申请仲裁时其现行有效的仲裁规则裁决；</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1.7.2 向</w:t>
      </w:r>
      <w:r>
        <w:rPr>
          <w:rFonts w:hint="eastAsia" w:ascii="宋体" w:hAnsi="宋体" w:cs="宋体"/>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sz w:val="24"/>
          <w:highlight w:val="none"/>
        </w:rPr>
        <w:t>人民法院起诉。</w:t>
      </w:r>
    </w:p>
    <w:p>
      <w:pPr>
        <w:spacing w:line="560" w:lineRule="exact"/>
        <w:ind w:firstLine="482" w:firstLineChars="200"/>
        <w:outlineLvl w:val="0"/>
        <w:rPr>
          <w:rFonts w:hint="eastAsia" w:ascii="宋体" w:hAnsi="宋体" w:cs="宋体"/>
          <w:b/>
          <w:sz w:val="24"/>
          <w:highlight w:val="none"/>
        </w:rPr>
      </w:pPr>
      <w:bookmarkStart w:id="123" w:name="_Toc18351"/>
      <w:bookmarkStart w:id="124" w:name="_Toc7245"/>
      <w:bookmarkStart w:id="125" w:name="_Toc11173"/>
      <w:bookmarkStart w:id="126" w:name="_Toc15322"/>
      <w:r>
        <w:rPr>
          <w:rFonts w:hint="eastAsia" w:ascii="宋体" w:hAnsi="宋体" w:cs="宋体"/>
          <w:b/>
          <w:sz w:val="24"/>
          <w:highlight w:val="none"/>
        </w:rPr>
        <w:t>1.8 合同生效</w:t>
      </w:r>
      <w:bookmarkEnd w:id="123"/>
      <w:bookmarkEnd w:id="124"/>
      <w:bookmarkEnd w:id="125"/>
      <w:bookmarkEnd w:id="126"/>
    </w:p>
    <w:p>
      <w:pPr>
        <w:spacing w:line="560" w:lineRule="exact"/>
        <w:ind w:firstLine="480" w:firstLineChars="200"/>
        <w:rPr>
          <w:rFonts w:hint="eastAsia" w:ascii="宋体" w:hAnsi="宋体" w:cs="宋体"/>
          <w:b/>
          <w:sz w:val="24"/>
          <w:highlight w:val="none"/>
        </w:rPr>
      </w:pPr>
      <w:r>
        <w:rPr>
          <w:rFonts w:hint="eastAsia" w:ascii="宋体" w:hAnsi="宋体" w:cs="宋体"/>
          <w:sz w:val="24"/>
          <w:highlight w:val="none"/>
        </w:rPr>
        <w:t>本合同自双方当事人盖章或者签字时生效。</w:t>
      </w:r>
    </w:p>
    <w:p>
      <w:pPr>
        <w:autoSpaceDE w:val="0"/>
        <w:autoSpaceDN w:val="0"/>
        <w:adjustRightInd w:val="0"/>
        <w:spacing w:line="560" w:lineRule="exact"/>
        <w:rPr>
          <w:rFonts w:hint="eastAsia" w:ascii="宋体" w:hAnsi="宋体" w:cs="宋体"/>
          <w:sz w:val="24"/>
          <w:highlight w:val="none"/>
          <w:lang w:val="zh-CN"/>
        </w:rPr>
      </w:pPr>
    </w:p>
    <w:p>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b/>
          <w:sz w:val="24"/>
          <w:highlight w:val="none"/>
          <w:lang w:val="zh-CN"/>
        </w:rPr>
        <w:t>甲方</w:t>
      </w:r>
      <w:r>
        <w:rPr>
          <w:rFonts w:hint="eastAsia" w:ascii="宋体" w:hAnsi="宋体" w:cs="宋体"/>
          <w:sz w:val="24"/>
          <w:highlight w:val="none"/>
          <w:lang w:val="zh-CN"/>
        </w:rPr>
        <w:t xml:space="preserve">：                             </w:t>
      </w:r>
      <w:r>
        <w:rPr>
          <w:rFonts w:hint="eastAsia" w:ascii="宋体" w:hAnsi="宋体" w:cs="宋体"/>
          <w:b/>
          <w:sz w:val="24"/>
          <w:highlight w:val="none"/>
          <w:lang w:val="zh-CN"/>
        </w:rPr>
        <w:t xml:space="preserve">      乙方</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统一社会信用代码：                        统一社会信用代码或身份证号码：</w:t>
      </w:r>
    </w:p>
    <w:p>
      <w:pPr>
        <w:autoSpaceDE w:val="0"/>
        <w:autoSpaceDN w:val="0"/>
        <w:adjustRightInd w:val="0"/>
        <w:spacing w:line="560" w:lineRule="exact"/>
        <w:rPr>
          <w:rFonts w:hint="eastAsia" w:ascii="宋体" w:hAnsi="宋体" w:cs="宋体"/>
          <w:sz w:val="24"/>
          <w:highlight w:val="none"/>
          <w:lang w:val="zh-CN"/>
        </w:rPr>
      </w:pPr>
    </w:p>
    <w:p>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住所：                                   住所：</w:t>
      </w:r>
    </w:p>
    <w:p>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法定代表人或                             法定代表人</w:t>
      </w:r>
    </w:p>
    <w:p>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 xml:space="preserve">授权代表（签字）：                        或授权代表（签字）: </w:t>
      </w:r>
    </w:p>
    <w:p>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联系人：                                 联系人：</w:t>
      </w:r>
    </w:p>
    <w:p>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约定送达地址：                           约定送达地址：</w:t>
      </w:r>
    </w:p>
    <w:p>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邮政编码：                               邮政编码：</w:t>
      </w:r>
    </w:p>
    <w:p>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 xml:space="preserve">电话:                                    电话: </w:t>
      </w:r>
    </w:p>
    <w:p>
      <w:pPr>
        <w:autoSpaceDE w:val="0"/>
        <w:autoSpaceDN w:val="0"/>
        <w:adjustRightInd w:val="0"/>
        <w:spacing w:line="560" w:lineRule="exact"/>
        <w:rPr>
          <w:rFonts w:hint="eastAsia" w:ascii="宋体" w:hAnsi="宋体" w:cs="宋体"/>
          <w:sz w:val="24"/>
          <w:highlight w:val="none"/>
          <w:lang w:val="zh-CN"/>
        </w:rPr>
      </w:pPr>
      <w:r>
        <w:rPr>
          <w:rFonts w:hint="eastAsia" w:ascii="宋体" w:hAnsi="宋体" w:cs="宋体"/>
          <w:sz w:val="24"/>
          <w:highlight w:val="none"/>
          <w:lang w:val="zh-CN"/>
        </w:rPr>
        <w:t>传真:                                    传真:</w:t>
      </w:r>
    </w:p>
    <w:p>
      <w:pPr>
        <w:autoSpaceDE w:val="0"/>
        <w:autoSpaceDN w:val="0"/>
        <w:adjustRightInd w:val="0"/>
        <w:spacing w:line="560" w:lineRule="exact"/>
        <w:rPr>
          <w:rFonts w:hint="eastAsia" w:ascii="宋体" w:hAnsi="宋体" w:cs="宋体"/>
          <w:sz w:val="24"/>
          <w:highlight w:val="none"/>
        </w:rPr>
      </w:pPr>
      <w:r>
        <w:rPr>
          <w:rFonts w:hint="eastAsia" w:ascii="宋体" w:hAnsi="宋体" w:cs="宋体"/>
          <w:sz w:val="24"/>
          <w:highlight w:val="none"/>
          <w:lang w:val="zh-CN"/>
        </w:rPr>
        <w:t>电子邮箱：                               电子邮箱：</w:t>
      </w:r>
    </w:p>
    <w:p>
      <w:pPr>
        <w:autoSpaceDE w:val="0"/>
        <w:autoSpaceDN w:val="0"/>
        <w:adjustRightInd w:val="0"/>
        <w:spacing w:line="560" w:lineRule="exact"/>
        <w:rPr>
          <w:rFonts w:hint="eastAsia" w:ascii="宋体" w:hAnsi="宋体" w:cs="宋体"/>
          <w:sz w:val="24"/>
          <w:highlight w:val="none"/>
        </w:rPr>
      </w:pPr>
      <w:r>
        <w:rPr>
          <w:rFonts w:hint="eastAsia" w:ascii="宋体" w:hAnsi="宋体" w:cs="宋体"/>
          <w:sz w:val="24"/>
          <w:highlight w:val="none"/>
        </w:rPr>
        <w:t xml:space="preserve">开户银行：                               开户银行： </w:t>
      </w:r>
    </w:p>
    <w:p>
      <w:pPr>
        <w:autoSpaceDE w:val="0"/>
        <w:autoSpaceDN w:val="0"/>
        <w:adjustRightInd w:val="0"/>
        <w:spacing w:line="560" w:lineRule="exact"/>
        <w:rPr>
          <w:rFonts w:hint="eastAsia" w:ascii="宋体" w:hAnsi="宋体" w:cs="宋体"/>
          <w:sz w:val="24"/>
          <w:highlight w:val="none"/>
        </w:rPr>
      </w:pPr>
      <w:r>
        <w:rPr>
          <w:rFonts w:hint="eastAsia" w:ascii="宋体" w:hAnsi="宋体" w:cs="宋体"/>
          <w:sz w:val="24"/>
          <w:highlight w:val="none"/>
        </w:rPr>
        <w:t xml:space="preserve">开户名称：                               开户名称： </w:t>
      </w:r>
    </w:p>
    <w:p>
      <w:pPr>
        <w:autoSpaceDE w:val="0"/>
        <w:autoSpaceDN w:val="0"/>
        <w:adjustRightInd w:val="0"/>
        <w:spacing w:line="560" w:lineRule="exact"/>
        <w:rPr>
          <w:rFonts w:hint="eastAsia" w:ascii="宋体" w:hAnsi="宋体" w:cs="宋体"/>
          <w:sz w:val="24"/>
          <w:highlight w:val="none"/>
        </w:rPr>
      </w:pPr>
      <w:r>
        <w:rPr>
          <w:rFonts w:hint="eastAsia" w:ascii="宋体" w:hAnsi="宋体" w:cs="宋体"/>
          <w:sz w:val="24"/>
          <w:highlight w:val="none"/>
        </w:rPr>
        <w:t>开户账号：</w:t>
      </w:r>
      <w:r>
        <w:rPr>
          <w:rFonts w:hint="eastAsia" w:ascii="宋体" w:hAnsi="宋体" w:cs="宋体"/>
          <w:sz w:val="24"/>
          <w:highlight w:val="none"/>
          <w:lang w:val="zh-CN"/>
        </w:rPr>
        <w:t xml:space="preserve">                               </w:t>
      </w:r>
      <w:r>
        <w:rPr>
          <w:rFonts w:hint="eastAsia" w:ascii="宋体" w:hAnsi="宋体" w:cs="宋体"/>
          <w:sz w:val="24"/>
          <w:highlight w:val="none"/>
        </w:rPr>
        <w:t>开户账号：</w:t>
      </w:r>
    </w:p>
    <w:p>
      <w:pPr>
        <w:widowControl/>
        <w:spacing w:line="560" w:lineRule="exact"/>
        <w:jc w:val="left"/>
        <w:rPr>
          <w:rFonts w:hint="eastAsia" w:ascii="宋体" w:hAnsi="宋体" w:cs="宋体"/>
          <w:b/>
          <w:highlight w:val="none"/>
        </w:rPr>
      </w:pPr>
      <w:bookmarkStart w:id="127" w:name="_Toc331685783"/>
    </w:p>
    <w:p>
      <w:pPr>
        <w:widowControl/>
        <w:spacing w:line="560" w:lineRule="exact"/>
        <w:jc w:val="left"/>
        <w:rPr>
          <w:rFonts w:hint="eastAsia" w:ascii="宋体" w:hAnsi="宋体" w:cs="宋体"/>
          <w:b/>
          <w:highlight w:val="none"/>
        </w:rPr>
      </w:pPr>
    </w:p>
    <w:p>
      <w:pPr>
        <w:widowControl/>
        <w:spacing w:line="560" w:lineRule="exact"/>
        <w:jc w:val="left"/>
        <w:rPr>
          <w:rFonts w:hint="eastAsia" w:ascii="宋体" w:hAnsi="宋体" w:cs="宋体"/>
          <w:b/>
          <w:kern w:val="0"/>
          <w:sz w:val="24"/>
          <w:highlight w:val="none"/>
        </w:rPr>
      </w:pPr>
    </w:p>
    <w:p>
      <w:pPr>
        <w:widowControl/>
        <w:spacing w:line="560" w:lineRule="exact"/>
        <w:jc w:val="left"/>
        <w:rPr>
          <w:rFonts w:hint="eastAsia" w:ascii="宋体" w:hAnsi="宋体" w:cs="宋体"/>
          <w:b/>
          <w:kern w:val="0"/>
          <w:sz w:val="24"/>
          <w:highlight w:val="none"/>
        </w:rPr>
      </w:pPr>
    </w:p>
    <w:p>
      <w:pPr>
        <w:pStyle w:val="24"/>
        <w:ind w:firstLine="482"/>
        <w:rPr>
          <w:rFonts w:hint="eastAsia" w:hAnsi="宋体" w:cs="宋体"/>
          <w:b/>
          <w:sz w:val="24"/>
          <w:highlight w:val="none"/>
        </w:rPr>
      </w:pPr>
    </w:p>
    <w:p>
      <w:pPr>
        <w:rPr>
          <w:rFonts w:hint="eastAsia" w:ascii="宋体" w:hAnsi="宋体" w:cs="宋体"/>
          <w:b/>
          <w:kern w:val="0"/>
          <w:sz w:val="24"/>
          <w:highlight w:val="none"/>
        </w:rPr>
      </w:pPr>
    </w:p>
    <w:p>
      <w:pPr>
        <w:pStyle w:val="24"/>
        <w:rPr>
          <w:rFonts w:hint="eastAsia" w:hAnsi="宋体"/>
          <w:highlight w:val="none"/>
        </w:rPr>
      </w:pPr>
    </w:p>
    <w:p>
      <w:pPr>
        <w:widowControl/>
        <w:spacing w:line="560" w:lineRule="exact"/>
        <w:jc w:val="left"/>
        <w:rPr>
          <w:rFonts w:hint="eastAsia" w:ascii="宋体" w:hAnsi="宋体" w:cs="宋体"/>
          <w:b/>
          <w:kern w:val="0"/>
          <w:sz w:val="24"/>
          <w:highlight w:val="none"/>
        </w:rPr>
      </w:pPr>
    </w:p>
    <w:p>
      <w:pPr>
        <w:widowControl/>
        <w:spacing w:line="560" w:lineRule="exact"/>
        <w:jc w:val="left"/>
        <w:rPr>
          <w:rFonts w:hint="eastAsia" w:ascii="宋体" w:hAnsi="宋体" w:cs="宋体"/>
          <w:b/>
          <w:kern w:val="0"/>
          <w:sz w:val="24"/>
          <w:highlight w:val="none"/>
        </w:rPr>
      </w:pPr>
    </w:p>
    <w:p>
      <w:pPr>
        <w:widowControl/>
        <w:spacing w:line="560" w:lineRule="exact"/>
        <w:jc w:val="left"/>
        <w:rPr>
          <w:rFonts w:hint="eastAsia" w:ascii="宋体" w:hAnsi="宋体" w:cs="宋体"/>
          <w:b/>
          <w:kern w:val="0"/>
          <w:sz w:val="24"/>
          <w:highlight w:val="none"/>
        </w:rPr>
      </w:pPr>
    </w:p>
    <w:p>
      <w:pPr>
        <w:pStyle w:val="27"/>
        <w:spacing w:line="560" w:lineRule="exact"/>
        <w:ind w:firstLine="200"/>
        <w:jc w:val="center"/>
        <w:outlineLvl w:val="0"/>
        <w:rPr>
          <w:rFonts w:hint="eastAsia" w:hAnsi="宋体" w:cs="宋体"/>
          <w:b/>
          <w:szCs w:val="24"/>
          <w:highlight w:val="none"/>
        </w:rPr>
      </w:pPr>
      <w:bookmarkStart w:id="128" w:name="_Toc26968"/>
      <w:r>
        <w:rPr>
          <w:rFonts w:hint="eastAsia" w:hAnsi="宋体" w:cs="宋体"/>
          <w:b/>
          <w:szCs w:val="24"/>
          <w:highlight w:val="none"/>
        </w:rPr>
        <w:t>第二部分 合同一般条款</w:t>
      </w:r>
      <w:bookmarkEnd w:id="127"/>
      <w:bookmarkEnd w:id="128"/>
    </w:p>
    <w:p>
      <w:pPr>
        <w:spacing w:line="560" w:lineRule="exact"/>
        <w:ind w:firstLine="482" w:firstLineChars="200"/>
        <w:outlineLvl w:val="0"/>
        <w:rPr>
          <w:rFonts w:hint="eastAsia" w:ascii="宋体" w:hAnsi="宋体" w:cs="宋体"/>
          <w:b/>
          <w:sz w:val="24"/>
          <w:highlight w:val="none"/>
        </w:rPr>
      </w:pPr>
      <w:bookmarkStart w:id="129" w:name="_Ref467379214"/>
      <w:bookmarkStart w:id="130" w:name="_Ref467379101"/>
      <w:bookmarkStart w:id="131" w:name="_Ref467378463"/>
      <w:bookmarkStart w:id="132" w:name="_Ref467378499"/>
      <w:bookmarkStart w:id="133" w:name="_Ref467379109"/>
      <w:bookmarkStart w:id="134" w:name="_Ref467378404"/>
      <w:bookmarkStart w:id="135" w:name="_Toc28763"/>
      <w:bookmarkStart w:id="136" w:name="_Ref467379205"/>
      <w:bookmarkStart w:id="137" w:name="_Ref467379094"/>
      <w:bookmarkStart w:id="138" w:name="_Ref467379195"/>
      <w:bookmarkStart w:id="139" w:name="_Toc487900349"/>
      <w:bookmarkStart w:id="140" w:name="_Toc19614"/>
      <w:bookmarkStart w:id="141" w:name="_Toc279701240"/>
      <w:bookmarkStart w:id="142" w:name="_Ref467379225"/>
      <w:bookmarkStart w:id="143" w:name="_Toc259093669"/>
      <w:bookmarkStart w:id="144" w:name="_Toc19362"/>
      <w:bookmarkStart w:id="145" w:name="_Toc16917"/>
      <w:r>
        <w:rPr>
          <w:rFonts w:hint="eastAsia" w:ascii="宋体" w:hAnsi="宋体" w:cs="宋体"/>
          <w:b/>
          <w:sz w:val="24"/>
          <w:highlight w:val="none"/>
        </w:rPr>
        <w:t>2.1 定义</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本合同中的下列词语应按以下内容进行解释：</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2.1.2 “合同价”系指根据合同约定，中标供应商在完全履行合同义务后，采购人应支付给中标供应商的价格。</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cs="宋体"/>
          <w:sz w:val="24"/>
          <w:highlight w:val="none"/>
        </w:rPr>
      </w:pPr>
      <w:bookmarkStart w:id="146" w:name="_Ref467378840"/>
      <w:r>
        <w:rPr>
          <w:rFonts w:hint="eastAsia" w:ascii="宋体" w:hAnsi="宋体" w:cs="宋体"/>
          <w:sz w:val="24"/>
          <w:highlight w:val="none"/>
        </w:rPr>
        <w:t>2.1.4 “甲方”系指与中标供应商签署合同的采购人</w:t>
      </w:r>
      <w:bookmarkEnd w:id="146"/>
      <w:r>
        <w:rPr>
          <w:rFonts w:hint="eastAsia" w:ascii="宋体" w:hAnsi="宋体" w:cs="宋体"/>
          <w:sz w:val="24"/>
          <w:highlight w:val="none"/>
        </w:rPr>
        <w:t>；采购人委托采购代理机构代表其与乙方签订合同的，采购人的授权委托书作为合同附件。</w:t>
      </w:r>
    </w:p>
    <w:p>
      <w:pPr>
        <w:spacing w:line="560" w:lineRule="exact"/>
        <w:ind w:firstLine="480" w:firstLineChars="200"/>
        <w:rPr>
          <w:rFonts w:hint="eastAsia" w:ascii="宋体" w:hAnsi="宋体" w:cs="宋体"/>
          <w:sz w:val="24"/>
          <w:highlight w:val="none"/>
        </w:rPr>
      </w:pPr>
      <w:bookmarkStart w:id="147" w:name="_Ref467379400"/>
      <w:r>
        <w:rPr>
          <w:rFonts w:hint="eastAsia" w:ascii="宋体" w:hAnsi="宋体" w:cs="宋体"/>
          <w:sz w:val="24"/>
          <w:highlight w:val="none"/>
        </w:rPr>
        <w:t>2.1.5 “乙方”系指根据合同约定交付货物的中标供应商</w:t>
      </w:r>
      <w:bookmarkEnd w:id="147"/>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cs="宋体"/>
          <w:sz w:val="24"/>
          <w:highlight w:val="none"/>
        </w:rPr>
      </w:pPr>
      <w:bookmarkStart w:id="148" w:name="_Ref467379436"/>
      <w:r>
        <w:rPr>
          <w:rFonts w:hint="eastAsia" w:ascii="宋体" w:hAnsi="宋体" w:cs="宋体"/>
          <w:sz w:val="24"/>
          <w:highlight w:val="none"/>
        </w:rPr>
        <w:t>2.1.6 “现场”系指合同约定货物将要运至或者安装的地点。</w:t>
      </w:r>
      <w:bookmarkEnd w:id="148"/>
    </w:p>
    <w:p>
      <w:pPr>
        <w:spacing w:line="560" w:lineRule="exact"/>
        <w:ind w:firstLine="482" w:firstLineChars="200"/>
        <w:outlineLvl w:val="0"/>
        <w:rPr>
          <w:rFonts w:hint="eastAsia" w:ascii="宋体" w:hAnsi="宋体" w:cs="宋体"/>
          <w:b/>
          <w:sz w:val="24"/>
          <w:highlight w:val="none"/>
        </w:rPr>
      </w:pPr>
      <w:bookmarkStart w:id="149" w:name="_Toc487900350"/>
      <w:bookmarkStart w:id="150" w:name="_Toc27635"/>
      <w:bookmarkStart w:id="151" w:name="_Toc32504"/>
      <w:bookmarkStart w:id="152" w:name="_Toc13336"/>
      <w:bookmarkStart w:id="153" w:name="_Toc259093670"/>
      <w:bookmarkStart w:id="154" w:name="_Toc20968"/>
      <w:bookmarkStart w:id="155" w:name="_Toc279701241"/>
      <w:r>
        <w:rPr>
          <w:rFonts w:hint="eastAsia" w:ascii="宋体" w:hAnsi="宋体" w:cs="宋体"/>
          <w:b/>
          <w:sz w:val="24"/>
          <w:highlight w:val="none"/>
        </w:rPr>
        <w:t>2.2 技术规范</w:t>
      </w:r>
      <w:bookmarkEnd w:id="149"/>
      <w:bookmarkEnd w:id="150"/>
      <w:bookmarkEnd w:id="151"/>
      <w:bookmarkEnd w:id="152"/>
      <w:bookmarkEnd w:id="153"/>
      <w:bookmarkEnd w:id="154"/>
      <w:bookmarkEnd w:id="155"/>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cs="宋体"/>
          <w:b/>
          <w:sz w:val="24"/>
          <w:highlight w:val="none"/>
        </w:rPr>
      </w:pPr>
      <w:bookmarkStart w:id="156" w:name="_Toc9829"/>
      <w:bookmarkStart w:id="157" w:name="_Toc279701242"/>
      <w:bookmarkStart w:id="158" w:name="_Toc259093671"/>
      <w:bookmarkStart w:id="159" w:name="_Toc31634"/>
      <w:bookmarkStart w:id="160" w:name="_Toc487900351"/>
      <w:bookmarkStart w:id="161" w:name="_Toc27853"/>
      <w:bookmarkStart w:id="162" w:name="_Toc28378"/>
      <w:r>
        <w:rPr>
          <w:rFonts w:hint="eastAsia" w:ascii="宋体" w:hAnsi="宋体" w:cs="宋体"/>
          <w:b/>
          <w:sz w:val="24"/>
          <w:highlight w:val="none"/>
        </w:rPr>
        <w:t>2.3 知识产权</w:t>
      </w:r>
      <w:bookmarkEnd w:id="156"/>
      <w:bookmarkEnd w:id="157"/>
      <w:bookmarkEnd w:id="158"/>
      <w:bookmarkEnd w:id="159"/>
      <w:bookmarkEnd w:id="160"/>
      <w:bookmarkEnd w:id="161"/>
      <w:bookmarkEnd w:id="162"/>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2.3.2具有知识产权的计算机软件等货物的知识产权归属，详见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outlineLvl w:val="0"/>
        <w:rPr>
          <w:rFonts w:hint="eastAsia" w:ascii="宋体" w:hAnsi="宋体" w:cs="宋体"/>
          <w:b/>
          <w:sz w:val="24"/>
          <w:highlight w:val="none"/>
        </w:rPr>
      </w:pPr>
      <w:bookmarkStart w:id="163" w:name="_Toc4194"/>
      <w:bookmarkStart w:id="164" w:name="_Toc9001"/>
      <w:bookmarkStart w:id="165" w:name="_Toc29149"/>
      <w:bookmarkStart w:id="166" w:name="_Toc11932"/>
      <w:r>
        <w:rPr>
          <w:rFonts w:hint="eastAsia" w:ascii="宋体" w:hAnsi="宋体" w:cs="宋体"/>
          <w:b/>
          <w:sz w:val="24"/>
          <w:highlight w:val="none"/>
        </w:rPr>
        <w:t>2.4 包装和装运</w:t>
      </w:r>
      <w:bookmarkEnd w:id="163"/>
      <w:bookmarkEnd w:id="164"/>
      <w:bookmarkEnd w:id="165"/>
      <w:bookmarkEnd w:id="166"/>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2.4.1除</w:t>
      </w:r>
      <w:r>
        <w:rPr>
          <w:rFonts w:hint="eastAsia" w:ascii="宋体" w:hAnsi="宋体" w:cs="宋体"/>
          <w:b/>
          <w:i/>
          <w:sz w:val="24"/>
          <w:highlight w:val="none"/>
          <w:u w:val="single"/>
        </w:rPr>
        <w:t>合同专用条款</w:t>
      </w:r>
      <w:r>
        <w:rPr>
          <w:rFonts w:hint="eastAsia" w:ascii="宋体" w:hAnsi="宋体" w:cs="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2.4.2 装运货物的要求和通知，详见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outlineLvl w:val="0"/>
        <w:rPr>
          <w:rFonts w:hint="eastAsia" w:ascii="宋体" w:hAnsi="宋体" w:cs="宋体"/>
          <w:b/>
          <w:sz w:val="24"/>
          <w:highlight w:val="none"/>
        </w:rPr>
      </w:pPr>
      <w:bookmarkStart w:id="167" w:name="_Toc279701245"/>
      <w:bookmarkStart w:id="168" w:name="_Ref467379542"/>
      <w:bookmarkStart w:id="169" w:name="_Toc259093674"/>
      <w:bookmarkStart w:id="170" w:name="_Ref467378541"/>
      <w:bookmarkStart w:id="171" w:name="_Ref467379536"/>
      <w:bookmarkStart w:id="172" w:name="_Ref467378591"/>
      <w:bookmarkStart w:id="173" w:name="_Ref467379527"/>
      <w:bookmarkStart w:id="174" w:name="_Toc487900354"/>
      <w:bookmarkStart w:id="175" w:name="_Toc19074"/>
      <w:bookmarkStart w:id="176" w:name="_Toc26182"/>
      <w:bookmarkStart w:id="177" w:name="_Toc21886"/>
      <w:bookmarkStart w:id="178" w:name="_Toc30272"/>
      <w:r>
        <w:rPr>
          <w:rFonts w:hint="eastAsia" w:ascii="宋体" w:hAnsi="宋体" w:cs="宋体"/>
          <w:b/>
          <w:sz w:val="24"/>
          <w:highlight w:val="none"/>
        </w:rPr>
        <w:t>2.</w:t>
      </w:r>
      <w:bookmarkEnd w:id="167"/>
      <w:bookmarkEnd w:id="168"/>
      <w:bookmarkEnd w:id="169"/>
      <w:bookmarkEnd w:id="170"/>
      <w:bookmarkEnd w:id="171"/>
      <w:bookmarkEnd w:id="172"/>
      <w:bookmarkEnd w:id="173"/>
      <w:bookmarkEnd w:id="174"/>
      <w:r>
        <w:rPr>
          <w:rFonts w:hint="eastAsia" w:ascii="宋体" w:hAnsi="宋体" w:cs="宋体"/>
          <w:b/>
          <w:sz w:val="24"/>
          <w:highlight w:val="none"/>
        </w:rPr>
        <w:t>5 履约检查和问题反馈</w:t>
      </w:r>
      <w:bookmarkEnd w:id="175"/>
      <w:bookmarkEnd w:id="176"/>
      <w:bookmarkEnd w:id="177"/>
      <w:bookmarkEnd w:id="178"/>
    </w:p>
    <w:p>
      <w:pPr>
        <w:spacing w:line="560" w:lineRule="exact"/>
        <w:ind w:firstLine="480" w:firstLineChars="200"/>
        <w:rPr>
          <w:rFonts w:hint="eastAsia" w:ascii="宋体" w:hAnsi="宋体" w:cs="宋体"/>
          <w:sz w:val="24"/>
          <w:highlight w:val="none"/>
        </w:rPr>
      </w:pPr>
      <w:bookmarkStart w:id="179" w:name="_Ref467379657"/>
      <w:r>
        <w:rPr>
          <w:rFonts w:hint="eastAsia" w:ascii="宋体" w:hAnsi="宋体" w:cs="宋体"/>
          <w:sz w:val="24"/>
          <w:highlight w:val="none"/>
        </w:rPr>
        <w:t>2.5.1</w:t>
      </w:r>
      <w:bookmarkEnd w:id="179"/>
      <w:bookmarkStart w:id="180" w:name="_Toc186431854"/>
      <w:bookmarkStart w:id="181" w:name="_Toc279701247"/>
      <w:bookmarkStart w:id="182" w:name="_Toc487900357"/>
      <w:bookmarkStart w:id="183" w:name="_Toc259093676"/>
      <w:bookmarkStart w:id="184" w:name="_Ref467379793"/>
      <w:bookmarkStart w:id="185" w:name="_Ref467379807"/>
      <w:r>
        <w:rPr>
          <w:rFonts w:hint="eastAsia" w:ascii="宋体" w:hAnsi="宋体" w:cs="宋体"/>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2.5.2 合同履行期间，甲方有权将履行过程中出现的问题反馈给乙方，双方当事人应以书面形式约定需要完善和改进的内容</w:t>
      </w:r>
      <w:bookmarkEnd w:id="180"/>
      <w:bookmarkStart w:id="186" w:name="_Toc186431855"/>
      <w:r>
        <w:rPr>
          <w:rFonts w:hint="eastAsia" w:ascii="宋体" w:hAnsi="宋体" w:cs="宋体"/>
          <w:sz w:val="24"/>
          <w:highlight w:val="none"/>
        </w:rPr>
        <w:t>。</w:t>
      </w:r>
    </w:p>
    <w:bookmarkEnd w:id="186"/>
    <w:p>
      <w:pPr>
        <w:spacing w:line="560" w:lineRule="exact"/>
        <w:ind w:firstLine="482" w:firstLineChars="200"/>
        <w:outlineLvl w:val="0"/>
        <w:rPr>
          <w:rFonts w:hint="eastAsia" w:ascii="宋体" w:hAnsi="宋体" w:cs="宋体"/>
          <w:b/>
          <w:sz w:val="24"/>
          <w:highlight w:val="none"/>
        </w:rPr>
      </w:pPr>
      <w:bookmarkStart w:id="187" w:name="_Toc7836"/>
      <w:bookmarkStart w:id="188" w:name="_Toc19219"/>
      <w:bookmarkStart w:id="189" w:name="_Toc16038"/>
      <w:bookmarkStart w:id="190" w:name="_Toc28451"/>
      <w:r>
        <w:rPr>
          <w:rFonts w:hint="eastAsia" w:ascii="宋体" w:hAnsi="宋体" w:cs="宋体"/>
          <w:b/>
          <w:sz w:val="24"/>
          <w:highlight w:val="none"/>
        </w:rPr>
        <w:t>2.6 结算方式和付款条件</w:t>
      </w:r>
      <w:bookmarkEnd w:id="181"/>
      <w:bookmarkEnd w:id="182"/>
      <w:bookmarkEnd w:id="183"/>
      <w:bookmarkEnd w:id="184"/>
      <w:bookmarkEnd w:id="185"/>
      <w:bookmarkEnd w:id="187"/>
      <w:bookmarkEnd w:id="188"/>
      <w:bookmarkEnd w:id="189"/>
      <w:bookmarkEnd w:id="190"/>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outlineLvl w:val="0"/>
        <w:rPr>
          <w:rFonts w:hint="eastAsia" w:ascii="宋体" w:hAnsi="宋体" w:cs="宋体"/>
          <w:b/>
          <w:sz w:val="24"/>
          <w:highlight w:val="none"/>
        </w:rPr>
      </w:pPr>
      <w:bookmarkStart w:id="191" w:name="_Toc259093677"/>
      <w:bookmarkStart w:id="192" w:name="_Ref467379852"/>
      <w:bookmarkStart w:id="193" w:name="_Toc487900358"/>
      <w:bookmarkStart w:id="194" w:name="_Ref467379923"/>
      <w:bookmarkStart w:id="195" w:name="_Ref467379863"/>
      <w:bookmarkStart w:id="196" w:name="_Toc279701248"/>
      <w:bookmarkStart w:id="197" w:name="_Toc774"/>
      <w:bookmarkStart w:id="198" w:name="_Toc16110"/>
      <w:bookmarkStart w:id="199" w:name="_Toc30952"/>
      <w:bookmarkStart w:id="200" w:name="_Toc3225"/>
      <w:r>
        <w:rPr>
          <w:rFonts w:hint="eastAsia" w:ascii="宋体" w:hAnsi="宋体" w:cs="宋体"/>
          <w:b/>
          <w:sz w:val="24"/>
          <w:highlight w:val="none"/>
        </w:rPr>
        <w:t>2.7 技术资料</w:t>
      </w:r>
      <w:bookmarkEnd w:id="191"/>
      <w:bookmarkEnd w:id="192"/>
      <w:bookmarkEnd w:id="193"/>
      <w:bookmarkEnd w:id="194"/>
      <w:bookmarkEnd w:id="195"/>
      <w:bookmarkEnd w:id="196"/>
      <w:r>
        <w:rPr>
          <w:rFonts w:hint="eastAsia" w:ascii="宋体" w:hAnsi="宋体" w:cs="宋体"/>
          <w:b/>
          <w:sz w:val="24"/>
          <w:highlight w:val="none"/>
        </w:rPr>
        <w:t>和保密义务</w:t>
      </w:r>
      <w:bookmarkEnd w:id="197"/>
      <w:bookmarkEnd w:id="198"/>
      <w:bookmarkEnd w:id="199"/>
      <w:bookmarkEnd w:id="200"/>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2.7.1 乙方有权依据合同约定和项目需要，向甲方了解有关情况，调阅有关资料等，甲方应予积极配合；</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2.7.2 乙方有义务妥善保管和保护由甲方提供的前款信息和资料等；</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cs="宋体"/>
          <w:b/>
          <w:sz w:val="24"/>
          <w:highlight w:val="none"/>
        </w:rPr>
      </w:pPr>
      <w:bookmarkStart w:id="201" w:name="_Toc7860"/>
      <w:bookmarkStart w:id="202" w:name="_Toc18023"/>
      <w:r>
        <w:rPr>
          <w:rFonts w:hint="eastAsia" w:ascii="宋体" w:hAnsi="宋体" w:cs="宋体"/>
          <w:b/>
          <w:sz w:val="24"/>
          <w:highlight w:val="none"/>
        </w:rPr>
        <w:t>2.8 质量保证</w:t>
      </w:r>
      <w:bookmarkEnd w:id="201"/>
      <w:bookmarkEnd w:id="202"/>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cs="宋体"/>
          <w:b/>
          <w:sz w:val="24"/>
          <w:highlight w:val="none"/>
        </w:rPr>
      </w:pPr>
      <w:bookmarkStart w:id="203" w:name="_Toc17244"/>
      <w:bookmarkStart w:id="204" w:name="_Toc4294"/>
      <w:bookmarkStart w:id="205" w:name="_Toc487900362"/>
      <w:bookmarkStart w:id="206" w:name="_Toc259093681"/>
      <w:bookmarkStart w:id="207" w:name="_Toc279701252"/>
      <w:r>
        <w:rPr>
          <w:rFonts w:hint="eastAsia" w:ascii="宋体" w:hAnsi="宋体" w:cs="宋体"/>
          <w:b/>
          <w:sz w:val="24"/>
          <w:highlight w:val="none"/>
        </w:rPr>
        <w:t>2.9 货物的风险负担</w:t>
      </w:r>
      <w:bookmarkEnd w:id="203"/>
      <w:bookmarkEnd w:id="204"/>
    </w:p>
    <w:p>
      <w:pPr>
        <w:spacing w:line="560" w:lineRule="exact"/>
        <w:ind w:firstLine="480" w:firstLineChars="200"/>
        <w:rPr>
          <w:rFonts w:hint="eastAsia" w:ascii="宋体" w:hAnsi="宋体" w:cs="宋体"/>
          <w:b/>
          <w:sz w:val="24"/>
          <w:highlight w:val="none"/>
        </w:rPr>
      </w:pPr>
      <w:r>
        <w:rPr>
          <w:rFonts w:hint="eastAsia" w:ascii="宋体" w:hAnsi="宋体" w:cs="宋体"/>
          <w:sz w:val="24"/>
          <w:highlight w:val="none"/>
        </w:rPr>
        <w:t>货物或者在途货物或者交付给第一承运人后的货物毁损、灭失的风险负担详见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outlineLvl w:val="0"/>
        <w:rPr>
          <w:rFonts w:hint="eastAsia" w:ascii="宋体" w:hAnsi="宋体" w:cs="宋体"/>
          <w:b/>
          <w:sz w:val="24"/>
          <w:highlight w:val="none"/>
        </w:rPr>
      </w:pPr>
      <w:bookmarkStart w:id="208" w:name="_Toc25091"/>
      <w:bookmarkStart w:id="209" w:name="_Toc14055"/>
      <w:r>
        <w:rPr>
          <w:rFonts w:hint="eastAsia" w:ascii="宋体" w:hAnsi="宋体" w:cs="宋体"/>
          <w:b/>
          <w:sz w:val="24"/>
          <w:highlight w:val="none"/>
        </w:rPr>
        <w:t>2.10 延迟交货</w:t>
      </w:r>
      <w:bookmarkEnd w:id="205"/>
      <w:bookmarkEnd w:id="206"/>
      <w:bookmarkEnd w:id="207"/>
      <w:bookmarkEnd w:id="208"/>
      <w:bookmarkEnd w:id="209"/>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cs="宋体"/>
          <w:b/>
          <w:sz w:val="24"/>
          <w:highlight w:val="none"/>
        </w:rPr>
      </w:pPr>
      <w:bookmarkStart w:id="210" w:name="_Toc7502"/>
      <w:bookmarkStart w:id="211" w:name="_Toc17013"/>
      <w:bookmarkStart w:id="212" w:name="_Toc279701254"/>
      <w:bookmarkStart w:id="213" w:name="_Ref467378121"/>
      <w:bookmarkStart w:id="214" w:name="_Toc259093683"/>
      <w:bookmarkStart w:id="215" w:name="_Toc487900364"/>
      <w:r>
        <w:rPr>
          <w:rFonts w:hint="eastAsia" w:ascii="宋体" w:hAnsi="宋体" w:cs="宋体"/>
          <w:b/>
          <w:sz w:val="24"/>
          <w:highlight w:val="none"/>
        </w:rPr>
        <w:t>2.11 合同变更</w:t>
      </w:r>
      <w:bookmarkEnd w:id="210"/>
      <w:bookmarkEnd w:id="211"/>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6" w:name="_Toc487900369"/>
      <w:bookmarkStart w:id="217" w:name="_Toc279701259"/>
      <w:bookmarkStart w:id="218" w:name="_Toc259093688"/>
    </w:p>
    <w:p>
      <w:pPr>
        <w:spacing w:line="560" w:lineRule="exact"/>
        <w:ind w:firstLine="482" w:firstLineChars="200"/>
        <w:outlineLvl w:val="0"/>
        <w:rPr>
          <w:rFonts w:hint="eastAsia" w:ascii="宋体" w:hAnsi="宋体" w:cs="宋体"/>
          <w:b/>
          <w:sz w:val="24"/>
          <w:highlight w:val="none"/>
        </w:rPr>
      </w:pPr>
      <w:bookmarkStart w:id="219" w:name="_Toc10366"/>
      <w:bookmarkStart w:id="220" w:name="_Toc13585"/>
      <w:bookmarkStart w:id="221" w:name="_Toc22955"/>
      <w:bookmarkStart w:id="222" w:name="_Toc15237"/>
      <w:r>
        <w:rPr>
          <w:rFonts w:hint="eastAsia" w:ascii="宋体" w:hAnsi="宋体" w:cs="宋体"/>
          <w:b/>
          <w:sz w:val="24"/>
          <w:highlight w:val="none"/>
        </w:rPr>
        <w:t>2.12 合同转让</w:t>
      </w:r>
      <w:bookmarkEnd w:id="216"/>
      <w:bookmarkEnd w:id="217"/>
      <w:bookmarkEnd w:id="218"/>
      <w:r>
        <w:rPr>
          <w:rFonts w:hint="eastAsia" w:ascii="宋体" w:hAnsi="宋体" w:cs="宋体"/>
          <w:b/>
          <w:sz w:val="24"/>
          <w:highlight w:val="none"/>
        </w:rPr>
        <w:t>和分包</w:t>
      </w:r>
      <w:bookmarkEnd w:id="219"/>
      <w:bookmarkEnd w:id="220"/>
      <w:bookmarkEnd w:id="221"/>
      <w:bookmarkEnd w:id="222"/>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cs="宋体"/>
          <w:b/>
          <w:sz w:val="24"/>
          <w:highlight w:val="none"/>
        </w:rPr>
      </w:pPr>
      <w:bookmarkStart w:id="223" w:name="_Toc14066"/>
      <w:bookmarkStart w:id="224" w:name="_Toc12306"/>
      <w:bookmarkStart w:id="225" w:name="_Toc13566"/>
      <w:bookmarkStart w:id="226" w:name="_Toc16508"/>
      <w:r>
        <w:rPr>
          <w:rFonts w:hint="eastAsia" w:ascii="宋体" w:hAnsi="宋体" w:cs="宋体"/>
          <w:b/>
          <w:sz w:val="24"/>
          <w:highlight w:val="none"/>
        </w:rPr>
        <w:t>2.13 不可抗力</w:t>
      </w:r>
      <w:bookmarkEnd w:id="223"/>
      <w:bookmarkEnd w:id="224"/>
      <w:bookmarkEnd w:id="225"/>
      <w:bookmarkEnd w:id="226"/>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2.13.2 因不可抗力致使不能实现合同目的的，当事人可以解除合同；</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2.13.3 因不可抗力致使合同有变更必要的，双方当事人应在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约定时间内以书面形式变更合同；</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2.13.4受不可抗力影响的一方在不可抗力发生后，应在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约定时间内以书面形式通知对方当事人，并在</w:t>
      </w:r>
      <w:r>
        <w:rPr>
          <w:rFonts w:hint="eastAsia" w:ascii="宋体" w:hAnsi="宋体" w:cs="宋体"/>
          <w:b/>
          <w:i/>
          <w:sz w:val="24"/>
          <w:highlight w:val="none"/>
          <w:u w:val="single"/>
        </w:rPr>
        <w:t>合同专用条款</w:t>
      </w:r>
      <w:r>
        <w:rPr>
          <w:rFonts w:hint="eastAsia" w:ascii="宋体" w:hAnsi="宋体" w:cs="宋体"/>
          <w:sz w:val="24"/>
          <w:highlight w:val="none"/>
        </w:rPr>
        <w:t>约定时间内，将有关部门出具的证明文件送达对方当事人。</w:t>
      </w:r>
    </w:p>
    <w:p>
      <w:pPr>
        <w:spacing w:line="560" w:lineRule="exact"/>
        <w:ind w:firstLine="482" w:firstLineChars="200"/>
        <w:outlineLvl w:val="0"/>
        <w:rPr>
          <w:rFonts w:hint="eastAsia" w:ascii="宋体" w:hAnsi="宋体" w:cs="宋体"/>
          <w:b/>
          <w:sz w:val="24"/>
          <w:highlight w:val="none"/>
        </w:rPr>
      </w:pPr>
      <w:bookmarkStart w:id="227" w:name="_Toc30676"/>
      <w:bookmarkStart w:id="228" w:name="_Toc6969"/>
      <w:bookmarkStart w:id="229" w:name="_Toc689"/>
      <w:bookmarkStart w:id="230" w:name="_Toc259093684"/>
      <w:bookmarkStart w:id="231" w:name="_Toc279701255"/>
      <w:bookmarkStart w:id="232" w:name="_Toc23171"/>
      <w:bookmarkStart w:id="233" w:name="_Toc487900365"/>
      <w:r>
        <w:rPr>
          <w:rFonts w:hint="eastAsia" w:ascii="宋体" w:hAnsi="宋体" w:cs="宋体"/>
          <w:b/>
          <w:sz w:val="24"/>
          <w:highlight w:val="none"/>
        </w:rPr>
        <w:t>2.14 税费</w:t>
      </w:r>
      <w:bookmarkEnd w:id="227"/>
      <w:bookmarkEnd w:id="228"/>
      <w:bookmarkEnd w:id="229"/>
      <w:bookmarkEnd w:id="230"/>
      <w:bookmarkEnd w:id="231"/>
      <w:bookmarkEnd w:id="232"/>
      <w:bookmarkEnd w:id="233"/>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560" w:lineRule="exact"/>
        <w:ind w:firstLine="482" w:firstLineChars="200"/>
        <w:outlineLvl w:val="0"/>
        <w:rPr>
          <w:rFonts w:hint="eastAsia" w:ascii="宋体" w:hAnsi="宋体" w:cs="宋体"/>
          <w:b/>
          <w:sz w:val="24"/>
          <w:highlight w:val="none"/>
        </w:rPr>
      </w:pPr>
      <w:bookmarkStart w:id="234" w:name="_Toc279701258"/>
      <w:bookmarkStart w:id="235" w:name="_Toc3334"/>
      <w:bookmarkStart w:id="236" w:name="_Toc7102"/>
      <w:bookmarkStart w:id="237" w:name="_Toc259093687"/>
      <w:bookmarkStart w:id="238" w:name="_Toc487900368"/>
      <w:bookmarkStart w:id="239" w:name="_Toc8298"/>
      <w:bookmarkStart w:id="240" w:name="_Toc16959"/>
      <w:r>
        <w:rPr>
          <w:rFonts w:hint="eastAsia" w:ascii="宋体" w:hAnsi="宋体" w:cs="宋体"/>
          <w:b/>
          <w:sz w:val="24"/>
          <w:highlight w:val="none"/>
        </w:rPr>
        <w:t>2.15 乙方破产</w:t>
      </w:r>
      <w:bookmarkEnd w:id="234"/>
      <w:bookmarkEnd w:id="235"/>
      <w:bookmarkEnd w:id="236"/>
      <w:bookmarkEnd w:id="237"/>
      <w:bookmarkEnd w:id="238"/>
      <w:bookmarkEnd w:id="239"/>
      <w:bookmarkEnd w:id="240"/>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cs="宋体"/>
          <w:b/>
          <w:sz w:val="24"/>
          <w:highlight w:val="none"/>
        </w:rPr>
      </w:pPr>
      <w:bookmarkStart w:id="241" w:name="_Toc15387"/>
      <w:bookmarkStart w:id="242" w:name="_Toc6134"/>
      <w:bookmarkStart w:id="243" w:name="_Toc4970"/>
      <w:bookmarkStart w:id="244" w:name="_Toc29333"/>
      <w:r>
        <w:rPr>
          <w:rFonts w:hint="eastAsia" w:ascii="宋体" w:hAnsi="宋体" w:cs="宋体"/>
          <w:b/>
          <w:sz w:val="24"/>
          <w:highlight w:val="none"/>
        </w:rPr>
        <w:t>2.16 合同中止、终止</w:t>
      </w:r>
      <w:bookmarkEnd w:id="241"/>
      <w:bookmarkEnd w:id="242"/>
      <w:bookmarkEnd w:id="243"/>
      <w:bookmarkEnd w:id="244"/>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2.16.1 双方当事人不得擅自中止或者终止合同；</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cs="宋体"/>
          <w:b/>
          <w:sz w:val="24"/>
          <w:highlight w:val="none"/>
        </w:rPr>
      </w:pPr>
      <w:bookmarkStart w:id="245" w:name="_Toc14563"/>
      <w:bookmarkStart w:id="246" w:name="_Toc6596"/>
      <w:bookmarkStart w:id="247" w:name="_Toc19494"/>
      <w:bookmarkStart w:id="248" w:name="_Toc1125"/>
      <w:r>
        <w:rPr>
          <w:rFonts w:hint="eastAsia" w:ascii="宋体" w:hAnsi="宋体" w:cs="宋体"/>
          <w:b/>
          <w:sz w:val="24"/>
          <w:highlight w:val="none"/>
        </w:rPr>
        <w:t>2.17 检验和验收</w:t>
      </w:r>
      <w:bookmarkEnd w:id="245"/>
      <w:bookmarkEnd w:id="246"/>
      <w:bookmarkEnd w:id="247"/>
      <w:bookmarkEnd w:id="248"/>
    </w:p>
    <w:p>
      <w:pPr>
        <w:tabs>
          <w:tab w:val="left" w:pos="360"/>
          <w:tab w:val="left" w:pos="540"/>
          <w:tab w:val="left" w:pos="1080"/>
        </w:tabs>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2.17.1货物交付前，乙方应对货物的质量、数量等方面进行详细、全面的检验，并向甲方出具证明货物符合合同约定的文件；货物交付时，乙方在</w:t>
      </w:r>
      <w:r>
        <w:rPr>
          <w:rFonts w:hint="eastAsia" w:ascii="宋体" w:hAnsi="宋体" w:cs="宋体"/>
          <w:b/>
          <w:i/>
          <w:sz w:val="24"/>
          <w:highlight w:val="none"/>
          <w:u w:val="single"/>
        </w:rPr>
        <w:t>合同专用条款</w:t>
      </w:r>
      <w:r>
        <w:rPr>
          <w:rFonts w:hint="eastAsia" w:ascii="宋体" w:hAnsi="宋体" w:cs="宋体"/>
          <w:sz w:val="24"/>
          <w:highlight w:val="none"/>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2.17.3 检验和验收标准、程序等具体内容以及前述验收书的效力详见</w:t>
      </w:r>
      <w:r>
        <w:rPr>
          <w:rFonts w:hint="eastAsia" w:ascii="宋体" w:hAnsi="宋体" w:cs="宋体"/>
          <w:b/>
          <w:i/>
          <w:sz w:val="24"/>
          <w:highlight w:val="none"/>
          <w:u w:val="single"/>
        </w:rPr>
        <w:t>合同专用条款</w:t>
      </w:r>
      <w:r>
        <w:rPr>
          <w:rFonts w:hint="eastAsia" w:ascii="宋体" w:hAnsi="宋体" w:cs="宋体"/>
          <w:i/>
          <w:sz w:val="24"/>
          <w:highlight w:val="none"/>
        </w:rPr>
        <w:t>。</w:t>
      </w:r>
    </w:p>
    <w:bookmarkEnd w:id="212"/>
    <w:bookmarkEnd w:id="213"/>
    <w:bookmarkEnd w:id="214"/>
    <w:bookmarkEnd w:id="215"/>
    <w:p>
      <w:pPr>
        <w:spacing w:line="560" w:lineRule="exact"/>
        <w:ind w:firstLine="482" w:firstLineChars="200"/>
        <w:outlineLvl w:val="0"/>
        <w:rPr>
          <w:rFonts w:hint="eastAsia" w:ascii="宋体" w:hAnsi="宋体" w:cs="宋体"/>
          <w:b/>
          <w:sz w:val="24"/>
          <w:highlight w:val="none"/>
        </w:rPr>
      </w:pPr>
      <w:bookmarkStart w:id="249" w:name="_Toc487900371"/>
      <w:bookmarkStart w:id="250" w:name="_Toc279701261"/>
      <w:bookmarkStart w:id="251" w:name="_Toc259093690"/>
      <w:bookmarkStart w:id="252" w:name="_Toc19604"/>
      <w:bookmarkStart w:id="253" w:name="_Toc3371"/>
      <w:bookmarkStart w:id="254" w:name="_Toc11284"/>
      <w:bookmarkStart w:id="255" w:name="_Toc25182"/>
      <w:r>
        <w:rPr>
          <w:rFonts w:hint="eastAsia" w:ascii="宋体" w:hAnsi="宋体" w:cs="宋体"/>
          <w:b/>
          <w:sz w:val="24"/>
          <w:highlight w:val="none"/>
        </w:rPr>
        <w:t>2.18 通知</w:t>
      </w:r>
      <w:bookmarkEnd w:id="249"/>
      <w:bookmarkEnd w:id="250"/>
      <w:bookmarkEnd w:id="251"/>
      <w:r>
        <w:rPr>
          <w:rFonts w:hint="eastAsia" w:ascii="宋体" w:hAnsi="宋体" w:cs="宋体"/>
          <w:b/>
          <w:sz w:val="24"/>
          <w:highlight w:val="none"/>
        </w:rPr>
        <w:t>和送达</w:t>
      </w:r>
      <w:bookmarkEnd w:id="252"/>
      <w:bookmarkEnd w:id="253"/>
      <w:bookmarkEnd w:id="254"/>
      <w:bookmarkEnd w:id="255"/>
    </w:p>
    <w:p>
      <w:pPr>
        <w:spacing w:line="560" w:lineRule="exact"/>
        <w:ind w:firstLine="480" w:firstLineChars="200"/>
        <w:rPr>
          <w:rFonts w:hint="eastAsia" w:ascii="宋体" w:hAnsi="宋体" w:cs="宋体"/>
          <w:sz w:val="24"/>
          <w:highlight w:val="none"/>
        </w:rPr>
      </w:pPr>
      <w:bookmarkStart w:id="256" w:name="_Toc3135"/>
      <w:bookmarkStart w:id="257" w:name="_Toc6698"/>
      <w:bookmarkStart w:id="258" w:name="_Toc259093691"/>
      <w:bookmarkStart w:id="259" w:name="_Toc279701262"/>
      <w:bookmarkStart w:id="260" w:name="_Toc487900372"/>
      <w:r>
        <w:rPr>
          <w:rFonts w:hint="eastAsia" w:ascii="宋体" w:hAnsi="宋体" w:cs="宋体"/>
          <w:sz w:val="24"/>
          <w:highlight w:val="none"/>
        </w:rPr>
        <w:t>2.18.1 任何一方因履行合同而以合同第一部分尾部所列明的</w:t>
      </w:r>
      <w:r>
        <w:rPr>
          <w:rFonts w:hint="eastAsia" w:ascii="宋体" w:hAnsi="宋体" w:cs="宋体"/>
          <w:sz w:val="24"/>
          <w:highlight w:val="none"/>
          <w:u w:val="single"/>
        </w:rPr>
        <w:t xml:space="preserve">          </w:t>
      </w:r>
      <w:r>
        <w:rPr>
          <w:rFonts w:hint="eastAsia" w:ascii="宋体" w:hAnsi="宋体" w:cs="宋体"/>
          <w:sz w:val="24"/>
          <w:highlight w:val="none"/>
        </w:rPr>
        <w:t>发出的所有通知、文件、材料，均视为已向对方当事人送达；任何一方变更上述送达方式或者地址的，应于</w:t>
      </w:r>
      <w:r>
        <w:rPr>
          <w:rFonts w:hint="eastAsia" w:ascii="宋体" w:hAnsi="宋体" w:cs="宋体"/>
          <w:sz w:val="24"/>
          <w:highlight w:val="none"/>
          <w:u w:val="single"/>
        </w:rPr>
        <w:t xml:space="preserve">   </w:t>
      </w:r>
      <w:r>
        <w:rPr>
          <w:rFonts w:hint="eastAsia" w:ascii="宋体" w:hAnsi="宋体" w:cs="宋体"/>
          <w:sz w:val="24"/>
          <w:highlight w:val="none"/>
        </w:rPr>
        <w:t>个工作日内书面通知对方当事人，在对方当事人收到有关变更通知之前，变更前的约定送达方式或者地址仍视为有效。</w:t>
      </w:r>
      <w:bookmarkEnd w:id="256"/>
      <w:bookmarkEnd w:id="257"/>
    </w:p>
    <w:p>
      <w:pPr>
        <w:spacing w:line="560" w:lineRule="exact"/>
        <w:ind w:firstLine="480" w:firstLineChars="200"/>
        <w:rPr>
          <w:rFonts w:hint="eastAsia" w:ascii="宋体" w:hAnsi="宋体" w:cs="宋体"/>
          <w:sz w:val="24"/>
          <w:highlight w:val="none"/>
        </w:rPr>
      </w:pPr>
      <w:bookmarkStart w:id="261" w:name="_Toc23128"/>
      <w:bookmarkStart w:id="262" w:name="_Toc23294"/>
      <w:r>
        <w:rPr>
          <w:rFonts w:hint="eastAsia" w:ascii="宋体" w:hAnsi="宋体" w:cs="宋体"/>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1"/>
      <w:bookmarkEnd w:id="262"/>
    </w:p>
    <w:p>
      <w:pPr>
        <w:spacing w:line="560" w:lineRule="exact"/>
        <w:ind w:firstLine="482" w:firstLineChars="200"/>
        <w:outlineLvl w:val="0"/>
        <w:rPr>
          <w:rFonts w:hint="eastAsia" w:ascii="宋体" w:hAnsi="宋体" w:cs="宋体"/>
          <w:b/>
          <w:sz w:val="24"/>
          <w:highlight w:val="none"/>
        </w:rPr>
      </w:pPr>
      <w:bookmarkStart w:id="263" w:name="_Toc4355"/>
      <w:bookmarkStart w:id="264" w:name="_Toc23451"/>
      <w:bookmarkStart w:id="265" w:name="_Toc30599"/>
      <w:bookmarkStart w:id="266" w:name="_Toc18540"/>
      <w:r>
        <w:rPr>
          <w:rFonts w:hint="eastAsia" w:ascii="宋体" w:hAnsi="宋体" w:cs="宋体"/>
          <w:b/>
          <w:sz w:val="24"/>
          <w:highlight w:val="none"/>
        </w:rPr>
        <w:t>2.19 计量单位</w:t>
      </w:r>
      <w:bookmarkEnd w:id="258"/>
      <w:bookmarkEnd w:id="259"/>
      <w:bookmarkEnd w:id="260"/>
      <w:bookmarkEnd w:id="263"/>
      <w:bookmarkEnd w:id="264"/>
      <w:bookmarkEnd w:id="265"/>
      <w:bookmarkEnd w:id="266"/>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pPr>
        <w:spacing w:line="560" w:lineRule="exact"/>
        <w:ind w:firstLine="482" w:firstLineChars="200"/>
        <w:outlineLvl w:val="0"/>
        <w:rPr>
          <w:rFonts w:hint="eastAsia" w:ascii="宋体" w:hAnsi="宋体" w:cs="宋体"/>
          <w:b/>
          <w:sz w:val="24"/>
          <w:highlight w:val="none"/>
        </w:rPr>
      </w:pPr>
      <w:bookmarkStart w:id="267" w:name="_Toc10330"/>
      <w:bookmarkStart w:id="268" w:name="_Toc577"/>
      <w:bookmarkStart w:id="269" w:name="_Toc12773"/>
      <w:bookmarkStart w:id="270" w:name="_Toc279701263"/>
      <w:bookmarkStart w:id="271" w:name="_Toc18567"/>
      <w:bookmarkStart w:id="272" w:name="_Toc259093692"/>
      <w:bookmarkStart w:id="273" w:name="_Toc487900373"/>
      <w:r>
        <w:rPr>
          <w:rFonts w:hint="eastAsia" w:ascii="宋体" w:hAnsi="宋体" w:cs="宋体"/>
          <w:b/>
          <w:sz w:val="24"/>
          <w:highlight w:val="none"/>
        </w:rPr>
        <w:t>2.20 合同使用的文字和适用的法律</w:t>
      </w:r>
      <w:bookmarkEnd w:id="267"/>
      <w:bookmarkEnd w:id="268"/>
      <w:bookmarkEnd w:id="269"/>
      <w:bookmarkEnd w:id="270"/>
      <w:bookmarkEnd w:id="271"/>
      <w:bookmarkEnd w:id="272"/>
      <w:bookmarkEnd w:id="273"/>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2.20.1 合同使用汉语书就、变更和解释；</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2.20.2 合同适用中华人民共和国法律。</w:t>
      </w:r>
    </w:p>
    <w:p>
      <w:pPr>
        <w:spacing w:line="560" w:lineRule="exact"/>
        <w:ind w:firstLine="482" w:firstLineChars="200"/>
        <w:outlineLvl w:val="0"/>
        <w:rPr>
          <w:rFonts w:hint="eastAsia" w:ascii="宋体" w:hAnsi="宋体" w:cs="宋体"/>
          <w:b/>
          <w:sz w:val="24"/>
          <w:highlight w:val="none"/>
        </w:rPr>
      </w:pPr>
      <w:bookmarkStart w:id="274" w:name="_Toc279701264"/>
      <w:bookmarkStart w:id="275" w:name="_Toc17701"/>
      <w:bookmarkStart w:id="276" w:name="_Toc16673"/>
      <w:bookmarkStart w:id="277" w:name="_Toc259093693"/>
      <w:bookmarkStart w:id="278" w:name="_Toc3148"/>
      <w:bookmarkStart w:id="279" w:name="_Toc12004"/>
      <w:bookmarkStart w:id="280" w:name="_Toc487900374"/>
      <w:r>
        <w:rPr>
          <w:rFonts w:hint="eastAsia" w:ascii="宋体" w:hAnsi="宋体" w:cs="宋体"/>
          <w:b/>
          <w:sz w:val="24"/>
          <w:highlight w:val="none"/>
        </w:rPr>
        <w:t>2.21 履约保证金</w:t>
      </w:r>
      <w:bookmarkEnd w:id="274"/>
      <w:bookmarkEnd w:id="275"/>
      <w:bookmarkEnd w:id="276"/>
      <w:bookmarkEnd w:id="277"/>
      <w:bookmarkEnd w:id="278"/>
      <w:bookmarkEnd w:id="279"/>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2.21.1 采购文件要求乙方提交履约保证金的，乙方应按</w:t>
      </w:r>
      <w:r>
        <w:rPr>
          <w:rFonts w:hint="eastAsia" w:ascii="宋体" w:hAnsi="宋体" w:cs="宋体"/>
          <w:b/>
          <w:i/>
          <w:sz w:val="24"/>
          <w:highlight w:val="none"/>
          <w:u w:val="single"/>
        </w:rPr>
        <w:t>合同专用条款</w:t>
      </w:r>
      <w:r>
        <w:rPr>
          <w:rFonts w:hint="eastAsia" w:ascii="宋体" w:hAnsi="宋体" w:cs="宋体"/>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2.21.2  履约保证金在</w:t>
      </w:r>
      <w:r>
        <w:rPr>
          <w:rFonts w:hint="eastAsia" w:ascii="宋体" w:hAnsi="宋体" w:cs="宋体"/>
          <w:b/>
          <w:i/>
          <w:sz w:val="24"/>
          <w:highlight w:val="none"/>
          <w:u w:val="single"/>
        </w:rPr>
        <w:t>合同专用条款</w:t>
      </w:r>
      <w:r>
        <w:rPr>
          <w:rFonts w:hint="eastAsia" w:ascii="宋体" w:hAnsi="宋体" w:cs="宋体"/>
          <w:sz w:val="24"/>
          <w:highlight w:val="none"/>
        </w:rPr>
        <w:t>约定期间内或者货物质量保证期内不予退还或者应完全有效，前述约定期间届满或者货物质量保证期届满之日起</w:t>
      </w:r>
      <w:r>
        <w:rPr>
          <w:rFonts w:hint="eastAsia" w:ascii="宋体" w:hAnsi="宋体" w:cs="宋体"/>
          <w:sz w:val="24"/>
          <w:highlight w:val="none"/>
          <w:u w:val="single"/>
        </w:rPr>
        <w:t xml:space="preserve">  </w:t>
      </w:r>
      <w:r>
        <w:rPr>
          <w:rFonts w:hint="eastAsia" w:ascii="宋体" w:hAnsi="宋体" w:cs="宋体"/>
          <w:sz w:val="24"/>
          <w:highlight w:val="none"/>
        </w:rPr>
        <w:t>个工作日内，甲方应将履约保证金退还乙方；</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80"/>
    <w:p>
      <w:pPr>
        <w:spacing w:line="560" w:lineRule="exact"/>
        <w:ind w:firstLine="482" w:firstLineChars="200"/>
        <w:outlineLvl w:val="0"/>
        <w:rPr>
          <w:rFonts w:hint="eastAsia" w:ascii="宋体" w:hAnsi="宋体" w:cs="宋体"/>
          <w:b/>
          <w:sz w:val="24"/>
          <w:highlight w:val="none"/>
        </w:rPr>
      </w:pPr>
      <w:bookmarkStart w:id="281" w:name="_Toc6885"/>
      <w:bookmarkStart w:id="282" w:name="_Toc20967"/>
      <w:bookmarkStart w:id="283" w:name="_Toc14001"/>
      <w:bookmarkStart w:id="284" w:name="_Toc19890"/>
      <w:r>
        <w:rPr>
          <w:rFonts w:hint="eastAsia" w:ascii="宋体" w:hAnsi="宋体" w:cs="宋体"/>
          <w:b/>
          <w:sz w:val="24"/>
          <w:highlight w:val="none"/>
        </w:rPr>
        <w:t>2.22 合同份数</w:t>
      </w:r>
      <w:bookmarkEnd w:id="281"/>
      <w:bookmarkEnd w:id="282"/>
      <w:bookmarkEnd w:id="283"/>
      <w:bookmarkEnd w:id="284"/>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合同份数按</w:t>
      </w:r>
      <w:r>
        <w:rPr>
          <w:rFonts w:hint="eastAsia" w:ascii="宋体" w:hAnsi="宋体" w:cs="宋体"/>
          <w:b/>
          <w:i/>
          <w:sz w:val="24"/>
          <w:highlight w:val="none"/>
          <w:u w:val="single"/>
        </w:rPr>
        <w:t>合同专用条款</w:t>
      </w:r>
      <w:r>
        <w:rPr>
          <w:rFonts w:hint="eastAsia" w:ascii="宋体" w:hAnsi="宋体" w:cs="宋体"/>
          <w:sz w:val="24"/>
          <w:highlight w:val="none"/>
        </w:rPr>
        <w:t>规定，每份均具有同等法律效力。</w:t>
      </w:r>
    </w:p>
    <w:p>
      <w:pPr>
        <w:pStyle w:val="27"/>
        <w:spacing w:line="560" w:lineRule="exact"/>
        <w:ind w:firstLine="0"/>
        <w:jc w:val="center"/>
        <w:outlineLvl w:val="0"/>
        <w:rPr>
          <w:rFonts w:hint="eastAsia" w:hAnsi="宋体" w:cs="宋体"/>
          <w:b/>
          <w:szCs w:val="24"/>
          <w:highlight w:val="none"/>
        </w:rPr>
      </w:pPr>
      <w:r>
        <w:rPr>
          <w:rFonts w:hint="eastAsia" w:hAnsi="宋体" w:cs="宋体"/>
          <w:szCs w:val="24"/>
          <w:highlight w:val="none"/>
        </w:rPr>
        <w:br w:type="page"/>
      </w:r>
      <w:bookmarkStart w:id="285" w:name="_Toc331685784"/>
      <w:bookmarkStart w:id="286" w:name="_Toc32131"/>
      <w:r>
        <w:rPr>
          <w:rFonts w:hint="eastAsia" w:hAnsi="宋体" w:cs="宋体"/>
          <w:b/>
          <w:szCs w:val="24"/>
          <w:highlight w:val="none"/>
        </w:rPr>
        <w:t>第三部分  合同专用条款</w:t>
      </w:r>
      <w:bookmarkEnd w:id="285"/>
      <w:bookmarkEnd w:id="286"/>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9"/>
        <w:tblpPr w:leftFromText="180" w:rightFromText="180" w:vertAnchor="text" w:horzAnchor="page" w:tblpXSpec="center" w:tblpY="546"/>
        <w:tblOverlap w:val="neve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71"/>
        <w:gridCol w:w="83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71" w:type="dxa"/>
            <w:tcBorders>
              <w:left w:val="single" w:color="auto" w:sz="4" w:space="0"/>
            </w:tcBorders>
            <w:noWrap w:val="0"/>
            <w:vAlign w:val="center"/>
          </w:tcPr>
          <w:p>
            <w:pPr>
              <w:spacing w:line="560" w:lineRule="exact"/>
              <w:jc w:val="center"/>
              <w:rPr>
                <w:rFonts w:hint="eastAsia" w:ascii="宋体" w:hAnsi="宋体" w:cs="宋体"/>
                <w:b/>
                <w:sz w:val="24"/>
                <w:highlight w:val="none"/>
              </w:rPr>
            </w:pPr>
            <w:r>
              <w:rPr>
                <w:rFonts w:hint="eastAsia" w:ascii="宋体" w:hAnsi="宋体" w:cs="宋体"/>
                <w:b/>
                <w:sz w:val="24"/>
                <w:highlight w:val="none"/>
              </w:rPr>
              <w:t>条款号</w:t>
            </w:r>
          </w:p>
        </w:tc>
        <w:tc>
          <w:tcPr>
            <w:tcW w:w="8308" w:type="dxa"/>
            <w:noWrap w:val="0"/>
            <w:vAlign w:val="center"/>
          </w:tcPr>
          <w:p>
            <w:pPr>
              <w:spacing w:line="560" w:lineRule="exact"/>
              <w:jc w:val="center"/>
              <w:rPr>
                <w:rFonts w:hint="eastAsia" w:ascii="宋体" w:hAnsi="宋体" w:cs="宋体"/>
                <w:b/>
                <w:sz w:val="24"/>
                <w:highlight w:val="none"/>
              </w:rPr>
            </w:pPr>
            <w:r>
              <w:rPr>
                <w:rFonts w:hint="eastAsia" w:ascii="宋体" w:hAnsi="宋体" w:cs="宋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7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8308"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7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8308"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7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8308"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7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8308"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7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8308" w:type="dxa"/>
            <w:noWrap w:val="0"/>
            <w:vAlign w:val="center"/>
          </w:tcPr>
          <w:p>
            <w:pPr>
              <w:spacing w:line="560" w:lineRule="exact"/>
              <w:rPr>
                <w:rFonts w:hint="eastAsia"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7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8308"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7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8308" w:type="dxa"/>
            <w:noWrap w:val="0"/>
            <w:vAlign w:val="center"/>
          </w:tcPr>
          <w:p>
            <w:pPr>
              <w:spacing w:line="560" w:lineRule="exact"/>
              <w:rPr>
                <w:rFonts w:hint="eastAsia"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7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8308"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7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8308"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7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8308"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7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sz w:val="24"/>
                <w:highlight w:val="none"/>
              </w:rPr>
            </w:pPr>
          </w:p>
        </w:tc>
        <w:tc>
          <w:tcPr>
            <w:tcW w:w="8308"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7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sz w:val="24"/>
                <w:highlight w:val="none"/>
              </w:rPr>
            </w:pPr>
          </w:p>
        </w:tc>
        <w:tc>
          <w:tcPr>
            <w:tcW w:w="8308"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sz w:val="24"/>
                <w:highlight w:val="none"/>
              </w:rPr>
            </w:pPr>
          </w:p>
        </w:tc>
      </w:tr>
    </w:tbl>
    <w:p>
      <w:pPr>
        <w:spacing w:after="156" w:line="560" w:lineRule="exact"/>
        <w:ind w:firstLine="480"/>
        <w:rPr>
          <w:rFonts w:hint="eastAsia" w:ascii="宋体" w:hAnsi="宋体" w:cs="宋体"/>
          <w:highlight w:val="none"/>
        </w:rPr>
      </w:pPr>
    </w:p>
    <w:p>
      <w:pPr>
        <w:pStyle w:val="4"/>
        <w:spacing w:before="0" w:line="240" w:lineRule="atLeast"/>
        <w:ind w:left="1080" w:leftChars="257" w:hanging="540"/>
        <w:outlineLvl w:val="9"/>
        <w:rPr>
          <w:rFonts w:hint="eastAsia" w:ascii="宋体" w:hAnsi="宋体" w:eastAsia="宋体" w:cs="宋体"/>
          <w:sz w:val="24"/>
          <w:highlight w:val="none"/>
        </w:rPr>
      </w:pPr>
    </w:p>
    <w:p>
      <w:pPr>
        <w:rPr>
          <w:rFonts w:hint="eastAsia" w:ascii="宋体" w:hAnsi="宋体" w:cs="宋体"/>
          <w:highlight w:val="none"/>
        </w:rPr>
      </w:pPr>
    </w:p>
    <w:p>
      <w:pPr>
        <w:pStyle w:val="3"/>
        <w:numPr>
          <w:ilvl w:val="0"/>
          <w:numId w:val="0"/>
        </w:numPr>
        <w:spacing w:after="100" w:afterAutospacing="1" w:line="400" w:lineRule="atLeast"/>
        <w:jc w:val="center"/>
        <w:rPr>
          <w:rFonts w:ascii="宋体" w:hAnsi="宋体" w:cs="Arial"/>
          <w:sz w:val="32"/>
          <w:szCs w:val="32"/>
          <w:highlight w:val="none"/>
        </w:rPr>
      </w:pPr>
      <w:r>
        <w:rPr>
          <w:rFonts w:ascii="宋体" w:hAnsi="宋体" w:cs="Arial"/>
          <w:sz w:val="32"/>
          <w:szCs w:val="32"/>
          <w:highlight w:val="none"/>
        </w:rPr>
        <w:br w:type="page"/>
      </w:r>
      <w:bookmarkStart w:id="287" w:name="_Toc516489115"/>
      <w:bookmarkStart w:id="288" w:name="_Toc349573144"/>
      <w:bookmarkStart w:id="289" w:name="_Toc298240429"/>
      <w:bookmarkStart w:id="290" w:name="_Toc349637943"/>
      <w:bookmarkStart w:id="291" w:name="_Toc507690272"/>
      <w:bookmarkStart w:id="292" w:name="_Toc20084"/>
      <w:r>
        <w:rPr>
          <w:rFonts w:ascii="宋体" w:hAnsi="宋体" w:cs="Arial"/>
          <w:sz w:val="32"/>
          <w:szCs w:val="32"/>
          <w:highlight w:val="none"/>
        </w:rPr>
        <w:t>第</w:t>
      </w:r>
      <w:r>
        <w:rPr>
          <w:rFonts w:hint="eastAsia" w:ascii="宋体" w:hAnsi="宋体" w:cs="Arial"/>
          <w:sz w:val="32"/>
          <w:szCs w:val="32"/>
          <w:highlight w:val="none"/>
          <w:lang w:eastAsia="zh-CN"/>
        </w:rPr>
        <w:t>五</w:t>
      </w:r>
      <w:r>
        <w:rPr>
          <w:rFonts w:ascii="宋体" w:hAnsi="宋体" w:cs="Arial"/>
          <w:sz w:val="32"/>
          <w:szCs w:val="32"/>
          <w:highlight w:val="none"/>
        </w:rPr>
        <w:t>部分　范本格式</w:t>
      </w:r>
      <w:bookmarkEnd w:id="287"/>
      <w:bookmarkEnd w:id="288"/>
      <w:bookmarkEnd w:id="289"/>
      <w:bookmarkEnd w:id="290"/>
      <w:bookmarkEnd w:id="291"/>
      <w:bookmarkEnd w:id="292"/>
    </w:p>
    <w:p>
      <w:pPr>
        <w:spacing w:line="400" w:lineRule="atLeast"/>
        <w:jc w:val="center"/>
        <w:rPr>
          <w:rFonts w:ascii="宋体" w:hAnsi="宋体" w:cs="Arial"/>
          <w:sz w:val="24"/>
          <w:highlight w:val="none"/>
        </w:rPr>
      </w:pPr>
      <w:r>
        <w:rPr>
          <w:rFonts w:ascii="宋体" w:hAnsi="宋体" w:cs="Arial"/>
          <w:sz w:val="24"/>
          <w:highlight w:val="none"/>
        </w:rPr>
        <w:t xml:space="preserve">1、 </w:t>
      </w:r>
      <w:r>
        <w:rPr>
          <w:rFonts w:hint="eastAsia" w:ascii="宋体" w:hAnsi="宋体" w:cs="Arial"/>
          <w:sz w:val="24"/>
          <w:highlight w:val="none"/>
        </w:rPr>
        <w:t>磋商</w:t>
      </w:r>
      <w:r>
        <w:rPr>
          <w:rFonts w:ascii="宋体" w:hAnsi="宋体" w:cs="Arial"/>
          <w:sz w:val="24"/>
          <w:highlight w:val="none"/>
        </w:rPr>
        <w:t>响应书</w:t>
      </w:r>
    </w:p>
    <w:p>
      <w:pPr>
        <w:autoSpaceDE w:val="0"/>
        <w:autoSpaceDN w:val="0"/>
        <w:adjustRightInd w:val="0"/>
        <w:spacing w:line="400" w:lineRule="exact"/>
        <w:rPr>
          <w:rFonts w:ascii="宋体" w:hAnsi="宋体" w:cs="宋体"/>
          <w:kern w:val="0"/>
          <w:sz w:val="24"/>
          <w:highlight w:val="none"/>
          <w:lang w:val="zh-CN"/>
        </w:rPr>
      </w:pPr>
      <w:r>
        <w:rPr>
          <w:rFonts w:hint="eastAsia" w:ascii="宋体" w:hAnsi="宋体" w:cs="宋体"/>
          <w:kern w:val="0"/>
          <w:sz w:val="24"/>
          <w:highlight w:val="none"/>
          <w:lang w:val="zh-CN"/>
        </w:rPr>
        <w:t>致</w:t>
      </w:r>
      <w:r>
        <w:rPr>
          <w:rFonts w:hint="eastAsia" w:ascii="宋体" w:hAnsi="宋体" w:cs="宋体"/>
          <w:kern w:val="0"/>
          <w:sz w:val="24"/>
          <w:highlight w:val="none"/>
        </w:rPr>
        <w:t>新疆宣宇项目管理有限公司</w:t>
      </w:r>
      <w:r>
        <w:rPr>
          <w:rFonts w:hint="eastAsia" w:ascii="宋体" w:hAnsi="宋体" w:cs="宋体"/>
          <w:kern w:val="0"/>
          <w:sz w:val="24"/>
          <w:highlight w:val="none"/>
          <w:lang w:val="zh-CN"/>
        </w:rPr>
        <w:t xml:space="preserve">： </w:t>
      </w:r>
    </w:p>
    <w:p>
      <w:pPr>
        <w:autoSpaceDE w:val="0"/>
        <w:autoSpaceDN w:val="0"/>
        <w:adjustRightInd w:val="0"/>
        <w:spacing w:line="480" w:lineRule="exact"/>
        <w:jc w:val="left"/>
        <w:rPr>
          <w:rFonts w:ascii="宋体" w:hAnsi="宋体" w:cs="宋体"/>
          <w:kern w:val="0"/>
          <w:sz w:val="24"/>
          <w:highlight w:val="none"/>
          <w:lang w:val="zh-CN"/>
        </w:rPr>
      </w:pPr>
      <w:r>
        <w:rPr>
          <w:rFonts w:hint="eastAsia" w:ascii="宋体" w:hAnsi="宋体" w:cs="宋体"/>
          <w:kern w:val="0"/>
          <w:sz w:val="24"/>
          <w:highlight w:val="none"/>
          <w:lang w:val="zh-CN"/>
        </w:rPr>
        <w:t xml:space="preserve">    我们收到</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u w:val="single"/>
        </w:rPr>
        <w:t xml:space="preserve">                             磋商</w:t>
      </w:r>
      <w:r>
        <w:rPr>
          <w:rFonts w:hint="eastAsia" w:ascii="宋体" w:hAnsi="宋体" w:cs="宋体"/>
          <w:kern w:val="0"/>
          <w:sz w:val="24"/>
          <w:highlight w:val="none"/>
          <w:lang w:val="zh-CN"/>
        </w:rPr>
        <w:t>文件，经研究，法定代表人（姓名、职务）正式授权（委托代理人姓名、职务）代表供应商（供应商名称、地址）提交磋商响应文件。</w:t>
      </w:r>
    </w:p>
    <w:p>
      <w:pPr>
        <w:autoSpaceDE w:val="0"/>
        <w:autoSpaceDN w:val="0"/>
        <w:adjustRightInd w:val="0"/>
        <w:spacing w:line="480" w:lineRule="exact"/>
        <w:ind w:firstLine="480"/>
        <w:rPr>
          <w:rFonts w:ascii="宋体" w:hAnsi="宋体" w:cs="宋体"/>
          <w:kern w:val="0"/>
          <w:sz w:val="24"/>
          <w:highlight w:val="none"/>
          <w:lang w:val="zh-CN"/>
        </w:rPr>
      </w:pPr>
      <w:r>
        <w:rPr>
          <w:rFonts w:hint="eastAsia" w:ascii="宋体" w:hAnsi="宋体" w:cs="宋体"/>
          <w:kern w:val="0"/>
          <w:sz w:val="24"/>
          <w:highlight w:val="none"/>
          <w:lang w:val="zh-CN"/>
        </w:rPr>
        <w:t>据此函，签字代表宣布同意如下：</w:t>
      </w:r>
    </w:p>
    <w:p>
      <w:pPr>
        <w:autoSpaceDE w:val="0"/>
        <w:autoSpaceDN w:val="0"/>
        <w:adjustRightInd w:val="0"/>
        <w:spacing w:line="480" w:lineRule="exact"/>
        <w:ind w:firstLine="480"/>
        <w:rPr>
          <w:rFonts w:ascii="宋体" w:hAnsi="宋体" w:cs="宋体"/>
          <w:kern w:val="0"/>
          <w:sz w:val="24"/>
          <w:highlight w:val="none"/>
          <w:lang w:val="zh-CN"/>
        </w:rPr>
      </w:pPr>
      <w:r>
        <w:rPr>
          <w:rFonts w:hint="eastAsia" w:ascii="宋体" w:hAnsi="宋体" w:cs="宋体"/>
          <w:kern w:val="0"/>
          <w:sz w:val="24"/>
          <w:highlight w:val="none"/>
          <w:lang w:val="zh-CN"/>
        </w:rPr>
        <w:t>1.我方已详阅磋商文件的全部内容，包括澄清、修改条款等有关附件，承诺对其完全理解并接受。</w:t>
      </w:r>
    </w:p>
    <w:p>
      <w:pPr>
        <w:autoSpaceDE w:val="0"/>
        <w:autoSpaceDN w:val="0"/>
        <w:adjustRightInd w:val="0"/>
        <w:spacing w:line="480" w:lineRule="exact"/>
        <w:ind w:firstLine="480"/>
        <w:rPr>
          <w:rFonts w:ascii="宋体" w:hAnsi="宋体" w:cs="宋体"/>
          <w:kern w:val="0"/>
          <w:sz w:val="24"/>
          <w:highlight w:val="none"/>
          <w:lang w:val="zh-CN"/>
        </w:rPr>
      </w:pPr>
      <w:r>
        <w:rPr>
          <w:rFonts w:hint="eastAsia" w:ascii="宋体" w:hAnsi="宋体" w:cs="宋体"/>
          <w:kern w:val="0"/>
          <w:sz w:val="24"/>
          <w:highlight w:val="none"/>
          <w:lang w:val="zh-CN"/>
        </w:rPr>
        <w:t>2.投标有效期自开标之日起</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天内有效。如果在规定的开标时间后，我方在投标有效期内撤回投标或中标后不签约的，投标保证金将被贵方没收。</w:t>
      </w:r>
    </w:p>
    <w:p>
      <w:pPr>
        <w:autoSpaceDE w:val="0"/>
        <w:autoSpaceDN w:val="0"/>
        <w:adjustRightInd w:val="0"/>
        <w:spacing w:line="480" w:lineRule="exact"/>
        <w:ind w:firstLine="480"/>
        <w:rPr>
          <w:rFonts w:ascii="宋体" w:hAnsi="宋体" w:cs="宋体"/>
          <w:kern w:val="0"/>
          <w:sz w:val="24"/>
          <w:highlight w:val="none"/>
          <w:lang w:val="zh-CN"/>
        </w:rPr>
      </w:pPr>
      <w:r>
        <w:rPr>
          <w:rFonts w:hint="eastAsia" w:ascii="宋体" w:hAnsi="宋体" w:cs="宋体"/>
          <w:kern w:val="0"/>
          <w:sz w:val="24"/>
          <w:highlight w:val="none"/>
          <w:lang w:val="zh-CN"/>
        </w:rPr>
        <w:t>3.我方同意按照贵方要求提供与投标有关的一切数据或资料，理解并接受贵方制定的评标办法。</w:t>
      </w:r>
    </w:p>
    <w:p>
      <w:pPr>
        <w:autoSpaceDE w:val="0"/>
        <w:autoSpaceDN w:val="0"/>
        <w:adjustRightInd w:val="0"/>
        <w:spacing w:line="480" w:lineRule="exact"/>
        <w:ind w:firstLine="480"/>
        <w:rPr>
          <w:rFonts w:ascii="宋体" w:hAnsi="宋体" w:cs="宋体"/>
          <w:kern w:val="0"/>
          <w:sz w:val="24"/>
          <w:highlight w:val="none"/>
          <w:lang w:val="zh-CN"/>
        </w:rPr>
      </w:pPr>
      <w:r>
        <w:rPr>
          <w:rFonts w:hint="eastAsia" w:ascii="宋体" w:hAnsi="宋体" w:cs="宋体"/>
          <w:kern w:val="0"/>
          <w:sz w:val="24"/>
          <w:highlight w:val="none"/>
          <w:lang w:val="zh-CN"/>
        </w:rPr>
        <w:t>4.与本投标有关的一切正式往来通讯请寄：</w:t>
      </w:r>
    </w:p>
    <w:p>
      <w:pPr>
        <w:autoSpaceDE w:val="0"/>
        <w:autoSpaceDN w:val="0"/>
        <w:adjustRightInd w:val="0"/>
        <w:spacing w:line="400" w:lineRule="exact"/>
        <w:ind w:firstLine="480"/>
        <w:rPr>
          <w:rFonts w:ascii="宋体" w:hAnsi="宋体" w:cs="宋体"/>
          <w:kern w:val="0"/>
          <w:sz w:val="24"/>
          <w:highlight w:val="none"/>
          <w:lang w:val="zh-CN"/>
        </w:rPr>
      </w:pPr>
    </w:p>
    <w:p>
      <w:pPr>
        <w:autoSpaceDE w:val="0"/>
        <w:autoSpaceDN w:val="0"/>
        <w:adjustRightInd w:val="0"/>
        <w:spacing w:line="400" w:lineRule="exact"/>
        <w:rPr>
          <w:rFonts w:ascii="宋体" w:hAnsi="宋体" w:cs="宋体"/>
          <w:kern w:val="0"/>
          <w:sz w:val="24"/>
          <w:highlight w:val="none"/>
          <w:lang w:val="zh-CN"/>
        </w:rPr>
      </w:pPr>
    </w:p>
    <w:p>
      <w:pPr>
        <w:autoSpaceDE w:val="0"/>
        <w:autoSpaceDN w:val="0"/>
        <w:adjustRightInd w:val="0"/>
        <w:spacing w:line="400" w:lineRule="exact"/>
        <w:rPr>
          <w:rFonts w:ascii="宋体" w:hAnsi="宋体" w:cs="宋体"/>
          <w:kern w:val="0"/>
          <w:sz w:val="24"/>
          <w:highlight w:val="none"/>
          <w:lang w:val="zh-CN"/>
        </w:rPr>
      </w:pPr>
    </w:p>
    <w:p>
      <w:pPr>
        <w:autoSpaceDE w:val="0"/>
        <w:autoSpaceDN w:val="0"/>
        <w:adjustRightInd w:val="0"/>
        <w:spacing w:line="400" w:lineRule="exact"/>
        <w:rPr>
          <w:rFonts w:ascii="宋体" w:hAnsi="宋体" w:cs="宋体"/>
          <w:kern w:val="0"/>
          <w:sz w:val="24"/>
          <w:highlight w:val="none"/>
          <w:lang w:val="zh-CN"/>
        </w:rPr>
      </w:pPr>
      <w:r>
        <w:rPr>
          <w:rFonts w:hint="eastAsia" w:ascii="宋体" w:hAnsi="宋体" w:cs="宋体"/>
          <w:kern w:val="0"/>
          <w:sz w:val="24"/>
          <w:highlight w:val="none"/>
          <w:lang w:val="zh-CN"/>
        </w:rPr>
        <w:t>地址：_______________          邮编：______________</w:t>
      </w:r>
    </w:p>
    <w:p>
      <w:pPr>
        <w:autoSpaceDE w:val="0"/>
        <w:autoSpaceDN w:val="0"/>
        <w:adjustRightInd w:val="0"/>
        <w:spacing w:line="400" w:lineRule="exact"/>
        <w:rPr>
          <w:rFonts w:ascii="宋体" w:hAnsi="宋体" w:cs="宋体"/>
          <w:kern w:val="0"/>
          <w:sz w:val="24"/>
          <w:highlight w:val="none"/>
          <w:lang w:val="zh-CN"/>
        </w:rPr>
      </w:pPr>
      <w:r>
        <w:rPr>
          <w:rFonts w:hint="eastAsia" w:ascii="宋体" w:hAnsi="宋体" w:cs="宋体"/>
          <w:kern w:val="0"/>
          <w:sz w:val="24"/>
          <w:highlight w:val="none"/>
          <w:lang w:val="zh-CN"/>
        </w:rPr>
        <w:t>电话：_______________          传真：______________</w:t>
      </w:r>
    </w:p>
    <w:p>
      <w:pPr>
        <w:autoSpaceDE w:val="0"/>
        <w:autoSpaceDN w:val="0"/>
        <w:adjustRightInd w:val="0"/>
        <w:spacing w:line="400" w:lineRule="exact"/>
        <w:rPr>
          <w:rFonts w:ascii="宋体" w:hAnsi="宋体" w:cs="宋体"/>
          <w:kern w:val="0"/>
          <w:sz w:val="24"/>
          <w:highlight w:val="none"/>
          <w:lang w:val="zh-CN"/>
        </w:rPr>
      </w:pPr>
      <w:r>
        <w:rPr>
          <w:rFonts w:hint="eastAsia" w:ascii="宋体" w:hAnsi="宋体" w:cs="宋体"/>
          <w:kern w:val="0"/>
          <w:sz w:val="24"/>
          <w:highlight w:val="none"/>
          <w:lang w:val="zh-CN"/>
        </w:rPr>
        <w:t>法定代表人姓名： ___________   职务：____________</w:t>
      </w:r>
    </w:p>
    <w:p>
      <w:pPr>
        <w:autoSpaceDE w:val="0"/>
        <w:autoSpaceDN w:val="0"/>
        <w:adjustRightInd w:val="0"/>
        <w:spacing w:line="400" w:lineRule="exact"/>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pPr>
        <w:autoSpaceDE w:val="0"/>
        <w:autoSpaceDN w:val="0"/>
        <w:adjustRightInd w:val="0"/>
        <w:spacing w:line="400" w:lineRule="exact"/>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pPr>
        <w:autoSpaceDE w:val="0"/>
        <w:autoSpaceDN w:val="0"/>
        <w:adjustRightInd w:val="0"/>
        <w:spacing w:line="400" w:lineRule="exact"/>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pPr>
        <w:autoSpaceDE w:val="0"/>
        <w:autoSpaceDN w:val="0"/>
        <w:adjustRightInd w:val="0"/>
        <w:spacing w:line="400" w:lineRule="exact"/>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pPr>
        <w:autoSpaceDE w:val="0"/>
        <w:autoSpaceDN w:val="0"/>
        <w:adjustRightInd w:val="0"/>
        <w:spacing w:line="400" w:lineRule="exact"/>
        <w:rPr>
          <w:rFonts w:ascii="宋体" w:hAnsi="宋体" w:cs="宋体"/>
          <w:bCs/>
          <w:kern w:val="0"/>
          <w:sz w:val="24"/>
          <w:highlight w:val="none"/>
          <w:lang w:val="zh-CN"/>
        </w:rPr>
      </w:pPr>
      <w:r>
        <w:rPr>
          <w:rFonts w:hint="eastAsia" w:ascii="宋体" w:hAnsi="宋体" w:cs="宋体"/>
          <w:kern w:val="0"/>
          <w:sz w:val="24"/>
          <w:highlight w:val="none"/>
          <w:lang w:val="zh-CN"/>
        </w:rPr>
        <w:t xml:space="preserve">                       </w:t>
      </w:r>
      <w:r>
        <w:rPr>
          <w:rFonts w:hint="eastAsia" w:ascii="宋体" w:hAnsi="宋体" w:cs="宋体"/>
          <w:bCs/>
          <w:kern w:val="0"/>
          <w:sz w:val="24"/>
          <w:highlight w:val="none"/>
          <w:lang w:val="zh-CN"/>
        </w:rPr>
        <w:t>供应商：             （公章）</w:t>
      </w:r>
    </w:p>
    <w:p>
      <w:pPr>
        <w:autoSpaceDE w:val="0"/>
        <w:autoSpaceDN w:val="0"/>
        <w:adjustRightInd w:val="0"/>
        <w:spacing w:line="400" w:lineRule="exact"/>
        <w:rPr>
          <w:rFonts w:ascii="宋体" w:hAnsi="宋体" w:cs="宋体"/>
          <w:bCs/>
          <w:kern w:val="0"/>
          <w:sz w:val="24"/>
          <w:highlight w:val="none"/>
          <w:lang w:val="zh-CN"/>
        </w:rPr>
      </w:pPr>
      <w:r>
        <w:rPr>
          <w:rFonts w:hint="eastAsia" w:ascii="宋体" w:hAnsi="宋体" w:cs="宋体"/>
          <w:bCs/>
          <w:kern w:val="0"/>
          <w:sz w:val="24"/>
          <w:highlight w:val="none"/>
          <w:lang w:val="zh-CN"/>
        </w:rPr>
        <w:t xml:space="preserve">                       法定代表人或委托代理人：             （签字）</w:t>
      </w:r>
    </w:p>
    <w:p>
      <w:pPr>
        <w:spacing w:line="400" w:lineRule="atLeast"/>
        <w:rPr>
          <w:rFonts w:ascii="宋体" w:hAnsi="宋体" w:cs="Arial"/>
          <w:sz w:val="24"/>
          <w:highlight w:val="none"/>
        </w:rPr>
      </w:pPr>
      <w:r>
        <w:rPr>
          <w:rFonts w:hint="eastAsia" w:ascii="宋体" w:hAnsi="宋体" w:cs="宋体"/>
          <w:bCs/>
          <w:kern w:val="0"/>
          <w:sz w:val="24"/>
          <w:highlight w:val="none"/>
          <w:lang w:val="zh-CN"/>
        </w:rPr>
        <w:t xml:space="preserve">                                                年   月   日</w:t>
      </w:r>
    </w:p>
    <w:p>
      <w:pPr>
        <w:spacing w:line="400" w:lineRule="atLeast"/>
        <w:rPr>
          <w:rFonts w:ascii="宋体" w:hAnsi="宋体" w:cs="Arial"/>
          <w:sz w:val="24"/>
          <w:highlight w:val="none"/>
        </w:rPr>
        <w:sectPr>
          <w:footerReference r:id="rId8" w:type="first"/>
          <w:footerReference r:id="rId7" w:type="default"/>
          <w:pgSz w:w="11907" w:h="16840"/>
          <w:pgMar w:top="1440" w:right="1080" w:bottom="1440" w:left="1080" w:header="851" w:footer="68" w:gutter="0"/>
          <w:pgNumType w:fmt="decimal" w:start="31"/>
          <w:cols w:space="720" w:num="1"/>
          <w:titlePg/>
          <w:docGrid w:type="lines" w:linePitch="409" w:charSpace="0"/>
        </w:sectPr>
      </w:pPr>
    </w:p>
    <w:p>
      <w:pPr>
        <w:tabs>
          <w:tab w:val="left" w:pos="9135"/>
        </w:tabs>
        <w:spacing w:line="400" w:lineRule="atLeast"/>
        <w:jc w:val="center"/>
        <w:rPr>
          <w:rFonts w:ascii="宋体" w:hAnsi="宋体" w:cs="Arial"/>
          <w:sz w:val="24"/>
          <w:highlight w:val="none"/>
        </w:rPr>
      </w:pPr>
      <w:r>
        <w:rPr>
          <w:rFonts w:ascii="宋体" w:hAnsi="宋体" w:cs="Arial"/>
          <w:sz w:val="24"/>
          <w:highlight w:val="none"/>
        </w:rPr>
        <w:t>　2、</w:t>
      </w:r>
      <w:r>
        <w:rPr>
          <w:rFonts w:hint="eastAsia" w:ascii="宋体" w:hAnsi="宋体" w:cs="Arial"/>
          <w:sz w:val="24"/>
          <w:highlight w:val="none"/>
        </w:rPr>
        <w:t>报价</w:t>
      </w:r>
      <w:r>
        <w:rPr>
          <w:rFonts w:ascii="宋体" w:hAnsi="宋体" w:cs="Arial"/>
          <w:sz w:val="24"/>
          <w:highlight w:val="none"/>
        </w:rPr>
        <w:t>表</w:t>
      </w:r>
    </w:p>
    <w:p>
      <w:pPr>
        <w:tabs>
          <w:tab w:val="left" w:pos="9135"/>
        </w:tabs>
        <w:spacing w:line="400" w:lineRule="atLeast"/>
        <w:rPr>
          <w:rFonts w:ascii="宋体" w:hAnsi="宋体" w:cs="Arial"/>
          <w:sz w:val="24"/>
          <w:highlight w:val="none"/>
        </w:rPr>
      </w:pPr>
    </w:p>
    <w:p>
      <w:pPr>
        <w:autoSpaceDE w:val="0"/>
        <w:autoSpaceDN w:val="0"/>
        <w:adjustRightInd w:val="0"/>
        <w:jc w:val="center"/>
        <w:outlineLvl w:val="0"/>
        <w:rPr>
          <w:rFonts w:ascii="宋体" w:hAnsi="宋体" w:cs="宋体"/>
          <w:b/>
          <w:bCs/>
          <w:kern w:val="0"/>
          <w:sz w:val="36"/>
          <w:szCs w:val="36"/>
          <w:highlight w:val="none"/>
          <w:lang w:val="zh-CN"/>
        </w:rPr>
      </w:pPr>
      <w:bookmarkStart w:id="293" w:name="_Toc17409"/>
      <w:r>
        <w:rPr>
          <w:rFonts w:hint="eastAsia" w:ascii="宋体" w:hAnsi="宋体" w:cs="宋体"/>
          <w:b/>
          <w:bCs/>
          <w:kern w:val="0"/>
          <w:sz w:val="36"/>
          <w:szCs w:val="36"/>
          <w:highlight w:val="none"/>
          <w:lang w:val="zh-CN"/>
        </w:rPr>
        <w:t>报价一览表</w:t>
      </w:r>
      <w:bookmarkEnd w:id="293"/>
    </w:p>
    <w:p>
      <w:pPr>
        <w:tabs>
          <w:tab w:val="left" w:pos="9135"/>
        </w:tabs>
        <w:spacing w:line="400" w:lineRule="atLeast"/>
        <w:rPr>
          <w:rFonts w:ascii="宋体" w:hAnsi="宋体" w:cs="Arial"/>
          <w:sz w:val="24"/>
          <w:highlight w:val="none"/>
          <w:u w:val="single"/>
        </w:rPr>
      </w:pPr>
      <w:r>
        <w:rPr>
          <w:rFonts w:hint="eastAsia" w:ascii="宋体" w:hAnsi="宋体" w:cs="Arial"/>
          <w:sz w:val="24"/>
          <w:highlight w:val="none"/>
        </w:rPr>
        <w:t>供应商</w:t>
      </w:r>
      <w:r>
        <w:rPr>
          <w:rFonts w:ascii="宋体" w:hAnsi="宋体" w:cs="Arial"/>
          <w:sz w:val="24"/>
          <w:highlight w:val="none"/>
        </w:rPr>
        <w:t>名称(公章)：</w:t>
      </w:r>
      <w:r>
        <w:rPr>
          <w:rFonts w:ascii="宋体" w:hAnsi="宋体" w:cs="Arial"/>
          <w:sz w:val="24"/>
          <w:highlight w:val="none"/>
          <w:u w:val="single"/>
        </w:rPr>
        <w:t>　　           　　　　　　　　</w:t>
      </w:r>
      <w:r>
        <w:rPr>
          <w:rFonts w:ascii="宋体" w:hAnsi="宋体" w:cs="Arial"/>
          <w:sz w:val="24"/>
          <w:highlight w:val="none"/>
        </w:rPr>
        <w:t>项目编号：</w:t>
      </w:r>
      <w:r>
        <w:rPr>
          <w:rFonts w:ascii="宋体" w:hAnsi="宋体" w:cs="Arial"/>
          <w:sz w:val="24"/>
          <w:highlight w:val="none"/>
          <w:u w:val="single"/>
        </w:rPr>
        <w:t>　　　　　　　　　　</w:t>
      </w:r>
    </w:p>
    <w:tbl>
      <w:tblPr>
        <w:tblStyle w:val="19"/>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507"/>
        <w:gridCol w:w="1768"/>
        <w:gridCol w:w="2083"/>
        <w:gridCol w:w="1697"/>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Header/>
        </w:trPr>
        <w:tc>
          <w:tcPr>
            <w:tcW w:w="1198" w:type="dxa"/>
            <w:noWrap w:val="0"/>
            <w:vAlign w:val="center"/>
          </w:tcPr>
          <w:p>
            <w:pPr>
              <w:tabs>
                <w:tab w:val="left" w:pos="9135"/>
              </w:tabs>
              <w:spacing w:line="400" w:lineRule="atLeast"/>
              <w:jc w:val="center"/>
              <w:rPr>
                <w:rFonts w:ascii="宋体" w:hAnsi="宋体" w:cs="Arial"/>
                <w:sz w:val="24"/>
                <w:highlight w:val="none"/>
              </w:rPr>
            </w:pPr>
            <w:r>
              <w:rPr>
                <w:rFonts w:ascii="宋体" w:hAnsi="宋体" w:cs="Arial"/>
                <w:sz w:val="24"/>
                <w:highlight w:val="none"/>
              </w:rPr>
              <w:t>名称</w:t>
            </w:r>
          </w:p>
        </w:tc>
        <w:tc>
          <w:tcPr>
            <w:tcW w:w="1507" w:type="dxa"/>
            <w:noWrap w:val="0"/>
            <w:vAlign w:val="center"/>
          </w:tcPr>
          <w:p>
            <w:pPr>
              <w:tabs>
                <w:tab w:val="left" w:pos="9135"/>
              </w:tabs>
              <w:spacing w:line="400" w:lineRule="atLeast"/>
              <w:jc w:val="center"/>
              <w:rPr>
                <w:rFonts w:ascii="宋体" w:hAnsi="宋体" w:cs="Arial"/>
                <w:sz w:val="24"/>
                <w:highlight w:val="none"/>
              </w:rPr>
            </w:pPr>
            <w:r>
              <w:rPr>
                <w:rFonts w:ascii="宋体" w:hAnsi="宋体" w:cs="Arial"/>
                <w:sz w:val="24"/>
                <w:highlight w:val="none"/>
              </w:rPr>
              <w:t>数量</w:t>
            </w:r>
          </w:p>
        </w:tc>
        <w:tc>
          <w:tcPr>
            <w:tcW w:w="1768" w:type="dxa"/>
            <w:noWrap w:val="0"/>
            <w:vAlign w:val="center"/>
          </w:tcPr>
          <w:p>
            <w:pPr>
              <w:tabs>
                <w:tab w:val="left" w:pos="9135"/>
              </w:tabs>
              <w:spacing w:line="400" w:lineRule="atLeast"/>
              <w:jc w:val="center"/>
              <w:rPr>
                <w:rFonts w:hint="eastAsia" w:ascii="宋体" w:hAnsi="宋体" w:cs="Arial"/>
                <w:sz w:val="24"/>
                <w:highlight w:val="none"/>
              </w:rPr>
            </w:pPr>
            <w:r>
              <w:rPr>
                <w:rFonts w:hint="eastAsia" w:ascii="宋体" w:hAnsi="宋体" w:cs="Arial"/>
                <w:sz w:val="24"/>
                <w:highlight w:val="none"/>
              </w:rPr>
              <w:t>单价</w:t>
            </w:r>
          </w:p>
          <w:p>
            <w:pPr>
              <w:tabs>
                <w:tab w:val="left" w:pos="9135"/>
              </w:tabs>
              <w:spacing w:line="400" w:lineRule="atLeast"/>
              <w:jc w:val="center"/>
              <w:rPr>
                <w:rFonts w:ascii="宋体" w:hAnsi="宋体" w:cs="Arial"/>
                <w:sz w:val="24"/>
                <w:highlight w:val="none"/>
              </w:rPr>
            </w:pPr>
            <w:r>
              <w:rPr>
                <w:rFonts w:ascii="宋体" w:hAnsi="宋体" w:cs="Arial"/>
                <w:sz w:val="24"/>
                <w:highlight w:val="none"/>
              </w:rPr>
              <w:t>（元）</w:t>
            </w:r>
          </w:p>
        </w:tc>
        <w:tc>
          <w:tcPr>
            <w:tcW w:w="2083" w:type="dxa"/>
            <w:noWrap w:val="0"/>
            <w:vAlign w:val="center"/>
          </w:tcPr>
          <w:p>
            <w:pPr>
              <w:tabs>
                <w:tab w:val="left" w:pos="9135"/>
              </w:tabs>
              <w:spacing w:line="400" w:lineRule="atLeast"/>
              <w:jc w:val="center"/>
              <w:rPr>
                <w:rFonts w:hint="eastAsia" w:ascii="宋体" w:hAnsi="宋体" w:cs="Arial"/>
                <w:sz w:val="24"/>
                <w:highlight w:val="none"/>
              </w:rPr>
            </w:pPr>
            <w:r>
              <w:rPr>
                <w:rFonts w:hint="eastAsia" w:ascii="宋体" w:hAnsi="宋体" w:cs="Arial"/>
                <w:sz w:val="24"/>
                <w:highlight w:val="none"/>
              </w:rPr>
              <w:t>总价</w:t>
            </w:r>
          </w:p>
          <w:p>
            <w:pPr>
              <w:tabs>
                <w:tab w:val="left" w:pos="9135"/>
              </w:tabs>
              <w:spacing w:line="400" w:lineRule="atLeast"/>
              <w:jc w:val="center"/>
              <w:rPr>
                <w:rFonts w:ascii="宋体" w:hAnsi="宋体" w:cs="Arial"/>
                <w:sz w:val="24"/>
                <w:highlight w:val="none"/>
              </w:rPr>
            </w:pPr>
            <w:r>
              <w:rPr>
                <w:rFonts w:ascii="宋体" w:hAnsi="宋体" w:cs="Arial"/>
                <w:sz w:val="24"/>
                <w:highlight w:val="none"/>
              </w:rPr>
              <w:t>（元）</w:t>
            </w:r>
          </w:p>
        </w:tc>
        <w:tc>
          <w:tcPr>
            <w:tcW w:w="1697" w:type="dxa"/>
            <w:noWrap w:val="0"/>
            <w:vAlign w:val="center"/>
          </w:tcPr>
          <w:p>
            <w:pPr>
              <w:tabs>
                <w:tab w:val="left" w:pos="9135"/>
              </w:tabs>
              <w:spacing w:line="400" w:lineRule="atLeast"/>
              <w:jc w:val="center"/>
              <w:rPr>
                <w:rFonts w:ascii="宋体" w:hAnsi="宋体" w:cs="Arial"/>
                <w:sz w:val="24"/>
                <w:highlight w:val="none"/>
              </w:rPr>
            </w:pPr>
            <w:r>
              <w:rPr>
                <w:rFonts w:ascii="宋体" w:hAnsi="宋体" w:cs="Arial"/>
                <w:sz w:val="24"/>
                <w:highlight w:val="none"/>
              </w:rPr>
              <w:t>交货期</w:t>
            </w:r>
          </w:p>
        </w:tc>
        <w:tc>
          <w:tcPr>
            <w:tcW w:w="1690" w:type="dxa"/>
            <w:noWrap w:val="0"/>
            <w:vAlign w:val="center"/>
          </w:tcPr>
          <w:p>
            <w:pPr>
              <w:tabs>
                <w:tab w:val="left" w:pos="9135"/>
              </w:tabs>
              <w:spacing w:line="400" w:lineRule="atLeast"/>
              <w:jc w:val="center"/>
              <w:rPr>
                <w:rFonts w:ascii="宋体" w:hAnsi="宋体" w:cs="Arial"/>
                <w:sz w:val="24"/>
                <w:highlight w:val="none"/>
              </w:rPr>
            </w:pPr>
            <w:r>
              <w:rPr>
                <w:rFonts w:ascii="宋体" w:hAnsi="宋体" w:cs="Arial"/>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98" w:type="dxa"/>
            <w:noWrap w:val="0"/>
            <w:vAlign w:val="center"/>
          </w:tcPr>
          <w:p>
            <w:pPr>
              <w:spacing w:line="400" w:lineRule="atLeast"/>
              <w:jc w:val="center"/>
              <w:rPr>
                <w:rFonts w:ascii="宋体" w:hAnsi="宋体" w:cs="Arial"/>
                <w:sz w:val="24"/>
                <w:highlight w:val="none"/>
              </w:rPr>
            </w:pPr>
            <w:r>
              <w:rPr>
                <w:rFonts w:ascii="宋体" w:hAnsi="宋体" w:cs="Arial"/>
                <w:sz w:val="24"/>
                <w:highlight w:val="none"/>
              </w:rPr>
              <w:t>…</w:t>
            </w:r>
          </w:p>
        </w:tc>
        <w:tc>
          <w:tcPr>
            <w:tcW w:w="1507" w:type="dxa"/>
            <w:noWrap w:val="0"/>
            <w:vAlign w:val="center"/>
          </w:tcPr>
          <w:p>
            <w:pPr>
              <w:tabs>
                <w:tab w:val="left" w:pos="9135"/>
              </w:tabs>
              <w:spacing w:line="400" w:lineRule="atLeast"/>
              <w:jc w:val="center"/>
              <w:rPr>
                <w:rFonts w:ascii="宋体" w:hAnsi="宋体" w:cs="Arial"/>
                <w:sz w:val="24"/>
                <w:highlight w:val="none"/>
              </w:rPr>
            </w:pPr>
          </w:p>
        </w:tc>
        <w:tc>
          <w:tcPr>
            <w:tcW w:w="1768" w:type="dxa"/>
            <w:noWrap w:val="0"/>
            <w:vAlign w:val="center"/>
          </w:tcPr>
          <w:p>
            <w:pPr>
              <w:tabs>
                <w:tab w:val="left" w:pos="9135"/>
              </w:tabs>
              <w:spacing w:line="400" w:lineRule="atLeast"/>
              <w:jc w:val="center"/>
              <w:rPr>
                <w:rFonts w:ascii="宋体" w:hAnsi="宋体" w:cs="Arial"/>
                <w:sz w:val="24"/>
                <w:highlight w:val="none"/>
              </w:rPr>
            </w:pPr>
          </w:p>
        </w:tc>
        <w:tc>
          <w:tcPr>
            <w:tcW w:w="2083" w:type="dxa"/>
            <w:noWrap w:val="0"/>
            <w:vAlign w:val="center"/>
          </w:tcPr>
          <w:p>
            <w:pPr>
              <w:tabs>
                <w:tab w:val="left" w:pos="9135"/>
              </w:tabs>
              <w:spacing w:line="400" w:lineRule="atLeast"/>
              <w:jc w:val="center"/>
              <w:rPr>
                <w:rFonts w:ascii="宋体" w:hAnsi="宋体" w:cs="Arial"/>
                <w:sz w:val="24"/>
                <w:highlight w:val="none"/>
              </w:rPr>
            </w:pPr>
          </w:p>
        </w:tc>
        <w:tc>
          <w:tcPr>
            <w:tcW w:w="1697" w:type="dxa"/>
            <w:noWrap w:val="0"/>
            <w:vAlign w:val="center"/>
          </w:tcPr>
          <w:p>
            <w:pPr>
              <w:tabs>
                <w:tab w:val="left" w:pos="9135"/>
              </w:tabs>
              <w:spacing w:line="400" w:lineRule="atLeast"/>
              <w:jc w:val="center"/>
              <w:rPr>
                <w:rFonts w:ascii="宋体" w:hAnsi="宋体" w:cs="Arial"/>
                <w:sz w:val="24"/>
                <w:highlight w:val="none"/>
              </w:rPr>
            </w:pPr>
          </w:p>
        </w:tc>
        <w:tc>
          <w:tcPr>
            <w:tcW w:w="1690" w:type="dxa"/>
            <w:noWrap w:val="0"/>
            <w:vAlign w:val="center"/>
          </w:tcPr>
          <w:p>
            <w:pPr>
              <w:tabs>
                <w:tab w:val="left" w:pos="9135"/>
              </w:tabs>
              <w:spacing w:line="400" w:lineRule="atLeast"/>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98" w:type="dxa"/>
            <w:noWrap w:val="0"/>
            <w:vAlign w:val="center"/>
          </w:tcPr>
          <w:p>
            <w:pPr>
              <w:spacing w:line="400" w:lineRule="atLeast"/>
              <w:jc w:val="center"/>
              <w:rPr>
                <w:rFonts w:ascii="宋体" w:hAnsi="宋体" w:cs="Arial"/>
                <w:sz w:val="24"/>
                <w:szCs w:val="24"/>
                <w:highlight w:val="none"/>
              </w:rPr>
            </w:pPr>
            <w:r>
              <w:rPr>
                <w:rFonts w:ascii="宋体" w:hAnsi="宋体" w:cs="Arial"/>
                <w:sz w:val="24"/>
                <w:szCs w:val="24"/>
                <w:highlight w:val="none"/>
              </w:rPr>
              <w:t>…</w:t>
            </w:r>
          </w:p>
        </w:tc>
        <w:tc>
          <w:tcPr>
            <w:tcW w:w="1507" w:type="dxa"/>
            <w:noWrap w:val="0"/>
            <w:vAlign w:val="center"/>
          </w:tcPr>
          <w:p>
            <w:pPr>
              <w:tabs>
                <w:tab w:val="left" w:pos="9135"/>
              </w:tabs>
              <w:spacing w:line="400" w:lineRule="atLeast"/>
              <w:jc w:val="center"/>
              <w:rPr>
                <w:rFonts w:ascii="宋体" w:hAnsi="宋体" w:cs="Arial"/>
                <w:sz w:val="24"/>
                <w:highlight w:val="none"/>
              </w:rPr>
            </w:pPr>
          </w:p>
        </w:tc>
        <w:tc>
          <w:tcPr>
            <w:tcW w:w="1768" w:type="dxa"/>
            <w:noWrap w:val="0"/>
            <w:vAlign w:val="center"/>
          </w:tcPr>
          <w:p>
            <w:pPr>
              <w:tabs>
                <w:tab w:val="left" w:pos="9135"/>
              </w:tabs>
              <w:spacing w:line="400" w:lineRule="atLeast"/>
              <w:jc w:val="center"/>
              <w:rPr>
                <w:rFonts w:ascii="宋体" w:hAnsi="宋体" w:cs="Arial"/>
                <w:sz w:val="24"/>
                <w:highlight w:val="none"/>
              </w:rPr>
            </w:pPr>
          </w:p>
        </w:tc>
        <w:tc>
          <w:tcPr>
            <w:tcW w:w="2083" w:type="dxa"/>
            <w:noWrap w:val="0"/>
            <w:vAlign w:val="center"/>
          </w:tcPr>
          <w:p>
            <w:pPr>
              <w:tabs>
                <w:tab w:val="left" w:pos="9135"/>
              </w:tabs>
              <w:spacing w:line="400" w:lineRule="atLeast"/>
              <w:jc w:val="center"/>
              <w:rPr>
                <w:rFonts w:ascii="宋体" w:hAnsi="宋体" w:cs="Arial"/>
                <w:sz w:val="24"/>
                <w:highlight w:val="none"/>
              </w:rPr>
            </w:pPr>
          </w:p>
        </w:tc>
        <w:tc>
          <w:tcPr>
            <w:tcW w:w="1697" w:type="dxa"/>
            <w:noWrap w:val="0"/>
            <w:vAlign w:val="center"/>
          </w:tcPr>
          <w:p>
            <w:pPr>
              <w:tabs>
                <w:tab w:val="left" w:pos="9135"/>
              </w:tabs>
              <w:spacing w:line="400" w:lineRule="atLeast"/>
              <w:jc w:val="center"/>
              <w:rPr>
                <w:rFonts w:ascii="宋体" w:hAnsi="宋体" w:cs="Arial"/>
                <w:sz w:val="24"/>
                <w:highlight w:val="none"/>
              </w:rPr>
            </w:pPr>
          </w:p>
        </w:tc>
        <w:tc>
          <w:tcPr>
            <w:tcW w:w="1690" w:type="dxa"/>
            <w:noWrap w:val="0"/>
            <w:vAlign w:val="center"/>
          </w:tcPr>
          <w:p>
            <w:pPr>
              <w:tabs>
                <w:tab w:val="left" w:pos="9135"/>
              </w:tabs>
              <w:spacing w:line="400" w:lineRule="atLeast"/>
              <w:rPr>
                <w:rFonts w:ascii="宋体" w:hAnsi="宋体" w:cs="Arial"/>
                <w:sz w:val="24"/>
                <w:highlight w:val="none"/>
              </w:rPr>
            </w:pPr>
          </w:p>
        </w:tc>
      </w:tr>
    </w:tbl>
    <w:p>
      <w:pPr>
        <w:tabs>
          <w:tab w:val="left" w:pos="9135"/>
        </w:tabs>
        <w:spacing w:line="400" w:lineRule="atLeast"/>
        <w:rPr>
          <w:rFonts w:ascii="宋体" w:hAnsi="宋体" w:cs="Arial"/>
          <w:sz w:val="24"/>
          <w:highlight w:val="none"/>
        </w:rPr>
      </w:pPr>
      <w:r>
        <w:rPr>
          <w:rFonts w:hint="eastAsia" w:ascii="宋体" w:hAnsi="宋体" w:cs="Arial"/>
          <w:sz w:val="24"/>
          <w:highlight w:val="none"/>
        </w:rPr>
        <w:t>供应商</w:t>
      </w:r>
      <w:r>
        <w:rPr>
          <w:rFonts w:ascii="宋体" w:hAnsi="宋体" w:cs="Arial"/>
          <w:sz w:val="24"/>
          <w:highlight w:val="none"/>
        </w:rPr>
        <w:t>代表签字</w:t>
      </w:r>
    </w:p>
    <w:p>
      <w:pPr>
        <w:tabs>
          <w:tab w:val="left" w:pos="9135"/>
        </w:tabs>
        <w:spacing w:line="400" w:lineRule="atLeast"/>
        <w:rPr>
          <w:rFonts w:ascii="宋体" w:hAnsi="宋体" w:cs="Arial"/>
          <w:sz w:val="24"/>
          <w:highlight w:val="none"/>
        </w:rPr>
      </w:pPr>
      <w:r>
        <w:rPr>
          <w:rFonts w:ascii="宋体" w:hAnsi="宋体" w:cs="Arial"/>
          <w:sz w:val="24"/>
          <w:highlight w:val="none"/>
        </w:rPr>
        <w:t>：</w:t>
      </w:r>
      <w:r>
        <w:rPr>
          <w:rFonts w:ascii="宋体" w:hAnsi="宋体" w:cs="Arial"/>
          <w:sz w:val="24"/>
          <w:highlight w:val="none"/>
          <w:u w:val="single"/>
        </w:rPr>
        <w:t>　　　　　　　　　　　</w:t>
      </w:r>
    </w:p>
    <w:p>
      <w:pPr>
        <w:autoSpaceDE w:val="0"/>
        <w:autoSpaceDN w:val="0"/>
        <w:adjustRightInd w:val="0"/>
        <w:spacing w:line="400" w:lineRule="exact"/>
        <w:ind w:firstLine="480"/>
        <w:rPr>
          <w:rFonts w:ascii="宋体" w:hAnsi="宋体" w:cs="宋体"/>
          <w:kern w:val="0"/>
          <w:sz w:val="24"/>
          <w:highlight w:val="none"/>
          <w:lang w:val="zh-CN"/>
        </w:rPr>
      </w:pPr>
      <w:r>
        <w:rPr>
          <w:rFonts w:ascii="宋体" w:hAnsi="宋体" w:cs="Arial"/>
          <w:sz w:val="24"/>
          <w:highlight w:val="none"/>
        </w:rPr>
        <w:t>注：1、</w:t>
      </w:r>
      <w:r>
        <w:rPr>
          <w:rFonts w:hint="eastAsia" w:ascii="宋体" w:hAnsi="宋体" w:cs="宋体"/>
          <w:kern w:val="0"/>
          <w:sz w:val="24"/>
          <w:highlight w:val="none"/>
          <w:lang w:val="zh-CN"/>
        </w:rPr>
        <w:t xml:space="preserve"> 除在标书中编制此表以外，为方便开标唱标，供应商应单独密封一份“报价一览表”，并标明“报价一览表”字样。该密封的“报价一览表”和投标文件正本中的“报价一览表”应完全一致。</w:t>
      </w:r>
    </w:p>
    <w:p>
      <w:pPr>
        <w:spacing w:line="400" w:lineRule="atLeas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rPr>
        <w:t>2.</w:t>
      </w:r>
      <w:r>
        <w:rPr>
          <w:rFonts w:hint="eastAsia" w:ascii="宋体" w:hAnsi="宋体" w:cs="宋体"/>
          <w:kern w:val="0"/>
          <w:sz w:val="24"/>
          <w:highlight w:val="none"/>
          <w:lang w:val="zh-CN"/>
        </w:rPr>
        <w:t>投标报价不能有两个或两个以上的报价方案。</w:t>
      </w:r>
    </w:p>
    <w:p>
      <w:pPr>
        <w:spacing w:line="400" w:lineRule="atLeast"/>
        <w:ind w:firstLine="480" w:firstLineChars="200"/>
        <w:rPr>
          <w:rFonts w:ascii="宋体" w:hAnsi="宋体" w:cs="宋体"/>
          <w:kern w:val="0"/>
          <w:sz w:val="24"/>
          <w:highlight w:val="none"/>
          <w:lang w:val="zh-CN"/>
        </w:rPr>
        <w:sectPr>
          <w:pgSz w:w="11906" w:h="16838"/>
          <w:pgMar w:top="720" w:right="720" w:bottom="720" w:left="720" w:header="851" w:footer="992" w:gutter="0"/>
          <w:pgNumType w:fmt="decimal"/>
          <w:cols w:space="720" w:num="1"/>
          <w:docGrid w:type="linesAndChars" w:linePitch="312" w:charSpace="0"/>
        </w:sectPr>
      </w:pPr>
    </w:p>
    <w:p>
      <w:pPr>
        <w:spacing w:line="400" w:lineRule="atLeast"/>
        <w:ind w:left="2880" w:hanging="2880"/>
        <w:jc w:val="center"/>
        <w:rPr>
          <w:rFonts w:ascii="宋体" w:hAnsi="宋体" w:cs="Arial"/>
          <w:sz w:val="24"/>
          <w:highlight w:val="none"/>
        </w:rPr>
      </w:pPr>
      <w:bookmarkStart w:id="294" w:name="_Toc277841205"/>
      <w:r>
        <w:rPr>
          <w:rFonts w:ascii="宋体" w:hAnsi="宋体" w:cs="Arial"/>
          <w:sz w:val="24"/>
          <w:highlight w:val="none"/>
        </w:rPr>
        <w:t>3、分项报价表</w:t>
      </w:r>
      <w:bookmarkEnd w:id="294"/>
    </w:p>
    <w:p>
      <w:pPr>
        <w:spacing w:line="400" w:lineRule="atLeast"/>
        <w:rPr>
          <w:rFonts w:ascii="宋体" w:hAnsi="宋体" w:cs="Arial"/>
          <w:sz w:val="24"/>
          <w:highlight w:val="none"/>
        </w:rPr>
      </w:pPr>
    </w:p>
    <w:p>
      <w:pPr>
        <w:spacing w:line="400" w:lineRule="atLeast"/>
        <w:rPr>
          <w:rFonts w:ascii="宋体" w:hAnsi="宋体" w:cs="Arial"/>
          <w:sz w:val="24"/>
          <w:highlight w:val="none"/>
        </w:rPr>
      </w:pPr>
    </w:p>
    <w:p>
      <w:pPr>
        <w:spacing w:line="400" w:lineRule="atLeast"/>
        <w:rPr>
          <w:rFonts w:ascii="宋体" w:hAnsi="宋体" w:cs="Arial"/>
          <w:sz w:val="24"/>
          <w:highlight w:val="none"/>
          <w:u w:val="single"/>
        </w:rPr>
      </w:pPr>
      <w:r>
        <w:rPr>
          <w:rFonts w:hint="eastAsia" w:ascii="宋体" w:hAnsi="宋体" w:cs="Arial"/>
          <w:sz w:val="24"/>
          <w:highlight w:val="none"/>
        </w:rPr>
        <w:t>供应</w:t>
      </w:r>
      <w:r>
        <w:rPr>
          <w:rFonts w:ascii="宋体" w:hAnsi="宋体" w:cs="Arial"/>
          <w:sz w:val="24"/>
          <w:highlight w:val="none"/>
        </w:rPr>
        <w:t>商名称（公章）：</w:t>
      </w:r>
      <w:r>
        <w:rPr>
          <w:rFonts w:ascii="宋体" w:hAnsi="宋体" w:cs="Arial"/>
          <w:sz w:val="24"/>
          <w:highlight w:val="none"/>
          <w:u w:val="single"/>
        </w:rPr>
        <w:t xml:space="preserve">         　</w:t>
      </w:r>
      <w:r>
        <w:rPr>
          <w:rFonts w:ascii="宋体" w:hAnsi="宋体" w:cs="Arial"/>
          <w:sz w:val="24"/>
          <w:highlight w:val="none"/>
        </w:rPr>
        <w:t>项目编号/包号：</w:t>
      </w:r>
      <w:r>
        <w:rPr>
          <w:rFonts w:ascii="宋体" w:hAnsi="宋体" w:cs="Arial"/>
          <w:sz w:val="24"/>
          <w:highlight w:val="none"/>
          <w:u w:val="single"/>
        </w:rPr>
        <w:t xml:space="preserve">　　　　　　　　 </w:t>
      </w:r>
    </w:p>
    <w:tbl>
      <w:tblPr>
        <w:tblStyle w:val="19"/>
        <w:tblpPr w:leftFromText="180" w:rightFromText="180" w:vertAnchor="text" w:horzAnchor="page" w:tblpXSpec="center" w:tblpY="667"/>
        <w:tblOverlap w:val="never"/>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073"/>
        <w:gridCol w:w="1250"/>
        <w:gridCol w:w="780"/>
        <w:gridCol w:w="961"/>
        <w:gridCol w:w="837"/>
        <w:gridCol w:w="1251"/>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72" w:type="dxa"/>
            <w:noWrap w:val="0"/>
            <w:vAlign w:val="center"/>
          </w:tcPr>
          <w:p>
            <w:pPr>
              <w:spacing w:line="400" w:lineRule="atLeast"/>
              <w:jc w:val="center"/>
              <w:rPr>
                <w:rFonts w:ascii="宋体" w:hAnsi="宋体" w:cs="Arial"/>
                <w:sz w:val="24"/>
                <w:highlight w:val="none"/>
              </w:rPr>
            </w:pPr>
            <w:r>
              <w:rPr>
                <w:rFonts w:ascii="宋体" w:hAnsi="宋体" w:cs="Arial"/>
                <w:sz w:val="24"/>
                <w:highlight w:val="none"/>
              </w:rPr>
              <w:t>序号</w:t>
            </w:r>
          </w:p>
        </w:tc>
        <w:tc>
          <w:tcPr>
            <w:tcW w:w="2073" w:type="dxa"/>
            <w:noWrap w:val="0"/>
            <w:vAlign w:val="center"/>
          </w:tcPr>
          <w:p>
            <w:pPr>
              <w:spacing w:line="400" w:lineRule="atLeast"/>
              <w:jc w:val="center"/>
              <w:rPr>
                <w:rFonts w:ascii="宋体" w:hAnsi="宋体" w:cs="Arial"/>
                <w:sz w:val="24"/>
                <w:highlight w:val="none"/>
              </w:rPr>
            </w:pPr>
            <w:r>
              <w:rPr>
                <w:rFonts w:ascii="宋体" w:hAnsi="宋体" w:cs="Arial"/>
                <w:sz w:val="24"/>
                <w:highlight w:val="none"/>
              </w:rPr>
              <w:t>名称</w:t>
            </w:r>
          </w:p>
        </w:tc>
        <w:tc>
          <w:tcPr>
            <w:tcW w:w="1250" w:type="dxa"/>
            <w:noWrap w:val="0"/>
            <w:vAlign w:val="center"/>
          </w:tcPr>
          <w:p>
            <w:pPr>
              <w:spacing w:line="400" w:lineRule="atLeast"/>
              <w:jc w:val="center"/>
              <w:rPr>
                <w:rFonts w:ascii="宋体" w:hAnsi="宋体" w:cs="Arial"/>
                <w:sz w:val="24"/>
                <w:highlight w:val="none"/>
              </w:rPr>
            </w:pPr>
            <w:r>
              <w:rPr>
                <w:rFonts w:ascii="宋体" w:hAnsi="宋体" w:cs="Arial"/>
                <w:sz w:val="24"/>
                <w:highlight w:val="none"/>
              </w:rPr>
              <w:t>规格型号</w:t>
            </w:r>
          </w:p>
        </w:tc>
        <w:tc>
          <w:tcPr>
            <w:tcW w:w="780" w:type="dxa"/>
            <w:noWrap w:val="0"/>
            <w:vAlign w:val="center"/>
          </w:tcPr>
          <w:p>
            <w:pPr>
              <w:spacing w:line="400" w:lineRule="atLeast"/>
              <w:jc w:val="center"/>
              <w:rPr>
                <w:rFonts w:hint="eastAsia" w:ascii="宋体" w:hAnsi="宋体" w:eastAsia="宋体" w:cs="Arial"/>
                <w:sz w:val="24"/>
                <w:highlight w:val="none"/>
                <w:lang w:eastAsia="zh-CN"/>
              </w:rPr>
            </w:pPr>
            <w:r>
              <w:rPr>
                <w:rFonts w:hint="eastAsia" w:ascii="宋体" w:hAnsi="宋体" w:cs="Arial"/>
                <w:sz w:val="24"/>
                <w:highlight w:val="none"/>
                <w:lang w:eastAsia="zh-CN"/>
              </w:rPr>
              <w:t>品牌</w:t>
            </w:r>
          </w:p>
        </w:tc>
        <w:tc>
          <w:tcPr>
            <w:tcW w:w="961" w:type="dxa"/>
            <w:noWrap w:val="0"/>
            <w:vAlign w:val="center"/>
          </w:tcPr>
          <w:p>
            <w:pPr>
              <w:spacing w:line="400" w:lineRule="atLeast"/>
              <w:jc w:val="center"/>
              <w:rPr>
                <w:rFonts w:ascii="宋体" w:hAnsi="宋体" w:cs="Arial"/>
                <w:sz w:val="24"/>
                <w:highlight w:val="none"/>
              </w:rPr>
            </w:pPr>
            <w:r>
              <w:rPr>
                <w:rFonts w:ascii="宋体" w:hAnsi="宋体" w:cs="Arial"/>
                <w:sz w:val="24"/>
                <w:highlight w:val="none"/>
              </w:rPr>
              <w:t>制造商</w:t>
            </w:r>
          </w:p>
        </w:tc>
        <w:tc>
          <w:tcPr>
            <w:tcW w:w="837" w:type="dxa"/>
            <w:noWrap w:val="0"/>
            <w:vAlign w:val="center"/>
          </w:tcPr>
          <w:p>
            <w:pPr>
              <w:spacing w:line="400" w:lineRule="atLeast"/>
              <w:jc w:val="center"/>
              <w:rPr>
                <w:rFonts w:ascii="宋体" w:hAnsi="宋体" w:cs="Arial"/>
                <w:sz w:val="24"/>
                <w:highlight w:val="none"/>
              </w:rPr>
            </w:pPr>
            <w:r>
              <w:rPr>
                <w:rFonts w:ascii="宋体" w:hAnsi="宋体" w:cs="Arial"/>
                <w:sz w:val="24"/>
                <w:highlight w:val="none"/>
              </w:rPr>
              <w:t>数量</w:t>
            </w:r>
          </w:p>
        </w:tc>
        <w:tc>
          <w:tcPr>
            <w:tcW w:w="1251" w:type="dxa"/>
            <w:noWrap w:val="0"/>
            <w:vAlign w:val="center"/>
          </w:tcPr>
          <w:p>
            <w:pPr>
              <w:spacing w:line="400" w:lineRule="atLeast"/>
              <w:jc w:val="center"/>
              <w:rPr>
                <w:rFonts w:ascii="宋体" w:hAnsi="宋体" w:cs="Arial"/>
                <w:sz w:val="24"/>
                <w:highlight w:val="none"/>
              </w:rPr>
            </w:pPr>
            <w:r>
              <w:rPr>
                <w:rFonts w:ascii="宋体" w:hAnsi="宋体" w:cs="Arial"/>
                <w:sz w:val="24"/>
                <w:highlight w:val="none"/>
              </w:rPr>
              <w:t>单价</w:t>
            </w:r>
          </w:p>
        </w:tc>
        <w:tc>
          <w:tcPr>
            <w:tcW w:w="1753" w:type="dxa"/>
            <w:noWrap w:val="0"/>
            <w:vAlign w:val="center"/>
          </w:tcPr>
          <w:p>
            <w:pPr>
              <w:spacing w:line="400" w:lineRule="atLeast"/>
              <w:jc w:val="center"/>
              <w:rPr>
                <w:rFonts w:ascii="宋体" w:hAnsi="宋体" w:cs="Arial"/>
                <w:sz w:val="24"/>
                <w:highlight w:val="none"/>
              </w:rPr>
            </w:pPr>
            <w:r>
              <w:rPr>
                <w:rFonts w:ascii="宋体" w:hAnsi="宋体" w:cs="Arial"/>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72" w:type="dxa"/>
            <w:noWrap w:val="0"/>
            <w:vAlign w:val="center"/>
          </w:tcPr>
          <w:p>
            <w:pPr>
              <w:spacing w:line="400" w:lineRule="atLeast"/>
              <w:rPr>
                <w:rFonts w:ascii="宋体" w:hAnsi="宋体" w:cs="Arial"/>
                <w:sz w:val="24"/>
                <w:highlight w:val="none"/>
              </w:rPr>
            </w:pPr>
            <w:r>
              <w:rPr>
                <w:rFonts w:ascii="宋体" w:hAnsi="宋体" w:cs="Arial"/>
                <w:sz w:val="24"/>
                <w:highlight w:val="none"/>
              </w:rPr>
              <w:t>1</w:t>
            </w:r>
          </w:p>
        </w:tc>
        <w:tc>
          <w:tcPr>
            <w:tcW w:w="2073" w:type="dxa"/>
            <w:noWrap w:val="0"/>
            <w:vAlign w:val="center"/>
          </w:tcPr>
          <w:p>
            <w:pPr>
              <w:spacing w:line="400" w:lineRule="atLeast"/>
              <w:jc w:val="center"/>
              <w:rPr>
                <w:rFonts w:ascii="宋体" w:hAnsi="宋体" w:cs="Arial"/>
                <w:sz w:val="24"/>
                <w:highlight w:val="none"/>
              </w:rPr>
            </w:pPr>
          </w:p>
        </w:tc>
        <w:tc>
          <w:tcPr>
            <w:tcW w:w="1250" w:type="dxa"/>
            <w:noWrap w:val="0"/>
            <w:vAlign w:val="center"/>
          </w:tcPr>
          <w:p>
            <w:pPr>
              <w:spacing w:line="400" w:lineRule="atLeast"/>
              <w:jc w:val="center"/>
              <w:rPr>
                <w:rFonts w:ascii="宋体" w:hAnsi="宋体" w:cs="Arial"/>
                <w:sz w:val="24"/>
                <w:highlight w:val="none"/>
              </w:rPr>
            </w:pPr>
          </w:p>
        </w:tc>
        <w:tc>
          <w:tcPr>
            <w:tcW w:w="780" w:type="dxa"/>
            <w:noWrap w:val="0"/>
            <w:vAlign w:val="center"/>
          </w:tcPr>
          <w:p>
            <w:pPr>
              <w:spacing w:line="400" w:lineRule="atLeast"/>
              <w:jc w:val="center"/>
              <w:rPr>
                <w:rFonts w:ascii="宋体" w:hAnsi="宋体" w:cs="Arial"/>
                <w:sz w:val="24"/>
                <w:highlight w:val="none"/>
              </w:rPr>
            </w:pPr>
          </w:p>
        </w:tc>
        <w:tc>
          <w:tcPr>
            <w:tcW w:w="961" w:type="dxa"/>
            <w:noWrap w:val="0"/>
            <w:vAlign w:val="center"/>
          </w:tcPr>
          <w:p>
            <w:pPr>
              <w:spacing w:line="400" w:lineRule="atLeast"/>
              <w:jc w:val="center"/>
              <w:rPr>
                <w:rFonts w:ascii="宋体" w:hAnsi="宋体" w:cs="Arial"/>
                <w:sz w:val="24"/>
                <w:highlight w:val="none"/>
              </w:rPr>
            </w:pPr>
          </w:p>
        </w:tc>
        <w:tc>
          <w:tcPr>
            <w:tcW w:w="837" w:type="dxa"/>
            <w:noWrap w:val="0"/>
            <w:vAlign w:val="center"/>
          </w:tcPr>
          <w:p>
            <w:pPr>
              <w:spacing w:line="400" w:lineRule="atLeast"/>
              <w:jc w:val="center"/>
              <w:rPr>
                <w:rFonts w:ascii="宋体" w:hAnsi="宋体" w:cs="Arial"/>
                <w:sz w:val="24"/>
                <w:highlight w:val="none"/>
              </w:rPr>
            </w:pPr>
          </w:p>
        </w:tc>
        <w:tc>
          <w:tcPr>
            <w:tcW w:w="1251" w:type="dxa"/>
            <w:noWrap w:val="0"/>
            <w:vAlign w:val="center"/>
          </w:tcPr>
          <w:p>
            <w:pPr>
              <w:spacing w:line="400" w:lineRule="atLeast"/>
              <w:jc w:val="center"/>
              <w:rPr>
                <w:rFonts w:ascii="宋体" w:hAnsi="宋体" w:cs="Arial"/>
                <w:sz w:val="24"/>
                <w:highlight w:val="none"/>
              </w:rPr>
            </w:pPr>
          </w:p>
        </w:tc>
        <w:tc>
          <w:tcPr>
            <w:tcW w:w="1753" w:type="dxa"/>
            <w:noWrap w:val="0"/>
            <w:vAlign w:val="center"/>
          </w:tcPr>
          <w:p>
            <w:pPr>
              <w:spacing w:line="400" w:lineRule="atLeast"/>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72" w:type="dxa"/>
            <w:noWrap w:val="0"/>
            <w:vAlign w:val="center"/>
          </w:tcPr>
          <w:p>
            <w:pPr>
              <w:spacing w:line="400" w:lineRule="atLeast"/>
              <w:rPr>
                <w:rFonts w:ascii="宋体" w:hAnsi="宋体" w:cs="Arial"/>
                <w:sz w:val="24"/>
                <w:highlight w:val="none"/>
              </w:rPr>
            </w:pPr>
            <w:r>
              <w:rPr>
                <w:rFonts w:ascii="宋体" w:hAnsi="宋体" w:cs="Arial"/>
                <w:sz w:val="24"/>
                <w:highlight w:val="none"/>
              </w:rPr>
              <w:t>2</w:t>
            </w:r>
          </w:p>
        </w:tc>
        <w:tc>
          <w:tcPr>
            <w:tcW w:w="2073" w:type="dxa"/>
            <w:noWrap w:val="0"/>
            <w:vAlign w:val="center"/>
          </w:tcPr>
          <w:p>
            <w:pPr>
              <w:spacing w:line="400" w:lineRule="atLeast"/>
              <w:jc w:val="center"/>
              <w:rPr>
                <w:rFonts w:ascii="宋体" w:hAnsi="宋体" w:cs="Arial"/>
                <w:sz w:val="24"/>
                <w:highlight w:val="none"/>
              </w:rPr>
            </w:pPr>
          </w:p>
        </w:tc>
        <w:tc>
          <w:tcPr>
            <w:tcW w:w="1250" w:type="dxa"/>
            <w:noWrap w:val="0"/>
            <w:vAlign w:val="center"/>
          </w:tcPr>
          <w:p>
            <w:pPr>
              <w:spacing w:line="400" w:lineRule="atLeast"/>
              <w:jc w:val="center"/>
              <w:rPr>
                <w:rFonts w:ascii="宋体" w:hAnsi="宋体" w:cs="Arial"/>
                <w:sz w:val="24"/>
                <w:highlight w:val="none"/>
              </w:rPr>
            </w:pPr>
          </w:p>
        </w:tc>
        <w:tc>
          <w:tcPr>
            <w:tcW w:w="780" w:type="dxa"/>
            <w:noWrap w:val="0"/>
            <w:vAlign w:val="center"/>
          </w:tcPr>
          <w:p>
            <w:pPr>
              <w:spacing w:line="400" w:lineRule="atLeast"/>
              <w:jc w:val="center"/>
              <w:rPr>
                <w:rFonts w:ascii="宋体" w:hAnsi="宋体" w:cs="Arial"/>
                <w:sz w:val="24"/>
                <w:highlight w:val="none"/>
              </w:rPr>
            </w:pPr>
          </w:p>
        </w:tc>
        <w:tc>
          <w:tcPr>
            <w:tcW w:w="961" w:type="dxa"/>
            <w:noWrap w:val="0"/>
            <w:vAlign w:val="center"/>
          </w:tcPr>
          <w:p>
            <w:pPr>
              <w:spacing w:line="400" w:lineRule="atLeast"/>
              <w:jc w:val="center"/>
              <w:rPr>
                <w:rFonts w:ascii="宋体" w:hAnsi="宋体" w:cs="Arial"/>
                <w:sz w:val="24"/>
                <w:highlight w:val="none"/>
              </w:rPr>
            </w:pPr>
          </w:p>
        </w:tc>
        <w:tc>
          <w:tcPr>
            <w:tcW w:w="837" w:type="dxa"/>
            <w:noWrap w:val="0"/>
            <w:vAlign w:val="center"/>
          </w:tcPr>
          <w:p>
            <w:pPr>
              <w:spacing w:line="400" w:lineRule="atLeast"/>
              <w:jc w:val="center"/>
              <w:rPr>
                <w:rFonts w:ascii="宋体" w:hAnsi="宋体" w:cs="Arial"/>
                <w:sz w:val="24"/>
                <w:highlight w:val="none"/>
              </w:rPr>
            </w:pPr>
          </w:p>
        </w:tc>
        <w:tc>
          <w:tcPr>
            <w:tcW w:w="1251" w:type="dxa"/>
            <w:noWrap w:val="0"/>
            <w:vAlign w:val="center"/>
          </w:tcPr>
          <w:p>
            <w:pPr>
              <w:spacing w:line="400" w:lineRule="atLeast"/>
              <w:jc w:val="center"/>
              <w:rPr>
                <w:rFonts w:ascii="宋体" w:hAnsi="宋体" w:cs="Arial"/>
                <w:sz w:val="24"/>
                <w:highlight w:val="none"/>
              </w:rPr>
            </w:pPr>
          </w:p>
        </w:tc>
        <w:tc>
          <w:tcPr>
            <w:tcW w:w="1753" w:type="dxa"/>
            <w:noWrap w:val="0"/>
            <w:vAlign w:val="center"/>
          </w:tcPr>
          <w:p>
            <w:pPr>
              <w:spacing w:line="400" w:lineRule="atLeast"/>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72" w:type="dxa"/>
            <w:noWrap w:val="0"/>
            <w:vAlign w:val="center"/>
          </w:tcPr>
          <w:p>
            <w:pPr>
              <w:spacing w:line="400" w:lineRule="atLeast"/>
              <w:rPr>
                <w:rFonts w:ascii="宋体" w:hAnsi="宋体" w:cs="Arial"/>
                <w:sz w:val="24"/>
                <w:highlight w:val="none"/>
              </w:rPr>
            </w:pPr>
            <w:r>
              <w:rPr>
                <w:rFonts w:ascii="宋体" w:hAnsi="宋体" w:cs="Arial"/>
                <w:sz w:val="24"/>
                <w:highlight w:val="none"/>
              </w:rPr>
              <w:t>3</w:t>
            </w:r>
          </w:p>
        </w:tc>
        <w:tc>
          <w:tcPr>
            <w:tcW w:w="2073" w:type="dxa"/>
            <w:noWrap w:val="0"/>
            <w:vAlign w:val="center"/>
          </w:tcPr>
          <w:p>
            <w:pPr>
              <w:spacing w:line="400" w:lineRule="atLeast"/>
              <w:jc w:val="center"/>
              <w:rPr>
                <w:rFonts w:ascii="宋体" w:hAnsi="宋体" w:cs="Arial"/>
                <w:sz w:val="24"/>
                <w:highlight w:val="none"/>
              </w:rPr>
            </w:pPr>
          </w:p>
        </w:tc>
        <w:tc>
          <w:tcPr>
            <w:tcW w:w="1250" w:type="dxa"/>
            <w:noWrap w:val="0"/>
            <w:vAlign w:val="center"/>
          </w:tcPr>
          <w:p>
            <w:pPr>
              <w:spacing w:line="400" w:lineRule="atLeast"/>
              <w:jc w:val="center"/>
              <w:rPr>
                <w:rFonts w:ascii="宋体" w:hAnsi="宋体" w:cs="Arial"/>
                <w:sz w:val="24"/>
                <w:highlight w:val="none"/>
              </w:rPr>
            </w:pPr>
          </w:p>
        </w:tc>
        <w:tc>
          <w:tcPr>
            <w:tcW w:w="780" w:type="dxa"/>
            <w:noWrap w:val="0"/>
            <w:vAlign w:val="center"/>
          </w:tcPr>
          <w:p>
            <w:pPr>
              <w:spacing w:line="400" w:lineRule="atLeast"/>
              <w:jc w:val="center"/>
              <w:rPr>
                <w:rFonts w:ascii="宋体" w:hAnsi="宋体" w:cs="Arial"/>
                <w:sz w:val="24"/>
                <w:highlight w:val="none"/>
              </w:rPr>
            </w:pPr>
          </w:p>
        </w:tc>
        <w:tc>
          <w:tcPr>
            <w:tcW w:w="961" w:type="dxa"/>
            <w:noWrap w:val="0"/>
            <w:vAlign w:val="center"/>
          </w:tcPr>
          <w:p>
            <w:pPr>
              <w:spacing w:line="400" w:lineRule="atLeast"/>
              <w:jc w:val="center"/>
              <w:rPr>
                <w:rFonts w:ascii="宋体" w:hAnsi="宋体" w:cs="Arial"/>
                <w:sz w:val="24"/>
                <w:highlight w:val="none"/>
              </w:rPr>
            </w:pPr>
          </w:p>
        </w:tc>
        <w:tc>
          <w:tcPr>
            <w:tcW w:w="837" w:type="dxa"/>
            <w:noWrap w:val="0"/>
            <w:vAlign w:val="center"/>
          </w:tcPr>
          <w:p>
            <w:pPr>
              <w:spacing w:line="400" w:lineRule="atLeast"/>
              <w:jc w:val="center"/>
              <w:rPr>
                <w:rFonts w:ascii="宋体" w:hAnsi="宋体" w:cs="Arial"/>
                <w:sz w:val="24"/>
                <w:highlight w:val="none"/>
              </w:rPr>
            </w:pPr>
          </w:p>
        </w:tc>
        <w:tc>
          <w:tcPr>
            <w:tcW w:w="1251" w:type="dxa"/>
            <w:noWrap w:val="0"/>
            <w:vAlign w:val="center"/>
          </w:tcPr>
          <w:p>
            <w:pPr>
              <w:spacing w:line="400" w:lineRule="atLeast"/>
              <w:jc w:val="center"/>
              <w:rPr>
                <w:rFonts w:ascii="宋体" w:hAnsi="宋体" w:cs="Arial"/>
                <w:sz w:val="24"/>
                <w:highlight w:val="none"/>
              </w:rPr>
            </w:pPr>
          </w:p>
        </w:tc>
        <w:tc>
          <w:tcPr>
            <w:tcW w:w="1753" w:type="dxa"/>
            <w:noWrap w:val="0"/>
            <w:vAlign w:val="center"/>
          </w:tcPr>
          <w:p>
            <w:pPr>
              <w:spacing w:line="400" w:lineRule="atLeast"/>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72" w:type="dxa"/>
            <w:noWrap w:val="0"/>
            <w:vAlign w:val="center"/>
          </w:tcPr>
          <w:p>
            <w:pPr>
              <w:spacing w:line="400" w:lineRule="atLeast"/>
              <w:rPr>
                <w:rFonts w:ascii="宋体" w:hAnsi="宋体" w:cs="Arial"/>
                <w:sz w:val="24"/>
                <w:highlight w:val="none"/>
              </w:rPr>
            </w:pPr>
          </w:p>
        </w:tc>
        <w:tc>
          <w:tcPr>
            <w:tcW w:w="2073" w:type="dxa"/>
            <w:noWrap w:val="0"/>
            <w:vAlign w:val="center"/>
          </w:tcPr>
          <w:p>
            <w:pPr>
              <w:spacing w:line="400" w:lineRule="atLeast"/>
              <w:jc w:val="center"/>
              <w:rPr>
                <w:rFonts w:ascii="宋体" w:hAnsi="宋体" w:cs="Arial"/>
                <w:sz w:val="24"/>
                <w:highlight w:val="none"/>
              </w:rPr>
            </w:pPr>
          </w:p>
        </w:tc>
        <w:tc>
          <w:tcPr>
            <w:tcW w:w="1250" w:type="dxa"/>
            <w:noWrap w:val="0"/>
            <w:vAlign w:val="center"/>
          </w:tcPr>
          <w:p>
            <w:pPr>
              <w:spacing w:line="400" w:lineRule="atLeast"/>
              <w:jc w:val="center"/>
              <w:rPr>
                <w:rFonts w:ascii="宋体" w:hAnsi="宋体" w:cs="Arial"/>
                <w:sz w:val="24"/>
                <w:highlight w:val="none"/>
              </w:rPr>
            </w:pPr>
          </w:p>
        </w:tc>
        <w:tc>
          <w:tcPr>
            <w:tcW w:w="780" w:type="dxa"/>
            <w:noWrap w:val="0"/>
            <w:vAlign w:val="center"/>
          </w:tcPr>
          <w:p>
            <w:pPr>
              <w:spacing w:line="400" w:lineRule="atLeast"/>
              <w:jc w:val="center"/>
              <w:rPr>
                <w:rFonts w:ascii="宋体" w:hAnsi="宋体" w:cs="Arial"/>
                <w:sz w:val="24"/>
                <w:highlight w:val="none"/>
              </w:rPr>
            </w:pPr>
          </w:p>
        </w:tc>
        <w:tc>
          <w:tcPr>
            <w:tcW w:w="961" w:type="dxa"/>
            <w:noWrap w:val="0"/>
            <w:vAlign w:val="center"/>
          </w:tcPr>
          <w:p>
            <w:pPr>
              <w:spacing w:line="400" w:lineRule="atLeast"/>
              <w:jc w:val="center"/>
              <w:rPr>
                <w:rFonts w:ascii="宋体" w:hAnsi="宋体" w:cs="Arial"/>
                <w:sz w:val="24"/>
                <w:highlight w:val="none"/>
              </w:rPr>
            </w:pPr>
          </w:p>
        </w:tc>
        <w:tc>
          <w:tcPr>
            <w:tcW w:w="837" w:type="dxa"/>
            <w:noWrap w:val="0"/>
            <w:vAlign w:val="center"/>
          </w:tcPr>
          <w:p>
            <w:pPr>
              <w:spacing w:line="400" w:lineRule="atLeast"/>
              <w:jc w:val="center"/>
              <w:rPr>
                <w:rFonts w:ascii="宋体" w:hAnsi="宋体" w:cs="Arial"/>
                <w:sz w:val="24"/>
                <w:highlight w:val="none"/>
              </w:rPr>
            </w:pPr>
          </w:p>
        </w:tc>
        <w:tc>
          <w:tcPr>
            <w:tcW w:w="1251" w:type="dxa"/>
            <w:noWrap w:val="0"/>
            <w:vAlign w:val="center"/>
          </w:tcPr>
          <w:p>
            <w:pPr>
              <w:spacing w:line="400" w:lineRule="atLeast"/>
              <w:jc w:val="center"/>
              <w:rPr>
                <w:rFonts w:ascii="宋体" w:hAnsi="宋体" w:cs="Arial"/>
                <w:sz w:val="24"/>
                <w:highlight w:val="none"/>
              </w:rPr>
            </w:pPr>
          </w:p>
        </w:tc>
        <w:tc>
          <w:tcPr>
            <w:tcW w:w="1753" w:type="dxa"/>
            <w:noWrap w:val="0"/>
            <w:vAlign w:val="center"/>
          </w:tcPr>
          <w:p>
            <w:pPr>
              <w:spacing w:line="400" w:lineRule="atLeast"/>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72" w:type="dxa"/>
            <w:noWrap w:val="0"/>
            <w:vAlign w:val="center"/>
          </w:tcPr>
          <w:p>
            <w:pPr>
              <w:spacing w:line="400" w:lineRule="atLeast"/>
              <w:rPr>
                <w:rFonts w:ascii="宋体" w:hAnsi="宋体" w:cs="Arial"/>
                <w:sz w:val="24"/>
                <w:highlight w:val="none"/>
              </w:rPr>
            </w:pPr>
          </w:p>
        </w:tc>
        <w:tc>
          <w:tcPr>
            <w:tcW w:w="2073" w:type="dxa"/>
            <w:noWrap w:val="0"/>
            <w:vAlign w:val="center"/>
          </w:tcPr>
          <w:p>
            <w:pPr>
              <w:spacing w:line="400" w:lineRule="atLeast"/>
              <w:jc w:val="center"/>
              <w:rPr>
                <w:rFonts w:ascii="宋体" w:hAnsi="宋体" w:cs="Arial"/>
                <w:sz w:val="24"/>
                <w:highlight w:val="none"/>
              </w:rPr>
            </w:pPr>
          </w:p>
        </w:tc>
        <w:tc>
          <w:tcPr>
            <w:tcW w:w="1250" w:type="dxa"/>
            <w:noWrap w:val="0"/>
            <w:vAlign w:val="center"/>
          </w:tcPr>
          <w:p>
            <w:pPr>
              <w:spacing w:line="400" w:lineRule="atLeast"/>
              <w:jc w:val="center"/>
              <w:rPr>
                <w:rFonts w:ascii="宋体" w:hAnsi="宋体" w:cs="Arial"/>
                <w:sz w:val="24"/>
                <w:highlight w:val="none"/>
              </w:rPr>
            </w:pPr>
          </w:p>
        </w:tc>
        <w:tc>
          <w:tcPr>
            <w:tcW w:w="780" w:type="dxa"/>
            <w:noWrap w:val="0"/>
            <w:vAlign w:val="center"/>
          </w:tcPr>
          <w:p>
            <w:pPr>
              <w:spacing w:line="400" w:lineRule="atLeast"/>
              <w:jc w:val="center"/>
              <w:rPr>
                <w:rFonts w:ascii="宋体" w:hAnsi="宋体" w:cs="Arial"/>
                <w:sz w:val="24"/>
                <w:highlight w:val="none"/>
              </w:rPr>
            </w:pPr>
          </w:p>
        </w:tc>
        <w:tc>
          <w:tcPr>
            <w:tcW w:w="961" w:type="dxa"/>
            <w:noWrap w:val="0"/>
            <w:vAlign w:val="center"/>
          </w:tcPr>
          <w:p>
            <w:pPr>
              <w:spacing w:line="400" w:lineRule="atLeast"/>
              <w:jc w:val="center"/>
              <w:rPr>
                <w:rFonts w:ascii="宋体" w:hAnsi="宋体" w:cs="Arial"/>
                <w:sz w:val="24"/>
                <w:highlight w:val="none"/>
              </w:rPr>
            </w:pPr>
          </w:p>
        </w:tc>
        <w:tc>
          <w:tcPr>
            <w:tcW w:w="837" w:type="dxa"/>
            <w:noWrap w:val="0"/>
            <w:vAlign w:val="center"/>
          </w:tcPr>
          <w:p>
            <w:pPr>
              <w:spacing w:line="400" w:lineRule="atLeast"/>
              <w:jc w:val="center"/>
              <w:rPr>
                <w:rFonts w:ascii="宋体" w:hAnsi="宋体" w:cs="Arial"/>
                <w:sz w:val="24"/>
                <w:highlight w:val="none"/>
              </w:rPr>
            </w:pPr>
          </w:p>
        </w:tc>
        <w:tc>
          <w:tcPr>
            <w:tcW w:w="1251" w:type="dxa"/>
            <w:noWrap w:val="0"/>
            <w:vAlign w:val="center"/>
          </w:tcPr>
          <w:p>
            <w:pPr>
              <w:spacing w:line="400" w:lineRule="atLeast"/>
              <w:jc w:val="center"/>
              <w:rPr>
                <w:rFonts w:ascii="宋体" w:hAnsi="宋体" w:cs="Arial"/>
                <w:sz w:val="24"/>
                <w:highlight w:val="none"/>
              </w:rPr>
            </w:pPr>
          </w:p>
        </w:tc>
        <w:tc>
          <w:tcPr>
            <w:tcW w:w="1753" w:type="dxa"/>
            <w:noWrap w:val="0"/>
            <w:vAlign w:val="center"/>
          </w:tcPr>
          <w:p>
            <w:pPr>
              <w:spacing w:line="400" w:lineRule="atLeast"/>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72" w:type="dxa"/>
            <w:noWrap w:val="0"/>
            <w:vAlign w:val="center"/>
          </w:tcPr>
          <w:p>
            <w:pPr>
              <w:spacing w:line="400" w:lineRule="atLeast"/>
              <w:rPr>
                <w:rFonts w:ascii="宋体" w:hAnsi="宋体" w:cs="Arial"/>
                <w:sz w:val="24"/>
                <w:highlight w:val="none"/>
              </w:rPr>
            </w:pPr>
          </w:p>
        </w:tc>
        <w:tc>
          <w:tcPr>
            <w:tcW w:w="2073" w:type="dxa"/>
            <w:noWrap w:val="0"/>
            <w:vAlign w:val="center"/>
          </w:tcPr>
          <w:p>
            <w:pPr>
              <w:spacing w:line="400" w:lineRule="atLeast"/>
              <w:jc w:val="center"/>
              <w:rPr>
                <w:rFonts w:ascii="宋体" w:hAnsi="宋体" w:cs="Arial"/>
                <w:sz w:val="24"/>
                <w:highlight w:val="none"/>
              </w:rPr>
            </w:pPr>
          </w:p>
        </w:tc>
        <w:tc>
          <w:tcPr>
            <w:tcW w:w="1250" w:type="dxa"/>
            <w:noWrap w:val="0"/>
            <w:vAlign w:val="center"/>
          </w:tcPr>
          <w:p>
            <w:pPr>
              <w:spacing w:line="400" w:lineRule="atLeast"/>
              <w:jc w:val="center"/>
              <w:rPr>
                <w:rFonts w:ascii="宋体" w:hAnsi="宋体" w:cs="Arial"/>
                <w:sz w:val="24"/>
                <w:highlight w:val="none"/>
              </w:rPr>
            </w:pPr>
          </w:p>
        </w:tc>
        <w:tc>
          <w:tcPr>
            <w:tcW w:w="780" w:type="dxa"/>
            <w:noWrap w:val="0"/>
            <w:vAlign w:val="center"/>
          </w:tcPr>
          <w:p>
            <w:pPr>
              <w:spacing w:line="400" w:lineRule="atLeast"/>
              <w:jc w:val="center"/>
              <w:rPr>
                <w:rFonts w:ascii="宋体" w:hAnsi="宋体" w:cs="Arial"/>
                <w:sz w:val="24"/>
                <w:highlight w:val="none"/>
              </w:rPr>
            </w:pPr>
          </w:p>
        </w:tc>
        <w:tc>
          <w:tcPr>
            <w:tcW w:w="961" w:type="dxa"/>
            <w:noWrap w:val="0"/>
            <w:vAlign w:val="center"/>
          </w:tcPr>
          <w:p>
            <w:pPr>
              <w:spacing w:line="400" w:lineRule="atLeast"/>
              <w:jc w:val="center"/>
              <w:rPr>
                <w:rFonts w:ascii="宋体" w:hAnsi="宋体" w:cs="Arial"/>
                <w:sz w:val="24"/>
                <w:highlight w:val="none"/>
              </w:rPr>
            </w:pPr>
          </w:p>
        </w:tc>
        <w:tc>
          <w:tcPr>
            <w:tcW w:w="837" w:type="dxa"/>
            <w:noWrap w:val="0"/>
            <w:vAlign w:val="center"/>
          </w:tcPr>
          <w:p>
            <w:pPr>
              <w:spacing w:line="400" w:lineRule="atLeast"/>
              <w:jc w:val="center"/>
              <w:rPr>
                <w:rFonts w:ascii="宋体" w:hAnsi="宋体" w:cs="Arial"/>
                <w:sz w:val="24"/>
                <w:highlight w:val="none"/>
              </w:rPr>
            </w:pPr>
          </w:p>
        </w:tc>
        <w:tc>
          <w:tcPr>
            <w:tcW w:w="1251" w:type="dxa"/>
            <w:noWrap w:val="0"/>
            <w:vAlign w:val="center"/>
          </w:tcPr>
          <w:p>
            <w:pPr>
              <w:spacing w:line="400" w:lineRule="atLeast"/>
              <w:jc w:val="center"/>
              <w:rPr>
                <w:rFonts w:ascii="宋体" w:hAnsi="宋体" w:cs="Arial"/>
                <w:sz w:val="24"/>
                <w:highlight w:val="none"/>
              </w:rPr>
            </w:pPr>
          </w:p>
        </w:tc>
        <w:tc>
          <w:tcPr>
            <w:tcW w:w="1753" w:type="dxa"/>
            <w:noWrap w:val="0"/>
            <w:vAlign w:val="center"/>
          </w:tcPr>
          <w:p>
            <w:pPr>
              <w:spacing w:line="400" w:lineRule="atLeast"/>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72" w:type="dxa"/>
            <w:noWrap w:val="0"/>
            <w:vAlign w:val="center"/>
          </w:tcPr>
          <w:p>
            <w:pPr>
              <w:spacing w:line="400" w:lineRule="atLeast"/>
              <w:jc w:val="center"/>
              <w:rPr>
                <w:rFonts w:ascii="宋体" w:hAnsi="宋体" w:cs="Arial"/>
                <w:sz w:val="24"/>
                <w:highlight w:val="none"/>
              </w:rPr>
            </w:pPr>
          </w:p>
        </w:tc>
        <w:tc>
          <w:tcPr>
            <w:tcW w:w="2073" w:type="dxa"/>
            <w:noWrap w:val="0"/>
            <w:vAlign w:val="center"/>
          </w:tcPr>
          <w:p>
            <w:pPr>
              <w:spacing w:line="400" w:lineRule="atLeast"/>
              <w:rPr>
                <w:rFonts w:ascii="宋体" w:hAnsi="宋体" w:cs="Arial"/>
                <w:sz w:val="24"/>
                <w:highlight w:val="none"/>
              </w:rPr>
            </w:pPr>
            <w:r>
              <w:rPr>
                <w:rFonts w:ascii="宋体" w:hAnsi="宋体" w:cs="Arial"/>
                <w:sz w:val="24"/>
                <w:highlight w:val="none"/>
              </w:rPr>
              <w:t>总价</w:t>
            </w:r>
          </w:p>
        </w:tc>
        <w:tc>
          <w:tcPr>
            <w:tcW w:w="1250" w:type="dxa"/>
            <w:noWrap w:val="0"/>
            <w:vAlign w:val="center"/>
          </w:tcPr>
          <w:p>
            <w:pPr>
              <w:spacing w:line="400" w:lineRule="atLeast"/>
              <w:jc w:val="center"/>
              <w:rPr>
                <w:rFonts w:ascii="宋体" w:hAnsi="宋体" w:cs="Arial"/>
                <w:sz w:val="24"/>
                <w:highlight w:val="none"/>
              </w:rPr>
            </w:pPr>
          </w:p>
        </w:tc>
        <w:tc>
          <w:tcPr>
            <w:tcW w:w="780" w:type="dxa"/>
            <w:noWrap w:val="0"/>
            <w:vAlign w:val="center"/>
          </w:tcPr>
          <w:p>
            <w:pPr>
              <w:spacing w:line="400" w:lineRule="atLeast"/>
              <w:jc w:val="center"/>
              <w:rPr>
                <w:rFonts w:ascii="宋体" w:hAnsi="宋体" w:cs="Arial"/>
                <w:sz w:val="24"/>
                <w:highlight w:val="none"/>
              </w:rPr>
            </w:pPr>
          </w:p>
        </w:tc>
        <w:tc>
          <w:tcPr>
            <w:tcW w:w="961" w:type="dxa"/>
            <w:noWrap w:val="0"/>
            <w:vAlign w:val="center"/>
          </w:tcPr>
          <w:p>
            <w:pPr>
              <w:spacing w:line="400" w:lineRule="atLeast"/>
              <w:jc w:val="center"/>
              <w:rPr>
                <w:rFonts w:ascii="宋体" w:hAnsi="宋体" w:cs="Arial"/>
                <w:sz w:val="24"/>
                <w:highlight w:val="none"/>
              </w:rPr>
            </w:pPr>
          </w:p>
        </w:tc>
        <w:tc>
          <w:tcPr>
            <w:tcW w:w="837" w:type="dxa"/>
            <w:noWrap w:val="0"/>
            <w:vAlign w:val="center"/>
          </w:tcPr>
          <w:p>
            <w:pPr>
              <w:spacing w:line="400" w:lineRule="atLeast"/>
              <w:jc w:val="center"/>
              <w:rPr>
                <w:rFonts w:ascii="宋体" w:hAnsi="宋体" w:cs="Arial"/>
                <w:sz w:val="24"/>
                <w:highlight w:val="none"/>
              </w:rPr>
            </w:pPr>
          </w:p>
        </w:tc>
        <w:tc>
          <w:tcPr>
            <w:tcW w:w="1251" w:type="dxa"/>
            <w:noWrap w:val="0"/>
            <w:vAlign w:val="center"/>
          </w:tcPr>
          <w:p>
            <w:pPr>
              <w:spacing w:line="400" w:lineRule="atLeast"/>
              <w:jc w:val="center"/>
              <w:rPr>
                <w:rFonts w:ascii="宋体" w:hAnsi="宋体" w:cs="Arial"/>
                <w:sz w:val="24"/>
                <w:highlight w:val="none"/>
              </w:rPr>
            </w:pPr>
          </w:p>
        </w:tc>
        <w:tc>
          <w:tcPr>
            <w:tcW w:w="1753" w:type="dxa"/>
            <w:noWrap w:val="0"/>
            <w:vAlign w:val="center"/>
          </w:tcPr>
          <w:p>
            <w:pPr>
              <w:spacing w:line="400" w:lineRule="atLeast"/>
              <w:jc w:val="center"/>
              <w:rPr>
                <w:rFonts w:ascii="宋体" w:hAnsi="宋体" w:cs="Arial"/>
                <w:sz w:val="24"/>
                <w:highlight w:val="none"/>
              </w:rPr>
            </w:pPr>
          </w:p>
        </w:tc>
      </w:tr>
    </w:tbl>
    <w:p>
      <w:pPr>
        <w:spacing w:line="400" w:lineRule="atLeast"/>
        <w:rPr>
          <w:rFonts w:ascii="宋体" w:hAnsi="宋体" w:cs="Arial"/>
          <w:sz w:val="24"/>
          <w:highlight w:val="none"/>
        </w:rPr>
      </w:pPr>
    </w:p>
    <w:p>
      <w:pPr>
        <w:spacing w:line="400" w:lineRule="atLeast"/>
        <w:rPr>
          <w:rFonts w:ascii="宋体" w:hAnsi="宋体" w:cs="Arial"/>
          <w:sz w:val="24"/>
          <w:highlight w:val="none"/>
        </w:rPr>
      </w:pPr>
    </w:p>
    <w:p>
      <w:pPr>
        <w:spacing w:line="400" w:lineRule="atLeast"/>
        <w:rPr>
          <w:rFonts w:ascii="宋体" w:hAnsi="宋体" w:cs="Arial"/>
          <w:sz w:val="24"/>
          <w:highlight w:val="none"/>
        </w:rPr>
      </w:pPr>
      <w:r>
        <w:rPr>
          <w:rFonts w:ascii="宋体" w:hAnsi="宋体" w:cs="Arial"/>
          <w:sz w:val="24"/>
          <w:highlight w:val="none"/>
        </w:rPr>
        <w:t xml:space="preserve">注：此表需详列投标的每种设备及配件。 </w:t>
      </w:r>
    </w:p>
    <w:p>
      <w:pPr>
        <w:spacing w:line="400" w:lineRule="atLeast"/>
        <w:ind w:left="2880" w:hanging="2880"/>
        <w:rPr>
          <w:rFonts w:ascii="宋体" w:hAnsi="宋体" w:cs="Arial"/>
          <w:sz w:val="24"/>
          <w:highlight w:val="none"/>
        </w:rPr>
      </w:pPr>
    </w:p>
    <w:p>
      <w:pPr>
        <w:spacing w:line="400" w:lineRule="atLeast"/>
        <w:ind w:left="2880" w:hanging="2880"/>
        <w:rPr>
          <w:rFonts w:ascii="宋体" w:hAnsi="宋体" w:cs="Arial"/>
          <w:sz w:val="24"/>
          <w:highlight w:val="none"/>
        </w:rPr>
      </w:pPr>
    </w:p>
    <w:p>
      <w:pPr>
        <w:spacing w:line="400" w:lineRule="atLeast"/>
        <w:ind w:left="2880" w:hanging="2880"/>
        <w:rPr>
          <w:rFonts w:ascii="宋体" w:hAnsi="宋体" w:cs="Arial"/>
          <w:sz w:val="24"/>
          <w:highlight w:val="none"/>
          <w:u w:val="single"/>
        </w:rPr>
      </w:pPr>
      <w:r>
        <w:rPr>
          <w:rFonts w:hint="eastAsia" w:ascii="宋体" w:hAnsi="宋体" w:cs="Arial"/>
          <w:sz w:val="24"/>
          <w:highlight w:val="none"/>
        </w:rPr>
        <w:t>供应商</w:t>
      </w:r>
      <w:r>
        <w:rPr>
          <w:rFonts w:ascii="宋体" w:hAnsi="宋体" w:cs="Arial"/>
          <w:sz w:val="24"/>
          <w:highlight w:val="none"/>
        </w:rPr>
        <w:t>代表签字：</w:t>
      </w:r>
      <w:r>
        <w:rPr>
          <w:rFonts w:ascii="宋体" w:hAnsi="宋体" w:cs="Arial"/>
          <w:sz w:val="24"/>
          <w:highlight w:val="none"/>
          <w:u w:val="single"/>
        </w:rPr>
        <w:t>　　　　　　　　　　　　　　　</w:t>
      </w:r>
    </w:p>
    <w:p>
      <w:pPr>
        <w:spacing w:line="400" w:lineRule="atLeast"/>
        <w:ind w:left="2880" w:hanging="2880"/>
        <w:jc w:val="center"/>
        <w:rPr>
          <w:rFonts w:ascii="宋体" w:hAnsi="宋体" w:cs="Arial"/>
          <w:b/>
          <w:sz w:val="24"/>
          <w:highlight w:val="none"/>
        </w:rPr>
      </w:pPr>
    </w:p>
    <w:p>
      <w:pPr>
        <w:jc w:val="center"/>
        <w:rPr>
          <w:rFonts w:hint="eastAsia" w:ascii="宋体" w:hAnsi="宋体" w:cs="Arial"/>
          <w:sz w:val="24"/>
          <w:highlight w:val="none"/>
        </w:rPr>
      </w:pPr>
    </w:p>
    <w:p>
      <w:pPr>
        <w:jc w:val="center"/>
        <w:rPr>
          <w:rFonts w:hint="eastAsia" w:ascii="宋体" w:hAnsi="宋体" w:cs="Arial"/>
          <w:sz w:val="24"/>
          <w:highlight w:val="none"/>
        </w:rPr>
      </w:pPr>
    </w:p>
    <w:p>
      <w:pPr>
        <w:jc w:val="center"/>
        <w:rPr>
          <w:rFonts w:hint="eastAsia" w:ascii="宋体" w:hAnsi="宋体" w:cs="Arial"/>
          <w:sz w:val="24"/>
          <w:highlight w:val="none"/>
        </w:rPr>
      </w:pPr>
    </w:p>
    <w:p>
      <w:pPr>
        <w:jc w:val="center"/>
        <w:rPr>
          <w:rFonts w:hint="eastAsia" w:ascii="宋体" w:hAnsi="宋体" w:cs="Arial"/>
          <w:sz w:val="24"/>
          <w:highlight w:val="none"/>
        </w:rPr>
      </w:pPr>
    </w:p>
    <w:p>
      <w:pPr>
        <w:jc w:val="center"/>
        <w:rPr>
          <w:rFonts w:hint="eastAsia" w:ascii="宋体" w:hAnsi="宋体" w:cs="Arial"/>
          <w:sz w:val="24"/>
          <w:highlight w:val="none"/>
        </w:rPr>
      </w:pPr>
    </w:p>
    <w:p>
      <w:pPr>
        <w:jc w:val="center"/>
        <w:rPr>
          <w:rFonts w:hint="eastAsia" w:ascii="宋体" w:hAnsi="宋体" w:cs="Arial"/>
          <w:sz w:val="24"/>
          <w:highlight w:val="none"/>
        </w:rPr>
      </w:pPr>
    </w:p>
    <w:p>
      <w:pPr>
        <w:jc w:val="center"/>
        <w:rPr>
          <w:rFonts w:hint="eastAsia" w:ascii="宋体" w:hAnsi="宋体" w:cs="Arial"/>
          <w:sz w:val="24"/>
          <w:highlight w:val="none"/>
        </w:rPr>
      </w:pPr>
    </w:p>
    <w:p>
      <w:pPr>
        <w:jc w:val="center"/>
        <w:rPr>
          <w:rFonts w:hint="eastAsia" w:ascii="宋体" w:hAnsi="宋体" w:cs="Arial"/>
          <w:sz w:val="24"/>
          <w:highlight w:val="none"/>
        </w:rPr>
      </w:pPr>
    </w:p>
    <w:p>
      <w:pPr>
        <w:jc w:val="center"/>
        <w:rPr>
          <w:rFonts w:hint="eastAsia" w:ascii="宋体" w:hAnsi="宋体" w:cs="Arial"/>
          <w:sz w:val="24"/>
          <w:highlight w:val="none"/>
        </w:rPr>
      </w:pPr>
    </w:p>
    <w:p>
      <w:pPr>
        <w:jc w:val="center"/>
        <w:rPr>
          <w:rFonts w:hint="eastAsia" w:ascii="宋体" w:hAnsi="宋体" w:cs="Arial"/>
          <w:sz w:val="24"/>
          <w:highlight w:val="none"/>
        </w:rPr>
      </w:pPr>
    </w:p>
    <w:p>
      <w:pPr>
        <w:jc w:val="center"/>
        <w:rPr>
          <w:rFonts w:hint="eastAsia" w:ascii="宋体" w:hAnsi="宋体" w:cs="Arial"/>
          <w:sz w:val="24"/>
          <w:highlight w:val="none"/>
        </w:rPr>
      </w:pPr>
    </w:p>
    <w:p>
      <w:pPr>
        <w:jc w:val="center"/>
        <w:rPr>
          <w:rFonts w:hint="eastAsia" w:ascii="宋体" w:hAnsi="宋体" w:cs="Arial"/>
          <w:sz w:val="24"/>
          <w:highlight w:val="none"/>
        </w:rPr>
      </w:pPr>
    </w:p>
    <w:p>
      <w:pPr>
        <w:jc w:val="center"/>
        <w:rPr>
          <w:rFonts w:hint="eastAsia" w:ascii="宋体" w:hAnsi="宋体" w:cs="Arial"/>
          <w:sz w:val="24"/>
          <w:highlight w:val="none"/>
        </w:rPr>
      </w:pPr>
    </w:p>
    <w:p>
      <w:pPr>
        <w:jc w:val="center"/>
        <w:rPr>
          <w:rFonts w:hint="eastAsia" w:ascii="宋体" w:hAnsi="宋体" w:cs="Arial"/>
          <w:sz w:val="24"/>
          <w:highlight w:val="none"/>
        </w:rPr>
      </w:pPr>
    </w:p>
    <w:p>
      <w:pPr>
        <w:jc w:val="center"/>
        <w:rPr>
          <w:rFonts w:ascii="宋体" w:hAnsi="宋体" w:cs="Arial"/>
          <w:sz w:val="24"/>
          <w:highlight w:val="none"/>
        </w:rPr>
      </w:pPr>
      <w:r>
        <w:rPr>
          <w:rFonts w:hint="eastAsia" w:ascii="宋体" w:hAnsi="宋体" w:cs="Arial"/>
          <w:sz w:val="24"/>
          <w:highlight w:val="none"/>
        </w:rPr>
        <w:t>4</w:t>
      </w:r>
      <w:r>
        <w:rPr>
          <w:rFonts w:ascii="宋体" w:hAnsi="宋体" w:cs="Arial"/>
          <w:sz w:val="24"/>
          <w:highlight w:val="none"/>
        </w:rPr>
        <w:t>、技术参数、功能偏离表</w:t>
      </w:r>
    </w:p>
    <w:p>
      <w:pPr>
        <w:rPr>
          <w:rFonts w:ascii="宋体" w:hAnsi="宋体" w:cs="Arial"/>
          <w:sz w:val="24"/>
          <w:highlight w:val="none"/>
        </w:rPr>
      </w:pPr>
    </w:p>
    <w:p>
      <w:pPr>
        <w:rPr>
          <w:rFonts w:ascii="宋体" w:hAnsi="宋体" w:cs="Arial"/>
          <w:sz w:val="24"/>
          <w:highlight w:val="none"/>
          <w:u w:val="single"/>
        </w:rPr>
      </w:pPr>
      <w:r>
        <w:rPr>
          <w:rFonts w:hint="eastAsia" w:ascii="宋体" w:hAnsi="宋体" w:cs="Arial"/>
          <w:sz w:val="24"/>
          <w:highlight w:val="none"/>
        </w:rPr>
        <w:t>供应商</w:t>
      </w:r>
      <w:r>
        <w:rPr>
          <w:rFonts w:ascii="宋体" w:hAnsi="宋体" w:cs="Arial"/>
          <w:sz w:val="24"/>
          <w:highlight w:val="none"/>
        </w:rPr>
        <w:t>名称（公章）：</w:t>
      </w:r>
      <w:r>
        <w:rPr>
          <w:rFonts w:ascii="宋体" w:hAnsi="宋体" w:cs="Arial"/>
          <w:sz w:val="24"/>
          <w:highlight w:val="none"/>
          <w:u w:val="single"/>
        </w:rPr>
        <w:t xml:space="preserve">         　　　　　  </w:t>
      </w:r>
      <w:r>
        <w:rPr>
          <w:rFonts w:ascii="宋体" w:hAnsi="宋体" w:cs="Arial"/>
          <w:sz w:val="24"/>
          <w:highlight w:val="none"/>
        </w:rPr>
        <w:t>项目编号/包号：</w:t>
      </w:r>
      <w:r>
        <w:rPr>
          <w:rFonts w:ascii="宋体" w:hAnsi="宋体" w:cs="Arial"/>
          <w:sz w:val="24"/>
          <w:highlight w:val="none"/>
          <w:u w:val="single"/>
        </w:rPr>
        <w:t>　　　　　　　　　　　</w:t>
      </w:r>
    </w:p>
    <w:tbl>
      <w:tblPr>
        <w:tblStyle w:val="19"/>
        <w:tblW w:w="9530"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38"/>
        <w:gridCol w:w="2410"/>
        <w:gridCol w:w="2227"/>
        <w:gridCol w:w="1620"/>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1" w:type="dxa"/>
            <w:noWrap w:val="0"/>
            <w:vAlign w:val="center"/>
          </w:tcPr>
          <w:p>
            <w:pPr>
              <w:jc w:val="center"/>
              <w:rPr>
                <w:rFonts w:ascii="宋体" w:hAnsi="宋体" w:cs="Arial"/>
                <w:sz w:val="24"/>
                <w:highlight w:val="none"/>
              </w:rPr>
            </w:pPr>
            <w:r>
              <w:rPr>
                <w:rFonts w:ascii="宋体" w:hAnsi="宋体" w:cs="Arial"/>
                <w:sz w:val="24"/>
                <w:highlight w:val="none"/>
              </w:rPr>
              <w:t>序号</w:t>
            </w:r>
          </w:p>
        </w:tc>
        <w:tc>
          <w:tcPr>
            <w:tcW w:w="1438" w:type="dxa"/>
            <w:noWrap w:val="0"/>
            <w:vAlign w:val="center"/>
          </w:tcPr>
          <w:p>
            <w:pPr>
              <w:jc w:val="center"/>
              <w:rPr>
                <w:rFonts w:ascii="宋体" w:hAnsi="宋体" w:cs="Arial"/>
                <w:sz w:val="24"/>
                <w:highlight w:val="none"/>
              </w:rPr>
            </w:pPr>
            <w:r>
              <w:rPr>
                <w:rFonts w:hint="eastAsia" w:ascii="宋体" w:hAnsi="宋体" w:cs="Arial"/>
                <w:sz w:val="24"/>
                <w:highlight w:val="none"/>
              </w:rPr>
              <w:t>磋商</w:t>
            </w:r>
            <w:r>
              <w:rPr>
                <w:rFonts w:ascii="宋体" w:hAnsi="宋体" w:cs="Arial"/>
                <w:sz w:val="24"/>
                <w:highlight w:val="none"/>
              </w:rPr>
              <w:t>文件规格条目号</w:t>
            </w:r>
          </w:p>
        </w:tc>
        <w:tc>
          <w:tcPr>
            <w:tcW w:w="2410" w:type="dxa"/>
            <w:noWrap w:val="0"/>
            <w:vAlign w:val="center"/>
          </w:tcPr>
          <w:p>
            <w:pPr>
              <w:jc w:val="center"/>
              <w:rPr>
                <w:rFonts w:ascii="宋体" w:hAnsi="宋体" w:cs="Arial"/>
                <w:sz w:val="24"/>
                <w:highlight w:val="none"/>
              </w:rPr>
            </w:pPr>
            <w:r>
              <w:rPr>
                <w:rFonts w:hint="eastAsia" w:ascii="宋体" w:hAnsi="宋体" w:cs="Arial"/>
                <w:sz w:val="24"/>
                <w:highlight w:val="none"/>
              </w:rPr>
              <w:t>磋商</w:t>
            </w:r>
            <w:r>
              <w:rPr>
                <w:rFonts w:ascii="宋体" w:hAnsi="宋体" w:cs="Arial"/>
                <w:sz w:val="24"/>
                <w:highlight w:val="none"/>
              </w:rPr>
              <w:t>文件要求规格</w:t>
            </w:r>
          </w:p>
        </w:tc>
        <w:tc>
          <w:tcPr>
            <w:tcW w:w="2227" w:type="dxa"/>
            <w:noWrap w:val="0"/>
            <w:vAlign w:val="center"/>
          </w:tcPr>
          <w:p>
            <w:pPr>
              <w:jc w:val="center"/>
              <w:rPr>
                <w:rFonts w:ascii="宋体" w:hAnsi="宋体" w:cs="Arial"/>
                <w:sz w:val="24"/>
                <w:highlight w:val="none"/>
              </w:rPr>
            </w:pPr>
            <w:r>
              <w:rPr>
                <w:rFonts w:hint="eastAsia" w:ascii="宋体" w:hAnsi="宋体" w:cs="Arial"/>
                <w:sz w:val="24"/>
                <w:highlight w:val="none"/>
              </w:rPr>
              <w:t>磋商</w:t>
            </w:r>
            <w:r>
              <w:rPr>
                <w:rFonts w:ascii="宋体" w:hAnsi="宋体" w:cs="Arial"/>
                <w:sz w:val="24"/>
                <w:highlight w:val="none"/>
              </w:rPr>
              <w:t>响应规格</w:t>
            </w:r>
          </w:p>
        </w:tc>
        <w:tc>
          <w:tcPr>
            <w:tcW w:w="1620" w:type="dxa"/>
            <w:noWrap w:val="0"/>
            <w:vAlign w:val="center"/>
          </w:tcPr>
          <w:p>
            <w:pPr>
              <w:jc w:val="center"/>
              <w:rPr>
                <w:rFonts w:ascii="宋体" w:hAnsi="宋体" w:cs="Arial"/>
                <w:sz w:val="24"/>
                <w:highlight w:val="none"/>
              </w:rPr>
            </w:pPr>
            <w:r>
              <w:rPr>
                <w:rFonts w:ascii="宋体" w:hAnsi="宋体" w:cs="Arial"/>
                <w:sz w:val="24"/>
                <w:highlight w:val="none"/>
              </w:rPr>
              <w:t>偏离</w:t>
            </w:r>
          </w:p>
        </w:tc>
        <w:tc>
          <w:tcPr>
            <w:tcW w:w="1114" w:type="dxa"/>
            <w:noWrap w:val="0"/>
            <w:vAlign w:val="center"/>
          </w:tcPr>
          <w:p>
            <w:pPr>
              <w:jc w:val="center"/>
              <w:rPr>
                <w:rFonts w:ascii="宋体" w:hAnsi="宋体" w:cs="Arial"/>
                <w:sz w:val="24"/>
                <w:highlight w:val="none"/>
              </w:rPr>
            </w:pPr>
            <w:r>
              <w:rPr>
                <w:rFonts w:ascii="宋体" w:hAnsi="宋体" w:cs="Arial"/>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1" w:type="dxa"/>
            <w:noWrap w:val="0"/>
            <w:vAlign w:val="center"/>
          </w:tcPr>
          <w:p>
            <w:pPr>
              <w:jc w:val="center"/>
              <w:rPr>
                <w:rFonts w:ascii="宋体" w:hAnsi="宋体" w:cs="Arial"/>
                <w:sz w:val="24"/>
                <w:highlight w:val="none"/>
              </w:rPr>
            </w:pPr>
          </w:p>
          <w:p>
            <w:pPr>
              <w:jc w:val="center"/>
              <w:rPr>
                <w:rFonts w:ascii="宋体" w:hAnsi="宋体" w:cs="Arial"/>
                <w:sz w:val="24"/>
                <w:highlight w:val="none"/>
              </w:rPr>
            </w:pPr>
          </w:p>
        </w:tc>
        <w:tc>
          <w:tcPr>
            <w:tcW w:w="1438" w:type="dxa"/>
            <w:noWrap w:val="0"/>
            <w:vAlign w:val="center"/>
          </w:tcPr>
          <w:p>
            <w:pPr>
              <w:widowControl/>
              <w:jc w:val="center"/>
              <w:rPr>
                <w:rFonts w:ascii="宋体" w:hAnsi="宋体" w:cs="Arial"/>
                <w:sz w:val="24"/>
                <w:highlight w:val="none"/>
              </w:rPr>
            </w:pPr>
          </w:p>
          <w:p>
            <w:pPr>
              <w:jc w:val="center"/>
              <w:rPr>
                <w:rFonts w:ascii="宋体" w:hAnsi="宋体" w:cs="Arial"/>
                <w:sz w:val="24"/>
                <w:highlight w:val="none"/>
              </w:rPr>
            </w:pPr>
          </w:p>
        </w:tc>
        <w:tc>
          <w:tcPr>
            <w:tcW w:w="2410" w:type="dxa"/>
            <w:noWrap w:val="0"/>
            <w:vAlign w:val="center"/>
          </w:tcPr>
          <w:p>
            <w:pPr>
              <w:jc w:val="center"/>
              <w:rPr>
                <w:rFonts w:ascii="宋体" w:hAnsi="宋体" w:cs="Arial"/>
                <w:sz w:val="24"/>
                <w:highlight w:val="none"/>
              </w:rPr>
            </w:pPr>
          </w:p>
        </w:tc>
        <w:tc>
          <w:tcPr>
            <w:tcW w:w="2227" w:type="dxa"/>
            <w:noWrap w:val="0"/>
            <w:vAlign w:val="center"/>
          </w:tcPr>
          <w:p>
            <w:pPr>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21" w:type="dxa"/>
            <w:noWrap w:val="0"/>
            <w:vAlign w:val="center"/>
          </w:tcPr>
          <w:p>
            <w:pPr>
              <w:jc w:val="center"/>
              <w:rPr>
                <w:rFonts w:ascii="宋体" w:hAnsi="宋体" w:cs="Arial"/>
                <w:sz w:val="24"/>
                <w:highlight w:val="none"/>
              </w:rPr>
            </w:pPr>
          </w:p>
          <w:p>
            <w:pPr>
              <w:jc w:val="center"/>
              <w:rPr>
                <w:rFonts w:ascii="宋体" w:hAnsi="宋体" w:cs="Arial"/>
                <w:sz w:val="24"/>
                <w:highlight w:val="none"/>
              </w:rPr>
            </w:pPr>
          </w:p>
        </w:tc>
        <w:tc>
          <w:tcPr>
            <w:tcW w:w="1438" w:type="dxa"/>
            <w:noWrap w:val="0"/>
            <w:vAlign w:val="center"/>
          </w:tcPr>
          <w:p>
            <w:pPr>
              <w:widowControl/>
              <w:jc w:val="center"/>
              <w:rPr>
                <w:rFonts w:ascii="宋体" w:hAnsi="宋体" w:cs="Arial"/>
                <w:sz w:val="24"/>
                <w:highlight w:val="none"/>
              </w:rPr>
            </w:pPr>
          </w:p>
          <w:p>
            <w:pPr>
              <w:jc w:val="center"/>
              <w:rPr>
                <w:rFonts w:ascii="宋体" w:hAnsi="宋体" w:cs="Arial"/>
                <w:sz w:val="24"/>
                <w:highlight w:val="none"/>
              </w:rPr>
            </w:pPr>
          </w:p>
        </w:tc>
        <w:tc>
          <w:tcPr>
            <w:tcW w:w="2410" w:type="dxa"/>
            <w:noWrap w:val="0"/>
            <w:vAlign w:val="center"/>
          </w:tcPr>
          <w:p>
            <w:pPr>
              <w:jc w:val="center"/>
              <w:rPr>
                <w:rFonts w:ascii="宋体" w:hAnsi="宋体" w:cs="Arial"/>
                <w:sz w:val="24"/>
                <w:highlight w:val="none"/>
              </w:rPr>
            </w:pPr>
          </w:p>
        </w:tc>
        <w:tc>
          <w:tcPr>
            <w:tcW w:w="2227" w:type="dxa"/>
            <w:noWrap w:val="0"/>
            <w:vAlign w:val="center"/>
          </w:tcPr>
          <w:p>
            <w:pPr>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1" w:type="dxa"/>
            <w:noWrap w:val="0"/>
            <w:vAlign w:val="center"/>
          </w:tcPr>
          <w:p>
            <w:pPr>
              <w:jc w:val="center"/>
              <w:rPr>
                <w:rFonts w:ascii="宋体" w:hAnsi="宋体" w:cs="Arial"/>
                <w:sz w:val="24"/>
                <w:highlight w:val="none"/>
              </w:rPr>
            </w:pPr>
          </w:p>
          <w:p>
            <w:pPr>
              <w:jc w:val="center"/>
              <w:rPr>
                <w:rFonts w:ascii="宋体" w:hAnsi="宋体" w:cs="Arial"/>
                <w:sz w:val="24"/>
                <w:highlight w:val="none"/>
              </w:rPr>
            </w:pPr>
          </w:p>
        </w:tc>
        <w:tc>
          <w:tcPr>
            <w:tcW w:w="1438" w:type="dxa"/>
            <w:noWrap w:val="0"/>
            <w:vAlign w:val="center"/>
          </w:tcPr>
          <w:p>
            <w:pPr>
              <w:widowControl/>
              <w:jc w:val="center"/>
              <w:rPr>
                <w:rFonts w:ascii="宋体" w:hAnsi="宋体" w:cs="Arial"/>
                <w:sz w:val="24"/>
                <w:highlight w:val="none"/>
              </w:rPr>
            </w:pPr>
          </w:p>
          <w:p>
            <w:pPr>
              <w:jc w:val="center"/>
              <w:rPr>
                <w:rFonts w:ascii="宋体" w:hAnsi="宋体" w:cs="Arial"/>
                <w:sz w:val="24"/>
                <w:highlight w:val="none"/>
              </w:rPr>
            </w:pPr>
          </w:p>
        </w:tc>
        <w:tc>
          <w:tcPr>
            <w:tcW w:w="2410" w:type="dxa"/>
            <w:noWrap w:val="0"/>
            <w:vAlign w:val="center"/>
          </w:tcPr>
          <w:p>
            <w:pPr>
              <w:jc w:val="center"/>
              <w:rPr>
                <w:rFonts w:ascii="宋体" w:hAnsi="宋体" w:cs="Arial"/>
                <w:sz w:val="24"/>
                <w:highlight w:val="none"/>
              </w:rPr>
            </w:pPr>
          </w:p>
        </w:tc>
        <w:tc>
          <w:tcPr>
            <w:tcW w:w="2227" w:type="dxa"/>
            <w:noWrap w:val="0"/>
            <w:vAlign w:val="center"/>
          </w:tcPr>
          <w:p>
            <w:pPr>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1" w:type="dxa"/>
            <w:noWrap w:val="0"/>
            <w:vAlign w:val="center"/>
          </w:tcPr>
          <w:p>
            <w:pPr>
              <w:jc w:val="center"/>
              <w:rPr>
                <w:rFonts w:ascii="宋体" w:hAnsi="宋体" w:cs="Arial"/>
                <w:sz w:val="24"/>
                <w:highlight w:val="none"/>
              </w:rPr>
            </w:pPr>
          </w:p>
          <w:p>
            <w:pPr>
              <w:jc w:val="center"/>
              <w:rPr>
                <w:rFonts w:ascii="宋体" w:hAnsi="宋体" w:cs="Arial"/>
                <w:sz w:val="24"/>
                <w:highlight w:val="none"/>
              </w:rPr>
            </w:pPr>
          </w:p>
        </w:tc>
        <w:tc>
          <w:tcPr>
            <w:tcW w:w="1438" w:type="dxa"/>
            <w:noWrap w:val="0"/>
            <w:vAlign w:val="center"/>
          </w:tcPr>
          <w:p>
            <w:pPr>
              <w:widowControl/>
              <w:jc w:val="center"/>
              <w:rPr>
                <w:rFonts w:ascii="宋体" w:hAnsi="宋体" w:cs="Arial"/>
                <w:sz w:val="24"/>
                <w:highlight w:val="none"/>
              </w:rPr>
            </w:pPr>
          </w:p>
          <w:p>
            <w:pPr>
              <w:jc w:val="center"/>
              <w:rPr>
                <w:rFonts w:ascii="宋体" w:hAnsi="宋体" w:cs="Arial"/>
                <w:sz w:val="24"/>
                <w:highlight w:val="none"/>
              </w:rPr>
            </w:pPr>
          </w:p>
        </w:tc>
        <w:tc>
          <w:tcPr>
            <w:tcW w:w="2410" w:type="dxa"/>
            <w:noWrap w:val="0"/>
            <w:vAlign w:val="center"/>
          </w:tcPr>
          <w:p>
            <w:pPr>
              <w:jc w:val="center"/>
              <w:rPr>
                <w:rFonts w:ascii="宋体" w:hAnsi="宋体" w:cs="Arial"/>
                <w:sz w:val="24"/>
                <w:highlight w:val="none"/>
              </w:rPr>
            </w:pPr>
          </w:p>
        </w:tc>
        <w:tc>
          <w:tcPr>
            <w:tcW w:w="2227" w:type="dxa"/>
            <w:noWrap w:val="0"/>
            <w:vAlign w:val="center"/>
          </w:tcPr>
          <w:p>
            <w:pPr>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1" w:type="dxa"/>
            <w:noWrap w:val="0"/>
            <w:vAlign w:val="center"/>
          </w:tcPr>
          <w:p>
            <w:pPr>
              <w:jc w:val="center"/>
              <w:rPr>
                <w:rFonts w:ascii="宋体" w:hAnsi="宋体" w:cs="Arial"/>
                <w:sz w:val="24"/>
                <w:highlight w:val="none"/>
              </w:rPr>
            </w:pPr>
          </w:p>
          <w:p>
            <w:pPr>
              <w:jc w:val="center"/>
              <w:rPr>
                <w:rFonts w:ascii="宋体" w:hAnsi="宋体" w:cs="Arial"/>
                <w:sz w:val="24"/>
                <w:highlight w:val="none"/>
              </w:rPr>
            </w:pPr>
          </w:p>
        </w:tc>
        <w:tc>
          <w:tcPr>
            <w:tcW w:w="1438" w:type="dxa"/>
            <w:noWrap w:val="0"/>
            <w:vAlign w:val="center"/>
          </w:tcPr>
          <w:p>
            <w:pPr>
              <w:widowControl/>
              <w:jc w:val="center"/>
              <w:rPr>
                <w:rFonts w:ascii="宋体" w:hAnsi="宋体" w:cs="Arial"/>
                <w:sz w:val="24"/>
                <w:highlight w:val="none"/>
              </w:rPr>
            </w:pPr>
          </w:p>
          <w:p>
            <w:pPr>
              <w:jc w:val="center"/>
              <w:rPr>
                <w:rFonts w:ascii="宋体" w:hAnsi="宋体" w:cs="Arial"/>
                <w:sz w:val="24"/>
                <w:highlight w:val="none"/>
              </w:rPr>
            </w:pPr>
          </w:p>
        </w:tc>
        <w:tc>
          <w:tcPr>
            <w:tcW w:w="2410" w:type="dxa"/>
            <w:noWrap w:val="0"/>
            <w:vAlign w:val="center"/>
          </w:tcPr>
          <w:p>
            <w:pPr>
              <w:jc w:val="center"/>
              <w:rPr>
                <w:rFonts w:ascii="宋体" w:hAnsi="宋体" w:cs="Arial"/>
                <w:sz w:val="24"/>
                <w:highlight w:val="none"/>
              </w:rPr>
            </w:pPr>
          </w:p>
        </w:tc>
        <w:tc>
          <w:tcPr>
            <w:tcW w:w="2227" w:type="dxa"/>
            <w:noWrap w:val="0"/>
            <w:vAlign w:val="center"/>
          </w:tcPr>
          <w:p>
            <w:pPr>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1" w:type="dxa"/>
            <w:noWrap w:val="0"/>
            <w:vAlign w:val="center"/>
          </w:tcPr>
          <w:p>
            <w:pPr>
              <w:jc w:val="center"/>
              <w:rPr>
                <w:rFonts w:ascii="宋体" w:hAnsi="宋体" w:cs="Arial"/>
                <w:sz w:val="24"/>
                <w:highlight w:val="none"/>
              </w:rPr>
            </w:pPr>
          </w:p>
          <w:p>
            <w:pPr>
              <w:jc w:val="center"/>
              <w:rPr>
                <w:rFonts w:ascii="宋体" w:hAnsi="宋体" w:cs="Arial"/>
                <w:sz w:val="24"/>
                <w:highlight w:val="none"/>
              </w:rPr>
            </w:pPr>
          </w:p>
        </w:tc>
        <w:tc>
          <w:tcPr>
            <w:tcW w:w="1438" w:type="dxa"/>
            <w:noWrap w:val="0"/>
            <w:vAlign w:val="center"/>
          </w:tcPr>
          <w:p>
            <w:pPr>
              <w:widowControl/>
              <w:jc w:val="center"/>
              <w:rPr>
                <w:rFonts w:ascii="宋体" w:hAnsi="宋体" w:cs="Arial"/>
                <w:sz w:val="24"/>
                <w:highlight w:val="none"/>
              </w:rPr>
            </w:pPr>
          </w:p>
          <w:p>
            <w:pPr>
              <w:jc w:val="center"/>
              <w:rPr>
                <w:rFonts w:ascii="宋体" w:hAnsi="宋体" w:cs="Arial"/>
                <w:sz w:val="24"/>
                <w:highlight w:val="none"/>
              </w:rPr>
            </w:pPr>
          </w:p>
        </w:tc>
        <w:tc>
          <w:tcPr>
            <w:tcW w:w="2410" w:type="dxa"/>
            <w:noWrap w:val="0"/>
            <w:vAlign w:val="center"/>
          </w:tcPr>
          <w:p>
            <w:pPr>
              <w:jc w:val="center"/>
              <w:rPr>
                <w:rFonts w:ascii="宋体" w:hAnsi="宋体" w:cs="Arial"/>
                <w:sz w:val="24"/>
                <w:highlight w:val="none"/>
              </w:rPr>
            </w:pPr>
          </w:p>
        </w:tc>
        <w:tc>
          <w:tcPr>
            <w:tcW w:w="2227" w:type="dxa"/>
            <w:noWrap w:val="0"/>
            <w:vAlign w:val="center"/>
          </w:tcPr>
          <w:p>
            <w:pPr>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21" w:type="dxa"/>
            <w:noWrap w:val="0"/>
            <w:vAlign w:val="center"/>
          </w:tcPr>
          <w:p>
            <w:pPr>
              <w:jc w:val="center"/>
              <w:rPr>
                <w:rFonts w:ascii="宋体" w:hAnsi="宋体" w:cs="Arial"/>
                <w:sz w:val="24"/>
                <w:highlight w:val="none"/>
              </w:rPr>
            </w:pPr>
          </w:p>
          <w:p>
            <w:pPr>
              <w:jc w:val="center"/>
              <w:rPr>
                <w:rFonts w:ascii="宋体" w:hAnsi="宋体" w:cs="Arial"/>
                <w:sz w:val="24"/>
                <w:highlight w:val="none"/>
              </w:rPr>
            </w:pPr>
          </w:p>
        </w:tc>
        <w:tc>
          <w:tcPr>
            <w:tcW w:w="1438" w:type="dxa"/>
            <w:noWrap w:val="0"/>
            <w:vAlign w:val="center"/>
          </w:tcPr>
          <w:p>
            <w:pPr>
              <w:widowControl/>
              <w:jc w:val="center"/>
              <w:rPr>
                <w:rFonts w:ascii="宋体" w:hAnsi="宋体" w:cs="Arial"/>
                <w:sz w:val="24"/>
                <w:highlight w:val="none"/>
              </w:rPr>
            </w:pPr>
          </w:p>
          <w:p>
            <w:pPr>
              <w:jc w:val="center"/>
              <w:rPr>
                <w:rFonts w:ascii="宋体" w:hAnsi="宋体" w:cs="Arial"/>
                <w:sz w:val="24"/>
                <w:highlight w:val="none"/>
              </w:rPr>
            </w:pPr>
          </w:p>
        </w:tc>
        <w:tc>
          <w:tcPr>
            <w:tcW w:w="2410" w:type="dxa"/>
            <w:noWrap w:val="0"/>
            <w:vAlign w:val="center"/>
          </w:tcPr>
          <w:p>
            <w:pPr>
              <w:jc w:val="center"/>
              <w:rPr>
                <w:rFonts w:ascii="宋体" w:hAnsi="宋体" w:cs="Arial"/>
                <w:sz w:val="24"/>
                <w:highlight w:val="none"/>
              </w:rPr>
            </w:pPr>
          </w:p>
        </w:tc>
        <w:tc>
          <w:tcPr>
            <w:tcW w:w="2227" w:type="dxa"/>
            <w:noWrap w:val="0"/>
            <w:vAlign w:val="center"/>
          </w:tcPr>
          <w:p>
            <w:pPr>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21" w:type="dxa"/>
            <w:noWrap w:val="0"/>
            <w:vAlign w:val="center"/>
          </w:tcPr>
          <w:p>
            <w:pPr>
              <w:jc w:val="center"/>
              <w:rPr>
                <w:rFonts w:ascii="宋体" w:hAnsi="宋体" w:cs="Arial"/>
                <w:sz w:val="24"/>
                <w:highlight w:val="none"/>
              </w:rPr>
            </w:pPr>
          </w:p>
          <w:p>
            <w:pPr>
              <w:jc w:val="center"/>
              <w:rPr>
                <w:rFonts w:ascii="宋体" w:hAnsi="宋体" w:cs="Arial"/>
                <w:sz w:val="24"/>
                <w:highlight w:val="none"/>
              </w:rPr>
            </w:pPr>
          </w:p>
        </w:tc>
        <w:tc>
          <w:tcPr>
            <w:tcW w:w="1438" w:type="dxa"/>
            <w:noWrap w:val="0"/>
            <w:vAlign w:val="center"/>
          </w:tcPr>
          <w:p>
            <w:pPr>
              <w:widowControl/>
              <w:jc w:val="center"/>
              <w:rPr>
                <w:rFonts w:ascii="宋体" w:hAnsi="宋体" w:cs="Arial"/>
                <w:sz w:val="24"/>
                <w:highlight w:val="none"/>
              </w:rPr>
            </w:pPr>
          </w:p>
          <w:p>
            <w:pPr>
              <w:jc w:val="center"/>
              <w:rPr>
                <w:rFonts w:ascii="宋体" w:hAnsi="宋体" w:cs="Arial"/>
                <w:sz w:val="24"/>
                <w:highlight w:val="none"/>
              </w:rPr>
            </w:pPr>
          </w:p>
        </w:tc>
        <w:tc>
          <w:tcPr>
            <w:tcW w:w="2410" w:type="dxa"/>
            <w:noWrap w:val="0"/>
            <w:vAlign w:val="center"/>
          </w:tcPr>
          <w:p>
            <w:pPr>
              <w:jc w:val="center"/>
              <w:rPr>
                <w:rFonts w:ascii="宋体" w:hAnsi="宋体" w:cs="Arial"/>
                <w:sz w:val="24"/>
                <w:highlight w:val="none"/>
              </w:rPr>
            </w:pPr>
          </w:p>
        </w:tc>
        <w:tc>
          <w:tcPr>
            <w:tcW w:w="2227" w:type="dxa"/>
            <w:noWrap w:val="0"/>
            <w:vAlign w:val="center"/>
          </w:tcPr>
          <w:p>
            <w:pPr>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21" w:type="dxa"/>
            <w:noWrap w:val="0"/>
            <w:vAlign w:val="center"/>
          </w:tcPr>
          <w:p>
            <w:pPr>
              <w:jc w:val="center"/>
              <w:rPr>
                <w:rFonts w:ascii="宋体" w:hAnsi="宋体" w:cs="Arial"/>
                <w:sz w:val="24"/>
                <w:highlight w:val="none"/>
              </w:rPr>
            </w:pPr>
          </w:p>
          <w:p>
            <w:pPr>
              <w:jc w:val="center"/>
              <w:rPr>
                <w:rFonts w:ascii="宋体" w:hAnsi="宋体" w:cs="Arial"/>
                <w:sz w:val="24"/>
                <w:highlight w:val="none"/>
              </w:rPr>
            </w:pPr>
          </w:p>
        </w:tc>
        <w:tc>
          <w:tcPr>
            <w:tcW w:w="1438" w:type="dxa"/>
            <w:noWrap w:val="0"/>
            <w:vAlign w:val="center"/>
          </w:tcPr>
          <w:p>
            <w:pPr>
              <w:widowControl/>
              <w:jc w:val="center"/>
              <w:rPr>
                <w:rFonts w:ascii="宋体" w:hAnsi="宋体" w:cs="Arial"/>
                <w:sz w:val="24"/>
                <w:highlight w:val="none"/>
              </w:rPr>
            </w:pPr>
          </w:p>
          <w:p>
            <w:pPr>
              <w:jc w:val="center"/>
              <w:rPr>
                <w:rFonts w:ascii="宋体" w:hAnsi="宋体" w:cs="Arial"/>
                <w:sz w:val="24"/>
                <w:highlight w:val="none"/>
              </w:rPr>
            </w:pPr>
          </w:p>
        </w:tc>
        <w:tc>
          <w:tcPr>
            <w:tcW w:w="2410" w:type="dxa"/>
            <w:noWrap w:val="0"/>
            <w:vAlign w:val="center"/>
          </w:tcPr>
          <w:p>
            <w:pPr>
              <w:jc w:val="center"/>
              <w:rPr>
                <w:rFonts w:ascii="宋体" w:hAnsi="宋体" w:cs="Arial"/>
                <w:sz w:val="24"/>
                <w:highlight w:val="none"/>
              </w:rPr>
            </w:pPr>
          </w:p>
        </w:tc>
        <w:tc>
          <w:tcPr>
            <w:tcW w:w="2227" w:type="dxa"/>
            <w:noWrap w:val="0"/>
            <w:vAlign w:val="center"/>
          </w:tcPr>
          <w:p>
            <w:pPr>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21" w:type="dxa"/>
            <w:noWrap w:val="0"/>
            <w:vAlign w:val="center"/>
          </w:tcPr>
          <w:p>
            <w:pPr>
              <w:jc w:val="center"/>
              <w:rPr>
                <w:rFonts w:ascii="宋体" w:hAnsi="宋体" w:cs="Arial"/>
                <w:sz w:val="24"/>
                <w:highlight w:val="none"/>
              </w:rPr>
            </w:pPr>
          </w:p>
          <w:p>
            <w:pPr>
              <w:jc w:val="center"/>
              <w:rPr>
                <w:rFonts w:ascii="宋体" w:hAnsi="宋体" w:cs="Arial"/>
                <w:sz w:val="24"/>
                <w:highlight w:val="none"/>
              </w:rPr>
            </w:pPr>
          </w:p>
        </w:tc>
        <w:tc>
          <w:tcPr>
            <w:tcW w:w="1438" w:type="dxa"/>
            <w:noWrap w:val="0"/>
            <w:vAlign w:val="center"/>
          </w:tcPr>
          <w:p>
            <w:pPr>
              <w:widowControl/>
              <w:jc w:val="center"/>
              <w:rPr>
                <w:rFonts w:ascii="宋体" w:hAnsi="宋体" w:cs="Arial"/>
                <w:sz w:val="24"/>
                <w:highlight w:val="none"/>
              </w:rPr>
            </w:pPr>
          </w:p>
          <w:p>
            <w:pPr>
              <w:jc w:val="center"/>
              <w:rPr>
                <w:rFonts w:ascii="宋体" w:hAnsi="宋体" w:cs="Arial"/>
                <w:sz w:val="24"/>
                <w:highlight w:val="none"/>
              </w:rPr>
            </w:pPr>
          </w:p>
        </w:tc>
        <w:tc>
          <w:tcPr>
            <w:tcW w:w="2410" w:type="dxa"/>
            <w:noWrap w:val="0"/>
            <w:vAlign w:val="center"/>
          </w:tcPr>
          <w:p>
            <w:pPr>
              <w:jc w:val="center"/>
              <w:rPr>
                <w:rFonts w:ascii="宋体" w:hAnsi="宋体" w:cs="Arial"/>
                <w:sz w:val="24"/>
                <w:highlight w:val="none"/>
              </w:rPr>
            </w:pPr>
          </w:p>
        </w:tc>
        <w:tc>
          <w:tcPr>
            <w:tcW w:w="2227" w:type="dxa"/>
            <w:noWrap w:val="0"/>
            <w:vAlign w:val="center"/>
          </w:tcPr>
          <w:p>
            <w:pPr>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21" w:type="dxa"/>
            <w:noWrap w:val="0"/>
            <w:vAlign w:val="center"/>
          </w:tcPr>
          <w:p>
            <w:pPr>
              <w:jc w:val="center"/>
              <w:rPr>
                <w:rFonts w:ascii="宋体" w:hAnsi="宋体" w:cs="Arial"/>
                <w:sz w:val="24"/>
                <w:highlight w:val="none"/>
              </w:rPr>
            </w:pPr>
          </w:p>
          <w:p>
            <w:pPr>
              <w:jc w:val="center"/>
              <w:rPr>
                <w:rFonts w:ascii="宋体" w:hAnsi="宋体" w:cs="Arial"/>
                <w:sz w:val="24"/>
                <w:highlight w:val="none"/>
              </w:rPr>
            </w:pPr>
          </w:p>
        </w:tc>
        <w:tc>
          <w:tcPr>
            <w:tcW w:w="1438" w:type="dxa"/>
            <w:noWrap w:val="0"/>
            <w:vAlign w:val="center"/>
          </w:tcPr>
          <w:p>
            <w:pPr>
              <w:widowControl/>
              <w:jc w:val="center"/>
              <w:rPr>
                <w:rFonts w:ascii="宋体" w:hAnsi="宋体" w:cs="Arial"/>
                <w:sz w:val="24"/>
                <w:highlight w:val="none"/>
              </w:rPr>
            </w:pPr>
          </w:p>
          <w:p>
            <w:pPr>
              <w:jc w:val="center"/>
              <w:rPr>
                <w:rFonts w:ascii="宋体" w:hAnsi="宋体" w:cs="Arial"/>
                <w:sz w:val="24"/>
                <w:highlight w:val="none"/>
              </w:rPr>
            </w:pPr>
          </w:p>
        </w:tc>
        <w:tc>
          <w:tcPr>
            <w:tcW w:w="2410" w:type="dxa"/>
            <w:noWrap w:val="0"/>
            <w:vAlign w:val="center"/>
          </w:tcPr>
          <w:p>
            <w:pPr>
              <w:jc w:val="center"/>
              <w:rPr>
                <w:rFonts w:ascii="宋体" w:hAnsi="宋体" w:cs="Arial"/>
                <w:sz w:val="24"/>
                <w:highlight w:val="none"/>
              </w:rPr>
            </w:pPr>
          </w:p>
        </w:tc>
        <w:tc>
          <w:tcPr>
            <w:tcW w:w="2227" w:type="dxa"/>
            <w:noWrap w:val="0"/>
            <w:vAlign w:val="center"/>
          </w:tcPr>
          <w:p>
            <w:pPr>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21" w:type="dxa"/>
            <w:noWrap w:val="0"/>
            <w:vAlign w:val="center"/>
          </w:tcPr>
          <w:p>
            <w:pPr>
              <w:jc w:val="center"/>
              <w:rPr>
                <w:rFonts w:ascii="宋体" w:hAnsi="宋体" w:cs="Arial"/>
                <w:sz w:val="24"/>
                <w:highlight w:val="none"/>
              </w:rPr>
            </w:pPr>
          </w:p>
          <w:p>
            <w:pPr>
              <w:jc w:val="center"/>
              <w:rPr>
                <w:rFonts w:ascii="宋体" w:hAnsi="宋体" w:cs="Arial"/>
                <w:sz w:val="24"/>
                <w:highlight w:val="none"/>
              </w:rPr>
            </w:pPr>
          </w:p>
        </w:tc>
        <w:tc>
          <w:tcPr>
            <w:tcW w:w="1438" w:type="dxa"/>
            <w:noWrap w:val="0"/>
            <w:vAlign w:val="center"/>
          </w:tcPr>
          <w:p>
            <w:pPr>
              <w:widowControl/>
              <w:jc w:val="center"/>
              <w:rPr>
                <w:rFonts w:ascii="宋体" w:hAnsi="宋体" w:cs="Arial"/>
                <w:sz w:val="24"/>
                <w:highlight w:val="none"/>
              </w:rPr>
            </w:pPr>
          </w:p>
          <w:p>
            <w:pPr>
              <w:jc w:val="center"/>
              <w:rPr>
                <w:rFonts w:ascii="宋体" w:hAnsi="宋体" w:cs="Arial"/>
                <w:sz w:val="24"/>
                <w:highlight w:val="none"/>
              </w:rPr>
            </w:pPr>
          </w:p>
        </w:tc>
        <w:tc>
          <w:tcPr>
            <w:tcW w:w="2410" w:type="dxa"/>
            <w:noWrap w:val="0"/>
            <w:vAlign w:val="center"/>
          </w:tcPr>
          <w:p>
            <w:pPr>
              <w:jc w:val="center"/>
              <w:rPr>
                <w:rFonts w:ascii="宋体" w:hAnsi="宋体" w:cs="Arial"/>
                <w:sz w:val="24"/>
                <w:highlight w:val="none"/>
              </w:rPr>
            </w:pPr>
          </w:p>
        </w:tc>
        <w:tc>
          <w:tcPr>
            <w:tcW w:w="2227" w:type="dxa"/>
            <w:noWrap w:val="0"/>
            <w:vAlign w:val="center"/>
          </w:tcPr>
          <w:p>
            <w:pPr>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21" w:type="dxa"/>
            <w:noWrap w:val="0"/>
            <w:vAlign w:val="center"/>
          </w:tcPr>
          <w:p>
            <w:pPr>
              <w:jc w:val="center"/>
              <w:rPr>
                <w:rFonts w:ascii="宋体" w:hAnsi="宋体" w:cs="Arial"/>
                <w:sz w:val="24"/>
                <w:highlight w:val="none"/>
              </w:rPr>
            </w:pPr>
          </w:p>
          <w:p>
            <w:pPr>
              <w:jc w:val="center"/>
              <w:rPr>
                <w:rFonts w:ascii="宋体" w:hAnsi="宋体" w:cs="Arial"/>
                <w:sz w:val="24"/>
                <w:highlight w:val="none"/>
              </w:rPr>
            </w:pPr>
          </w:p>
        </w:tc>
        <w:tc>
          <w:tcPr>
            <w:tcW w:w="1438" w:type="dxa"/>
            <w:noWrap w:val="0"/>
            <w:vAlign w:val="center"/>
          </w:tcPr>
          <w:p>
            <w:pPr>
              <w:widowControl/>
              <w:jc w:val="center"/>
              <w:rPr>
                <w:rFonts w:ascii="宋体" w:hAnsi="宋体" w:cs="Arial"/>
                <w:sz w:val="24"/>
                <w:highlight w:val="none"/>
              </w:rPr>
            </w:pPr>
          </w:p>
          <w:p>
            <w:pPr>
              <w:jc w:val="center"/>
              <w:rPr>
                <w:rFonts w:ascii="宋体" w:hAnsi="宋体" w:cs="Arial"/>
                <w:sz w:val="24"/>
                <w:highlight w:val="none"/>
              </w:rPr>
            </w:pPr>
          </w:p>
        </w:tc>
        <w:tc>
          <w:tcPr>
            <w:tcW w:w="2410" w:type="dxa"/>
            <w:noWrap w:val="0"/>
            <w:vAlign w:val="center"/>
          </w:tcPr>
          <w:p>
            <w:pPr>
              <w:jc w:val="center"/>
              <w:rPr>
                <w:rFonts w:ascii="宋体" w:hAnsi="宋体" w:cs="Arial"/>
                <w:sz w:val="24"/>
                <w:highlight w:val="none"/>
              </w:rPr>
            </w:pPr>
          </w:p>
        </w:tc>
        <w:tc>
          <w:tcPr>
            <w:tcW w:w="2227" w:type="dxa"/>
            <w:noWrap w:val="0"/>
            <w:vAlign w:val="center"/>
          </w:tcPr>
          <w:p>
            <w:pPr>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21" w:type="dxa"/>
            <w:noWrap w:val="0"/>
            <w:vAlign w:val="center"/>
          </w:tcPr>
          <w:p>
            <w:pPr>
              <w:jc w:val="center"/>
              <w:rPr>
                <w:rFonts w:ascii="宋体" w:hAnsi="宋体" w:cs="Arial"/>
                <w:sz w:val="24"/>
                <w:highlight w:val="none"/>
              </w:rPr>
            </w:pPr>
          </w:p>
          <w:p>
            <w:pPr>
              <w:jc w:val="center"/>
              <w:rPr>
                <w:rFonts w:ascii="宋体" w:hAnsi="宋体" w:cs="Arial"/>
                <w:sz w:val="24"/>
                <w:highlight w:val="none"/>
              </w:rPr>
            </w:pPr>
          </w:p>
        </w:tc>
        <w:tc>
          <w:tcPr>
            <w:tcW w:w="1438" w:type="dxa"/>
            <w:noWrap w:val="0"/>
            <w:vAlign w:val="center"/>
          </w:tcPr>
          <w:p>
            <w:pPr>
              <w:widowControl/>
              <w:jc w:val="center"/>
              <w:rPr>
                <w:rFonts w:ascii="宋体" w:hAnsi="宋体" w:cs="Arial"/>
                <w:sz w:val="24"/>
                <w:highlight w:val="none"/>
              </w:rPr>
            </w:pPr>
          </w:p>
          <w:p>
            <w:pPr>
              <w:jc w:val="center"/>
              <w:rPr>
                <w:rFonts w:ascii="宋体" w:hAnsi="宋体" w:cs="Arial"/>
                <w:sz w:val="24"/>
                <w:highlight w:val="none"/>
              </w:rPr>
            </w:pPr>
          </w:p>
        </w:tc>
        <w:tc>
          <w:tcPr>
            <w:tcW w:w="2410" w:type="dxa"/>
            <w:noWrap w:val="0"/>
            <w:vAlign w:val="center"/>
          </w:tcPr>
          <w:p>
            <w:pPr>
              <w:jc w:val="center"/>
              <w:rPr>
                <w:rFonts w:ascii="宋体" w:hAnsi="宋体" w:cs="Arial"/>
                <w:sz w:val="24"/>
                <w:highlight w:val="none"/>
              </w:rPr>
            </w:pPr>
          </w:p>
        </w:tc>
        <w:tc>
          <w:tcPr>
            <w:tcW w:w="2227" w:type="dxa"/>
            <w:noWrap w:val="0"/>
            <w:vAlign w:val="center"/>
          </w:tcPr>
          <w:p>
            <w:pPr>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21" w:type="dxa"/>
            <w:noWrap w:val="0"/>
            <w:vAlign w:val="center"/>
          </w:tcPr>
          <w:p>
            <w:pPr>
              <w:jc w:val="center"/>
              <w:rPr>
                <w:rFonts w:ascii="宋体" w:hAnsi="宋体" w:cs="Arial"/>
                <w:sz w:val="24"/>
                <w:highlight w:val="none"/>
              </w:rPr>
            </w:pPr>
          </w:p>
          <w:p>
            <w:pPr>
              <w:jc w:val="center"/>
              <w:rPr>
                <w:rFonts w:ascii="宋体" w:hAnsi="宋体" w:cs="Arial"/>
                <w:sz w:val="24"/>
                <w:highlight w:val="none"/>
              </w:rPr>
            </w:pPr>
          </w:p>
        </w:tc>
        <w:tc>
          <w:tcPr>
            <w:tcW w:w="1438" w:type="dxa"/>
            <w:noWrap w:val="0"/>
            <w:vAlign w:val="center"/>
          </w:tcPr>
          <w:p>
            <w:pPr>
              <w:widowControl/>
              <w:jc w:val="center"/>
              <w:rPr>
                <w:rFonts w:ascii="宋体" w:hAnsi="宋体" w:cs="Arial"/>
                <w:sz w:val="24"/>
                <w:highlight w:val="none"/>
              </w:rPr>
            </w:pPr>
          </w:p>
          <w:p>
            <w:pPr>
              <w:jc w:val="center"/>
              <w:rPr>
                <w:rFonts w:ascii="宋体" w:hAnsi="宋体" w:cs="Arial"/>
                <w:sz w:val="24"/>
                <w:highlight w:val="none"/>
              </w:rPr>
            </w:pPr>
          </w:p>
        </w:tc>
        <w:tc>
          <w:tcPr>
            <w:tcW w:w="2410" w:type="dxa"/>
            <w:noWrap w:val="0"/>
            <w:vAlign w:val="center"/>
          </w:tcPr>
          <w:p>
            <w:pPr>
              <w:jc w:val="center"/>
              <w:rPr>
                <w:rFonts w:ascii="宋体" w:hAnsi="宋体" w:cs="Arial"/>
                <w:sz w:val="24"/>
                <w:highlight w:val="none"/>
              </w:rPr>
            </w:pPr>
          </w:p>
        </w:tc>
        <w:tc>
          <w:tcPr>
            <w:tcW w:w="2227" w:type="dxa"/>
            <w:noWrap w:val="0"/>
            <w:vAlign w:val="center"/>
          </w:tcPr>
          <w:p>
            <w:pPr>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21" w:type="dxa"/>
            <w:noWrap w:val="0"/>
            <w:vAlign w:val="center"/>
          </w:tcPr>
          <w:p>
            <w:pPr>
              <w:jc w:val="center"/>
              <w:rPr>
                <w:rFonts w:ascii="宋体" w:hAnsi="宋体" w:cs="Arial"/>
                <w:sz w:val="24"/>
                <w:highlight w:val="none"/>
              </w:rPr>
            </w:pPr>
          </w:p>
        </w:tc>
        <w:tc>
          <w:tcPr>
            <w:tcW w:w="1438" w:type="dxa"/>
            <w:noWrap w:val="0"/>
            <w:vAlign w:val="center"/>
          </w:tcPr>
          <w:p>
            <w:pPr>
              <w:jc w:val="center"/>
              <w:rPr>
                <w:rFonts w:ascii="宋体" w:hAnsi="宋体" w:cs="Arial"/>
                <w:sz w:val="24"/>
                <w:highlight w:val="none"/>
              </w:rPr>
            </w:pPr>
          </w:p>
        </w:tc>
        <w:tc>
          <w:tcPr>
            <w:tcW w:w="2410" w:type="dxa"/>
            <w:noWrap w:val="0"/>
            <w:vAlign w:val="center"/>
          </w:tcPr>
          <w:p>
            <w:pPr>
              <w:rPr>
                <w:rFonts w:ascii="宋体" w:hAnsi="宋体" w:cs="Arial"/>
                <w:sz w:val="24"/>
                <w:highlight w:val="none"/>
              </w:rPr>
            </w:pPr>
          </w:p>
        </w:tc>
        <w:tc>
          <w:tcPr>
            <w:tcW w:w="2227" w:type="dxa"/>
            <w:noWrap w:val="0"/>
            <w:vAlign w:val="center"/>
          </w:tcPr>
          <w:p>
            <w:pPr>
              <w:widowControl/>
              <w:jc w:val="center"/>
              <w:rPr>
                <w:rFonts w:ascii="宋体" w:hAnsi="宋体" w:cs="Arial"/>
                <w:sz w:val="24"/>
                <w:highlight w:val="none"/>
              </w:rPr>
            </w:pPr>
          </w:p>
          <w:p>
            <w:pPr>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21" w:type="dxa"/>
            <w:noWrap w:val="0"/>
            <w:vAlign w:val="center"/>
          </w:tcPr>
          <w:p>
            <w:pPr>
              <w:jc w:val="center"/>
              <w:rPr>
                <w:rFonts w:ascii="宋体" w:hAnsi="宋体" w:cs="Arial"/>
                <w:sz w:val="24"/>
                <w:highlight w:val="none"/>
              </w:rPr>
            </w:pPr>
          </w:p>
        </w:tc>
        <w:tc>
          <w:tcPr>
            <w:tcW w:w="1438" w:type="dxa"/>
            <w:noWrap w:val="0"/>
            <w:vAlign w:val="center"/>
          </w:tcPr>
          <w:p>
            <w:pPr>
              <w:jc w:val="center"/>
              <w:rPr>
                <w:rFonts w:ascii="宋体" w:hAnsi="宋体" w:cs="Arial"/>
                <w:sz w:val="24"/>
                <w:highlight w:val="none"/>
              </w:rPr>
            </w:pPr>
          </w:p>
        </w:tc>
        <w:tc>
          <w:tcPr>
            <w:tcW w:w="2410" w:type="dxa"/>
            <w:noWrap w:val="0"/>
            <w:vAlign w:val="center"/>
          </w:tcPr>
          <w:p>
            <w:pPr>
              <w:jc w:val="center"/>
              <w:rPr>
                <w:rFonts w:ascii="宋体" w:hAnsi="宋体" w:cs="Arial"/>
                <w:sz w:val="24"/>
                <w:highlight w:val="none"/>
              </w:rPr>
            </w:pPr>
          </w:p>
        </w:tc>
        <w:tc>
          <w:tcPr>
            <w:tcW w:w="2227" w:type="dxa"/>
            <w:noWrap w:val="0"/>
            <w:vAlign w:val="center"/>
          </w:tcPr>
          <w:p>
            <w:pPr>
              <w:widowControl/>
              <w:jc w:val="center"/>
              <w:rPr>
                <w:rFonts w:ascii="宋体" w:hAnsi="宋体" w:cs="Arial"/>
                <w:sz w:val="24"/>
                <w:highlight w:val="none"/>
              </w:rPr>
            </w:pPr>
          </w:p>
        </w:tc>
        <w:tc>
          <w:tcPr>
            <w:tcW w:w="1620" w:type="dxa"/>
            <w:noWrap w:val="0"/>
            <w:vAlign w:val="center"/>
          </w:tcPr>
          <w:p>
            <w:pPr>
              <w:jc w:val="center"/>
              <w:rPr>
                <w:rFonts w:ascii="宋体" w:hAnsi="宋体" w:cs="Arial"/>
                <w:sz w:val="24"/>
                <w:highlight w:val="none"/>
              </w:rPr>
            </w:pPr>
          </w:p>
        </w:tc>
        <w:tc>
          <w:tcPr>
            <w:tcW w:w="1114" w:type="dxa"/>
            <w:noWrap w:val="0"/>
            <w:vAlign w:val="center"/>
          </w:tcPr>
          <w:p>
            <w:pPr>
              <w:jc w:val="center"/>
              <w:rPr>
                <w:rFonts w:ascii="宋体" w:hAnsi="宋体" w:cs="Arial"/>
                <w:sz w:val="24"/>
                <w:highlight w:val="none"/>
              </w:rPr>
            </w:pPr>
          </w:p>
        </w:tc>
      </w:tr>
    </w:tbl>
    <w:p>
      <w:pPr>
        <w:rPr>
          <w:rFonts w:ascii="宋体" w:hAnsi="宋体" w:cs="Arial"/>
          <w:sz w:val="24"/>
          <w:highlight w:val="none"/>
        </w:rPr>
      </w:pPr>
      <w:r>
        <w:rPr>
          <w:rFonts w:ascii="宋体" w:hAnsi="宋体" w:cs="Arial"/>
          <w:sz w:val="24"/>
          <w:highlight w:val="none"/>
        </w:rPr>
        <w:t>注：与</w:t>
      </w:r>
      <w:r>
        <w:rPr>
          <w:rFonts w:hint="eastAsia" w:ascii="宋体" w:hAnsi="宋体" w:cs="Arial"/>
          <w:sz w:val="24"/>
          <w:highlight w:val="none"/>
        </w:rPr>
        <w:t>磋商</w:t>
      </w:r>
      <w:r>
        <w:rPr>
          <w:rFonts w:ascii="宋体" w:hAnsi="宋体" w:cs="Arial"/>
          <w:sz w:val="24"/>
          <w:highlight w:val="none"/>
        </w:rPr>
        <w:t>文件要求逐条对应填写。</w:t>
      </w:r>
    </w:p>
    <w:p>
      <w:pPr>
        <w:rPr>
          <w:rFonts w:ascii="宋体" w:hAnsi="宋体" w:cs="Arial"/>
          <w:sz w:val="24"/>
          <w:highlight w:val="none"/>
        </w:rPr>
      </w:pPr>
    </w:p>
    <w:p>
      <w:pPr>
        <w:rPr>
          <w:rFonts w:ascii="宋体" w:hAnsi="宋体" w:cs="Arial"/>
          <w:sz w:val="24"/>
          <w:highlight w:val="none"/>
          <w:u w:val="single"/>
        </w:rPr>
      </w:pPr>
      <w:r>
        <w:rPr>
          <w:rFonts w:hint="eastAsia" w:ascii="宋体" w:hAnsi="宋体" w:cs="Arial"/>
          <w:sz w:val="24"/>
          <w:highlight w:val="none"/>
        </w:rPr>
        <w:t>投标人</w:t>
      </w:r>
      <w:r>
        <w:rPr>
          <w:rFonts w:ascii="宋体" w:hAnsi="宋体" w:cs="Arial"/>
          <w:sz w:val="24"/>
          <w:highlight w:val="none"/>
        </w:rPr>
        <w:t>代表签字：</w:t>
      </w:r>
      <w:r>
        <w:rPr>
          <w:rFonts w:ascii="宋体" w:hAnsi="宋体" w:cs="Arial"/>
          <w:sz w:val="24"/>
          <w:highlight w:val="none"/>
          <w:u w:val="single"/>
        </w:rPr>
        <w:t>　　　　　　　　　　　　　　　</w:t>
      </w:r>
    </w:p>
    <w:p>
      <w:pPr>
        <w:spacing w:line="400" w:lineRule="atLeast"/>
        <w:jc w:val="center"/>
        <w:rPr>
          <w:rFonts w:ascii="宋体" w:hAnsi="宋体" w:cs="Arial"/>
          <w:sz w:val="24"/>
          <w:highlight w:val="none"/>
        </w:rPr>
      </w:pPr>
      <w:r>
        <w:rPr>
          <w:rFonts w:ascii="宋体" w:hAnsi="宋体" w:cs="Arial"/>
          <w:sz w:val="24"/>
          <w:highlight w:val="none"/>
        </w:rPr>
        <w:br w:type="page"/>
      </w:r>
      <w:r>
        <w:rPr>
          <w:rFonts w:hint="eastAsia" w:ascii="宋体" w:hAnsi="宋体" w:cs="Arial"/>
          <w:sz w:val="24"/>
          <w:highlight w:val="none"/>
        </w:rPr>
        <w:t>5</w:t>
      </w:r>
      <w:r>
        <w:rPr>
          <w:rFonts w:ascii="宋体" w:hAnsi="宋体" w:cs="Arial"/>
          <w:sz w:val="24"/>
          <w:highlight w:val="none"/>
        </w:rPr>
        <w:t>、商务条款偏离表</w:t>
      </w:r>
    </w:p>
    <w:p>
      <w:pPr>
        <w:ind w:firstLine="2640"/>
        <w:rPr>
          <w:rFonts w:ascii="宋体" w:hAnsi="宋体" w:cs="Arial"/>
          <w:sz w:val="24"/>
          <w:highlight w:val="none"/>
        </w:rPr>
      </w:pPr>
    </w:p>
    <w:p>
      <w:pPr>
        <w:rPr>
          <w:rFonts w:ascii="宋体" w:hAnsi="宋体" w:cs="Arial"/>
          <w:sz w:val="24"/>
          <w:highlight w:val="none"/>
          <w:u w:val="single"/>
        </w:rPr>
      </w:pPr>
      <w:r>
        <w:rPr>
          <w:rFonts w:hint="eastAsia" w:ascii="宋体" w:hAnsi="宋体" w:cs="Arial"/>
          <w:sz w:val="24"/>
          <w:highlight w:val="none"/>
        </w:rPr>
        <w:t>供应商</w:t>
      </w:r>
      <w:r>
        <w:rPr>
          <w:rFonts w:ascii="宋体" w:hAnsi="宋体" w:cs="Arial"/>
          <w:sz w:val="24"/>
          <w:highlight w:val="none"/>
        </w:rPr>
        <w:t>名称（公章）：</w:t>
      </w:r>
      <w:r>
        <w:rPr>
          <w:rFonts w:ascii="宋体" w:hAnsi="宋体" w:cs="Arial"/>
          <w:sz w:val="24"/>
          <w:highlight w:val="none"/>
          <w:u w:val="single"/>
        </w:rPr>
        <w:t xml:space="preserve">         　　　　　  </w:t>
      </w:r>
      <w:r>
        <w:rPr>
          <w:rFonts w:ascii="宋体" w:hAnsi="宋体" w:cs="Arial"/>
          <w:sz w:val="24"/>
          <w:highlight w:val="none"/>
        </w:rPr>
        <w:t>项目编号：</w:t>
      </w:r>
      <w:r>
        <w:rPr>
          <w:rFonts w:ascii="宋体" w:hAnsi="宋体" w:cs="Arial"/>
          <w:sz w:val="24"/>
          <w:highlight w:val="none"/>
          <w:u w:val="single"/>
        </w:rPr>
        <w:t>　　　　　　　　　　　</w:t>
      </w:r>
    </w:p>
    <w:tbl>
      <w:tblPr>
        <w:tblStyle w:val="19"/>
        <w:tblW w:w="940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438"/>
        <w:gridCol w:w="2552"/>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596" w:type="dxa"/>
            <w:noWrap w:val="0"/>
            <w:vAlign w:val="center"/>
          </w:tcPr>
          <w:p>
            <w:pPr>
              <w:jc w:val="center"/>
              <w:rPr>
                <w:rFonts w:ascii="宋体" w:hAnsi="宋体" w:cs="Arial"/>
                <w:sz w:val="24"/>
                <w:highlight w:val="none"/>
              </w:rPr>
            </w:pPr>
            <w:r>
              <w:rPr>
                <w:rFonts w:ascii="宋体" w:hAnsi="宋体" w:cs="Arial"/>
                <w:sz w:val="24"/>
                <w:highlight w:val="none"/>
              </w:rPr>
              <w:t>序号</w:t>
            </w:r>
          </w:p>
        </w:tc>
        <w:tc>
          <w:tcPr>
            <w:tcW w:w="1438" w:type="dxa"/>
            <w:noWrap w:val="0"/>
            <w:vAlign w:val="center"/>
          </w:tcPr>
          <w:p>
            <w:pPr>
              <w:jc w:val="center"/>
              <w:rPr>
                <w:rFonts w:ascii="宋体" w:hAnsi="宋体" w:cs="Arial"/>
                <w:sz w:val="24"/>
                <w:highlight w:val="none"/>
              </w:rPr>
            </w:pPr>
            <w:r>
              <w:rPr>
                <w:rFonts w:hint="eastAsia" w:ascii="宋体" w:hAnsi="宋体" w:cs="Arial"/>
                <w:sz w:val="24"/>
                <w:highlight w:val="none"/>
              </w:rPr>
              <w:t>磋商</w:t>
            </w:r>
            <w:r>
              <w:rPr>
                <w:rFonts w:ascii="宋体" w:hAnsi="宋体" w:cs="Arial"/>
                <w:sz w:val="24"/>
                <w:highlight w:val="none"/>
              </w:rPr>
              <w:t>文件</w:t>
            </w:r>
          </w:p>
          <w:p>
            <w:pPr>
              <w:jc w:val="center"/>
              <w:rPr>
                <w:rFonts w:ascii="宋体" w:hAnsi="宋体" w:cs="Arial"/>
                <w:sz w:val="24"/>
                <w:highlight w:val="none"/>
              </w:rPr>
            </w:pPr>
            <w:r>
              <w:rPr>
                <w:rFonts w:ascii="宋体" w:hAnsi="宋体" w:cs="Arial"/>
                <w:sz w:val="24"/>
                <w:highlight w:val="none"/>
              </w:rPr>
              <w:t>条目号</w:t>
            </w:r>
          </w:p>
        </w:tc>
        <w:tc>
          <w:tcPr>
            <w:tcW w:w="2552" w:type="dxa"/>
            <w:noWrap w:val="0"/>
            <w:vAlign w:val="center"/>
          </w:tcPr>
          <w:p>
            <w:pPr>
              <w:jc w:val="center"/>
              <w:rPr>
                <w:rFonts w:ascii="宋体" w:hAnsi="宋体" w:cs="Arial"/>
                <w:sz w:val="24"/>
                <w:highlight w:val="none"/>
              </w:rPr>
            </w:pPr>
            <w:r>
              <w:rPr>
                <w:rFonts w:hint="eastAsia" w:ascii="宋体" w:hAnsi="宋体" w:cs="Arial"/>
                <w:sz w:val="24"/>
                <w:highlight w:val="none"/>
              </w:rPr>
              <w:t>磋商</w:t>
            </w:r>
            <w:r>
              <w:rPr>
                <w:rFonts w:ascii="宋体" w:hAnsi="宋体" w:cs="Arial"/>
                <w:sz w:val="24"/>
                <w:highlight w:val="none"/>
              </w:rPr>
              <w:t>文件的商务条款</w:t>
            </w:r>
          </w:p>
        </w:tc>
        <w:tc>
          <w:tcPr>
            <w:tcW w:w="2835" w:type="dxa"/>
            <w:noWrap w:val="0"/>
            <w:vAlign w:val="center"/>
          </w:tcPr>
          <w:p>
            <w:pPr>
              <w:jc w:val="center"/>
              <w:rPr>
                <w:rFonts w:ascii="宋体" w:hAnsi="宋体" w:cs="Arial"/>
                <w:sz w:val="24"/>
                <w:highlight w:val="none"/>
              </w:rPr>
            </w:pPr>
            <w:r>
              <w:rPr>
                <w:rFonts w:hint="eastAsia" w:ascii="宋体" w:hAnsi="宋体" w:cs="Arial"/>
                <w:sz w:val="24"/>
                <w:highlight w:val="none"/>
              </w:rPr>
              <w:t>磋商</w:t>
            </w:r>
            <w:r>
              <w:rPr>
                <w:rFonts w:ascii="宋体" w:hAnsi="宋体" w:cs="Arial"/>
                <w:sz w:val="24"/>
                <w:highlight w:val="none"/>
              </w:rPr>
              <w:t>响应文件的商务条款</w:t>
            </w:r>
          </w:p>
        </w:tc>
        <w:tc>
          <w:tcPr>
            <w:tcW w:w="1984" w:type="dxa"/>
            <w:noWrap w:val="0"/>
            <w:vAlign w:val="center"/>
          </w:tcPr>
          <w:p>
            <w:pPr>
              <w:jc w:val="center"/>
              <w:rPr>
                <w:rFonts w:ascii="宋体" w:hAnsi="宋体" w:cs="Arial"/>
                <w:sz w:val="24"/>
                <w:highlight w:val="none"/>
              </w:rPr>
            </w:pPr>
            <w:r>
              <w:rPr>
                <w:rFonts w:ascii="宋体" w:hAnsi="宋体" w:cs="Arial"/>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noWrap w:val="0"/>
            <w:vAlign w:val="center"/>
          </w:tcPr>
          <w:p>
            <w:pPr>
              <w:rPr>
                <w:rFonts w:ascii="宋体" w:hAnsi="宋体" w:cs="Arial"/>
                <w:sz w:val="24"/>
                <w:highlight w:val="none"/>
              </w:rPr>
            </w:pPr>
          </w:p>
          <w:p>
            <w:pPr>
              <w:rPr>
                <w:rFonts w:ascii="宋体" w:hAnsi="宋体" w:cs="Arial"/>
                <w:sz w:val="24"/>
                <w:highlight w:val="none"/>
              </w:rPr>
            </w:pPr>
          </w:p>
        </w:tc>
        <w:tc>
          <w:tcPr>
            <w:tcW w:w="1438" w:type="dxa"/>
            <w:noWrap w:val="0"/>
            <w:vAlign w:val="center"/>
          </w:tcPr>
          <w:p>
            <w:pPr>
              <w:widowControl/>
              <w:rPr>
                <w:rFonts w:ascii="宋体" w:hAnsi="宋体" w:cs="Arial"/>
                <w:sz w:val="24"/>
                <w:highlight w:val="none"/>
              </w:rPr>
            </w:pPr>
          </w:p>
          <w:p>
            <w:pPr>
              <w:rPr>
                <w:rFonts w:ascii="宋体" w:hAnsi="宋体" w:cs="Arial"/>
                <w:sz w:val="24"/>
                <w:highlight w:val="none"/>
              </w:rPr>
            </w:pPr>
          </w:p>
        </w:tc>
        <w:tc>
          <w:tcPr>
            <w:tcW w:w="2552" w:type="dxa"/>
            <w:noWrap w:val="0"/>
            <w:vAlign w:val="center"/>
          </w:tcPr>
          <w:p>
            <w:pPr>
              <w:rPr>
                <w:rFonts w:ascii="宋体" w:hAnsi="宋体" w:cs="Arial"/>
                <w:sz w:val="24"/>
                <w:highlight w:val="none"/>
              </w:rPr>
            </w:pPr>
          </w:p>
        </w:tc>
        <w:tc>
          <w:tcPr>
            <w:tcW w:w="2835" w:type="dxa"/>
            <w:noWrap w:val="0"/>
            <w:vAlign w:val="center"/>
          </w:tcPr>
          <w:p>
            <w:pPr>
              <w:rPr>
                <w:rFonts w:ascii="宋体" w:hAnsi="宋体" w:cs="Arial"/>
                <w:sz w:val="24"/>
                <w:highlight w:val="none"/>
              </w:rPr>
            </w:pPr>
          </w:p>
        </w:tc>
        <w:tc>
          <w:tcPr>
            <w:tcW w:w="1984" w:type="dxa"/>
            <w:noWrap w:val="0"/>
            <w:vAlign w:val="center"/>
          </w:tcPr>
          <w:p>
            <w:pP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noWrap w:val="0"/>
            <w:vAlign w:val="center"/>
          </w:tcPr>
          <w:p>
            <w:pPr>
              <w:rPr>
                <w:rFonts w:ascii="宋体" w:hAnsi="宋体" w:cs="Arial"/>
                <w:sz w:val="24"/>
                <w:highlight w:val="none"/>
              </w:rPr>
            </w:pPr>
          </w:p>
          <w:p>
            <w:pPr>
              <w:rPr>
                <w:rFonts w:ascii="宋体" w:hAnsi="宋体" w:cs="Arial"/>
                <w:sz w:val="24"/>
                <w:highlight w:val="none"/>
              </w:rPr>
            </w:pPr>
          </w:p>
        </w:tc>
        <w:tc>
          <w:tcPr>
            <w:tcW w:w="1438" w:type="dxa"/>
            <w:noWrap w:val="0"/>
            <w:vAlign w:val="center"/>
          </w:tcPr>
          <w:p>
            <w:pPr>
              <w:widowControl/>
              <w:rPr>
                <w:rFonts w:ascii="宋体" w:hAnsi="宋体" w:cs="Arial"/>
                <w:sz w:val="24"/>
                <w:highlight w:val="none"/>
              </w:rPr>
            </w:pPr>
          </w:p>
          <w:p>
            <w:pPr>
              <w:rPr>
                <w:rFonts w:ascii="宋体" w:hAnsi="宋体" w:cs="Arial"/>
                <w:sz w:val="24"/>
                <w:highlight w:val="none"/>
              </w:rPr>
            </w:pPr>
          </w:p>
        </w:tc>
        <w:tc>
          <w:tcPr>
            <w:tcW w:w="2552" w:type="dxa"/>
            <w:noWrap w:val="0"/>
            <w:vAlign w:val="center"/>
          </w:tcPr>
          <w:p>
            <w:pPr>
              <w:rPr>
                <w:rFonts w:ascii="宋体" w:hAnsi="宋体" w:cs="Arial"/>
                <w:sz w:val="24"/>
                <w:highlight w:val="none"/>
              </w:rPr>
            </w:pPr>
          </w:p>
        </w:tc>
        <w:tc>
          <w:tcPr>
            <w:tcW w:w="2835" w:type="dxa"/>
            <w:noWrap w:val="0"/>
            <w:vAlign w:val="center"/>
          </w:tcPr>
          <w:p>
            <w:pPr>
              <w:rPr>
                <w:rFonts w:ascii="宋体" w:hAnsi="宋体" w:cs="Arial"/>
                <w:sz w:val="24"/>
                <w:highlight w:val="none"/>
              </w:rPr>
            </w:pPr>
          </w:p>
        </w:tc>
        <w:tc>
          <w:tcPr>
            <w:tcW w:w="1984" w:type="dxa"/>
            <w:noWrap w:val="0"/>
            <w:vAlign w:val="center"/>
          </w:tcPr>
          <w:p>
            <w:pP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noWrap w:val="0"/>
            <w:vAlign w:val="center"/>
          </w:tcPr>
          <w:p>
            <w:pPr>
              <w:rPr>
                <w:rFonts w:ascii="宋体" w:hAnsi="宋体" w:cs="Arial"/>
                <w:sz w:val="24"/>
                <w:highlight w:val="none"/>
              </w:rPr>
            </w:pPr>
          </w:p>
          <w:p>
            <w:pPr>
              <w:rPr>
                <w:rFonts w:ascii="宋体" w:hAnsi="宋体" w:cs="Arial"/>
                <w:sz w:val="24"/>
                <w:highlight w:val="none"/>
              </w:rPr>
            </w:pPr>
          </w:p>
        </w:tc>
        <w:tc>
          <w:tcPr>
            <w:tcW w:w="1438" w:type="dxa"/>
            <w:noWrap w:val="0"/>
            <w:vAlign w:val="center"/>
          </w:tcPr>
          <w:p>
            <w:pPr>
              <w:widowControl/>
              <w:rPr>
                <w:rFonts w:ascii="宋体" w:hAnsi="宋体" w:cs="Arial"/>
                <w:sz w:val="24"/>
                <w:highlight w:val="none"/>
              </w:rPr>
            </w:pPr>
          </w:p>
          <w:p>
            <w:pPr>
              <w:rPr>
                <w:rFonts w:ascii="宋体" w:hAnsi="宋体" w:cs="Arial"/>
                <w:sz w:val="24"/>
                <w:highlight w:val="none"/>
              </w:rPr>
            </w:pPr>
          </w:p>
        </w:tc>
        <w:tc>
          <w:tcPr>
            <w:tcW w:w="2552" w:type="dxa"/>
            <w:noWrap w:val="0"/>
            <w:vAlign w:val="center"/>
          </w:tcPr>
          <w:p>
            <w:pPr>
              <w:rPr>
                <w:rFonts w:ascii="宋体" w:hAnsi="宋体" w:cs="Arial"/>
                <w:sz w:val="24"/>
                <w:highlight w:val="none"/>
              </w:rPr>
            </w:pPr>
          </w:p>
        </w:tc>
        <w:tc>
          <w:tcPr>
            <w:tcW w:w="2835" w:type="dxa"/>
            <w:noWrap w:val="0"/>
            <w:vAlign w:val="center"/>
          </w:tcPr>
          <w:p>
            <w:pPr>
              <w:rPr>
                <w:rFonts w:ascii="宋体" w:hAnsi="宋体" w:cs="Arial"/>
                <w:sz w:val="24"/>
                <w:highlight w:val="none"/>
              </w:rPr>
            </w:pPr>
          </w:p>
        </w:tc>
        <w:tc>
          <w:tcPr>
            <w:tcW w:w="1984" w:type="dxa"/>
            <w:noWrap w:val="0"/>
            <w:vAlign w:val="center"/>
          </w:tcPr>
          <w:p>
            <w:pP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atLeast"/>
        </w:trPr>
        <w:tc>
          <w:tcPr>
            <w:tcW w:w="596" w:type="dxa"/>
            <w:noWrap w:val="0"/>
            <w:vAlign w:val="center"/>
          </w:tcPr>
          <w:p>
            <w:pPr>
              <w:rPr>
                <w:rFonts w:ascii="宋体" w:hAnsi="宋体" w:cs="Arial"/>
                <w:sz w:val="24"/>
                <w:highlight w:val="none"/>
              </w:rPr>
            </w:pPr>
          </w:p>
          <w:p>
            <w:pPr>
              <w:rPr>
                <w:rFonts w:ascii="宋体" w:hAnsi="宋体" w:cs="Arial"/>
                <w:sz w:val="24"/>
                <w:highlight w:val="none"/>
              </w:rPr>
            </w:pPr>
          </w:p>
        </w:tc>
        <w:tc>
          <w:tcPr>
            <w:tcW w:w="1438" w:type="dxa"/>
            <w:noWrap w:val="0"/>
            <w:vAlign w:val="center"/>
          </w:tcPr>
          <w:p>
            <w:pPr>
              <w:widowControl/>
              <w:rPr>
                <w:rFonts w:ascii="宋体" w:hAnsi="宋体" w:cs="Arial"/>
                <w:sz w:val="24"/>
                <w:highlight w:val="none"/>
              </w:rPr>
            </w:pPr>
          </w:p>
          <w:p>
            <w:pPr>
              <w:rPr>
                <w:rFonts w:ascii="宋体" w:hAnsi="宋体" w:cs="Arial"/>
                <w:sz w:val="24"/>
                <w:highlight w:val="none"/>
              </w:rPr>
            </w:pPr>
          </w:p>
        </w:tc>
        <w:tc>
          <w:tcPr>
            <w:tcW w:w="2552" w:type="dxa"/>
            <w:noWrap w:val="0"/>
            <w:vAlign w:val="center"/>
          </w:tcPr>
          <w:p>
            <w:pPr>
              <w:rPr>
                <w:rFonts w:ascii="宋体" w:hAnsi="宋体" w:cs="Arial"/>
                <w:sz w:val="24"/>
                <w:highlight w:val="none"/>
              </w:rPr>
            </w:pPr>
          </w:p>
        </w:tc>
        <w:tc>
          <w:tcPr>
            <w:tcW w:w="2835" w:type="dxa"/>
            <w:noWrap w:val="0"/>
            <w:vAlign w:val="center"/>
          </w:tcPr>
          <w:p>
            <w:pPr>
              <w:rPr>
                <w:rFonts w:ascii="宋体" w:hAnsi="宋体" w:cs="Arial"/>
                <w:sz w:val="24"/>
                <w:highlight w:val="none"/>
              </w:rPr>
            </w:pPr>
          </w:p>
        </w:tc>
        <w:tc>
          <w:tcPr>
            <w:tcW w:w="1984" w:type="dxa"/>
            <w:noWrap w:val="0"/>
            <w:vAlign w:val="center"/>
          </w:tcPr>
          <w:p>
            <w:pP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atLeast"/>
        </w:trPr>
        <w:tc>
          <w:tcPr>
            <w:tcW w:w="596" w:type="dxa"/>
            <w:noWrap w:val="0"/>
            <w:vAlign w:val="center"/>
          </w:tcPr>
          <w:p>
            <w:pPr>
              <w:rPr>
                <w:rFonts w:ascii="宋体" w:hAnsi="宋体" w:cs="Arial"/>
                <w:sz w:val="24"/>
                <w:highlight w:val="none"/>
              </w:rPr>
            </w:pPr>
          </w:p>
          <w:p>
            <w:pPr>
              <w:rPr>
                <w:rFonts w:ascii="宋体" w:hAnsi="宋体" w:cs="Arial"/>
                <w:sz w:val="24"/>
                <w:highlight w:val="none"/>
              </w:rPr>
            </w:pPr>
          </w:p>
        </w:tc>
        <w:tc>
          <w:tcPr>
            <w:tcW w:w="1438" w:type="dxa"/>
            <w:noWrap w:val="0"/>
            <w:vAlign w:val="center"/>
          </w:tcPr>
          <w:p>
            <w:pPr>
              <w:widowControl/>
              <w:rPr>
                <w:rFonts w:ascii="宋体" w:hAnsi="宋体" w:cs="Arial"/>
                <w:sz w:val="24"/>
                <w:highlight w:val="none"/>
              </w:rPr>
            </w:pPr>
          </w:p>
          <w:p>
            <w:pPr>
              <w:rPr>
                <w:rFonts w:ascii="宋体" w:hAnsi="宋体" w:cs="Arial"/>
                <w:sz w:val="24"/>
                <w:highlight w:val="none"/>
              </w:rPr>
            </w:pPr>
          </w:p>
        </w:tc>
        <w:tc>
          <w:tcPr>
            <w:tcW w:w="2552" w:type="dxa"/>
            <w:noWrap w:val="0"/>
            <w:vAlign w:val="center"/>
          </w:tcPr>
          <w:p>
            <w:pPr>
              <w:rPr>
                <w:rFonts w:ascii="宋体" w:hAnsi="宋体" w:cs="Arial"/>
                <w:sz w:val="24"/>
                <w:highlight w:val="none"/>
              </w:rPr>
            </w:pPr>
          </w:p>
        </w:tc>
        <w:tc>
          <w:tcPr>
            <w:tcW w:w="2835" w:type="dxa"/>
            <w:noWrap w:val="0"/>
            <w:vAlign w:val="center"/>
          </w:tcPr>
          <w:p>
            <w:pPr>
              <w:rPr>
                <w:rFonts w:ascii="宋体" w:hAnsi="宋体" w:cs="Arial"/>
                <w:sz w:val="24"/>
                <w:highlight w:val="none"/>
              </w:rPr>
            </w:pPr>
          </w:p>
        </w:tc>
        <w:tc>
          <w:tcPr>
            <w:tcW w:w="1984" w:type="dxa"/>
            <w:noWrap w:val="0"/>
            <w:vAlign w:val="center"/>
          </w:tcPr>
          <w:p>
            <w:pP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atLeast"/>
        </w:trPr>
        <w:tc>
          <w:tcPr>
            <w:tcW w:w="596" w:type="dxa"/>
            <w:noWrap w:val="0"/>
            <w:vAlign w:val="center"/>
          </w:tcPr>
          <w:p>
            <w:pPr>
              <w:rPr>
                <w:rFonts w:ascii="宋体" w:hAnsi="宋体" w:cs="Arial"/>
                <w:sz w:val="24"/>
                <w:highlight w:val="none"/>
              </w:rPr>
            </w:pPr>
          </w:p>
          <w:p>
            <w:pPr>
              <w:rPr>
                <w:rFonts w:ascii="宋体" w:hAnsi="宋体" w:cs="Arial"/>
                <w:sz w:val="24"/>
                <w:highlight w:val="none"/>
              </w:rPr>
            </w:pPr>
          </w:p>
        </w:tc>
        <w:tc>
          <w:tcPr>
            <w:tcW w:w="1438" w:type="dxa"/>
            <w:noWrap w:val="0"/>
            <w:vAlign w:val="center"/>
          </w:tcPr>
          <w:p>
            <w:pPr>
              <w:widowControl/>
              <w:rPr>
                <w:rFonts w:ascii="宋体" w:hAnsi="宋体" w:cs="Arial"/>
                <w:sz w:val="24"/>
                <w:highlight w:val="none"/>
              </w:rPr>
            </w:pPr>
          </w:p>
          <w:p>
            <w:pPr>
              <w:rPr>
                <w:rFonts w:ascii="宋体" w:hAnsi="宋体" w:cs="Arial"/>
                <w:sz w:val="24"/>
                <w:highlight w:val="none"/>
              </w:rPr>
            </w:pPr>
          </w:p>
        </w:tc>
        <w:tc>
          <w:tcPr>
            <w:tcW w:w="2552" w:type="dxa"/>
            <w:noWrap w:val="0"/>
            <w:vAlign w:val="center"/>
          </w:tcPr>
          <w:p>
            <w:pPr>
              <w:rPr>
                <w:rFonts w:ascii="宋体" w:hAnsi="宋体" w:cs="Arial"/>
                <w:sz w:val="24"/>
                <w:highlight w:val="none"/>
              </w:rPr>
            </w:pPr>
          </w:p>
        </w:tc>
        <w:tc>
          <w:tcPr>
            <w:tcW w:w="2835" w:type="dxa"/>
            <w:noWrap w:val="0"/>
            <w:vAlign w:val="center"/>
          </w:tcPr>
          <w:p>
            <w:pPr>
              <w:rPr>
                <w:rFonts w:ascii="宋体" w:hAnsi="宋体" w:cs="Arial"/>
                <w:sz w:val="24"/>
                <w:highlight w:val="none"/>
              </w:rPr>
            </w:pPr>
          </w:p>
        </w:tc>
        <w:tc>
          <w:tcPr>
            <w:tcW w:w="1984" w:type="dxa"/>
            <w:noWrap w:val="0"/>
            <w:vAlign w:val="center"/>
          </w:tcPr>
          <w:p>
            <w:pPr>
              <w:rPr>
                <w:rFonts w:ascii="宋体" w:hAnsi="宋体"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atLeast"/>
        </w:trPr>
        <w:tc>
          <w:tcPr>
            <w:tcW w:w="596" w:type="dxa"/>
            <w:noWrap w:val="0"/>
            <w:vAlign w:val="center"/>
          </w:tcPr>
          <w:p>
            <w:pPr>
              <w:rPr>
                <w:rFonts w:ascii="宋体" w:hAnsi="宋体" w:cs="Arial"/>
                <w:sz w:val="24"/>
                <w:highlight w:val="none"/>
              </w:rPr>
            </w:pPr>
          </w:p>
          <w:p>
            <w:pPr>
              <w:rPr>
                <w:rFonts w:ascii="宋体" w:hAnsi="宋体" w:cs="Arial"/>
                <w:sz w:val="24"/>
                <w:highlight w:val="none"/>
              </w:rPr>
            </w:pPr>
          </w:p>
        </w:tc>
        <w:tc>
          <w:tcPr>
            <w:tcW w:w="1438" w:type="dxa"/>
            <w:noWrap w:val="0"/>
            <w:vAlign w:val="center"/>
          </w:tcPr>
          <w:p>
            <w:pPr>
              <w:widowControl/>
              <w:rPr>
                <w:rFonts w:ascii="宋体" w:hAnsi="宋体" w:cs="Arial"/>
                <w:sz w:val="24"/>
                <w:highlight w:val="none"/>
              </w:rPr>
            </w:pPr>
          </w:p>
          <w:p>
            <w:pPr>
              <w:rPr>
                <w:rFonts w:ascii="宋体" w:hAnsi="宋体" w:cs="Arial"/>
                <w:sz w:val="24"/>
                <w:highlight w:val="none"/>
              </w:rPr>
            </w:pPr>
          </w:p>
        </w:tc>
        <w:tc>
          <w:tcPr>
            <w:tcW w:w="2552" w:type="dxa"/>
            <w:noWrap w:val="0"/>
            <w:vAlign w:val="center"/>
          </w:tcPr>
          <w:p>
            <w:pPr>
              <w:rPr>
                <w:rFonts w:ascii="宋体" w:hAnsi="宋体" w:cs="Arial"/>
                <w:sz w:val="24"/>
                <w:highlight w:val="none"/>
              </w:rPr>
            </w:pPr>
          </w:p>
        </w:tc>
        <w:tc>
          <w:tcPr>
            <w:tcW w:w="2835" w:type="dxa"/>
            <w:noWrap w:val="0"/>
            <w:vAlign w:val="center"/>
          </w:tcPr>
          <w:p>
            <w:pPr>
              <w:rPr>
                <w:rFonts w:ascii="宋体" w:hAnsi="宋体" w:cs="Arial"/>
                <w:sz w:val="24"/>
                <w:highlight w:val="none"/>
              </w:rPr>
            </w:pPr>
          </w:p>
        </w:tc>
        <w:tc>
          <w:tcPr>
            <w:tcW w:w="1984" w:type="dxa"/>
            <w:noWrap w:val="0"/>
            <w:vAlign w:val="center"/>
          </w:tcPr>
          <w:p>
            <w:pPr>
              <w:rPr>
                <w:rFonts w:ascii="宋体" w:hAnsi="宋体" w:cs="Arial"/>
                <w:sz w:val="24"/>
                <w:highlight w:val="none"/>
              </w:rPr>
            </w:pPr>
          </w:p>
        </w:tc>
      </w:tr>
    </w:tbl>
    <w:p>
      <w:pPr>
        <w:rPr>
          <w:rFonts w:ascii="宋体" w:hAnsi="宋体" w:cs="Arial"/>
          <w:sz w:val="24"/>
          <w:highlight w:val="none"/>
        </w:rPr>
      </w:pPr>
      <w:r>
        <w:rPr>
          <w:rFonts w:ascii="宋体" w:hAnsi="宋体" w:cs="Arial"/>
          <w:sz w:val="24"/>
          <w:highlight w:val="none"/>
        </w:rPr>
        <w:t>　</w:t>
      </w:r>
    </w:p>
    <w:p>
      <w:pPr>
        <w:spacing w:line="400" w:lineRule="atLeast"/>
        <w:ind w:left="2880" w:hanging="2880"/>
        <w:rPr>
          <w:rFonts w:ascii="宋体" w:hAnsi="宋体" w:cs="Arial"/>
          <w:sz w:val="24"/>
          <w:highlight w:val="none"/>
        </w:rPr>
      </w:pPr>
      <w:r>
        <w:rPr>
          <w:rFonts w:hint="eastAsia" w:ascii="宋体" w:hAnsi="宋体" w:cs="Arial"/>
          <w:sz w:val="24"/>
          <w:highlight w:val="none"/>
        </w:rPr>
        <w:t>供应商</w:t>
      </w:r>
      <w:r>
        <w:rPr>
          <w:rFonts w:ascii="宋体" w:hAnsi="宋体" w:cs="Arial"/>
          <w:sz w:val="24"/>
          <w:highlight w:val="none"/>
        </w:rPr>
        <w:t>代表签字：</w:t>
      </w:r>
      <w:r>
        <w:rPr>
          <w:rFonts w:ascii="宋体" w:hAnsi="宋体" w:cs="Arial"/>
          <w:sz w:val="24"/>
          <w:highlight w:val="none"/>
          <w:u w:val="single"/>
        </w:rPr>
        <w:t>　　　　　　　　　　　　　　　</w:t>
      </w:r>
      <w:r>
        <w:rPr>
          <w:rFonts w:ascii="宋体" w:hAnsi="宋体" w:cs="Arial"/>
          <w:sz w:val="24"/>
          <w:highlight w:val="none"/>
        </w:rPr>
        <w:t>　</w:t>
      </w:r>
      <w:r>
        <w:rPr>
          <w:rFonts w:ascii="宋体" w:hAnsi="宋体"/>
          <w:b/>
          <w:sz w:val="32"/>
          <w:szCs w:val="32"/>
          <w:highlight w:val="none"/>
        </w:rPr>
        <w:br w:type="page"/>
      </w:r>
      <w:r>
        <w:rPr>
          <w:rFonts w:hint="eastAsia" w:ascii="宋体" w:hAnsi="宋体" w:cs="Arial"/>
          <w:sz w:val="24"/>
          <w:highlight w:val="none"/>
        </w:rPr>
        <w:t>6</w:t>
      </w:r>
      <w:r>
        <w:rPr>
          <w:rFonts w:ascii="宋体" w:hAnsi="宋体" w:cs="Arial"/>
          <w:sz w:val="24"/>
          <w:highlight w:val="none"/>
        </w:rPr>
        <w:t>、法人代表授权书格式</w:t>
      </w:r>
    </w:p>
    <w:p>
      <w:pPr>
        <w:spacing w:line="400" w:lineRule="atLeast"/>
        <w:rPr>
          <w:rFonts w:ascii="宋体" w:hAnsi="宋体" w:cs="Arial"/>
          <w:sz w:val="24"/>
          <w:highlight w:val="none"/>
        </w:rPr>
      </w:pPr>
    </w:p>
    <w:p>
      <w:pPr>
        <w:pStyle w:val="9"/>
        <w:spacing w:line="400" w:lineRule="atLeast"/>
        <w:rPr>
          <w:rFonts w:cs="Arial"/>
          <w:highlight w:val="none"/>
        </w:rPr>
      </w:pPr>
      <w:r>
        <w:rPr>
          <w:rFonts w:cs="Arial"/>
          <w:highlight w:val="none"/>
        </w:rPr>
        <w:t>本授权书声明：注册于（地区的名称）的（公司名称）的在下面签字的（法人代表姓名、职务）代表本公司授权（单位名称）的在下面签字的（被授权人的姓名、职务）为本公司的合法代理人，就（项目名称、项目编号、设备名称）的</w:t>
      </w:r>
      <w:r>
        <w:rPr>
          <w:rFonts w:hint="eastAsia" w:cs="Arial"/>
          <w:highlight w:val="none"/>
        </w:rPr>
        <w:t>谈判</w:t>
      </w:r>
      <w:r>
        <w:rPr>
          <w:rFonts w:cs="Arial"/>
          <w:highlight w:val="none"/>
        </w:rPr>
        <w:t>，以本公司的名义处理一切与之有关的事务。</w:t>
      </w:r>
    </w:p>
    <w:p>
      <w:pPr>
        <w:spacing w:line="400" w:lineRule="atLeast"/>
        <w:ind w:firstLine="480"/>
        <w:rPr>
          <w:rFonts w:ascii="宋体" w:hAnsi="宋体" w:cs="Arial"/>
          <w:sz w:val="24"/>
          <w:highlight w:val="none"/>
        </w:rPr>
      </w:pPr>
      <w:r>
        <w:rPr>
          <w:rFonts w:ascii="宋体" w:hAnsi="宋体" w:cs="Arial"/>
          <w:sz w:val="24"/>
          <w:highlight w:val="none"/>
        </w:rPr>
        <w:t>本授权书于　　　　　　年　　　月　　日签字生效，特此声明。</w:t>
      </w:r>
    </w:p>
    <w:p>
      <w:pPr>
        <w:spacing w:line="400" w:lineRule="atLeast"/>
        <w:ind w:firstLine="480"/>
        <w:rPr>
          <w:rFonts w:ascii="宋体" w:hAnsi="宋体" w:cs="Arial"/>
          <w:sz w:val="24"/>
          <w:highlight w:val="none"/>
        </w:rPr>
      </w:pPr>
      <w:r>
        <w:rPr>
          <w:rFonts w:ascii="宋体" w:hAnsi="宋体" w:cs="Arial"/>
          <w:sz w:val="24"/>
          <w:highlight w:val="none"/>
        </w:rPr>
        <w:t>法人代表签字　　　　　　　　　　　　　　　　　</w:t>
      </w:r>
    </w:p>
    <w:p>
      <w:pPr>
        <w:spacing w:line="400" w:lineRule="atLeast"/>
        <w:ind w:firstLine="480"/>
        <w:rPr>
          <w:rFonts w:ascii="宋体" w:hAnsi="宋体" w:cs="Arial"/>
          <w:sz w:val="24"/>
          <w:highlight w:val="none"/>
        </w:rPr>
      </w:pPr>
      <w:r>
        <w:rPr>
          <w:rFonts w:ascii="宋体" w:hAnsi="宋体" w:cs="Arial"/>
          <w:sz w:val="24"/>
          <w:highlight w:val="none"/>
        </w:rPr>
        <w:t>被授权人签字　　　　　　　　　　　　　　　　　</w:t>
      </w:r>
    </w:p>
    <w:p>
      <w:pPr>
        <w:spacing w:line="400" w:lineRule="atLeast"/>
        <w:ind w:firstLine="480"/>
        <w:rPr>
          <w:rFonts w:ascii="宋体" w:hAnsi="宋体" w:cs="Arial"/>
          <w:sz w:val="24"/>
          <w:highlight w:val="none"/>
        </w:rPr>
      </w:pPr>
      <w:r>
        <w:rPr>
          <w:rFonts w:ascii="宋体" w:hAnsi="宋体" w:cs="Arial"/>
          <w:sz w:val="24"/>
          <w:highlight w:val="none"/>
        </w:rPr>
        <w:t xml:space="preserve">公        章：                         </w:t>
      </w:r>
    </w:p>
    <w:p>
      <w:pPr>
        <w:spacing w:line="400" w:lineRule="atLeast"/>
        <w:rPr>
          <w:rFonts w:ascii="宋体" w:hAnsi="宋体" w:cs="Arial"/>
          <w:sz w:val="24"/>
          <w:highlight w:val="none"/>
        </w:rPr>
      </w:pPr>
      <w:r>
        <w:rPr>
          <w:rFonts w:ascii="宋体" w:hAnsi="宋体" w:cs="Arial"/>
          <w:sz w:val="24"/>
          <w:highlight w:val="none"/>
        </w:rPr>
        <w:t>注：凡公司法人前来参加</w:t>
      </w:r>
      <w:r>
        <w:rPr>
          <w:rFonts w:hint="eastAsia" w:ascii="宋体" w:hAnsi="宋体" w:cs="Arial"/>
          <w:sz w:val="24"/>
          <w:highlight w:val="none"/>
        </w:rPr>
        <w:t>谈判</w:t>
      </w:r>
      <w:r>
        <w:rPr>
          <w:rFonts w:ascii="宋体" w:hAnsi="宋体" w:cs="Arial"/>
          <w:sz w:val="24"/>
          <w:highlight w:val="none"/>
        </w:rPr>
        <w:t>的供应商，可以不提供此项证明文件。另需</w:t>
      </w:r>
      <w:r>
        <w:rPr>
          <w:rFonts w:hint="eastAsia" w:ascii="宋体" w:hAnsi="宋体" w:cs="Arial"/>
          <w:sz w:val="24"/>
          <w:highlight w:val="none"/>
        </w:rPr>
        <w:t>提供授权人及被授权人的身份证复印件。</w:t>
      </w:r>
    </w:p>
    <w:p>
      <w:pPr>
        <w:spacing w:line="400" w:lineRule="atLeast"/>
        <w:rPr>
          <w:rFonts w:hint="eastAsia" w:ascii="宋体" w:hAnsi="宋体" w:cs="Arial"/>
          <w:sz w:val="24"/>
          <w:highlight w:val="none"/>
        </w:rPr>
      </w:pPr>
    </w:p>
    <w:p>
      <w:pPr>
        <w:pStyle w:val="11"/>
        <w:widowControl/>
        <w:spacing w:line="360" w:lineRule="exact"/>
        <w:jc w:val="center"/>
        <w:outlineLvl w:val="0"/>
        <w:rPr>
          <w:rFonts w:ascii="宋体" w:hAnsi="宋体" w:cs="Arial"/>
          <w:szCs w:val="22"/>
          <w:highlight w:val="none"/>
        </w:rPr>
      </w:pPr>
      <w:bookmarkStart w:id="295" w:name="_Toc16170"/>
      <w:r>
        <w:rPr>
          <w:rFonts w:hint="eastAsia" w:ascii="宋体" w:hAnsi="宋体" w:cs="Arial"/>
          <w:szCs w:val="22"/>
          <w:highlight w:val="none"/>
        </w:rPr>
        <w:t>法定代表人身份证明书</w:t>
      </w:r>
      <w:bookmarkEnd w:id="295"/>
    </w:p>
    <w:p>
      <w:pPr>
        <w:spacing w:line="360" w:lineRule="exact"/>
        <w:rPr>
          <w:rFonts w:ascii="宋体" w:hAnsi="宋体" w:cs="宋体"/>
          <w:sz w:val="24"/>
          <w:highlight w:val="none"/>
        </w:rPr>
      </w:pPr>
      <w:r>
        <w:rPr>
          <w:rFonts w:hint="eastAsia" w:ascii="宋体" w:hAnsi="宋体" w:cs="宋体"/>
          <w:sz w:val="24"/>
          <w:highlight w:val="none"/>
        </w:rPr>
        <w:t xml:space="preserve">    单位名称：</w:t>
      </w:r>
      <w:r>
        <w:rPr>
          <w:rFonts w:hint="eastAsia" w:ascii="宋体" w:hAnsi="宋体" w:cs="宋体"/>
          <w:sz w:val="24"/>
          <w:highlight w:val="none"/>
          <w:u w:val="single"/>
        </w:rPr>
        <w:t xml:space="preserve">                                  </w:t>
      </w:r>
    </w:p>
    <w:p>
      <w:pPr>
        <w:spacing w:line="360" w:lineRule="exact"/>
        <w:rPr>
          <w:rFonts w:ascii="宋体" w:hAnsi="宋体" w:cs="宋体"/>
          <w:sz w:val="24"/>
          <w:highlight w:val="none"/>
        </w:rPr>
      </w:pPr>
      <w:r>
        <w:rPr>
          <w:rFonts w:hint="eastAsia" w:ascii="宋体" w:hAnsi="宋体" w:cs="宋体"/>
          <w:sz w:val="24"/>
          <w:highlight w:val="none"/>
        </w:rPr>
        <w:t xml:space="preserve">    单位类型：</w:t>
      </w:r>
      <w:r>
        <w:rPr>
          <w:rFonts w:hint="eastAsia" w:ascii="宋体" w:hAnsi="宋体" w:cs="宋体"/>
          <w:sz w:val="24"/>
          <w:highlight w:val="none"/>
          <w:u w:val="single"/>
        </w:rPr>
        <w:t xml:space="preserve">                                  </w:t>
      </w:r>
    </w:p>
    <w:p>
      <w:pPr>
        <w:spacing w:line="360" w:lineRule="exact"/>
        <w:rPr>
          <w:rFonts w:ascii="宋体" w:hAnsi="宋体" w:cs="宋体"/>
          <w:sz w:val="24"/>
          <w:highlight w:val="none"/>
        </w:rPr>
      </w:pPr>
      <w:r>
        <w:rPr>
          <w:rFonts w:hint="eastAsia" w:ascii="宋体" w:hAnsi="宋体" w:cs="宋体"/>
          <w:sz w:val="24"/>
          <w:highlight w:val="none"/>
        </w:rPr>
        <w:t xml:space="preserve">    住    所：</w:t>
      </w:r>
      <w:r>
        <w:rPr>
          <w:rFonts w:hint="eastAsia" w:ascii="宋体" w:hAnsi="宋体" w:cs="宋体"/>
          <w:sz w:val="24"/>
          <w:highlight w:val="none"/>
          <w:u w:val="single"/>
        </w:rPr>
        <w:t xml:space="preserve">                                  </w:t>
      </w:r>
    </w:p>
    <w:p>
      <w:pPr>
        <w:spacing w:line="360" w:lineRule="exact"/>
        <w:rPr>
          <w:rFonts w:ascii="宋体" w:hAnsi="宋体" w:cs="宋体"/>
          <w:sz w:val="24"/>
          <w:highlight w:val="none"/>
        </w:rPr>
      </w:pPr>
      <w:r>
        <w:rPr>
          <w:rFonts w:hint="eastAsia" w:ascii="宋体" w:hAnsi="宋体" w:cs="宋体"/>
          <w:sz w:val="24"/>
          <w:highlight w:val="none"/>
        </w:rPr>
        <w:t xml:space="preserve">    成立日期：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360" w:lineRule="exact"/>
        <w:ind w:firstLine="465"/>
        <w:rPr>
          <w:rFonts w:ascii="宋体" w:hAnsi="宋体" w:cs="宋体"/>
          <w:sz w:val="24"/>
          <w:highlight w:val="none"/>
          <w:u w:val="single"/>
        </w:rPr>
      </w:pPr>
      <w:r>
        <w:rPr>
          <w:rFonts w:hint="eastAsia" w:ascii="宋体" w:hAnsi="宋体" w:cs="宋体"/>
          <w:sz w:val="24"/>
          <w:highlight w:val="none"/>
        </w:rPr>
        <w:t>营业期限：</w:t>
      </w:r>
      <w:r>
        <w:rPr>
          <w:rFonts w:hint="eastAsia" w:ascii="宋体" w:hAnsi="宋体" w:cs="宋体"/>
          <w:sz w:val="24"/>
          <w:highlight w:val="none"/>
          <w:u w:val="single"/>
        </w:rPr>
        <w:t xml:space="preserve">                                  </w:t>
      </w:r>
    </w:p>
    <w:p>
      <w:pPr>
        <w:spacing w:line="360" w:lineRule="exact"/>
        <w:ind w:firstLine="465"/>
        <w:rPr>
          <w:rFonts w:ascii="宋体" w:hAnsi="宋体" w:cs="宋体"/>
          <w:sz w:val="24"/>
          <w:highlight w:val="none"/>
        </w:rPr>
      </w:pPr>
    </w:p>
    <w:p>
      <w:pPr>
        <w:spacing w:line="360" w:lineRule="exact"/>
        <w:ind w:firstLine="480" w:firstLineChars="200"/>
        <w:rPr>
          <w:rFonts w:ascii="宋体" w:hAnsi="宋体" w:cs="宋体"/>
          <w:sz w:val="24"/>
          <w:highlight w:val="none"/>
          <w:u w:val="singl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single"/>
        </w:rPr>
        <w:t xml:space="preserve">           </w:t>
      </w:r>
    </w:p>
    <w:p>
      <w:pPr>
        <w:spacing w:line="360" w:lineRule="exact"/>
        <w:ind w:firstLine="480"/>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（投标人名称）   </w:t>
      </w:r>
      <w:r>
        <w:rPr>
          <w:rFonts w:hint="eastAsia" w:ascii="宋体" w:hAnsi="宋体" w:cs="宋体"/>
          <w:sz w:val="24"/>
          <w:highlight w:val="none"/>
        </w:rPr>
        <w:t>的法定代表人。</w:t>
      </w:r>
    </w:p>
    <w:p>
      <w:pPr>
        <w:spacing w:line="360" w:lineRule="exact"/>
        <w:ind w:firstLine="480"/>
        <w:rPr>
          <w:rFonts w:ascii="宋体" w:hAnsi="宋体" w:cs="宋体"/>
          <w:sz w:val="24"/>
          <w:highlight w:val="none"/>
        </w:rPr>
      </w:pPr>
    </w:p>
    <w:p>
      <w:pPr>
        <w:spacing w:line="360" w:lineRule="exact"/>
        <w:ind w:firstLine="480"/>
        <w:rPr>
          <w:rFonts w:ascii="宋体" w:hAnsi="宋体" w:cs="宋体"/>
          <w:sz w:val="24"/>
          <w:highlight w:val="none"/>
        </w:rPr>
      </w:pPr>
      <w:r>
        <w:rPr>
          <w:rFonts w:hint="eastAsia" w:ascii="宋体" w:hAnsi="宋体" w:cs="宋体"/>
          <w:sz w:val="24"/>
          <w:highlight w:val="none"/>
        </w:rPr>
        <w:t>特此证明。</w:t>
      </w:r>
    </w:p>
    <w:p>
      <w:pPr>
        <w:pStyle w:val="10"/>
        <w:tabs>
          <w:tab w:val="left" w:pos="5580"/>
        </w:tabs>
        <w:spacing w:line="360" w:lineRule="exact"/>
        <w:rPr>
          <w:rFonts w:hAnsi="宋体" w:cs="宋体"/>
          <w:sz w:val="24"/>
          <w:highlight w:val="none"/>
        </w:rPr>
      </w:pPr>
      <w:r>
        <w:rPr>
          <w:rFonts w:hint="eastAsia" w:hAnsi="宋体" w:cs="宋体"/>
          <w:sz w:val="24"/>
          <w:szCs w:val="24"/>
          <w:highlight w:val="none"/>
        </w:rPr>
        <w:t xml:space="preserve">                                （附法定代表人身份证正反两面扫描件）</w:t>
      </w:r>
    </w:p>
    <w:p>
      <w:pPr>
        <w:spacing w:line="360" w:lineRule="exact"/>
        <w:ind w:firstLine="480" w:firstLineChars="200"/>
        <w:rPr>
          <w:rFonts w:ascii="宋体" w:hAnsi="宋体" w:cs="宋体"/>
          <w:sz w:val="24"/>
          <w:highlight w:val="none"/>
        </w:rPr>
      </w:pPr>
      <w:r>
        <w:rPr>
          <w:rFonts w:hint="eastAsia" w:ascii="宋体" w:hAnsi="宋体" w:cs="宋体"/>
          <w:sz w:val="24"/>
          <w:highlight w:val="none"/>
        </w:rPr>
        <w:t>投标人盖章：</w:t>
      </w:r>
    </w:p>
    <w:p>
      <w:pPr>
        <w:spacing w:line="360" w:lineRule="exact"/>
        <w:ind w:firstLine="480" w:firstLineChars="200"/>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400" w:lineRule="atLeast"/>
        <w:jc w:val="center"/>
        <w:rPr>
          <w:rFonts w:hint="eastAsia" w:ascii="宋体" w:hAnsi="宋体" w:cs="Arial"/>
          <w:sz w:val="24"/>
          <w:highlight w:val="none"/>
        </w:rPr>
      </w:pPr>
    </w:p>
    <w:p>
      <w:pPr>
        <w:spacing w:line="400" w:lineRule="atLeast"/>
        <w:jc w:val="center"/>
        <w:rPr>
          <w:rFonts w:hint="eastAsia" w:ascii="宋体" w:hAnsi="宋体" w:cs="Arial"/>
          <w:sz w:val="24"/>
          <w:highlight w:val="none"/>
        </w:rPr>
      </w:pPr>
    </w:p>
    <w:p>
      <w:pPr>
        <w:spacing w:line="400" w:lineRule="atLeast"/>
        <w:jc w:val="center"/>
        <w:rPr>
          <w:rFonts w:hint="eastAsia" w:ascii="宋体" w:hAnsi="宋体" w:cs="Arial"/>
          <w:sz w:val="24"/>
          <w:highlight w:val="none"/>
        </w:rPr>
      </w:pPr>
    </w:p>
    <w:p>
      <w:pPr>
        <w:spacing w:line="400" w:lineRule="atLeast"/>
        <w:jc w:val="center"/>
        <w:rPr>
          <w:rFonts w:hint="eastAsia" w:ascii="宋体" w:hAnsi="宋体" w:cs="Arial"/>
          <w:sz w:val="24"/>
          <w:highlight w:val="none"/>
        </w:rPr>
      </w:pPr>
    </w:p>
    <w:p>
      <w:pPr>
        <w:spacing w:line="400" w:lineRule="atLeast"/>
        <w:jc w:val="center"/>
        <w:rPr>
          <w:rFonts w:hint="eastAsia" w:ascii="宋体" w:hAnsi="宋体" w:cs="Arial"/>
          <w:sz w:val="24"/>
          <w:highlight w:val="none"/>
        </w:rPr>
      </w:pPr>
    </w:p>
    <w:p>
      <w:pPr>
        <w:spacing w:line="400" w:lineRule="atLeast"/>
        <w:jc w:val="center"/>
        <w:rPr>
          <w:rFonts w:hint="eastAsia" w:ascii="宋体" w:hAnsi="宋体" w:cs="Arial"/>
          <w:sz w:val="24"/>
          <w:highlight w:val="none"/>
        </w:rPr>
      </w:pPr>
    </w:p>
    <w:p>
      <w:pPr>
        <w:spacing w:line="400" w:lineRule="atLeast"/>
        <w:jc w:val="center"/>
        <w:rPr>
          <w:rFonts w:hint="eastAsia" w:ascii="宋体" w:hAnsi="宋体" w:cs="Arial"/>
          <w:sz w:val="24"/>
          <w:highlight w:val="none"/>
        </w:rPr>
      </w:pPr>
    </w:p>
    <w:p>
      <w:pPr>
        <w:spacing w:line="400" w:lineRule="atLeast"/>
        <w:jc w:val="center"/>
        <w:rPr>
          <w:rFonts w:hint="eastAsia" w:ascii="宋体" w:hAnsi="宋体" w:cs="Arial"/>
          <w:sz w:val="24"/>
          <w:highlight w:val="none"/>
        </w:rPr>
      </w:pPr>
    </w:p>
    <w:p>
      <w:pPr>
        <w:spacing w:line="400" w:lineRule="atLeast"/>
        <w:jc w:val="center"/>
        <w:rPr>
          <w:rFonts w:hint="eastAsia" w:ascii="宋体" w:hAnsi="宋体" w:cs="Arial"/>
          <w:sz w:val="24"/>
          <w:highlight w:val="none"/>
        </w:rPr>
      </w:pPr>
    </w:p>
    <w:p>
      <w:pPr>
        <w:spacing w:line="400" w:lineRule="atLeast"/>
        <w:jc w:val="center"/>
        <w:rPr>
          <w:rFonts w:hint="eastAsia" w:ascii="宋体" w:hAnsi="宋体" w:cs="Arial"/>
          <w:sz w:val="24"/>
          <w:highlight w:val="none"/>
        </w:rPr>
      </w:pPr>
    </w:p>
    <w:p>
      <w:pPr>
        <w:spacing w:line="400" w:lineRule="atLeast"/>
        <w:jc w:val="center"/>
        <w:outlineLvl w:val="0"/>
        <w:rPr>
          <w:rFonts w:ascii="宋体" w:hAnsi="宋体" w:cs="Arial"/>
          <w:sz w:val="24"/>
          <w:highlight w:val="none"/>
        </w:rPr>
      </w:pPr>
      <w:bookmarkStart w:id="296" w:name="_Toc15220"/>
      <w:r>
        <w:rPr>
          <w:rFonts w:hint="eastAsia" w:ascii="宋体" w:hAnsi="宋体" w:cs="Arial"/>
          <w:sz w:val="24"/>
          <w:highlight w:val="none"/>
        </w:rPr>
        <w:t>7</w:t>
      </w:r>
      <w:r>
        <w:rPr>
          <w:rFonts w:ascii="宋体" w:hAnsi="宋体" w:cs="Arial"/>
          <w:sz w:val="24"/>
          <w:highlight w:val="none"/>
        </w:rPr>
        <w:t>、关于资格的声明函</w:t>
      </w:r>
      <w:bookmarkEnd w:id="296"/>
    </w:p>
    <w:p>
      <w:pPr>
        <w:spacing w:line="400" w:lineRule="atLeast"/>
        <w:rPr>
          <w:rFonts w:ascii="宋体" w:hAnsi="宋体" w:cs="Arial"/>
          <w:sz w:val="24"/>
          <w:highlight w:val="none"/>
        </w:rPr>
      </w:pPr>
    </w:p>
    <w:p>
      <w:pPr>
        <w:spacing w:line="440" w:lineRule="exact"/>
        <w:rPr>
          <w:rFonts w:hint="eastAsia" w:ascii="宋体" w:hAnsi="宋体"/>
          <w:sz w:val="24"/>
          <w:highlight w:val="none"/>
        </w:rPr>
      </w:pPr>
      <w:r>
        <w:rPr>
          <w:rFonts w:hint="eastAsia" w:ascii="宋体" w:hAnsi="宋体"/>
          <w:sz w:val="24"/>
          <w:highlight w:val="none"/>
        </w:rPr>
        <w:t>致伊犁职业技术学院 ：</w:t>
      </w:r>
    </w:p>
    <w:p>
      <w:pPr>
        <w:spacing w:line="440" w:lineRule="exact"/>
        <w:ind w:firstLine="570"/>
        <w:rPr>
          <w:rFonts w:hint="eastAsia" w:ascii="宋体" w:hAnsi="宋体"/>
          <w:sz w:val="24"/>
          <w:highlight w:val="none"/>
        </w:rPr>
      </w:pPr>
      <w:r>
        <w:rPr>
          <w:rFonts w:hint="eastAsia" w:ascii="宋体" w:hAnsi="宋体"/>
          <w:sz w:val="24"/>
          <w:highlight w:val="none"/>
        </w:rPr>
        <w:t xml:space="preserve">关于贵方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日第（项目编号）竞争性磋商公告关于</w:t>
      </w:r>
      <w:r>
        <w:rPr>
          <w:rFonts w:hint="eastAsia" w:ascii="宋体" w:hAnsi="宋体"/>
          <w:sz w:val="24"/>
          <w:highlight w:val="none"/>
          <w:u w:val="single"/>
        </w:rPr>
        <w:t>“     ”</w:t>
      </w:r>
      <w:r>
        <w:rPr>
          <w:rFonts w:hint="eastAsia" w:ascii="宋体" w:hAnsi="宋体"/>
          <w:sz w:val="24"/>
          <w:highlight w:val="none"/>
        </w:rPr>
        <w:t>的项目，本签字人愿意参加磋商，并有能力提供</w:t>
      </w:r>
      <w:r>
        <w:rPr>
          <w:rFonts w:hint="eastAsia" w:ascii="宋体" w:hAnsi="宋体"/>
          <w:sz w:val="24"/>
          <w:highlight w:val="none"/>
          <w:u w:val="single"/>
        </w:rPr>
        <w:t>（项目名称）</w:t>
      </w:r>
      <w:r>
        <w:rPr>
          <w:rFonts w:hint="eastAsia" w:ascii="宋体" w:hAnsi="宋体"/>
          <w:sz w:val="24"/>
          <w:highlight w:val="none"/>
        </w:rPr>
        <w:t>项目中的</w:t>
      </w:r>
      <w:r>
        <w:rPr>
          <w:rFonts w:hint="eastAsia" w:ascii="宋体" w:hAnsi="宋体"/>
          <w:sz w:val="24"/>
          <w:highlight w:val="none"/>
          <w:u w:val="single"/>
        </w:rPr>
        <w:t>（服务名称）</w:t>
      </w:r>
      <w:r>
        <w:rPr>
          <w:rFonts w:hint="eastAsia" w:ascii="宋体" w:hAnsi="宋体"/>
          <w:sz w:val="24"/>
          <w:highlight w:val="none"/>
        </w:rPr>
        <w:t>服务及相关服务，并保证所提交的所有文件和说明是真实和准确的。</w:t>
      </w:r>
    </w:p>
    <w:p>
      <w:pPr>
        <w:spacing w:line="440" w:lineRule="exact"/>
        <w:ind w:firstLine="570"/>
        <w:rPr>
          <w:rFonts w:hint="eastAsia" w:ascii="宋体" w:hAnsi="宋体"/>
          <w:sz w:val="24"/>
          <w:highlight w:val="none"/>
          <w:u w:val="single"/>
        </w:rPr>
      </w:pPr>
      <w:r>
        <w:rPr>
          <w:rFonts w:hint="eastAsia" w:ascii="宋体" w:hAnsi="宋体"/>
          <w:sz w:val="24"/>
          <w:highlight w:val="none"/>
        </w:rPr>
        <w:t>供应商</w:t>
      </w:r>
      <w:r>
        <w:rPr>
          <w:rFonts w:hint="eastAsia" w:ascii="宋体" w:hAnsi="宋体"/>
          <w:sz w:val="24"/>
          <w:highlight w:val="none"/>
          <w:u w:val="single"/>
        </w:rPr>
        <w:t xml:space="preserve">  供应商名称  </w:t>
      </w:r>
      <w:r>
        <w:rPr>
          <w:rFonts w:hint="eastAsia" w:ascii="宋体" w:hAnsi="宋体"/>
          <w:sz w:val="24"/>
          <w:highlight w:val="none"/>
        </w:rPr>
        <w:t xml:space="preserve">   签字人姓名、职务：</w:t>
      </w:r>
      <w:r>
        <w:rPr>
          <w:rFonts w:hint="eastAsia" w:ascii="宋体" w:hAnsi="宋体"/>
          <w:sz w:val="24"/>
          <w:highlight w:val="none"/>
          <w:u w:val="single"/>
        </w:rPr>
        <w:t xml:space="preserve">               </w:t>
      </w:r>
    </w:p>
    <w:p>
      <w:pPr>
        <w:spacing w:line="440" w:lineRule="exact"/>
        <w:ind w:firstLine="570"/>
        <w:rPr>
          <w:rFonts w:hint="eastAsia" w:ascii="宋体" w:hAnsi="宋体"/>
          <w:sz w:val="24"/>
          <w:highlight w:val="none"/>
          <w:u w:val="single"/>
        </w:rPr>
      </w:pPr>
      <w:r>
        <w:rPr>
          <w:rFonts w:hint="eastAsia" w:ascii="宋体" w:hAnsi="宋体"/>
          <w:sz w:val="24"/>
          <w:highlight w:val="none"/>
        </w:rPr>
        <w:t>地址：                 授权签署本资格文件人：</w:t>
      </w:r>
      <w:r>
        <w:rPr>
          <w:rFonts w:hint="eastAsia" w:ascii="宋体" w:hAnsi="宋体"/>
          <w:sz w:val="24"/>
          <w:highlight w:val="none"/>
          <w:u w:val="single"/>
        </w:rPr>
        <w:t xml:space="preserve">授权人姓名 </w:t>
      </w:r>
    </w:p>
    <w:p>
      <w:pPr>
        <w:spacing w:line="440" w:lineRule="exact"/>
        <w:ind w:firstLine="570"/>
        <w:rPr>
          <w:rFonts w:hint="eastAsia" w:ascii="宋体" w:hAnsi="宋体"/>
          <w:sz w:val="24"/>
          <w:highlight w:val="none"/>
        </w:rPr>
      </w:pPr>
      <w:r>
        <w:rPr>
          <w:rFonts w:hint="eastAsia" w:ascii="宋体" w:hAnsi="宋体"/>
          <w:sz w:val="24"/>
          <w:highlight w:val="none"/>
        </w:rPr>
        <w:t xml:space="preserve">传真：        </w:t>
      </w:r>
    </w:p>
    <w:p>
      <w:pPr>
        <w:spacing w:line="440" w:lineRule="exact"/>
        <w:ind w:firstLine="570"/>
        <w:rPr>
          <w:rFonts w:hint="eastAsia" w:ascii="宋体" w:hAnsi="宋体"/>
          <w:sz w:val="24"/>
          <w:highlight w:val="none"/>
        </w:rPr>
      </w:pPr>
      <w:r>
        <w:rPr>
          <w:rFonts w:hint="eastAsia" w:ascii="宋体" w:hAnsi="宋体"/>
          <w:sz w:val="24"/>
          <w:highlight w:val="none"/>
        </w:rPr>
        <w:t>邮编：                      电话：</w:t>
      </w:r>
    </w:p>
    <w:p>
      <w:pPr>
        <w:spacing w:line="440" w:lineRule="exact"/>
        <w:ind w:firstLine="570"/>
        <w:rPr>
          <w:rFonts w:hint="eastAsia" w:ascii="宋体" w:hAnsi="宋体"/>
          <w:sz w:val="24"/>
          <w:highlight w:val="none"/>
        </w:rPr>
      </w:pPr>
      <w:r>
        <w:rPr>
          <w:rFonts w:hint="eastAsia" w:ascii="宋体" w:hAnsi="宋体"/>
          <w:sz w:val="24"/>
          <w:highlight w:val="none"/>
        </w:rPr>
        <w:t xml:space="preserve">供应商法人盖章：       </w:t>
      </w:r>
    </w:p>
    <w:p>
      <w:pPr>
        <w:spacing w:line="440" w:lineRule="exact"/>
        <w:ind w:firstLine="570"/>
        <w:rPr>
          <w:rFonts w:hint="eastAsia" w:ascii="宋体" w:hAnsi="宋体"/>
          <w:sz w:val="24"/>
          <w:highlight w:val="none"/>
        </w:rPr>
      </w:pPr>
      <w:r>
        <w:rPr>
          <w:rFonts w:hint="eastAsia" w:ascii="宋体" w:hAnsi="宋体"/>
          <w:sz w:val="24"/>
          <w:highlight w:val="none"/>
        </w:rPr>
        <w:t>供应商盖章：                                  20</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400" w:lineRule="atLeast"/>
        <w:rPr>
          <w:rFonts w:ascii="宋体" w:hAnsi="宋体" w:cs="Arial"/>
          <w:sz w:val="24"/>
          <w:highlight w:val="none"/>
        </w:rPr>
      </w:pPr>
    </w:p>
    <w:p>
      <w:pPr>
        <w:spacing w:line="400" w:lineRule="atLeast"/>
        <w:rPr>
          <w:rFonts w:ascii="宋体" w:hAnsi="宋体" w:cs="Arial"/>
          <w:sz w:val="24"/>
          <w:highlight w:val="none"/>
        </w:rPr>
      </w:pPr>
    </w:p>
    <w:p>
      <w:pPr>
        <w:pStyle w:val="7"/>
        <w:spacing w:line="400" w:lineRule="atLeast"/>
        <w:rPr>
          <w:rFonts w:hAnsi="宋体" w:cs="Arial"/>
          <w:b w:val="0"/>
          <w:sz w:val="24"/>
          <w:highlight w:val="none"/>
        </w:rPr>
      </w:pPr>
    </w:p>
    <w:p>
      <w:pPr>
        <w:spacing w:line="400" w:lineRule="atLeast"/>
        <w:rPr>
          <w:rFonts w:ascii="宋体" w:hAnsi="宋体" w:cs="Arial"/>
          <w:highlight w:val="none"/>
        </w:rPr>
      </w:pPr>
    </w:p>
    <w:p>
      <w:pPr>
        <w:spacing w:line="400" w:lineRule="atLeast"/>
        <w:rPr>
          <w:rFonts w:ascii="宋体" w:hAnsi="宋体" w:cs="Arial"/>
          <w:highlight w:val="none"/>
        </w:rPr>
      </w:pPr>
    </w:p>
    <w:p>
      <w:pPr>
        <w:spacing w:line="400" w:lineRule="atLeast"/>
        <w:rPr>
          <w:rFonts w:ascii="宋体" w:hAnsi="宋体" w:cs="Arial"/>
          <w:highlight w:val="none"/>
        </w:rPr>
      </w:pPr>
    </w:p>
    <w:p>
      <w:pPr>
        <w:spacing w:line="400" w:lineRule="atLeast"/>
        <w:rPr>
          <w:rFonts w:ascii="宋体" w:hAnsi="宋体" w:cs="Arial"/>
          <w:highlight w:val="none"/>
        </w:rPr>
      </w:pPr>
    </w:p>
    <w:p>
      <w:pPr>
        <w:pStyle w:val="10"/>
        <w:spacing w:line="400" w:lineRule="atLeast"/>
        <w:rPr>
          <w:rFonts w:hAnsi="宋体" w:cs="Arial"/>
          <w:sz w:val="24"/>
          <w:highlight w:val="none"/>
        </w:rPr>
      </w:pPr>
    </w:p>
    <w:p>
      <w:pPr>
        <w:pStyle w:val="10"/>
        <w:spacing w:line="400" w:lineRule="atLeast"/>
        <w:rPr>
          <w:rFonts w:hint="eastAsia" w:hAnsi="宋体" w:cs="Arial"/>
          <w:sz w:val="24"/>
          <w:highlight w:val="none"/>
        </w:rPr>
      </w:pPr>
    </w:p>
    <w:p>
      <w:pPr>
        <w:pStyle w:val="10"/>
        <w:spacing w:line="400" w:lineRule="atLeast"/>
        <w:rPr>
          <w:rFonts w:hint="eastAsia" w:hAnsi="宋体" w:cs="Arial"/>
          <w:sz w:val="24"/>
          <w:highlight w:val="none"/>
        </w:rPr>
      </w:pPr>
    </w:p>
    <w:p>
      <w:pPr>
        <w:pStyle w:val="10"/>
        <w:spacing w:line="400" w:lineRule="atLeast"/>
        <w:rPr>
          <w:rFonts w:hint="eastAsia" w:hAnsi="宋体" w:cs="Arial"/>
          <w:sz w:val="24"/>
          <w:highlight w:val="none"/>
        </w:rPr>
      </w:pPr>
    </w:p>
    <w:p>
      <w:pPr>
        <w:pStyle w:val="10"/>
        <w:spacing w:line="400" w:lineRule="atLeast"/>
        <w:rPr>
          <w:rFonts w:hint="eastAsia" w:hAnsi="宋体" w:cs="Arial"/>
          <w:sz w:val="24"/>
          <w:highlight w:val="none"/>
        </w:rPr>
      </w:pPr>
    </w:p>
    <w:p>
      <w:pPr>
        <w:pStyle w:val="10"/>
        <w:spacing w:line="400" w:lineRule="atLeast"/>
        <w:rPr>
          <w:rFonts w:hint="eastAsia" w:hAnsi="宋体" w:cs="Arial"/>
          <w:sz w:val="24"/>
          <w:highlight w:val="none"/>
        </w:rPr>
      </w:pPr>
    </w:p>
    <w:p>
      <w:pPr>
        <w:pStyle w:val="5"/>
        <w:rPr>
          <w:rFonts w:hint="eastAsia" w:hAnsi="宋体" w:cs="Arial"/>
          <w:sz w:val="24"/>
          <w:highlight w:val="none"/>
        </w:rPr>
      </w:pPr>
    </w:p>
    <w:p>
      <w:pPr>
        <w:pStyle w:val="5"/>
        <w:rPr>
          <w:rFonts w:hint="eastAsia" w:hAnsi="宋体" w:cs="Arial"/>
          <w:sz w:val="24"/>
          <w:highlight w:val="none"/>
        </w:rPr>
      </w:pPr>
    </w:p>
    <w:p>
      <w:pPr>
        <w:pStyle w:val="5"/>
        <w:rPr>
          <w:rFonts w:hint="eastAsia" w:hAnsi="宋体" w:cs="Arial"/>
          <w:sz w:val="24"/>
          <w:highlight w:val="none"/>
        </w:rPr>
      </w:pPr>
    </w:p>
    <w:p>
      <w:pPr>
        <w:pStyle w:val="5"/>
        <w:rPr>
          <w:rFonts w:hint="eastAsia" w:hAnsi="宋体" w:cs="Arial"/>
          <w:sz w:val="24"/>
          <w:highlight w:val="none"/>
        </w:rPr>
      </w:pPr>
    </w:p>
    <w:p>
      <w:pPr>
        <w:pStyle w:val="5"/>
        <w:rPr>
          <w:rFonts w:hint="eastAsia" w:hAnsi="宋体" w:cs="Arial"/>
          <w:sz w:val="24"/>
          <w:highlight w:val="none"/>
        </w:rPr>
      </w:pPr>
    </w:p>
    <w:p>
      <w:pPr>
        <w:pStyle w:val="5"/>
        <w:rPr>
          <w:rFonts w:hint="eastAsia" w:hAnsi="宋体" w:cs="Arial"/>
          <w:sz w:val="24"/>
          <w:highlight w:val="none"/>
        </w:rPr>
      </w:pPr>
    </w:p>
    <w:p>
      <w:pPr>
        <w:pStyle w:val="5"/>
        <w:rPr>
          <w:rFonts w:hint="eastAsia" w:hAnsi="宋体" w:cs="Arial"/>
          <w:sz w:val="24"/>
          <w:highlight w:val="none"/>
        </w:rPr>
      </w:pPr>
    </w:p>
    <w:p>
      <w:pPr>
        <w:pStyle w:val="10"/>
        <w:spacing w:line="400" w:lineRule="atLeast"/>
        <w:rPr>
          <w:rFonts w:hint="eastAsia" w:hAnsi="宋体" w:cs="Arial"/>
          <w:sz w:val="24"/>
          <w:highlight w:val="none"/>
        </w:rPr>
      </w:pPr>
    </w:p>
    <w:p>
      <w:pPr>
        <w:pStyle w:val="10"/>
        <w:spacing w:line="400" w:lineRule="atLeast"/>
        <w:rPr>
          <w:rFonts w:hint="eastAsia" w:hAnsi="宋体" w:cs="Arial"/>
          <w:sz w:val="24"/>
          <w:highlight w:val="none"/>
        </w:rPr>
      </w:pPr>
    </w:p>
    <w:p>
      <w:pPr>
        <w:widowControl/>
        <w:jc w:val="center"/>
        <w:outlineLvl w:val="0"/>
        <w:rPr>
          <w:rFonts w:ascii="宋体" w:hAnsi="宋体" w:cs="宋体"/>
          <w:sz w:val="24"/>
          <w:highlight w:val="none"/>
        </w:rPr>
      </w:pPr>
      <w:bookmarkStart w:id="297" w:name="_Toc14775"/>
      <w:r>
        <w:rPr>
          <w:rFonts w:hint="eastAsia" w:ascii="宋体" w:hAnsi="宋体" w:cs="Arial"/>
          <w:sz w:val="24"/>
          <w:highlight w:val="none"/>
        </w:rPr>
        <w:t>8</w:t>
      </w:r>
      <w:r>
        <w:rPr>
          <w:rFonts w:ascii="宋体" w:hAnsi="宋体" w:cs="Arial"/>
          <w:sz w:val="24"/>
          <w:highlight w:val="none"/>
        </w:rPr>
        <w:t>、</w:t>
      </w:r>
      <w:r>
        <w:rPr>
          <w:rFonts w:hint="eastAsia" w:ascii="宋体" w:hAnsi="宋体" w:cs="宋体"/>
          <w:sz w:val="24"/>
          <w:highlight w:val="none"/>
        </w:rPr>
        <w:t>供应商类似项目业绩表</w:t>
      </w:r>
      <w:bookmarkEnd w:id="297"/>
    </w:p>
    <w:p>
      <w:pPr>
        <w:adjustRightInd w:val="0"/>
        <w:snapToGrid w:val="0"/>
        <w:spacing w:line="500" w:lineRule="exact"/>
        <w:rPr>
          <w:rFonts w:ascii="宋体" w:hAnsi="宋体" w:cs="宋体"/>
          <w:sz w:val="24"/>
          <w:highlight w:val="none"/>
        </w:rPr>
      </w:pPr>
      <w:r>
        <w:rPr>
          <w:rFonts w:hint="eastAsia" w:ascii="宋体" w:hAnsi="宋体" w:cs="宋体"/>
          <w:sz w:val="24"/>
          <w:highlight w:val="none"/>
        </w:rPr>
        <w:t>采购项目编号：</w:t>
      </w:r>
    </w:p>
    <w:p>
      <w:pPr>
        <w:adjustRightInd w:val="0"/>
        <w:snapToGrid w:val="0"/>
        <w:spacing w:line="500" w:lineRule="exact"/>
        <w:rPr>
          <w:rFonts w:ascii="宋体" w:hAnsi="宋体" w:cs="宋体"/>
          <w:sz w:val="24"/>
          <w:highlight w:val="none"/>
          <w:u w:val="single"/>
        </w:rPr>
      </w:pPr>
      <w:r>
        <w:rPr>
          <w:rFonts w:hint="eastAsia" w:ascii="宋体" w:hAnsi="宋体" w:cs="宋体"/>
          <w:sz w:val="24"/>
          <w:highlight w:val="none"/>
        </w:rPr>
        <w:t>采购项目名称：</w:t>
      </w:r>
    </w:p>
    <w:p>
      <w:pPr>
        <w:pStyle w:val="5"/>
        <w:ind w:firstLine="480"/>
        <w:rPr>
          <w:rFonts w:ascii="宋体" w:hAnsi="宋体" w:cs="宋体"/>
          <w:sz w:val="24"/>
          <w:highlight w:val="none"/>
        </w:rPr>
      </w:pPr>
    </w:p>
    <w:tbl>
      <w:tblPr>
        <w:tblStyle w:val="19"/>
        <w:tblpPr w:leftFromText="180" w:rightFromText="180" w:vertAnchor="text" w:horzAnchor="page" w:tblpX="863" w:tblpY="340"/>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8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36" w:type="dxa"/>
            <w:noWrap w:val="0"/>
            <w:vAlign w:val="center"/>
          </w:tcPr>
          <w:p>
            <w:pPr>
              <w:jc w:val="center"/>
              <w:rPr>
                <w:rFonts w:ascii="宋体" w:hAnsi="宋体" w:cs="宋体"/>
                <w:sz w:val="24"/>
                <w:highlight w:val="none"/>
              </w:rPr>
            </w:pPr>
            <w:r>
              <w:rPr>
                <w:rFonts w:hint="eastAsia" w:ascii="宋体" w:hAnsi="宋体" w:cs="宋体"/>
                <w:sz w:val="24"/>
                <w:highlight w:val="none"/>
              </w:rPr>
              <w:t>项目名称</w:t>
            </w:r>
          </w:p>
        </w:tc>
        <w:tc>
          <w:tcPr>
            <w:tcW w:w="8063" w:type="dxa"/>
            <w:noWrap w:val="0"/>
            <w:vAlign w:val="top"/>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136" w:type="dxa"/>
            <w:noWrap w:val="0"/>
            <w:vAlign w:val="center"/>
          </w:tcPr>
          <w:p>
            <w:pPr>
              <w:jc w:val="center"/>
              <w:rPr>
                <w:rFonts w:ascii="宋体" w:hAnsi="宋体" w:cs="宋体"/>
                <w:sz w:val="24"/>
                <w:highlight w:val="none"/>
              </w:rPr>
            </w:pPr>
            <w:r>
              <w:rPr>
                <w:rFonts w:hint="eastAsia" w:ascii="宋体" w:hAnsi="宋体" w:cs="宋体"/>
                <w:sz w:val="24"/>
                <w:highlight w:val="none"/>
              </w:rPr>
              <w:t>项目单位名称</w:t>
            </w:r>
          </w:p>
        </w:tc>
        <w:tc>
          <w:tcPr>
            <w:tcW w:w="8063" w:type="dxa"/>
            <w:noWrap w:val="0"/>
            <w:vAlign w:val="top"/>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36" w:type="dxa"/>
            <w:noWrap w:val="0"/>
            <w:vAlign w:val="center"/>
          </w:tcPr>
          <w:p>
            <w:pPr>
              <w:jc w:val="center"/>
              <w:rPr>
                <w:rFonts w:ascii="宋体" w:hAnsi="宋体" w:cs="宋体"/>
                <w:sz w:val="24"/>
                <w:highlight w:val="none"/>
              </w:rPr>
            </w:pPr>
            <w:r>
              <w:rPr>
                <w:rFonts w:hint="eastAsia" w:ascii="宋体" w:hAnsi="宋体" w:cs="宋体"/>
                <w:sz w:val="24"/>
                <w:highlight w:val="none"/>
              </w:rPr>
              <w:t>项目单位联系人姓名及联系方式</w:t>
            </w:r>
          </w:p>
        </w:tc>
        <w:tc>
          <w:tcPr>
            <w:tcW w:w="8063" w:type="dxa"/>
            <w:noWrap w:val="0"/>
            <w:vAlign w:val="top"/>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36" w:type="dxa"/>
            <w:noWrap w:val="0"/>
            <w:vAlign w:val="center"/>
          </w:tcPr>
          <w:p>
            <w:pPr>
              <w:jc w:val="center"/>
              <w:rPr>
                <w:rFonts w:ascii="宋体" w:hAnsi="宋体" w:cs="宋体"/>
                <w:sz w:val="24"/>
                <w:highlight w:val="none"/>
              </w:rPr>
            </w:pPr>
            <w:r>
              <w:rPr>
                <w:rFonts w:hint="eastAsia" w:ascii="宋体" w:hAnsi="宋体" w:cs="宋体"/>
                <w:sz w:val="24"/>
                <w:highlight w:val="none"/>
              </w:rPr>
              <w:t>合同金额</w:t>
            </w:r>
          </w:p>
        </w:tc>
        <w:tc>
          <w:tcPr>
            <w:tcW w:w="8063" w:type="dxa"/>
            <w:noWrap w:val="0"/>
            <w:vAlign w:val="top"/>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36" w:type="dxa"/>
            <w:noWrap w:val="0"/>
            <w:vAlign w:val="center"/>
          </w:tcPr>
          <w:p>
            <w:pPr>
              <w:jc w:val="center"/>
              <w:rPr>
                <w:rFonts w:ascii="宋体" w:hAnsi="宋体" w:cs="宋体"/>
                <w:sz w:val="24"/>
                <w:highlight w:val="none"/>
              </w:rPr>
            </w:pPr>
            <w:r>
              <w:rPr>
                <w:rFonts w:hint="eastAsia" w:ascii="宋体" w:hAnsi="宋体" w:cs="宋体"/>
                <w:sz w:val="24"/>
                <w:highlight w:val="none"/>
              </w:rPr>
              <w:t>项目负责人</w:t>
            </w:r>
          </w:p>
          <w:p>
            <w:pPr>
              <w:jc w:val="center"/>
              <w:rPr>
                <w:rFonts w:ascii="宋体" w:hAnsi="宋体" w:cs="宋体"/>
                <w:sz w:val="24"/>
                <w:highlight w:val="none"/>
              </w:rPr>
            </w:pPr>
            <w:r>
              <w:rPr>
                <w:rFonts w:hint="eastAsia" w:ascii="宋体" w:hAnsi="宋体" w:cs="宋体"/>
                <w:sz w:val="24"/>
                <w:highlight w:val="none"/>
              </w:rPr>
              <w:t>姓名</w:t>
            </w:r>
          </w:p>
        </w:tc>
        <w:tc>
          <w:tcPr>
            <w:tcW w:w="8063" w:type="dxa"/>
            <w:noWrap w:val="0"/>
            <w:vAlign w:val="top"/>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136" w:type="dxa"/>
            <w:noWrap w:val="0"/>
            <w:vAlign w:val="center"/>
          </w:tcPr>
          <w:p>
            <w:pPr>
              <w:jc w:val="center"/>
              <w:rPr>
                <w:rFonts w:ascii="宋体" w:hAnsi="宋体" w:cs="宋体"/>
                <w:sz w:val="24"/>
                <w:highlight w:val="none"/>
              </w:rPr>
            </w:pPr>
            <w:r>
              <w:rPr>
                <w:rFonts w:hint="eastAsia" w:ascii="宋体" w:hAnsi="宋体" w:cs="宋体"/>
                <w:sz w:val="24"/>
                <w:highlight w:val="none"/>
              </w:rPr>
              <w:t>项目实施时间</w:t>
            </w:r>
          </w:p>
        </w:tc>
        <w:tc>
          <w:tcPr>
            <w:tcW w:w="8063" w:type="dxa"/>
            <w:noWrap w:val="0"/>
            <w:vAlign w:val="top"/>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136" w:type="dxa"/>
            <w:noWrap w:val="0"/>
            <w:vAlign w:val="center"/>
          </w:tcPr>
          <w:p>
            <w:pPr>
              <w:jc w:val="center"/>
              <w:rPr>
                <w:rFonts w:ascii="宋体" w:hAnsi="宋体" w:cs="宋体"/>
                <w:sz w:val="24"/>
                <w:highlight w:val="none"/>
              </w:rPr>
            </w:pPr>
            <w:r>
              <w:rPr>
                <w:rFonts w:hint="eastAsia" w:ascii="宋体" w:hAnsi="宋体" w:cs="宋体"/>
                <w:sz w:val="24"/>
                <w:highlight w:val="none"/>
              </w:rPr>
              <w:t>项目内容说明</w:t>
            </w:r>
          </w:p>
        </w:tc>
        <w:tc>
          <w:tcPr>
            <w:tcW w:w="8063" w:type="dxa"/>
            <w:noWrap w:val="0"/>
            <w:vAlign w:val="top"/>
          </w:tcPr>
          <w:p>
            <w:pPr>
              <w:jc w:val="center"/>
              <w:rPr>
                <w:rFonts w:ascii="宋体" w:hAnsi="宋体" w:cs="宋体"/>
                <w:sz w:val="24"/>
                <w:highlight w:val="none"/>
              </w:rPr>
            </w:pPr>
          </w:p>
        </w:tc>
      </w:tr>
    </w:tbl>
    <w:p>
      <w:pPr>
        <w:autoSpaceDE w:val="0"/>
        <w:autoSpaceDN w:val="0"/>
        <w:spacing w:line="360" w:lineRule="auto"/>
        <w:rPr>
          <w:rFonts w:ascii="宋体" w:hAnsi="宋体" w:cs="宋体"/>
          <w:sz w:val="24"/>
          <w:highlight w:val="none"/>
        </w:rPr>
      </w:pPr>
      <w:r>
        <w:rPr>
          <w:rFonts w:hint="eastAsia" w:ascii="宋体" w:hAnsi="宋体" w:cs="宋体"/>
          <w:sz w:val="24"/>
          <w:highlight w:val="none"/>
        </w:rPr>
        <w:t>说明：1．每个合同须单独附表，并附上相关证明材料，否则专家在评审时将不予采信；</w:t>
      </w:r>
    </w:p>
    <w:p>
      <w:pPr>
        <w:spacing w:line="360" w:lineRule="auto"/>
        <w:ind w:firstLine="720" w:firstLineChars="300"/>
        <w:rPr>
          <w:rFonts w:ascii="宋体" w:hAnsi="宋体" w:cs="Arial"/>
          <w:sz w:val="24"/>
          <w:highlight w:val="none"/>
        </w:rPr>
      </w:pPr>
      <w:r>
        <w:rPr>
          <w:rFonts w:hint="eastAsia" w:ascii="宋体" w:hAnsi="宋体" w:cs="宋体"/>
          <w:sz w:val="24"/>
          <w:highlight w:val="none"/>
        </w:rPr>
        <w:t>2．项目内容请详细说明所承担的具体工作内容；</w:t>
      </w:r>
    </w:p>
    <w:p>
      <w:pPr>
        <w:spacing w:line="400" w:lineRule="atLeast"/>
        <w:rPr>
          <w:rFonts w:ascii="宋体" w:hAnsi="宋体" w:cs="Arial"/>
          <w:sz w:val="24"/>
          <w:highlight w:val="none"/>
        </w:rPr>
      </w:pPr>
    </w:p>
    <w:p>
      <w:pPr>
        <w:pStyle w:val="8"/>
        <w:rPr>
          <w:rFonts w:ascii="宋体" w:hAnsi="宋体" w:cs="Arial"/>
          <w:sz w:val="24"/>
          <w:highlight w:val="none"/>
        </w:rPr>
      </w:pPr>
    </w:p>
    <w:p>
      <w:pPr>
        <w:rPr>
          <w:rFonts w:ascii="宋体" w:hAnsi="宋体" w:cs="Arial"/>
          <w:sz w:val="24"/>
          <w:highlight w:val="none"/>
        </w:rPr>
      </w:pPr>
    </w:p>
    <w:p>
      <w:pPr>
        <w:pStyle w:val="8"/>
        <w:rPr>
          <w:rFonts w:ascii="宋体" w:hAnsi="宋体" w:cs="Arial"/>
          <w:sz w:val="24"/>
          <w:highlight w:val="none"/>
        </w:rPr>
      </w:pPr>
    </w:p>
    <w:p>
      <w:pPr>
        <w:rPr>
          <w:rFonts w:ascii="宋体" w:hAnsi="宋体" w:cs="Arial"/>
          <w:sz w:val="24"/>
          <w:highlight w:val="none"/>
        </w:rPr>
      </w:pPr>
    </w:p>
    <w:p>
      <w:pPr>
        <w:pStyle w:val="8"/>
        <w:rPr>
          <w:rFonts w:ascii="宋体" w:hAnsi="宋体" w:cs="Arial"/>
          <w:sz w:val="24"/>
          <w:highlight w:val="none"/>
        </w:rPr>
      </w:pPr>
    </w:p>
    <w:p>
      <w:pPr>
        <w:rPr>
          <w:rFonts w:ascii="宋体" w:hAnsi="宋体" w:cs="Arial"/>
          <w:sz w:val="24"/>
          <w:highlight w:val="none"/>
        </w:rPr>
      </w:pPr>
    </w:p>
    <w:p>
      <w:pPr>
        <w:pStyle w:val="8"/>
        <w:rPr>
          <w:rFonts w:ascii="宋体" w:hAnsi="宋体" w:cs="Arial"/>
          <w:sz w:val="24"/>
          <w:highlight w:val="none"/>
        </w:rPr>
      </w:pPr>
    </w:p>
    <w:p>
      <w:pPr>
        <w:rPr>
          <w:rFonts w:ascii="宋体" w:hAnsi="宋体" w:cs="Arial"/>
          <w:sz w:val="24"/>
          <w:highlight w:val="none"/>
        </w:rPr>
      </w:pPr>
    </w:p>
    <w:p>
      <w:pPr>
        <w:pStyle w:val="8"/>
        <w:rPr>
          <w:highlight w:val="none"/>
        </w:rPr>
      </w:pPr>
    </w:p>
    <w:p>
      <w:pPr>
        <w:pStyle w:val="5"/>
        <w:ind w:firstLine="480"/>
        <w:rPr>
          <w:rFonts w:ascii="宋体" w:hAnsi="宋体" w:cs="Arial"/>
          <w:sz w:val="24"/>
          <w:highlight w:val="none"/>
        </w:rPr>
      </w:pPr>
    </w:p>
    <w:p>
      <w:pPr>
        <w:pStyle w:val="5"/>
        <w:ind w:firstLine="480"/>
        <w:rPr>
          <w:rFonts w:ascii="宋体" w:hAnsi="宋体" w:cs="Arial"/>
          <w:sz w:val="24"/>
          <w:highlight w:val="none"/>
        </w:rPr>
      </w:pPr>
    </w:p>
    <w:p>
      <w:pPr>
        <w:numPr>
          <w:ilvl w:val="0"/>
          <w:numId w:val="13"/>
        </w:numPr>
        <w:spacing w:line="360" w:lineRule="auto"/>
        <w:ind w:right="480" w:firstLine="57"/>
        <w:jc w:val="center"/>
        <w:outlineLvl w:val="0"/>
        <w:rPr>
          <w:rFonts w:hint="eastAsia" w:ascii="宋体" w:hAnsi="宋体" w:eastAsia="宋体" w:cs="宋体"/>
          <w:b/>
          <w:bCs/>
          <w:kern w:val="2"/>
          <w:sz w:val="24"/>
          <w:szCs w:val="24"/>
          <w:highlight w:val="none"/>
          <w:lang w:val="en-US" w:eastAsia="zh-CN" w:bidi="ar-SA"/>
        </w:rPr>
      </w:pPr>
      <w:bookmarkStart w:id="298" w:name="_Toc28726"/>
      <w:r>
        <w:rPr>
          <w:rFonts w:hint="eastAsia" w:ascii="宋体" w:hAnsi="宋体" w:eastAsia="宋体" w:cs="宋体"/>
          <w:b/>
          <w:bCs/>
          <w:kern w:val="2"/>
          <w:sz w:val="24"/>
          <w:szCs w:val="24"/>
          <w:highlight w:val="none"/>
          <w:lang w:val="en-US" w:eastAsia="zh-CN" w:bidi="ar-SA"/>
        </w:rPr>
        <w:t>售后服务承诺书</w:t>
      </w:r>
      <w:bookmarkEnd w:id="298"/>
    </w:p>
    <w:p>
      <w:pPr>
        <w:pStyle w:val="8"/>
        <w:numPr>
          <w:ilvl w:val="0"/>
          <w:numId w:val="0"/>
        </w:numPr>
        <w:jc w:val="center"/>
        <w:outlineLvl w:val="0"/>
        <w:rPr>
          <w:rFonts w:hint="eastAsia" w:eastAsia="宋体"/>
          <w:highlight w:val="none"/>
          <w:lang w:eastAsia="zh-CN"/>
        </w:rPr>
      </w:pPr>
      <w:bookmarkStart w:id="299" w:name="_Toc22740"/>
      <w:r>
        <w:rPr>
          <w:rFonts w:hint="eastAsia"/>
          <w:highlight w:val="none"/>
          <w:lang w:eastAsia="zh-CN"/>
        </w:rPr>
        <w:t>（格式自拟）</w:t>
      </w:r>
      <w:bookmarkEnd w:id="299"/>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5"/>
        <w:ind w:firstLine="480"/>
        <w:rPr>
          <w:rFonts w:hint="eastAsia" w:ascii="宋体" w:hAnsi="宋体" w:cs="宋体"/>
          <w:sz w:val="24"/>
          <w:highlight w:val="none"/>
        </w:rPr>
      </w:pPr>
    </w:p>
    <w:p>
      <w:pPr>
        <w:pStyle w:val="4"/>
        <w:tabs>
          <w:tab w:val="left" w:pos="1080"/>
        </w:tabs>
        <w:jc w:val="center"/>
        <w:outlineLvl w:val="0"/>
        <w:rPr>
          <w:rFonts w:hint="eastAsia" w:ascii="宋体" w:hAnsi="宋体" w:eastAsia="宋体" w:cs="宋体"/>
          <w:b/>
          <w:sz w:val="24"/>
          <w:szCs w:val="24"/>
          <w:highlight w:val="none"/>
        </w:rPr>
      </w:pPr>
      <w:bookmarkStart w:id="300" w:name="_Toc23259"/>
      <w:r>
        <w:rPr>
          <w:rFonts w:hint="eastAsia" w:ascii="宋体" w:hAnsi="宋体" w:eastAsia="宋体" w:cs="宋体"/>
          <w:b/>
          <w:sz w:val="24"/>
          <w:szCs w:val="24"/>
          <w:highlight w:val="none"/>
        </w:rPr>
        <w:t>10、磋商文件要求提供或供应商认为需提供的其它资料</w:t>
      </w:r>
      <w:bookmarkEnd w:id="300"/>
    </w:p>
    <w:p>
      <w:pPr>
        <w:spacing w:before="240" w:line="360" w:lineRule="auto"/>
        <w:outlineLvl w:val="0"/>
        <w:rPr>
          <w:rFonts w:hint="eastAsia" w:ascii="宋体" w:hAnsi="宋体"/>
          <w:b/>
          <w:color w:val="000000"/>
          <w:sz w:val="28"/>
          <w:szCs w:val="28"/>
          <w:highlight w:val="none"/>
        </w:rPr>
      </w:pPr>
      <w:bookmarkStart w:id="301" w:name="_Toc13953"/>
      <w:bookmarkStart w:id="302" w:name="_Toc16530"/>
      <w:r>
        <w:rPr>
          <w:rFonts w:hint="eastAsia" w:ascii="宋体" w:hAnsi="宋体"/>
          <w:b/>
          <w:color w:val="000000"/>
          <w:sz w:val="28"/>
          <w:szCs w:val="28"/>
          <w:highlight w:val="none"/>
        </w:rPr>
        <w:t>附件1：（如有）</w:t>
      </w:r>
      <w:bookmarkEnd w:id="301"/>
      <w:bookmarkEnd w:id="302"/>
    </w:p>
    <w:p>
      <w:pPr>
        <w:spacing w:before="100" w:beforeAutospacing="1" w:after="204" w:afterLines="50" w:line="360" w:lineRule="auto"/>
        <w:jc w:val="center"/>
        <w:rPr>
          <w:rFonts w:hint="eastAsia" w:ascii="宋体" w:hAnsi="宋体"/>
          <w:b/>
          <w:color w:val="000000"/>
          <w:sz w:val="28"/>
          <w:szCs w:val="28"/>
          <w:highlight w:val="none"/>
        </w:rPr>
      </w:pPr>
      <w:r>
        <w:rPr>
          <w:rFonts w:hint="eastAsia" w:ascii="宋体" w:hAnsi="宋体"/>
          <w:b/>
          <w:color w:val="000000"/>
          <w:sz w:val="28"/>
          <w:szCs w:val="28"/>
          <w:highlight w:val="none"/>
        </w:rPr>
        <w:t>中小企业声明函</w:t>
      </w:r>
    </w:p>
    <w:p>
      <w:pPr>
        <w:tabs>
          <w:tab w:val="left" w:pos="1620"/>
          <w:tab w:val="left" w:pos="1800"/>
        </w:tabs>
        <w:spacing w:line="500" w:lineRule="exact"/>
        <w:ind w:firstLine="420" w:firstLineChars="200"/>
        <w:rPr>
          <w:rFonts w:hint="eastAsia" w:ascii="宋体" w:hAnsi="宋体"/>
          <w:color w:val="000000"/>
          <w:szCs w:val="24"/>
          <w:highlight w:val="none"/>
        </w:rPr>
      </w:pPr>
      <w:r>
        <w:rPr>
          <w:rFonts w:hint="eastAsia" w:ascii="宋体" w:hAnsi="宋体"/>
          <w:color w:val="000000"/>
          <w:szCs w:val="24"/>
          <w:highlight w:val="none"/>
        </w:rPr>
        <w:t>本公司郑重声明，根据《政府采购促进中小企业发展暂行办法》(财库【2020】46号）的规定，本公司为</w:t>
      </w:r>
      <w:r>
        <w:rPr>
          <w:rFonts w:hint="eastAsia" w:ascii="宋体" w:hAnsi="宋体"/>
          <w:color w:val="000000"/>
          <w:szCs w:val="24"/>
          <w:highlight w:val="none"/>
          <w:u w:val="single"/>
        </w:rPr>
        <w:t xml:space="preserve">        </w:t>
      </w:r>
      <w:r>
        <w:rPr>
          <w:rFonts w:hint="eastAsia" w:ascii="宋体" w:hAnsi="宋体"/>
          <w:color w:val="000000"/>
          <w:szCs w:val="24"/>
          <w:highlight w:val="none"/>
        </w:rPr>
        <w:t>(请填写：中型、小型、微型）企业。即，本公司同时满足以下条件：</w:t>
      </w:r>
    </w:p>
    <w:p>
      <w:pPr>
        <w:numPr>
          <w:ilvl w:val="0"/>
          <w:numId w:val="14"/>
        </w:numPr>
        <w:tabs>
          <w:tab w:val="left" w:pos="1620"/>
          <w:tab w:val="left" w:pos="1800"/>
        </w:tabs>
        <w:spacing w:line="500" w:lineRule="exact"/>
        <w:ind w:firstLine="420" w:firstLineChars="200"/>
        <w:rPr>
          <w:rFonts w:hint="eastAsia" w:ascii="宋体" w:hAnsi="宋体"/>
          <w:color w:val="000000"/>
          <w:szCs w:val="24"/>
          <w:highlight w:val="none"/>
        </w:rPr>
      </w:pPr>
      <w:r>
        <w:rPr>
          <w:rFonts w:hint="eastAsia" w:ascii="宋体" w:hAnsi="宋体"/>
          <w:color w:val="000000"/>
          <w:szCs w:val="24"/>
          <w:highlight w:val="none"/>
        </w:rPr>
        <w:t>根据《工业和信息化部、国家统计局、国家发展和改革委员会、财政部关于印发中小企业划分标准规定的通知》（工信部联企业【2011】300号）规定的划分标准，本公司为</w:t>
      </w:r>
      <w:r>
        <w:rPr>
          <w:rFonts w:hint="eastAsia" w:ascii="宋体" w:hAnsi="宋体"/>
          <w:color w:val="000000"/>
          <w:szCs w:val="24"/>
          <w:highlight w:val="none"/>
          <w:u w:val="single"/>
        </w:rPr>
        <w:t xml:space="preserve">         </w:t>
      </w:r>
      <w:r>
        <w:rPr>
          <w:rFonts w:hint="eastAsia" w:ascii="宋体" w:hAnsi="宋体"/>
          <w:color w:val="000000"/>
          <w:szCs w:val="24"/>
          <w:highlight w:val="none"/>
        </w:rPr>
        <w:t>（请填写：中型、小型、微型）企业。</w:t>
      </w:r>
    </w:p>
    <w:p>
      <w:pPr>
        <w:numPr>
          <w:ilvl w:val="0"/>
          <w:numId w:val="14"/>
        </w:numPr>
        <w:tabs>
          <w:tab w:val="left" w:pos="1620"/>
          <w:tab w:val="left" w:pos="1800"/>
        </w:tabs>
        <w:spacing w:line="500" w:lineRule="exact"/>
        <w:ind w:firstLine="420" w:firstLineChars="200"/>
        <w:rPr>
          <w:rFonts w:hint="eastAsia" w:ascii="宋体" w:hAnsi="宋体"/>
          <w:color w:val="000000"/>
          <w:szCs w:val="24"/>
          <w:highlight w:val="none"/>
        </w:rPr>
      </w:pPr>
      <w:r>
        <w:rPr>
          <w:rFonts w:hint="eastAsia" w:ascii="宋体" w:hAnsi="宋体"/>
          <w:color w:val="000000"/>
          <w:szCs w:val="24"/>
          <w:highlight w:val="none"/>
        </w:rPr>
        <w:t>本公司参加</w:t>
      </w:r>
      <w:r>
        <w:rPr>
          <w:rFonts w:hint="eastAsia" w:ascii="宋体" w:hAnsi="宋体"/>
          <w:color w:val="000000"/>
          <w:szCs w:val="24"/>
          <w:highlight w:val="none"/>
          <w:u w:val="single"/>
        </w:rPr>
        <w:t xml:space="preserve">             </w:t>
      </w:r>
      <w:r>
        <w:rPr>
          <w:rFonts w:hint="eastAsia" w:ascii="宋体" w:hAnsi="宋体"/>
          <w:color w:val="000000"/>
          <w:szCs w:val="24"/>
          <w:highlight w:val="none"/>
        </w:rPr>
        <w:t>单位的</w:t>
      </w:r>
      <w:r>
        <w:rPr>
          <w:rFonts w:hint="eastAsia" w:ascii="宋体" w:hAnsi="宋体"/>
          <w:color w:val="000000"/>
          <w:szCs w:val="24"/>
          <w:highlight w:val="none"/>
          <w:u w:val="single"/>
        </w:rPr>
        <w:t xml:space="preserve">            </w:t>
      </w:r>
      <w:r>
        <w:rPr>
          <w:rFonts w:hint="eastAsia" w:ascii="宋体" w:hAnsi="宋体"/>
          <w:color w:val="000000"/>
          <w:szCs w:val="24"/>
          <w:highlight w:val="none"/>
        </w:rPr>
        <w:t>项目采购活动提供本企业制造的货物，由本企业提供服务，或者提供其他</w:t>
      </w:r>
      <w:r>
        <w:rPr>
          <w:rFonts w:hint="eastAsia" w:ascii="宋体" w:hAnsi="宋体"/>
          <w:color w:val="000000"/>
          <w:szCs w:val="24"/>
          <w:highlight w:val="none"/>
          <w:u w:val="single"/>
        </w:rPr>
        <w:t xml:space="preserve">        </w:t>
      </w:r>
      <w:r>
        <w:rPr>
          <w:rFonts w:hint="eastAsia" w:ascii="宋体" w:hAnsi="宋体"/>
          <w:color w:val="000000"/>
          <w:szCs w:val="24"/>
          <w:highlight w:val="none"/>
        </w:rPr>
        <w:t>(请填写：中型、小型、微型）企业制造的货物。本条所称货物不包括使用大型企业注册商标的货物。</w:t>
      </w:r>
    </w:p>
    <w:p>
      <w:pPr>
        <w:spacing w:line="5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3、本公司属于</w:t>
      </w:r>
      <w:r>
        <w:rPr>
          <w:rFonts w:hint="eastAsia" w:ascii="宋体" w:hAnsi="宋体"/>
          <w:color w:val="000000"/>
          <w:szCs w:val="21"/>
          <w:highlight w:val="none"/>
          <w:u w:val="single"/>
        </w:rPr>
        <w:t xml:space="preserve">       </w:t>
      </w:r>
      <w:r>
        <w:rPr>
          <w:rFonts w:hint="eastAsia" w:ascii="宋体" w:hAnsi="宋体"/>
          <w:color w:val="000000"/>
          <w:szCs w:val="21"/>
          <w:highlight w:val="none"/>
        </w:rPr>
        <w:t>行业，有从业人员</w:t>
      </w:r>
      <w:r>
        <w:rPr>
          <w:rFonts w:hint="eastAsia" w:ascii="宋体" w:hAnsi="宋体"/>
          <w:color w:val="000000"/>
          <w:szCs w:val="21"/>
          <w:highlight w:val="none"/>
          <w:u w:val="single"/>
        </w:rPr>
        <w:t xml:space="preserve">     </w:t>
      </w:r>
      <w:r>
        <w:rPr>
          <w:rFonts w:hint="eastAsia" w:ascii="宋体" w:hAnsi="宋体"/>
          <w:color w:val="000000"/>
          <w:szCs w:val="21"/>
          <w:highlight w:val="none"/>
        </w:rPr>
        <w:t>人，最近一年营业收入为</w:t>
      </w:r>
      <w:r>
        <w:rPr>
          <w:rFonts w:hint="eastAsia" w:ascii="宋体" w:hAnsi="宋体"/>
          <w:color w:val="000000"/>
          <w:szCs w:val="21"/>
          <w:highlight w:val="none"/>
          <w:u w:val="single"/>
        </w:rPr>
        <w:t xml:space="preserve">   </w:t>
      </w:r>
      <w:r>
        <w:rPr>
          <w:rFonts w:hint="eastAsia" w:ascii="宋体" w:hAnsi="宋体"/>
          <w:color w:val="000000"/>
          <w:szCs w:val="21"/>
          <w:highlight w:val="none"/>
        </w:rPr>
        <w:t>元。</w:t>
      </w:r>
    </w:p>
    <w:p>
      <w:pPr>
        <w:tabs>
          <w:tab w:val="left" w:pos="1620"/>
          <w:tab w:val="left" w:pos="1800"/>
        </w:tabs>
        <w:spacing w:line="500" w:lineRule="exact"/>
        <w:ind w:firstLine="480"/>
        <w:rPr>
          <w:rFonts w:hint="eastAsia" w:ascii="宋体" w:hAnsi="宋体"/>
          <w:color w:val="000000"/>
          <w:szCs w:val="24"/>
          <w:highlight w:val="none"/>
        </w:rPr>
      </w:pPr>
      <w:r>
        <w:rPr>
          <w:rFonts w:hint="eastAsia" w:ascii="宋体" w:hAnsi="宋体"/>
          <w:color w:val="000000"/>
          <w:szCs w:val="24"/>
          <w:highlight w:val="none"/>
        </w:rPr>
        <w:t>本公司对上述声明的真实性负责。如有虚假，将依法承担相应责任。</w:t>
      </w:r>
    </w:p>
    <w:p>
      <w:pPr>
        <w:tabs>
          <w:tab w:val="left" w:pos="1620"/>
          <w:tab w:val="left" w:pos="1800"/>
        </w:tabs>
        <w:spacing w:line="500" w:lineRule="exact"/>
        <w:ind w:firstLine="480"/>
        <w:rPr>
          <w:rFonts w:hint="eastAsia" w:ascii="宋体" w:hAnsi="宋体"/>
          <w:color w:val="000000"/>
          <w:szCs w:val="24"/>
          <w:highlight w:val="none"/>
        </w:rPr>
      </w:pPr>
    </w:p>
    <w:p>
      <w:pPr>
        <w:tabs>
          <w:tab w:val="left" w:pos="1620"/>
          <w:tab w:val="left" w:pos="1800"/>
        </w:tabs>
        <w:spacing w:line="500" w:lineRule="exact"/>
        <w:rPr>
          <w:rFonts w:hint="eastAsia" w:ascii="宋体" w:hAnsi="宋体"/>
          <w:color w:val="000000"/>
          <w:szCs w:val="24"/>
          <w:highlight w:val="none"/>
        </w:rPr>
      </w:pPr>
      <w:r>
        <w:rPr>
          <w:rFonts w:hint="eastAsia" w:ascii="宋体" w:hAnsi="宋体"/>
          <w:color w:val="000000"/>
          <w:szCs w:val="24"/>
          <w:highlight w:val="none"/>
        </w:rPr>
        <w:t xml:space="preserve">                                          单位名称（公章）：</w:t>
      </w:r>
      <w:r>
        <w:rPr>
          <w:rFonts w:hint="eastAsia" w:ascii="宋体" w:hAnsi="宋体"/>
          <w:color w:val="000000"/>
          <w:szCs w:val="24"/>
          <w:highlight w:val="none"/>
          <w:u w:val="single"/>
        </w:rPr>
        <w:t xml:space="preserve">                </w:t>
      </w:r>
    </w:p>
    <w:p>
      <w:pPr>
        <w:tabs>
          <w:tab w:val="left" w:pos="1620"/>
          <w:tab w:val="left" w:pos="1800"/>
        </w:tabs>
        <w:spacing w:line="500" w:lineRule="exact"/>
        <w:rPr>
          <w:rFonts w:hint="eastAsia" w:ascii="宋体" w:hAnsi="宋体"/>
          <w:color w:val="000000"/>
          <w:szCs w:val="24"/>
          <w:highlight w:val="none"/>
          <w:u w:val="single"/>
        </w:rPr>
      </w:pPr>
      <w:r>
        <w:rPr>
          <w:rFonts w:hint="eastAsia" w:ascii="宋体" w:hAnsi="宋体"/>
          <w:color w:val="000000"/>
          <w:szCs w:val="24"/>
          <w:highlight w:val="none"/>
        </w:rPr>
        <w:t xml:space="preserve">                                           日   期：</w:t>
      </w:r>
      <w:r>
        <w:rPr>
          <w:rFonts w:hint="eastAsia" w:ascii="宋体" w:hAnsi="宋体"/>
          <w:color w:val="000000"/>
          <w:szCs w:val="24"/>
          <w:highlight w:val="none"/>
          <w:u w:val="single"/>
        </w:rPr>
        <w:t xml:space="preserve">                        </w:t>
      </w:r>
    </w:p>
    <w:p>
      <w:pPr>
        <w:tabs>
          <w:tab w:val="left" w:pos="1620"/>
          <w:tab w:val="left" w:pos="1800"/>
        </w:tabs>
        <w:spacing w:line="500" w:lineRule="exact"/>
        <w:rPr>
          <w:rFonts w:hint="eastAsia" w:ascii="宋体" w:hAnsi="宋体"/>
          <w:color w:val="000000"/>
          <w:szCs w:val="24"/>
          <w:highlight w:val="none"/>
        </w:rPr>
      </w:pPr>
    </w:p>
    <w:p>
      <w:pPr>
        <w:tabs>
          <w:tab w:val="left" w:pos="1620"/>
          <w:tab w:val="left" w:pos="1800"/>
        </w:tabs>
        <w:spacing w:line="500" w:lineRule="exact"/>
        <w:rPr>
          <w:rFonts w:hint="eastAsia" w:ascii="宋体" w:hAnsi="宋体"/>
          <w:color w:val="000000"/>
          <w:szCs w:val="21"/>
          <w:highlight w:val="none"/>
        </w:rPr>
      </w:pPr>
      <w:r>
        <w:rPr>
          <w:rFonts w:hint="eastAsia" w:ascii="宋体" w:hAnsi="宋体"/>
          <w:color w:val="000000"/>
          <w:szCs w:val="21"/>
          <w:highlight w:val="none"/>
        </w:rPr>
        <w:t>备注：</w:t>
      </w:r>
    </w:p>
    <w:p>
      <w:pPr>
        <w:numPr>
          <w:ilvl w:val="0"/>
          <w:numId w:val="15"/>
        </w:numPr>
        <w:tabs>
          <w:tab w:val="left" w:pos="1620"/>
          <w:tab w:val="left" w:pos="1800"/>
        </w:tabs>
        <w:spacing w:line="500" w:lineRule="exact"/>
        <w:ind w:firstLine="480"/>
        <w:rPr>
          <w:rFonts w:hint="eastAsia" w:ascii="宋体" w:hAnsi="宋体"/>
          <w:color w:val="000000"/>
          <w:szCs w:val="21"/>
          <w:highlight w:val="none"/>
        </w:rPr>
      </w:pPr>
      <w:r>
        <w:rPr>
          <w:rFonts w:hint="eastAsia" w:ascii="宋体" w:hAnsi="宋体"/>
          <w:color w:val="000000"/>
          <w:szCs w:val="21"/>
          <w:highlight w:val="none"/>
        </w:rPr>
        <w:t>填写前请认真阅读工业和信息化部、国家统计局、国家发展和改革委员会、财政部关于印发中小企业划分标准规定的通知》（工信部联企业【2011】300号）和《财政部  工业和信息化部关于印发政府采购促进中小企业发展暂行办法的通知》（财库【2011】181号）相关规定。</w:t>
      </w:r>
    </w:p>
    <w:p>
      <w:pPr>
        <w:tabs>
          <w:tab w:val="left" w:pos="1620"/>
          <w:tab w:val="left" w:pos="1800"/>
        </w:tabs>
        <w:spacing w:line="500" w:lineRule="exact"/>
        <w:ind w:firstLine="420" w:firstLineChars="200"/>
        <w:rPr>
          <w:rFonts w:hint="eastAsia" w:ascii="宋体" w:hAnsi="宋体"/>
          <w:color w:val="000000"/>
          <w:sz w:val="30"/>
          <w:szCs w:val="30"/>
          <w:highlight w:val="none"/>
        </w:rPr>
      </w:pPr>
      <w:r>
        <w:rPr>
          <w:rFonts w:hint="eastAsia" w:ascii="宋体" w:hAnsi="宋体"/>
          <w:color w:val="000000"/>
          <w:szCs w:val="24"/>
          <w:highlight w:val="none"/>
        </w:rPr>
        <w:t xml:space="preserve"> </w:t>
      </w:r>
      <w:r>
        <w:rPr>
          <w:rFonts w:hint="eastAsia" w:ascii="宋体" w:hAnsi="宋体"/>
          <w:color w:val="000000"/>
          <w:szCs w:val="21"/>
          <w:highlight w:val="none"/>
        </w:rPr>
        <w:t>2、供应商认为其为小型或微型企业的应提交本函，明确企业类型并提供最近年度经审计的财务报表，不提供或提供有瑕疵的，在评审时不享受政府采购优惠政策。</w:t>
      </w:r>
    </w:p>
    <w:p>
      <w:pPr>
        <w:pStyle w:val="27"/>
        <w:rPr>
          <w:rFonts w:hint="eastAsia" w:hAnsi="宋体"/>
          <w:highlight w:val="none"/>
        </w:rPr>
      </w:pPr>
      <w:bookmarkStart w:id="303" w:name="_Toc13836"/>
    </w:p>
    <w:p>
      <w:pPr>
        <w:spacing w:before="409" w:beforeLines="100" w:after="204" w:afterLines="50"/>
        <w:outlineLvl w:val="0"/>
        <w:rPr>
          <w:rFonts w:hint="eastAsia" w:ascii="宋体" w:hAnsi="宋体"/>
          <w:b/>
          <w:color w:val="000000"/>
          <w:sz w:val="28"/>
          <w:szCs w:val="28"/>
          <w:highlight w:val="none"/>
        </w:rPr>
      </w:pPr>
      <w:bookmarkStart w:id="304" w:name="_Toc31323"/>
      <w:bookmarkStart w:id="305" w:name="_Toc11704"/>
      <w:r>
        <w:rPr>
          <w:rFonts w:hint="eastAsia" w:ascii="宋体" w:hAnsi="宋体"/>
          <w:b/>
          <w:color w:val="000000"/>
          <w:sz w:val="28"/>
          <w:szCs w:val="28"/>
          <w:highlight w:val="none"/>
        </w:rPr>
        <w:t>附件2：磋商产品属节能、环境标志产品列表</w:t>
      </w:r>
      <w:bookmarkEnd w:id="303"/>
      <w:r>
        <w:rPr>
          <w:rFonts w:hint="eastAsia" w:ascii="宋体" w:hAnsi="宋体"/>
          <w:b/>
          <w:color w:val="000000"/>
          <w:sz w:val="28"/>
          <w:szCs w:val="28"/>
          <w:highlight w:val="none"/>
        </w:rPr>
        <w:t>（如有）</w:t>
      </w:r>
      <w:bookmarkEnd w:id="304"/>
      <w:bookmarkEnd w:id="305"/>
    </w:p>
    <w:p>
      <w:pPr>
        <w:spacing w:before="409" w:beforeLines="100" w:after="204" w:afterLines="50"/>
        <w:rPr>
          <w:rFonts w:hint="eastAsia" w:ascii="宋体" w:hAnsi="宋体"/>
          <w:bCs/>
          <w:color w:val="000000"/>
          <w:sz w:val="28"/>
          <w:szCs w:val="28"/>
          <w:highlight w:val="none"/>
        </w:rPr>
      </w:pPr>
      <w:r>
        <w:rPr>
          <w:rFonts w:hint="eastAsia" w:ascii="宋体" w:hAnsi="宋体"/>
          <w:bCs/>
          <w:color w:val="000000"/>
          <w:sz w:val="28"/>
          <w:szCs w:val="28"/>
          <w:highlight w:val="none"/>
        </w:rPr>
        <w:t>项目名称：</w:t>
      </w:r>
    </w:p>
    <w:p>
      <w:pPr>
        <w:spacing w:before="409" w:beforeLines="100" w:after="204" w:afterLines="50"/>
        <w:rPr>
          <w:rFonts w:hint="eastAsia" w:ascii="宋体" w:hAnsi="宋体"/>
          <w:bCs/>
          <w:color w:val="000000"/>
          <w:sz w:val="28"/>
          <w:szCs w:val="28"/>
          <w:highlight w:val="none"/>
        </w:rPr>
      </w:pPr>
      <w:r>
        <w:rPr>
          <w:rFonts w:hint="eastAsia" w:ascii="宋体" w:hAnsi="宋体"/>
          <w:bCs/>
          <w:color w:val="000000"/>
          <w:sz w:val="28"/>
          <w:szCs w:val="28"/>
          <w:highlight w:val="none"/>
        </w:rPr>
        <w:t>项目编号：</w:t>
      </w:r>
    </w:p>
    <w:tbl>
      <w:tblPr>
        <w:tblStyle w:val="19"/>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spacing w:after="120"/>
              <w:jc w:val="center"/>
              <w:rPr>
                <w:rFonts w:ascii="宋体" w:hAnsi="宋体"/>
                <w:color w:val="000000"/>
                <w:highlight w:val="none"/>
              </w:rPr>
            </w:pPr>
            <w:r>
              <w:rPr>
                <w:rFonts w:hint="eastAsia" w:ascii="宋体" w:hAnsi="宋体"/>
                <w:color w:val="000000"/>
                <w:highlight w:val="none"/>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ascii="宋体" w:hAnsi="宋体"/>
                <w:color w:val="000000"/>
                <w:highlight w:val="none"/>
              </w:rPr>
            </w:pPr>
            <w:r>
              <w:rPr>
                <w:rFonts w:ascii="宋体" w:hAnsi="宋体"/>
                <w:color w:val="000000"/>
                <w:highlight w:val="none"/>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spacing w:before="204" w:beforeLines="50" w:after="120"/>
              <w:jc w:val="center"/>
              <w:rPr>
                <w:rFonts w:ascii="宋体" w:hAnsi="宋体"/>
                <w:color w:val="000000"/>
                <w:highlight w:val="none"/>
              </w:rPr>
            </w:pPr>
            <w:r>
              <w:rPr>
                <w:rFonts w:ascii="宋体" w:hAnsi="宋体"/>
                <w:color w:val="000000"/>
                <w:highlight w:val="none"/>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ascii="宋体" w:hAnsi="宋体"/>
                <w:color w:val="000000"/>
                <w:highlight w:val="none"/>
              </w:rPr>
            </w:pPr>
            <w:r>
              <w:rPr>
                <w:rFonts w:ascii="宋体" w:hAnsi="宋体"/>
                <w:color w:val="000000"/>
                <w:highlight w:val="none"/>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color w:val="000000"/>
                <w:highlight w:val="none"/>
              </w:rPr>
            </w:pPr>
            <w:r>
              <w:rPr>
                <w:rFonts w:ascii="宋体" w:hAnsi="宋体"/>
                <w:color w:val="000000"/>
                <w:highlight w:val="none"/>
              </w:rPr>
              <w:t>单价</w:t>
            </w:r>
          </w:p>
          <w:p>
            <w:pPr>
              <w:spacing w:after="120"/>
              <w:jc w:val="center"/>
              <w:rPr>
                <w:rFonts w:ascii="宋体" w:hAnsi="宋体"/>
                <w:bCs/>
                <w:color w:val="000000"/>
                <w:highlight w:val="none"/>
              </w:rPr>
            </w:pPr>
            <w:r>
              <w:rPr>
                <w:rFonts w:hint="eastAsia" w:ascii="宋体" w:hAnsi="宋体"/>
                <w:color w:val="000000"/>
                <w:highlight w:val="none"/>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bCs/>
                <w:color w:val="000000"/>
                <w:highlight w:val="none"/>
              </w:rPr>
            </w:pPr>
            <w:r>
              <w:rPr>
                <w:rFonts w:ascii="宋体" w:hAnsi="宋体"/>
                <w:bCs/>
                <w:color w:val="000000"/>
                <w:highlight w:val="none"/>
              </w:rPr>
              <w:t>总价</w:t>
            </w:r>
          </w:p>
          <w:p>
            <w:pPr>
              <w:spacing w:after="120"/>
              <w:jc w:val="center"/>
              <w:rPr>
                <w:rFonts w:ascii="宋体" w:hAnsi="宋体"/>
                <w:bCs/>
                <w:color w:val="000000"/>
                <w:highlight w:val="none"/>
              </w:rPr>
            </w:pPr>
            <w:r>
              <w:rPr>
                <w:rFonts w:hint="eastAsia" w:ascii="宋体" w:hAnsi="宋体"/>
                <w:bCs/>
                <w:color w:val="000000"/>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spacing w:before="409" w:beforeLines="100"/>
              <w:jc w:val="center"/>
              <w:rPr>
                <w:rFonts w:ascii="宋体" w:hAnsi="宋体"/>
                <w:color w:val="000000"/>
                <w:highlight w:val="none"/>
              </w:rPr>
            </w:pPr>
            <w:r>
              <w:rPr>
                <w:rFonts w:hint="eastAsia" w:ascii="宋体" w:hAnsi="宋体"/>
                <w:color w:val="000000"/>
                <w:highlight w:val="none"/>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pPr>
              <w:spacing w:before="204" w:beforeLines="50"/>
              <w:jc w:val="center"/>
              <w:rPr>
                <w:rFonts w:ascii="宋体" w:hAnsi="宋体"/>
                <w:color w:val="000000"/>
                <w:highlight w:val="none"/>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spacing w:before="204" w:beforeLines="50"/>
              <w:jc w:val="center"/>
              <w:rPr>
                <w:rFonts w:ascii="宋体" w:hAnsi="宋体"/>
                <w:color w:val="000000"/>
                <w:highlight w:val="none"/>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spacing w:before="204" w:beforeLines="50"/>
              <w:jc w:val="center"/>
              <w:rPr>
                <w:rFonts w:ascii="宋体" w:hAnsi="宋体"/>
                <w:color w:val="000000"/>
                <w:highlight w:val="none"/>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spacing w:before="204" w:beforeLines="50"/>
              <w:jc w:val="center"/>
              <w:rPr>
                <w:rFonts w:ascii="宋体" w:hAnsi="宋体"/>
                <w:color w:val="000000"/>
                <w:highlight w:val="none"/>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pPr>
              <w:spacing w:before="204" w:beforeLines="50"/>
              <w:jc w:val="center"/>
              <w:rPr>
                <w:rFonts w:ascii="宋体" w:hAnsi="宋体"/>
                <w:color w:val="000000"/>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409" w:beforeLines="100"/>
              <w:jc w:val="center"/>
              <w:rPr>
                <w:rFonts w:ascii="宋体" w:hAnsi="宋体"/>
                <w:color w:val="000000"/>
                <w:highlight w:val="none"/>
              </w:rPr>
            </w:pPr>
            <w:r>
              <w:rPr>
                <w:rFonts w:hint="eastAsia" w:ascii="宋体" w:hAnsi="宋体"/>
                <w:color w:val="000000"/>
                <w:highlight w:val="none"/>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409" w:beforeLines="100"/>
              <w:jc w:val="center"/>
              <w:rPr>
                <w:rFonts w:ascii="宋体" w:hAnsi="宋体"/>
                <w:color w:val="000000"/>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409" w:beforeLines="100"/>
              <w:jc w:val="center"/>
              <w:rPr>
                <w:rFonts w:ascii="宋体" w:hAnsi="宋体"/>
                <w:color w:val="000000"/>
                <w:highlight w:val="none"/>
              </w:rPr>
            </w:pPr>
            <w:r>
              <w:rPr>
                <w:rFonts w:hint="eastAsia" w:ascii="宋体" w:hAnsi="宋体"/>
                <w:color w:val="000000"/>
                <w:highlight w:val="none"/>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409" w:beforeLines="100"/>
              <w:jc w:val="center"/>
              <w:rPr>
                <w:rFonts w:ascii="宋体" w:hAnsi="宋体"/>
                <w:color w:val="000000"/>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409" w:beforeLines="100"/>
              <w:jc w:val="center"/>
              <w:rPr>
                <w:rFonts w:ascii="宋体" w:hAnsi="宋体"/>
                <w:color w:val="000000"/>
                <w:highlight w:val="none"/>
              </w:rPr>
            </w:pPr>
            <w:r>
              <w:rPr>
                <w:rFonts w:hint="eastAsia" w:ascii="宋体" w:hAnsi="宋体"/>
                <w:color w:val="000000"/>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409" w:beforeLines="100"/>
              <w:jc w:val="center"/>
              <w:rPr>
                <w:rFonts w:ascii="宋体" w:hAnsi="宋体"/>
                <w:b/>
                <w:color w:val="000000"/>
                <w:highlight w:val="none"/>
              </w:rPr>
            </w:pPr>
            <w:r>
              <w:rPr>
                <w:rFonts w:hint="eastAsia" w:ascii="宋体" w:hAnsi="宋体"/>
                <w:color w:val="000000"/>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ascii="宋体" w:hAnsi="宋体"/>
                <w:color w:val="000000"/>
                <w:highlight w:val="none"/>
              </w:rPr>
            </w:pPr>
            <w:r>
              <w:rPr>
                <w:rFonts w:ascii="宋体" w:hAnsi="宋体"/>
                <w:color w:val="000000"/>
                <w:highlight w:val="none"/>
              </w:rPr>
              <w:t>合计</w:t>
            </w:r>
            <w:r>
              <w:rPr>
                <w:rFonts w:hint="eastAsia" w:ascii="宋体" w:hAnsi="宋体"/>
                <w:color w:val="000000"/>
                <w:highlight w:val="none"/>
              </w:rPr>
              <w:t>：</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204" w:beforeLines="50"/>
              <w:jc w:val="left"/>
              <w:rPr>
                <w:rFonts w:ascii="宋体" w:hAnsi="宋体"/>
                <w:color w:val="000000"/>
                <w:highlight w:val="none"/>
              </w:rPr>
            </w:pPr>
            <w:r>
              <w:rPr>
                <w:rFonts w:ascii="宋体" w:hAnsi="宋体"/>
                <w:color w:val="000000"/>
                <w:highlight w:val="none"/>
              </w:rPr>
              <w:t xml:space="preserve">大写：   </w:t>
            </w:r>
            <w:r>
              <w:rPr>
                <w:rFonts w:hint="eastAsia" w:ascii="宋体" w:hAnsi="宋体"/>
                <w:color w:val="000000"/>
                <w:highlight w:val="none"/>
              </w:rPr>
              <w:t xml:space="preserve">                             </w:t>
            </w:r>
            <w:r>
              <w:rPr>
                <w:rFonts w:ascii="宋体" w:hAnsi="宋体"/>
                <w:color w:val="000000"/>
                <w:highlight w:val="none"/>
              </w:rPr>
              <w:t>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ascii="宋体" w:hAnsi="宋体"/>
                <w:color w:val="000000"/>
                <w:highlight w:val="none"/>
              </w:rPr>
            </w:pPr>
            <w:r>
              <w:rPr>
                <w:rFonts w:hint="eastAsia" w:ascii="宋体" w:hAnsi="宋体"/>
                <w:color w:val="000000"/>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204" w:beforeLines="50"/>
              <w:jc w:val="center"/>
              <w:rPr>
                <w:rFonts w:ascii="宋体" w:hAnsi="宋体"/>
                <w:color w:val="000000"/>
                <w:highlight w:val="none"/>
              </w:rPr>
            </w:pPr>
            <w:r>
              <w:rPr>
                <w:rFonts w:hint="eastAsia" w:ascii="宋体" w:hAnsi="宋体"/>
                <w:color w:val="000000"/>
                <w:highlight w:val="none"/>
              </w:rPr>
              <w:t>保留小数点后两位。</w:t>
            </w:r>
          </w:p>
        </w:tc>
      </w:tr>
    </w:tbl>
    <w:p>
      <w:pPr>
        <w:adjustRightInd w:val="0"/>
        <w:snapToGrid w:val="0"/>
        <w:spacing w:line="360" w:lineRule="auto"/>
        <w:rPr>
          <w:rFonts w:ascii="宋体" w:hAnsi="宋体"/>
          <w:color w:val="000000"/>
          <w:szCs w:val="21"/>
          <w:highlight w:val="none"/>
        </w:rPr>
      </w:pPr>
    </w:p>
    <w:p>
      <w:pPr>
        <w:adjustRightInd w:val="0"/>
        <w:snapToGrid w:val="0"/>
        <w:spacing w:line="360" w:lineRule="auto"/>
        <w:rPr>
          <w:rFonts w:ascii="宋体" w:hAnsi="宋体"/>
          <w:bCs/>
          <w:color w:val="000000"/>
          <w:szCs w:val="21"/>
          <w:highlight w:val="none"/>
        </w:rPr>
      </w:pPr>
      <w:r>
        <w:rPr>
          <w:rFonts w:ascii="宋体" w:hAnsi="宋体"/>
          <w:color w:val="000000"/>
          <w:szCs w:val="21"/>
          <w:highlight w:val="none"/>
        </w:rPr>
        <w:t>说明：</w:t>
      </w:r>
      <w:r>
        <w:rPr>
          <w:rFonts w:ascii="宋体" w:hAnsi="宋体"/>
          <w:bCs/>
          <w:color w:val="000000"/>
          <w:szCs w:val="21"/>
          <w:highlight w:val="none"/>
        </w:rPr>
        <w:t>1、</w:t>
      </w:r>
      <w:r>
        <w:rPr>
          <w:rFonts w:ascii="宋体" w:hAnsi="宋体"/>
          <w:color w:val="000000"/>
          <w:szCs w:val="21"/>
          <w:highlight w:val="none"/>
        </w:rPr>
        <w:t>供应商提供的产品</w:t>
      </w:r>
      <w:r>
        <w:rPr>
          <w:rFonts w:ascii="宋体" w:hAnsi="宋体"/>
          <w:bCs/>
          <w:color w:val="000000"/>
          <w:szCs w:val="21"/>
          <w:highlight w:val="none"/>
        </w:rPr>
        <w:t>属于《节能产品政府采购清单》中节能产品，《环境标志产品政府采购清单》中环境标志产品</w:t>
      </w:r>
      <w:r>
        <w:rPr>
          <w:rFonts w:hint="eastAsia" w:ascii="宋体" w:hAnsi="宋体"/>
          <w:bCs/>
          <w:color w:val="000000"/>
          <w:szCs w:val="21"/>
          <w:highlight w:val="none"/>
        </w:rPr>
        <w:t>，应按磋商文件要求</w:t>
      </w:r>
      <w:r>
        <w:rPr>
          <w:rFonts w:ascii="宋体" w:hAnsi="宋体"/>
          <w:color w:val="000000"/>
          <w:szCs w:val="21"/>
          <w:highlight w:val="none"/>
        </w:rPr>
        <w:t>提供相关证明材料。</w:t>
      </w:r>
    </w:p>
    <w:p>
      <w:pPr>
        <w:pStyle w:val="30"/>
        <w:spacing w:line="400" w:lineRule="exact"/>
        <w:ind w:left="420" w:leftChars="200" w:firstLine="240" w:firstLineChars="100"/>
        <w:rPr>
          <w:rFonts w:ascii="宋体" w:hAnsi="宋体"/>
          <w:color w:val="000000"/>
          <w:sz w:val="28"/>
          <w:szCs w:val="28"/>
          <w:highlight w:val="none"/>
        </w:rPr>
      </w:pPr>
      <w:r>
        <w:rPr>
          <w:rFonts w:ascii="宋体" w:hAnsi="宋体"/>
          <w:bCs/>
          <w:color w:val="000000"/>
          <w:highlight w:val="none"/>
        </w:rPr>
        <w:t>2、未按上述要求提供、</w:t>
      </w:r>
      <w:r>
        <w:rPr>
          <w:rFonts w:ascii="宋体" w:hAnsi="宋体"/>
          <w:color w:val="000000"/>
          <w:highlight w:val="none"/>
        </w:rPr>
        <w:t>填写</w:t>
      </w:r>
      <w:r>
        <w:rPr>
          <w:rFonts w:ascii="宋体" w:hAnsi="宋体"/>
          <w:bCs/>
          <w:color w:val="000000"/>
          <w:highlight w:val="none"/>
        </w:rPr>
        <w:t>的，评</w:t>
      </w:r>
      <w:r>
        <w:rPr>
          <w:rFonts w:hint="eastAsia" w:ascii="宋体" w:hAnsi="宋体"/>
          <w:bCs/>
          <w:color w:val="000000"/>
          <w:highlight w:val="none"/>
        </w:rPr>
        <w:t>审</w:t>
      </w:r>
      <w:r>
        <w:rPr>
          <w:rFonts w:ascii="宋体" w:hAnsi="宋体"/>
          <w:bCs/>
          <w:color w:val="000000"/>
          <w:highlight w:val="none"/>
        </w:rPr>
        <w:t>时不予以考虑。</w:t>
      </w:r>
    </w:p>
    <w:p>
      <w:pPr>
        <w:spacing w:before="100" w:beforeAutospacing="1" w:after="204" w:afterLines="50" w:line="360" w:lineRule="auto"/>
        <w:outlineLvl w:val="0"/>
        <w:rPr>
          <w:rFonts w:hint="eastAsia" w:ascii="宋体" w:hAnsi="宋体" w:cs="宋体"/>
          <w:b/>
          <w:bCs/>
          <w:color w:val="000000"/>
          <w:sz w:val="30"/>
          <w:szCs w:val="30"/>
          <w:highlight w:val="none"/>
        </w:rPr>
      </w:pPr>
      <w:r>
        <w:rPr>
          <w:rFonts w:ascii="宋体" w:hAnsi="宋体"/>
          <w:color w:val="000000"/>
          <w:szCs w:val="24"/>
          <w:highlight w:val="none"/>
        </w:rPr>
        <w:br w:type="page"/>
      </w:r>
      <w:bookmarkStart w:id="306" w:name="_Toc24638"/>
      <w:bookmarkStart w:id="307" w:name="_Toc9816"/>
      <w:r>
        <w:rPr>
          <w:rFonts w:hint="eastAsia" w:ascii="宋体" w:hAnsi="宋体" w:cs="宋体"/>
          <w:b/>
          <w:bCs/>
          <w:color w:val="000000"/>
          <w:sz w:val="30"/>
          <w:szCs w:val="30"/>
          <w:highlight w:val="none"/>
        </w:rPr>
        <w:t>附件3：</w:t>
      </w:r>
      <w:r>
        <w:rPr>
          <w:rFonts w:hint="eastAsia" w:ascii="宋体" w:hAnsi="宋体"/>
          <w:b/>
          <w:color w:val="000000"/>
          <w:sz w:val="28"/>
          <w:szCs w:val="28"/>
          <w:highlight w:val="none"/>
        </w:rPr>
        <w:t>（如用）</w:t>
      </w:r>
      <w:bookmarkEnd w:id="306"/>
      <w:bookmarkEnd w:id="307"/>
    </w:p>
    <w:p>
      <w:pPr>
        <w:spacing w:line="588" w:lineRule="exact"/>
        <w:jc w:val="center"/>
        <w:outlineLvl w:val="0"/>
        <w:rPr>
          <w:rFonts w:hint="eastAsia" w:ascii="宋体" w:hAnsi="宋体" w:cs="宋体"/>
          <w:b/>
          <w:color w:val="000000"/>
          <w:sz w:val="32"/>
          <w:szCs w:val="32"/>
          <w:highlight w:val="none"/>
        </w:rPr>
      </w:pPr>
      <w:bookmarkStart w:id="308" w:name="_Toc27505"/>
      <w:bookmarkStart w:id="309" w:name="OLE_LINK13"/>
      <w:bookmarkStart w:id="310" w:name="OLE_LINK14"/>
      <w:r>
        <w:rPr>
          <w:rFonts w:hint="eastAsia" w:ascii="宋体" w:hAnsi="宋体" w:cs="宋体"/>
          <w:b/>
          <w:color w:val="000000"/>
          <w:sz w:val="32"/>
          <w:szCs w:val="32"/>
          <w:highlight w:val="none"/>
        </w:rPr>
        <w:t>残疾人福利性单位声明函</w:t>
      </w:r>
      <w:bookmarkEnd w:id="308"/>
    </w:p>
    <w:bookmarkEnd w:id="309"/>
    <w:bookmarkEnd w:id="310"/>
    <w:p>
      <w:pPr>
        <w:spacing w:line="588" w:lineRule="exact"/>
        <w:rPr>
          <w:rFonts w:hint="eastAsia" w:ascii="宋体" w:hAnsi="宋体" w:cs="宋体"/>
          <w:b/>
          <w:color w:val="000000"/>
          <w:sz w:val="30"/>
          <w:szCs w:val="30"/>
          <w:highlight w:val="none"/>
        </w:rPr>
      </w:pPr>
    </w:p>
    <w:p>
      <w:pPr>
        <w:spacing w:line="588" w:lineRule="exact"/>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本单位对上述声明的真实性负责。如有虚假，将依法承担相应责任。</w:t>
      </w:r>
    </w:p>
    <w:p>
      <w:pPr>
        <w:spacing w:line="588" w:lineRule="exact"/>
        <w:ind w:firstLine="420" w:firstLineChars="200"/>
        <w:rPr>
          <w:rFonts w:hint="eastAsia" w:ascii="宋体" w:hAnsi="宋体" w:cs="宋体"/>
          <w:color w:val="000000"/>
          <w:szCs w:val="24"/>
          <w:highlight w:val="none"/>
        </w:rPr>
      </w:pPr>
    </w:p>
    <w:p>
      <w:pPr>
        <w:spacing w:line="588" w:lineRule="exact"/>
        <w:ind w:firstLine="420" w:firstLineChars="200"/>
        <w:rPr>
          <w:rFonts w:hint="eastAsia" w:ascii="宋体" w:hAnsi="宋体" w:cs="宋体"/>
          <w:color w:val="000000"/>
          <w:szCs w:val="24"/>
          <w:highlight w:val="none"/>
        </w:rPr>
      </w:pPr>
    </w:p>
    <w:p>
      <w:pPr>
        <w:spacing w:line="588" w:lineRule="exact"/>
        <w:ind w:firstLine="420" w:firstLineChars="200"/>
        <w:rPr>
          <w:rFonts w:hint="eastAsia" w:ascii="宋体" w:hAnsi="宋体" w:cs="宋体"/>
          <w:color w:val="000000"/>
          <w:szCs w:val="24"/>
          <w:highlight w:val="none"/>
        </w:rPr>
      </w:pPr>
    </w:p>
    <w:p>
      <w:pPr>
        <w:spacing w:line="588" w:lineRule="exact"/>
        <w:ind w:firstLine="420" w:firstLineChars="200"/>
        <w:rPr>
          <w:rFonts w:hint="eastAsia" w:ascii="宋体" w:hAnsi="宋体" w:cs="宋体"/>
          <w:color w:val="000000"/>
          <w:szCs w:val="24"/>
          <w:highlight w:val="none"/>
        </w:rPr>
      </w:pPr>
    </w:p>
    <w:p>
      <w:pPr>
        <w:tabs>
          <w:tab w:val="left" w:pos="4860"/>
        </w:tabs>
        <w:spacing w:line="588" w:lineRule="exact"/>
        <w:ind w:right="1560" w:firstLine="420" w:firstLineChars="200"/>
        <w:jc w:val="center"/>
        <w:outlineLvl w:val="0"/>
        <w:rPr>
          <w:rFonts w:hint="eastAsia" w:ascii="宋体" w:hAnsi="宋体" w:cs="宋体"/>
          <w:color w:val="000000"/>
          <w:szCs w:val="24"/>
          <w:highlight w:val="none"/>
        </w:rPr>
      </w:pPr>
      <w:r>
        <w:rPr>
          <w:rFonts w:hint="eastAsia" w:ascii="宋体" w:hAnsi="宋体" w:cs="宋体"/>
          <w:color w:val="000000"/>
          <w:szCs w:val="24"/>
          <w:highlight w:val="none"/>
        </w:rPr>
        <w:t xml:space="preserve">               </w:t>
      </w:r>
      <w:bookmarkStart w:id="311" w:name="_Toc425"/>
      <w:bookmarkStart w:id="312" w:name="_Toc23794"/>
      <w:r>
        <w:rPr>
          <w:rFonts w:hint="eastAsia" w:ascii="宋体" w:hAnsi="宋体" w:cs="宋体"/>
          <w:color w:val="000000"/>
          <w:szCs w:val="24"/>
          <w:highlight w:val="none"/>
        </w:rPr>
        <w:t>单位名称（盖章）：</w:t>
      </w:r>
      <w:bookmarkEnd w:id="311"/>
      <w:bookmarkEnd w:id="312"/>
    </w:p>
    <w:p>
      <w:pPr>
        <w:tabs>
          <w:tab w:val="left" w:pos="4860"/>
        </w:tabs>
        <w:spacing w:line="588" w:lineRule="exact"/>
        <w:ind w:right="1560" w:firstLine="420" w:firstLineChars="200"/>
        <w:jc w:val="center"/>
        <w:outlineLvl w:val="0"/>
        <w:rPr>
          <w:rFonts w:hint="eastAsia" w:ascii="宋体" w:hAnsi="宋体" w:cs="宋体"/>
          <w:color w:val="000000"/>
          <w:szCs w:val="24"/>
          <w:highlight w:val="none"/>
        </w:rPr>
      </w:pPr>
      <w:r>
        <w:rPr>
          <w:rFonts w:hint="eastAsia" w:ascii="宋体" w:hAnsi="宋体" w:cs="宋体"/>
          <w:color w:val="000000"/>
          <w:szCs w:val="24"/>
          <w:highlight w:val="none"/>
        </w:rPr>
        <w:t xml:space="preserve">       </w:t>
      </w:r>
      <w:bookmarkStart w:id="313" w:name="_Toc30505"/>
      <w:r>
        <w:rPr>
          <w:rFonts w:hint="eastAsia" w:ascii="宋体" w:hAnsi="宋体" w:cs="宋体"/>
          <w:color w:val="000000"/>
          <w:szCs w:val="24"/>
          <w:highlight w:val="none"/>
        </w:rPr>
        <w:t>日    期：</w:t>
      </w:r>
      <w:bookmarkEnd w:id="313"/>
    </w:p>
    <w:p>
      <w:pPr>
        <w:tabs>
          <w:tab w:val="left" w:pos="1620"/>
          <w:tab w:val="left" w:pos="1800"/>
        </w:tabs>
        <w:spacing w:line="440" w:lineRule="exact"/>
        <w:ind w:right="540" w:rightChars="257"/>
        <w:rPr>
          <w:rFonts w:hint="eastAsia" w:ascii="宋体" w:hAnsi="宋体" w:cs="宋体"/>
          <w:color w:val="000000"/>
          <w:highlight w:val="none"/>
        </w:rPr>
      </w:pPr>
    </w:p>
    <w:p>
      <w:pPr>
        <w:rPr>
          <w:rFonts w:ascii="宋体" w:hAnsi="宋体"/>
          <w:color w:val="000000"/>
          <w:szCs w:val="24"/>
          <w:highlight w:val="none"/>
        </w:rPr>
      </w:pPr>
    </w:p>
    <w:p>
      <w:pPr>
        <w:rPr>
          <w:rFonts w:ascii="宋体" w:hAnsi="宋体"/>
          <w:color w:val="000000"/>
          <w:szCs w:val="24"/>
          <w:highlight w:val="none"/>
        </w:rPr>
      </w:pPr>
    </w:p>
    <w:p>
      <w:pPr>
        <w:rPr>
          <w:rFonts w:ascii="宋体" w:hAnsi="宋体"/>
          <w:color w:val="000000"/>
          <w:szCs w:val="24"/>
          <w:highlight w:val="none"/>
        </w:rPr>
      </w:pPr>
    </w:p>
    <w:p>
      <w:pPr>
        <w:rPr>
          <w:rFonts w:ascii="宋体" w:hAnsi="宋体"/>
          <w:color w:val="000000"/>
          <w:szCs w:val="24"/>
          <w:highlight w:val="none"/>
        </w:rPr>
      </w:pPr>
    </w:p>
    <w:p>
      <w:pPr>
        <w:pStyle w:val="31"/>
        <w:rPr>
          <w:rFonts w:ascii="宋体" w:hAnsi="宋体"/>
          <w:highlight w:val="none"/>
        </w:rPr>
      </w:pPr>
    </w:p>
    <w:p>
      <w:pPr>
        <w:spacing w:line="400" w:lineRule="atLeast"/>
        <w:rPr>
          <w:rFonts w:ascii="宋体" w:hAnsi="宋体" w:cs="Arial"/>
          <w:sz w:val="24"/>
          <w:highlight w:val="none"/>
        </w:rPr>
      </w:pPr>
    </w:p>
    <w:p>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swiss"/>
    <w:pitch w:val="default"/>
    <w:sig w:usb0="E10022FF" w:usb1="C000E47F" w:usb2="00000029" w:usb3="00000000" w:csb0="200001DF" w:csb1="2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1"/>
      </w:rPr>
    </w:pPr>
    <w:r>
      <w:fldChar w:fldCharType="begin"/>
    </w:r>
    <w:r>
      <w:rPr>
        <w:rStyle w:val="21"/>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25</w:t>
                    </w:r>
                    <w:r>
                      <w:fldChar w:fldCharType="end"/>
                    </w:r>
                  </w:p>
                </w:txbxContent>
              </v:textbox>
            </v:shape>
          </w:pict>
        </mc:Fallback>
      </mc:AlternateContent>
    </w:r>
    <w:r>
      <w:rPr>
        <w:lang w:val="zh-CN"/>
      </w:rPr>
      <w:t xml:space="preserve">  </w: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rFonts w:hint="eastAsia"/>
        <w:b/>
      </w:rPr>
      <w:t xml:space="preserve">磋商文件   　　　　　　                  　　　　　　　　　　          　　　　　新疆宣宇项目管理有限公司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A92DB"/>
    <w:multiLevelType w:val="singleLevel"/>
    <w:tmpl w:val="C8BA92DB"/>
    <w:lvl w:ilvl="0" w:tentative="0">
      <w:start w:val="9"/>
      <w:numFmt w:val="decimal"/>
      <w:suff w:val="nothing"/>
      <w:lvlText w:val="%1、"/>
      <w:lvlJc w:val="left"/>
    </w:lvl>
  </w:abstractNum>
  <w:abstractNum w:abstractNumId="1">
    <w:nsid w:val="13A95EE0"/>
    <w:multiLevelType w:val="singleLevel"/>
    <w:tmpl w:val="13A95EE0"/>
    <w:lvl w:ilvl="0" w:tentative="0">
      <w:start w:val="1"/>
      <w:numFmt w:val="decimal"/>
      <w:lvlText w:val="（%1）"/>
      <w:lvlJc w:val="left"/>
      <w:pPr>
        <w:tabs>
          <w:tab w:val="left" w:pos="1184"/>
        </w:tabs>
        <w:ind w:left="1184" w:hanging="900"/>
      </w:pPr>
      <w:rPr>
        <w:rFonts w:hint="eastAsia"/>
      </w:rPr>
    </w:lvl>
  </w:abstractNum>
  <w:abstractNum w:abstractNumId="2">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6D915F1"/>
    <w:multiLevelType w:val="singleLevel"/>
    <w:tmpl w:val="16D915F1"/>
    <w:lvl w:ilvl="0" w:tentative="0">
      <w:start w:val="2"/>
      <w:numFmt w:val="decimal"/>
      <w:suff w:val="nothing"/>
      <w:lvlText w:val="（%1）"/>
      <w:lvlJc w:val="left"/>
    </w:lvl>
  </w:abstractNum>
  <w:abstractNum w:abstractNumId="4">
    <w:nsid w:val="1B2F06CD"/>
    <w:multiLevelType w:val="multilevel"/>
    <w:tmpl w:val="1B2F06C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C2665D"/>
    <w:multiLevelType w:val="multilevel"/>
    <w:tmpl w:val="2BC266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D96E999"/>
    <w:multiLevelType w:val="singleLevel"/>
    <w:tmpl w:val="2D96E999"/>
    <w:lvl w:ilvl="0" w:tentative="0">
      <w:start w:val="2"/>
      <w:numFmt w:val="chineseCounting"/>
      <w:suff w:val="nothing"/>
      <w:lvlText w:val="%1、"/>
      <w:lvlJc w:val="left"/>
      <w:rPr>
        <w:rFonts w:hint="eastAsia"/>
      </w:rPr>
    </w:lvl>
  </w:abstractNum>
  <w:abstractNum w:abstractNumId="7">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58491603"/>
    <w:multiLevelType w:val="singleLevel"/>
    <w:tmpl w:val="58491603"/>
    <w:lvl w:ilvl="0" w:tentative="0">
      <w:start w:val="1"/>
      <w:numFmt w:val="decimal"/>
      <w:suff w:val="nothing"/>
      <w:lvlText w:val="%1、"/>
      <w:lvlJc w:val="left"/>
    </w:lvl>
  </w:abstractNum>
  <w:abstractNum w:abstractNumId="9">
    <w:nsid w:val="59CDEB92"/>
    <w:multiLevelType w:val="singleLevel"/>
    <w:tmpl w:val="59CDEB92"/>
    <w:lvl w:ilvl="0" w:tentative="0">
      <w:start w:val="1"/>
      <w:numFmt w:val="decimal"/>
      <w:suff w:val="nothing"/>
      <w:lvlText w:val="%1、"/>
      <w:lvlJc w:val="left"/>
    </w:lvl>
  </w:abstractNum>
  <w:abstractNum w:abstractNumId="10">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11">
    <w:nsid w:val="60C70080"/>
    <w:multiLevelType w:val="multilevel"/>
    <w:tmpl w:val="60C700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B752EAB"/>
    <w:multiLevelType w:val="multilevel"/>
    <w:tmpl w:val="6B752EA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49E3A64"/>
    <w:multiLevelType w:val="singleLevel"/>
    <w:tmpl w:val="749E3A64"/>
    <w:lvl w:ilvl="0" w:tentative="0">
      <w:start w:val="3"/>
      <w:numFmt w:val="chineseCounting"/>
      <w:suff w:val="space"/>
      <w:lvlText w:val="第%1部分"/>
      <w:lvlJc w:val="left"/>
      <w:rPr>
        <w:rFonts w:hint="eastAsia"/>
      </w:rPr>
    </w:lvl>
  </w:abstractNum>
  <w:abstractNum w:abstractNumId="14">
    <w:nsid w:val="7B247285"/>
    <w:multiLevelType w:val="multilevel"/>
    <w:tmpl w:val="7B2472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num>
  <w:num w:numId="3">
    <w:abstractNumId w:val="1"/>
  </w:num>
  <w:num w:numId="4">
    <w:abstractNumId w:val="10"/>
  </w:num>
  <w:num w:numId="5">
    <w:abstractNumId w:val="3"/>
  </w:num>
  <w:num w:numId="6">
    <w:abstractNumId w:val="13"/>
  </w:num>
  <w:num w:numId="7">
    <w:abstractNumId w:val="6"/>
  </w:num>
  <w:num w:numId="8">
    <w:abstractNumId w:val="5"/>
  </w:num>
  <w:num w:numId="9">
    <w:abstractNumId w:val="12"/>
  </w:num>
  <w:num w:numId="10">
    <w:abstractNumId w:val="14"/>
  </w:num>
  <w:num w:numId="11">
    <w:abstractNumId w:val="11"/>
  </w:num>
  <w:num w:numId="12">
    <w:abstractNumId w:val="4"/>
  </w:num>
  <w:num w:numId="13">
    <w:abstractNumId w:val="0"/>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lNzI2NTc2MzM1ODQyNjhmMDg5NmY2MzZhZmY2NjUifQ=="/>
  </w:docVars>
  <w:rsids>
    <w:rsidRoot w:val="7FEAB55F"/>
    <w:rsid w:val="035B3F7B"/>
    <w:rsid w:val="0A3032FE"/>
    <w:rsid w:val="1497579E"/>
    <w:rsid w:val="17BF6D41"/>
    <w:rsid w:val="1EE04E70"/>
    <w:rsid w:val="2B53635E"/>
    <w:rsid w:val="34E35625"/>
    <w:rsid w:val="39EF36AB"/>
    <w:rsid w:val="50F404BE"/>
    <w:rsid w:val="51DE1F9D"/>
    <w:rsid w:val="631101D6"/>
    <w:rsid w:val="67FE2F44"/>
    <w:rsid w:val="693914AF"/>
    <w:rsid w:val="72836EE9"/>
    <w:rsid w:val="75233AD9"/>
    <w:rsid w:val="77C40EE3"/>
    <w:rsid w:val="78A8756F"/>
    <w:rsid w:val="7BF55297"/>
    <w:rsid w:val="7BFC4FC5"/>
    <w:rsid w:val="7BFF3548"/>
    <w:rsid w:val="7D0E1004"/>
    <w:rsid w:val="7E553215"/>
    <w:rsid w:val="7FEAB55F"/>
    <w:rsid w:val="AB5F4452"/>
    <w:rsid w:val="AC7FCE1C"/>
    <w:rsid w:val="FDEB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Cs/>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index 6"/>
    <w:basedOn w:val="1"/>
    <w:next w:val="1"/>
    <w:unhideWhenUsed/>
    <w:qFormat/>
    <w:uiPriority w:val="99"/>
    <w:pPr>
      <w:ind w:left="1000" w:leftChars="1000"/>
    </w:pPr>
  </w:style>
  <w:style w:type="paragraph" w:styleId="5">
    <w:name w:val="Normal Indent"/>
    <w:basedOn w:val="1"/>
    <w:qFormat/>
    <w:uiPriority w:val="0"/>
    <w:pPr>
      <w:ind w:firstLine="420" w:firstLineChars="200"/>
    </w:pPr>
    <w:rPr>
      <w:szCs w:val="24"/>
    </w:rPr>
  </w:style>
  <w:style w:type="paragraph" w:styleId="6">
    <w:name w:val="index 5"/>
    <w:basedOn w:val="1"/>
    <w:next w:val="1"/>
    <w:qFormat/>
    <w:uiPriority w:val="0"/>
    <w:pPr>
      <w:ind w:left="1680"/>
    </w:pPr>
  </w:style>
  <w:style w:type="paragraph" w:styleId="7">
    <w:name w:val="Salutation"/>
    <w:basedOn w:val="1"/>
    <w:next w:val="1"/>
    <w:qFormat/>
    <w:uiPriority w:val="0"/>
    <w:rPr>
      <w:rFonts w:ascii="宋体"/>
      <w:b/>
      <w:sz w:val="28"/>
    </w:rPr>
  </w:style>
  <w:style w:type="paragraph" w:styleId="8">
    <w:name w:val="Body Text"/>
    <w:basedOn w:val="1"/>
    <w:next w:val="1"/>
    <w:qFormat/>
    <w:uiPriority w:val="0"/>
    <w:rPr>
      <w:rFonts w:ascii="Arial" w:hAnsi="Arial"/>
      <w:sz w:val="24"/>
    </w:rPr>
  </w:style>
  <w:style w:type="paragraph" w:styleId="9">
    <w:name w:val="Body Text Indent"/>
    <w:basedOn w:val="1"/>
    <w:qFormat/>
    <w:uiPriority w:val="0"/>
    <w:pPr>
      <w:ind w:firstLine="480"/>
    </w:pPr>
    <w:rPr>
      <w:rFonts w:ascii="宋体" w:hAnsi="宋体"/>
      <w:sz w:val="24"/>
    </w:rPr>
  </w:style>
  <w:style w:type="paragraph" w:styleId="10">
    <w:name w:val="Plain Text"/>
    <w:basedOn w:val="1"/>
    <w:next w:val="5"/>
    <w:qFormat/>
    <w:uiPriority w:val="0"/>
    <w:rPr>
      <w:rFonts w:ascii="宋体" w:hAnsi="Courier New"/>
    </w:rPr>
  </w:style>
  <w:style w:type="paragraph" w:styleId="11">
    <w:name w:val="Date"/>
    <w:basedOn w:val="1"/>
    <w:next w:val="1"/>
    <w:qFormat/>
    <w:uiPriority w:val="0"/>
    <w:pPr>
      <w:ind w:left="100"/>
    </w:pPr>
    <w:rPr>
      <w:sz w:val="24"/>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7">
    <w:name w:val="Body Text First Indent"/>
    <w:basedOn w:val="8"/>
    <w:qFormat/>
    <w:uiPriority w:val="0"/>
    <w:pPr>
      <w:snapToGrid/>
      <w:spacing w:after="120" w:afterLines="0" w:line="240" w:lineRule="auto"/>
      <w:ind w:firstLine="420" w:firstLineChars="100"/>
    </w:pPr>
    <w:rPr>
      <w:sz w:val="21"/>
      <w:szCs w:val="24"/>
    </w:rPr>
  </w:style>
  <w:style w:type="paragraph" w:styleId="18">
    <w:name w:val="Body Text First Indent 2"/>
    <w:basedOn w:val="9"/>
    <w:unhideWhenUsed/>
    <w:qFormat/>
    <w:uiPriority w:val="99"/>
    <w:pPr>
      <w:ind w:firstLine="420" w:firstLineChars="200"/>
    </w:pPr>
    <w:rPr>
      <w:rFonts w:ascii="Calibri" w:hAnsi="Calibri" w:eastAsia="宋体" w:cs="Times New Roman"/>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UserStyle_0"/>
    <w:next w:val="1"/>
    <w:qFormat/>
    <w:uiPriority w:val="0"/>
    <w:pPr>
      <w:widowControl/>
      <w:snapToGrid w:val="0"/>
      <w:spacing w:line="360" w:lineRule="auto"/>
      <w:ind w:firstLine="200" w:firstLineChars="200"/>
      <w:jc w:val="both"/>
      <w:textAlignment w:val="baseline"/>
    </w:pPr>
    <w:rPr>
      <w:rFonts w:ascii="宋体" w:hAnsi="Calibri" w:eastAsia="宋体" w:cs="Times New Roman"/>
      <w:sz w:val="24"/>
      <w:szCs w:val="22"/>
      <w:lang w:val="en-US" w:eastAsia="zh-CN" w:bidi="ar-SA"/>
    </w:rPr>
  </w:style>
  <w:style w:type="paragraph" w:customStyle="1" w:styleId="24">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Table Paragraph"/>
    <w:basedOn w:val="1"/>
    <w:qFormat/>
    <w:uiPriority w:val="0"/>
  </w:style>
  <w:style w:type="paragraph" w:customStyle="1" w:styleId="27">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28">
    <w:name w:val="索引 11"/>
    <w:basedOn w:val="1"/>
    <w:next w:val="1"/>
    <w:qFormat/>
    <w:uiPriority w:val="0"/>
    <w:pPr>
      <w:spacing w:line="360" w:lineRule="auto"/>
    </w:pPr>
    <w:rPr>
      <w:rFonts w:ascii="仿宋_GB2312" w:eastAsia="仿宋_GB2312"/>
      <w:sz w:val="24"/>
      <w:szCs w:val="20"/>
    </w:rPr>
  </w:style>
  <w:style w:type="paragraph" w:customStyle="1" w:styleId="29">
    <w:name w:val="纯文本1"/>
    <w:basedOn w:val="1"/>
    <w:qFormat/>
    <w:uiPriority w:val="0"/>
    <w:rPr>
      <w:rFonts w:ascii="宋体" w:hAnsi="Courier New" w:eastAsia="宋体" w:cs="Times New Roman"/>
      <w:szCs w:val="22"/>
    </w:rPr>
  </w:style>
  <w:style w:type="paragraph" w:customStyle="1" w:styleId="30">
    <w:name w:val="Char1"/>
    <w:basedOn w:val="1"/>
    <w:qFormat/>
    <w:uiPriority w:val="0"/>
    <w:pPr>
      <w:tabs>
        <w:tab w:val="left" w:pos="360"/>
      </w:tabs>
      <w:ind w:left="360" w:hanging="360" w:hangingChars="200"/>
    </w:pPr>
    <w:rPr>
      <w:sz w:val="24"/>
      <w:szCs w:val="24"/>
    </w:rPr>
  </w:style>
  <w:style w:type="paragraph" w:customStyle="1" w:styleId="31">
    <w:name w:val="Default"/>
    <w:next w:val="6"/>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32">
    <w:name w:val="WPSOffice手动目录 1"/>
    <w:qFormat/>
    <w:uiPriority w:val="0"/>
    <w:pPr>
      <w:ind w:leftChars="0"/>
    </w:pPr>
    <w:rPr>
      <w:rFonts w:ascii="Calibri" w:hAnsi="Calibri" w:eastAsia="宋体" w:cs="Times New Roman"/>
      <w:sz w:val="20"/>
      <w:szCs w:val="20"/>
    </w:rPr>
  </w:style>
  <w:style w:type="character" w:customStyle="1" w:styleId="33">
    <w:name w:val="NormalCharacter"/>
    <w:link w:val="1"/>
    <w:semiHidden/>
    <w:qFormat/>
    <w:uiPriority w:val="0"/>
    <w:rPr>
      <w:rFonts w:ascii="Times New Roman" w:hAnsi="Times New Roman" w:eastAsia="宋体" w:cs="Times New Roman"/>
      <w:kern w:val="2"/>
      <w:sz w:val="21"/>
      <w:lang w:val="en-US" w:eastAsia="zh-CN" w:bidi="ar-SA"/>
    </w:rPr>
  </w:style>
  <w:style w:type="paragraph" w:customStyle="1" w:styleId="3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28131</Words>
  <Characters>31359</Characters>
  <Lines>0</Lines>
  <Paragraphs>0</Paragraphs>
  <TotalTime>1</TotalTime>
  <ScaleCrop>false</ScaleCrop>
  <LinksUpToDate>false</LinksUpToDate>
  <CharactersWithSpaces>34152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2022-04-26T20:37:00Z</dcterms:created>
  <dc:creator>yzychj</dc:creator>
  <cp:lastModifiedBy>Administrator</cp:lastModifiedBy>
  <dcterms:modified xsi:type="dcterms:W3CDTF">2022-04-28T11:09:49Z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29C59B1D7501400A88D15B5775B7C5F5</vt:lpwstr>
  </property>
</Properties>
</file>