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480" w:lineRule="auto"/>
        <w:jc w:val="center"/>
        <w:rPr>
          <w:rFonts w:hint="eastAsia" w:ascii="宋体" w:hAnsi="宋体" w:cs="宋体"/>
          <w:b/>
          <w:sz w:val="44"/>
          <w:szCs w:val="28"/>
          <w:lang w:val="en-US" w:eastAsia="zh-CN"/>
        </w:rPr>
      </w:pPr>
    </w:p>
    <w:p>
      <w:pPr>
        <w:widowControl/>
        <w:shd w:val="clear" w:color="auto" w:fill="FFFFFF"/>
        <w:snapToGrid w:val="0"/>
        <w:spacing w:line="480" w:lineRule="auto"/>
        <w:jc w:val="center"/>
        <w:rPr>
          <w:rFonts w:hint="eastAsia" w:ascii="宋体" w:hAnsi="宋体" w:cs="宋体"/>
          <w:b/>
          <w:sz w:val="44"/>
          <w:szCs w:val="28"/>
          <w:lang w:val="en-US" w:eastAsia="zh-CN"/>
        </w:rPr>
      </w:pPr>
      <w:r>
        <w:rPr>
          <w:rFonts w:hint="eastAsia" w:ascii="宋体" w:hAnsi="宋体" w:cs="宋体"/>
          <w:b/>
          <w:sz w:val="44"/>
          <w:szCs w:val="28"/>
          <w:lang w:val="en-US" w:eastAsia="zh-CN"/>
        </w:rPr>
        <w:t>新疆供销技师学院（新疆供销学校）智慧校园平台</w:t>
      </w:r>
    </w:p>
    <w:p>
      <w:pPr>
        <w:widowControl/>
        <w:shd w:val="clear" w:color="auto" w:fill="FFFFFF"/>
        <w:snapToGrid w:val="0"/>
        <w:spacing w:line="480" w:lineRule="auto"/>
        <w:jc w:val="center"/>
        <w:rPr>
          <w:rFonts w:hint="eastAsia" w:ascii="宋体" w:hAnsi="宋体" w:cs="宋体"/>
          <w:b/>
          <w:sz w:val="44"/>
          <w:szCs w:val="28"/>
          <w:lang w:val="en-US" w:eastAsia="zh-CN"/>
        </w:rPr>
      </w:pPr>
      <w:r>
        <w:rPr>
          <w:rFonts w:hint="eastAsia" w:ascii="宋体" w:hAnsi="宋体" w:cs="宋体"/>
          <w:b/>
          <w:sz w:val="44"/>
          <w:szCs w:val="28"/>
          <w:lang w:val="en-US" w:eastAsia="zh-CN"/>
        </w:rPr>
        <w:t>建设（一期）项目招标公告</w:t>
      </w:r>
    </w:p>
    <w:p>
      <w:pPr>
        <w:widowControl/>
        <w:shd w:val="clear" w:color="auto" w:fill="FFFFFF"/>
        <w:snapToGrid w:val="0"/>
        <w:spacing w:line="480" w:lineRule="auto"/>
        <w:jc w:val="center"/>
        <w:rPr>
          <w:rFonts w:hint="eastAsia" w:ascii="宋体" w:hAnsi="宋体" w:cs="宋体"/>
          <w:b/>
          <w:sz w:val="44"/>
          <w:szCs w:val="28"/>
        </w:rPr>
      </w:pPr>
      <w:r>
        <w:rPr>
          <w:rFonts w:hint="eastAsia" w:ascii="宋体" w:hAnsi="宋体" w:cs="宋体"/>
          <w:b/>
          <w:sz w:val="44"/>
          <w:szCs w:val="28"/>
        </w:rPr>
        <w:t>招标文件</w:t>
      </w:r>
    </w:p>
    <w:p>
      <w:pPr>
        <w:widowControl/>
        <w:shd w:val="clear" w:color="auto" w:fill="FFFFFF"/>
        <w:snapToGrid w:val="0"/>
        <w:spacing w:line="360" w:lineRule="auto"/>
        <w:jc w:val="center"/>
        <w:rPr>
          <w:rFonts w:hint="eastAsia" w:ascii="宋体" w:hAnsi="宋体" w:cs="宋体"/>
          <w:b/>
          <w:sz w:val="32"/>
          <w:szCs w:val="28"/>
        </w:rPr>
      </w:pPr>
      <w:r>
        <w:rPr>
          <w:rFonts w:hint="eastAsia" w:ascii="宋体" w:hAnsi="宋体" w:cs="宋体"/>
          <w:b/>
          <w:sz w:val="28"/>
          <w:szCs w:val="24"/>
        </w:rPr>
        <w:t>（项目编号：DZXJZB20</w:t>
      </w:r>
      <w:r>
        <w:rPr>
          <w:rFonts w:ascii="宋体" w:hAnsi="宋体" w:cs="宋体"/>
          <w:b/>
          <w:sz w:val="28"/>
          <w:szCs w:val="24"/>
        </w:rPr>
        <w:t>2</w:t>
      </w:r>
      <w:r>
        <w:rPr>
          <w:rFonts w:hint="eastAsia" w:ascii="宋体" w:hAnsi="宋体" w:cs="宋体"/>
          <w:b/>
          <w:sz w:val="28"/>
          <w:szCs w:val="24"/>
          <w:lang w:val="en-US" w:eastAsia="zh-CN"/>
        </w:rPr>
        <w:t>2045）</w:t>
      </w:r>
    </w:p>
    <w:p>
      <w:pPr>
        <w:pStyle w:val="10"/>
        <w:rPr>
          <w:rFonts w:hint="eastAsia"/>
        </w:rPr>
      </w:pPr>
    </w:p>
    <w:p>
      <w:pPr>
        <w:pStyle w:val="10"/>
        <w:rPr>
          <w:rFonts w:hint="eastAsia" w:ascii="宋体" w:hAnsi="宋体" w:cs="宋体"/>
          <w:b/>
          <w:sz w:val="32"/>
          <w:szCs w:val="28"/>
        </w:rPr>
      </w:pPr>
    </w:p>
    <w:p>
      <w:pPr>
        <w:rPr>
          <w:rFonts w:hint="eastAsia"/>
        </w:rPr>
      </w:pPr>
    </w:p>
    <w:p>
      <w:pPr>
        <w:widowControl/>
        <w:shd w:val="clear" w:color="auto" w:fill="FFFFFF"/>
        <w:snapToGrid w:val="0"/>
        <w:spacing w:line="480" w:lineRule="auto"/>
        <w:ind w:firstLine="843" w:firstLineChars="300"/>
        <w:rPr>
          <w:rFonts w:hint="eastAsia" w:ascii="宋体" w:hAnsi="宋体" w:cs="宋体"/>
          <w:b/>
          <w:sz w:val="28"/>
          <w:szCs w:val="28"/>
          <w:lang w:val="en-US" w:eastAsia="zh-CN"/>
        </w:rPr>
      </w:pPr>
      <w:r>
        <w:rPr>
          <w:rFonts w:hint="eastAsia" w:ascii="宋体" w:hAnsi="宋体" w:cs="宋体"/>
          <w:b/>
          <w:sz w:val="28"/>
          <w:szCs w:val="28"/>
        </w:rPr>
        <w:t>采购项目名称：</w:t>
      </w:r>
      <w:r>
        <w:rPr>
          <w:rFonts w:hint="eastAsia" w:ascii="宋体" w:hAnsi="宋体" w:cs="宋体"/>
          <w:b/>
          <w:sz w:val="28"/>
          <w:szCs w:val="28"/>
          <w:lang w:val="en-US" w:eastAsia="zh-CN"/>
        </w:rPr>
        <w:t>新疆供销技师学院（新疆供销学校）智慧校园平台</w:t>
      </w:r>
    </w:p>
    <w:p>
      <w:pPr>
        <w:widowControl/>
        <w:shd w:val="clear" w:color="auto" w:fill="FFFFFF"/>
        <w:snapToGrid w:val="0"/>
        <w:spacing w:line="480" w:lineRule="auto"/>
        <w:ind w:firstLine="843" w:firstLineChars="300"/>
        <w:rPr>
          <w:rFonts w:hint="eastAsia" w:ascii="宋体" w:hAnsi="宋体" w:cs="宋体"/>
          <w:b/>
          <w:sz w:val="28"/>
          <w:szCs w:val="28"/>
          <w:lang w:val="en-US" w:eastAsia="zh-CN"/>
        </w:rPr>
      </w:pPr>
      <w:r>
        <w:rPr>
          <w:rFonts w:hint="eastAsia" w:ascii="宋体" w:hAnsi="宋体" w:cs="宋体"/>
          <w:b/>
          <w:sz w:val="28"/>
          <w:szCs w:val="28"/>
          <w:lang w:val="en-US" w:eastAsia="zh-CN"/>
        </w:rPr>
        <w:t>建设（一期）项目</w:t>
      </w:r>
    </w:p>
    <w:p>
      <w:pPr>
        <w:widowControl/>
        <w:shd w:val="clear" w:color="auto" w:fill="FFFFFF"/>
        <w:snapToGrid w:val="0"/>
        <w:spacing w:line="480" w:lineRule="auto"/>
        <w:ind w:firstLine="843" w:firstLineChars="300"/>
        <w:rPr>
          <w:rFonts w:hint="eastAsia" w:ascii="宋体" w:hAnsi="宋体" w:cs="宋体"/>
          <w:b/>
          <w:sz w:val="28"/>
          <w:szCs w:val="28"/>
        </w:rPr>
      </w:pPr>
      <w:r>
        <w:rPr>
          <w:rFonts w:hint="eastAsia" w:ascii="宋体" w:hAnsi="宋体" w:cs="宋体"/>
          <w:b/>
          <w:sz w:val="28"/>
          <w:szCs w:val="28"/>
        </w:rPr>
        <w:t>采购人（章）：</w:t>
      </w:r>
      <w:r>
        <w:rPr>
          <w:rFonts w:hint="eastAsia" w:ascii="宋体" w:hAnsi="宋体" w:cs="宋体"/>
          <w:b/>
          <w:sz w:val="28"/>
          <w:szCs w:val="28"/>
          <w:lang w:val="en-US" w:eastAsia="zh-CN"/>
        </w:rPr>
        <w:t>新疆供销技师学院（新疆供销学校）</w:t>
      </w:r>
    </w:p>
    <w:p>
      <w:pPr>
        <w:widowControl/>
        <w:shd w:val="clear" w:color="auto" w:fill="FFFFFF"/>
        <w:snapToGrid w:val="0"/>
        <w:spacing w:line="480" w:lineRule="auto"/>
        <w:ind w:firstLine="843" w:firstLineChars="300"/>
        <w:rPr>
          <w:rFonts w:hint="eastAsia" w:ascii="宋体" w:hAnsi="宋体" w:cs="宋体"/>
          <w:b/>
          <w:sz w:val="28"/>
          <w:szCs w:val="28"/>
        </w:rPr>
      </w:pPr>
      <w:r>
        <w:rPr>
          <w:rFonts w:hint="eastAsia" w:ascii="宋体" w:hAnsi="宋体" w:cs="宋体"/>
          <w:b/>
          <w:sz w:val="28"/>
          <w:szCs w:val="28"/>
        </w:rPr>
        <w:t>法定代表人（章）：</w:t>
      </w:r>
    </w:p>
    <w:p>
      <w:pPr>
        <w:widowControl/>
        <w:shd w:val="clear" w:color="auto" w:fill="FFFFFF"/>
        <w:snapToGrid w:val="0"/>
        <w:spacing w:line="480" w:lineRule="auto"/>
        <w:ind w:firstLine="843" w:firstLineChars="300"/>
        <w:rPr>
          <w:rFonts w:hint="eastAsia" w:ascii="宋体" w:hAnsi="宋体" w:cs="宋体" w:eastAsiaTheme="minorEastAsia"/>
          <w:b/>
          <w:sz w:val="28"/>
          <w:szCs w:val="28"/>
          <w:lang w:eastAsia="zh-CN"/>
        </w:rPr>
      </w:pPr>
      <w:r>
        <w:rPr>
          <w:rFonts w:hint="eastAsia" w:ascii="宋体" w:hAnsi="宋体" w:cs="宋体"/>
          <w:b/>
          <w:sz w:val="28"/>
          <w:szCs w:val="28"/>
        </w:rPr>
        <w:t>联系人：</w:t>
      </w:r>
      <w:r>
        <w:rPr>
          <w:rFonts w:hint="eastAsia" w:ascii="宋体" w:hAnsi="宋体" w:cs="宋体"/>
          <w:b/>
          <w:sz w:val="28"/>
          <w:szCs w:val="28"/>
          <w:lang w:eastAsia="zh-CN"/>
        </w:rPr>
        <w:t>余老师</w:t>
      </w:r>
    </w:p>
    <w:p>
      <w:pPr>
        <w:widowControl/>
        <w:shd w:val="clear" w:color="auto" w:fill="FFFFFF"/>
        <w:snapToGrid w:val="0"/>
        <w:spacing w:line="480" w:lineRule="auto"/>
        <w:ind w:firstLine="843" w:firstLineChars="300"/>
        <w:rPr>
          <w:rFonts w:hint="eastAsia" w:ascii="宋体" w:hAnsi="宋体" w:cs="宋体"/>
          <w:b/>
          <w:sz w:val="28"/>
          <w:szCs w:val="28"/>
        </w:rPr>
      </w:pPr>
      <w:r>
        <w:rPr>
          <w:rFonts w:hint="eastAsia" w:ascii="宋体" w:hAnsi="宋体" w:cs="宋体"/>
          <w:b/>
          <w:sz w:val="28"/>
          <w:szCs w:val="28"/>
        </w:rPr>
        <w:t>电话：0991-6636962</w:t>
      </w:r>
    </w:p>
    <w:p>
      <w:pPr>
        <w:pStyle w:val="10"/>
        <w:rPr>
          <w:rFonts w:hint="eastAsia"/>
        </w:rPr>
      </w:pPr>
    </w:p>
    <w:p>
      <w:pPr>
        <w:widowControl/>
        <w:shd w:val="clear" w:color="auto" w:fill="FFFFFF"/>
        <w:snapToGrid w:val="0"/>
        <w:spacing w:line="480" w:lineRule="auto"/>
        <w:ind w:firstLine="843" w:firstLineChars="300"/>
        <w:rPr>
          <w:rFonts w:hint="eastAsia" w:ascii="宋体" w:hAnsi="宋体" w:cs="宋体"/>
          <w:b/>
          <w:sz w:val="28"/>
          <w:szCs w:val="28"/>
        </w:rPr>
      </w:pPr>
      <w:r>
        <w:rPr>
          <w:rFonts w:hint="eastAsia" w:ascii="宋体" w:hAnsi="宋体" w:cs="宋体"/>
          <w:b/>
          <w:sz w:val="28"/>
          <w:szCs w:val="28"/>
        </w:rPr>
        <w:t>采购代理机构（盖章）：中建鼎正项目管理有限公司</w:t>
      </w:r>
    </w:p>
    <w:p>
      <w:pPr>
        <w:widowControl/>
        <w:shd w:val="clear" w:color="auto" w:fill="FFFFFF"/>
        <w:snapToGrid w:val="0"/>
        <w:spacing w:line="480" w:lineRule="auto"/>
        <w:ind w:firstLine="843" w:firstLineChars="300"/>
        <w:rPr>
          <w:rFonts w:hint="eastAsia" w:ascii="宋体" w:hAnsi="宋体" w:cs="宋体" w:eastAsiaTheme="minorEastAsia"/>
          <w:b/>
          <w:sz w:val="28"/>
          <w:szCs w:val="28"/>
          <w:lang w:eastAsia="zh-CN"/>
        </w:rPr>
      </w:pPr>
      <w:r>
        <w:rPr>
          <w:rFonts w:hint="eastAsia" w:ascii="宋体" w:hAnsi="宋体" w:cs="宋体"/>
          <w:b/>
          <w:sz w:val="28"/>
          <w:szCs w:val="28"/>
        </w:rPr>
        <w:t>法定代表人（盖章）：</w:t>
      </w:r>
      <w:r>
        <w:rPr>
          <w:rFonts w:hint="eastAsia" w:ascii="宋体" w:hAnsi="宋体" w:cs="宋体"/>
          <w:b/>
          <w:sz w:val="28"/>
          <w:szCs w:val="28"/>
          <w:lang w:eastAsia="zh-CN"/>
        </w:rPr>
        <w:t>雷亮</w:t>
      </w:r>
    </w:p>
    <w:p>
      <w:pPr>
        <w:widowControl/>
        <w:shd w:val="clear" w:color="auto" w:fill="FFFFFF"/>
        <w:snapToGrid w:val="0"/>
        <w:spacing w:line="480" w:lineRule="auto"/>
        <w:ind w:firstLine="843" w:firstLineChars="300"/>
        <w:rPr>
          <w:rFonts w:hint="eastAsia" w:ascii="宋体" w:hAnsi="宋体" w:eastAsia="宋体" w:cs="宋体"/>
          <w:b/>
          <w:sz w:val="28"/>
          <w:szCs w:val="28"/>
          <w:lang w:eastAsia="zh-CN"/>
        </w:rPr>
      </w:pPr>
      <w:r>
        <w:rPr>
          <w:rFonts w:hint="eastAsia" w:ascii="宋体" w:hAnsi="宋体" w:cs="宋体"/>
          <w:b/>
          <w:sz w:val="28"/>
          <w:szCs w:val="28"/>
        </w:rPr>
        <w:t>联系人：</w:t>
      </w:r>
      <w:r>
        <w:rPr>
          <w:rFonts w:hint="eastAsia" w:ascii="宋体" w:hAnsi="宋体" w:cs="宋体"/>
          <w:b/>
          <w:sz w:val="28"/>
          <w:szCs w:val="28"/>
          <w:lang w:eastAsia="zh-CN"/>
        </w:rPr>
        <w:t>杨静</w:t>
      </w:r>
    </w:p>
    <w:p>
      <w:pPr>
        <w:widowControl/>
        <w:shd w:val="clear" w:color="auto" w:fill="FFFFFF"/>
        <w:snapToGrid w:val="0"/>
        <w:spacing w:line="480" w:lineRule="auto"/>
        <w:ind w:firstLine="843" w:firstLineChars="300"/>
        <w:jc w:val="left"/>
        <w:rPr>
          <w:rFonts w:hint="default" w:ascii="宋体" w:hAnsi="宋体" w:cs="宋体" w:eastAsiaTheme="minorEastAsia"/>
          <w:b/>
          <w:sz w:val="28"/>
          <w:szCs w:val="28"/>
          <w:lang w:val="en-US" w:eastAsia="zh-CN"/>
        </w:rPr>
      </w:pPr>
      <w:r>
        <w:rPr>
          <w:rFonts w:hint="eastAsia" w:ascii="宋体" w:hAnsi="宋体" w:cs="宋体"/>
          <w:b/>
          <w:sz w:val="28"/>
          <w:szCs w:val="28"/>
        </w:rPr>
        <w:t>电话：</w:t>
      </w:r>
      <w:r>
        <w:rPr>
          <w:rFonts w:hint="eastAsia" w:ascii="宋体" w:hAnsi="宋体" w:cs="宋体"/>
          <w:b/>
          <w:sz w:val="28"/>
          <w:szCs w:val="28"/>
          <w:lang w:val="en-US" w:eastAsia="zh-CN"/>
        </w:rPr>
        <w:t>18160675935</w:t>
      </w:r>
    </w:p>
    <w:p>
      <w:pPr>
        <w:widowControl/>
        <w:shd w:val="clear" w:color="auto" w:fill="FFFFFF"/>
        <w:snapToGrid w:val="0"/>
        <w:spacing w:line="480" w:lineRule="auto"/>
        <w:ind w:firstLine="843" w:firstLineChars="300"/>
        <w:rPr>
          <w:rFonts w:hint="eastAsia" w:ascii="宋体" w:hAnsi="宋体" w:cs="宋体"/>
          <w:spacing w:val="-11"/>
          <w:sz w:val="28"/>
          <w:szCs w:val="28"/>
        </w:rPr>
      </w:pPr>
      <w:r>
        <w:rPr>
          <w:rFonts w:hint="eastAsia" w:ascii="宋体" w:hAnsi="宋体" w:cs="宋体"/>
          <w:b/>
          <w:sz w:val="28"/>
          <w:szCs w:val="28"/>
        </w:rPr>
        <w:t>详细地址：</w:t>
      </w:r>
      <w:r>
        <w:rPr>
          <w:rFonts w:hint="eastAsia" w:ascii="宋体" w:hAnsi="宋体" w:cs="宋体"/>
          <w:b/>
          <w:spacing w:val="-11"/>
          <w:sz w:val="28"/>
          <w:szCs w:val="28"/>
        </w:rPr>
        <w:t>乌市天山区东泉路1568号世界冠郡一期9号底商住宅楼107室</w:t>
      </w:r>
    </w:p>
    <w:p>
      <w:pPr>
        <w:widowControl/>
        <w:spacing w:line="540" w:lineRule="atLeast"/>
        <w:jc w:val="center"/>
        <w:outlineLvl w:val="0"/>
        <w:rPr>
          <w:rFonts w:ascii="仿宋" w:hAnsi="仿宋" w:eastAsia="仿宋" w:cs="仿宋"/>
          <w:sz w:val="32"/>
          <w:szCs w:val="32"/>
        </w:rPr>
        <w:sectPr>
          <w:pgSz w:w="11900" w:h="16840"/>
          <w:pgMar w:top="640" w:right="740" w:bottom="480" w:left="720" w:header="0" w:footer="207" w:gutter="0"/>
          <w:cols w:space="720" w:num="1"/>
        </w:sectPr>
      </w:pPr>
    </w:p>
    <w:p>
      <w:pPr>
        <w:pStyle w:val="19"/>
        <w:tabs>
          <w:tab w:val="right" w:leader="dot" w:pos="9070"/>
        </w:tabs>
        <w:jc w:val="center"/>
        <w:rPr>
          <w:rFonts w:asciiTheme="minorEastAsia" w:hAnsiTheme="minorEastAsia" w:cstheme="minorEastAsia"/>
          <w:b/>
          <w:bCs/>
          <w:sz w:val="30"/>
          <w:szCs w:val="30"/>
        </w:rPr>
      </w:pPr>
    </w:p>
    <w:p>
      <w:pPr>
        <w:pStyle w:val="19"/>
        <w:tabs>
          <w:tab w:val="right" w:leader="dot" w:pos="9070"/>
        </w:tabs>
        <w:jc w:val="center"/>
        <w:outlineLvl w:val="0"/>
        <w:rPr>
          <w:rFonts w:asciiTheme="minorEastAsia" w:hAnsiTheme="minorEastAsia" w:cstheme="minorEastAsia"/>
          <w:b/>
          <w:bCs/>
          <w:sz w:val="52"/>
          <w:szCs w:val="52"/>
        </w:rPr>
      </w:pPr>
      <w:bookmarkStart w:id="0" w:name="_Toc25639"/>
      <w:bookmarkStart w:id="1" w:name="_Toc17574"/>
      <w:bookmarkStart w:id="2" w:name="_Toc15733"/>
      <w:bookmarkStart w:id="3" w:name="_Toc25801"/>
      <w:r>
        <w:rPr>
          <w:rFonts w:hint="eastAsia" w:asciiTheme="minorEastAsia" w:hAnsiTheme="minorEastAsia" w:cstheme="minorEastAsia"/>
          <w:b/>
          <w:bCs/>
          <w:sz w:val="52"/>
          <w:szCs w:val="52"/>
        </w:rPr>
        <w:t>目录</w:t>
      </w:r>
      <w:bookmarkEnd w:id="0"/>
      <w:bookmarkEnd w:id="1"/>
      <w:bookmarkEnd w:id="2"/>
      <w:bookmarkEnd w:id="3"/>
    </w:p>
    <w:p>
      <w:pPr>
        <w:pStyle w:val="19"/>
        <w:tabs>
          <w:tab w:val="right" w:leader="dot" w:pos="8610"/>
        </w:tabs>
        <w:spacing w:line="360" w:lineRule="auto"/>
        <w:rPr>
          <w:sz w:val="40"/>
          <w:szCs w:val="48"/>
        </w:rPr>
      </w:pPr>
      <w:r>
        <w:rPr>
          <w:rFonts w:asciiTheme="majorEastAsia" w:hAnsiTheme="majorEastAsia" w:eastAsiaTheme="majorEastAsia" w:cstheme="majorEastAsia"/>
          <w:sz w:val="22"/>
          <w:szCs w:val="22"/>
        </w:rPr>
        <w:fldChar w:fldCharType="begin"/>
      </w:r>
      <w:r>
        <w:rPr>
          <w:rFonts w:asciiTheme="majorEastAsia" w:hAnsiTheme="majorEastAsia" w:eastAsiaTheme="majorEastAsia" w:cstheme="majorEastAsia"/>
          <w:sz w:val="22"/>
          <w:szCs w:val="22"/>
        </w:rPr>
        <w:instrText xml:space="preserve">TOC \o "1-1" \h \u </w:instrText>
      </w:r>
      <w:r>
        <w:rPr>
          <w:rFonts w:asciiTheme="majorEastAsia" w:hAnsiTheme="majorEastAsia" w:eastAsiaTheme="majorEastAsia" w:cstheme="majorEastAsia"/>
          <w:sz w:val="22"/>
          <w:szCs w:val="22"/>
        </w:rPr>
        <w:fldChar w:fldCharType="separate"/>
      </w:r>
    </w:p>
    <w:p>
      <w:pPr>
        <w:pStyle w:val="19"/>
        <w:tabs>
          <w:tab w:val="right" w:leader="dot" w:pos="8610"/>
        </w:tabs>
        <w:spacing w:line="360" w:lineRule="auto"/>
        <w:rPr>
          <w:sz w:val="40"/>
          <w:szCs w:val="48"/>
        </w:rPr>
      </w:pPr>
      <w:r>
        <w:rPr>
          <w:rFonts w:asciiTheme="majorEastAsia" w:hAnsiTheme="majorEastAsia" w:eastAsiaTheme="majorEastAsia" w:cstheme="majorEastAsia"/>
          <w:sz w:val="40"/>
          <w:szCs w:val="52"/>
        </w:rPr>
        <w:fldChar w:fldCharType="begin"/>
      </w:r>
      <w:r>
        <w:rPr>
          <w:rFonts w:asciiTheme="majorEastAsia" w:hAnsiTheme="majorEastAsia" w:eastAsiaTheme="majorEastAsia" w:cstheme="majorEastAsia"/>
          <w:sz w:val="40"/>
          <w:szCs w:val="52"/>
        </w:rPr>
        <w:instrText xml:space="preserve"> HYPERLINK \l _Toc16334 </w:instrText>
      </w:r>
      <w:r>
        <w:rPr>
          <w:rFonts w:asciiTheme="majorEastAsia" w:hAnsiTheme="majorEastAsia" w:eastAsiaTheme="majorEastAsia" w:cstheme="majorEastAsia"/>
          <w:sz w:val="40"/>
          <w:szCs w:val="52"/>
        </w:rPr>
        <w:fldChar w:fldCharType="separate"/>
      </w:r>
      <w:r>
        <w:rPr>
          <w:rFonts w:hint="eastAsia" w:asciiTheme="majorEastAsia" w:hAnsiTheme="majorEastAsia" w:eastAsiaTheme="majorEastAsia" w:cstheme="majorEastAsia"/>
          <w:bCs/>
          <w:sz w:val="40"/>
          <w:szCs w:val="52"/>
        </w:rPr>
        <w:t>第一</w:t>
      </w:r>
      <w:r>
        <w:rPr>
          <w:rFonts w:hint="eastAsia" w:asciiTheme="majorEastAsia" w:hAnsiTheme="majorEastAsia" w:eastAsiaTheme="majorEastAsia" w:cstheme="majorEastAsia"/>
          <w:bCs/>
          <w:sz w:val="40"/>
          <w:szCs w:val="52"/>
          <w:lang w:eastAsia="zh-CN"/>
        </w:rPr>
        <w:t>章</w:t>
      </w:r>
      <w:r>
        <w:rPr>
          <w:rFonts w:hint="eastAsia" w:asciiTheme="majorEastAsia" w:hAnsiTheme="majorEastAsia" w:eastAsiaTheme="majorEastAsia" w:cstheme="majorEastAsia"/>
          <w:bCs/>
          <w:sz w:val="40"/>
          <w:szCs w:val="52"/>
        </w:rPr>
        <w:t xml:space="preserve"> 招标采购公告</w:t>
      </w:r>
      <w:r>
        <w:rPr>
          <w:sz w:val="40"/>
          <w:szCs w:val="48"/>
        </w:rPr>
        <w:tab/>
      </w:r>
      <w:r>
        <w:rPr>
          <w:sz w:val="40"/>
          <w:szCs w:val="48"/>
        </w:rPr>
        <w:fldChar w:fldCharType="begin"/>
      </w:r>
      <w:r>
        <w:rPr>
          <w:sz w:val="40"/>
          <w:szCs w:val="48"/>
        </w:rPr>
        <w:instrText xml:space="preserve"> PAGEREF _Toc16334 </w:instrText>
      </w:r>
      <w:r>
        <w:rPr>
          <w:sz w:val="40"/>
          <w:szCs w:val="48"/>
        </w:rPr>
        <w:fldChar w:fldCharType="separate"/>
      </w:r>
      <w:r>
        <w:rPr>
          <w:sz w:val="40"/>
          <w:szCs w:val="48"/>
        </w:rPr>
        <w:t>1</w:t>
      </w:r>
      <w:r>
        <w:rPr>
          <w:sz w:val="40"/>
          <w:szCs w:val="48"/>
        </w:rPr>
        <w:fldChar w:fldCharType="end"/>
      </w:r>
      <w:r>
        <w:rPr>
          <w:rFonts w:asciiTheme="majorEastAsia" w:hAnsiTheme="majorEastAsia" w:eastAsiaTheme="majorEastAsia" w:cstheme="majorEastAsia"/>
          <w:sz w:val="40"/>
          <w:szCs w:val="52"/>
        </w:rPr>
        <w:fldChar w:fldCharType="end"/>
      </w:r>
    </w:p>
    <w:p>
      <w:pPr>
        <w:pStyle w:val="19"/>
        <w:tabs>
          <w:tab w:val="right" w:leader="dot" w:pos="8610"/>
        </w:tabs>
        <w:spacing w:line="360" w:lineRule="auto"/>
        <w:rPr>
          <w:sz w:val="40"/>
          <w:szCs w:val="48"/>
        </w:rPr>
      </w:pPr>
      <w:r>
        <w:rPr>
          <w:rFonts w:asciiTheme="majorEastAsia" w:hAnsiTheme="majorEastAsia" w:eastAsiaTheme="majorEastAsia" w:cstheme="majorEastAsia"/>
          <w:sz w:val="40"/>
          <w:szCs w:val="52"/>
        </w:rPr>
        <w:fldChar w:fldCharType="begin"/>
      </w:r>
      <w:r>
        <w:rPr>
          <w:rFonts w:asciiTheme="majorEastAsia" w:hAnsiTheme="majorEastAsia" w:eastAsiaTheme="majorEastAsia" w:cstheme="majorEastAsia"/>
          <w:sz w:val="40"/>
          <w:szCs w:val="52"/>
        </w:rPr>
        <w:instrText xml:space="preserve"> HYPERLINK \l _Toc6736 </w:instrText>
      </w:r>
      <w:r>
        <w:rPr>
          <w:rFonts w:asciiTheme="majorEastAsia" w:hAnsiTheme="majorEastAsia" w:eastAsiaTheme="majorEastAsia" w:cstheme="majorEastAsia"/>
          <w:sz w:val="40"/>
          <w:szCs w:val="52"/>
        </w:rPr>
        <w:fldChar w:fldCharType="separate"/>
      </w:r>
      <w:r>
        <w:rPr>
          <w:rFonts w:hint="eastAsia"/>
          <w:sz w:val="40"/>
          <w:szCs w:val="72"/>
          <w:lang w:val="en-US" w:eastAsia="zh-CN"/>
        </w:rPr>
        <w:t>第二章 投标须知前附表</w:t>
      </w:r>
      <w:r>
        <w:rPr>
          <w:sz w:val="40"/>
          <w:szCs w:val="48"/>
        </w:rPr>
        <w:tab/>
      </w:r>
      <w:r>
        <w:rPr>
          <w:sz w:val="40"/>
          <w:szCs w:val="48"/>
        </w:rPr>
        <w:fldChar w:fldCharType="begin"/>
      </w:r>
      <w:r>
        <w:rPr>
          <w:sz w:val="40"/>
          <w:szCs w:val="48"/>
        </w:rPr>
        <w:instrText xml:space="preserve"> PAGEREF _Toc6736 </w:instrText>
      </w:r>
      <w:r>
        <w:rPr>
          <w:sz w:val="40"/>
          <w:szCs w:val="48"/>
        </w:rPr>
        <w:fldChar w:fldCharType="separate"/>
      </w:r>
      <w:r>
        <w:rPr>
          <w:sz w:val="40"/>
          <w:szCs w:val="48"/>
        </w:rPr>
        <w:t>4</w:t>
      </w:r>
      <w:r>
        <w:rPr>
          <w:sz w:val="40"/>
          <w:szCs w:val="48"/>
        </w:rPr>
        <w:fldChar w:fldCharType="end"/>
      </w:r>
      <w:r>
        <w:rPr>
          <w:rFonts w:asciiTheme="majorEastAsia" w:hAnsiTheme="majorEastAsia" w:eastAsiaTheme="majorEastAsia" w:cstheme="majorEastAsia"/>
          <w:sz w:val="40"/>
          <w:szCs w:val="52"/>
        </w:rPr>
        <w:fldChar w:fldCharType="end"/>
      </w:r>
    </w:p>
    <w:p>
      <w:pPr>
        <w:pStyle w:val="19"/>
        <w:tabs>
          <w:tab w:val="right" w:leader="dot" w:pos="8610"/>
        </w:tabs>
        <w:spacing w:line="360" w:lineRule="auto"/>
        <w:rPr>
          <w:rFonts w:asciiTheme="majorEastAsia" w:hAnsiTheme="majorEastAsia" w:eastAsiaTheme="majorEastAsia" w:cstheme="majorEastAsia"/>
          <w:sz w:val="40"/>
          <w:szCs w:val="52"/>
        </w:rPr>
      </w:pPr>
      <w:r>
        <w:rPr>
          <w:rFonts w:asciiTheme="majorEastAsia" w:hAnsiTheme="majorEastAsia" w:eastAsiaTheme="majorEastAsia" w:cstheme="majorEastAsia"/>
          <w:sz w:val="40"/>
          <w:szCs w:val="52"/>
        </w:rPr>
        <w:fldChar w:fldCharType="begin"/>
      </w:r>
      <w:r>
        <w:rPr>
          <w:rFonts w:asciiTheme="majorEastAsia" w:hAnsiTheme="majorEastAsia" w:eastAsiaTheme="majorEastAsia" w:cstheme="majorEastAsia"/>
          <w:sz w:val="40"/>
          <w:szCs w:val="52"/>
        </w:rPr>
        <w:instrText xml:space="preserve"> HYPERLINK \l _Toc24310 </w:instrText>
      </w:r>
      <w:r>
        <w:rPr>
          <w:rFonts w:asciiTheme="majorEastAsia" w:hAnsiTheme="majorEastAsia" w:eastAsiaTheme="majorEastAsia" w:cstheme="majorEastAsia"/>
          <w:sz w:val="40"/>
          <w:szCs w:val="52"/>
        </w:rPr>
        <w:fldChar w:fldCharType="separate"/>
      </w:r>
      <w:r>
        <w:rPr>
          <w:rFonts w:hint="eastAsia" w:ascii="仿宋_GB2312" w:hAnsi="仿宋_GB2312" w:eastAsia="仿宋_GB2312" w:cs="仿宋_GB2312"/>
          <w:sz w:val="40"/>
          <w:szCs w:val="144"/>
          <w:lang w:val="en-US" w:eastAsia="zh-CN"/>
        </w:rPr>
        <w:t xml:space="preserve">第三章 </w:t>
      </w:r>
      <w:r>
        <w:rPr>
          <w:rFonts w:ascii="仿宋_GB2312" w:hAnsi="仿宋_GB2312" w:eastAsia="仿宋_GB2312" w:cs="仿宋_GB2312"/>
          <w:bCs/>
          <w:kern w:val="0"/>
          <w:sz w:val="40"/>
          <w:szCs w:val="144"/>
          <w:lang w:val="en-US" w:eastAsia="zh-CN" w:bidi="ar-SA"/>
        </w:rPr>
        <w:t>合同条款</w:t>
      </w:r>
      <w:r>
        <w:rPr>
          <w:sz w:val="40"/>
          <w:szCs w:val="48"/>
        </w:rPr>
        <w:tab/>
      </w:r>
      <w:r>
        <w:rPr>
          <w:sz w:val="40"/>
          <w:szCs w:val="48"/>
        </w:rPr>
        <w:fldChar w:fldCharType="begin"/>
      </w:r>
      <w:r>
        <w:rPr>
          <w:sz w:val="40"/>
          <w:szCs w:val="48"/>
        </w:rPr>
        <w:instrText xml:space="preserve"> PAGEREF _Toc24310 </w:instrText>
      </w:r>
      <w:r>
        <w:rPr>
          <w:sz w:val="40"/>
          <w:szCs w:val="48"/>
        </w:rPr>
        <w:fldChar w:fldCharType="separate"/>
      </w:r>
      <w:r>
        <w:rPr>
          <w:sz w:val="40"/>
          <w:szCs w:val="48"/>
        </w:rPr>
        <w:t>15</w:t>
      </w:r>
      <w:r>
        <w:rPr>
          <w:sz w:val="40"/>
          <w:szCs w:val="48"/>
        </w:rPr>
        <w:fldChar w:fldCharType="end"/>
      </w:r>
      <w:r>
        <w:rPr>
          <w:rFonts w:asciiTheme="majorEastAsia" w:hAnsiTheme="majorEastAsia" w:eastAsiaTheme="majorEastAsia" w:cstheme="majorEastAsia"/>
          <w:sz w:val="40"/>
          <w:szCs w:val="52"/>
        </w:rPr>
        <w:fldChar w:fldCharType="end"/>
      </w:r>
    </w:p>
    <w:p/>
    <w:p>
      <w:pPr>
        <w:pStyle w:val="19"/>
        <w:tabs>
          <w:tab w:val="right" w:leader="dot" w:pos="8610"/>
        </w:tabs>
        <w:spacing w:line="360" w:lineRule="auto"/>
        <w:rPr>
          <w:b w:val="0"/>
          <w:bCs w:val="0"/>
          <w:sz w:val="40"/>
          <w:szCs w:val="48"/>
        </w:rPr>
      </w:pPr>
      <w:r>
        <w:rPr>
          <w:rFonts w:asciiTheme="majorEastAsia" w:hAnsiTheme="majorEastAsia" w:eastAsiaTheme="majorEastAsia" w:cstheme="majorEastAsia"/>
          <w:sz w:val="40"/>
          <w:szCs w:val="52"/>
        </w:rPr>
        <w:fldChar w:fldCharType="begin"/>
      </w:r>
      <w:r>
        <w:rPr>
          <w:rFonts w:asciiTheme="majorEastAsia" w:hAnsiTheme="majorEastAsia" w:eastAsiaTheme="majorEastAsia" w:cstheme="majorEastAsia"/>
          <w:sz w:val="40"/>
          <w:szCs w:val="52"/>
        </w:rPr>
        <w:instrText xml:space="preserve"> HYPERLINK \l _Toc13177 </w:instrText>
      </w:r>
      <w:r>
        <w:rPr>
          <w:rFonts w:asciiTheme="majorEastAsia" w:hAnsiTheme="majorEastAsia" w:eastAsiaTheme="majorEastAsia" w:cstheme="majorEastAsia"/>
          <w:sz w:val="40"/>
          <w:szCs w:val="52"/>
        </w:rPr>
        <w:fldChar w:fldCharType="separate"/>
      </w:r>
      <w:r>
        <w:rPr>
          <w:rFonts w:ascii="仿宋_GB2312" w:hAnsi="仿宋_GB2312" w:eastAsia="仿宋_GB2312" w:cs="仿宋_GB2312"/>
          <w:sz w:val="40"/>
          <w:szCs w:val="144"/>
        </w:rPr>
        <w:t>第四章</w:t>
      </w:r>
      <w:r>
        <w:rPr>
          <w:rFonts w:hint="eastAsia" w:ascii="仿宋_GB2312" w:hAnsi="仿宋_GB2312" w:eastAsia="仿宋_GB2312" w:cs="仿宋_GB2312"/>
          <w:sz w:val="40"/>
          <w:szCs w:val="144"/>
        </w:rPr>
        <w:t xml:space="preserve"> </w:t>
      </w:r>
      <w:r>
        <w:rPr>
          <w:rFonts w:hint="eastAsia" w:ascii="宋体" w:hAnsi="宋体" w:eastAsia="宋体"/>
          <w:sz w:val="40"/>
          <w:szCs w:val="72"/>
        </w:rPr>
        <w:t>货物技术规格要求</w:t>
      </w:r>
      <w:r>
        <w:rPr>
          <w:sz w:val="40"/>
          <w:szCs w:val="48"/>
        </w:rPr>
        <w:tab/>
      </w:r>
      <w:r>
        <w:rPr>
          <w:sz w:val="40"/>
          <w:szCs w:val="48"/>
        </w:rPr>
        <w:fldChar w:fldCharType="begin"/>
      </w:r>
      <w:r>
        <w:rPr>
          <w:sz w:val="40"/>
          <w:szCs w:val="48"/>
        </w:rPr>
        <w:instrText xml:space="preserve"> PAGEREF _Toc13177 </w:instrText>
      </w:r>
      <w:r>
        <w:rPr>
          <w:sz w:val="40"/>
          <w:szCs w:val="48"/>
        </w:rPr>
        <w:fldChar w:fldCharType="separate"/>
      </w:r>
      <w:r>
        <w:rPr>
          <w:sz w:val="40"/>
          <w:szCs w:val="48"/>
        </w:rPr>
        <w:t>19</w:t>
      </w:r>
      <w:r>
        <w:rPr>
          <w:sz w:val="40"/>
          <w:szCs w:val="48"/>
        </w:rPr>
        <w:fldChar w:fldCharType="end"/>
      </w:r>
      <w:r>
        <w:rPr>
          <w:rFonts w:asciiTheme="majorEastAsia" w:hAnsiTheme="majorEastAsia" w:eastAsiaTheme="majorEastAsia" w:cstheme="majorEastAsia"/>
          <w:sz w:val="40"/>
          <w:szCs w:val="52"/>
        </w:rPr>
        <w:fldChar w:fldCharType="end"/>
      </w:r>
    </w:p>
    <w:p>
      <w:pPr>
        <w:pStyle w:val="19"/>
        <w:tabs>
          <w:tab w:val="right" w:leader="dot" w:pos="8610"/>
        </w:tabs>
        <w:spacing w:line="360" w:lineRule="auto"/>
        <w:rPr>
          <w:b w:val="0"/>
          <w:bCs w:val="0"/>
          <w:sz w:val="40"/>
          <w:szCs w:val="48"/>
        </w:rPr>
      </w:pPr>
      <w:r>
        <w:rPr>
          <w:rFonts w:asciiTheme="majorEastAsia" w:hAnsiTheme="majorEastAsia" w:eastAsiaTheme="majorEastAsia" w:cstheme="majorEastAsia"/>
          <w:b w:val="0"/>
          <w:bCs w:val="0"/>
          <w:sz w:val="40"/>
          <w:szCs w:val="52"/>
        </w:rPr>
        <w:fldChar w:fldCharType="begin"/>
      </w:r>
      <w:r>
        <w:rPr>
          <w:rFonts w:asciiTheme="majorEastAsia" w:hAnsiTheme="majorEastAsia" w:eastAsiaTheme="majorEastAsia" w:cstheme="majorEastAsia"/>
          <w:b w:val="0"/>
          <w:bCs w:val="0"/>
          <w:sz w:val="40"/>
          <w:szCs w:val="52"/>
        </w:rPr>
        <w:instrText xml:space="preserve"> HYPERLINK \l _Toc30084 </w:instrText>
      </w:r>
      <w:r>
        <w:rPr>
          <w:rFonts w:asciiTheme="majorEastAsia" w:hAnsiTheme="majorEastAsia" w:eastAsiaTheme="majorEastAsia" w:cstheme="majorEastAsia"/>
          <w:b w:val="0"/>
          <w:bCs w:val="0"/>
          <w:sz w:val="40"/>
          <w:szCs w:val="52"/>
        </w:rPr>
        <w:fldChar w:fldCharType="separate"/>
      </w:r>
      <w:r>
        <w:rPr>
          <w:rFonts w:ascii="仿宋_GB2312" w:hAnsi="仿宋_GB2312" w:eastAsia="仿宋_GB2312" w:cs="仿宋_GB2312"/>
          <w:b w:val="0"/>
          <w:bCs w:val="0"/>
          <w:kern w:val="0"/>
          <w:sz w:val="40"/>
          <w:szCs w:val="144"/>
        </w:rPr>
        <w:t>第五章</w:t>
      </w:r>
      <w:r>
        <w:rPr>
          <w:rFonts w:hint="eastAsia" w:ascii="仿宋_GB2312" w:hAnsi="仿宋_GB2312" w:eastAsia="仿宋_GB2312" w:cs="仿宋_GB2312"/>
          <w:b w:val="0"/>
          <w:bCs w:val="0"/>
          <w:kern w:val="0"/>
          <w:sz w:val="40"/>
          <w:szCs w:val="144"/>
          <w:lang w:val="en-US" w:eastAsia="zh-CN"/>
        </w:rPr>
        <w:t xml:space="preserve"> </w:t>
      </w:r>
      <w:r>
        <w:rPr>
          <w:rFonts w:ascii="仿宋_GB2312" w:hAnsi="仿宋_GB2312" w:eastAsia="仿宋_GB2312" w:cs="仿宋_GB2312"/>
          <w:b w:val="0"/>
          <w:bCs w:val="0"/>
          <w:kern w:val="0"/>
          <w:sz w:val="40"/>
          <w:szCs w:val="144"/>
        </w:rPr>
        <w:t>投标文件格式及要求</w:t>
      </w:r>
      <w:r>
        <w:rPr>
          <w:b w:val="0"/>
          <w:bCs w:val="0"/>
          <w:sz w:val="40"/>
          <w:szCs w:val="48"/>
        </w:rPr>
        <w:tab/>
      </w:r>
      <w:r>
        <w:rPr>
          <w:b w:val="0"/>
          <w:bCs w:val="0"/>
          <w:sz w:val="40"/>
          <w:szCs w:val="48"/>
        </w:rPr>
        <w:fldChar w:fldCharType="begin"/>
      </w:r>
      <w:r>
        <w:rPr>
          <w:b w:val="0"/>
          <w:bCs w:val="0"/>
          <w:sz w:val="40"/>
          <w:szCs w:val="48"/>
        </w:rPr>
        <w:instrText xml:space="preserve"> PAGEREF _Toc30084 </w:instrText>
      </w:r>
      <w:r>
        <w:rPr>
          <w:b w:val="0"/>
          <w:bCs w:val="0"/>
          <w:sz w:val="40"/>
          <w:szCs w:val="48"/>
        </w:rPr>
        <w:fldChar w:fldCharType="separate"/>
      </w:r>
      <w:r>
        <w:rPr>
          <w:b w:val="0"/>
          <w:bCs w:val="0"/>
          <w:sz w:val="40"/>
          <w:szCs w:val="48"/>
        </w:rPr>
        <w:t>85</w:t>
      </w:r>
      <w:r>
        <w:rPr>
          <w:b w:val="0"/>
          <w:bCs w:val="0"/>
          <w:sz w:val="40"/>
          <w:szCs w:val="48"/>
        </w:rPr>
        <w:fldChar w:fldCharType="end"/>
      </w:r>
      <w:r>
        <w:rPr>
          <w:rFonts w:asciiTheme="majorEastAsia" w:hAnsiTheme="majorEastAsia" w:eastAsiaTheme="majorEastAsia" w:cstheme="majorEastAsia"/>
          <w:b w:val="0"/>
          <w:bCs w:val="0"/>
          <w:sz w:val="40"/>
          <w:szCs w:val="52"/>
        </w:rPr>
        <w:fldChar w:fldCharType="end"/>
      </w:r>
    </w:p>
    <w:p>
      <w:pPr>
        <w:pStyle w:val="19"/>
        <w:tabs>
          <w:tab w:val="right" w:leader="dot" w:pos="8610"/>
        </w:tabs>
        <w:spacing w:line="360" w:lineRule="auto"/>
        <w:rPr>
          <w:b/>
          <w:bCs/>
          <w:sz w:val="18"/>
          <w:szCs w:val="21"/>
        </w:rPr>
      </w:pPr>
      <w:r>
        <w:rPr>
          <w:rFonts w:asciiTheme="majorEastAsia" w:hAnsiTheme="majorEastAsia" w:eastAsiaTheme="majorEastAsia" w:cstheme="majorEastAsia"/>
          <w:b w:val="0"/>
          <w:bCs w:val="0"/>
          <w:sz w:val="40"/>
          <w:szCs w:val="52"/>
        </w:rPr>
        <w:fldChar w:fldCharType="begin"/>
      </w:r>
      <w:r>
        <w:rPr>
          <w:rFonts w:asciiTheme="majorEastAsia" w:hAnsiTheme="majorEastAsia" w:eastAsiaTheme="majorEastAsia" w:cstheme="majorEastAsia"/>
          <w:b w:val="0"/>
          <w:bCs w:val="0"/>
          <w:sz w:val="40"/>
          <w:szCs w:val="52"/>
        </w:rPr>
        <w:instrText xml:space="preserve"> HYPERLINK \l _Toc13166 </w:instrText>
      </w:r>
      <w:r>
        <w:rPr>
          <w:rFonts w:asciiTheme="majorEastAsia" w:hAnsiTheme="majorEastAsia" w:eastAsiaTheme="majorEastAsia" w:cstheme="majorEastAsia"/>
          <w:b w:val="0"/>
          <w:bCs w:val="0"/>
          <w:sz w:val="40"/>
          <w:szCs w:val="52"/>
        </w:rPr>
        <w:fldChar w:fldCharType="separate"/>
      </w:r>
      <w:r>
        <w:rPr>
          <w:rFonts w:ascii="仿宋_GB2312" w:hAnsi="仿宋_GB2312" w:eastAsia="仿宋_GB2312" w:cs="仿宋_GB2312"/>
          <w:b w:val="0"/>
          <w:bCs w:val="0"/>
          <w:sz w:val="40"/>
          <w:szCs w:val="144"/>
        </w:rPr>
        <w:t>第六章 评标标准及评标办法</w:t>
      </w:r>
      <w:r>
        <w:rPr>
          <w:b w:val="0"/>
          <w:bCs w:val="0"/>
          <w:sz w:val="40"/>
          <w:szCs w:val="48"/>
        </w:rPr>
        <w:tab/>
      </w:r>
      <w:r>
        <w:rPr>
          <w:b w:val="0"/>
          <w:bCs w:val="0"/>
          <w:sz w:val="40"/>
          <w:szCs w:val="48"/>
        </w:rPr>
        <w:fldChar w:fldCharType="begin"/>
      </w:r>
      <w:r>
        <w:rPr>
          <w:b w:val="0"/>
          <w:bCs w:val="0"/>
          <w:sz w:val="40"/>
          <w:szCs w:val="48"/>
        </w:rPr>
        <w:instrText xml:space="preserve"> PAGEREF _Toc13166 </w:instrText>
      </w:r>
      <w:r>
        <w:rPr>
          <w:b w:val="0"/>
          <w:bCs w:val="0"/>
          <w:sz w:val="40"/>
          <w:szCs w:val="48"/>
        </w:rPr>
        <w:fldChar w:fldCharType="separate"/>
      </w:r>
      <w:r>
        <w:rPr>
          <w:b w:val="0"/>
          <w:bCs w:val="0"/>
          <w:sz w:val="40"/>
          <w:szCs w:val="48"/>
        </w:rPr>
        <w:t>104</w:t>
      </w:r>
      <w:r>
        <w:rPr>
          <w:b w:val="0"/>
          <w:bCs w:val="0"/>
          <w:sz w:val="40"/>
          <w:szCs w:val="48"/>
        </w:rPr>
        <w:fldChar w:fldCharType="end"/>
      </w:r>
      <w:r>
        <w:rPr>
          <w:rFonts w:asciiTheme="majorEastAsia" w:hAnsiTheme="majorEastAsia" w:eastAsiaTheme="majorEastAsia" w:cstheme="majorEastAsia"/>
          <w:b w:val="0"/>
          <w:bCs w:val="0"/>
          <w:sz w:val="40"/>
          <w:szCs w:val="52"/>
        </w:rPr>
        <w:fldChar w:fldCharType="end"/>
      </w:r>
    </w:p>
    <w:p>
      <w:pPr>
        <w:pStyle w:val="19"/>
        <w:tabs>
          <w:tab w:val="right" w:leader="dot" w:pos="8610"/>
        </w:tabs>
        <w:spacing w:line="360" w:lineRule="auto"/>
        <w:rPr>
          <w:sz w:val="18"/>
          <w:szCs w:val="21"/>
        </w:rPr>
      </w:pPr>
    </w:p>
    <w:p>
      <w:pPr>
        <w:spacing w:line="360" w:lineRule="auto"/>
        <w:ind w:firstLine="360" w:firstLineChars="200"/>
        <w:rPr>
          <w:rFonts w:asciiTheme="majorEastAsia" w:hAnsiTheme="majorEastAsia" w:eastAsiaTheme="majorEastAsia" w:cstheme="majorEastAsia"/>
          <w:sz w:val="22"/>
          <w:szCs w:val="22"/>
        </w:rPr>
      </w:pPr>
      <w:r>
        <w:rPr>
          <w:rFonts w:asciiTheme="majorEastAsia" w:hAnsiTheme="majorEastAsia" w:eastAsiaTheme="majorEastAsia" w:cstheme="majorEastAsia"/>
          <w:sz w:val="18"/>
          <w:szCs w:val="22"/>
        </w:rPr>
        <w:fldChar w:fldCharType="end"/>
      </w:r>
    </w:p>
    <w:p>
      <w:pPr>
        <w:adjustRightInd w:val="0"/>
        <w:ind w:right="105" w:rightChars="50" w:firstLine="480" w:firstLineChars="200"/>
        <w:jc w:val="distribute"/>
        <w:rPr>
          <w:rFonts w:asciiTheme="majorEastAsia" w:hAnsiTheme="majorEastAsia" w:eastAsiaTheme="majorEastAsia" w:cstheme="majorEastAsia"/>
          <w:sz w:val="24"/>
        </w:rPr>
      </w:pPr>
    </w:p>
    <w:p>
      <w:pPr>
        <w:ind w:firstLine="480" w:firstLineChars="200"/>
        <w:jc w:val="distribute"/>
        <w:rPr>
          <w:rFonts w:asciiTheme="majorEastAsia" w:hAnsiTheme="majorEastAsia" w:eastAsiaTheme="majorEastAsia" w:cstheme="majorEastAsia"/>
          <w:bCs/>
          <w:sz w:val="24"/>
        </w:rPr>
      </w:pPr>
    </w:p>
    <w:p>
      <w:pPr>
        <w:ind w:firstLine="480" w:firstLineChars="200"/>
        <w:jc w:val="distribute"/>
        <w:rPr>
          <w:rFonts w:asciiTheme="majorEastAsia" w:hAnsiTheme="majorEastAsia" w:eastAsiaTheme="majorEastAsia" w:cstheme="majorEastAsia"/>
          <w:bCs/>
          <w:sz w:val="24"/>
        </w:rPr>
      </w:pPr>
    </w:p>
    <w:p>
      <w:pPr>
        <w:ind w:firstLine="480" w:firstLineChars="200"/>
        <w:jc w:val="distribute"/>
        <w:rPr>
          <w:rFonts w:asciiTheme="majorEastAsia" w:hAnsiTheme="majorEastAsia" w:eastAsiaTheme="majorEastAsia" w:cstheme="majorEastAsia"/>
          <w:bCs/>
          <w:sz w:val="24"/>
        </w:rPr>
      </w:pPr>
    </w:p>
    <w:p>
      <w:pPr>
        <w:ind w:firstLine="480" w:firstLineChars="200"/>
        <w:jc w:val="distribute"/>
        <w:rPr>
          <w:rFonts w:asciiTheme="majorEastAsia" w:hAnsiTheme="majorEastAsia" w:eastAsiaTheme="majorEastAsia" w:cstheme="majorEastAsia"/>
          <w:bCs/>
          <w:sz w:val="24"/>
        </w:rPr>
      </w:pPr>
    </w:p>
    <w:p>
      <w:pPr>
        <w:ind w:firstLine="480" w:firstLineChars="200"/>
        <w:jc w:val="distribute"/>
        <w:rPr>
          <w:rFonts w:asciiTheme="majorEastAsia" w:hAnsiTheme="majorEastAsia" w:eastAsiaTheme="majorEastAsia" w:cstheme="majorEastAsia"/>
          <w:bCs/>
          <w:sz w:val="24"/>
        </w:rPr>
      </w:pPr>
    </w:p>
    <w:p>
      <w:pPr>
        <w:ind w:firstLine="480" w:firstLineChars="200"/>
        <w:jc w:val="distribute"/>
        <w:rPr>
          <w:rFonts w:asciiTheme="majorEastAsia" w:hAnsiTheme="majorEastAsia" w:eastAsiaTheme="majorEastAsia" w:cstheme="majorEastAsia"/>
          <w:bCs/>
          <w:sz w:val="24"/>
        </w:rPr>
      </w:pPr>
    </w:p>
    <w:p>
      <w:pPr>
        <w:jc w:val="distribute"/>
        <w:rPr>
          <w:rFonts w:asciiTheme="majorEastAsia" w:hAnsiTheme="majorEastAsia" w:eastAsiaTheme="majorEastAsia" w:cstheme="majorEastAsia"/>
          <w:bCs/>
          <w:sz w:val="24"/>
        </w:rPr>
      </w:pPr>
    </w:p>
    <w:p>
      <w:pPr>
        <w:jc w:val="center"/>
        <w:outlineLvl w:val="0"/>
        <w:rPr>
          <w:rFonts w:asciiTheme="majorEastAsia" w:hAnsiTheme="majorEastAsia" w:eastAsiaTheme="majorEastAsia" w:cstheme="majorEastAsia"/>
          <w:b/>
          <w:bCs/>
          <w:sz w:val="28"/>
          <w:szCs w:val="28"/>
        </w:rPr>
        <w:sectPr>
          <w:pgSz w:w="11910" w:h="16840"/>
          <w:pgMar w:top="1582" w:right="1620" w:bottom="1202" w:left="1680" w:header="0" w:footer="1015" w:gutter="0"/>
          <w:pgNumType w:start="0"/>
          <w:cols w:equalWidth="0" w:num="1">
            <w:col w:w="8610"/>
          </w:cols>
        </w:sectPr>
      </w:pPr>
      <w:bookmarkStart w:id="4" w:name="_Toc22613"/>
      <w:bookmarkStart w:id="5" w:name="_Toc4232"/>
    </w:p>
    <w:p>
      <w:pPr>
        <w:jc w:val="center"/>
        <w:outlineLvl w:val="0"/>
        <w:rPr>
          <w:rFonts w:hint="eastAsia" w:asciiTheme="majorEastAsia" w:hAnsiTheme="majorEastAsia" w:eastAsiaTheme="majorEastAsia" w:cstheme="majorEastAsia"/>
          <w:b/>
          <w:bCs/>
          <w:sz w:val="28"/>
          <w:szCs w:val="28"/>
        </w:rPr>
      </w:pPr>
      <w:bookmarkStart w:id="6" w:name="_Toc16334"/>
      <w:bookmarkStart w:id="7" w:name="_Toc9043"/>
      <w:bookmarkStart w:id="8" w:name="_Toc26823"/>
      <w:r>
        <w:rPr>
          <w:rFonts w:hint="eastAsia" w:asciiTheme="majorEastAsia" w:hAnsiTheme="majorEastAsia" w:eastAsiaTheme="majorEastAsia" w:cstheme="majorEastAsia"/>
          <w:b/>
          <w:bCs/>
          <w:sz w:val="28"/>
          <w:szCs w:val="28"/>
        </w:rPr>
        <w:t>第一</w:t>
      </w:r>
      <w:r>
        <w:rPr>
          <w:rFonts w:hint="eastAsia" w:asciiTheme="majorEastAsia" w:hAnsiTheme="majorEastAsia" w:eastAsiaTheme="majorEastAsia" w:cstheme="majorEastAsia"/>
          <w:b/>
          <w:bCs/>
          <w:sz w:val="28"/>
          <w:szCs w:val="28"/>
          <w:lang w:eastAsia="zh-CN"/>
        </w:rPr>
        <w:t>章</w:t>
      </w:r>
      <w:r>
        <w:rPr>
          <w:rFonts w:hint="eastAsia" w:asciiTheme="majorEastAsia" w:hAnsiTheme="majorEastAsia" w:eastAsiaTheme="majorEastAsia" w:cstheme="majorEastAsia"/>
          <w:b/>
          <w:bCs/>
          <w:sz w:val="28"/>
          <w:szCs w:val="28"/>
        </w:rPr>
        <w:t xml:space="preserve">  招标采购公告</w:t>
      </w:r>
      <w:bookmarkEnd w:id="4"/>
      <w:bookmarkEnd w:id="5"/>
      <w:bookmarkEnd w:id="6"/>
      <w:bookmarkEnd w:id="7"/>
      <w:bookmarkEnd w:id="8"/>
      <w:bookmarkStart w:id="9" w:name="_Toc28934"/>
      <w:bookmarkStart w:id="10" w:name="_Toc20127"/>
    </w:p>
    <w:p>
      <w:pPr>
        <w:pStyle w:val="3"/>
        <w:keepNext w:val="0"/>
        <w:keepLines w:val="0"/>
        <w:widowControl/>
        <w:suppressLineNumbers w:val="0"/>
        <w:spacing w:line="450" w:lineRule="atLeast"/>
        <w:jc w:val="center"/>
        <w:rPr>
          <w:rFonts w:hint="eastAsia"/>
          <w:sz w:val="36"/>
          <w:szCs w:val="36"/>
          <w:lang w:val="en-US" w:eastAsia="zh-CN"/>
        </w:rPr>
      </w:pPr>
      <w:bookmarkStart w:id="11" w:name="_Toc12193"/>
      <w:bookmarkStart w:id="12" w:name="_Toc28406"/>
      <w:bookmarkStart w:id="13" w:name="_Toc10876"/>
      <w:r>
        <w:rPr>
          <w:rFonts w:hint="eastAsia"/>
          <w:sz w:val="36"/>
          <w:szCs w:val="36"/>
          <w:lang w:val="en-US" w:eastAsia="zh-CN"/>
        </w:rPr>
        <w:t>新疆供销技师学院（新疆供销学校）智慧校园平台建设</w:t>
      </w:r>
      <w:bookmarkEnd w:id="11"/>
      <w:bookmarkEnd w:id="12"/>
      <w:bookmarkEnd w:id="13"/>
    </w:p>
    <w:p>
      <w:pPr>
        <w:pStyle w:val="3"/>
        <w:keepNext w:val="0"/>
        <w:keepLines w:val="0"/>
        <w:widowControl/>
        <w:suppressLineNumbers w:val="0"/>
        <w:spacing w:line="450" w:lineRule="atLeast"/>
        <w:jc w:val="center"/>
        <w:rPr>
          <w:sz w:val="36"/>
          <w:szCs w:val="36"/>
        </w:rPr>
      </w:pPr>
      <w:bookmarkStart w:id="14" w:name="_Toc14182"/>
      <w:bookmarkStart w:id="15" w:name="_Toc23987"/>
      <w:bookmarkStart w:id="16" w:name="_Toc28836"/>
      <w:r>
        <w:rPr>
          <w:rFonts w:hint="eastAsia"/>
          <w:sz w:val="36"/>
          <w:szCs w:val="36"/>
          <w:lang w:val="en-US" w:eastAsia="zh-CN"/>
        </w:rPr>
        <w:t>（一期）项目</w:t>
      </w:r>
      <w:r>
        <w:rPr>
          <w:sz w:val="36"/>
          <w:szCs w:val="36"/>
        </w:rPr>
        <w:t>公开招标公告</w:t>
      </w:r>
      <w:bookmarkEnd w:id="14"/>
      <w:bookmarkEnd w:id="15"/>
      <w:bookmarkEnd w:id="16"/>
    </w:p>
    <w:p>
      <w:pPr>
        <w:pStyle w:val="23"/>
        <w:keepNext w:val="0"/>
        <w:keepLines w:val="0"/>
        <w:widowControl/>
        <w:suppressLineNumbers w:val="0"/>
      </w:pPr>
      <w:r>
        <w:rPr>
          <w:rFonts w:ascii="仿宋" w:hAnsi="仿宋" w:eastAsia="仿宋" w:cs="仿宋"/>
          <w:sz w:val="27"/>
          <w:szCs w:val="27"/>
        </w:rPr>
        <w:t>项目概况</w:t>
      </w:r>
    </w:p>
    <w:p>
      <w:pPr>
        <w:numPr>
          <w:ilvl w:val="0"/>
          <w:numId w:val="0"/>
        </w:numPr>
        <w:spacing w:line="360" w:lineRule="auto"/>
        <w:ind w:firstLine="270" w:firstLineChars="100"/>
        <w:jc w:val="left"/>
        <w:rPr>
          <w:rFonts w:hint="eastAsia"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新疆供销技师学院（新疆供销学校）智慧校园平台建设（一期）项目的潜在投标人应在乌鲁木齐市天山区东泉路 1568 号世界冠郡一期 9 号底商住宅楼商业 107 室获取招标文件，并于2022年05月16日 16:00（北京时间）前递交投标文件。</w:t>
      </w:r>
    </w:p>
    <w:p>
      <w:pPr>
        <w:pStyle w:val="23"/>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29"/>
          <w:rFonts w:ascii="黑体" w:hAnsi="宋体" w:eastAsia="黑体" w:cs="黑体"/>
          <w:sz w:val="27"/>
          <w:szCs w:val="27"/>
        </w:rPr>
        <w:t>一、项目基本情况</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项目编号：</w:t>
      </w:r>
      <w:r>
        <w:rPr>
          <w:rFonts w:hint="eastAsia" w:ascii="仿宋" w:hAnsi="仿宋" w:eastAsia="仿宋" w:cs="仿宋"/>
          <w:sz w:val="27"/>
          <w:szCs w:val="27"/>
          <w:lang w:val="en-US" w:eastAsia="zh-CN"/>
        </w:rPr>
        <w:t>DZXJZB2022045</w:t>
      </w:r>
    </w:p>
    <w:p>
      <w:pPr>
        <w:pStyle w:val="23"/>
        <w:keepNext w:val="0"/>
        <w:keepLines w:val="0"/>
        <w:widowControl/>
        <w:suppressLineNumbers w:val="0"/>
        <w:spacing w:line="300" w:lineRule="atLeast"/>
        <w:ind w:left="0" w:firstLine="420"/>
        <w:rPr>
          <w:rFonts w:hint="eastAsia" w:ascii="仿宋" w:hAnsi="仿宋" w:eastAsia="仿宋" w:cs="仿宋"/>
          <w:sz w:val="27"/>
          <w:szCs w:val="27"/>
          <w:lang w:val="en-US" w:eastAsia="zh-CN"/>
        </w:rPr>
      </w:pPr>
      <w:r>
        <w:rPr>
          <w:rFonts w:hint="eastAsia" w:ascii="仿宋" w:hAnsi="仿宋" w:eastAsia="仿宋" w:cs="仿宋"/>
          <w:sz w:val="27"/>
          <w:szCs w:val="27"/>
        </w:rPr>
        <w:t>项目名称：</w:t>
      </w:r>
      <w:r>
        <w:rPr>
          <w:rFonts w:hint="eastAsia" w:ascii="仿宋" w:hAnsi="仿宋" w:eastAsia="仿宋" w:cs="仿宋"/>
          <w:sz w:val="27"/>
          <w:szCs w:val="27"/>
          <w:lang w:val="en-US" w:eastAsia="zh-CN"/>
        </w:rPr>
        <w:t>新疆供销技师学院（新疆供销学校）智慧校园平台建设（一期）项目</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采购方式：公开招标</w:t>
      </w:r>
    </w:p>
    <w:p>
      <w:pPr>
        <w:pStyle w:val="23"/>
        <w:keepNext w:val="0"/>
        <w:keepLines w:val="0"/>
        <w:widowControl/>
        <w:suppressLineNumbers w:val="0"/>
        <w:spacing w:line="300" w:lineRule="atLeast"/>
        <w:ind w:left="0" w:firstLine="420"/>
        <w:rPr>
          <w:rFonts w:hint="default" w:eastAsia="仿宋"/>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2000000</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2000000</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采购需求：</w:t>
      </w:r>
    </w:p>
    <w:p>
      <w:pPr>
        <w:pStyle w:val="23"/>
        <w:keepNext w:val="0"/>
        <w:keepLines w:val="0"/>
        <w:widowControl/>
        <w:suppressLineNumbers w:val="0"/>
        <w:spacing w:line="240" w:lineRule="auto"/>
        <w:ind w:left="0" w:firstLine="0"/>
        <w:rPr>
          <w:rFonts w:hint="eastAsia" w:ascii="仿宋" w:hAnsi="仿宋" w:eastAsia="仿宋" w:cs="仿宋"/>
          <w:lang w:val="en-US" w:eastAsia="zh-CN"/>
        </w:rPr>
      </w:pPr>
      <w:r>
        <w:rPr>
          <w:rFonts w:hint="eastAsia" w:ascii="仿宋" w:hAnsi="仿宋" w:eastAsia="仿宋" w:cs="仿宋"/>
        </w:rPr>
        <w:br w:type="textWrapping"/>
      </w:r>
      <w:r>
        <w:rPr>
          <w:rFonts w:hint="eastAsia" w:ascii="仿宋" w:hAnsi="仿宋" w:eastAsia="仿宋" w:cs="仿宋"/>
        </w:rPr>
        <w:t>   标项名称:</w:t>
      </w:r>
      <w:r>
        <w:rPr>
          <w:rFonts w:hint="eastAsia" w:ascii="仿宋" w:hAnsi="仿宋" w:eastAsia="仿宋" w:cs="仿宋"/>
          <w:lang w:val="en-US" w:eastAsia="zh-CN"/>
        </w:rPr>
        <w:t>新疆供销技师学院（新疆供销学校）智慧校园平台建设（一期）项目</w:t>
      </w:r>
    </w:p>
    <w:p>
      <w:pPr>
        <w:pStyle w:val="23"/>
        <w:keepNext w:val="0"/>
        <w:keepLines w:val="0"/>
        <w:widowControl/>
        <w:suppressLineNumbers w:val="0"/>
        <w:spacing w:line="240" w:lineRule="auto"/>
        <w:ind w:left="0" w:firstLine="0"/>
      </w:pPr>
      <w:r>
        <w:rPr>
          <w:rFonts w:hint="eastAsia" w:ascii="仿宋" w:hAnsi="仿宋" w:eastAsia="仿宋" w:cs="仿宋"/>
        </w:rPr>
        <w:br w:type="textWrapping"/>
      </w:r>
      <w:r>
        <w:rPr>
          <w:rFonts w:hint="eastAsia" w:ascii="仿宋" w:hAnsi="仿宋" w:eastAsia="仿宋" w:cs="仿宋"/>
        </w:rPr>
        <w:t>   数量:不限</w:t>
      </w:r>
      <w:r>
        <w:rPr>
          <w:rFonts w:hint="eastAsia" w:ascii="仿宋" w:hAnsi="仿宋" w:eastAsia="仿宋" w:cs="仿宋"/>
        </w:rPr>
        <w:br w:type="textWrapping"/>
      </w:r>
      <w:r>
        <w:rPr>
          <w:rFonts w:hint="eastAsia" w:ascii="仿宋" w:hAnsi="仿宋" w:eastAsia="仿宋" w:cs="仿宋"/>
        </w:rPr>
        <w:t>   预算金额（元）:</w:t>
      </w:r>
      <w:r>
        <w:rPr>
          <w:rFonts w:hint="eastAsia" w:ascii="仿宋" w:hAnsi="仿宋" w:eastAsia="仿宋" w:cs="仿宋"/>
          <w:lang w:val="en-US" w:eastAsia="zh-CN"/>
        </w:rPr>
        <w:t>2000000.00</w:t>
      </w:r>
      <w:r>
        <w:rPr>
          <w:rFonts w:hint="eastAsia" w:ascii="仿宋" w:hAnsi="仿宋" w:eastAsia="仿宋" w:cs="仿宋"/>
        </w:rPr>
        <w:br w:type="textWrapping"/>
      </w:r>
      <w:r>
        <w:rPr>
          <w:rFonts w:hint="eastAsia" w:ascii="仿宋" w:hAnsi="仿宋" w:eastAsia="仿宋" w:cs="仿宋"/>
        </w:rPr>
        <w:t>   简要规格描述或项目基本概况介绍、用途：</w:t>
      </w:r>
      <w:r>
        <w:rPr>
          <w:rFonts w:hint="eastAsia" w:ascii="仿宋" w:hAnsi="仿宋" w:eastAsia="仿宋" w:cs="仿宋"/>
          <w:lang w:val="en-US" w:eastAsia="zh-CN"/>
        </w:rPr>
        <w:t>智慧校园系统的设计和建设及相关配套服务（具体参数及要求详见招标文件）</w:t>
      </w:r>
      <w:r>
        <w:rPr>
          <w:rFonts w:hint="eastAsia" w:ascii="仿宋" w:hAnsi="仿宋" w:eastAsia="仿宋" w:cs="仿宋"/>
        </w:rPr>
        <w:t>   备注：</w:t>
      </w:r>
    </w:p>
    <w:p>
      <w:pPr>
        <w:pStyle w:val="23"/>
        <w:keepNext w:val="0"/>
        <w:keepLines w:val="0"/>
        <w:widowControl/>
        <w:suppressLineNumbers w:val="0"/>
        <w:spacing w:line="300" w:lineRule="atLeast"/>
        <w:ind w:left="0" w:firstLine="420"/>
        <w:rPr>
          <w:rFonts w:hint="eastAsia" w:ascii="宋体" w:hAnsi="宋体" w:eastAsia="宋体" w:cs="宋体"/>
          <w:color w:val="auto"/>
          <w:sz w:val="24"/>
          <w:szCs w:val="24"/>
          <w:lang w:val="en-US" w:eastAsia="zh-CN"/>
        </w:rPr>
      </w:pPr>
      <w:r>
        <w:rPr>
          <w:rFonts w:hint="eastAsia" w:ascii="仿宋" w:hAnsi="仿宋" w:eastAsia="仿宋" w:cs="仿宋"/>
          <w:sz w:val="27"/>
          <w:szCs w:val="27"/>
        </w:rPr>
        <w:t>合同履约期限：包 1，</w:t>
      </w:r>
      <w:r>
        <w:rPr>
          <w:rFonts w:hint="eastAsia" w:ascii="仿宋" w:hAnsi="仿宋" w:eastAsia="仿宋" w:cs="仿宋"/>
          <w:sz w:val="27"/>
          <w:szCs w:val="27"/>
          <w:lang w:val="en-US" w:eastAsia="zh-CN"/>
        </w:rPr>
        <w:t>合同签订后20个工作日内供货安装调试验收完毕</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本项目（否）接受联合体投标。</w:t>
      </w:r>
    </w:p>
    <w:p>
      <w:pPr>
        <w:pStyle w:val="23"/>
        <w:keepNext w:val="0"/>
        <w:keepLines w:val="0"/>
        <w:widowControl/>
        <w:suppressLineNumbers w:val="0"/>
        <w:spacing w:line="300" w:lineRule="atLeast"/>
      </w:pPr>
    </w:p>
    <w:p>
      <w:pPr>
        <w:pStyle w:val="23"/>
        <w:keepNext w:val="0"/>
        <w:keepLines w:val="0"/>
        <w:widowControl/>
        <w:suppressLineNumbers w:val="0"/>
        <w:spacing w:line="300" w:lineRule="atLeast"/>
      </w:pPr>
      <w:r>
        <w:rPr>
          <w:rStyle w:val="29"/>
          <w:rFonts w:ascii="黑体" w:hAnsi="宋体" w:eastAsia="黑体" w:cs="黑体"/>
          <w:sz w:val="27"/>
          <w:szCs w:val="27"/>
        </w:rPr>
        <w:t>二、申请人的资格要求：</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1.满足《中华人民共和国政府采购法》第二十二条规定；</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2.落实政府采购政策需满足的资格要求：无</w:t>
      </w:r>
    </w:p>
    <w:p>
      <w:pPr>
        <w:pStyle w:val="23"/>
        <w:keepNext w:val="0"/>
        <w:keepLines w:val="0"/>
        <w:widowControl/>
        <w:suppressLineNumbers w:val="0"/>
        <w:spacing w:line="300" w:lineRule="atLeast"/>
        <w:ind w:left="0" w:firstLine="420"/>
        <w:rPr>
          <w:rFonts w:hint="eastAsia" w:ascii="仿宋" w:hAnsi="仿宋" w:eastAsia="仿宋" w:cs="仿宋"/>
          <w:sz w:val="27"/>
          <w:szCs w:val="27"/>
        </w:rPr>
      </w:pPr>
      <w:r>
        <w:rPr>
          <w:rFonts w:hint="eastAsia" w:ascii="仿宋" w:hAnsi="仿宋" w:eastAsia="仿宋" w:cs="仿宋"/>
          <w:sz w:val="27"/>
          <w:szCs w:val="27"/>
        </w:rPr>
        <w:t>3.本项目的特定资格要求：（</w:t>
      </w:r>
      <w:r>
        <w:rPr>
          <w:rFonts w:hint="eastAsia" w:ascii="仿宋" w:hAnsi="仿宋" w:eastAsia="仿宋" w:cs="仿宋"/>
          <w:sz w:val="27"/>
          <w:szCs w:val="27"/>
          <w:lang w:val="en-US" w:eastAsia="zh-CN"/>
        </w:rPr>
        <w:t>1</w:t>
      </w:r>
      <w:r>
        <w:rPr>
          <w:rFonts w:hint="eastAsia" w:ascii="仿宋" w:hAnsi="仿宋" w:eastAsia="仿宋" w:cs="仿宋"/>
          <w:sz w:val="27"/>
          <w:szCs w:val="27"/>
        </w:rPr>
        <w:t xml:space="preserve">）.供应商如在“信用中国”网站（www.creditchina.gov.cn)、中国政府采购网 （www.ccgp.gov.cn)等渠道查询后，被列入失信被执行人、重大税收违法案件当事人名单、政府采购严重违法失信行为记录名单的，取消投标资格； </w:t>
      </w:r>
      <w:r>
        <w:rPr>
          <w:rFonts w:hint="eastAsia" w:ascii="仿宋" w:hAnsi="仿宋" w:eastAsia="仿宋" w:cs="仿宋"/>
          <w:sz w:val="27"/>
          <w:szCs w:val="27"/>
        </w:rPr>
        <w:br w:type="textWrapping"/>
      </w:r>
      <w:r>
        <w:rPr>
          <w:rFonts w:hint="eastAsia" w:ascii="仿宋" w:hAnsi="仿宋" w:eastAsia="仿宋" w:cs="仿宋"/>
          <w:sz w:val="27"/>
          <w:szCs w:val="27"/>
        </w:rPr>
        <w:t>（</w:t>
      </w:r>
      <w:r>
        <w:rPr>
          <w:rFonts w:hint="eastAsia" w:ascii="仿宋" w:hAnsi="仿宋" w:eastAsia="仿宋" w:cs="仿宋"/>
          <w:sz w:val="27"/>
          <w:szCs w:val="27"/>
          <w:lang w:val="en-US" w:eastAsia="zh-CN"/>
        </w:rPr>
        <w:t>2</w:t>
      </w:r>
      <w:r>
        <w:rPr>
          <w:rFonts w:hint="eastAsia" w:ascii="仿宋" w:hAnsi="仿宋" w:eastAsia="仿宋" w:cs="仿宋"/>
          <w:sz w:val="27"/>
          <w:szCs w:val="27"/>
        </w:rPr>
        <w:t xml:space="preserve">）.法律、行政法规规定的其他条件； </w:t>
      </w:r>
    </w:p>
    <w:p>
      <w:pPr>
        <w:pStyle w:val="23"/>
        <w:keepNext w:val="0"/>
        <w:keepLines w:val="0"/>
        <w:widowControl/>
        <w:suppressLineNumbers w:val="0"/>
        <w:spacing w:line="300" w:lineRule="atLeast"/>
      </w:pPr>
      <w:r>
        <w:rPr>
          <w:rFonts w:hint="eastAsia" w:ascii="仿宋" w:hAnsi="仿宋" w:eastAsia="仿宋" w:cs="仿宋"/>
          <w:sz w:val="27"/>
          <w:szCs w:val="27"/>
        </w:rPr>
        <w:t>（</w:t>
      </w:r>
      <w:r>
        <w:rPr>
          <w:rFonts w:hint="eastAsia" w:ascii="仿宋" w:hAnsi="仿宋" w:eastAsia="仿宋" w:cs="仿宋"/>
          <w:sz w:val="27"/>
          <w:szCs w:val="27"/>
          <w:lang w:val="en-US" w:eastAsia="zh-CN"/>
        </w:rPr>
        <w:t>3</w:t>
      </w:r>
      <w:r>
        <w:rPr>
          <w:rFonts w:hint="eastAsia" w:ascii="仿宋" w:hAnsi="仿宋" w:eastAsia="仿宋" w:cs="仿宋"/>
          <w:sz w:val="27"/>
          <w:szCs w:val="27"/>
        </w:rPr>
        <w:t>）.本次招标不接受联合体投标；</w:t>
      </w:r>
      <w:r>
        <w:rPr>
          <w:rFonts w:hint="eastAsia" w:ascii="仿宋" w:hAnsi="仿宋" w:eastAsia="仿宋" w:cs="仿宋"/>
          <w:sz w:val="27"/>
          <w:szCs w:val="27"/>
        </w:rPr>
        <w:br w:type="textWrapping"/>
      </w:r>
      <w:r>
        <w:rPr>
          <w:rFonts w:hint="eastAsia" w:ascii="仿宋" w:hAnsi="仿宋" w:eastAsia="仿宋" w:cs="仿宋"/>
          <w:sz w:val="27"/>
          <w:szCs w:val="27"/>
        </w:rPr>
        <w:br w:type="textWrapping"/>
      </w:r>
      <w:r>
        <w:rPr>
          <w:rFonts w:hint="eastAsia" w:ascii="仿宋" w:hAnsi="仿宋" w:eastAsia="仿宋" w:cs="仿宋"/>
          <w:sz w:val="27"/>
          <w:szCs w:val="27"/>
        </w:rPr>
        <w:t>本项目面向中小企业、残疾人福利性单位等企业。</w:t>
      </w:r>
    </w:p>
    <w:p>
      <w:pPr>
        <w:pStyle w:val="23"/>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29"/>
          <w:rFonts w:ascii="黑体" w:hAnsi="宋体" w:eastAsia="黑体" w:cs="黑体"/>
          <w:sz w:val="27"/>
          <w:szCs w:val="27"/>
        </w:rPr>
        <w:t>三、获取招标文件</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时间：2022年04月2</w:t>
      </w:r>
      <w:r>
        <w:rPr>
          <w:rFonts w:hint="eastAsia" w:ascii="仿宋" w:hAnsi="仿宋" w:eastAsia="仿宋" w:cs="仿宋"/>
          <w:sz w:val="27"/>
          <w:szCs w:val="27"/>
          <w:lang w:val="en-US" w:eastAsia="zh-CN"/>
        </w:rPr>
        <w:t>5</w:t>
      </w:r>
      <w:r>
        <w:rPr>
          <w:rFonts w:hint="eastAsia" w:ascii="仿宋" w:hAnsi="仿宋" w:eastAsia="仿宋" w:cs="仿宋"/>
          <w:sz w:val="27"/>
          <w:szCs w:val="27"/>
        </w:rPr>
        <w:t>日至2022年04月2</w:t>
      </w:r>
      <w:r>
        <w:rPr>
          <w:rFonts w:hint="eastAsia" w:ascii="仿宋" w:hAnsi="仿宋" w:eastAsia="仿宋" w:cs="仿宋"/>
          <w:sz w:val="27"/>
          <w:szCs w:val="27"/>
          <w:lang w:val="en-US" w:eastAsia="zh-CN"/>
        </w:rPr>
        <w:t>9</w:t>
      </w:r>
      <w:r>
        <w:rPr>
          <w:rFonts w:hint="eastAsia" w:ascii="仿宋" w:hAnsi="仿宋" w:eastAsia="仿宋" w:cs="仿宋"/>
          <w:sz w:val="27"/>
          <w:szCs w:val="27"/>
        </w:rPr>
        <w:t>日，每天上午10:30至13:30，下午15:30至18:30（北京时间，法定节假日除外）</w:t>
      </w:r>
    </w:p>
    <w:p>
      <w:pPr>
        <w:spacing w:line="360" w:lineRule="auto"/>
        <w:ind w:firstLine="270" w:firstLineChars="100"/>
        <w:rPr>
          <w:rFonts w:hint="eastAsia" w:ascii="仿宋" w:hAnsi="仿宋" w:eastAsia="仿宋" w:cs="仿宋"/>
          <w:sz w:val="27"/>
          <w:szCs w:val="27"/>
          <w:lang w:val="en-US" w:eastAsia="zh-CN"/>
        </w:rPr>
      </w:pPr>
      <w:r>
        <w:rPr>
          <w:rFonts w:hint="eastAsia" w:ascii="仿宋" w:hAnsi="仿宋" w:eastAsia="仿宋" w:cs="仿宋"/>
          <w:sz w:val="27"/>
          <w:szCs w:val="27"/>
        </w:rPr>
        <w:t>地点：</w:t>
      </w:r>
      <w:r>
        <w:rPr>
          <w:rFonts w:hint="eastAsia" w:ascii="仿宋" w:hAnsi="仿宋" w:eastAsia="仿宋" w:cs="仿宋"/>
          <w:sz w:val="27"/>
          <w:szCs w:val="27"/>
          <w:lang w:val="en-US" w:eastAsia="zh-CN"/>
        </w:rPr>
        <w:t>乌鲁木齐市天山区东泉路 1568 号世界冠郡一期 9 号底商住宅楼商业 107 室</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方式：线下获取</w:t>
      </w:r>
    </w:p>
    <w:p>
      <w:pPr>
        <w:pStyle w:val="23"/>
        <w:keepNext w:val="0"/>
        <w:keepLines w:val="0"/>
        <w:widowControl/>
        <w:suppressLineNumbers w:val="0"/>
        <w:spacing w:line="300" w:lineRule="atLeast"/>
        <w:ind w:left="0" w:firstLine="420"/>
      </w:pPr>
      <w:r>
        <w:rPr>
          <w:rFonts w:hint="eastAsia" w:ascii="仿宋" w:hAnsi="仿宋" w:eastAsia="仿宋" w:cs="仿宋"/>
          <w:sz w:val="27"/>
          <w:szCs w:val="27"/>
        </w:rPr>
        <w:t>售价（元）：</w:t>
      </w:r>
      <w:r>
        <w:rPr>
          <w:rFonts w:hint="eastAsia" w:ascii="仿宋" w:hAnsi="仿宋" w:eastAsia="仿宋" w:cs="仿宋"/>
          <w:sz w:val="27"/>
          <w:szCs w:val="27"/>
          <w:lang w:val="en-US" w:eastAsia="zh-CN"/>
        </w:rPr>
        <w:t>3</w:t>
      </w:r>
      <w:r>
        <w:rPr>
          <w:rFonts w:hint="eastAsia" w:ascii="仿宋" w:hAnsi="仿宋" w:eastAsia="仿宋" w:cs="仿宋"/>
          <w:sz w:val="27"/>
          <w:szCs w:val="27"/>
        </w:rPr>
        <w:t>00</w:t>
      </w:r>
    </w:p>
    <w:p>
      <w:pPr>
        <w:pStyle w:val="23"/>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29"/>
          <w:rFonts w:ascii="黑体" w:hAnsi="宋体" w:eastAsia="黑体" w:cs="黑体"/>
          <w:sz w:val="27"/>
          <w:szCs w:val="27"/>
        </w:rPr>
        <w:t>四、提交投标文件截止时间、开标时间和地点</w:t>
      </w:r>
    </w:p>
    <w:p>
      <w:pPr>
        <w:pStyle w:val="23"/>
        <w:keepNext w:val="0"/>
        <w:keepLines w:val="0"/>
        <w:widowControl/>
        <w:suppressLineNumbers w:val="0"/>
        <w:spacing w:line="300" w:lineRule="atLeast"/>
        <w:ind w:firstLine="270" w:firstLineChars="100"/>
      </w:pPr>
      <w:r>
        <w:rPr>
          <w:rFonts w:hint="eastAsia" w:ascii="仿宋" w:hAnsi="仿宋" w:eastAsia="仿宋" w:cs="仿宋"/>
          <w:sz w:val="27"/>
          <w:szCs w:val="27"/>
        </w:rPr>
        <w:t>提交投标文件截止时间：2022年05月1</w:t>
      </w:r>
      <w:r>
        <w:rPr>
          <w:rFonts w:hint="eastAsia" w:ascii="仿宋" w:hAnsi="仿宋" w:eastAsia="仿宋" w:cs="仿宋"/>
          <w:sz w:val="27"/>
          <w:szCs w:val="27"/>
          <w:lang w:val="en-US" w:eastAsia="zh-CN"/>
        </w:rPr>
        <w:t>6</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w:t>
      </w:r>
    </w:p>
    <w:p>
      <w:pPr>
        <w:spacing w:line="360" w:lineRule="auto"/>
        <w:ind w:firstLine="270" w:firstLineChars="100"/>
        <w:rPr>
          <w:rFonts w:hint="eastAsia" w:ascii="仿宋" w:hAnsi="仿宋" w:eastAsia="仿宋" w:cs="仿宋"/>
          <w:sz w:val="27"/>
          <w:szCs w:val="27"/>
          <w:lang w:val="en-US" w:eastAsia="zh-CN"/>
        </w:rPr>
      </w:pPr>
      <w:r>
        <w:rPr>
          <w:rFonts w:hint="eastAsia" w:ascii="仿宋" w:hAnsi="仿宋" w:eastAsia="仿宋" w:cs="仿宋"/>
          <w:sz w:val="27"/>
          <w:szCs w:val="27"/>
        </w:rPr>
        <w:t>投标地点：</w:t>
      </w:r>
      <w:r>
        <w:rPr>
          <w:rFonts w:hint="eastAsia" w:ascii="仿宋" w:hAnsi="仿宋" w:eastAsia="仿宋" w:cs="仿宋"/>
          <w:sz w:val="27"/>
          <w:szCs w:val="27"/>
          <w:lang w:val="en-US" w:eastAsia="zh-CN"/>
        </w:rPr>
        <w:t>乌鲁木齐市天山区东泉路 1568 号世界冠郡一期 9 号底商住宅楼商业 107 室</w:t>
      </w:r>
    </w:p>
    <w:p>
      <w:pPr>
        <w:spacing w:line="360" w:lineRule="auto"/>
        <w:ind w:firstLine="270" w:firstLineChars="100"/>
        <w:rPr>
          <w:rFonts w:hint="eastAsia" w:ascii="仿宋" w:hAnsi="仿宋" w:eastAsia="仿宋" w:cs="仿宋"/>
          <w:sz w:val="27"/>
          <w:szCs w:val="27"/>
        </w:rPr>
      </w:pPr>
      <w:r>
        <w:rPr>
          <w:rFonts w:hint="eastAsia" w:ascii="仿宋" w:hAnsi="仿宋" w:eastAsia="仿宋" w:cs="仿宋"/>
          <w:sz w:val="27"/>
          <w:szCs w:val="27"/>
        </w:rPr>
        <w:t>开标时间：2022年05月1</w:t>
      </w:r>
      <w:r>
        <w:rPr>
          <w:rFonts w:hint="eastAsia" w:ascii="仿宋" w:hAnsi="仿宋" w:eastAsia="仿宋" w:cs="仿宋"/>
          <w:sz w:val="27"/>
          <w:szCs w:val="27"/>
          <w:lang w:val="en-US" w:eastAsia="zh-CN"/>
        </w:rPr>
        <w:t>6</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w:t>
      </w:r>
    </w:p>
    <w:p>
      <w:pPr>
        <w:pStyle w:val="23"/>
        <w:keepNext w:val="0"/>
        <w:keepLines w:val="0"/>
        <w:widowControl/>
        <w:suppressLineNumbers w:val="0"/>
        <w:spacing w:before="255" w:beforeAutospacing="0" w:after="255" w:afterAutospacing="0" w:line="300" w:lineRule="atLeast"/>
        <w:ind w:firstLine="270" w:firstLineChars="100"/>
        <w:jc w:val="both"/>
        <w:rPr>
          <w:rFonts w:hint="eastAsia" w:ascii="仿宋" w:hAnsi="仿宋" w:eastAsia="仿宋" w:cs="仿宋"/>
          <w:sz w:val="27"/>
          <w:szCs w:val="27"/>
          <w:lang w:eastAsia="zh-CN"/>
        </w:rPr>
      </w:pPr>
      <w:r>
        <w:rPr>
          <w:rFonts w:hint="eastAsia" w:ascii="仿宋" w:hAnsi="仿宋" w:eastAsia="仿宋" w:cs="仿宋"/>
          <w:sz w:val="27"/>
          <w:szCs w:val="27"/>
        </w:rPr>
        <w:t>开标地点：</w:t>
      </w:r>
      <w:r>
        <w:rPr>
          <w:rFonts w:hint="eastAsia" w:ascii="仿宋" w:hAnsi="仿宋" w:eastAsia="仿宋" w:cs="仿宋"/>
          <w:sz w:val="27"/>
          <w:szCs w:val="27"/>
          <w:lang w:val="en-US" w:eastAsia="zh-CN"/>
        </w:rPr>
        <w:t>乌乌鲁木齐市天山区东泉路 1568 号世界冠郡一期 9 号底商住宅楼商业 107 室</w:t>
      </w:r>
    </w:p>
    <w:p>
      <w:pPr>
        <w:pStyle w:val="23"/>
        <w:keepNext w:val="0"/>
        <w:keepLines w:val="0"/>
        <w:widowControl/>
        <w:suppressLineNumbers w:val="0"/>
        <w:spacing w:before="255" w:beforeAutospacing="0" w:after="255" w:afterAutospacing="0" w:line="300" w:lineRule="atLeast"/>
        <w:jc w:val="both"/>
        <w:rPr>
          <w:rFonts w:ascii="黑体" w:hAnsi="宋体" w:eastAsia="黑体" w:cs="黑体"/>
          <w:sz w:val="31"/>
          <w:szCs w:val="31"/>
        </w:rPr>
      </w:pPr>
      <w:r>
        <w:rPr>
          <w:rStyle w:val="29"/>
          <w:rFonts w:ascii="黑体" w:hAnsi="宋体" w:eastAsia="黑体" w:cs="黑体"/>
          <w:sz w:val="27"/>
          <w:szCs w:val="27"/>
        </w:rPr>
        <w:t>五、公告期限</w:t>
      </w:r>
    </w:p>
    <w:p>
      <w:pPr>
        <w:pStyle w:val="23"/>
        <w:keepNext w:val="0"/>
        <w:keepLines w:val="0"/>
        <w:widowControl/>
        <w:suppressLineNumbers w:val="0"/>
        <w:ind w:left="0" w:firstLine="420"/>
      </w:pPr>
      <w:r>
        <w:rPr>
          <w:rFonts w:hint="eastAsia" w:ascii="仿宋" w:hAnsi="仿宋" w:eastAsia="仿宋" w:cs="仿宋"/>
          <w:sz w:val="27"/>
          <w:szCs w:val="27"/>
        </w:rPr>
        <w:t>自本公告发布之日起5个工作日。</w:t>
      </w:r>
    </w:p>
    <w:p>
      <w:pPr>
        <w:pStyle w:val="23"/>
        <w:keepNext w:val="0"/>
        <w:keepLines w:val="0"/>
        <w:widowControl/>
        <w:suppressLineNumbers w:val="0"/>
        <w:spacing w:before="255" w:beforeAutospacing="0" w:after="255" w:afterAutospacing="0" w:line="300" w:lineRule="atLeast"/>
        <w:jc w:val="both"/>
        <w:rPr>
          <w:rFonts w:ascii="黑体" w:hAnsi="宋体" w:eastAsia="黑体" w:cs="黑体"/>
          <w:sz w:val="27"/>
          <w:szCs w:val="27"/>
        </w:rPr>
      </w:pPr>
      <w:r>
        <w:rPr>
          <w:rStyle w:val="29"/>
          <w:rFonts w:ascii="黑体" w:hAnsi="宋体" w:eastAsia="黑体" w:cs="黑体"/>
          <w:sz w:val="27"/>
          <w:szCs w:val="27"/>
        </w:rPr>
        <w:t>六、其他补充事宜</w:t>
      </w:r>
    </w:p>
    <w:p>
      <w:pPr>
        <w:pStyle w:val="23"/>
        <w:keepNext w:val="0"/>
        <w:keepLines w:val="0"/>
        <w:widowControl/>
        <w:suppressLineNumbers w:val="0"/>
        <w:spacing w:line="315" w:lineRule="atLeast"/>
        <w:ind w:left="0" w:firstLine="420"/>
      </w:pPr>
      <w:r>
        <w:rPr>
          <w:rFonts w:hint="eastAsia" w:ascii="仿宋" w:hAnsi="仿宋" w:eastAsia="仿宋" w:cs="仿宋"/>
          <w:sz w:val="27"/>
          <w:szCs w:val="27"/>
        </w:rPr>
        <w:t>供应商购买标书时应提交的资料：（1）营业执照；（2）法人授权委托书及被授权人身份证；（</w:t>
      </w:r>
      <w:r>
        <w:rPr>
          <w:rFonts w:hint="eastAsia" w:ascii="仿宋" w:hAnsi="仿宋" w:eastAsia="仿宋" w:cs="仿宋"/>
          <w:sz w:val="27"/>
          <w:szCs w:val="27"/>
          <w:lang w:val="en-US" w:eastAsia="zh-CN"/>
        </w:rPr>
        <w:t>3</w:t>
      </w:r>
      <w:r>
        <w:rPr>
          <w:rFonts w:hint="eastAsia" w:ascii="仿宋" w:hAnsi="仿宋" w:eastAsia="仿宋" w:cs="仿宋"/>
          <w:sz w:val="27"/>
          <w:szCs w:val="27"/>
        </w:rPr>
        <w:t>）供应商如在“信用中国”网站（www.creditchina.gov.cn)、中国政府采购网 （www.ccgp.gov.cn)等渠道查询后，列入失信被执行人、重大税收违法案件当事人名单、政府采购严重违法失信行为的查询记录；所有报名的供应商需提供上述资格要求中的资料原件及加盖企业公章的复印件一套交由采购代理公司存档。</w:t>
      </w:r>
    </w:p>
    <w:p>
      <w:pPr>
        <w:pStyle w:val="23"/>
        <w:keepNext w:val="0"/>
        <w:keepLines w:val="0"/>
        <w:widowControl/>
        <w:suppressLineNumbers w:val="0"/>
        <w:spacing w:before="255" w:beforeAutospacing="0" w:after="255" w:afterAutospacing="0" w:line="480" w:lineRule="atLeast"/>
        <w:jc w:val="both"/>
        <w:rPr>
          <w:rFonts w:ascii="黑体" w:hAnsi="宋体" w:eastAsia="黑体" w:cs="黑体"/>
          <w:sz w:val="31"/>
          <w:szCs w:val="31"/>
        </w:rPr>
      </w:pPr>
      <w:r>
        <w:rPr>
          <w:rStyle w:val="29"/>
          <w:rFonts w:ascii="黑体" w:hAnsi="宋体" w:eastAsia="黑体" w:cs="黑体"/>
          <w:sz w:val="27"/>
          <w:szCs w:val="27"/>
        </w:rPr>
        <w:t>七、对本次采购提出询问，请按以下方式联系</w:t>
      </w:r>
    </w:p>
    <w:p>
      <w:pPr>
        <w:pStyle w:val="2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1.采购人信息</w:t>
      </w:r>
    </w:p>
    <w:p>
      <w:pPr>
        <w:pStyle w:val="23"/>
        <w:keepNext w:val="0"/>
        <w:keepLines w:val="0"/>
        <w:widowControl/>
        <w:suppressLineNumbers w:val="0"/>
        <w:ind w:left="0" w:firstLine="420"/>
        <w:rPr>
          <w:rFonts w:hint="eastAsia" w:ascii="仿宋" w:hAnsi="仿宋" w:eastAsia="仿宋" w:cs="仿宋"/>
          <w:sz w:val="27"/>
          <w:szCs w:val="27"/>
          <w:lang w:val="en-US" w:eastAsia="zh-CN"/>
        </w:rPr>
      </w:pPr>
      <w:r>
        <w:rPr>
          <w:rFonts w:hint="eastAsia" w:ascii="仿宋" w:hAnsi="仿宋" w:eastAsia="仿宋" w:cs="仿宋"/>
          <w:sz w:val="27"/>
          <w:szCs w:val="27"/>
        </w:rPr>
        <w:t>名 称：</w:t>
      </w:r>
      <w:r>
        <w:rPr>
          <w:rFonts w:hint="eastAsia" w:ascii="仿宋" w:hAnsi="仿宋" w:eastAsia="仿宋" w:cs="仿宋"/>
          <w:sz w:val="27"/>
          <w:szCs w:val="27"/>
          <w:lang w:val="en-US" w:eastAsia="zh-CN"/>
        </w:rPr>
        <w:t>新疆供销技师学院（新疆供销学校）</w:t>
      </w:r>
    </w:p>
    <w:p>
      <w:pPr>
        <w:pStyle w:val="23"/>
        <w:keepNext w:val="0"/>
        <w:keepLines w:val="0"/>
        <w:widowControl/>
        <w:suppressLineNumbers w:val="0"/>
        <w:ind w:left="0" w:firstLine="42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xml:space="preserve">地 址：乌鲁木齐市新市区河北东路677号   </w:t>
      </w:r>
    </w:p>
    <w:p>
      <w:pPr>
        <w:pStyle w:val="23"/>
        <w:keepNext w:val="0"/>
        <w:keepLines w:val="0"/>
        <w:widowControl/>
        <w:suppressLineNumbers w:val="0"/>
        <w:ind w:left="0" w:firstLine="420"/>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联系人：余老师</w:t>
      </w:r>
    </w:p>
    <w:p>
      <w:pPr>
        <w:pStyle w:val="23"/>
        <w:keepNext w:val="0"/>
        <w:keepLines w:val="0"/>
        <w:widowControl/>
        <w:suppressLineNumbers w:val="0"/>
        <w:ind w:left="0" w:firstLine="420"/>
        <w:rPr>
          <w:rFonts w:hint="eastAsia" w:ascii="仿宋" w:hAnsi="仿宋" w:eastAsia="仿宋" w:cs="仿宋"/>
          <w:sz w:val="27"/>
          <w:szCs w:val="27"/>
        </w:rPr>
      </w:pPr>
      <w:r>
        <w:rPr>
          <w:rFonts w:hint="eastAsia" w:ascii="仿宋" w:hAnsi="仿宋" w:eastAsia="仿宋" w:cs="仿宋"/>
          <w:sz w:val="27"/>
          <w:szCs w:val="27"/>
        </w:rPr>
        <w:t>联系方式：</w:t>
      </w:r>
      <w:r>
        <w:rPr>
          <w:rFonts w:hint="eastAsia" w:ascii="仿宋" w:hAnsi="仿宋" w:eastAsia="仿宋" w:cs="仿宋"/>
          <w:sz w:val="27"/>
          <w:szCs w:val="27"/>
          <w:lang w:val="en-US" w:eastAsia="zh-CN"/>
        </w:rPr>
        <w:t>0991-6636962</w:t>
      </w:r>
    </w:p>
    <w:p>
      <w:pPr>
        <w:pStyle w:val="2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2.采购代理机构信息</w:t>
      </w:r>
    </w:p>
    <w:p>
      <w:pPr>
        <w:pStyle w:val="2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7"/>
          <w:szCs w:val="27"/>
        </w:rPr>
        <w:t>名 称：</w:t>
      </w:r>
      <w:r>
        <w:rPr>
          <w:rFonts w:hint="eastAsia" w:ascii="仿宋" w:hAnsi="仿宋" w:eastAsia="仿宋" w:cs="仿宋"/>
          <w:sz w:val="27"/>
          <w:szCs w:val="27"/>
          <w:lang w:eastAsia="zh-CN"/>
        </w:rPr>
        <w:t>中建鼎正</w:t>
      </w:r>
      <w:r>
        <w:rPr>
          <w:rFonts w:hint="eastAsia" w:ascii="仿宋" w:hAnsi="仿宋" w:eastAsia="仿宋" w:cs="仿宋"/>
          <w:sz w:val="27"/>
          <w:szCs w:val="27"/>
        </w:rPr>
        <w:t>项目管理有限公司</w:t>
      </w:r>
    </w:p>
    <w:p>
      <w:pPr>
        <w:pStyle w:val="23"/>
        <w:keepNext w:val="0"/>
        <w:keepLines w:val="0"/>
        <w:widowControl/>
        <w:suppressLineNumbers w:val="0"/>
        <w:ind w:left="0" w:firstLine="420"/>
        <w:rPr>
          <w:rFonts w:hint="eastAsia" w:ascii="仿宋" w:hAnsi="仿宋" w:eastAsia="仿宋" w:cs="仿宋"/>
          <w:sz w:val="27"/>
          <w:szCs w:val="27"/>
          <w:lang w:val="en-US" w:eastAsia="zh-CN"/>
        </w:rPr>
      </w:pPr>
      <w:r>
        <w:rPr>
          <w:rFonts w:hint="eastAsia" w:ascii="仿宋" w:hAnsi="仿宋" w:eastAsia="仿宋" w:cs="仿宋"/>
          <w:sz w:val="27"/>
          <w:szCs w:val="27"/>
        </w:rPr>
        <w:t>地 址：</w:t>
      </w:r>
      <w:r>
        <w:rPr>
          <w:rFonts w:hint="eastAsia" w:ascii="仿宋" w:hAnsi="仿宋" w:eastAsia="仿宋" w:cs="仿宋"/>
          <w:sz w:val="27"/>
          <w:szCs w:val="27"/>
          <w:lang w:val="en-US" w:eastAsia="zh-CN"/>
        </w:rPr>
        <w:t>乌鲁木齐市天山区东泉路 1568 号世界冠郡一期 9 号底商住宅楼商业 107 室</w:t>
      </w:r>
    </w:p>
    <w:p>
      <w:pPr>
        <w:pStyle w:val="23"/>
        <w:keepNext w:val="0"/>
        <w:keepLines w:val="0"/>
        <w:widowControl/>
        <w:suppressLineNumbers w:val="0"/>
        <w:ind w:left="0" w:firstLine="42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联系人：杨静</w:t>
      </w:r>
    </w:p>
    <w:p>
      <w:pPr>
        <w:pStyle w:val="23"/>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7"/>
          <w:szCs w:val="27"/>
        </w:rPr>
        <w:t>联系方式：</w:t>
      </w:r>
      <w:r>
        <w:rPr>
          <w:rFonts w:hint="eastAsia" w:ascii="仿宋" w:hAnsi="仿宋" w:eastAsia="仿宋" w:cs="仿宋"/>
          <w:sz w:val="27"/>
          <w:szCs w:val="27"/>
          <w:lang w:val="en-US" w:eastAsia="zh-CN"/>
        </w:rPr>
        <w:t>18160675935</w:t>
      </w:r>
    </w:p>
    <w:p>
      <w:pPr>
        <w:pStyle w:val="23"/>
        <w:keepNext w:val="0"/>
        <w:keepLines w:val="0"/>
        <w:widowControl/>
        <w:suppressLineNumbers w:val="0"/>
        <w:ind w:left="0" w:firstLine="420"/>
        <w:rPr>
          <w:rFonts w:hint="eastAsia" w:ascii="仿宋" w:hAnsi="仿宋" w:eastAsia="仿宋" w:cs="仿宋"/>
          <w:sz w:val="28"/>
          <w:szCs w:val="28"/>
        </w:rPr>
      </w:pPr>
    </w:p>
    <w:p>
      <w:pPr>
        <w:rPr>
          <w:rFonts w:hint="eastAsia" w:asciiTheme="majorEastAsia" w:hAnsiTheme="majorEastAsia" w:eastAsiaTheme="majorEastAsia" w:cstheme="majorEastAsia"/>
          <w:b/>
          <w:bCs/>
          <w:sz w:val="28"/>
          <w:szCs w:val="28"/>
        </w:rPr>
      </w:pPr>
    </w:p>
    <w:p>
      <w:pPr>
        <w:pStyle w:val="2"/>
      </w:pPr>
    </w:p>
    <w:p>
      <w:pPr>
        <w:jc w:val="center"/>
        <w:outlineLvl w:val="0"/>
        <w:rPr>
          <w:rFonts w:asciiTheme="majorEastAsia" w:hAnsiTheme="majorEastAsia" w:eastAsiaTheme="majorEastAsia" w:cstheme="majorEastAsia"/>
          <w:b/>
          <w:sz w:val="28"/>
          <w:szCs w:val="28"/>
        </w:rPr>
      </w:pPr>
    </w:p>
    <w:p>
      <w:pPr>
        <w:jc w:val="center"/>
        <w:outlineLvl w:val="0"/>
        <w:rPr>
          <w:rFonts w:asciiTheme="majorEastAsia" w:hAnsiTheme="majorEastAsia" w:eastAsiaTheme="majorEastAsia" w:cstheme="majorEastAsia"/>
          <w:b/>
          <w:sz w:val="28"/>
          <w:szCs w:val="28"/>
        </w:rPr>
      </w:pPr>
    </w:p>
    <w:p>
      <w:pPr>
        <w:jc w:val="center"/>
        <w:outlineLvl w:val="0"/>
        <w:rPr>
          <w:rFonts w:asciiTheme="majorEastAsia" w:hAnsiTheme="majorEastAsia" w:eastAsiaTheme="majorEastAsia" w:cstheme="majorEastAsia"/>
          <w:b/>
          <w:sz w:val="28"/>
          <w:szCs w:val="28"/>
        </w:rPr>
      </w:pPr>
    </w:p>
    <w:p>
      <w:pPr>
        <w:jc w:val="center"/>
        <w:outlineLvl w:val="0"/>
        <w:rPr>
          <w:rFonts w:asciiTheme="majorEastAsia" w:hAnsiTheme="majorEastAsia" w:eastAsiaTheme="majorEastAsia" w:cstheme="majorEastAsia"/>
          <w:b/>
          <w:sz w:val="28"/>
          <w:szCs w:val="28"/>
        </w:rPr>
      </w:pPr>
    </w:p>
    <w:p>
      <w:pPr>
        <w:jc w:val="center"/>
        <w:outlineLvl w:val="0"/>
        <w:rPr>
          <w:rFonts w:asciiTheme="majorEastAsia" w:hAnsiTheme="majorEastAsia" w:eastAsiaTheme="majorEastAsia" w:cstheme="majorEastAsia"/>
          <w:b/>
          <w:sz w:val="28"/>
          <w:szCs w:val="28"/>
        </w:rPr>
      </w:pPr>
    </w:p>
    <w:bookmarkEnd w:id="9"/>
    <w:bookmarkEnd w:id="10"/>
    <w:p>
      <w:pPr>
        <w:rPr>
          <w:rFonts w:hint="eastAsia"/>
          <w:color w:val="auto"/>
          <w:sz w:val="36"/>
          <w:szCs w:val="36"/>
          <w:lang w:val="en-US" w:eastAsia="zh-CN"/>
        </w:rPr>
      </w:pPr>
      <w:r>
        <w:rPr>
          <w:rFonts w:hint="eastAsia"/>
          <w:color w:val="auto"/>
          <w:sz w:val="36"/>
          <w:szCs w:val="36"/>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lang w:val="en-US" w:eastAsia="zh-CN"/>
        </w:rPr>
      </w:pPr>
      <w:bookmarkStart w:id="17" w:name="_Toc13006"/>
      <w:bookmarkStart w:id="18" w:name="_Toc6736"/>
      <w:bookmarkStart w:id="19" w:name="_Toc31671"/>
      <w:r>
        <w:rPr>
          <w:rFonts w:hint="eastAsia"/>
          <w:color w:val="auto"/>
          <w:sz w:val="36"/>
          <w:szCs w:val="36"/>
          <w:lang w:val="en-US" w:eastAsia="zh-CN"/>
        </w:rPr>
        <w:t>第二章 投标须知前附表</w:t>
      </w:r>
      <w:bookmarkEnd w:id="17"/>
      <w:bookmarkEnd w:id="18"/>
      <w:bookmarkEnd w:id="19"/>
    </w:p>
    <w:tbl>
      <w:tblPr>
        <w:tblStyle w:val="26"/>
        <w:tblW w:w="10630" w:type="dxa"/>
        <w:jc w:val="center"/>
        <w:tblLayout w:type="fixed"/>
        <w:tblCellMar>
          <w:top w:w="0" w:type="dxa"/>
          <w:left w:w="108" w:type="dxa"/>
          <w:bottom w:w="0" w:type="dxa"/>
          <w:right w:w="108" w:type="dxa"/>
        </w:tblCellMar>
      </w:tblPr>
      <w:tblGrid>
        <w:gridCol w:w="1063"/>
        <w:gridCol w:w="9567"/>
      </w:tblGrid>
      <w:tr>
        <w:tblPrEx>
          <w:tblCellMar>
            <w:top w:w="0" w:type="dxa"/>
            <w:left w:w="108" w:type="dxa"/>
            <w:bottom w:w="0" w:type="dxa"/>
            <w:right w:w="108" w:type="dxa"/>
          </w:tblCellMar>
        </w:tblPrEx>
        <w:trPr>
          <w:trHeight w:val="467"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序号</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内     容</w:t>
            </w:r>
          </w:p>
        </w:tc>
      </w:tr>
      <w:tr>
        <w:tblPrEx>
          <w:tblCellMar>
            <w:top w:w="0" w:type="dxa"/>
            <w:left w:w="108" w:type="dxa"/>
            <w:bottom w:w="0" w:type="dxa"/>
            <w:right w:w="108" w:type="dxa"/>
          </w:tblCellMar>
        </w:tblPrEx>
        <w:trPr>
          <w:trHeight w:val="2769"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项目名称：新疆供销技师学院（新疆供销学校）智慧校园平台建设（一期）项目</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采购内容：智慧校园系统的设计和建设及相关配套服务（具体参数及要求详见招标文件）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项目编号：DZXJZB2022045</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预算金额（元）：2000000.00元</w:t>
            </w:r>
          </w:p>
          <w:p>
            <w:pPr>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最高限价（元）：2000000.00元</w:t>
            </w:r>
          </w:p>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rPr>
              <w:t>方式：</w:t>
            </w:r>
            <w:r>
              <w:rPr>
                <w:rFonts w:hint="eastAsia" w:ascii="宋体" w:hAnsi="宋体" w:eastAsia="宋体" w:cs="宋体"/>
                <w:color w:val="auto"/>
                <w:kern w:val="0"/>
                <w:sz w:val="24"/>
                <w:szCs w:val="24"/>
                <w:lang w:val="en-US" w:eastAsia="zh-CN"/>
              </w:rPr>
              <w:t>公开招标</w:t>
            </w:r>
          </w:p>
        </w:tc>
      </w:tr>
      <w:tr>
        <w:tblPrEx>
          <w:tblCellMar>
            <w:top w:w="0" w:type="dxa"/>
            <w:left w:w="108" w:type="dxa"/>
            <w:bottom w:w="0" w:type="dxa"/>
            <w:right w:w="108" w:type="dxa"/>
          </w:tblCellMar>
        </w:tblPrEx>
        <w:trPr>
          <w:trHeight w:val="4598"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2</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1.采购人信息</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采购人名称：</w:t>
            </w:r>
            <w:r>
              <w:rPr>
                <w:rFonts w:hint="eastAsia"/>
              </w:rPr>
              <w:t>新疆供销技师学院（新疆供销学校）</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地      址：</w:t>
            </w:r>
            <w:r>
              <w:rPr>
                <w:rFonts w:hint="eastAsia" w:asciiTheme="minorEastAsia" w:hAnsiTheme="minorEastAsia" w:eastAsiaTheme="minorEastAsia" w:cstheme="minorEastAsia"/>
                <w:color w:val="auto"/>
                <w:kern w:val="2"/>
                <w:lang w:val="en-US" w:eastAsia="zh-CN"/>
              </w:rPr>
              <w:t xml:space="preserve"> 乌鲁木齐市新市区河北东路677号  </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联  系  人</w:t>
            </w:r>
            <w:r>
              <w:rPr>
                <w:rFonts w:hint="eastAsia" w:asciiTheme="minorEastAsia" w:hAnsiTheme="minorEastAsia" w:eastAsiaTheme="minorEastAsia" w:cstheme="minorEastAsia"/>
                <w:color w:val="auto"/>
                <w:kern w:val="2"/>
                <w:lang w:eastAsia="zh-CN"/>
              </w:rPr>
              <w:t>：余老师</w:t>
            </w:r>
          </w:p>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i w:val="0"/>
                <w:caps w:val="0"/>
                <w:color w:val="auto"/>
                <w:spacing w:val="0"/>
                <w:sz w:val="24"/>
                <w:szCs w:val="24"/>
                <w:lang w:val="en-US" w:eastAsia="zh-CN"/>
              </w:rPr>
            </w:pPr>
            <w:r>
              <w:rPr>
                <w:rFonts w:hint="eastAsia" w:asciiTheme="minorEastAsia" w:hAnsiTheme="minorEastAsia" w:eastAsiaTheme="minorEastAsia" w:cstheme="minorEastAsia"/>
                <w:color w:val="auto"/>
                <w:kern w:val="2"/>
              </w:rPr>
              <w:t>联系电话：</w:t>
            </w:r>
            <w:r>
              <w:rPr>
                <w:rFonts w:hint="eastAsia" w:ascii="宋体" w:hAnsi="宋体" w:cs="宋体"/>
                <w:color w:val="auto"/>
                <w:sz w:val="24"/>
                <w:szCs w:val="24"/>
                <w:lang w:val="en-US" w:eastAsia="zh-CN"/>
              </w:rPr>
              <w:t>0991-6636962</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2.采购代理机构信息</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名    称：中建鼎正项目管理有限公司</w:t>
            </w:r>
          </w:p>
          <w:p>
            <w:pPr>
              <w:pStyle w:val="39"/>
              <w:pageBreakBefore w:val="0"/>
              <w:kinsoku/>
              <w:wordWrap/>
              <w:overflowPunct/>
              <w:topLinePunct w:val="0"/>
              <w:bidi w:val="0"/>
              <w:adjustRightInd w:val="0"/>
              <w:snapToGrid w:val="0"/>
              <w:spacing w:line="400" w:lineRule="exact"/>
              <w:jc w:val="both"/>
              <w:textAlignment w:val="auto"/>
              <w:rPr>
                <w:rFonts w:hint="eastAsia"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地　　址：乌鲁木齐市天山区东泉路 1568 号世界冠郡一期 9 号底商住宅楼商业 107 室</w:t>
            </w:r>
          </w:p>
          <w:p>
            <w:pPr>
              <w:pStyle w:val="39"/>
              <w:pageBreakBefore w:val="0"/>
              <w:kinsoku/>
              <w:wordWrap/>
              <w:overflowPunct/>
              <w:topLinePunct w:val="0"/>
              <w:bidi w:val="0"/>
              <w:adjustRightInd w:val="0"/>
              <w:snapToGrid w:val="0"/>
              <w:spacing w:line="400" w:lineRule="exact"/>
              <w:jc w:val="both"/>
              <w:textAlignment w:val="auto"/>
              <w:rPr>
                <w:rFonts w:hint="default" w:asciiTheme="minorEastAsia" w:hAnsiTheme="minorEastAsia" w:eastAsiaTheme="minorEastAsia" w:cstheme="minorEastAsia"/>
                <w:color w:val="auto"/>
                <w:kern w:val="2"/>
                <w:lang w:val="en-US" w:eastAsia="zh-CN"/>
              </w:rPr>
            </w:pPr>
            <w:r>
              <w:rPr>
                <w:rFonts w:hint="eastAsia" w:asciiTheme="minorEastAsia" w:hAnsiTheme="minorEastAsia" w:eastAsiaTheme="minorEastAsia" w:cstheme="minorEastAsia"/>
                <w:color w:val="auto"/>
                <w:kern w:val="2"/>
              </w:rPr>
              <w:t>联系人：</w:t>
            </w:r>
            <w:r>
              <w:rPr>
                <w:rFonts w:hint="eastAsia" w:asciiTheme="minorEastAsia" w:hAnsiTheme="minorEastAsia" w:eastAsiaTheme="minorEastAsia" w:cstheme="minorEastAsia"/>
                <w:color w:val="auto"/>
                <w:kern w:val="2"/>
                <w:lang w:val="en-US" w:eastAsia="zh-CN"/>
              </w:rPr>
              <w:t xml:space="preserve"> 杨静</w:t>
            </w:r>
          </w:p>
          <w:p>
            <w:pPr>
              <w:pStyle w:val="39"/>
              <w:pageBreakBefore w:val="0"/>
              <w:kinsoku/>
              <w:wordWrap/>
              <w:overflowPunct/>
              <w:topLinePunct w:val="0"/>
              <w:bidi w:val="0"/>
              <w:adjustRightInd w:val="0"/>
              <w:snapToGrid w:val="0"/>
              <w:spacing w:line="400" w:lineRule="exact"/>
              <w:jc w:val="both"/>
              <w:textAlignment w:val="auto"/>
              <w:rPr>
                <w:rFonts w:hint="default" w:ascii="宋体" w:hAnsi="宋体" w:eastAsia="宋体" w:cs="宋体"/>
                <w:color w:val="auto"/>
                <w:kern w:val="2"/>
                <w:sz w:val="21"/>
                <w:szCs w:val="21"/>
                <w:lang w:val="en-US" w:eastAsia="zh-CN"/>
              </w:rPr>
            </w:pPr>
            <w:r>
              <w:rPr>
                <w:rFonts w:hint="eastAsia" w:asciiTheme="minorEastAsia" w:hAnsiTheme="minorEastAsia" w:eastAsiaTheme="minorEastAsia" w:cstheme="minorEastAsia"/>
                <w:color w:val="auto"/>
                <w:kern w:val="2"/>
              </w:rPr>
              <w:t>联系方式：</w:t>
            </w:r>
            <w:r>
              <w:rPr>
                <w:rFonts w:hint="eastAsia" w:ascii="宋体" w:hAnsi="宋体"/>
                <w:kern w:val="0"/>
                <w:sz w:val="24"/>
                <w:shd w:val="clear" w:color="auto" w:fill="FEFEFE"/>
                <w:lang w:val="en-US" w:eastAsia="zh-CN"/>
              </w:rPr>
              <w:t>18160675935</w:t>
            </w:r>
            <w:r>
              <w:rPr>
                <w:rFonts w:hint="eastAsia" w:hAnsi="宋体"/>
                <w:sz w:val="24"/>
              </w:rPr>
              <w:t xml:space="preserve"> </w:t>
            </w:r>
          </w:p>
        </w:tc>
      </w:tr>
      <w:tr>
        <w:tblPrEx>
          <w:tblCellMar>
            <w:top w:w="0" w:type="dxa"/>
            <w:left w:w="108" w:type="dxa"/>
            <w:bottom w:w="0" w:type="dxa"/>
            <w:right w:w="108" w:type="dxa"/>
          </w:tblCellMar>
        </w:tblPrEx>
        <w:trPr>
          <w:trHeight w:val="4282"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3</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投标保证金的形式：转账或电汇</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投标保证金的金额：</w:t>
            </w:r>
            <w:r>
              <w:rPr>
                <w:rFonts w:hint="eastAsia" w:ascii="宋体" w:hAnsi="宋体" w:eastAsia="宋体" w:cs="宋体"/>
                <w:color w:val="auto"/>
                <w:sz w:val="24"/>
                <w:szCs w:val="24"/>
                <w:lang w:val="en-US" w:eastAsia="zh-CN"/>
              </w:rPr>
              <w:t>4</w:t>
            </w:r>
            <w:bookmarkStart w:id="572" w:name="_GoBack"/>
            <w:bookmarkEnd w:id="572"/>
            <w:r>
              <w:rPr>
                <w:rFonts w:hint="eastAsia" w:ascii="宋体" w:hAnsi="宋体" w:eastAsia="宋体" w:cs="宋体"/>
                <w:color w:val="auto"/>
                <w:sz w:val="24"/>
                <w:szCs w:val="24"/>
                <w:lang w:val="en-US" w:eastAsia="zh-CN"/>
              </w:rPr>
              <w:t>0000.00</w:t>
            </w:r>
            <w:r>
              <w:rPr>
                <w:rFonts w:hint="default" w:ascii="宋体" w:hAnsi="宋体" w:eastAsia="宋体" w:cs="宋体"/>
                <w:color w:val="auto"/>
                <w:sz w:val="24"/>
                <w:szCs w:val="24"/>
                <w:lang w:val="en-US" w:eastAsia="zh-CN"/>
              </w:rPr>
              <w:t>元（</w:t>
            </w:r>
            <w:r>
              <w:rPr>
                <w:rFonts w:hint="eastAsia" w:ascii="宋体" w:hAnsi="宋体" w:eastAsia="宋体" w:cs="宋体"/>
                <w:color w:val="auto"/>
                <w:sz w:val="24"/>
                <w:szCs w:val="24"/>
                <w:lang w:val="en-US" w:eastAsia="zh-CN"/>
              </w:rPr>
              <w:t>叁万元整</w:t>
            </w:r>
            <w:r>
              <w:rPr>
                <w:rFonts w:hint="default" w:ascii="宋体" w:hAnsi="宋体" w:eastAsia="宋体" w:cs="宋体"/>
                <w:color w:val="auto"/>
                <w:sz w:val="24"/>
                <w:szCs w:val="24"/>
                <w:lang w:val="en-US" w:eastAsia="zh-CN"/>
              </w:rPr>
              <w:t>）</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开户名：中建鼎正项目管理有限公司新疆分公司</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开户银行：工行乌鲁木齐长江路支行</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开户行行号：102881001431</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账号：3002014319200073137</w:t>
            </w:r>
          </w:p>
          <w:p>
            <w:pPr>
              <w:pageBreakBefore w:val="0"/>
              <w:kinsoku/>
              <w:wordWrap/>
              <w:overflowPunct/>
              <w:topLinePunct w:val="0"/>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注：汇款单上需注明投标单位名称、项目名称、编号及金额。保证金缴纳形式：保证金于20</w:t>
            </w:r>
            <w:r>
              <w:rPr>
                <w:rFonts w:hint="eastAsia" w:ascii="宋体" w:hAnsi="宋体" w:eastAsia="宋体" w:cs="宋体"/>
                <w:color w:val="auto"/>
                <w:sz w:val="24"/>
                <w:szCs w:val="24"/>
                <w:lang w:val="en-US" w:eastAsia="zh-CN"/>
              </w:rPr>
              <w:t>22</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05</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16</w:t>
            </w:r>
            <w:r>
              <w:rPr>
                <w:rFonts w:hint="default" w:ascii="宋体" w:hAnsi="宋体" w:eastAsia="宋体" w:cs="宋体"/>
                <w:color w:val="auto"/>
                <w:sz w:val="24"/>
                <w:szCs w:val="24"/>
                <w:lang w:val="en-US" w:eastAsia="zh-CN"/>
              </w:rPr>
              <w:t>日</w:t>
            </w:r>
            <w:r>
              <w:rPr>
                <w:rFonts w:hint="eastAsia" w:ascii="宋体" w:hAnsi="宋体" w:eastAsia="宋体" w:cs="宋体"/>
                <w:color w:val="auto"/>
                <w:sz w:val="24"/>
                <w:szCs w:val="24"/>
                <w:lang w:val="en-US" w:eastAsia="zh-CN"/>
              </w:rPr>
              <w:t>11</w:t>
            </w:r>
            <w:r>
              <w:rPr>
                <w:rFonts w:hint="default" w:ascii="宋体" w:hAnsi="宋体" w:eastAsia="宋体" w:cs="宋体"/>
                <w:color w:val="auto"/>
                <w:sz w:val="24"/>
                <w:szCs w:val="24"/>
                <w:lang w:val="en-US" w:eastAsia="zh-CN"/>
              </w:rPr>
              <w:t>：00（北京时间，以到账时间为准）之前从投标人基本账户以网银或银行电汇形式汇至本公司账户，否则其响应文件将被拒绝评审。</w:t>
            </w:r>
          </w:p>
        </w:tc>
      </w:tr>
      <w:tr>
        <w:tblPrEx>
          <w:tblCellMar>
            <w:top w:w="0" w:type="dxa"/>
            <w:left w:w="108" w:type="dxa"/>
            <w:bottom w:w="0" w:type="dxa"/>
            <w:right w:w="108" w:type="dxa"/>
          </w:tblCellMar>
        </w:tblPrEx>
        <w:trPr>
          <w:trHeight w:val="563"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4</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cs="宋体"/>
                <w:color w:val="auto"/>
                <w:kern w:val="2"/>
                <w:lang w:val="en-US" w:eastAsia="zh-CN"/>
              </w:rPr>
              <w:t>投标</w:t>
            </w:r>
            <w:r>
              <w:rPr>
                <w:rFonts w:hint="eastAsia" w:ascii="宋体" w:hAnsi="宋体" w:eastAsia="宋体" w:cs="宋体"/>
                <w:color w:val="auto"/>
                <w:kern w:val="2"/>
              </w:rPr>
              <w:t>有效期：</w:t>
            </w:r>
            <w:r>
              <w:rPr>
                <w:rFonts w:hint="eastAsia" w:ascii="宋体" w:hAnsi="宋体" w:cs="宋体"/>
                <w:color w:val="auto"/>
                <w:kern w:val="2"/>
                <w:lang w:val="en-US" w:eastAsia="zh-CN"/>
              </w:rPr>
              <w:t>9</w:t>
            </w:r>
            <w:r>
              <w:rPr>
                <w:rFonts w:hint="eastAsia" w:ascii="宋体" w:hAnsi="宋体" w:cs="宋体"/>
                <w:color w:val="auto"/>
                <w:kern w:val="2"/>
                <w:u w:val="single"/>
                <w:lang w:val="en-US" w:eastAsia="zh-CN"/>
              </w:rPr>
              <w:t>0</w:t>
            </w:r>
            <w:r>
              <w:rPr>
                <w:rFonts w:hint="eastAsia" w:ascii="宋体" w:hAnsi="宋体" w:eastAsia="宋体" w:cs="宋体"/>
                <w:color w:val="auto"/>
                <w:kern w:val="2"/>
              </w:rPr>
              <w:t>天</w:t>
            </w:r>
          </w:p>
        </w:tc>
      </w:tr>
      <w:tr>
        <w:tblPrEx>
          <w:tblCellMar>
            <w:top w:w="0" w:type="dxa"/>
            <w:left w:w="108" w:type="dxa"/>
            <w:bottom w:w="0" w:type="dxa"/>
            <w:right w:w="108" w:type="dxa"/>
          </w:tblCellMar>
        </w:tblPrEx>
        <w:trPr>
          <w:trHeight w:val="575"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5</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投标截止时间：</w:t>
            </w:r>
            <w:r>
              <w:rPr>
                <w:rFonts w:hint="eastAsia" w:ascii="宋体" w:hAnsi="宋体" w:cs="宋体"/>
                <w:color w:val="auto"/>
                <w:kern w:val="2"/>
                <w:lang w:eastAsia="zh-CN"/>
              </w:rPr>
              <w:t>202</w:t>
            </w:r>
            <w:r>
              <w:rPr>
                <w:rFonts w:hint="eastAsia" w:ascii="宋体" w:hAnsi="宋体" w:cs="宋体"/>
                <w:color w:val="auto"/>
                <w:kern w:val="2"/>
                <w:lang w:val="en-US" w:eastAsia="zh-CN"/>
              </w:rPr>
              <w:t>2</w:t>
            </w:r>
            <w:r>
              <w:rPr>
                <w:rFonts w:hint="eastAsia" w:ascii="宋体" w:hAnsi="宋体" w:cs="宋体"/>
                <w:color w:val="auto"/>
                <w:kern w:val="2"/>
                <w:lang w:eastAsia="zh-CN"/>
              </w:rPr>
              <w:t>年</w:t>
            </w:r>
            <w:r>
              <w:rPr>
                <w:rFonts w:hint="eastAsia" w:ascii="宋体" w:hAnsi="宋体" w:cs="宋体"/>
                <w:color w:val="auto"/>
                <w:kern w:val="2"/>
                <w:lang w:val="en-US" w:eastAsia="zh-CN"/>
              </w:rPr>
              <w:t>05</w:t>
            </w:r>
            <w:r>
              <w:rPr>
                <w:rFonts w:hint="eastAsia" w:ascii="宋体" w:hAnsi="宋体" w:cs="宋体"/>
                <w:color w:val="auto"/>
                <w:kern w:val="2"/>
                <w:lang w:eastAsia="zh-CN"/>
              </w:rPr>
              <w:t>月</w:t>
            </w:r>
            <w:r>
              <w:rPr>
                <w:rFonts w:hint="eastAsia" w:ascii="宋体" w:hAnsi="宋体" w:cs="宋体"/>
                <w:color w:val="auto"/>
                <w:kern w:val="2"/>
                <w:lang w:val="en-US" w:eastAsia="zh-CN"/>
              </w:rPr>
              <w:t>16</w:t>
            </w:r>
            <w:r>
              <w:rPr>
                <w:rFonts w:hint="eastAsia" w:ascii="宋体" w:hAnsi="宋体" w:cs="宋体"/>
                <w:color w:val="auto"/>
                <w:kern w:val="2"/>
                <w:lang w:eastAsia="zh-CN"/>
              </w:rPr>
              <w:t>日1</w:t>
            </w:r>
            <w:r>
              <w:rPr>
                <w:rFonts w:hint="eastAsia" w:ascii="宋体" w:hAnsi="宋体" w:cs="宋体"/>
                <w:color w:val="auto"/>
                <w:kern w:val="2"/>
                <w:lang w:val="en-US" w:eastAsia="zh-CN"/>
              </w:rPr>
              <w:t>6</w:t>
            </w:r>
            <w:r>
              <w:rPr>
                <w:rFonts w:hint="eastAsia" w:ascii="宋体" w:hAnsi="宋体" w:cs="宋体"/>
                <w:color w:val="auto"/>
                <w:kern w:val="2"/>
                <w:lang w:eastAsia="zh-CN"/>
              </w:rPr>
              <w:t>:00</w:t>
            </w:r>
            <w:r>
              <w:rPr>
                <w:rFonts w:hint="eastAsia" w:ascii="宋体" w:hAnsi="宋体" w:eastAsia="宋体" w:cs="宋体"/>
                <w:color w:val="auto"/>
                <w:kern w:val="2"/>
              </w:rPr>
              <w:t>（北京时间）</w:t>
            </w:r>
          </w:p>
        </w:tc>
      </w:tr>
      <w:tr>
        <w:tblPrEx>
          <w:tblCellMar>
            <w:top w:w="0" w:type="dxa"/>
            <w:left w:w="108" w:type="dxa"/>
            <w:bottom w:w="0" w:type="dxa"/>
            <w:right w:w="108" w:type="dxa"/>
          </w:tblCellMar>
        </w:tblPrEx>
        <w:trPr>
          <w:trHeight w:val="2247"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6</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eastAsia="zh-CN"/>
              </w:rPr>
            </w:pPr>
            <w:r>
              <w:rPr>
                <w:rFonts w:hint="eastAsia" w:ascii="宋体" w:hAnsi="宋体" w:cs="宋体"/>
                <w:color w:val="auto"/>
                <w:kern w:val="2"/>
                <w:lang w:eastAsia="zh-CN"/>
              </w:rPr>
              <w:t>投标文件的数量：正本1份、副本</w:t>
            </w:r>
            <w:r>
              <w:rPr>
                <w:rFonts w:hint="eastAsia" w:ascii="宋体" w:hAnsi="宋体" w:cs="宋体"/>
                <w:color w:val="auto"/>
                <w:kern w:val="2"/>
                <w:lang w:val="en-US" w:eastAsia="zh-CN"/>
              </w:rPr>
              <w:t>3</w:t>
            </w:r>
            <w:r>
              <w:rPr>
                <w:rFonts w:hint="eastAsia" w:ascii="宋体" w:hAnsi="宋体" w:cs="宋体"/>
                <w:color w:val="auto"/>
                <w:kern w:val="2"/>
                <w:lang w:eastAsia="zh-CN"/>
              </w:rPr>
              <w:t>份（正本、副本分册装订）</w:t>
            </w:r>
          </w:p>
          <w:p>
            <w:pPr>
              <w:pStyle w:val="3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eastAsia="zh-CN"/>
              </w:rPr>
            </w:pPr>
            <w:r>
              <w:rPr>
                <w:rFonts w:hint="eastAsia" w:ascii="宋体" w:hAnsi="宋体" w:cs="宋体"/>
                <w:color w:val="auto"/>
                <w:kern w:val="2"/>
                <w:lang w:eastAsia="zh-CN"/>
              </w:rPr>
              <w:t>投标报价单（报价一览表）的数量：1份（单独密封）</w:t>
            </w:r>
          </w:p>
          <w:p>
            <w:pPr>
              <w:pStyle w:val="39"/>
              <w:pageBreakBefore w:val="0"/>
              <w:kinsoku/>
              <w:wordWrap/>
              <w:overflowPunct/>
              <w:topLinePunct w:val="0"/>
              <w:bidi w:val="0"/>
              <w:adjustRightInd w:val="0"/>
              <w:snapToGrid w:val="0"/>
              <w:spacing w:line="400" w:lineRule="exact"/>
              <w:jc w:val="both"/>
              <w:textAlignment w:val="auto"/>
              <w:rPr>
                <w:rFonts w:hint="eastAsia" w:ascii="宋体" w:hAnsi="宋体" w:cs="宋体"/>
                <w:color w:val="auto"/>
                <w:kern w:val="2"/>
                <w:lang w:eastAsia="zh-CN"/>
              </w:rPr>
            </w:pPr>
            <w:r>
              <w:rPr>
                <w:rFonts w:hint="eastAsia" w:ascii="宋体" w:hAnsi="宋体" w:cs="宋体"/>
                <w:color w:val="auto"/>
                <w:kern w:val="2"/>
                <w:lang w:eastAsia="zh-CN"/>
              </w:rPr>
              <w:t>电子版投标文件：1份扫描件（必须是投标文件加盖公章的扫描件），以U盘或光盘形式提交，单独密封)</w:t>
            </w:r>
          </w:p>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b/>
                <w:color w:val="auto"/>
                <w:kern w:val="2"/>
              </w:rPr>
            </w:pPr>
            <w:r>
              <w:rPr>
                <w:rFonts w:hint="eastAsia" w:ascii="宋体" w:hAnsi="宋体" w:cs="宋体"/>
                <w:b/>
                <w:bCs/>
                <w:color w:val="auto"/>
                <w:kern w:val="2"/>
                <w:lang w:eastAsia="zh-CN"/>
              </w:rPr>
              <w:t>（注：装订形式：不得采用活页、拉杆等方式，必须采用胶装）</w:t>
            </w:r>
          </w:p>
        </w:tc>
      </w:tr>
      <w:tr>
        <w:tblPrEx>
          <w:tblCellMar>
            <w:top w:w="0" w:type="dxa"/>
            <w:left w:w="108" w:type="dxa"/>
            <w:bottom w:w="0" w:type="dxa"/>
            <w:right w:w="108" w:type="dxa"/>
          </w:tblCellMar>
        </w:tblPrEx>
        <w:trPr>
          <w:trHeight w:val="1228"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7</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25"/>
              <w:ind w:left="0" w:leftChars="0" w:firstLine="0" w:firstLineChars="0"/>
              <w:rPr>
                <w:rFonts w:hint="eastAsia" w:ascii="宋体" w:hAnsi="宋体" w:cs="宋体"/>
                <w:color w:val="auto"/>
                <w:kern w:val="2"/>
                <w:highlight w:val="none"/>
                <w:lang w:val="en-US" w:eastAsia="zh-CN"/>
              </w:rPr>
            </w:pPr>
            <w:r>
              <w:rPr>
                <w:rFonts w:hint="eastAsia" w:ascii="宋体" w:hAnsi="宋体" w:eastAsia="宋体" w:cs="宋体"/>
                <w:color w:val="auto"/>
                <w:sz w:val="24"/>
                <w:szCs w:val="24"/>
                <w:lang w:val="en-US" w:eastAsia="zh-CN"/>
              </w:rPr>
              <w:t>供货周期：合同签订后20个工作日内供货安装调试验收完毕</w:t>
            </w:r>
          </w:p>
          <w:p>
            <w:pPr>
              <w:pStyle w:val="39"/>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kern w:val="2"/>
                <w:lang w:val="en-US" w:eastAsia="zh-CN"/>
              </w:rPr>
            </w:pPr>
            <w:r>
              <w:rPr>
                <w:rFonts w:hint="eastAsia" w:ascii="宋体" w:hAnsi="宋体" w:cs="宋体"/>
                <w:color w:val="auto"/>
                <w:kern w:val="2"/>
                <w:lang w:val="en-US" w:eastAsia="zh-CN"/>
              </w:rPr>
              <w:t>支付方式</w:t>
            </w:r>
            <w:r>
              <w:rPr>
                <w:rFonts w:hint="eastAsia" w:ascii="宋体" w:hAnsi="宋体" w:cs="宋体"/>
                <w:color w:val="auto"/>
                <w:kern w:val="2"/>
                <w:lang w:eastAsia="zh-CN"/>
              </w:rPr>
              <w:t>：具体以签订合同为准</w:t>
            </w:r>
          </w:p>
        </w:tc>
      </w:tr>
      <w:tr>
        <w:tblPrEx>
          <w:tblCellMar>
            <w:top w:w="0" w:type="dxa"/>
            <w:left w:w="108" w:type="dxa"/>
            <w:bottom w:w="0" w:type="dxa"/>
            <w:right w:w="108" w:type="dxa"/>
          </w:tblCellMar>
        </w:tblPrEx>
        <w:trPr>
          <w:trHeight w:val="932" w:hRule="exact"/>
          <w:jc w:val="center"/>
        </w:trPr>
        <w:tc>
          <w:tcPr>
            <w:tcW w:w="1063" w:type="dxa"/>
            <w:vMerge w:val="restart"/>
            <w:tcBorders>
              <w:top w:val="single" w:color="auto" w:sz="12" w:space="0"/>
              <w:left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8</w:t>
            </w:r>
          </w:p>
        </w:tc>
        <w:tc>
          <w:tcPr>
            <w:tcW w:w="9567" w:type="dxa"/>
            <w:tcBorders>
              <w:top w:val="single" w:color="auto" w:sz="12" w:space="0"/>
              <w:left w:val="single" w:color="auto" w:sz="12" w:space="0"/>
              <w:bottom w:val="single" w:color="auto" w:sz="4" w:space="0"/>
              <w:right w:val="single" w:color="auto" w:sz="12" w:space="0"/>
            </w:tcBorders>
            <w:vAlign w:val="center"/>
          </w:tcPr>
          <w:p>
            <w:pPr>
              <w:pageBreakBefore w:val="0"/>
              <w:tabs>
                <w:tab w:val="center" w:pos="4422"/>
                <w:tab w:val="left" w:pos="7920"/>
              </w:tabs>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1、给予小型和微型企业产品的价格给予6%的扣除，用扣除后的价格参与评审。</w:t>
            </w:r>
          </w:p>
        </w:tc>
      </w:tr>
      <w:tr>
        <w:tblPrEx>
          <w:tblCellMar>
            <w:top w:w="0" w:type="dxa"/>
            <w:left w:w="108" w:type="dxa"/>
            <w:bottom w:w="0" w:type="dxa"/>
            <w:right w:w="108" w:type="dxa"/>
          </w:tblCellMar>
        </w:tblPrEx>
        <w:trPr>
          <w:trHeight w:val="888" w:hRule="exact"/>
          <w:jc w:val="center"/>
        </w:trPr>
        <w:tc>
          <w:tcPr>
            <w:tcW w:w="1063" w:type="dxa"/>
            <w:vMerge w:val="continue"/>
            <w:tcBorders>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p>
        </w:tc>
        <w:tc>
          <w:tcPr>
            <w:tcW w:w="9567" w:type="dxa"/>
            <w:tcBorders>
              <w:top w:val="single" w:color="auto" w:sz="4" w:space="0"/>
              <w:left w:val="single" w:color="auto" w:sz="12" w:space="0"/>
              <w:bottom w:val="single" w:color="auto" w:sz="12" w:space="0"/>
              <w:right w:val="single" w:color="auto" w:sz="12" w:space="0"/>
            </w:tcBorders>
            <w:vAlign w:val="center"/>
          </w:tcPr>
          <w:p>
            <w:pPr>
              <w:pageBreakBefore w:val="0"/>
              <w:tabs>
                <w:tab w:val="center" w:pos="4422"/>
                <w:tab w:val="left" w:pos="7920"/>
              </w:tabs>
              <w:kinsoku/>
              <w:wordWrap/>
              <w:overflowPunct/>
              <w:topLinePunct w:val="0"/>
              <w:bidi w:val="0"/>
              <w:adjustRightInd w:val="0"/>
              <w:snapToGrid w:val="0"/>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829"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9</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cs="宋体"/>
                <w:color w:val="auto"/>
                <w:kern w:val="2"/>
                <w:lang w:eastAsia="zh-CN"/>
              </w:rPr>
              <w:t>投标文件</w:t>
            </w:r>
            <w:r>
              <w:rPr>
                <w:rFonts w:hint="eastAsia" w:ascii="宋体" w:hAnsi="宋体" w:eastAsia="宋体" w:cs="宋体"/>
                <w:color w:val="auto"/>
                <w:kern w:val="2"/>
              </w:rPr>
              <w:t>递交至：乌鲁木齐市天山区东泉路 1568 号世界冠郡一期 9 号底商住宅楼商</w:t>
            </w:r>
          </w:p>
          <w:p>
            <w:pPr>
              <w:pStyle w:val="3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2"/>
              </w:rPr>
              <w:t>业 107 室</w:t>
            </w:r>
            <w:r>
              <w:rPr>
                <w:rFonts w:hint="eastAsia" w:ascii="宋体" w:hAnsi="宋体" w:eastAsia="宋体" w:cs="宋体"/>
                <w:color w:val="auto"/>
                <w:kern w:val="2"/>
                <w:lang w:eastAsia="zh-CN"/>
              </w:rPr>
              <w:t>二层会议室</w:t>
            </w:r>
          </w:p>
          <w:p>
            <w:pPr>
              <w:pStyle w:val="3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p>
        </w:tc>
      </w:tr>
      <w:tr>
        <w:tblPrEx>
          <w:tblCellMar>
            <w:top w:w="0" w:type="dxa"/>
            <w:left w:w="108" w:type="dxa"/>
            <w:bottom w:w="0" w:type="dxa"/>
            <w:right w:w="108" w:type="dxa"/>
          </w:tblCellMar>
        </w:tblPrEx>
        <w:trPr>
          <w:trHeight w:val="651"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10</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kern w:val="2"/>
              </w:rPr>
              <w:t>开标时间:</w:t>
            </w:r>
            <w:r>
              <w:rPr>
                <w:rFonts w:hint="eastAsia" w:ascii="宋体" w:hAnsi="宋体" w:cs="宋体"/>
                <w:color w:val="auto"/>
                <w:kern w:val="2"/>
                <w:lang w:eastAsia="zh-CN"/>
              </w:rPr>
              <w:t>202</w:t>
            </w:r>
            <w:r>
              <w:rPr>
                <w:rFonts w:hint="eastAsia" w:ascii="宋体" w:hAnsi="宋体" w:cs="宋体"/>
                <w:color w:val="auto"/>
                <w:kern w:val="2"/>
                <w:lang w:val="en-US" w:eastAsia="zh-CN"/>
              </w:rPr>
              <w:t>2</w:t>
            </w:r>
            <w:r>
              <w:rPr>
                <w:rFonts w:hint="eastAsia" w:ascii="宋体" w:hAnsi="宋体" w:cs="宋体"/>
                <w:color w:val="auto"/>
                <w:kern w:val="2"/>
                <w:lang w:eastAsia="zh-CN"/>
              </w:rPr>
              <w:t>年</w:t>
            </w:r>
            <w:r>
              <w:rPr>
                <w:rFonts w:hint="eastAsia" w:ascii="宋体" w:hAnsi="宋体" w:cs="宋体"/>
                <w:color w:val="auto"/>
                <w:kern w:val="2"/>
                <w:lang w:val="en-US" w:eastAsia="zh-CN"/>
              </w:rPr>
              <w:t>05</w:t>
            </w:r>
            <w:r>
              <w:rPr>
                <w:rFonts w:hint="eastAsia" w:ascii="宋体" w:hAnsi="宋体" w:cs="宋体"/>
                <w:color w:val="auto"/>
                <w:kern w:val="2"/>
                <w:lang w:eastAsia="zh-CN"/>
              </w:rPr>
              <w:t>月</w:t>
            </w:r>
            <w:r>
              <w:rPr>
                <w:rFonts w:hint="eastAsia" w:ascii="宋体" w:hAnsi="宋体" w:cs="宋体"/>
                <w:color w:val="auto"/>
                <w:kern w:val="2"/>
                <w:lang w:val="en-US" w:eastAsia="zh-CN"/>
              </w:rPr>
              <w:t>16</w:t>
            </w:r>
            <w:r>
              <w:rPr>
                <w:rFonts w:hint="eastAsia" w:ascii="宋体" w:hAnsi="宋体" w:cs="宋体"/>
                <w:color w:val="auto"/>
                <w:kern w:val="2"/>
                <w:lang w:eastAsia="zh-CN"/>
              </w:rPr>
              <w:t>日1</w:t>
            </w:r>
            <w:r>
              <w:rPr>
                <w:rFonts w:hint="eastAsia" w:ascii="宋体" w:hAnsi="宋体" w:cs="宋体"/>
                <w:color w:val="auto"/>
                <w:kern w:val="2"/>
                <w:lang w:val="en-US" w:eastAsia="zh-CN"/>
              </w:rPr>
              <w:t>6</w:t>
            </w:r>
            <w:r>
              <w:rPr>
                <w:rFonts w:hint="eastAsia" w:ascii="宋体" w:hAnsi="宋体" w:cs="宋体"/>
                <w:color w:val="auto"/>
                <w:kern w:val="2"/>
                <w:lang w:eastAsia="zh-CN"/>
              </w:rPr>
              <w:t>:00</w:t>
            </w:r>
            <w:r>
              <w:rPr>
                <w:rFonts w:hint="eastAsia" w:ascii="宋体" w:hAnsi="宋体" w:eastAsia="宋体" w:cs="宋体"/>
                <w:color w:val="auto"/>
                <w:kern w:val="2"/>
              </w:rPr>
              <w:t>（北京时间）</w:t>
            </w:r>
          </w:p>
        </w:tc>
      </w:tr>
      <w:tr>
        <w:tblPrEx>
          <w:tblCellMar>
            <w:top w:w="0" w:type="dxa"/>
            <w:left w:w="108" w:type="dxa"/>
            <w:bottom w:w="0" w:type="dxa"/>
            <w:right w:w="108" w:type="dxa"/>
          </w:tblCellMar>
        </w:tblPrEx>
        <w:trPr>
          <w:trHeight w:val="791"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11</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left="1200" w:hanging="1200" w:hangingChars="500"/>
              <w:jc w:val="both"/>
              <w:textAlignment w:val="auto"/>
              <w:rPr>
                <w:rFonts w:hint="eastAsia" w:ascii="宋体" w:hAnsi="宋体" w:eastAsia="宋体" w:cs="宋体"/>
                <w:color w:val="auto"/>
                <w:kern w:val="2"/>
              </w:rPr>
            </w:pPr>
            <w:r>
              <w:rPr>
                <w:rFonts w:hint="eastAsia" w:ascii="宋体" w:hAnsi="宋体" w:eastAsia="宋体" w:cs="宋体"/>
                <w:color w:val="auto"/>
                <w:kern w:val="2"/>
              </w:rPr>
              <w:t>开标地点：乌鲁木齐市天山区东泉路 1568 号世界冠郡一期 9 号底商住宅楼商业 107 室</w:t>
            </w:r>
            <w:r>
              <w:rPr>
                <w:rFonts w:hint="eastAsia" w:ascii="宋体" w:hAnsi="宋体" w:eastAsia="宋体" w:cs="宋体"/>
                <w:color w:val="auto"/>
                <w:kern w:val="2"/>
                <w:lang w:eastAsia="zh-CN"/>
              </w:rPr>
              <w:t>二层会议室</w:t>
            </w:r>
          </w:p>
        </w:tc>
      </w:tr>
      <w:tr>
        <w:tblPrEx>
          <w:tblCellMar>
            <w:top w:w="0" w:type="dxa"/>
            <w:left w:w="108" w:type="dxa"/>
            <w:bottom w:w="0" w:type="dxa"/>
            <w:right w:w="108" w:type="dxa"/>
          </w:tblCellMar>
        </w:tblPrEx>
        <w:trPr>
          <w:trHeight w:val="3335"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color w:val="auto"/>
                <w:kern w:val="2"/>
              </w:rPr>
            </w:pPr>
            <w:r>
              <w:rPr>
                <w:rFonts w:hint="eastAsia" w:ascii="宋体" w:hAnsi="宋体" w:eastAsia="宋体" w:cs="宋体"/>
                <w:color w:val="auto"/>
                <w:kern w:val="2"/>
              </w:rPr>
              <w:t>12</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eastAsia="宋体" w:cs="宋体"/>
                <w:color w:val="auto"/>
              </w:rPr>
              <w:t>信用信息查询：</w:t>
            </w:r>
          </w:p>
          <w:p>
            <w:pPr>
              <w:pStyle w:val="39"/>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color w:val="auto"/>
                <w:kern w:val="2"/>
              </w:rPr>
            </w:pPr>
            <w:r>
              <w:rPr>
                <w:rFonts w:hint="eastAsia" w:ascii="宋体" w:hAnsi="宋体" w:eastAsia="宋体" w:cs="宋体"/>
                <w:color w:val="auto"/>
              </w:rPr>
              <w:t>根据《财政部关于在政府采购活动中查询及使用信用记录有关问题的通知》（财库〔2016〕125 号）规定，投标截止时间后，采购人或采购代理机构将通过“信用中国”网站(www.creditchina.gov.cn)、中国政府采购网(www.ccgp.gov.cn)，对</w:t>
            </w:r>
            <w:r>
              <w:rPr>
                <w:rFonts w:hint="eastAsia" w:ascii="宋体" w:hAnsi="宋体" w:cs="宋体"/>
                <w:color w:val="auto"/>
                <w:lang w:eastAsia="zh-CN"/>
              </w:rPr>
              <w:t>供应商</w:t>
            </w:r>
            <w:r>
              <w:rPr>
                <w:rFonts w:hint="eastAsia" w:ascii="宋体" w:hAnsi="宋体" w:eastAsia="宋体" w:cs="宋体"/>
                <w:color w:val="auto"/>
              </w:rPr>
              <w:t>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CellMar>
            <w:top w:w="0" w:type="dxa"/>
            <w:left w:w="108" w:type="dxa"/>
            <w:bottom w:w="0" w:type="dxa"/>
            <w:right w:w="108" w:type="dxa"/>
          </w:tblCellMar>
        </w:tblPrEx>
        <w:trPr>
          <w:trHeight w:val="2899"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360" w:firstLineChars="150"/>
              <w:textAlignment w:val="auto"/>
              <w:rPr>
                <w:rFonts w:hint="eastAsia" w:ascii="宋体" w:hAnsi="宋体" w:eastAsia="宋体" w:cs="宋体"/>
                <w:b/>
                <w:color w:val="auto"/>
                <w:kern w:val="2"/>
                <w:lang w:eastAsia="zh-CN"/>
              </w:rPr>
            </w:pPr>
            <w:r>
              <w:rPr>
                <w:rFonts w:hint="eastAsia" w:ascii="宋体" w:hAnsi="宋体" w:eastAsia="宋体" w:cs="宋体"/>
                <w:b w:val="0"/>
                <w:bCs/>
                <w:color w:val="auto"/>
                <w:kern w:val="2"/>
              </w:rPr>
              <w:t>1</w:t>
            </w:r>
            <w:r>
              <w:rPr>
                <w:rFonts w:hint="eastAsia" w:ascii="宋体" w:hAnsi="宋体" w:cs="宋体"/>
                <w:b w:val="0"/>
                <w:bCs/>
                <w:color w:val="auto"/>
                <w:kern w:val="2"/>
                <w:lang w:val="en-US" w:eastAsia="zh-CN"/>
              </w:rPr>
              <w:t>3</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开标时须携带：</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1、投标企业有效的营业执照（副）本原件；</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2、法人参加的需提供：法定代表人身份证（原件）、法定代表人资格证明书（原件）；</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3、法人授权委托人参加的需提供：授权委托人身份证（原件）、法人代表授权委托书（原件）。</w:t>
            </w:r>
          </w:p>
          <w:p>
            <w:pPr>
              <w:pStyle w:val="25"/>
              <w:ind w:left="0" w:leftChars="0" w:firstLine="0" w:firstLineChars="0"/>
              <w:rPr>
                <w:rFonts w:hint="default"/>
                <w:lang w:val="en-US" w:eastAsia="zh-CN"/>
              </w:rPr>
            </w:pPr>
            <w:r>
              <w:rPr>
                <w:rFonts w:hint="eastAsia" w:ascii="宋体" w:hAnsi="宋体" w:eastAsia="宋体" w:cs="宋体"/>
                <w:b/>
                <w:bCs w:val="0"/>
                <w:color w:val="auto"/>
                <w:sz w:val="24"/>
                <w:szCs w:val="24"/>
                <w:lang w:val="en-US" w:eastAsia="zh-CN"/>
              </w:rPr>
              <w:t>4、投保保证金收据原件。</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color w:val="auto"/>
                <w:sz w:val="24"/>
                <w:szCs w:val="24"/>
              </w:rPr>
            </w:pPr>
            <w:r>
              <w:rPr>
                <w:rFonts w:hint="eastAsia" w:ascii="宋体" w:hAnsi="宋体" w:eastAsia="宋体" w:cs="宋体"/>
                <w:b/>
                <w:bCs w:val="0"/>
                <w:color w:val="auto"/>
                <w:sz w:val="24"/>
                <w:szCs w:val="24"/>
              </w:rPr>
              <w:t>注：无法提供以上资料的</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为无效</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，其</w:t>
            </w:r>
            <w:r>
              <w:rPr>
                <w:rFonts w:hint="eastAsia" w:ascii="宋体" w:hAnsi="宋体" w:eastAsia="宋体" w:cs="宋体"/>
                <w:b/>
                <w:bCs w:val="0"/>
                <w:color w:val="auto"/>
                <w:sz w:val="24"/>
                <w:szCs w:val="24"/>
                <w:lang w:eastAsia="zh-CN"/>
              </w:rPr>
              <w:t>投标文件</w:t>
            </w:r>
            <w:r>
              <w:rPr>
                <w:rFonts w:hint="eastAsia" w:ascii="宋体" w:hAnsi="宋体" w:eastAsia="宋体" w:cs="宋体"/>
                <w:b/>
                <w:bCs w:val="0"/>
                <w:color w:val="auto"/>
                <w:sz w:val="24"/>
                <w:szCs w:val="24"/>
              </w:rPr>
              <w:t>不予开封并退回</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w:t>
            </w:r>
          </w:p>
        </w:tc>
      </w:tr>
      <w:tr>
        <w:tblPrEx>
          <w:tblCellMar>
            <w:top w:w="0" w:type="dxa"/>
            <w:left w:w="108" w:type="dxa"/>
            <w:bottom w:w="0" w:type="dxa"/>
            <w:right w:w="108" w:type="dxa"/>
          </w:tblCellMar>
        </w:tblPrEx>
        <w:trPr>
          <w:trHeight w:val="684"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eastAsia="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14</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本项目不接受联合体投标</w:t>
            </w:r>
          </w:p>
        </w:tc>
      </w:tr>
      <w:tr>
        <w:tblPrEx>
          <w:tblCellMar>
            <w:top w:w="0" w:type="dxa"/>
            <w:left w:w="108" w:type="dxa"/>
            <w:bottom w:w="0" w:type="dxa"/>
            <w:right w:w="108" w:type="dxa"/>
          </w:tblCellMar>
        </w:tblPrEx>
        <w:trPr>
          <w:trHeight w:val="684"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15</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现场勘察：否</w:t>
            </w:r>
          </w:p>
        </w:tc>
      </w:tr>
      <w:tr>
        <w:tblPrEx>
          <w:tblCellMar>
            <w:top w:w="0" w:type="dxa"/>
            <w:left w:w="108" w:type="dxa"/>
            <w:bottom w:w="0" w:type="dxa"/>
            <w:right w:w="108" w:type="dxa"/>
          </w:tblCellMar>
        </w:tblPrEx>
        <w:trPr>
          <w:trHeight w:val="684"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16</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widowControl/>
              <w:kinsoku/>
              <w:wordWrap/>
              <w:overflowPunct/>
              <w:topLinePunct w:val="0"/>
              <w:bidi w:val="0"/>
              <w:adjustRightInd w:val="0"/>
              <w:snapToGrid w:val="0"/>
              <w:spacing w:line="400" w:lineRule="exact"/>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投标前答疑会：否</w:t>
            </w:r>
          </w:p>
        </w:tc>
      </w:tr>
      <w:tr>
        <w:tblPrEx>
          <w:tblCellMar>
            <w:top w:w="0" w:type="dxa"/>
            <w:left w:w="108" w:type="dxa"/>
            <w:bottom w:w="0" w:type="dxa"/>
            <w:right w:w="108" w:type="dxa"/>
          </w:tblCellMar>
        </w:tblPrEx>
        <w:trPr>
          <w:trHeight w:val="2766"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17</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9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投标文件</w:t>
            </w:r>
            <w:r>
              <w:rPr>
                <w:rFonts w:hint="eastAsia" w:ascii="宋体" w:hAnsi="宋体" w:eastAsia="宋体" w:cs="宋体"/>
                <w:bCs/>
                <w:color w:val="auto"/>
                <w:spacing w:val="0"/>
                <w:sz w:val="24"/>
                <w:szCs w:val="24"/>
              </w:rPr>
              <w:t>的签字和盖章</w:t>
            </w:r>
            <w:r>
              <w:rPr>
                <w:rFonts w:hint="eastAsia" w:ascii="宋体" w:hAnsi="宋体" w:eastAsia="宋体" w:cs="宋体"/>
                <w:bCs/>
                <w:color w:val="auto"/>
                <w:spacing w:val="0"/>
                <w:sz w:val="24"/>
                <w:szCs w:val="24"/>
                <w:lang w:eastAsia="zh-CN"/>
              </w:rPr>
              <w:t>：</w:t>
            </w:r>
          </w:p>
          <w:p>
            <w:pPr>
              <w:pStyle w:val="90"/>
              <w:pageBreakBefore w:val="0"/>
              <w:kinsoku/>
              <w:wordWrap/>
              <w:overflowPunct/>
              <w:topLinePunct w:val="0"/>
              <w:bidi w:val="0"/>
              <w:adjustRightInd w:val="0"/>
              <w:snapToGrid w:val="0"/>
              <w:spacing w:line="400" w:lineRule="exact"/>
              <w:jc w:val="left"/>
              <w:textAlignment w:val="auto"/>
              <w:rPr>
                <w:rFonts w:ascii="宋体" w:hAnsi="宋体" w:eastAsia="宋体" w:cs="宋体"/>
                <w:bCs/>
                <w:color w:val="auto"/>
                <w:spacing w:val="0"/>
                <w:sz w:val="24"/>
                <w:szCs w:val="24"/>
              </w:rPr>
            </w:pPr>
            <w:r>
              <w:rPr>
                <w:rFonts w:hint="eastAsia" w:ascii="宋体" w:hAnsi="宋体" w:eastAsia="宋体" w:cs="宋体"/>
                <w:bCs/>
                <w:color w:val="auto"/>
                <w:spacing w:val="0"/>
                <w:sz w:val="24"/>
                <w:szCs w:val="24"/>
              </w:rPr>
              <w:t>1.所有要求法定代表人和其委托代理人签字或印章的地方都应用不褪色的黑色墨水签字笔由本人亲笔手写签字或印章。</w:t>
            </w:r>
          </w:p>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Cs/>
                <w:color w:val="auto"/>
                <w:spacing w:val="0"/>
                <w:sz w:val="24"/>
                <w:szCs w:val="24"/>
              </w:rPr>
              <w:t>2.</w:t>
            </w:r>
            <w:r>
              <w:rPr>
                <w:rFonts w:hint="eastAsia" w:ascii="宋体" w:hAnsi="宋体" w:eastAsia="宋体" w:cs="宋体"/>
                <w:bCs/>
                <w:color w:val="auto"/>
                <w:spacing w:val="0"/>
                <w:sz w:val="24"/>
                <w:szCs w:val="24"/>
                <w:lang w:eastAsia="zh-CN"/>
              </w:rPr>
              <w:t>供应商</w:t>
            </w:r>
            <w:r>
              <w:rPr>
                <w:rFonts w:hint="eastAsia" w:ascii="宋体" w:hAnsi="宋体" w:eastAsia="宋体" w:cs="宋体"/>
                <w:bCs/>
                <w:color w:val="auto"/>
                <w:spacing w:val="0"/>
                <w:sz w:val="24"/>
                <w:szCs w:val="24"/>
              </w:rPr>
              <w:t>在</w:t>
            </w:r>
            <w:r>
              <w:rPr>
                <w:rFonts w:hint="eastAsia" w:ascii="宋体" w:hAnsi="宋体" w:eastAsia="宋体" w:cs="宋体"/>
                <w:bCs/>
                <w:color w:val="auto"/>
                <w:spacing w:val="0"/>
                <w:sz w:val="24"/>
                <w:szCs w:val="24"/>
                <w:lang w:eastAsia="zh-CN"/>
              </w:rPr>
              <w:t>投标文件</w:t>
            </w:r>
            <w:r>
              <w:rPr>
                <w:rFonts w:hint="eastAsia" w:ascii="宋体" w:hAnsi="宋体" w:eastAsia="宋体" w:cs="宋体"/>
                <w:bCs/>
                <w:color w:val="auto"/>
                <w:spacing w:val="0"/>
                <w:sz w:val="24"/>
                <w:szCs w:val="24"/>
              </w:rPr>
              <w:t>及相关文件的签订、履行、通知等事项书面文件中的“单位公章”、“单位章”和“公章”处均仅指与当事人名称全称相一致的标准公章，不得使用其他形式（如带有“专用章”、“合同章”、“财务章”、“业务章”等字样）的印章。</w:t>
            </w:r>
          </w:p>
        </w:tc>
      </w:tr>
      <w:tr>
        <w:tblPrEx>
          <w:tblCellMar>
            <w:top w:w="0" w:type="dxa"/>
            <w:left w:w="108" w:type="dxa"/>
            <w:bottom w:w="0" w:type="dxa"/>
            <w:right w:w="108" w:type="dxa"/>
          </w:tblCellMar>
        </w:tblPrEx>
        <w:trPr>
          <w:trHeight w:val="1842"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i w:val="0"/>
                <w:iCs w:val="0"/>
                <w:color w:val="auto"/>
                <w:kern w:val="2"/>
                <w:lang w:val="en-US" w:eastAsia="zh-CN"/>
              </w:rPr>
              <w:t>18</w:t>
            </w:r>
          </w:p>
        </w:tc>
        <w:tc>
          <w:tcPr>
            <w:tcW w:w="9567" w:type="dxa"/>
            <w:tcBorders>
              <w:top w:val="single" w:color="auto" w:sz="12" w:space="0"/>
              <w:left w:val="single" w:color="auto" w:sz="12" w:space="0"/>
              <w:bottom w:val="single" w:color="auto" w:sz="12" w:space="0"/>
              <w:right w:val="single" w:color="auto" w:sz="12" w:space="0"/>
            </w:tcBorders>
            <w:vAlign w:val="center"/>
          </w:tcPr>
          <w:p>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的标识</w:t>
            </w:r>
            <w:r>
              <w:rPr>
                <w:rFonts w:hint="eastAsia" w:ascii="宋体" w:hAnsi="宋体" w:eastAsia="宋体" w:cs="宋体"/>
                <w:color w:val="auto"/>
                <w:sz w:val="24"/>
                <w:szCs w:val="24"/>
                <w:lang w:eastAsia="zh-CN"/>
              </w:rPr>
              <w:t>：</w:t>
            </w:r>
          </w:p>
          <w:p>
            <w:pPr>
              <w:pStyle w:val="10"/>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ascii="宋体" w:hAnsi="宋体" w:eastAsia="宋体" w:cs="宋体"/>
                <w:bCs/>
                <w:color w:val="auto"/>
                <w:spacing w:val="0"/>
                <w:sz w:val="24"/>
                <w:szCs w:val="24"/>
              </w:rPr>
              <w:t>在</w:t>
            </w:r>
            <w:r>
              <w:rPr>
                <w:rFonts w:hint="eastAsia" w:ascii="宋体" w:hAnsi="宋体" w:eastAsia="宋体" w:cs="宋体"/>
                <w:bCs/>
                <w:color w:val="auto"/>
                <w:spacing w:val="0"/>
                <w:sz w:val="24"/>
                <w:szCs w:val="24"/>
                <w:lang w:eastAsia="zh-CN"/>
              </w:rPr>
              <w:t>投标文件</w:t>
            </w:r>
            <w:r>
              <w:rPr>
                <w:rFonts w:hint="eastAsia" w:ascii="宋体" w:hAnsi="宋体" w:eastAsia="宋体" w:cs="宋体"/>
                <w:bCs/>
                <w:color w:val="auto"/>
                <w:spacing w:val="0"/>
                <w:sz w:val="24"/>
                <w:szCs w:val="24"/>
              </w:rPr>
              <w:t>的封套上应清楚地标记“</w:t>
            </w:r>
            <w:r>
              <w:rPr>
                <w:rFonts w:hint="eastAsia" w:ascii="宋体" w:hAnsi="宋体" w:eastAsia="宋体" w:cs="宋体"/>
                <w:bCs/>
                <w:color w:val="auto"/>
                <w:spacing w:val="0"/>
                <w:sz w:val="24"/>
                <w:szCs w:val="24"/>
                <w:lang w:eastAsia="zh-CN"/>
              </w:rPr>
              <w:t>投标文件</w:t>
            </w:r>
            <w:r>
              <w:rPr>
                <w:rFonts w:hint="eastAsia" w:ascii="宋体" w:hAnsi="宋体" w:eastAsia="宋体" w:cs="宋体"/>
                <w:bCs/>
                <w:color w:val="auto"/>
                <w:spacing w:val="0"/>
                <w:sz w:val="24"/>
                <w:szCs w:val="24"/>
              </w:rPr>
              <w:t>”等字样，封套还应标明项目名称以及</w:t>
            </w:r>
            <w:r>
              <w:rPr>
                <w:rFonts w:hint="eastAsia" w:ascii="宋体" w:hAnsi="宋体" w:eastAsia="宋体" w:cs="宋体"/>
                <w:bCs/>
                <w:color w:val="auto"/>
                <w:spacing w:val="0"/>
                <w:sz w:val="24"/>
                <w:szCs w:val="24"/>
                <w:lang w:eastAsia="zh-CN"/>
              </w:rPr>
              <w:t>供应商</w:t>
            </w:r>
            <w:r>
              <w:rPr>
                <w:rFonts w:hint="eastAsia" w:ascii="宋体" w:hAnsi="宋体" w:eastAsia="宋体" w:cs="宋体"/>
                <w:bCs/>
                <w:color w:val="auto"/>
                <w:spacing w:val="0"/>
                <w:sz w:val="24"/>
                <w:szCs w:val="24"/>
              </w:rPr>
              <w:t>名称、</w:t>
            </w:r>
            <w:r>
              <w:rPr>
                <w:rFonts w:hint="eastAsia" w:ascii="宋体" w:hAnsi="宋体" w:eastAsia="宋体" w:cs="宋体"/>
                <w:bCs/>
                <w:color w:val="auto"/>
                <w:spacing w:val="0"/>
                <w:sz w:val="24"/>
                <w:szCs w:val="24"/>
                <w:lang w:eastAsia="zh-CN"/>
              </w:rPr>
              <w:t>供应商</w:t>
            </w:r>
            <w:r>
              <w:rPr>
                <w:rFonts w:hint="eastAsia" w:ascii="宋体" w:hAnsi="宋体" w:eastAsia="宋体" w:cs="宋体"/>
                <w:bCs/>
                <w:color w:val="auto"/>
                <w:spacing w:val="0"/>
                <w:sz w:val="24"/>
                <w:szCs w:val="24"/>
              </w:rPr>
              <w:t>地址等；在所有封签处标注“请勿在</w:t>
            </w:r>
            <w:r>
              <w:rPr>
                <w:rFonts w:hint="eastAsia" w:ascii="宋体" w:hAnsi="宋体" w:eastAsia="宋体" w:cs="宋体"/>
                <w:bCs/>
                <w:color w:val="auto"/>
                <w:spacing w:val="0"/>
                <w:sz w:val="24"/>
                <w:szCs w:val="24"/>
                <w:lang w:val="en-US" w:eastAsia="zh-CN"/>
              </w:rPr>
              <w:t>2022</w:t>
            </w:r>
            <w:r>
              <w:rPr>
                <w:rFonts w:hint="eastAsia" w:ascii="宋体" w:hAnsi="宋体" w:eastAsia="宋体" w:cs="宋体"/>
                <w:bCs/>
                <w:color w:val="auto"/>
                <w:spacing w:val="0"/>
                <w:sz w:val="24"/>
                <w:szCs w:val="24"/>
              </w:rPr>
              <w:t>年</w:t>
            </w:r>
            <w:r>
              <w:rPr>
                <w:rFonts w:hint="eastAsia" w:ascii="宋体" w:hAnsi="宋体" w:eastAsia="宋体" w:cs="宋体"/>
                <w:bCs/>
                <w:color w:val="auto"/>
                <w:spacing w:val="0"/>
                <w:sz w:val="24"/>
                <w:szCs w:val="24"/>
                <w:lang w:val="en-US" w:eastAsia="zh-CN"/>
              </w:rPr>
              <w:t>05</w:t>
            </w:r>
            <w:r>
              <w:rPr>
                <w:rFonts w:hint="eastAsia" w:ascii="宋体" w:hAnsi="宋体" w:eastAsia="宋体" w:cs="宋体"/>
                <w:bCs/>
                <w:color w:val="auto"/>
                <w:spacing w:val="0"/>
                <w:sz w:val="24"/>
                <w:szCs w:val="24"/>
              </w:rPr>
              <w:t>月</w:t>
            </w:r>
            <w:r>
              <w:rPr>
                <w:rFonts w:hint="eastAsia" w:ascii="宋体" w:hAnsi="宋体" w:eastAsia="宋体" w:cs="宋体"/>
                <w:bCs/>
                <w:color w:val="auto"/>
                <w:spacing w:val="0"/>
                <w:sz w:val="24"/>
                <w:szCs w:val="24"/>
                <w:lang w:val="en-US" w:eastAsia="zh-CN"/>
              </w:rPr>
              <w:t>16</w:t>
            </w:r>
            <w:r>
              <w:rPr>
                <w:rFonts w:hint="eastAsia" w:ascii="宋体" w:hAnsi="宋体" w:eastAsia="宋体" w:cs="宋体"/>
                <w:bCs/>
                <w:color w:val="auto"/>
                <w:spacing w:val="0"/>
                <w:sz w:val="24"/>
                <w:szCs w:val="24"/>
              </w:rPr>
              <w:t>日</w:t>
            </w:r>
            <w:r>
              <w:rPr>
                <w:rFonts w:hint="eastAsia" w:ascii="宋体" w:hAnsi="宋体" w:eastAsia="宋体" w:cs="宋体"/>
                <w:bCs/>
                <w:color w:val="auto"/>
                <w:spacing w:val="0"/>
                <w:sz w:val="24"/>
                <w:szCs w:val="24"/>
                <w:lang w:val="en-US" w:eastAsia="zh-CN"/>
              </w:rPr>
              <w:t>16</w:t>
            </w:r>
            <w:r>
              <w:rPr>
                <w:rFonts w:hint="eastAsia" w:ascii="宋体" w:hAnsi="宋体" w:eastAsia="宋体" w:cs="宋体"/>
                <w:bCs/>
                <w:color w:val="auto"/>
                <w:spacing w:val="0"/>
                <w:sz w:val="24"/>
                <w:szCs w:val="24"/>
              </w:rPr>
              <w:t>时00分（北京时间）之前启封”字样（上述时间为提交</w:t>
            </w:r>
            <w:r>
              <w:rPr>
                <w:rFonts w:hint="eastAsia" w:ascii="宋体" w:hAnsi="宋体" w:eastAsia="宋体" w:cs="宋体"/>
                <w:bCs/>
                <w:color w:val="auto"/>
                <w:spacing w:val="0"/>
                <w:sz w:val="24"/>
                <w:szCs w:val="24"/>
                <w:lang w:eastAsia="zh-CN"/>
              </w:rPr>
              <w:t>投标文件</w:t>
            </w:r>
            <w:r>
              <w:rPr>
                <w:rFonts w:hint="eastAsia" w:ascii="宋体" w:hAnsi="宋体" w:eastAsia="宋体" w:cs="宋体"/>
                <w:bCs/>
                <w:color w:val="auto"/>
                <w:spacing w:val="0"/>
                <w:sz w:val="24"/>
                <w:szCs w:val="24"/>
              </w:rPr>
              <w:t>的截止时间）</w:t>
            </w:r>
          </w:p>
        </w:tc>
      </w:tr>
      <w:tr>
        <w:tblPrEx>
          <w:tblCellMar>
            <w:top w:w="0" w:type="dxa"/>
            <w:left w:w="108" w:type="dxa"/>
            <w:bottom w:w="0" w:type="dxa"/>
            <w:right w:w="108" w:type="dxa"/>
          </w:tblCellMar>
        </w:tblPrEx>
        <w:trPr>
          <w:trHeight w:val="822"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19</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10"/>
              <w:pageBreakBefore w:val="0"/>
              <w:kinsoku/>
              <w:wordWrap/>
              <w:overflowPunct/>
              <w:topLinePunct w:val="0"/>
              <w:bidi w:val="0"/>
              <w:adjustRightInd w:val="0"/>
              <w:snapToGrid w:val="0"/>
              <w:spacing w:line="400" w:lineRule="exact"/>
              <w:textAlignment w:val="auto"/>
              <w:rPr>
                <w:rFonts w:hint="eastAsia"/>
                <w:color w:val="auto"/>
                <w:lang w:eastAsia="zh-CN"/>
              </w:rPr>
            </w:pPr>
            <w:r>
              <w:rPr>
                <w:rFonts w:hint="eastAsia"/>
                <w:color w:val="auto"/>
              </w:rPr>
              <w:t>签署合同时间</w:t>
            </w:r>
            <w:r>
              <w:rPr>
                <w:rFonts w:hint="eastAsia"/>
                <w:color w:val="auto"/>
                <w:lang w:eastAsia="zh-CN"/>
              </w:rPr>
              <w:t>：</w:t>
            </w:r>
            <w:r>
              <w:rPr>
                <w:rFonts w:hint="eastAsia" w:ascii="宋体" w:hAnsi="宋体" w:eastAsia="宋体" w:cs="宋体"/>
                <w:bCs/>
                <w:color w:val="auto"/>
                <w:spacing w:val="0"/>
                <w:sz w:val="24"/>
                <w:szCs w:val="24"/>
                <w:lang w:val="en-US" w:eastAsia="zh-CN"/>
              </w:rPr>
              <w:t>中标</w:t>
            </w:r>
            <w:r>
              <w:rPr>
                <w:rFonts w:hint="eastAsia" w:ascii="宋体" w:hAnsi="宋体" w:eastAsia="宋体" w:cs="宋体"/>
                <w:bCs/>
                <w:color w:val="auto"/>
                <w:spacing w:val="0"/>
                <w:sz w:val="24"/>
                <w:szCs w:val="24"/>
              </w:rPr>
              <w:t>通知书发出后30日内，中标人与</w:t>
            </w:r>
            <w:r>
              <w:rPr>
                <w:rFonts w:hint="eastAsia" w:ascii="宋体" w:hAnsi="宋体" w:eastAsia="宋体" w:cs="宋体"/>
                <w:bCs/>
                <w:color w:val="auto"/>
                <w:spacing w:val="0"/>
                <w:sz w:val="24"/>
                <w:szCs w:val="24"/>
                <w:lang w:eastAsia="zh-CN"/>
              </w:rPr>
              <w:t>招标</w:t>
            </w:r>
            <w:r>
              <w:rPr>
                <w:rFonts w:hint="eastAsia" w:ascii="宋体" w:hAnsi="宋体" w:eastAsia="宋体" w:cs="宋体"/>
                <w:bCs/>
                <w:color w:val="auto"/>
                <w:spacing w:val="0"/>
                <w:sz w:val="24"/>
                <w:szCs w:val="24"/>
              </w:rPr>
              <w:t>人签署《政府采购合同》</w:t>
            </w:r>
          </w:p>
        </w:tc>
      </w:tr>
      <w:tr>
        <w:tblPrEx>
          <w:tblCellMar>
            <w:top w:w="0" w:type="dxa"/>
            <w:left w:w="108" w:type="dxa"/>
            <w:bottom w:w="0" w:type="dxa"/>
            <w:right w:w="108" w:type="dxa"/>
          </w:tblCellMar>
        </w:tblPrEx>
        <w:trPr>
          <w:trHeight w:val="1800" w:hRule="exact"/>
          <w:jc w:val="center"/>
        </w:trPr>
        <w:tc>
          <w:tcPr>
            <w:tcW w:w="1063" w:type="dxa"/>
            <w:tcBorders>
              <w:top w:val="single" w:color="auto" w:sz="12" w:space="0"/>
              <w:left w:val="single" w:color="auto" w:sz="12" w:space="0"/>
              <w:bottom w:val="single" w:color="auto" w:sz="12" w:space="0"/>
              <w:right w:val="single" w:color="auto" w:sz="12" w:space="0"/>
            </w:tcBorders>
            <w:vAlign w:val="center"/>
          </w:tcPr>
          <w:p>
            <w:pPr>
              <w:pStyle w:val="39"/>
              <w:pageBreakBefore w:val="0"/>
              <w:kinsoku/>
              <w:wordWrap/>
              <w:overflowPunct/>
              <w:topLinePunct w:val="0"/>
              <w:bidi w:val="0"/>
              <w:adjustRightInd w:val="0"/>
              <w:snapToGrid w:val="0"/>
              <w:spacing w:line="400" w:lineRule="exact"/>
              <w:ind w:firstLine="120" w:firstLineChars="50"/>
              <w:textAlignment w:val="auto"/>
              <w:rPr>
                <w:rFonts w:hint="default" w:ascii="宋体" w:hAnsi="宋体" w:cs="宋体"/>
                <w:b/>
                <w:color w:val="auto"/>
                <w:kern w:val="2"/>
                <w:lang w:val="en-US" w:eastAsia="zh-CN"/>
              </w:rPr>
            </w:pPr>
            <w:r>
              <w:rPr>
                <w:rFonts w:hint="eastAsia" w:ascii="宋体" w:hAnsi="宋体" w:cs="宋体"/>
                <w:b/>
                <w:color w:val="auto"/>
                <w:kern w:val="2"/>
                <w:lang w:val="en-US" w:eastAsia="zh-CN"/>
              </w:rPr>
              <w:t xml:space="preserve"> </w:t>
            </w:r>
            <w:r>
              <w:rPr>
                <w:rFonts w:hint="eastAsia" w:ascii="宋体" w:hAnsi="宋体" w:cs="宋体"/>
                <w:b w:val="0"/>
                <w:bCs/>
                <w:color w:val="auto"/>
                <w:kern w:val="2"/>
                <w:lang w:val="en-US" w:eastAsia="zh-CN"/>
              </w:rPr>
              <w:t xml:space="preserve"> 20</w:t>
            </w:r>
          </w:p>
        </w:tc>
        <w:tc>
          <w:tcPr>
            <w:tcW w:w="9567" w:type="dxa"/>
            <w:tcBorders>
              <w:top w:val="single" w:color="auto" w:sz="12" w:space="0"/>
              <w:left w:val="single" w:color="auto" w:sz="12" w:space="0"/>
              <w:bottom w:val="single" w:color="auto" w:sz="12" w:space="0"/>
              <w:right w:val="single" w:color="auto" w:sz="12" w:space="0"/>
            </w:tcBorders>
            <w:vAlign w:val="center"/>
          </w:tcPr>
          <w:p>
            <w:pPr>
              <w:pStyle w:val="10"/>
              <w:pageBreakBefore w:val="0"/>
              <w:kinsoku/>
              <w:wordWrap/>
              <w:overflowPunct/>
              <w:topLinePunct w:val="0"/>
              <w:bidi w:val="0"/>
              <w:adjustRightInd w:val="0"/>
              <w:snapToGrid w:val="0"/>
              <w:spacing w:line="400" w:lineRule="exact"/>
              <w:textAlignment w:val="auto"/>
              <w:rPr>
                <w:rFonts w:hint="eastAsia" w:eastAsiaTheme="minorEastAsia"/>
                <w:lang w:eastAsia="zh-CN"/>
              </w:rPr>
            </w:pPr>
            <w:r>
              <w:rPr>
                <w:rFonts w:hint="eastAsia"/>
              </w:rPr>
              <w:t>招标代理服务费</w:t>
            </w:r>
            <w:r>
              <w:rPr>
                <w:rFonts w:hint="eastAsia"/>
                <w:lang w:eastAsia="zh-CN"/>
              </w:rPr>
              <w:t>：</w:t>
            </w:r>
            <w:r>
              <w:t>根据国家现行收费政策计算本项目招标代理费为：执行国家现行收费标准，以中标金额为计算依据，采用差额定率累进计费方式计算；经双方协商一致</w:t>
            </w:r>
            <w:r>
              <w:rPr>
                <w:rFonts w:hint="eastAsia"/>
              </w:rPr>
              <w:t>：代理机构参考国家发改委发改办价格[2003]857 号、国家计委计价格[2002]1980 号等文件规定，</w:t>
            </w:r>
            <w:r>
              <w:rPr>
                <w:rFonts w:hint="eastAsia"/>
                <w:lang w:eastAsia="zh-CN"/>
              </w:rPr>
              <w:t>由中标单位向招标代理机构支付代理服务费</w:t>
            </w:r>
            <w:r>
              <w:rPr>
                <w:rFonts w:hint="eastAsia"/>
              </w:rPr>
              <w:t>。</w:t>
            </w:r>
          </w:p>
          <w:p>
            <w:pPr>
              <w:rPr>
                <w:rFonts w:hint="eastAsia" w:eastAsia="宋体"/>
                <w:lang w:eastAsia="zh-CN"/>
              </w:rPr>
            </w:pPr>
          </w:p>
        </w:tc>
      </w:tr>
    </w:tbl>
    <w:p>
      <w:pPr>
        <w:pStyle w:val="10"/>
        <w:rPr>
          <w:rFonts w:hint="default"/>
          <w:color w:val="auto"/>
          <w:lang w:val="en-US" w:eastAsia="zh-CN"/>
        </w:rPr>
      </w:pPr>
    </w:p>
    <w:p>
      <w:pPr>
        <w:rPr>
          <w:rFonts w:hint="default"/>
          <w:color w:val="auto"/>
          <w:lang w:val="en-US" w:eastAsia="zh-CN"/>
        </w:rPr>
      </w:pPr>
    </w:p>
    <w:p>
      <w:pPr>
        <w:pStyle w:val="10"/>
        <w:rPr>
          <w:rFonts w:hint="default"/>
          <w:color w:val="auto"/>
          <w:lang w:val="en-US" w:eastAsia="zh-CN"/>
        </w:rPr>
      </w:pPr>
    </w:p>
    <w:p>
      <w:pPr>
        <w:rPr>
          <w:rFonts w:hint="default"/>
          <w:color w:val="auto"/>
          <w:lang w:val="en-US" w:eastAsia="zh-CN"/>
        </w:rPr>
      </w:pPr>
    </w:p>
    <w:p>
      <w:pPr>
        <w:pStyle w:val="10"/>
        <w:rPr>
          <w:rFonts w:hint="default"/>
          <w:color w:val="auto"/>
          <w:lang w:val="en-US" w:eastAsia="zh-CN"/>
        </w:rPr>
      </w:pPr>
    </w:p>
    <w:p>
      <w:pPr>
        <w:ind w:firstLine="482" w:firstLineChars="200"/>
        <w:rPr>
          <w:rFonts w:asciiTheme="majorEastAsia" w:hAnsiTheme="majorEastAsia" w:eastAsiaTheme="majorEastAsia" w:cstheme="majorEastAsia"/>
          <w:b/>
          <w:sz w:val="24"/>
        </w:rPr>
      </w:pPr>
    </w:p>
    <w:p>
      <w:pPr>
        <w:outlineLvl w:val="1"/>
        <w:rPr>
          <w:rFonts w:asciiTheme="majorEastAsia" w:hAnsiTheme="majorEastAsia" w:eastAsiaTheme="majorEastAsia" w:cstheme="majorEastAsia"/>
          <w:b/>
          <w:sz w:val="32"/>
          <w:szCs w:val="32"/>
        </w:rPr>
      </w:pPr>
      <w:bookmarkStart w:id="20" w:name="_Toc21138"/>
    </w:p>
    <w:p>
      <w:pPr>
        <w:ind w:firstLine="643" w:firstLineChars="200"/>
        <w:jc w:val="center"/>
        <w:outlineLvl w:val="1"/>
        <w:rPr>
          <w:rFonts w:asciiTheme="majorEastAsia" w:hAnsiTheme="majorEastAsia" w:eastAsiaTheme="majorEastAsia" w:cstheme="majorEastAsia"/>
          <w:b/>
          <w:sz w:val="32"/>
          <w:szCs w:val="32"/>
        </w:rPr>
      </w:pPr>
      <w:bookmarkStart w:id="21" w:name="_Toc6969"/>
    </w:p>
    <w:p>
      <w:pPr>
        <w:ind w:firstLine="643" w:firstLineChars="200"/>
        <w:jc w:val="center"/>
        <w:outlineLvl w:val="1"/>
        <w:rPr>
          <w:rFonts w:asciiTheme="majorEastAsia" w:hAnsiTheme="majorEastAsia" w:eastAsiaTheme="majorEastAsia" w:cstheme="majorEastAsia"/>
          <w:b/>
          <w:sz w:val="32"/>
          <w:szCs w:val="32"/>
        </w:rPr>
      </w:pPr>
    </w:p>
    <w:p>
      <w:pPr>
        <w:ind w:firstLine="643" w:firstLineChars="200"/>
        <w:jc w:val="center"/>
        <w:outlineLvl w:val="1"/>
        <w:rPr>
          <w:rFonts w:asciiTheme="majorEastAsia" w:hAnsiTheme="majorEastAsia" w:eastAsiaTheme="majorEastAsia" w:cstheme="majorEastAsia"/>
          <w:b/>
          <w:sz w:val="32"/>
          <w:szCs w:val="32"/>
        </w:rPr>
      </w:pPr>
    </w:p>
    <w:bookmarkEnd w:id="20"/>
    <w:bookmarkEnd w:id="21"/>
    <w:p>
      <w:pPr>
        <w:rPr>
          <w:rFonts w:ascii="仿宋_GB2312" w:hAnsi="仿宋_GB2312" w:eastAsia="仿宋_GB2312" w:cs="仿宋_GB2312"/>
          <w:bCs/>
          <w:kern w:val="0"/>
        </w:rPr>
      </w:pPr>
      <w:r>
        <w:rPr>
          <w:rFonts w:ascii="仿宋_GB2312" w:hAnsi="仿宋_GB2312" w:eastAsia="仿宋_GB2312" w:cs="仿宋_GB2312"/>
          <w:bCs/>
          <w:kern w:val="0"/>
        </w:rPr>
        <w:br w:type="page"/>
      </w:r>
    </w:p>
    <w:p>
      <w:pPr>
        <w:pStyle w:val="4"/>
        <w:keepNext w:val="0"/>
        <w:keepLines w:val="0"/>
        <w:overflowPunct w:val="0"/>
        <w:spacing w:line="320" w:lineRule="exact"/>
        <w:ind w:firstLine="3640" w:firstLineChars="1300"/>
        <w:rPr>
          <w:rFonts w:ascii="仿宋_GB2312" w:hAnsi="仿宋_GB2312" w:eastAsia="仿宋_GB2312" w:cs="仿宋_GB2312"/>
          <w:bCs/>
          <w:kern w:val="0"/>
        </w:rPr>
      </w:pPr>
      <w:r>
        <w:rPr>
          <w:rFonts w:ascii="仿宋_GB2312" w:hAnsi="仿宋_GB2312" w:eastAsia="仿宋_GB2312" w:cs="仿宋_GB2312"/>
          <w:bCs/>
          <w:kern w:val="0"/>
        </w:rPr>
        <w:t>一、总则</w:t>
      </w:r>
    </w:p>
    <w:p>
      <w:pPr>
        <w:tabs>
          <w:tab w:val="left" w:pos="2555"/>
          <w:tab w:val="center" w:pos="4649"/>
        </w:tabs>
        <w:overflowPunct w:val="0"/>
        <w:spacing w:line="32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t>1.适用范围</w:t>
      </w:r>
    </w:p>
    <w:p>
      <w:pPr>
        <w:tabs>
          <w:tab w:val="left" w:pos="2555"/>
          <w:tab w:val="center" w:pos="4649"/>
        </w:tabs>
        <w:overflowPunct w:val="0"/>
        <w:spacing w:line="320" w:lineRule="exact"/>
        <w:ind w:right="-178" w:rightChars="-85"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t>1.1本招标文件仅适用于本次招标活动中所述项目的设备材料采购及相关服务。</w:t>
      </w:r>
    </w:p>
    <w:p>
      <w:pPr>
        <w:pStyle w:val="39"/>
        <w:spacing w:line="320" w:lineRule="exact"/>
        <w:ind w:firstLine="480" w:firstLineChars="200"/>
        <w:jc w:val="both"/>
        <w:rPr>
          <w:rFonts w:ascii="仿宋_GB2312" w:hAnsi="仿宋_GB2312" w:eastAsia="仿宋_GB2312" w:cs="仿宋_GB2312"/>
          <w:szCs w:val="24"/>
        </w:rPr>
      </w:pPr>
      <w:r>
        <w:rPr>
          <w:rFonts w:ascii="仿宋_GB2312" w:hAnsi="仿宋_GB2312" w:eastAsia="仿宋_GB2312" w:cs="仿宋_GB2312"/>
          <w:szCs w:val="24"/>
        </w:rPr>
        <w:t>2.定义</w:t>
      </w:r>
    </w:p>
    <w:p>
      <w:pPr>
        <w:pStyle w:val="39"/>
        <w:spacing w:line="320" w:lineRule="exact"/>
        <w:ind w:firstLine="480" w:firstLineChars="200"/>
        <w:jc w:val="both"/>
        <w:rPr>
          <w:rFonts w:hint="eastAsia" w:ascii="仿宋_GB2312" w:hAnsi="仿宋_GB2312" w:eastAsia="仿宋_GB2312" w:cs="仿宋_GB2312"/>
          <w:szCs w:val="24"/>
          <w:lang w:val="en-US" w:eastAsia="zh-CN"/>
        </w:rPr>
      </w:pPr>
      <w:r>
        <w:rPr>
          <w:rFonts w:ascii="仿宋_GB2312" w:hAnsi="仿宋_GB2312" w:eastAsia="仿宋_GB2312" w:cs="仿宋_GB2312"/>
          <w:szCs w:val="24"/>
        </w:rPr>
        <w:t>2.1“</w:t>
      </w:r>
      <w:r>
        <w:rPr>
          <w:rFonts w:ascii="仿宋_GB2312" w:hAnsi="仿宋_GB2312" w:eastAsia="仿宋_GB2312" w:cs="仿宋_GB2312"/>
          <w:szCs w:val="24"/>
          <w:lang w:eastAsia="zh-CN"/>
        </w:rPr>
        <w:t>采购人</w:t>
      </w:r>
      <w:r>
        <w:rPr>
          <w:rFonts w:ascii="仿宋_GB2312" w:hAnsi="仿宋_GB2312" w:eastAsia="仿宋_GB2312" w:cs="仿宋_GB2312"/>
          <w:szCs w:val="24"/>
        </w:rPr>
        <w:t>”</w:t>
      </w:r>
      <w:r>
        <w:rPr>
          <w:rFonts w:ascii="仿宋_GB2312" w:hAnsi="仿宋_GB2312" w:eastAsia="仿宋_GB2312" w:cs="仿宋_GB2312"/>
          <w:szCs w:val="24"/>
          <w:lang w:val="en-US" w:eastAsia="zh-CN"/>
        </w:rPr>
        <w:t xml:space="preserve"> </w:t>
      </w:r>
      <w:r>
        <w:rPr>
          <w:rFonts w:hint="eastAsia" w:ascii="仿宋" w:hAnsi="仿宋" w:eastAsia="仿宋" w:cs="仿宋"/>
          <w:szCs w:val="24"/>
        </w:rPr>
        <w:t>系</w:t>
      </w:r>
      <w:r>
        <w:rPr>
          <w:rFonts w:hint="eastAsia" w:ascii="仿宋_GB2312" w:hAnsi="仿宋_GB2312" w:eastAsia="仿宋_GB2312" w:cs="仿宋_GB2312"/>
          <w:szCs w:val="24"/>
          <w:lang w:val="en-US" w:eastAsia="zh-CN"/>
        </w:rPr>
        <w:t>指</w:t>
      </w:r>
      <w:r>
        <w:rPr>
          <w:rFonts w:hint="eastAsia" w:ascii="仿宋_GB2312" w:hAnsi="仿宋_GB2312" w:eastAsia="仿宋_GB2312" w:cs="仿宋_GB2312"/>
          <w:b/>
          <w:bCs/>
          <w:szCs w:val="24"/>
          <w:lang w:val="en-US" w:eastAsia="zh-CN"/>
        </w:rPr>
        <w:t>新疆供销技师学院（新疆供销学校）</w:t>
      </w:r>
      <w:r>
        <w:rPr>
          <w:rFonts w:hint="eastAsia" w:ascii="仿宋_GB2312" w:hAnsi="仿宋_GB2312" w:eastAsia="仿宋_GB2312" w:cs="仿宋_GB2312"/>
          <w:szCs w:val="24"/>
          <w:lang w:val="en-US" w:eastAsia="zh-CN"/>
        </w:rPr>
        <w:t>。</w:t>
      </w:r>
    </w:p>
    <w:p>
      <w:pPr>
        <w:pStyle w:val="39"/>
        <w:spacing w:line="320" w:lineRule="exact"/>
        <w:ind w:firstLine="480" w:firstLineChars="200"/>
        <w:jc w:val="both"/>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2.2“采购代理机构”系指</w:t>
      </w:r>
      <w:r>
        <w:rPr>
          <w:rFonts w:hint="eastAsia" w:ascii="仿宋_GB2312" w:hAnsi="仿宋_GB2312" w:eastAsia="仿宋_GB2312" w:cs="仿宋_GB2312"/>
          <w:b/>
          <w:bCs/>
          <w:szCs w:val="24"/>
          <w:lang w:val="en-US" w:eastAsia="zh-CN"/>
        </w:rPr>
        <w:t>中建鼎正项目管理有限公司</w:t>
      </w:r>
      <w:r>
        <w:rPr>
          <w:rFonts w:hint="eastAsia" w:ascii="仿宋_GB2312" w:hAnsi="仿宋_GB2312" w:eastAsia="仿宋_GB2312" w:cs="仿宋_GB2312"/>
          <w:szCs w:val="24"/>
          <w:lang w:val="en-US" w:eastAsia="zh-CN"/>
        </w:rPr>
        <w:t>。</w:t>
      </w:r>
    </w:p>
    <w:p>
      <w:pPr>
        <w:pStyle w:val="39"/>
        <w:spacing w:line="320" w:lineRule="exact"/>
        <w:ind w:firstLine="480" w:firstLineChars="200"/>
        <w:jc w:val="both"/>
        <w:rPr>
          <w:rFonts w:ascii="仿宋_GB2312" w:hAnsi="仿宋_GB2312" w:eastAsia="仿宋_GB2312" w:cs="仿宋_GB2312"/>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3</w:t>
      </w:r>
      <w:r>
        <w:rPr>
          <w:rFonts w:hint="eastAsia" w:ascii="仿宋" w:hAnsi="仿宋" w:eastAsia="仿宋" w:cs="仿宋"/>
          <w:sz w:val="24"/>
          <w:szCs w:val="24"/>
        </w:rPr>
        <w:t>“投标人”系指向招</w:t>
      </w:r>
      <w:r>
        <w:rPr>
          <w:rFonts w:ascii="仿宋_GB2312" w:hAnsi="仿宋_GB2312" w:eastAsia="仿宋_GB2312" w:cs="仿宋_GB2312"/>
          <w:sz w:val="24"/>
          <w:szCs w:val="24"/>
        </w:rPr>
        <w:t>标代理机构提交投标文件的</w:t>
      </w:r>
      <w:r>
        <w:rPr>
          <w:rFonts w:ascii="仿宋_GB2312" w:hAnsi="仿宋_GB2312" w:eastAsia="仿宋_GB2312" w:cs="仿宋_GB2312"/>
          <w:sz w:val="24"/>
          <w:szCs w:val="24"/>
          <w:lang w:eastAsia="zh-CN"/>
        </w:rPr>
        <w:t>制造商</w:t>
      </w:r>
      <w:r>
        <w:rPr>
          <w:rFonts w:ascii="仿宋_GB2312" w:hAnsi="仿宋_GB2312" w:eastAsia="仿宋_GB2312" w:cs="仿宋_GB2312"/>
          <w:sz w:val="24"/>
          <w:szCs w:val="24"/>
        </w:rPr>
        <w:t>、供应商。</w:t>
      </w:r>
    </w:p>
    <w:p>
      <w:pPr>
        <w:pStyle w:val="39"/>
        <w:spacing w:line="320" w:lineRule="exact"/>
        <w:ind w:firstLine="480" w:firstLineChars="200"/>
        <w:jc w:val="both"/>
        <w:rPr>
          <w:rFonts w:ascii="仿宋_GB2312" w:hAnsi="仿宋_GB2312" w:eastAsia="仿宋_GB2312" w:cs="仿宋_GB2312"/>
          <w:szCs w:val="24"/>
        </w:rPr>
      </w:pPr>
      <w:r>
        <w:rPr>
          <w:rFonts w:ascii="仿宋_GB2312" w:hAnsi="仿宋_GB2312" w:eastAsia="仿宋_GB2312" w:cs="仿宋_GB2312"/>
          <w:sz w:val="24"/>
          <w:szCs w:val="24"/>
        </w:rPr>
        <w:t>2.</w:t>
      </w:r>
      <w:r>
        <w:rPr>
          <w:rFonts w:ascii="仿宋_GB2312" w:hAnsi="仿宋_GB2312" w:eastAsia="仿宋_GB2312" w:cs="仿宋_GB2312"/>
          <w:sz w:val="24"/>
          <w:szCs w:val="24"/>
          <w:lang w:eastAsia="zh-CN"/>
        </w:rPr>
        <w:t>4</w:t>
      </w:r>
      <w:r>
        <w:rPr>
          <w:rFonts w:ascii="仿宋_GB2312" w:hAnsi="仿宋_GB2312" w:eastAsia="仿宋_GB2312" w:cs="仿宋_GB2312"/>
          <w:sz w:val="24"/>
          <w:szCs w:val="24"/>
        </w:rPr>
        <w:t>“货物”系指投标人按合同要求，向采购人提供</w:t>
      </w:r>
      <w:r>
        <w:rPr>
          <w:rFonts w:ascii="仿宋_GB2312" w:hAnsi="仿宋_GB2312" w:eastAsia="仿宋_GB2312" w:cs="仿宋_GB2312"/>
          <w:szCs w:val="24"/>
        </w:rPr>
        <w:t>的合格设备、手册及其它技术资料。</w:t>
      </w:r>
    </w:p>
    <w:p>
      <w:pPr>
        <w:pStyle w:val="39"/>
        <w:spacing w:line="320" w:lineRule="exact"/>
        <w:ind w:firstLine="480" w:firstLineChars="200"/>
        <w:jc w:val="both"/>
        <w:rPr>
          <w:rFonts w:ascii="仿宋_GB2312" w:hAnsi="仿宋_GB2312" w:eastAsia="仿宋_GB2312" w:cs="仿宋_GB2312"/>
          <w:szCs w:val="24"/>
        </w:rPr>
      </w:pPr>
      <w:r>
        <w:rPr>
          <w:rFonts w:ascii="仿宋_GB2312" w:hAnsi="仿宋_GB2312" w:eastAsia="仿宋_GB2312" w:cs="仿宋_GB2312"/>
          <w:szCs w:val="24"/>
        </w:rPr>
        <w:t>2.</w:t>
      </w:r>
      <w:r>
        <w:rPr>
          <w:rFonts w:ascii="仿宋_GB2312" w:hAnsi="仿宋_GB2312" w:eastAsia="仿宋_GB2312" w:cs="仿宋_GB2312"/>
          <w:szCs w:val="24"/>
          <w:lang w:eastAsia="zh-CN"/>
        </w:rPr>
        <w:t>5</w:t>
      </w:r>
      <w:r>
        <w:rPr>
          <w:rFonts w:ascii="仿宋_GB2312" w:hAnsi="仿宋_GB2312" w:eastAsia="仿宋_GB2312" w:cs="仿宋_GB2312"/>
          <w:szCs w:val="24"/>
        </w:rPr>
        <w:t>“服务”系指按合同规定投标人须承担的运输、装卸、技术协助和交付使用后保修期内应履行的义务及售后服务等其他类似的义务。</w:t>
      </w:r>
    </w:p>
    <w:p>
      <w:pPr>
        <w:pStyle w:val="39"/>
        <w:spacing w:line="320" w:lineRule="exact"/>
        <w:ind w:firstLine="480" w:firstLineChars="200"/>
        <w:jc w:val="both"/>
        <w:rPr>
          <w:rFonts w:ascii="仿宋_GB2312" w:hAnsi="仿宋_GB2312" w:eastAsia="仿宋_GB2312" w:cs="仿宋_GB2312"/>
          <w:szCs w:val="24"/>
        </w:rPr>
      </w:pPr>
      <w:r>
        <w:rPr>
          <w:rFonts w:ascii="仿宋_GB2312" w:hAnsi="仿宋_GB2312" w:eastAsia="仿宋_GB2312" w:cs="仿宋_GB2312"/>
          <w:szCs w:val="24"/>
        </w:rPr>
        <w:t>2.</w:t>
      </w:r>
      <w:r>
        <w:rPr>
          <w:rFonts w:ascii="仿宋_GB2312" w:hAnsi="仿宋_GB2312" w:eastAsia="仿宋_GB2312" w:cs="仿宋_GB2312"/>
          <w:szCs w:val="24"/>
          <w:lang w:eastAsia="zh-CN"/>
        </w:rPr>
        <w:t>6</w:t>
      </w:r>
      <w:r>
        <w:rPr>
          <w:rFonts w:ascii="仿宋_GB2312" w:hAnsi="仿宋_GB2312" w:eastAsia="仿宋_GB2312" w:cs="仿宋_GB2312"/>
          <w:szCs w:val="24"/>
        </w:rPr>
        <w:t>“投标人”系指提供合同货物和服务的经济实体。</w:t>
      </w:r>
    </w:p>
    <w:p>
      <w:pPr>
        <w:pStyle w:val="39"/>
        <w:spacing w:line="320" w:lineRule="exact"/>
        <w:ind w:firstLine="480" w:firstLineChars="200"/>
        <w:jc w:val="both"/>
        <w:rPr>
          <w:rFonts w:ascii="仿宋_GB2312" w:hAnsi="仿宋_GB2312" w:eastAsia="仿宋_GB2312" w:cs="仿宋_GB2312"/>
          <w:szCs w:val="24"/>
        </w:rPr>
      </w:pPr>
      <w:r>
        <w:rPr>
          <w:rFonts w:ascii="仿宋_GB2312" w:hAnsi="仿宋_GB2312" w:eastAsia="仿宋_GB2312" w:cs="仿宋_GB2312"/>
          <w:szCs w:val="24"/>
        </w:rPr>
        <w:t>2.</w:t>
      </w:r>
      <w:r>
        <w:rPr>
          <w:rFonts w:ascii="仿宋_GB2312" w:hAnsi="仿宋_GB2312" w:eastAsia="仿宋_GB2312" w:cs="仿宋_GB2312"/>
          <w:szCs w:val="24"/>
          <w:lang w:eastAsia="zh-CN"/>
        </w:rPr>
        <w:t>7</w:t>
      </w:r>
      <w:r>
        <w:rPr>
          <w:rFonts w:ascii="仿宋_GB2312" w:hAnsi="仿宋_GB2312" w:eastAsia="仿宋_GB2312" w:cs="仿宋_GB2312"/>
          <w:szCs w:val="24"/>
        </w:rPr>
        <w:t>“采购人”系指购买货物和服务的单位 。</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rPr>
        <w:t>2.</w:t>
      </w:r>
      <w:r>
        <w:rPr>
          <w:rFonts w:ascii="仿宋_GB2312" w:hAnsi="仿宋_GB2312" w:eastAsia="仿宋_GB2312" w:cs="仿宋_GB2312"/>
          <w:szCs w:val="24"/>
          <w:lang w:eastAsia="zh-CN"/>
        </w:rPr>
        <w:t>8</w:t>
      </w:r>
      <w:r>
        <w:rPr>
          <w:rFonts w:ascii="仿宋_GB2312" w:hAnsi="仿宋_GB2312" w:eastAsia="仿宋_GB2312" w:cs="仿宋_GB2312"/>
          <w:szCs w:val="24"/>
        </w:rPr>
        <w:t>“评标委员会”系指依《中华人民共和国政府采购法》和国家计委等七部委12号令《评标委员会和评标方法暂行规定》组建的专门负责本次招标评标工作的临时性机构。</w:t>
      </w:r>
    </w:p>
    <w:p>
      <w:pPr>
        <w:pStyle w:val="39"/>
        <w:spacing w:line="320" w:lineRule="exact"/>
        <w:ind w:firstLine="480" w:firstLineChars="200"/>
        <w:jc w:val="both"/>
        <w:rPr>
          <w:rFonts w:ascii="仿宋_GB2312" w:hAnsi="仿宋_GB2312" w:eastAsia="仿宋_GB2312" w:cs="仿宋_GB2312"/>
          <w:b w:val="0"/>
          <w:bCs/>
          <w:kern w:val="2"/>
          <w:szCs w:val="24"/>
          <w:lang w:val="en-US" w:eastAsia="zh-CN"/>
        </w:rPr>
      </w:pPr>
      <w:r>
        <w:rPr>
          <w:rFonts w:ascii="仿宋_GB2312" w:hAnsi="仿宋_GB2312" w:eastAsia="仿宋_GB2312" w:cs="仿宋_GB2312"/>
          <w:b w:val="0"/>
          <w:bCs/>
          <w:kern w:val="2"/>
          <w:szCs w:val="24"/>
          <w:lang w:val="en-US" w:eastAsia="zh-CN"/>
        </w:rPr>
        <w:t>3.投标人的资格要求：</w:t>
      </w:r>
    </w:p>
    <w:p>
      <w:pPr>
        <w:overflowPunct w:val="0"/>
        <w:spacing w:line="320" w:lineRule="exact"/>
        <w:ind w:firstLine="480" w:firstLineChars="200"/>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lang w:eastAsia="zh-CN"/>
        </w:rPr>
        <w:t>1.满足《中华人民共和国政府采购法》第二十二条规定；</w:t>
      </w:r>
    </w:p>
    <w:p>
      <w:pPr>
        <w:overflowPunct w:val="0"/>
        <w:spacing w:line="320" w:lineRule="exact"/>
        <w:ind w:firstLine="480" w:firstLineChars="200"/>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3.2</w:t>
      </w:r>
      <w:r>
        <w:rPr>
          <w:rFonts w:hint="eastAsia" w:ascii="仿宋_GB2312" w:hAnsi="仿宋_GB2312" w:eastAsia="仿宋_GB2312" w:cs="仿宋_GB2312"/>
          <w:b w:val="0"/>
          <w:bCs/>
          <w:sz w:val="24"/>
          <w:szCs w:val="24"/>
          <w:lang w:eastAsia="zh-CN"/>
        </w:rPr>
        <w:t>.落实政府采购政策需满足的资格要求：无</w:t>
      </w:r>
    </w:p>
    <w:p>
      <w:pPr>
        <w:overflowPunct w:val="0"/>
        <w:spacing w:line="320" w:lineRule="exact"/>
        <w:ind w:firstLine="480" w:firstLineChars="200"/>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3</w:t>
      </w: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lang w:eastAsia="zh-CN"/>
        </w:rPr>
        <w:t>本项目的特定资格要求：（</w:t>
      </w: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lang w:eastAsia="zh-CN"/>
        </w:rPr>
        <w:t xml:space="preserve">）.供应商如在“信用中国”网站（www.creditchina.gov.cn)、中国政府采购网 （www.ccgp.gov.cn)等渠道查询后，被列入失信被执行人、重大税收违法案件当事人名单、政府采购严重违法失信行为记录名单的，取消投标资格； </w:t>
      </w:r>
      <w:r>
        <w:rPr>
          <w:rFonts w:hint="eastAsia" w:ascii="仿宋_GB2312" w:hAnsi="仿宋_GB2312" w:eastAsia="仿宋_GB2312" w:cs="仿宋_GB2312"/>
          <w:b w:val="0"/>
          <w:bCs/>
          <w:sz w:val="24"/>
          <w:szCs w:val="24"/>
          <w:lang w:eastAsia="zh-CN"/>
        </w:rPr>
        <w:br w:type="textWrapping"/>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 xml:space="preserve">）.法律、行政法规规定的其他条件； </w:t>
      </w:r>
    </w:p>
    <w:p>
      <w:pPr>
        <w:overflowPunct w:val="0"/>
        <w:spacing w:line="320" w:lineRule="exact"/>
        <w:ind w:left="479" w:leftChars="228" w:firstLine="0" w:firstLineChars="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lang w:eastAsia="zh-CN"/>
        </w:rPr>
        <w:t>）.本次招标不接受联合体投标；</w:t>
      </w:r>
      <w:r>
        <w:rPr>
          <w:rFonts w:hint="eastAsia" w:ascii="仿宋_GB2312" w:hAnsi="仿宋_GB2312" w:eastAsia="仿宋_GB2312" w:cs="仿宋_GB2312"/>
          <w:b w:val="0"/>
          <w:bCs/>
          <w:sz w:val="24"/>
          <w:szCs w:val="24"/>
          <w:lang w:eastAsia="zh-CN"/>
        </w:rPr>
        <w:br w:type="textWrapping"/>
      </w:r>
      <w:r>
        <w:rPr>
          <w:rFonts w:hint="eastAsia" w:ascii="仿宋_GB2312" w:hAnsi="仿宋_GB2312" w:eastAsia="仿宋_GB2312" w:cs="仿宋_GB2312"/>
          <w:b w:val="0"/>
          <w:bCs/>
          <w:sz w:val="24"/>
          <w:szCs w:val="24"/>
          <w:lang w:eastAsia="zh-CN"/>
        </w:rPr>
        <w:t>本项目面向中小企业、残疾人福利性单位等企业。</w:t>
      </w:r>
    </w:p>
    <w:p>
      <w:pPr>
        <w:overflowPunct w:val="0"/>
        <w:spacing w:line="320" w:lineRule="exact"/>
        <w:ind w:firstLine="482" w:firstLineChars="200"/>
        <w:rPr>
          <w:rFonts w:ascii="仿宋_GB2312" w:hAnsi="仿宋_GB2312" w:eastAsia="仿宋_GB2312" w:cs="仿宋_GB2312"/>
          <w:b/>
          <w:sz w:val="24"/>
          <w:szCs w:val="24"/>
        </w:rPr>
      </w:pPr>
      <w:r>
        <w:rPr>
          <w:rFonts w:ascii="仿宋_GB2312" w:hAnsi="仿宋_GB2312" w:eastAsia="仿宋_GB2312" w:cs="仿宋_GB2312"/>
          <w:b/>
          <w:sz w:val="24"/>
          <w:szCs w:val="24"/>
        </w:rPr>
        <w:t>★本项目不接受联合体投标</w:t>
      </w:r>
    </w:p>
    <w:p>
      <w:pPr>
        <w:spacing w:line="320" w:lineRule="exact"/>
        <w:ind w:firstLine="480" w:firstLineChars="200"/>
        <w:rPr>
          <w:rFonts w:hint="eastAsia" w:ascii="仿宋_GB2312" w:hAnsi="仿宋_GB2312" w:eastAsia="仿宋_GB2312" w:cs="仿宋_GB2312"/>
          <w:sz w:val="24"/>
          <w:szCs w:val="24"/>
        </w:rPr>
      </w:pPr>
      <w:r>
        <w:rPr>
          <w:rFonts w:ascii="仿宋_GB2312" w:hAnsi="仿宋_GB2312" w:eastAsia="仿宋_GB2312" w:cs="仿宋_GB2312"/>
          <w:sz w:val="24"/>
          <w:szCs w:val="24"/>
        </w:rPr>
        <w:t>4、法定代表人为同一个人的两个及两个以上法人，母公司、全资子公司及其控股公司，都不得同时投标，否则取消其投标资格；采购人及招标代理机构的附属机构，或者与采购人及招标代理机构有任何隶属关系的单位不得参与本招标项目投标，否则取消其投标资格</w:t>
      </w:r>
      <w:r>
        <w:rPr>
          <w:rFonts w:hint="eastAsia" w:ascii="仿宋_GB2312" w:hAnsi="仿宋_GB2312" w:eastAsia="仿宋_GB2312" w:cs="仿宋_GB2312"/>
          <w:sz w:val="24"/>
          <w:szCs w:val="24"/>
        </w:rPr>
        <w:t>。</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5</w:t>
      </w:r>
      <w:r>
        <w:rPr>
          <w:rFonts w:ascii="仿宋_GB2312" w:hAnsi="仿宋_GB2312" w:eastAsia="仿宋_GB2312" w:cs="仿宋_GB2312"/>
          <w:szCs w:val="24"/>
        </w:rPr>
        <w:t>.投标费用</w:t>
      </w:r>
      <w:r>
        <w:rPr>
          <w:rFonts w:ascii="仿宋_GB2312" w:hAnsi="仿宋_GB2312" w:eastAsia="仿宋_GB2312" w:cs="仿宋_GB2312"/>
          <w:szCs w:val="24"/>
          <w:lang w:eastAsia="zh-CN"/>
        </w:rPr>
        <w:t>：</w:t>
      </w:r>
      <w:r>
        <w:rPr>
          <w:rFonts w:ascii="仿宋_GB2312" w:hAnsi="仿宋_GB2312" w:eastAsia="仿宋_GB2312" w:cs="仿宋_GB2312"/>
          <w:szCs w:val="24"/>
        </w:rPr>
        <w:t>投标人在投标时应自行承担所有与编写和提交投标文件有关的费用。不论投标的结果如何，</w:t>
      </w:r>
      <w:r>
        <w:rPr>
          <w:rFonts w:ascii="仿宋_GB2312" w:hAnsi="仿宋_GB2312" w:eastAsia="仿宋_GB2312" w:cs="仿宋_GB2312"/>
          <w:szCs w:val="24"/>
          <w:lang w:eastAsia="zh-CN"/>
        </w:rPr>
        <w:t>采购</w:t>
      </w:r>
      <w:r>
        <w:rPr>
          <w:rFonts w:ascii="仿宋_GB2312" w:hAnsi="仿宋_GB2312" w:eastAsia="仿宋_GB2312" w:cs="仿宋_GB2312"/>
          <w:szCs w:val="24"/>
        </w:rPr>
        <w:t>人</w:t>
      </w:r>
      <w:r>
        <w:rPr>
          <w:rFonts w:ascii="仿宋_GB2312" w:hAnsi="仿宋_GB2312" w:eastAsia="仿宋_GB2312" w:cs="仿宋_GB2312"/>
          <w:szCs w:val="24"/>
          <w:lang w:eastAsia="zh-CN"/>
        </w:rPr>
        <w:t>及招标代理机构</w:t>
      </w:r>
      <w:r>
        <w:rPr>
          <w:rFonts w:ascii="仿宋_GB2312" w:hAnsi="仿宋_GB2312" w:eastAsia="仿宋_GB2312" w:cs="仿宋_GB2312"/>
          <w:szCs w:val="24"/>
        </w:rPr>
        <w:t>均无义务和责任承担这些费用。</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6、语言文字</w:t>
      </w:r>
    </w:p>
    <w:p>
      <w:pPr>
        <w:spacing w:line="320" w:lineRule="exact"/>
        <w:ind w:firstLine="412"/>
        <w:rPr>
          <w:rFonts w:ascii="仿宋_GB2312" w:hAnsi="仿宋_GB2312" w:eastAsia="仿宋_GB2312" w:cs="仿宋_GB2312"/>
          <w:kern w:val="0"/>
          <w:sz w:val="24"/>
          <w:szCs w:val="24"/>
        </w:rPr>
      </w:pPr>
      <w:r>
        <w:rPr>
          <w:rFonts w:ascii="仿宋_GB2312" w:hAnsi="仿宋_GB2312" w:eastAsia="仿宋_GB2312" w:cs="仿宋_GB2312"/>
          <w:kern w:val="0"/>
          <w:sz w:val="24"/>
          <w:szCs w:val="24"/>
        </w:rPr>
        <w:t>除专用术语外，与招标投标有关的语言均使用中文。必要时专用术语应附有中文注释。</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7、计量单位</w:t>
      </w:r>
    </w:p>
    <w:p>
      <w:pPr>
        <w:spacing w:line="320" w:lineRule="exact"/>
        <w:ind w:firstLine="412"/>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所有计量均采用中华人民共和国法定计量单位。</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8、勘查现场</w:t>
      </w:r>
    </w:p>
    <w:p>
      <w:pPr>
        <w:spacing w:line="320" w:lineRule="exact"/>
        <w:ind w:firstLine="412"/>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（1）本项目采购人不组织踏勘现场。</w:t>
      </w:r>
    </w:p>
    <w:p>
      <w:pPr>
        <w:spacing w:line="320" w:lineRule="exact"/>
        <w:ind w:firstLine="412"/>
        <w:rPr>
          <w:rFonts w:ascii="仿宋_GB2312" w:hAnsi="仿宋_GB2312" w:eastAsia="仿宋_GB2312" w:cs="仿宋_GB2312"/>
          <w:bCs/>
          <w:kern w:val="0"/>
        </w:rPr>
      </w:pPr>
      <w:r>
        <w:rPr>
          <w:rFonts w:ascii="仿宋_GB2312" w:hAnsi="仿宋_GB2312" w:eastAsia="仿宋_GB2312" w:cs="仿宋_GB2312"/>
          <w:kern w:val="0"/>
          <w:sz w:val="24"/>
          <w:szCs w:val="24"/>
        </w:rPr>
        <w:t>（2）投标人须自行踏勘现场的，必须征得采购人的同意方可踏勘现场。</w:t>
      </w:r>
      <w:r>
        <w:rPr>
          <w:rFonts w:hint="eastAsia" w:ascii="仿宋_GB2312" w:hAnsi="仿宋_GB2312" w:eastAsia="仿宋_GB2312" w:cs="仿宋_GB2312"/>
          <w:kern w:val="0"/>
          <w:sz w:val="24"/>
          <w:szCs w:val="24"/>
        </w:rPr>
        <w:t>所需费用自理。</w:t>
      </w:r>
    </w:p>
    <w:p>
      <w:pPr>
        <w:rPr>
          <w:rFonts w:ascii="仿宋_GB2312" w:hAnsi="仿宋_GB2312" w:eastAsia="仿宋_GB2312" w:cs="仿宋_GB2312"/>
          <w:bCs/>
          <w:kern w:val="0"/>
        </w:rPr>
      </w:pPr>
      <w:r>
        <w:rPr>
          <w:rFonts w:ascii="仿宋_GB2312" w:hAnsi="仿宋_GB2312" w:eastAsia="仿宋_GB2312" w:cs="仿宋_GB2312"/>
          <w:bCs/>
          <w:kern w:val="0"/>
        </w:rPr>
        <w:br w:type="page"/>
      </w:r>
    </w:p>
    <w:p>
      <w:pPr>
        <w:pStyle w:val="4"/>
        <w:keepNext w:val="0"/>
        <w:keepLines w:val="0"/>
        <w:overflowPunct w:val="0"/>
        <w:spacing w:line="320" w:lineRule="exact"/>
        <w:ind w:left="420" w:hanging="329"/>
        <w:jc w:val="center"/>
        <w:rPr>
          <w:rFonts w:ascii="仿宋_GB2312" w:hAnsi="仿宋_GB2312" w:eastAsia="仿宋_GB2312" w:cs="仿宋_GB2312"/>
          <w:bCs/>
          <w:kern w:val="0"/>
        </w:rPr>
      </w:pPr>
      <w:r>
        <w:rPr>
          <w:rFonts w:ascii="仿宋_GB2312" w:hAnsi="仿宋_GB2312" w:eastAsia="仿宋_GB2312" w:cs="仿宋_GB2312"/>
          <w:bCs/>
          <w:kern w:val="0"/>
        </w:rPr>
        <w:t>二、招标文件</w:t>
      </w:r>
    </w:p>
    <w:p>
      <w:pPr>
        <w:spacing w:line="320" w:lineRule="exact"/>
        <w:ind w:firstLine="482" w:firstLineChars="200"/>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1.招标文件构成</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1.1招标文件用以阐明所需货物和服务、招标程序和商务合同主要条款，包括：</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1.1.1 招标</w:t>
      </w:r>
      <w:r>
        <w:rPr>
          <w:rFonts w:hint="eastAsia" w:ascii="仿宋_GB2312" w:hAnsi="仿宋_GB2312" w:eastAsia="仿宋_GB2312" w:cs="仿宋_GB2312"/>
          <w:kern w:val="0"/>
          <w:sz w:val="24"/>
          <w:szCs w:val="24"/>
          <w:lang w:eastAsia="zh-CN"/>
        </w:rPr>
        <w:t>公告</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1.1.2 投标人须知</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1.1.3 投标人须知前附表</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1.1.4 采购货物清单及技术规格要求</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1.1.5 合同条款</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1.1.6主要投标文件格式</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1.1.7评标办法</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 投标人应认真阅读招标文件中所有的事项、格式、条款和规范等要求。如果没有按照招标文件要求提交全部资料或者投标文件没有对招标文件做出实质性响应，其投标文件有可能被拒绝。</w:t>
      </w:r>
    </w:p>
    <w:p>
      <w:pPr>
        <w:spacing w:line="320" w:lineRule="exact"/>
        <w:ind w:firstLine="482" w:firstLineChars="200"/>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2. 招标文件的澄清</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 任何要求澄清招标文件的投标人，均应在投标截止日期前</w:t>
      </w:r>
      <w:r>
        <w:rPr>
          <w:rFonts w:hint="eastAsia" w:ascii="仿宋_GB2312" w:hAnsi="仿宋_GB2312" w:eastAsia="仿宋_GB2312" w:cs="仿宋_GB2312"/>
          <w:kern w:val="0"/>
          <w:sz w:val="24"/>
          <w:szCs w:val="24"/>
          <w:lang w:val="en-US" w:eastAsia="zh-CN"/>
        </w:rPr>
        <w:t>10</w:t>
      </w:r>
      <w:r>
        <w:rPr>
          <w:rFonts w:ascii="仿宋_GB2312" w:hAnsi="仿宋_GB2312" w:eastAsia="仿宋_GB2312" w:cs="仿宋_GB2312"/>
          <w:kern w:val="0"/>
          <w:sz w:val="24"/>
          <w:szCs w:val="24"/>
        </w:rPr>
        <w:t>天以书面形式或传真、电报通知招标代理机构。招标代理机构将在</w:t>
      </w:r>
      <w:r>
        <w:rPr>
          <w:rFonts w:hint="eastAsia" w:ascii="仿宋_GB2312" w:hAnsi="仿宋_GB2312" w:eastAsia="仿宋_GB2312" w:cs="仿宋_GB2312"/>
          <w:kern w:val="0"/>
          <w:sz w:val="24"/>
          <w:szCs w:val="24"/>
          <w:lang w:eastAsia="zh-CN"/>
        </w:rPr>
        <w:t>收到异议之日起</w:t>
      </w:r>
      <w:r>
        <w:rPr>
          <w:rFonts w:ascii="仿宋_GB2312" w:hAnsi="仿宋_GB2312" w:eastAsia="仿宋_GB2312" w:cs="仿宋_GB2312"/>
          <w:kern w:val="0"/>
          <w:sz w:val="24"/>
          <w:szCs w:val="24"/>
        </w:rPr>
        <w:t>3天以</w:t>
      </w:r>
      <w:r>
        <w:rPr>
          <w:rFonts w:hint="eastAsia" w:ascii="仿宋_GB2312" w:hAnsi="仿宋_GB2312" w:eastAsia="仿宋_GB2312" w:cs="仿宋_GB2312"/>
          <w:kern w:val="0"/>
          <w:sz w:val="24"/>
          <w:szCs w:val="24"/>
          <w:lang w:eastAsia="zh-CN"/>
        </w:rPr>
        <w:t>内以</w:t>
      </w:r>
      <w:r>
        <w:rPr>
          <w:rFonts w:ascii="仿宋_GB2312" w:hAnsi="仿宋_GB2312" w:eastAsia="仿宋_GB2312" w:cs="仿宋_GB2312"/>
          <w:kern w:val="0"/>
          <w:sz w:val="24"/>
          <w:szCs w:val="24"/>
        </w:rPr>
        <w:t>书面形式或传真、电报通知予以答复，将书面答复通知每个购买招标文件的投标人。投标方不得与采购委托方私下接触，同时不指明问题的来源。</w:t>
      </w:r>
    </w:p>
    <w:p>
      <w:pPr>
        <w:spacing w:line="320" w:lineRule="exact"/>
        <w:ind w:firstLine="482" w:firstLineChars="200"/>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3.招标文件的修改</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 在投标截止日期前</w:t>
      </w:r>
      <w:r>
        <w:rPr>
          <w:rFonts w:hint="eastAsia" w:ascii="仿宋_GB2312" w:hAnsi="仿宋_GB2312" w:eastAsia="仿宋_GB2312" w:cs="仿宋_GB2312"/>
          <w:kern w:val="0"/>
          <w:sz w:val="24"/>
          <w:szCs w:val="24"/>
          <w:lang w:val="en-US" w:eastAsia="zh-CN"/>
        </w:rPr>
        <w:t>15</w:t>
      </w:r>
      <w:r>
        <w:rPr>
          <w:rFonts w:ascii="仿宋_GB2312" w:hAnsi="仿宋_GB2312" w:eastAsia="仿宋_GB2312" w:cs="仿宋_GB2312"/>
          <w:kern w:val="0"/>
          <w:sz w:val="24"/>
          <w:szCs w:val="24"/>
        </w:rPr>
        <w:t>天，无论出于何种原因，招标代理机构可主动地或在解答投标人提出的问题时对招标文件进行修改，修改内容报采购人备案。</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 招标文件的修改将以书面形式通知所有购买文件的投标人，并对投标人具有约束力。投标人收到修改内容后，应在24小时内以书面形式通知采购人或招标代理机构，确认收到该修改。</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 一切有效的招标文件的澄清和修改的书面文件均是招标文件不可分割的部分。</w:t>
      </w:r>
      <w:bookmarkStart w:id="22" w:name="_Toc99609734"/>
      <w:bookmarkStart w:id="23" w:name="_Toc99609870"/>
      <w:bookmarkStart w:id="24" w:name="_Toc167252395"/>
      <w:bookmarkStart w:id="25" w:name="_Toc99610006"/>
      <w:bookmarkStart w:id="26" w:name="_Toc99610176"/>
    </w:p>
    <w:bookmarkEnd w:id="22"/>
    <w:bookmarkEnd w:id="23"/>
    <w:bookmarkEnd w:id="24"/>
    <w:bookmarkEnd w:id="25"/>
    <w:bookmarkEnd w:id="26"/>
    <w:p>
      <w:pPr>
        <w:spacing w:line="320" w:lineRule="exact"/>
        <w:ind w:firstLine="480" w:firstLineChars="200"/>
        <w:rPr>
          <w:rFonts w:ascii="仿宋_GB2312" w:hAnsi="仿宋_GB2312" w:eastAsia="仿宋_GB2312" w:cs="仿宋_GB2312"/>
          <w:kern w:val="0"/>
          <w:sz w:val="24"/>
          <w:szCs w:val="24"/>
        </w:rPr>
      </w:pPr>
      <w:bookmarkStart w:id="27" w:name="_Toc99610003"/>
      <w:bookmarkStart w:id="28" w:name="_Toc99609731"/>
      <w:bookmarkStart w:id="29" w:name="_Toc99610173"/>
      <w:bookmarkStart w:id="30" w:name="_Toc167252393"/>
      <w:bookmarkStart w:id="31" w:name="_Toc99609867"/>
      <w:r>
        <w:rPr>
          <w:rFonts w:ascii="仿宋_GB2312" w:hAnsi="仿宋_GB2312" w:eastAsia="仿宋_GB2312" w:cs="仿宋_GB2312"/>
          <w:kern w:val="0"/>
          <w:sz w:val="24"/>
          <w:szCs w:val="24"/>
        </w:rPr>
        <w:t>5.说明</w:t>
      </w:r>
      <w:bookmarkEnd w:id="27"/>
      <w:bookmarkEnd w:id="28"/>
      <w:bookmarkEnd w:id="29"/>
      <w:bookmarkEnd w:id="30"/>
      <w:bookmarkEnd w:id="31"/>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5.1招标文件中的标题或题名仅起引导作用，而不应视为对招标文件内容的理解和解释。</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5.2除非有特殊要求，招标文件不单独提供招标货物使用地的自然环境、气候条件、公用设施等情况，投标人被视为熟悉上述与履行合同有关的一切情况。</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5.3招标文件的解释权归采购人和招标代理机构。</w:t>
      </w:r>
    </w:p>
    <w:p>
      <w:pPr>
        <w:pStyle w:val="4"/>
        <w:keepNext w:val="0"/>
        <w:keepLines w:val="0"/>
        <w:overflowPunct w:val="0"/>
        <w:spacing w:line="320" w:lineRule="exact"/>
        <w:ind w:left="420" w:hanging="329"/>
        <w:jc w:val="center"/>
        <w:rPr>
          <w:rFonts w:ascii="仿宋_GB2312" w:hAnsi="仿宋_GB2312" w:eastAsia="仿宋_GB2312" w:cs="仿宋_GB2312"/>
          <w:b/>
          <w:bCs w:val="0"/>
          <w:kern w:val="0"/>
        </w:rPr>
      </w:pPr>
      <w:r>
        <w:rPr>
          <w:rFonts w:ascii="仿宋_GB2312" w:hAnsi="仿宋_GB2312" w:eastAsia="仿宋_GB2312" w:cs="仿宋_GB2312"/>
          <w:b/>
          <w:bCs w:val="0"/>
          <w:kern w:val="0"/>
        </w:rPr>
        <w:t>三</w:t>
      </w:r>
      <w:r>
        <w:rPr>
          <w:rFonts w:ascii="仿宋_GB2312" w:hAnsi="仿宋_GB2312" w:eastAsia="仿宋_GB2312" w:cs="仿宋_GB2312"/>
          <w:b/>
          <w:bCs w:val="0"/>
          <w:color w:val="auto"/>
          <w:kern w:val="0"/>
        </w:rPr>
        <w:t>、投标文件的编制</w:t>
      </w:r>
    </w:p>
    <w:p>
      <w:pPr>
        <w:pStyle w:val="39"/>
        <w:spacing w:line="320" w:lineRule="exact"/>
        <w:ind w:firstLine="482" w:firstLineChars="200"/>
        <w:jc w:val="both"/>
        <w:rPr>
          <w:rFonts w:ascii="仿宋_GB2312" w:hAnsi="仿宋_GB2312" w:eastAsia="仿宋_GB2312" w:cs="仿宋_GB2312"/>
          <w:b/>
          <w:szCs w:val="24"/>
          <w:lang w:eastAsia="zh-CN"/>
        </w:rPr>
      </w:pPr>
      <w:r>
        <w:rPr>
          <w:rFonts w:ascii="仿宋_GB2312" w:hAnsi="仿宋_GB2312" w:eastAsia="仿宋_GB2312" w:cs="仿宋_GB2312"/>
          <w:b/>
          <w:szCs w:val="24"/>
          <w:lang w:eastAsia="zh-CN"/>
        </w:rPr>
        <w:t>1.投标文件的编写要求</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1.1 投标人应仔细阅读招标文件,了解招标文件的要求。在充分理解招标文件提出的设施技术要求、货物规格型号、技术性能、技术参数、服务和商务条件后，制作投标文件。</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1.2 投标人应按招标文件的要求编制投标文件, 对招标文件要求必备的条件和事项必须满足，否则视为未能对招标文件做出实质性响应，并保证所提供的全部资料的真实性和有效性。投标文件中提供的所有复印件均应清晰可</w:t>
      </w:r>
      <w:r>
        <w:rPr>
          <w:rFonts w:hint="eastAsia" w:ascii="仿宋_GB2312" w:hAnsi="仿宋_GB2312" w:eastAsia="仿宋_GB2312" w:cs="仿宋_GB2312"/>
          <w:szCs w:val="24"/>
          <w:lang w:val="en-US" w:eastAsia="zh-CN"/>
        </w:rPr>
        <w:t>辨</w:t>
      </w:r>
      <w:r>
        <w:rPr>
          <w:rFonts w:ascii="仿宋_GB2312" w:hAnsi="仿宋_GB2312" w:eastAsia="仿宋_GB2312" w:cs="仿宋_GB2312"/>
          <w:szCs w:val="24"/>
          <w:lang w:eastAsia="zh-CN"/>
        </w:rPr>
        <w:t>。</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1.3 投标人对本招标文件的规定不允许实质性偏离，否则视为未能对招标文件做出实质性响应。</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1.4 投标人不得将本次招标项</w:t>
      </w:r>
      <w:r>
        <w:rPr>
          <w:rFonts w:hint="eastAsia" w:ascii="仿宋_GB2312" w:hAnsi="仿宋_GB2312" w:eastAsia="仿宋_GB2312" w:cs="仿宋_GB2312"/>
          <w:szCs w:val="24"/>
          <w:lang w:eastAsia="zh-CN"/>
        </w:rPr>
        <w:t>目</w:t>
      </w:r>
      <w:r>
        <w:rPr>
          <w:rFonts w:ascii="仿宋_GB2312" w:hAnsi="仿宋_GB2312" w:eastAsia="仿宋_GB2312" w:cs="仿宋_GB2312"/>
          <w:szCs w:val="24"/>
          <w:lang w:eastAsia="zh-CN"/>
        </w:rPr>
        <w:t>的内容拆开投标，否则视为未能对招标文件做出实质性响应。</w:t>
      </w:r>
    </w:p>
    <w:p>
      <w:pPr>
        <w:pStyle w:val="39"/>
        <w:spacing w:line="320" w:lineRule="exact"/>
        <w:ind w:firstLine="482" w:firstLineChars="200"/>
        <w:rPr>
          <w:rFonts w:ascii="仿宋_GB2312" w:hAnsi="仿宋_GB2312" w:eastAsia="仿宋_GB2312" w:cs="仿宋_GB2312"/>
          <w:b/>
          <w:szCs w:val="24"/>
          <w:lang w:eastAsia="zh-CN"/>
        </w:rPr>
      </w:pPr>
      <w:r>
        <w:rPr>
          <w:rFonts w:ascii="仿宋_GB2312" w:hAnsi="仿宋_GB2312" w:eastAsia="仿宋_GB2312" w:cs="仿宋_GB2312"/>
          <w:b/>
          <w:szCs w:val="24"/>
          <w:lang w:eastAsia="zh-CN"/>
        </w:rPr>
        <w:t>2.投标文件构成</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2.1 投标人编写的投标文件应包含以下内容（商务文件+技术文件）:</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2.1.1  商务部分</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（1）投标文件；</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（2）投标人法人代表授权书；</w:t>
      </w:r>
    </w:p>
    <w:p>
      <w:pPr>
        <w:pStyle w:val="39"/>
        <w:spacing w:line="320" w:lineRule="exact"/>
        <w:ind w:firstLine="480" w:firstLineChars="200"/>
        <w:rPr>
          <w:rFonts w:hint="eastAsia" w:ascii="仿宋_GB2312" w:hAnsi="仿宋_GB2312" w:eastAsia="仿宋_GB2312" w:cs="仿宋_GB2312"/>
          <w:szCs w:val="24"/>
          <w:lang w:eastAsia="zh-CN"/>
        </w:rPr>
      </w:pPr>
      <w:r>
        <w:rPr>
          <w:rFonts w:ascii="仿宋_GB2312" w:hAnsi="仿宋_GB2312" w:eastAsia="仿宋_GB2312" w:cs="仿宋_GB2312"/>
          <w:szCs w:val="24"/>
          <w:lang w:eastAsia="zh-CN"/>
        </w:rPr>
        <w:t>（3）被授权人身份证</w:t>
      </w:r>
      <w:r>
        <w:rPr>
          <w:rFonts w:hint="eastAsia" w:ascii="仿宋_GB2312" w:hAnsi="仿宋_GB2312" w:eastAsia="仿宋_GB2312" w:cs="仿宋_GB2312"/>
          <w:szCs w:val="24"/>
          <w:lang w:eastAsia="zh-CN"/>
        </w:rPr>
        <w:t>；</w:t>
      </w:r>
    </w:p>
    <w:p>
      <w:pPr>
        <w:pStyle w:val="39"/>
        <w:spacing w:line="320" w:lineRule="exact"/>
        <w:ind w:firstLine="482" w:firstLineChars="200"/>
        <w:rPr>
          <w:rFonts w:hint="eastAsia" w:ascii="仿宋_GB2312" w:hAnsi="仿宋_GB2312" w:eastAsia="仿宋_GB2312" w:cs="仿宋_GB2312"/>
          <w:szCs w:val="24"/>
          <w:lang w:eastAsia="zh-CN"/>
        </w:rPr>
      </w:pPr>
      <w:r>
        <w:rPr>
          <w:rFonts w:ascii="仿宋_GB2312" w:hAnsi="仿宋_GB2312" w:eastAsia="仿宋_GB2312" w:cs="仿宋_GB2312"/>
          <w:b/>
          <w:szCs w:val="24"/>
          <w:lang w:eastAsia="zh-CN"/>
        </w:rPr>
        <w:t>（4）开标一览表、报价明细表</w:t>
      </w:r>
      <w:r>
        <w:rPr>
          <w:rFonts w:ascii="仿宋_GB2312" w:hAnsi="仿宋_GB2312" w:eastAsia="仿宋_GB2312" w:cs="仿宋_GB2312"/>
          <w:szCs w:val="24"/>
          <w:lang w:eastAsia="zh-CN"/>
        </w:rPr>
        <w:t>（</w:t>
      </w:r>
      <w:r>
        <w:rPr>
          <w:rFonts w:ascii="仿宋_GB2312" w:hAnsi="仿宋_GB2312" w:eastAsia="仿宋_GB2312" w:cs="仿宋_GB2312"/>
          <w:b/>
          <w:szCs w:val="24"/>
          <w:lang w:eastAsia="zh-CN"/>
        </w:rPr>
        <w:t>★同时单独密封提报一份</w:t>
      </w:r>
      <w:r>
        <w:rPr>
          <w:rFonts w:ascii="仿宋_GB2312" w:hAnsi="仿宋_GB2312" w:eastAsia="仿宋_GB2312" w:cs="仿宋_GB2312"/>
          <w:szCs w:val="24"/>
          <w:lang w:eastAsia="zh-CN"/>
        </w:rPr>
        <w:t>）</w:t>
      </w:r>
      <w:r>
        <w:rPr>
          <w:rFonts w:hint="eastAsia" w:ascii="仿宋_GB2312" w:hAnsi="仿宋_GB2312" w:eastAsia="仿宋_GB2312" w:cs="仿宋_GB2312"/>
          <w:szCs w:val="24"/>
          <w:lang w:eastAsia="zh-CN"/>
        </w:rPr>
        <w:t>；</w:t>
      </w:r>
    </w:p>
    <w:p>
      <w:pPr>
        <w:pStyle w:val="39"/>
        <w:spacing w:line="320" w:lineRule="exact"/>
        <w:ind w:firstLine="480" w:firstLineChars="200"/>
        <w:rPr>
          <w:rFonts w:hint="eastAsia" w:ascii="仿宋_GB2312" w:hAnsi="仿宋_GB2312" w:eastAsia="仿宋_GB2312" w:cs="仿宋_GB2312"/>
          <w:szCs w:val="24"/>
          <w:lang w:eastAsia="zh-CN"/>
        </w:rPr>
      </w:pPr>
      <w:r>
        <w:rPr>
          <w:rFonts w:ascii="仿宋_GB2312" w:hAnsi="仿宋_GB2312" w:eastAsia="仿宋_GB2312" w:cs="仿宋_GB2312"/>
          <w:szCs w:val="24"/>
          <w:lang w:eastAsia="zh-CN"/>
        </w:rPr>
        <w:t>（5）法定代表人证明</w:t>
      </w:r>
      <w:r>
        <w:rPr>
          <w:rFonts w:hint="eastAsia" w:ascii="仿宋_GB2312" w:hAnsi="仿宋_GB2312" w:eastAsia="仿宋_GB2312" w:cs="仿宋_GB2312"/>
          <w:szCs w:val="24"/>
          <w:lang w:eastAsia="zh-CN"/>
        </w:rPr>
        <w:t>；</w:t>
      </w:r>
    </w:p>
    <w:p>
      <w:pPr>
        <w:pStyle w:val="39"/>
        <w:spacing w:line="320" w:lineRule="exact"/>
        <w:ind w:firstLine="480" w:firstLineChars="200"/>
        <w:rPr>
          <w:rFonts w:hint="eastAsia" w:ascii="仿宋_GB2312" w:hAnsi="仿宋_GB2312" w:eastAsia="仿宋_GB2312" w:cs="仿宋_GB2312"/>
          <w:szCs w:val="24"/>
          <w:lang w:eastAsia="zh-CN"/>
        </w:rPr>
      </w:pPr>
      <w:r>
        <w:rPr>
          <w:rFonts w:ascii="仿宋_GB2312" w:hAnsi="仿宋_GB2312" w:eastAsia="仿宋_GB2312" w:cs="仿宋_GB2312"/>
          <w:szCs w:val="24"/>
          <w:lang w:eastAsia="zh-CN"/>
        </w:rPr>
        <w:t>（6）投标人营业执照、</w:t>
      </w:r>
      <w:r>
        <w:rPr>
          <w:rFonts w:ascii="仿宋_GB2312" w:hAnsi="仿宋_GB2312" w:eastAsia="仿宋_GB2312" w:cs="仿宋_GB2312"/>
          <w:szCs w:val="21"/>
        </w:rPr>
        <w:t>组织机构代码证</w:t>
      </w:r>
      <w:r>
        <w:rPr>
          <w:rFonts w:ascii="仿宋_GB2312" w:hAnsi="仿宋_GB2312" w:eastAsia="仿宋_GB2312" w:cs="仿宋_GB2312"/>
          <w:szCs w:val="24"/>
          <w:lang w:eastAsia="zh-CN"/>
        </w:rPr>
        <w:t>（复印件加盖行政公章）</w:t>
      </w:r>
      <w:r>
        <w:rPr>
          <w:rFonts w:hint="eastAsia" w:ascii="仿宋_GB2312" w:hAnsi="仿宋_GB2312" w:eastAsia="仿宋_GB2312" w:cs="仿宋_GB2312"/>
          <w:szCs w:val="24"/>
          <w:lang w:eastAsia="zh-CN"/>
        </w:rPr>
        <w:t>；</w:t>
      </w:r>
    </w:p>
    <w:p>
      <w:pPr>
        <w:pStyle w:val="39"/>
        <w:spacing w:line="320" w:lineRule="exact"/>
        <w:ind w:firstLine="480" w:firstLineChars="200"/>
        <w:rPr>
          <w:rFonts w:hint="eastAsia" w:ascii="仿宋_GB2312" w:hAnsi="仿宋_GB2312" w:eastAsia="仿宋_GB2312" w:cs="仿宋_GB2312"/>
          <w:szCs w:val="24"/>
          <w:lang w:eastAsia="zh-CN"/>
        </w:rPr>
      </w:pPr>
      <w:r>
        <w:rPr>
          <w:rFonts w:ascii="仿宋_GB2312" w:hAnsi="仿宋_GB2312" w:eastAsia="仿宋_GB2312" w:cs="仿宋_GB2312"/>
          <w:szCs w:val="24"/>
          <w:lang w:eastAsia="zh-CN"/>
        </w:rPr>
        <w:t>（7）投标人资格证明文件</w:t>
      </w:r>
      <w:r>
        <w:rPr>
          <w:rFonts w:hint="eastAsia" w:ascii="仿宋_GB2312" w:hAnsi="仿宋_GB2312" w:eastAsia="仿宋_GB2312" w:cs="仿宋_GB2312"/>
          <w:szCs w:val="24"/>
          <w:lang w:eastAsia="zh-CN"/>
        </w:rPr>
        <w:t>；</w:t>
      </w:r>
    </w:p>
    <w:p>
      <w:pPr>
        <w:tabs>
          <w:tab w:val="left" w:pos="1260"/>
        </w:tabs>
        <w:spacing w:line="320" w:lineRule="exact"/>
        <w:ind w:firstLine="480" w:firstLineChars="200"/>
        <w:rPr>
          <w:rFonts w:hint="eastAsia" w:ascii="仿宋_GB2312" w:hAnsi="仿宋_GB2312" w:eastAsia="仿宋_GB2312" w:cs="仿宋_GB2312"/>
          <w:sz w:val="28"/>
          <w:szCs w:val="28"/>
        </w:rPr>
      </w:pPr>
      <w:r>
        <w:rPr>
          <w:rFonts w:ascii="仿宋_GB2312" w:hAnsi="仿宋_GB2312" w:eastAsia="仿宋_GB2312" w:cs="仿宋_GB2312"/>
          <w:kern w:val="0"/>
          <w:sz w:val="24"/>
          <w:szCs w:val="24"/>
        </w:rPr>
        <w:t>（8）项目组织管理机构</w:t>
      </w:r>
      <w:r>
        <w:rPr>
          <w:rFonts w:hint="eastAsia" w:ascii="仿宋_GB2312" w:hAnsi="仿宋_GB2312" w:eastAsia="仿宋_GB2312" w:cs="仿宋_GB2312"/>
          <w:kern w:val="0"/>
          <w:sz w:val="24"/>
          <w:szCs w:val="24"/>
        </w:rPr>
        <w:t>；</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（9）投标</w:t>
      </w:r>
      <w:r>
        <w:rPr>
          <w:rFonts w:hint="eastAsia" w:ascii="仿宋_GB2312" w:hAnsi="仿宋_GB2312" w:eastAsia="仿宋_GB2312" w:cs="仿宋_GB2312"/>
          <w:szCs w:val="24"/>
          <w:lang w:eastAsia="zh-CN"/>
        </w:rPr>
        <w:t>人</w:t>
      </w:r>
      <w:r>
        <w:rPr>
          <w:rFonts w:ascii="仿宋_GB2312" w:hAnsi="仿宋_GB2312" w:eastAsia="仿宋_GB2312" w:cs="仿宋_GB2312"/>
          <w:szCs w:val="24"/>
          <w:lang w:eastAsia="zh-CN"/>
        </w:rPr>
        <w:t>的主要类似业绩；</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eastAsia="zh-CN"/>
        </w:rPr>
        <w:t>（10）售后服务</w:t>
      </w:r>
      <w:r>
        <w:rPr>
          <w:rFonts w:ascii="仿宋_GB2312" w:hAnsi="仿宋_GB2312" w:eastAsia="仿宋_GB2312" w:cs="仿宋_GB2312"/>
          <w:szCs w:val="24"/>
          <w:lang w:val="en-US" w:eastAsia="zh-CN"/>
        </w:rPr>
        <w:t>保证措施；</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（11）商务偏离表；</w:t>
      </w:r>
    </w:p>
    <w:p>
      <w:pPr>
        <w:pStyle w:val="39"/>
        <w:spacing w:line="320" w:lineRule="exact"/>
        <w:ind w:firstLine="480" w:firstLineChars="200"/>
        <w:rPr>
          <w:rFonts w:hint="eastAsia" w:ascii="仿宋_GB2312" w:hAnsi="仿宋_GB2312" w:eastAsia="仿宋_GB2312" w:cs="仿宋_GB2312"/>
          <w:szCs w:val="24"/>
          <w:lang w:val="en-US" w:eastAsia="zh-CN"/>
        </w:rPr>
      </w:pPr>
      <w:r>
        <w:rPr>
          <w:rFonts w:ascii="仿宋_GB2312" w:hAnsi="仿宋_GB2312" w:eastAsia="仿宋_GB2312" w:cs="仿宋_GB2312"/>
          <w:szCs w:val="24"/>
          <w:lang w:val="en-US" w:eastAsia="zh-CN"/>
        </w:rPr>
        <w:t>（1</w:t>
      </w:r>
      <w:r>
        <w:rPr>
          <w:rFonts w:hint="eastAsia" w:ascii="仿宋_GB2312" w:hAnsi="仿宋_GB2312" w:eastAsia="仿宋_GB2312" w:cs="仿宋_GB2312"/>
          <w:szCs w:val="24"/>
          <w:lang w:val="en-US" w:eastAsia="zh-CN"/>
        </w:rPr>
        <w:t>2</w:t>
      </w:r>
      <w:r>
        <w:rPr>
          <w:rFonts w:ascii="仿宋_GB2312" w:hAnsi="仿宋_GB2312" w:eastAsia="仿宋_GB2312" w:cs="仿宋_GB2312"/>
          <w:szCs w:val="24"/>
          <w:lang w:val="en-US" w:eastAsia="zh-CN"/>
        </w:rPr>
        <w:t>）</w:t>
      </w:r>
      <w:r>
        <w:rPr>
          <w:rFonts w:hint="eastAsia" w:ascii="仿宋_GB2312" w:hAnsi="仿宋_GB2312" w:eastAsia="仿宋_GB2312" w:cs="仿宋_GB2312"/>
          <w:szCs w:val="24"/>
          <w:lang w:val="en-US" w:eastAsia="zh-CN"/>
        </w:rPr>
        <w:t>保证金缴纳凭证；</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（13）退还保证金说明函；</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（14）中小企业声明函（符合本声明函填写）</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（15）残疾人福利性单位声明函（符合本声明函填写）</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（16）其他补充资料</w:t>
      </w:r>
    </w:p>
    <w:p>
      <w:pPr>
        <w:pStyle w:val="14"/>
        <w:overflowPunct w:val="0"/>
        <w:spacing w:line="320" w:lineRule="exact"/>
        <w:ind w:right="-15" w:firstLine="405" w:firstLineChars="16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2.1.2  技术部分：</w:t>
      </w:r>
    </w:p>
    <w:p>
      <w:pPr>
        <w:tabs>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（1）技术方案</w:t>
      </w:r>
    </w:p>
    <w:p>
      <w:pPr>
        <w:tabs>
          <w:tab w:val="left" w:pos="720"/>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（2）实施方案</w:t>
      </w:r>
    </w:p>
    <w:p>
      <w:pPr>
        <w:tabs>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（3）培训方案</w:t>
      </w:r>
    </w:p>
    <w:p>
      <w:pPr>
        <w:tabs>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（4）售后服务方案</w:t>
      </w:r>
    </w:p>
    <w:p>
      <w:pPr>
        <w:tabs>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（5）技术条款偏离表</w:t>
      </w:r>
    </w:p>
    <w:p>
      <w:pPr>
        <w:tabs>
          <w:tab w:val="left" w:pos="1260"/>
        </w:tabs>
        <w:spacing w:line="320" w:lineRule="exact"/>
        <w:ind w:left="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（6）其它文件</w:t>
      </w:r>
    </w:p>
    <w:p>
      <w:pPr>
        <w:pStyle w:val="39"/>
        <w:spacing w:line="320" w:lineRule="exact"/>
        <w:ind w:firstLine="482" w:firstLineChars="200"/>
        <w:rPr>
          <w:rFonts w:ascii="仿宋_GB2312" w:hAnsi="仿宋_GB2312" w:eastAsia="仿宋_GB2312" w:cs="仿宋_GB2312"/>
          <w:b/>
          <w:szCs w:val="24"/>
          <w:lang w:eastAsia="zh-CN"/>
        </w:rPr>
      </w:pPr>
      <w:r>
        <w:rPr>
          <w:rFonts w:ascii="仿宋_GB2312" w:hAnsi="仿宋_GB2312" w:eastAsia="仿宋_GB2312" w:cs="仿宋_GB2312"/>
          <w:b/>
          <w:szCs w:val="24"/>
          <w:lang w:eastAsia="zh-CN"/>
        </w:rPr>
        <w:t>3、投标报价</w:t>
      </w:r>
    </w:p>
    <w:p>
      <w:pPr>
        <w:pStyle w:val="39"/>
        <w:spacing w:line="320" w:lineRule="exact"/>
        <w:ind w:firstLine="480" w:firstLineChars="200"/>
        <w:jc w:val="both"/>
        <w:rPr>
          <w:rFonts w:ascii="仿宋_GB2312" w:hAnsi="仿宋_GB2312" w:eastAsia="仿宋_GB2312" w:cs="仿宋_GB2312"/>
          <w:sz w:val="28"/>
          <w:szCs w:val="28"/>
        </w:rPr>
      </w:pPr>
      <w:r>
        <w:rPr>
          <w:rFonts w:ascii="仿宋_GB2312" w:hAnsi="仿宋_GB2312" w:eastAsia="仿宋_GB2312" w:cs="仿宋_GB2312"/>
          <w:szCs w:val="24"/>
          <w:lang w:eastAsia="zh-CN"/>
        </w:rPr>
        <w:t>3.1 报价应为此项目所有工作内容的一切费用，且报价为最终报价。投标人应按招标文件第四章“</w:t>
      </w:r>
      <w:r>
        <w:rPr>
          <w:rFonts w:ascii="仿宋_GB2312" w:hAnsi="仿宋_GB2312" w:eastAsia="仿宋_GB2312" w:cs="仿宋_GB2312"/>
        </w:rPr>
        <w:t>货物技术规格要求</w:t>
      </w:r>
      <w:r>
        <w:rPr>
          <w:rFonts w:ascii="仿宋_GB2312" w:hAnsi="仿宋_GB2312" w:eastAsia="仿宋_GB2312" w:cs="仿宋_GB2312"/>
          <w:szCs w:val="24"/>
          <w:lang w:eastAsia="zh-CN"/>
        </w:rPr>
        <w:t>” 要求的内容全部报价，投标报价应包括：备品备件及专用工具费用、外购件、外协件、 配套件、原材料及系统方案设计生产、检验、油漆、包装、保险、利税、管理、安装、调试、监测检验、验收、运杂费等全部费用。投标人在现场调试的全部过程中所发生的人员食宿等费用，保质期内的保修费等均包括在投标总报价之内。</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3.2 投标人应如实编制投标文件内容。投标文件中，既要提供总报价，也要提供详单，不得缺项、漏项，如有缺漏</w:t>
      </w:r>
      <w:r>
        <w:rPr>
          <w:rFonts w:hint="eastAsia" w:ascii="仿宋_GB2312" w:hAnsi="仿宋_GB2312" w:eastAsia="仿宋_GB2312" w:cs="仿宋_GB2312"/>
          <w:szCs w:val="24"/>
          <w:lang w:val="en-US" w:eastAsia="zh-CN"/>
        </w:rPr>
        <w:t>项</w:t>
      </w:r>
      <w:r>
        <w:rPr>
          <w:rFonts w:ascii="仿宋_GB2312" w:hAnsi="仿宋_GB2312" w:eastAsia="仿宋_GB2312" w:cs="仿宋_GB2312"/>
          <w:szCs w:val="24"/>
          <w:lang w:eastAsia="zh-CN"/>
        </w:rPr>
        <w:t>视为已包含在此工作范围内。</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3.3 投标报价的修正，</w:t>
      </w:r>
      <w:r>
        <w:rPr>
          <w:rFonts w:hint="eastAsia" w:ascii="仿宋_GB2312" w:hAnsi="仿宋_GB2312" w:eastAsia="仿宋_GB2312" w:cs="仿宋_GB2312"/>
          <w:szCs w:val="24"/>
          <w:lang w:eastAsia="zh-CN"/>
        </w:rPr>
        <w:t>如开标一览表（报价表）内容与投标文件中相应内容不一致的，以开标一览表（报价表）为准；</w:t>
      </w:r>
      <w:r>
        <w:rPr>
          <w:rFonts w:ascii="仿宋_GB2312" w:hAnsi="仿宋_GB2312" w:eastAsia="仿宋_GB2312" w:cs="仿宋_GB2312"/>
          <w:szCs w:val="24"/>
          <w:lang w:eastAsia="zh-CN"/>
        </w:rPr>
        <w:t>如单价和总价不符，以单价累计为准</w:t>
      </w:r>
      <w:r>
        <w:rPr>
          <w:rFonts w:hint="eastAsia" w:ascii="仿宋_GB2312" w:hAnsi="仿宋_GB2312" w:eastAsia="仿宋_GB2312" w:cs="仿宋_GB2312"/>
          <w:szCs w:val="24"/>
          <w:lang w:eastAsia="zh-CN"/>
        </w:rPr>
        <w:t>；</w:t>
      </w:r>
      <w:r>
        <w:rPr>
          <w:rFonts w:ascii="仿宋_GB2312" w:hAnsi="仿宋_GB2312" w:eastAsia="仿宋_GB2312" w:cs="仿宋_GB2312"/>
          <w:szCs w:val="24"/>
          <w:lang w:eastAsia="zh-CN"/>
        </w:rPr>
        <w:t>如小写和大写不符，以大写为准。所有投标报价均保留到小数点后2位。</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3.4 为完成本招标文件规定的义务，投标人认为有必要计入的其他费用也应包含在投标总价内。</w:t>
      </w:r>
    </w:p>
    <w:p>
      <w:pPr>
        <w:pStyle w:val="39"/>
        <w:spacing w:line="320" w:lineRule="exact"/>
        <w:ind w:firstLine="480" w:firstLineChars="200"/>
        <w:rPr>
          <w:rFonts w:ascii="仿宋_GB2312" w:hAnsi="仿宋_GB2312" w:eastAsia="仿宋_GB2312" w:cs="仿宋_GB2312"/>
          <w:szCs w:val="24"/>
          <w:lang w:eastAsia="zh-CN"/>
        </w:rPr>
      </w:pPr>
      <w:r>
        <w:rPr>
          <w:rFonts w:ascii="仿宋_GB2312" w:hAnsi="仿宋_GB2312" w:eastAsia="仿宋_GB2312" w:cs="仿宋_GB2312"/>
          <w:szCs w:val="24"/>
          <w:lang w:eastAsia="zh-CN"/>
        </w:rPr>
        <w:t>在合同实施期间，本项目合同价不随国家政策或法规、标准及市场因素的变化而进行调整。</w:t>
      </w:r>
    </w:p>
    <w:p>
      <w:pPr>
        <w:pStyle w:val="91"/>
        <w:tabs>
          <w:tab w:val="left" w:pos="540"/>
        </w:tabs>
        <w:spacing w:line="320" w:lineRule="exact"/>
        <w:ind w:firstLineChars="0"/>
        <w:rPr>
          <w:rFonts w:ascii="仿宋_GB2312" w:hAnsi="仿宋_GB2312" w:eastAsia="仿宋_GB2312" w:cs="仿宋_GB2312"/>
          <w:kern w:val="0"/>
          <w:szCs w:val="24"/>
        </w:rPr>
      </w:pPr>
      <w:r>
        <w:rPr>
          <w:rFonts w:ascii="仿宋_GB2312" w:hAnsi="仿宋_GB2312" w:eastAsia="仿宋_GB2312" w:cs="仿宋_GB2312"/>
          <w:kern w:val="0"/>
          <w:szCs w:val="24"/>
        </w:rPr>
        <w:t>3.5投标人应充分了解项目内容及任何其他足以影响其投标报价的情况。任何因中标人忽视或误解项目基本情况，而使采购人在项目实施过程中蒙受的损失，将由中标人对采购人进行赔偿。</w:t>
      </w:r>
    </w:p>
    <w:p>
      <w:pPr>
        <w:pStyle w:val="39"/>
        <w:spacing w:line="320" w:lineRule="exact"/>
        <w:ind w:firstLine="482" w:firstLineChars="200"/>
        <w:rPr>
          <w:rFonts w:ascii="仿宋_GB2312" w:hAnsi="仿宋_GB2312" w:eastAsia="仿宋_GB2312" w:cs="仿宋_GB2312"/>
          <w:b/>
          <w:szCs w:val="24"/>
          <w:lang w:eastAsia="zh-CN"/>
        </w:rPr>
      </w:pPr>
      <w:r>
        <w:rPr>
          <w:rFonts w:ascii="仿宋_GB2312" w:hAnsi="仿宋_GB2312" w:eastAsia="仿宋_GB2312" w:cs="仿宋_GB2312"/>
          <w:b/>
          <w:szCs w:val="24"/>
          <w:lang w:eastAsia="zh-CN"/>
        </w:rPr>
        <w:t>4、投标有效期</w:t>
      </w:r>
    </w:p>
    <w:p>
      <w:pPr>
        <w:pStyle w:val="91"/>
        <w:tabs>
          <w:tab w:val="left" w:pos="540"/>
        </w:tabs>
        <w:spacing w:line="320" w:lineRule="exact"/>
        <w:ind w:firstLineChars="0"/>
        <w:rPr>
          <w:rFonts w:ascii="仿宋_GB2312" w:hAnsi="仿宋_GB2312" w:eastAsia="仿宋_GB2312" w:cs="仿宋_GB2312"/>
          <w:kern w:val="0"/>
          <w:szCs w:val="24"/>
        </w:rPr>
      </w:pPr>
      <w:r>
        <w:rPr>
          <w:rFonts w:ascii="仿宋_GB2312" w:hAnsi="仿宋_GB2312" w:eastAsia="仿宋_GB2312" w:cs="仿宋_GB2312"/>
          <w:kern w:val="0"/>
          <w:szCs w:val="24"/>
        </w:rPr>
        <w:t>投标有效期为</w:t>
      </w:r>
      <w:r>
        <w:rPr>
          <w:rFonts w:hint="eastAsia" w:ascii="仿宋_GB2312" w:hAnsi="仿宋_GB2312" w:eastAsia="仿宋_GB2312" w:cs="仿宋_GB2312"/>
          <w:kern w:val="0"/>
          <w:szCs w:val="24"/>
          <w:lang w:val="en-US" w:eastAsia="zh-CN"/>
        </w:rPr>
        <w:t>90</w:t>
      </w:r>
      <w:r>
        <w:rPr>
          <w:rFonts w:hint="eastAsia" w:ascii="仿宋_GB2312" w:hAnsi="仿宋_GB2312" w:eastAsia="仿宋_GB2312" w:cs="仿宋_GB2312"/>
          <w:kern w:val="0"/>
          <w:szCs w:val="24"/>
          <w:lang w:eastAsia="zh-CN"/>
        </w:rPr>
        <w:t>日历日</w:t>
      </w:r>
      <w:r>
        <w:rPr>
          <w:rFonts w:ascii="仿宋_GB2312" w:hAnsi="仿宋_GB2312" w:eastAsia="仿宋_GB2312" w:cs="仿宋_GB2312"/>
          <w:kern w:val="0"/>
          <w:szCs w:val="24"/>
        </w:rPr>
        <w:t>，投标人在投标有效期内不得要求撤销或修改其投标文件。</w:t>
      </w:r>
    </w:p>
    <w:p>
      <w:pPr>
        <w:spacing w:line="320" w:lineRule="exact"/>
        <w:ind w:firstLine="472" w:firstLineChars="196"/>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5、投标保证金</w:t>
      </w:r>
    </w:p>
    <w:p>
      <w:pPr>
        <w:pStyle w:val="91"/>
        <w:tabs>
          <w:tab w:val="left" w:pos="540"/>
        </w:tabs>
        <w:spacing w:line="320" w:lineRule="exact"/>
        <w:rPr>
          <w:rFonts w:ascii="仿宋_GB2312" w:hAnsi="仿宋_GB2312" w:eastAsia="仿宋_GB2312" w:cs="仿宋_GB2312"/>
          <w:kern w:val="0"/>
          <w:szCs w:val="24"/>
        </w:rPr>
      </w:pPr>
      <w:r>
        <w:rPr>
          <w:rFonts w:ascii="仿宋_GB2312" w:hAnsi="仿宋_GB2312" w:eastAsia="仿宋_GB2312" w:cs="仿宋_GB2312"/>
          <w:kern w:val="0"/>
          <w:szCs w:val="24"/>
        </w:rPr>
        <w:t>5.1 投标人应提交“投标人须知前附表”规定数额的投标保证金，并作为其投标文件的组成部分。</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5.2投标保证金用于保护本次招标免受投标人的违规、违约行为而引起的风险。</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5.3投标保证金应用人民币，由投标人按招标文件明确</w:t>
      </w:r>
      <w:r>
        <w:rPr>
          <w:rFonts w:hint="eastAsia" w:ascii="仿宋_GB2312" w:hAnsi="仿宋_GB2312" w:eastAsia="仿宋_GB2312" w:cs="仿宋_GB2312"/>
          <w:kern w:val="0"/>
          <w:sz w:val="24"/>
          <w:szCs w:val="24"/>
          <w:lang w:eastAsia="zh-CN"/>
        </w:rPr>
        <w:t>支付方式</w:t>
      </w:r>
      <w:r>
        <w:rPr>
          <w:rFonts w:ascii="仿宋_GB2312" w:hAnsi="仿宋_GB2312" w:eastAsia="仿宋_GB2312" w:cs="仿宋_GB2312"/>
          <w:kern w:val="0"/>
          <w:sz w:val="24"/>
          <w:szCs w:val="24"/>
        </w:rPr>
        <w:t>的数额办理，于开标前</w:t>
      </w:r>
      <w:r>
        <w:rPr>
          <w:rFonts w:hint="eastAsia" w:ascii="仿宋_GB2312" w:hAnsi="仿宋_GB2312" w:eastAsia="仿宋_GB2312" w:cs="仿宋_GB2312"/>
          <w:kern w:val="0"/>
          <w:sz w:val="24"/>
          <w:szCs w:val="24"/>
          <w:lang w:val="en-US" w:eastAsia="zh-CN"/>
        </w:rPr>
        <w:t>1</w:t>
      </w:r>
      <w:r>
        <w:rPr>
          <w:rFonts w:ascii="仿宋_GB2312" w:hAnsi="仿宋_GB2312" w:eastAsia="仿宋_GB2312" w:cs="仿宋_GB2312"/>
          <w:kern w:val="0"/>
          <w:sz w:val="24"/>
          <w:szCs w:val="24"/>
        </w:rPr>
        <w:t>天交招标代理机构，对未按要求提交投标保证金的投标文件，招标代理机构将视为不响应投标而予以拒绝。</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5.4未中标人的投标保证金，将在开标结果公</w:t>
      </w:r>
      <w:r>
        <w:rPr>
          <w:rFonts w:hint="eastAsia" w:ascii="仿宋_GB2312" w:hAnsi="仿宋_GB2312" w:eastAsia="仿宋_GB2312" w:cs="仿宋_GB2312"/>
          <w:kern w:val="0"/>
          <w:sz w:val="24"/>
          <w:szCs w:val="24"/>
        </w:rPr>
        <w:t>示</w:t>
      </w:r>
      <w:r>
        <w:rPr>
          <w:rFonts w:ascii="仿宋_GB2312" w:hAnsi="仿宋_GB2312" w:eastAsia="仿宋_GB2312" w:cs="仿宋_GB2312"/>
          <w:kern w:val="0"/>
          <w:sz w:val="24"/>
          <w:szCs w:val="24"/>
        </w:rPr>
        <w:t>后</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个工作日后</w:t>
      </w:r>
      <w:r>
        <w:rPr>
          <w:rFonts w:ascii="仿宋_GB2312" w:hAnsi="仿宋_GB2312" w:eastAsia="仿宋_GB2312" w:cs="仿宋_GB2312"/>
          <w:kern w:val="0"/>
          <w:sz w:val="24"/>
          <w:szCs w:val="24"/>
        </w:rPr>
        <w:t>予以退还，不计利息。</w:t>
      </w:r>
    </w:p>
    <w:p>
      <w:pPr>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5.5发生以下情况投标保证金可能被没收：</w:t>
      </w:r>
    </w:p>
    <w:p>
      <w:pPr>
        <w:spacing w:line="320" w:lineRule="exact"/>
        <w:ind w:firstLine="54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 xml:space="preserve"> ①如果投标人在投标有效期内撤回投标；或因自身原因，价格误报等不与采购人签订合作合同的；</w:t>
      </w:r>
    </w:p>
    <w:p>
      <w:pPr>
        <w:spacing w:line="320" w:lineRule="exact"/>
        <w:ind w:firstLine="600" w:firstLineChars="25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②合同签订后不能按合同时限要求完成工作成果的；</w:t>
      </w:r>
    </w:p>
    <w:p>
      <w:pPr>
        <w:spacing w:line="320" w:lineRule="exact"/>
        <w:ind w:firstLine="600" w:firstLineChars="25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③所提交的成果文件严重不符合招标文件要求的；</w:t>
      </w:r>
    </w:p>
    <w:p>
      <w:pPr>
        <w:spacing w:line="320" w:lineRule="exact"/>
        <w:ind w:firstLine="600" w:firstLineChars="250"/>
        <w:rPr>
          <w:rFonts w:hint="eastAsia" w:ascii="仿宋_GB2312" w:hAnsi="仿宋_GB2312" w:eastAsia="仿宋_GB2312" w:cs="仿宋_GB2312"/>
          <w:kern w:val="0"/>
          <w:sz w:val="24"/>
          <w:szCs w:val="24"/>
        </w:rPr>
      </w:pPr>
      <w:r>
        <w:rPr>
          <w:rFonts w:ascii="仿宋_GB2312" w:hAnsi="仿宋_GB2312" w:eastAsia="仿宋_GB2312" w:cs="仿宋_GB2312"/>
          <w:kern w:val="0"/>
          <w:sz w:val="24"/>
          <w:szCs w:val="24"/>
        </w:rPr>
        <w:t>④中标人在收到中标通知书后，未按招标文件规定提交履约担保</w:t>
      </w:r>
      <w:r>
        <w:rPr>
          <w:rFonts w:hint="eastAsia" w:ascii="仿宋_GB2312" w:hAnsi="仿宋_GB2312" w:eastAsia="仿宋_GB2312" w:cs="仿宋_GB2312"/>
          <w:kern w:val="0"/>
          <w:sz w:val="24"/>
          <w:szCs w:val="24"/>
        </w:rPr>
        <w:t>的；</w:t>
      </w:r>
    </w:p>
    <w:p>
      <w:pPr>
        <w:spacing w:line="320" w:lineRule="exact"/>
        <w:ind w:firstLine="600" w:firstLineChars="250"/>
        <w:rPr>
          <w:rFonts w:hint="eastAsia" w:ascii="仿宋_GB2312" w:hAnsi="仿宋_GB2312" w:eastAsia="仿宋_GB2312" w:cs="仿宋_GB2312"/>
          <w:kern w:val="0"/>
          <w:sz w:val="24"/>
          <w:szCs w:val="24"/>
        </w:rPr>
      </w:pPr>
      <w:r>
        <w:rPr>
          <w:rFonts w:ascii="仿宋_GB2312" w:hAnsi="仿宋_GB2312" w:eastAsia="仿宋_GB2312" w:cs="仿宋_GB2312"/>
          <w:kern w:val="0"/>
          <w:sz w:val="24"/>
          <w:szCs w:val="24"/>
        </w:rPr>
        <w:t>⑤由于投标人通标、串标等其他违规违纪行为导致开标失败，重新招标的</w:t>
      </w:r>
      <w:r>
        <w:rPr>
          <w:rFonts w:hint="eastAsia" w:ascii="仿宋_GB2312" w:hAnsi="仿宋_GB2312" w:eastAsia="仿宋_GB2312" w:cs="仿宋_GB2312"/>
          <w:kern w:val="0"/>
          <w:sz w:val="24"/>
          <w:szCs w:val="24"/>
        </w:rPr>
        <w:t>；</w:t>
      </w:r>
    </w:p>
    <w:p>
      <w:pPr>
        <w:pStyle w:val="39"/>
        <w:spacing w:line="320" w:lineRule="exact"/>
        <w:ind w:firstLine="482" w:firstLineChars="200"/>
        <w:jc w:val="both"/>
        <w:rPr>
          <w:rFonts w:ascii="仿宋_GB2312" w:hAnsi="仿宋_GB2312" w:eastAsia="仿宋_GB2312" w:cs="仿宋_GB2312"/>
          <w:b/>
          <w:szCs w:val="24"/>
          <w:lang w:eastAsia="zh-CN"/>
        </w:rPr>
      </w:pPr>
      <w:r>
        <w:rPr>
          <w:rFonts w:ascii="仿宋_GB2312" w:hAnsi="仿宋_GB2312" w:eastAsia="仿宋_GB2312" w:cs="仿宋_GB2312"/>
          <w:b/>
          <w:szCs w:val="24"/>
          <w:lang w:eastAsia="zh-CN"/>
        </w:rPr>
        <w:t>6.投标文件的格式</w:t>
      </w:r>
    </w:p>
    <w:p>
      <w:pPr>
        <w:overflowPunct w:val="0"/>
        <w:spacing w:line="320" w:lineRule="exact"/>
        <w:ind w:firstLine="480" w:firstLineChars="200"/>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 投标文件编制格式参照本招标文件第</w:t>
      </w:r>
      <w:r>
        <w:rPr>
          <w:rFonts w:hint="eastAsia" w:ascii="仿宋_GB2312" w:hAnsi="仿宋_GB2312" w:eastAsia="仿宋_GB2312" w:cs="仿宋_GB2312"/>
          <w:kern w:val="0"/>
          <w:sz w:val="24"/>
          <w:szCs w:val="24"/>
        </w:rPr>
        <w:t>五</w:t>
      </w:r>
      <w:r>
        <w:rPr>
          <w:rFonts w:ascii="仿宋_GB2312" w:hAnsi="仿宋_GB2312" w:eastAsia="仿宋_GB2312" w:cs="仿宋_GB2312"/>
          <w:kern w:val="0"/>
          <w:sz w:val="24"/>
          <w:szCs w:val="24"/>
        </w:rPr>
        <w:t>章及招标文件各章节提供的一部分用于编制投标文件时必要的格式，投标人应按此格式编制投标文件。</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6.2 招标文件中未提供格式的部分由投标人自行编制。</w:t>
      </w:r>
    </w:p>
    <w:p>
      <w:pPr>
        <w:pStyle w:val="39"/>
        <w:spacing w:line="320" w:lineRule="exact"/>
        <w:ind w:firstLine="480" w:firstLineChars="200"/>
        <w:jc w:val="both"/>
        <w:rPr>
          <w:rFonts w:hint="eastAsia" w:ascii="仿宋_GB2312" w:hAnsi="仿宋" w:eastAsia="仿宋_GB2312"/>
          <w:szCs w:val="24"/>
          <w:lang w:eastAsia="zh-CN"/>
        </w:rPr>
      </w:pPr>
      <w:r>
        <w:rPr>
          <w:rFonts w:hint="eastAsia" w:ascii="仿宋_GB2312" w:hAnsi="仿宋" w:eastAsia="仿宋_GB2312"/>
          <w:szCs w:val="24"/>
          <w:lang w:eastAsia="zh-CN"/>
        </w:rPr>
        <w:t>6.3 投标文件采用A4纸张规格编制(不含附图、附表)，</w:t>
      </w:r>
      <w:r>
        <w:rPr>
          <w:rFonts w:hint="eastAsia" w:ascii="仿宋_GB2312" w:eastAsia="仿宋_GB2312"/>
        </w:rPr>
        <w:t>投标文件的装订要求：</w:t>
      </w:r>
      <w:r>
        <w:rPr>
          <w:rFonts w:hint="eastAsia" w:ascii="仿宋_GB2312" w:eastAsia="仿宋_GB2312"/>
          <w:b/>
        </w:rPr>
        <w:t>必须胶装</w:t>
      </w:r>
      <w:r>
        <w:rPr>
          <w:rFonts w:hint="eastAsia" w:ascii="仿宋_GB2312" w:eastAsia="仿宋_GB2312"/>
        </w:rPr>
        <w:t>，所有文件装订方法不得以活页方式装订，不可拆装(如打孔、鸭嘴夹等)</w:t>
      </w:r>
      <w:r>
        <w:rPr>
          <w:rFonts w:hint="eastAsia" w:ascii="仿宋_GB2312" w:hAnsi="仿宋" w:eastAsia="仿宋_GB2312"/>
          <w:szCs w:val="24"/>
          <w:lang w:eastAsia="zh-CN"/>
        </w:rPr>
        <w:t>。副本可为正本的复印件，但报价部分应盖章签字，修改处应由投标人全权代表签字或盖章。</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6.4 投标人应认真阅读招标文件的所有内容，检查投标文件内容是否齐全。所编制的投标文件应按招标文件规定的顺序及“投标文件及格式”装订，要求编制目录，逐页标注连续编码。投标文件分为</w:t>
      </w:r>
      <w:r>
        <w:rPr>
          <w:rFonts w:hint="eastAsia" w:ascii="仿宋_GB2312" w:hAnsi="仿宋_GB2312" w:eastAsia="仿宋_GB2312" w:cs="仿宋_GB2312"/>
          <w:szCs w:val="24"/>
          <w:lang w:eastAsia="zh-CN"/>
        </w:rPr>
        <w:t>商务部分</w:t>
      </w:r>
      <w:r>
        <w:rPr>
          <w:rFonts w:ascii="仿宋_GB2312" w:hAnsi="仿宋_GB2312" w:eastAsia="仿宋_GB2312" w:cs="仿宋_GB2312"/>
          <w:szCs w:val="24"/>
          <w:lang w:eastAsia="zh-CN"/>
        </w:rPr>
        <w:t>和</w:t>
      </w:r>
      <w:r>
        <w:rPr>
          <w:rFonts w:hint="eastAsia" w:ascii="仿宋_GB2312" w:hAnsi="仿宋_GB2312" w:eastAsia="仿宋_GB2312" w:cs="仿宋_GB2312"/>
          <w:szCs w:val="24"/>
          <w:lang w:eastAsia="zh-CN"/>
        </w:rPr>
        <w:t>技术部分</w:t>
      </w:r>
      <w:r>
        <w:rPr>
          <w:rFonts w:ascii="仿宋_GB2312" w:hAnsi="仿宋_GB2312" w:eastAsia="仿宋_GB2312" w:cs="仿宋_GB2312"/>
          <w:szCs w:val="24"/>
          <w:lang w:eastAsia="zh-CN"/>
        </w:rPr>
        <w:t>，应区分明显合并装订，否则投标文件将被确定为废标。</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6.5 投标文件的份数：一式</w:t>
      </w:r>
      <w:r>
        <w:rPr>
          <w:rFonts w:hint="eastAsia" w:ascii="仿宋_GB2312" w:hAnsi="仿宋_GB2312" w:eastAsia="仿宋_GB2312" w:cs="仿宋_GB2312"/>
          <w:szCs w:val="24"/>
          <w:lang w:eastAsia="zh-CN"/>
        </w:rPr>
        <w:t>肆</w:t>
      </w:r>
      <w:r>
        <w:rPr>
          <w:rFonts w:ascii="仿宋_GB2312" w:hAnsi="仿宋_GB2312" w:eastAsia="仿宋_GB2312" w:cs="仿宋_GB2312"/>
          <w:szCs w:val="24"/>
          <w:lang w:eastAsia="zh-CN"/>
        </w:rPr>
        <w:t>份。正本</w:t>
      </w:r>
      <w:r>
        <w:rPr>
          <w:rFonts w:hint="eastAsia" w:ascii="仿宋_GB2312" w:hAnsi="仿宋_GB2312" w:eastAsia="仿宋_GB2312" w:cs="仿宋_GB2312"/>
          <w:szCs w:val="24"/>
          <w:lang w:eastAsia="zh-CN"/>
        </w:rPr>
        <w:t>壹</w:t>
      </w:r>
      <w:r>
        <w:rPr>
          <w:rFonts w:ascii="仿宋_GB2312" w:hAnsi="仿宋_GB2312" w:eastAsia="仿宋_GB2312" w:cs="仿宋_GB2312"/>
          <w:szCs w:val="24"/>
          <w:lang w:eastAsia="zh-CN"/>
        </w:rPr>
        <w:t>份，副本</w:t>
      </w:r>
      <w:r>
        <w:rPr>
          <w:rFonts w:hint="eastAsia" w:ascii="仿宋_GB2312" w:hAnsi="仿宋_GB2312" w:eastAsia="仿宋_GB2312" w:cs="仿宋_GB2312"/>
          <w:szCs w:val="24"/>
          <w:lang w:eastAsia="zh-CN"/>
        </w:rPr>
        <w:t>叁</w:t>
      </w:r>
      <w:r>
        <w:rPr>
          <w:rFonts w:ascii="仿宋_GB2312" w:hAnsi="仿宋_GB2312" w:eastAsia="仿宋_GB2312" w:cs="仿宋_GB2312"/>
          <w:szCs w:val="24"/>
          <w:lang w:eastAsia="zh-CN"/>
        </w:rPr>
        <w:t>份，并在投标文件封面右上角注明“正本”“副本</w:t>
      </w:r>
      <w:r>
        <w:rPr>
          <w:rFonts w:hint="eastAsia" w:ascii="仿宋_GB2312" w:hAnsi="仿宋_GB2312" w:eastAsia="仿宋_GB2312" w:cs="仿宋_GB2312"/>
          <w:szCs w:val="24"/>
          <w:lang w:eastAsia="zh-CN"/>
        </w:rPr>
        <w:t>”</w:t>
      </w:r>
      <w:r>
        <w:rPr>
          <w:rFonts w:ascii="仿宋_GB2312" w:hAnsi="仿宋_GB2312" w:eastAsia="仿宋_GB2312" w:cs="仿宋_GB2312"/>
          <w:szCs w:val="24"/>
          <w:lang w:eastAsia="zh-CN"/>
        </w:rPr>
        <w:t>字样，一旦正本和副本不符，以正本为准。参考资料不限量。</w:t>
      </w:r>
    </w:p>
    <w:p>
      <w:pPr>
        <w:pStyle w:val="4"/>
        <w:keepNext w:val="0"/>
        <w:keepLines w:val="0"/>
        <w:overflowPunct w:val="0"/>
        <w:spacing w:line="320" w:lineRule="exact"/>
        <w:ind w:left="420" w:hanging="329"/>
        <w:jc w:val="center"/>
        <w:rPr>
          <w:rFonts w:ascii="仿宋_GB2312" w:hAnsi="仿宋_GB2312" w:eastAsia="仿宋_GB2312" w:cs="仿宋_GB2312"/>
          <w:bCs/>
          <w:kern w:val="0"/>
        </w:rPr>
      </w:pPr>
      <w:r>
        <w:rPr>
          <w:rFonts w:ascii="仿宋_GB2312" w:hAnsi="仿宋_GB2312" w:eastAsia="仿宋_GB2312" w:cs="仿宋_GB2312"/>
          <w:bCs/>
          <w:kern w:val="0"/>
        </w:rPr>
        <w:br w:type="page"/>
      </w:r>
      <w:r>
        <w:rPr>
          <w:rFonts w:ascii="仿宋_GB2312" w:hAnsi="仿宋_GB2312" w:eastAsia="仿宋_GB2312" w:cs="仿宋_GB2312"/>
          <w:bCs/>
          <w:kern w:val="0"/>
        </w:rPr>
        <w:t>四、投标</w:t>
      </w:r>
    </w:p>
    <w:p>
      <w:pPr>
        <w:pStyle w:val="39"/>
        <w:spacing w:line="320" w:lineRule="exact"/>
        <w:ind w:firstLine="482" w:firstLineChars="200"/>
        <w:jc w:val="both"/>
        <w:rPr>
          <w:rFonts w:ascii="仿宋_GB2312" w:hAnsi="仿宋_GB2312" w:eastAsia="仿宋_GB2312" w:cs="仿宋_GB2312"/>
          <w:b/>
          <w:szCs w:val="24"/>
          <w:lang w:eastAsia="zh-CN"/>
        </w:rPr>
      </w:pPr>
      <w:r>
        <w:rPr>
          <w:rFonts w:ascii="仿宋_GB2312" w:hAnsi="仿宋_GB2312" w:eastAsia="仿宋_GB2312" w:cs="仿宋_GB2312"/>
          <w:b/>
          <w:szCs w:val="24"/>
          <w:lang w:eastAsia="zh-CN"/>
        </w:rPr>
        <w:t>1、投标文件的密封和标识：</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（1）投标人应将投标文件的正本和副本</w:t>
      </w:r>
      <w:r>
        <w:rPr>
          <w:rFonts w:ascii="仿宋_GB2312" w:hAnsi="仿宋_GB2312" w:eastAsia="仿宋_GB2312" w:cs="仿宋_GB2312"/>
          <w:b/>
          <w:bCs/>
          <w:szCs w:val="24"/>
          <w:lang w:eastAsia="zh-CN"/>
        </w:rPr>
        <w:t>分开包装</w:t>
      </w:r>
      <w:r>
        <w:rPr>
          <w:rFonts w:ascii="仿宋_GB2312" w:hAnsi="仿宋_GB2312" w:eastAsia="仿宋_GB2312" w:cs="仿宋_GB2312"/>
          <w:szCs w:val="24"/>
          <w:lang w:eastAsia="zh-CN"/>
        </w:rPr>
        <w:t>，加贴封条，并在封套的封口处加盖投标人单位公章。</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（2）投标文件的封套上应清楚地标记“正本”或“副本”字样，同时还应写明：</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①采购人名称；</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②招标项目名称；</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③招标编号；</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④投标人名称；</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⑤投标人法定代表人或委托人姓名及联系电话；</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⑥投标人地址；</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⑦开标前不得启封。</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（3）未按上述规定提交的投标文件将被拒绝，并原封退还给投标人。</w:t>
      </w:r>
    </w:p>
    <w:p>
      <w:pPr>
        <w:pStyle w:val="39"/>
        <w:spacing w:line="320" w:lineRule="exact"/>
        <w:ind w:firstLine="482" w:firstLineChars="200"/>
        <w:jc w:val="both"/>
        <w:rPr>
          <w:rFonts w:ascii="仿宋_GB2312" w:hAnsi="仿宋_GB2312" w:eastAsia="仿宋_GB2312" w:cs="仿宋_GB2312"/>
          <w:b/>
          <w:szCs w:val="24"/>
          <w:lang w:eastAsia="zh-CN"/>
        </w:rPr>
      </w:pPr>
      <w:r>
        <w:rPr>
          <w:rFonts w:ascii="仿宋_GB2312" w:hAnsi="仿宋_GB2312" w:eastAsia="仿宋_GB2312" w:cs="仿宋_GB2312"/>
          <w:b/>
          <w:szCs w:val="24"/>
          <w:lang w:eastAsia="zh-CN"/>
        </w:rPr>
        <w:t>2、有下列情况之一的，其投标文件无效：</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（1）投标文件未按规定密封盖章。</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（2）投标文件逾期送达或未送达指定地点。</w:t>
      </w:r>
    </w:p>
    <w:p>
      <w:pPr>
        <w:pStyle w:val="39"/>
        <w:spacing w:line="320" w:lineRule="exact"/>
        <w:ind w:firstLine="480" w:firstLineChars="200"/>
        <w:jc w:val="both"/>
        <w:rPr>
          <w:rFonts w:ascii="仿宋_GB2312" w:hAnsi="仿宋_GB2312" w:eastAsia="仿宋_GB2312" w:cs="仿宋_GB2312"/>
          <w:szCs w:val="24"/>
          <w:lang w:eastAsia="zh-CN"/>
        </w:rPr>
      </w:pPr>
      <w:r>
        <w:rPr>
          <w:rFonts w:ascii="仿宋_GB2312" w:hAnsi="仿宋_GB2312" w:eastAsia="仿宋_GB2312" w:cs="仿宋_GB2312"/>
          <w:szCs w:val="24"/>
          <w:lang w:eastAsia="zh-CN"/>
        </w:rPr>
        <w:t>（3）提交投标材料不全，字迹涂改模糊、难以辨认。</w:t>
      </w:r>
    </w:p>
    <w:p>
      <w:pPr>
        <w:pStyle w:val="39"/>
        <w:spacing w:line="320" w:lineRule="exact"/>
        <w:ind w:firstLine="482" w:firstLineChars="200"/>
        <w:jc w:val="both"/>
        <w:rPr>
          <w:rFonts w:ascii="仿宋_GB2312" w:hAnsi="仿宋_GB2312" w:eastAsia="仿宋_GB2312" w:cs="仿宋_GB2312"/>
          <w:b/>
          <w:szCs w:val="24"/>
          <w:lang w:eastAsia="zh-CN"/>
        </w:rPr>
      </w:pPr>
      <w:r>
        <w:rPr>
          <w:rFonts w:ascii="仿宋_GB2312" w:hAnsi="仿宋_GB2312" w:eastAsia="仿宋_GB2312" w:cs="仿宋_GB2312"/>
          <w:b/>
          <w:szCs w:val="24"/>
          <w:lang w:eastAsia="zh-CN"/>
        </w:rPr>
        <w:t>3、投标文件的递交：</w:t>
      </w:r>
    </w:p>
    <w:p>
      <w:pPr>
        <w:pStyle w:val="39"/>
        <w:spacing w:line="320" w:lineRule="exact"/>
        <w:ind w:firstLine="480" w:firstLineChars="200"/>
        <w:jc w:val="both"/>
        <w:rPr>
          <w:rFonts w:ascii="仿宋_GB2312" w:hAnsi="仿宋_GB2312" w:eastAsia="仿宋_GB2312" w:cs="仿宋_GB2312"/>
          <w:b/>
          <w:bCs/>
          <w:szCs w:val="24"/>
          <w:lang w:eastAsia="zh-CN"/>
        </w:rPr>
      </w:pPr>
      <w:r>
        <w:rPr>
          <w:rFonts w:ascii="仿宋_GB2312" w:hAnsi="仿宋_GB2312" w:eastAsia="仿宋_GB2312" w:cs="仿宋_GB2312"/>
          <w:szCs w:val="24"/>
          <w:lang w:eastAsia="zh-CN"/>
        </w:rPr>
        <w:t>（1）</w:t>
      </w:r>
      <w:r>
        <w:rPr>
          <w:rFonts w:ascii="仿宋_GB2312" w:hAnsi="仿宋_GB2312" w:eastAsia="仿宋_GB2312" w:cs="仿宋_GB2312"/>
          <w:b/>
          <w:bCs/>
          <w:szCs w:val="24"/>
          <w:lang w:eastAsia="zh-CN"/>
        </w:rPr>
        <w:t>投标</w:t>
      </w:r>
      <w:r>
        <w:rPr>
          <w:rFonts w:ascii="仿宋_GB2312" w:hAnsi="仿宋_GB2312" w:eastAsia="仿宋_GB2312" w:cs="仿宋_GB2312"/>
          <w:b/>
          <w:bCs/>
          <w:szCs w:val="24"/>
          <w:lang w:val="en-US" w:eastAsia="zh-CN"/>
        </w:rPr>
        <w:t>人应在20</w:t>
      </w:r>
      <w:r>
        <w:rPr>
          <w:rFonts w:hint="eastAsia" w:ascii="仿宋_GB2312" w:hAnsi="仿宋_GB2312" w:eastAsia="仿宋_GB2312" w:cs="仿宋_GB2312"/>
          <w:b/>
          <w:bCs/>
          <w:szCs w:val="24"/>
          <w:lang w:val="en-US" w:eastAsia="zh-CN"/>
        </w:rPr>
        <w:t>22</w:t>
      </w:r>
      <w:r>
        <w:rPr>
          <w:rFonts w:ascii="仿宋_GB2312" w:hAnsi="仿宋_GB2312" w:eastAsia="仿宋_GB2312" w:cs="仿宋_GB2312"/>
          <w:b/>
          <w:bCs/>
          <w:szCs w:val="24"/>
          <w:lang w:val="en-US" w:eastAsia="zh-CN"/>
        </w:rPr>
        <w:t>年</w:t>
      </w:r>
      <w:r>
        <w:rPr>
          <w:rFonts w:hint="eastAsia" w:ascii="仿宋_GB2312" w:hAnsi="仿宋_GB2312" w:eastAsia="仿宋_GB2312" w:cs="仿宋_GB2312"/>
          <w:b/>
          <w:bCs/>
          <w:szCs w:val="24"/>
          <w:lang w:val="en-US" w:eastAsia="zh-CN"/>
        </w:rPr>
        <w:t>05月16日16:00</w:t>
      </w:r>
      <w:r>
        <w:rPr>
          <w:rFonts w:ascii="仿宋_GB2312" w:hAnsi="仿宋_GB2312" w:eastAsia="仿宋_GB2312" w:cs="仿宋_GB2312"/>
          <w:b/>
          <w:bCs/>
          <w:szCs w:val="24"/>
          <w:lang w:val="en-US" w:eastAsia="zh-CN"/>
        </w:rPr>
        <w:t>（北京时间）</w:t>
      </w:r>
      <w:r>
        <w:rPr>
          <w:rFonts w:ascii="仿宋_GB2312" w:hAnsi="仿宋_GB2312" w:eastAsia="仿宋_GB2312" w:cs="仿宋_GB2312"/>
          <w:b/>
          <w:bCs/>
          <w:szCs w:val="24"/>
          <w:lang w:eastAsia="zh-CN"/>
        </w:rPr>
        <w:t>前按招标文件要求密封递交投标文件。</w:t>
      </w:r>
    </w:p>
    <w:p>
      <w:pPr>
        <w:pStyle w:val="39"/>
        <w:spacing w:line="320" w:lineRule="exact"/>
        <w:ind w:firstLine="482" w:firstLineChars="200"/>
        <w:jc w:val="both"/>
        <w:rPr>
          <w:rFonts w:hint="eastAsia" w:ascii="仿宋" w:hAnsi="仿宋" w:eastAsia="仿宋" w:cs="仿宋"/>
          <w:b/>
          <w:bCs/>
          <w:sz w:val="24"/>
          <w:szCs w:val="24"/>
          <w:lang w:val="en-US" w:eastAsia="zh-CN"/>
        </w:rPr>
      </w:pPr>
      <w:r>
        <w:rPr>
          <w:rFonts w:ascii="仿宋_GB2312" w:hAnsi="仿宋_GB2312" w:eastAsia="仿宋_GB2312" w:cs="仿宋_GB2312"/>
          <w:b/>
          <w:bCs/>
          <w:szCs w:val="24"/>
          <w:lang w:eastAsia="zh-CN"/>
        </w:rPr>
        <w:t>（2）投标文件的递</w:t>
      </w:r>
      <w:r>
        <w:rPr>
          <w:rFonts w:hint="eastAsia" w:ascii="仿宋" w:hAnsi="仿宋" w:eastAsia="仿宋" w:cs="仿宋"/>
          <w:b/>
          <w:bCs/>
          <w:sz w:val="24"/>
          <w:szCs w:val="24"/>
          <w:lang w:eastAsia="zh-CN"/>
        </w:rPr>
        <w:t>交</w:t>
      </w:r>
      <w:r>
        <w:rPr>
          <w:rFonts w:hint="eastAsia" w:ascii="仿宋" w:hAnsi="仿宋" w:eastAsia="仿宋" w:cs="仿宋"/>
          <w:b/>
          <w:bCs/>
          <w:sz w:val="24"/>
          <w:szCs w:val="24"/>
          <w:lang w:val="en-US" w:eastAsia="zh-CN"/>
        </w:rPr>
        <w:t>地点：中建鼎正项目管理有限公司 （乌鲁木齐市天山区东泉路1568号世界冠郡一期9号楼107室二层会议室）。</w:t>
      </w:r>
    </w:p>
    <w:p>
      <w:pPr>
        <w:pStyle w:val="4"/>
        <w:keepNext w:val="0"/>
        <w:keepLines w:val="0"/>
        <w:overflowPunct w:val="0"/>
        <w:spacing w:line="320" w:lineRule="exact"/>
        <w:ind w:left="420" w:hanging="329"/>
        <w:jc w:val="center"/>
        <w:rPr>
          <w:rFonts w:ascii="仿宋_GB2312" w:hAnsi="仿宋_GB2312" w:eastAsia="仿宋_GB2312" w:cs="仿宋_GB2312"/>
          <w:b/>
          <w:bCs w:val="0"/>
          <w:color w:val="auto"/>
          <w:kern w:val="0"/>
        </w:rPr>
      </w:pPr>
      <w:r>
        <w:rPr>
          <w:rFonts w:ascii="仿宋_GB2312" w:hAnsi="仿宋_GB2312" w:eastAsia="仿宋_GB2312" w:cs="仿宋_GB2312"/>
          <w:b/>
          <w:bCs w:val="0"/>
          <w:color w:val="auto"/>
          <w:kern w:val="0"/>
        </w:rPr>
        <w:t>五、开评标程序</w:t>
      </w:r>
    </w:p>
    <w:p>
      <w:pPr>
        <w:pStyle w:val="92"/>
        <w:overflowPunct w:val="0"/>
        <w:spacing w:line="320" w:lineRule="exact"/>
        <w:ind w:firstLine="482" w:firstLineChars="200"/>
        <w:rPr>
          <w:rFonts w:ascii="仿宋_GB2312" w:hAnsi="仿宋_GB2312" w:eastAsia="仿宋_GB2312" w:cs="仿宋_GB2312"/>
          <w:b/>
          <w:color w:val="auto"/>
          <w:szCs w:val="24"/>
        </w:rPr>
      </w:pPr>
      <w:r>
        <w:rPr>
          <w:rFonts w:ascii="仿宋_GB2312" w:hAnsi="仿宋_GB2312" w:eastAsia="仿宋_GB2312" w:cs="仿宋_GB2312"/>
          <w:b/>
          <w:color w:val="auto"/>
          <w:szCs w:val="24"/>
        </w:rPr>
        <w:t>1. 开标</w:t>
      </w:r>
    </w:p>
    <w:p>
      <w:pPr>
        <w:pStyle w:val="92"/>
        <w:overflowPunct w:val="0"/>
        <w:spacing w:line="320" w:lineRule="exact"/>
        <w:ind w:firstLine="480" w:firstLineChars="200"/>
        <w:rPr>
          <w:rFonts w:ascii="仿宋_GB2312" w:hAnsi="仿宋_GB2312" w:eastAsia="仿宋_GB2312" w:cs="仿宋_GB2312"/>
          <w:color w:val="auto"/>
          <w:szCs w:val="24"/>
        </w:rPr>
      </w:pPr>
      <w:r>
        <w:rPr>
          <w:rFonts w:ascii="仿宋_GB2312" w:hAnsi="仿宋_GB2312" w:eastAsia="仿宋_GB2312" w:cs="仿宋_GB2312"/>
          <w:color w:val="auto"/>
          <w:szCs w:val="24"/>
        </w:rPr>
        <w:t>1.1 招标代理机构将于</w:t>
      </w:r>
      <w:r>
        <w:rPr>
          <w:rFonts w:ascii="仿宋_GB2312" w:hAnsi="仿宋_GB2312" w:eastAsia="仿宋_GB2312" w:cs="仿宋_GB2312"/>
          <w:color w:val="auto"/>
          <w:szCs w:val="24"/>
          <w:lang w:eastAsia="zh-CN"/>
        </w:rPr>
        <w:t>20</w:t>
      </w:r>
      <w:r>
        <w:rPr>
          <w:rFonts w:hint="eastAsia" w:ascii="仿宋_GB2312" w:hAnsi="仿宋_GB2312" w:eastAsia="仿宋_GB2312" w:cs="仿宋_GB2312"/>
          <w:color w:val="auto"/>
          <w:szCs w:val="24"/>
          <w:lang w:val="en-US" w:eastAsia="zh-CN"/>
        </w:rPr>
        <w:t>22</w:t>
      </w:r>
      <w:r>
        <w:rPr>
          <w:rFonts w:ascii="仿宋_GB2312" w:hAnsi="仿宋_GB2312" w:eastAsia="仿宋_GB2312" w:cs="仿宋_GB2312"/>
          <w:color w:val="auto"/>
          <w:szCs w:val="24"/>
          <w:lang w:eastAsia="zh-CN"/>
        </w:rPr>
        <w:t>年</w:t>
      </w:r>
      <w:r>
        <w:rPr>
          <w:rFonts w:hint="eastAsia" w:ascii="仿宋_GB2312" w:hAnsi="仿宋_GB2312" w:eastAsia="仿宋_GB2312" w:cs="仿宋_GB2312"/>
          <w:color w:val="auto"/>
          <w:szCs w:val="24"/>
          <w:lang w:val="en-US" w:eastAsia="zh-CN"/>
        </w:rPr>
        <w:t>05</w:t>
      </w:r>
      <w:r>
        <w:rPr>
          <w:rFonts w:hint="eastAsia" w:ascii="仿宋_GB2312" w:hAnsi="仿宋_GB2312" w:eastAsia="仿宋_GB2312" w:cs="仿宋_GB2312"/>
          <w:color w:val="auto"/>
          <w:szCs w:val="24"/>
          <w:lang w:eastAsia="zh-CN"/>
        </w:rPr>
        <w:t>月</w:t>
      </w:r>
      <w:r>
        <w:rPr>
          <w:rFonts w:hint="eastAsia" w:ascii="仿宋_GB2312" w:hAnsi="仿宋_GB2312" w:eastAsia="仿宋_GB2312" w:cs="仿宋_GB2312"/>
          <w:color w:val="auto"/>
          <w:szCs w:val="24"/>
          <w:lang w:val="en-US" w:eastAsia="zh-CN"/>
        </w:rPr>
        <w:t>16</w:t>
      </w:r>
      <w:r>
        <w:rPr>
          <w:rFonts w:hint="eastAsia" w:ascii="仿宋_GB2312" w:hAnsi="仿宋_GB2312" w:eastAsia="仿宋_GB2312" w:cs="仿宋_GB2312"/>
          <w:color w:val="auto"/>
          <w:szCs w:val="24"/>
          <w:lang w:eastAsia="zh-CN"/>
        </w:rPr>
        <w:t>日</w:t>
      </w:r>
      <w:r>
        <w:rPr>
          <w:rFonts w:hint="eastAsia" w:ascii="仿宋_GB2312" w:hAnsi="仿宋_GB2312" w:eastAsia="仿宋_GB2312" w:cs="仿宋_GB2312"/>
          <w:color w:val="auto"/>
          <w:szCs w:val="24"/>
          <w:lang w:val="en-US" w:eastAsia="zh-CN"/>
        </w:rPr>
        <w:t>16:00</w:t>
      </w:r>
      <w:r>
        <w:rPr>
          <w:rFonts w:ascii="仿宋_GB2312" w:hAnsi="仿宋_GB2312" w:eastAsia="仿宋_GB2312" w:cs="仿宋_GB2312"/>
          <w:color w:val="auto"/>
          <w:szCs w:val="24"/>
          <w:lang w:eastAsia="zh-CN"/>
        </w:rPr>
        <w:t>（北京时间</w:t>
      </w:r>
      <w:r>
        <w:rPr>
          <w:rFonts w:hint="eastAsia" w:ascii="仿宋_GB2312" w:hAnsi="仿宋_GB2312" w:eastAsia="仿宋_GB2312" w:cs="仿宋_GB2312"/>
          <w:color w:val="auto"/>
          <w:szCs w:val="24"/>
          <w:lang w:eastAsia="zh-CN"/>
        </w:rPr>
        <w:t>）</w:t>
      </w:r>
      <w:r>
        <w:rPr>
          <w:rFonts w:ascii="仿宋_GB2312" w:hAnsi="仿宋_GB2312" w:eastAsia="仿宋_GB2312" w:cs="仿宋_GB2312"/>
          <w:color w:val="auto"/>
          <w:szCs w:val="24"/>
        </w:rPr>
        <w:t>在</w:t>
      </w:r>
      <w:r>
        <w:rPr>
          <w:rFonts w:hint="eastAsia" w:ascii="仿宋_GB2312" w:hAnsi="仿宋_GB2312" w:eastAsia="仿宋_GB2312" w:cs="仿宋_GB2312"/>
          <w:color w:val="auto"/>
          <w:szCs w:val="24"/>
        </w:rPr>
        <w:t>乌鲁木齐市天山区东泉路1568号世界冠郡一期9号楼107室</w:t>
      </w:r>
      <w:r>
        <w:rPr>
          <w:rFonts w:hint="eastAsia" w:ascii="仿宋_GB2312" w:hAnsi="仿宋_GB2312" w:eastAsia="仿宋_GB2312" w:cs="仿宋_GB2312"/>
          <w:color w:val="auto"/>
          <w:szCs w:val="24"/>
          <w:lang w:eastAsia="zh-CN"/>
        </w:rPr>
        <w:t>二层会议室</w:t>
      </w:r>
      <w:r>
        <w:rPr>
          <w:rFonts w:ascii="仿宋_GB2312" w:hAnsi="仿宋_GB2312" w:eastAsia="仿宋_GB2312" w:cs="仿宋_GB2312"/>
          <w:color w:val="auto"/>
          <w:szCs w:val="24"/>
        </w:rPr>
        <w:t>举行开标会，并诚邀采购人</w:t>
      </w:r>
      <w:r>
        <w:rPr>
          <w:rFonts w:hint="eastAsia" w:ascii="仿宋_GB2312" w:hAnsi="仿宋_GB2312" w:eastAsia="仿宋_GB2312" w:cs="仿宋_GB2312"/>
          <w:color w:val="auto"/>
          <w:szCs w:val="24"/>
        </w:rPr>
        <w:t>、</w:t>
      </w:r>
      <w:r>
        <w:rPr>
          <w:rFonts w:ascii="仿宋_GB2312" w:hAnsi="仿宋_GB2312" w:eastAsia="仿宋_GB2312" w:cs="仿宋_GB2312"/>
          <w:color w:val="auto"/>
          <w:szCs w:val="24"/>
        </w:rPr>
        <w:t>上级有关主管部门、监督部门和所有投标人参加。</w:t>
      </w:r>
    </w:p>
    <w:p>
      <w:pPr>
        <w:pStyle w:val="92"/>
        <w:overflowPunct w:val="0"/>
        <w:spacing w:line="320" w:lineRule="exact"/>
        <w:ind w:firstLine="480" w:firstLineChars="200"/>
        <w:rPr>
          <w:rFonts w:ascii="仿宋_GB2312" w:hAnsi="仿宋_GB2312" w:eastAsia="仿宋_GB2312" w:cs="仿宋_GB2312"/>
          <w:color w:val="auto"/>
          <w:szCs w:val="24"/>
        </w:rPr>
      </w:pPr>
      <w:r>
        <w:rPr>
          <w:rFonts w:ascii="仿宋_GB2312" w:hAnsi="仿宋_GB2312" w:eastAsia="仿宋_GB2312" w:cs="仿宋_GB2312"/>
          <w:color w:val="auto"/>
          <w:szCs w:val="24"/>
        </w:rPr>
        <w:t>1.2 投标人的法定代表人或授权委托人应出席开标大会并签到。没有签到或没有参加开标大会的投标将被视为自动弃权。</w:t>
      </w:r>
    </w:p>
    <w:p>
      <w:pPr>
        <w:pStyle w:val="92"/>
        <w:overflowPunct w:val="0"/>
        <w:spacing w:line="320" w:lineRule="exact"/>
        <w:ind w:firstLine="480" w:firstLineChars="200"/>
        <w:rPr>
          <w:rFonts w:ascii="仿宋_GB2312" w:hAnsi="仿宋_GB2312" w:eastAsia="仿宋_GB2312" w:cs="仿宋_GB2312"/>
          <w:color w:val="auto"/>
          <w:szCs w:val="24"/>
        </w:rPr>
      </w:pPr>
      <w:r>
        <w:rPr>
          <w:rFonts w:ascii="仿宋_GB2312" w:hAnsi="仿宋_GB2312" w:eastAsia="仿宋_GB2312" w:cs="仿宋_GB2312"/>
          <w:color w:val="auto"/>
          <w:szCs w:val="24"/>
        </w:rPr>
        <w:t>1.3 参加开标的投标人代表必须携带以下证件（或经公证部门公证的加盖公章的复印件），依次交监标人核验，未</w:t>
      </w:r>
      <w:r>
        <w:rPr>
          <w:rFonts w:hint="eastAsia" w:ascii="仿宋_GB2312" w:hAnsi="仿宋_GB2312" w:eastAsia="仿宋_GB2312" w:cs="仿宋_GB2312"/>
          <w:color w:val="auto"/>
          <w:szCs w:val="24"/>
          <w:lang w:eastAsia="zh-CN"/>
        </w:rPr>
        <w:t>要求</w:t>
      </w:r>
      <w:r>
        <w:rPr>
          <w:rFonts w:ascii="仿宋_GB2312" w:hAnsi="仿宋_GB2312" w:eastAsia="仿宋_GB2312" w:cs="仿宋_GB2312"/>
          <w:color w:val="auto"/>
          <w:szCs w:val="24"/>
        </w:rPr>
        <w:t>提供的作不响应招标文件实质内容，予以废标：</w:t>
      </w:r>
    </w:p>
    <w:p>
      <w:pPr>
        <w:pStyle w:val="92"/>
        <w:overflowPunct w:val="0"/>
        <w:spacing w:line="320" w:lineRule="exact"/>
        <w:ind w:firstLine="480" w:firstLineChars="200"/>
        <w:rPr>
          <w:rFonts w:ascii="仿宋_GB2312" w:hAnsi="仿宋_GB2312" w:eastAsia="仿宋_GB2312" w:cs="仿宋_GB2312"/>
          <w:color w:val="auto"/>
          <w:szCs w:val="24"/>
        </w:rPr>
      </w:pPr>
      <w:r>
        <w:rPr>
          <w:rFonts w:ascii="仿宋_GB2312" w:hAnsi="仿宋_GB2312" w:eastAsia="仿宋_GB2312" w:cs="仿宋_GB2312"/>
          <w:color w:val="auto"/>
          <w:szCs w:val="24"/>
        </w:rPr>
        <w:t>1.3.1 有效的营业执照</w:t>
      </w:r>
      <w:r>
        <w:rPr>
          <w:rFonts w:hint="eastAsia" w:ascii="仿宋_GB2312" w:hAnsi="仿宋_GB2312" w:eastAsia="仿宋_GB2312" w:cs="仿宋_GB2312"/>
          <w:color w:val="auto"/>
          <w:szCs w:val="24"/>
          <w:lang w:eastAsia="zh-CN"/>
        </w:rPr>
        <w:t>复印件加盖公章</w:t>
      </w:r>
      <w:r>
        <w:rPr>
          <w:rFonts w:ascii="仿宋_GB2312" w:hAnsi="仿宋_GB2312" w:eastAsia="仿宋_GB2312" w:cs="仿宋_GB2312"/>
          <w:color w:val="auto"/>
          <w:szCs w:val="24"/>
        </w:rPr>
        <w:t>；</w:t>
      </w:r>
    </w:p>
    <w:p>
      <w:pPr>
        <w:pStyle w:val="92"/>
        <w:overflowPunct w:val="0"/>
        <w:spacing w:line="320" w:lineRule="exact"/>
        <w:ind w:firstLine="480" w:firstLineChars="200"/>
        <w:rPr>
          <w:rFonts w:hint="eastAsia" w:ascii="仿宋_GB2312" w:hAnsi="仿宋_GB2312" w:eastAsia="仿宋_GB2312" w:cs="仿宋_GB2312"/>
          <w:color w:val="auto"/>
          <w:szCs w:val="24"/>
          <w:lang w:eastAsia="zh-CN"/>
        </w:rPr>
      </w:pPr>
      <w:r>
        <w:rPr>
          <w:rFonts w:ascii="仿宋_GB2312" w:hAnsi="仿宋_GB2312" w:eastAsia="仿宋_GB2312" w:cs="仿宋_GB2312"/>
          <w:color w:val="auto"/>
          <w:szCs w:val="24"/>
        </w:rPr>
        <w:t xml:space="preserve">1.3.2 </w:t>
      </w:r>
      <w:r>
        <w:rPr>
          <w:rFonts w:hint="eastAsia" w:ascii="仿宋_GB2312" w:hAnsi="仿宋_GB2312" w:eastAsia="仿宋_GB2312" w:cs="仿宋_GB2312"/>
          <w:color w:val="auto"/>
          <w:szCs w:val="24"/>
          <w:lang w:eastAsia="zh-CN"/>
        </w:rPr>
        <w:t>投标人须提供在“信用中国”（www.creditchina.gov.cn）和中国政府采购网（www.ccgp.gov.cn）网站上未被列入失信被执行人、重大税收违法案件当事人名单以及政府采购严重违法失信行为记录名单；</w:t>
      </w:r>
    </w:p>
    <w:p>
      <w:pPr>
        <w:pStyle w:val="92"/>
        <w:overflowPunct w:val="0"/>
        <w:spacing w:line="320" w:lineRule="exact"/>
        <w:ind w:firstLine="48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lang w:eastAsia="zh-CN"/>
        </w:rPr>
        <w:t>1.3.3 法定代表人证明书、法</w:t>
      </w:r>
      <w:r>
        <w:rPr>
          <w:rFonts w:ascii="仿宋_GB2312" w:hAnsi="仿宋_GB2312" w:eastAsia="仿宋_GB2312" w:cs="仿宋_GB2312"/>
          <w:color w:val="auto"/>
          <w:szCs w:val="24"/>
        </w:rPr>
        <w:t>人授权委托书</w:t>
      </w:r>
      <w:r>
        <w:rPr>
          <w:rFonts w:hint="eastAsia" w:ascii="仿宋_GB2312" w:hAnsi="仿宋_GB2312" w:eastAsia="仿宋_GB2312" w:cs="仿宋_GB2312"/>
          <w:color w:val="auto"/>
          <w:szCs w:val="24"/>
          <w:lang w:eastAsia="zh-CN"/>
        </w:rPr>
        <w:t>原件</w:t>
      </w:r>
      <w:r>
        <w:rPr>
          <w:rFonts w:ascii="仿宋_GB2312" w:hAnsi="仿宋_GB2312" w:eastAsia="仿宋_GB2312" w:cs="仿宋_GB2312"/>
          <w:color w:val="auto"/>
          <w:szCs w:val="24"/>
        </w:rPr>
        <w:t>、法定代表人或</w:t>
      </w:r>
      <w:r>
        <w:rPr>
          <w:rFonts w:hint="eastAsia" w:ascii="仿宋_GB2312" w:hAnsi="仿宋_GB2312" w:eastAsia="仿宋_GB2312" w:cs="仿宋_GB2312"/>
          <w:color w:val="auto"/>
          <w:szCs w:val="24"/>
          <w:lang w:eastAsia="zh-CN"/>
        </w:rPr>
        <w:t>被</w:t>
      </w:r>
      <w:r>
        <w:rPr>
          <w:rFonts w:ascii="仿宋_GB2312" w:hAnsi="仿宋_GB2312" w:eastAsia="仿宋_GB2312" w:cs="仿宋_GB2312"/>
          <w:color w:val="auto"/>
          <w:szCs w:val="24"/>
        </w:rPr>
        <w:t>授权委托人</w:t>
      </w:r>
      <w:r>
        <w:rPr>
          <w:rFonts w:hint="eastAsia" w:ascii="仿宋_GB2312" w:hAnsi="仿宋_GB2312" w:eastAsia="仿宋_GB2312" w:cs="仿宋_GB2312"/>
          <w:color w:val="auto"/>
          <w:szCs w:val="24"/>
          <w:lang w:eastAsia="zh-CN"/>
        </w:rPr>
        <w:t>有效身份证件原件</w:t>
      </w:r>
      <w:r>
        <w:rPr>
          <w:rFonts w:ascii="仿宋_GB2312" w:hAnsi="仿宋_GB2312" w:eastAsia="仿宋_GB2312" w:cs="仿宋_GB2312"/>
          <w:color w:val="auto"/>
          <w:szCs w:val="24"/>
        </w:rPr>
        <w:t>；</w:t>
      </w:r>
    </w:p>
    <w:p>
      <w:pPr>
        <w:pStyle w:val="92"/>
        <w:overflowPunct w:val="0"/>
        <w:spacing w:line="320" w:lineRule="exact"/>
        <w:ind w:firstLine="480" w:firstLineChars="200"/>
        <w:rPr>
          <w:rFonts w:hint="eastAsia" w:ascii="仿宋_GB2312" w:hAnsi="仿宋_GB2312" w:eastAsia="仿宋_GB2312" w:cs="仿宋_GB2312"/>
          <w:color w:val="auto"/>
          <w:szCs w:val="24"/>
          <w:lang w:eastAsia="zh-CN"/>
        </w:rPr>
      </w:pPr>
      <w:r>
        <w:rPr>
          <w:rFonts w:ascii="仿宋_GB2312" w:hAnsi="仿宋_GB2312" w:eastAsia="仿宋_GB2312" w:cs="仿宋_GB2312"/>
          <w:color w:val="auto"/>
          <w:szCs w:val="24"/>
        </w:rPr>
        <w:t>1.3.4 投标保证金</w:t>
      </w:r>
      <w:r>
        <w:rPr>
          <w:rFonts w:hint="eastAsia" w:ascii="仿宋_GB2312" w:hAnsi="仿宋_GB2312" w:eastAsia="仿宋_GB2312" w:cs="仿宋_GB2312"/>
          <w:color w:val="auto"/>
          <w:szCs w:val="24"/>
        </w:rPr>
        <w:t>收据</w:t>
      </w:r>
      <w:r>
        <w:rPr>
          <w:rFonts w:hint="eastAsia" w:ascii="仿宋_GB2312" w:hAnsi="仿宋_GB2312" w:eastAsia="仿宋_GB2312" w:cs="仿宋_GB2312"/>
          <w:color w:val="auto"/>
          <w:szCs w:val="24"/>
          <w:lang w:eastAsia="zh-CN"/>
        </w:rPr>
        <w:t>原件</w:t>
      </w:r>
      <w:r>
        <w:rPr>
          <w:rFonts w:ascii="仿宋_GB2312" w:hAnsi="仿宋_GB2312" w:eastAsia="仿宋_GB2312" w:cs="仿宋_GB2312"/>
          <w:color w:val="auto"/>
          <w:szCs w:val="24"/>
        </w:rPr>
        <w:t>；</w:t>
      </w:r>
    </w:p>
    <w:p>
      <w:pPr>
        <w:pStyle w:val="92"/>
        <w:overflowPunct w:val="0"/>
        <w:spacing w:line="320" w:lineRule="exact"/>
        <w:ind w:firstLine="480" w:firstLineChars="200"/>
        <w:rPr>
          <w:rFonts w:ascii="仿宋_GB2312" w:hAnsi="仿宋_GB2312" w:eastAsia="仿宋_GB2312" w:cs="仿宋_GB2312"/>
          <w:color w:val="auto"/>
          <w:szCs w:val="24"/>
        </w:rPr>
      </w:pPr>
      <w:r>
        <w:rPr>
          <w:rFonts w:ascii="仿宋_GB2312" w:hAnsi="仿宋_GB2312" w:eastAsia="仿宋_GB2312" w:cs="仿宋_GB2312"/>
          <w:color w:val="auto"/>
          <w:szCs w:val="24"/>
        </w:rPr>
        <w:t>1.4 开标时，唱标人按投标文件送达时间的</w:t>
      </w:r>
      <w:r>
        <w:rPr>
          <w:rFonts w:ascii="仿宋_GB2312" w:hAnsi="仿宋_GB2312" w:eastAsia="仿宋_GB2312" w:cs="仿宋_GB2312"/>
          <w:b/>
          <w:bCs/>
          <w:color w:val="auto"/>
          <w:szCs w:val="24"/>
        </w:rPr>
        <w:t>逆向顺序</w:t>
      </w:r>
      <w:r>
        <w:rPr>
          <w:rFonts w:ascii="仿宋_GB2312" w:hAnsi="仿宋_GB2312" w:eastAsia="仿宋_GB2312" w:cs="仿宋_GB2312"/>
          <w:color w:val="auto"/>
          <w:szCs w:val="24"/>
        </w:rPr>
        <w:t>启封投标文件，宣读投标人</w:t>
      </w:r>
      <w:r>
        <w:rPr>
          <w:rFonts w:hint="eastAsia" w:ascii="仿宋_GB2312" w:hAnsi="仿宋_GB2312" w:eastAsia="仿宋_GB2312" w:cs="仿宋_GB2312"/>
          <w:color w:val="auto"/>
          <w:szCs w:val="24"/>
        </w:rPr>
        <w:t>的</w:t>
      </w:r>
      <w:r>
        <w:rPr>
          <w:rFonts w:ascii="仿宋_GB2312" w:hAnsi="仿宋_GB2312" w:eastAsia="仿宋_GB2312" w:cs="仿宋_GB2312"/>
          <w:color w:val="auto"/>
          <w:szCs w:val="24"/>
        </w:rPr>
        <w:t>投标</w:t>
      </w:r>
      <w:r>
        <w:rPr>
          <w:rFonts w:hint="eastAsia" w:ascii="仿宋_GB2312" w:hAnsi="仿宋_GB2312" w:eastAsia="仿宋_GB2312" w:cs="仿宋_GB2312"/>
          <w:color w:val="auto"/>
          <w:szCs w:val="24"/>
          <w:lang w:val="en-US" w:eastAsia="zh-CN"/>
        </w:rPr>
        <w:t>总</w:t>
      </w:r>
      <w:r>
        <w:rPr>
          <w:rFonts w:ascii="仿宋_GB2312" w:hAnsi="仿宋_GB2312" w:eastAsia="仿宋_GB2312" w:cs="仿宋_GB2312"/>
          <w:color w:val="auto"/>
          <w:szCs w:val="24"/>
        </w:rPr>
        <w:t>报价、交货期。请投标人对宣读结果确认并签字。</w:t>
      </w:r>
    </w:p>
    <w:p>
      <w:pPr>
        <w:overflowPunct w:val="0"/>
        <w:spacing w:line="320" w:lineRule="exact"/>
        <w:ind w:firstLine="472" w:firstLineChars="196"/>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2.  评审</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 采购人将根据招标采购货物的特点</w:t>
      </w:r>
      <w:r>
        <w:rPr>
          <w:rFonts w:ascii="仿宋_GB2312" w:hAnsi="仿宋_GB2312" w:eastAsia="仿宋_GB2312" w:cs="仿宋_GB2312"/>
          <w:sz w:val="28"/>
          <w:szCs w:val="28"/>
        </w:rPr>
        <w:t>，</w:t>
      </w:r>
      <w:r>
        <w:rPr>
          <w:rFonts w:ascii="仿宋_GB2312" w:hAnsi="仿宋_GB2312" w:eastAsia="仿宋_GB2312" w:cs="仿宋_GB2312"/>
          <w:kern w:val="0"/>
          <w:sz w:val="24"/>
          <w:szCs w:val="24"/>
        </w:rPr>
        <w:t>依法组建评标委员会，其成员由技术、经济等方面的专家</w:t>
      </w:r>
      <w:r>
        <w:rPr>
          <w:rFonts w:hint="eastAsia" w:ascii="仿宋_GB2312" w:hAnsi="仿宋_GB2312" w:eastAsia="仿宋_GB2312" w:cs="仿宋_GB2312"/>
          <w:kern w:val="0"/>
          <w:sz w:val="24"/>
          <w:szCs w:val="24"/>
          <w:lang w:val="en-US" w:eastAsia="zh-CN"/>
        </w:rPr>
        <w:t>及业主代表共</w:t>
      </w:r>
      <w:r>
        <w:rPr>
          <w:rFonts w:ascii="仿宋_GB2312" w:hAnsi="仿宋_GB2312" w:eastAsia="仿宋_GB2312" w:cs="仿宋_GB2312"/>
          <w:kern w:val="0"/>
          <w:sz w:val="24"/>
          <w:szCs w:val="24"/>
        </w:rPr>
        <w:t>5人以上单数组成。</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 评标委员会将按照评标办法与原则，根据招标文件的规定依法对投标文件进行评审、质疑、评价、比较和打分。</w:t>
      </w:r>
      <w:bookmarkStart w:id="32" w:name="_Toc99609760"/>
      <w:bookmarkStart w:id="33" w:name="_Toc167252412"/>
      <w:bookmarkStart w:id="34" w:name="_Toc99609896"/>
      <w:bookmarkStart w:id="35" w:name="_Toc99610202"/>
      <w:bookmarkStart w:id="36" w:name="_Toc99610032"/>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 评标委员会审查投标文件的响应性只根据招标文件的要求和投标文件的内容，而不寻求其它外部证据。如果投标文件技术指标实质上没有响应招标文件的要求，将不再进一步评审。投标人不得通过修正或撤消不合理要求的偏离重新参与投标。</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 审核投标文件有无报价计算上的错误。修正错误的原则如下：当单价与数量的乘积大于总价时，以原报总价为准；当单价与数量的乘积小于总价时，以原报单价为准，并修正总价。调整后的价格应对投标人具有约束力。如果投标人不接受修正后的价格，则投标将被拒绝。</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3.投标文件的澄清</w:t>
      </w:r>
      <w:bookmarkEnd w:id="32"/>
      <w:bookmarkEnd w:id="33"/>
      <w:bookmarkEnd w:id="34"/>
      <w:bookmarkEnd w:id="35"/>
      <w:bookmarkEnd w:id="36"/>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3.1在评标期间，为了有助于对投标文件的审查、评价和比较，采购人可分别要求投标人对其投标文件进行澄清。投标人必须按采购人安排程序进行澄清。在澄清所有技术、商务问题后，投标人要进行书面承诺。</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 xml:space="preserve">3.2 投标人的澄清文件是投标文件的组成部分，并取代投标文件中被澄清部分。 </w:t>
      </w:r>
    </w:p>
    <w:p>
      <w:pPr>
        <w:tabs>
          <w:tab w:val="center" w:pos="4873"/>
        </w:tabs>
        <w:overflowPunct w:val="0"/>
        <w:spacing w:line="320" w:lineRule="exact"/>
        <w:ind w:firstLine="482" w:firstLineChars="200"/>
        <w:jc w:val="left"/>
        <w:outlineLvl w:val="0"/>
        <w:rPr>
          <w:rFonts w:ascii="仿宋_GB2312" w:hAnsi="仿宋_GB2312" w:eastAsia="仿宋_GB2312" w:cs="仿宋_GB2312"/>
          <w:b/>
          <w:kern w:val="0"/>
          <w:sz w:val="24"/>
          <w:szCs w:val="24"/>
        </w:rPr>
      </w:pPr>
      <w:bookmarkStart w:id="37" w:name="_Toc4522"/>
      <w:bookmarkStart w:id="38" w:name="_Toc20831"/>
      <w:bookmarkStart w:id="39" w:name="_Toc12426"/>
      <w:bookmarkStart w:id="40" w:name="_Toc12657"/>
      <w:bookmarkStart w:id="41" w:name="_Toc71964316"/>
      <w:r>
        <w:rPr>
          <w:rFonts w:ascii="仿宋_GB2312" w:hAnsi="仿宋_GB2312" w:eastAsia="仿宋_GB2312" w:cs="仿宋_GB2312"/>
          <w:b/>
          <w:kern w:val="0"/>
          <w:sz w:val="24"/>
          <w:szCs w:val="24"/>
        </w:rPr>
        <w:t>4.确定中标投标人的原则</w:t>
      </w:r>
      <w:bookmarkEnd w:id="37"/>
      <w:bookmarkEnd w:id="38"/>
      <w:bookmarkEnd w:id="39"/>
      <w:bookmarkEnd w:id="40"/>
      <w:r>
        <w:rPr>
          <w:rFonts w:ascii="仿宋_GB2312" w:hAnsi="仿宋_GB2312" w:eastAsia="仿宋_GB2312" w:cs="仿宋_GB2312"/>
          <w:b/>
          <w:kern w:val="0"/>
          <w:sz w:val="24"/>
          <w:szCs w:val="24"/>
        </w:rPr>
        <w:tab/>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4.1 评标委员会根据综合评分由高到低排序向采购人推荐3家投标人为中标候选人或拒绝所有投标人，并提交评标报告。评标委员会无义务向投标人进行任何有关招标的解释工作。</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 采购人根据《</w:t>
      </w:r>
      <w:r>
        <w:rPr>
          <w:rFonts w:ascii="仿宋_GB2312" w:hAnsi="仿宋_GB2312" w:eastAsia="仿宋_GB2312" w:cs="仿宋_GB2312"/>
          <w:sz w:val="24"/>
        </w:rPr>
        <w:t>中华人民共和国</w:t>
      </w:r>
      <w:r>
        <w:rPr>
          <w:rFonts w:hint="eastAsia" w:ascii="仿宋_GB2312" w:hAnsi="仿宋_GB2312" w:eastAsia="仿宋_GB2312" w:cs="仿宋_GB2312"/>
          <w:sz w:val="24"/>
        </w:rPr>
        <w:t>政府采购法</w:t>
      </w:r>
      <w:r>
        <w:rPr>
          <w:rFonts w:ascii="仿宋_GB2312" w:hAnsi="仿宋_GB2312" w:eastAsia="仿宋_GB2312" w:cs="仿宋_GB2312"/>
          <w:kern w:val="0"/>
          <w:sz w:val="24"/>
          <w:szCs w:val="24"/>
        </w:rPr>
        <w:t>》规定，以及综合得分和专家推荐意见与建议，依据符合采购需求、质量和服务相等且报价最低的原则确定和公布最终中标人。在确定和公布最终中标人前，采购人认为必要时，可以对认为有必要了解或核实的问题进行考查、核实。</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 原则上应将评标综合得分最高的投标人确定为中标人，若有以下情形之一者也可确定推荐综合得分排名第二的投标人为中标人：</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4.3.1 排名第一的中标候选人放弃中标；</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4.3.2 排名第一的中标候选人因不可抗力提出不能履行合同。</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4.3.3 在接到中标通知5日内第一中标排序人未能如期签订合同。如果第二中标排序人不能满足此条要求，采购人选择与中标排名第三的中标候选人确定中标事项。</w:t>
      </w:r>
    </w:p>
    <w:p>
      <w:pPr>
        <w:overflowPunct w:val="0"/>
        <w:spacing w:line="320" w:lineRule="exact"/>
        <w:ind w:firstLine="470" w:firstLineChars="196"/>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4.4若出现两个投标人的评标得分相等时，将投标报价低的投标人确定为中标候选人。</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5. 招标原则</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5.1评标工作遵循公平、公正、科学、择优的原则。投标文件应符合招标文件所有要求且投标报价合理，但不保证最低报价的投标人中标。</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 评委会依据国家相关的法律法规、各级政府的政策规定、招标文件和投标文件进行评审而不靠其他条件，评标委员会对所采取的评标做法无义务对投标人解释。</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 保密原则，开标之后，直到与中标单位签署合同之前，凡是属于审查、评审的有关资料以及决定中标人的信息等，任何人均不得向投标人或其他无关的人员透露否则按有关规定追究责任。在评标期间，投标人企图影响评标的任何活动，将导致其投标被拒绝。</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 投标人的同等对待原则，招标文件有实质性变动的，采购人应通知所有参加招标的投标人，使每个投标人有同等机会对报价文件进行修改。</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 客观公正的原则，采购人应当确保每个投标人都能够在相同的条件下，进行公平竞争。</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6. 评审注意事项</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 评审小组内部讨论的情况和意见必须保密，任何人不得以任何形式透露给评审以外的任何单位或个人。</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6.2 在评审过程中，投标人不得以任何形式对评审小组成员进行旨在影响评审结果的私下接触，否则取消参与的资格。</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6.3 在对报价进行评审的同时注意考虑：</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fldChar w:fldCharType="begin"/>
      </w:r>
      <w:r>
        <w:rPr>
          <w:rFonts w:ascii="仿宋_GB2312" w:hAnsi="仿宋_GB2312" w:eastAsia="仿宋_GB2312" w:cs="仿宋_GB2312"/>
          <w:kern w:val="0"/>
          <w:sz w:val="24"/>
          <w:szCs w:val="24"/>
        </w:rPr>
        <w:instrText xml:space="preserve"> = 1 \* GB2 </w:instrText>
      </w:r>
      <w:r>
        <w:rPr>
          <w:rFonts w:ascii="仿宋_GB2312" w:hAnsi="仿宋_GB2312" w:eastAsia="仿宋_GB2312" w:cs="仿宋_GB2312"/>
          <w:kern w:val="0"/>
          <w:sz w:val="24"/>
          <w:szCs w:val="24"/>
        </w:rPr>
        <w:fldChar w:fldCharType="separate"/>
      </w:r>
      <w:r>
        <w:rPr>
          <w:rFonts w:ascii="仿宋_GB2312" w:hAnsi="仿宋_GB2312" w:eastAsia="仿宋_GB2312" w:cs="仿宋_GB2312"/>
          <w:kern w:val="0"/>
          <w:sz w:val="24"/>
          <w:szCs w:val="24"/>
        </w:rPr>
        <w:t>⑴</w:t>
      </w:r>
      <w:r>
        <w:rPr>
          <w:rFonts w:ascii="仿宋_GB2312" w:hAnsi="仿宋_GB2312" w:eastAsia="仿宋_GB2312" w:cs="仿宋_GB2312"/>
          <w:kern w:val="0"/>
          <w:sz w:val="24"/>
          <w:szCs w:val="24"/>
        </w:rPr>
        <w:fldChar w:fldCharType="end"/>
      </w:r>
      <w:r>
        <w:rPr>
          <w:rFonts w:ascii="仿宋_GB2312" w:hAnsi="仿宋_GB2312" w:eastAsia="仿宋_GB2312" w:cs="仿宋_GB2312"/>
          <w:kern w:val="0"/>
          <w:sz w:val="24"/>
          <w:szCs w:val="24"/>
        </w:rPr>
        <w:t>、产品的质量、经营企业产品的来源，是否符合采购人要求。</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fldChar w:fldCharType="begin"/>
      </w:r>
      <w:r>
        <w:rPr>
          <w:rFonts w:ascii="仿宋_GB2312" w:hAnsi="仿宋_GB2312" w:eastAsia="仿宋_GB2312" w:cs="仿宋_GB2312"/>
          <w:kern w:val="0"/>
          <w:sz w:val="24"/>
          <w:szCs w:val="24"/>
        </w:rPr>
        <w:instrText xml:space="preserve"> = 2 \* GB2 </w:instrText>
      </w:r>
      <w:r>
        <w:rPr>
          <w:rFonts w:ascii="仿宋_GB2312" w:hAnsi="仿宋_GB2312" w:eastAsia="仿宋_GB2312" w:cs="仿宋_GB2312"/>
          <w:kern w:val="0"/>
          <w:sz w:val="24"/>
          <w:szCs w:val="24"/>
        </w:rPr>
        <w:fldChar w:fldCharType="separate"/>
      </w:r>
      <w:r>
        <w:rPr>
          <w:rFonts w:ascii="仿宋_GB2312" w:hAnsi="仿宋_GB2312" w:eastAsia="仿宋_GB2312" w:cs="仿宋_GB2312"/>
          <w:kern w:val="0"/>
          <w:sz w:val="24"/>
          <w:szCs w:val="24"/>
        </w:rPr>
        <w:t>⑵</w:t>
      </w:r>
      <w:r>
        <w:rPr>
          <w:rFonts w:ascii="仿宋_GB2312" w:hAnsi="仿宋_GB2312" w:eastAsia="仿宋_GB2312" w:cs="仿宋_GB2312"/>
          <w:kern w:val="0"/>
          <w:sz w:val="24"/>
          <w:szCs w:val="24"/>
        </w:rPr>
        <w:fldChar w:fldCharType="end"/>
      </w:r>
      <w:r>
        <w:rPr>
          <w:rFonts w:ascii="仿宋_GB2312" w:hAnsi="仿宋_GB2312" w:eastAsia="仿宋_GB2312" w:cs="仿宋_GB2312"/>
          <w:kern w:val="0"/>
          <w:sz w:val="24"/>
          <w:szCs w:val="24"/>
        </w:rPr>
        <w:t>、售后服务承诺。</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fldChar w:fldCharType="begin"/>
      </w:r>
      <w:r>
        <w:rPr>
          <w:rFonts w:ascii="仿宋_GB2312" w:hAnsi="仿宋_GB2312" w:eastAsia="仿宋_GB2312" w:cs="仿宋_GB2312"/>
          <w:kern w:val="0"/>
          <w:sz w:val="24"/>
          <w:szCs w:val="24"/>
        </w:rPr>
        <w:instrText xml:space="preserve"> = 3 \* GB2 </w:instrText>
      </w:r>
      <w:r>
        <w:rPr>
          <w:rFonts w:ascii="仿宋_GB2312" w:hAnsi="仿宋_GB2312" w:eastAsia="仿宋_GB2312" w:cs="仿宋_GB2312"/>
          <w:kern w:val="0"/>
          <w:sz w:val="24"/>
          <w:szCs w:val="24"/>
        </w:rPr>
        <w:fldChar w:fldCharType="separate"/>
      </w:r>
      <w:r>
        <w:rPr>
          <w:rFonts w:ascii="仿宋_GB2312" w:hAnsi="仿宋_GB2312" w:eastAsia="仿宋_GB2312" w:cs="仿宋_GB2312"/>
          <w:kern w:val="0"/>
          <w:sz w:val="24"/>
          <w:szCs w:val="24"/>
        </w:rPr>
        <w:t>⑶</w:t>
      </w:r>
      <w:r>
        <w:rPr>
          <w:rFonts w:ascii="仿宋_GB2312" w:hAnsi="仿宋_GB2312" w:eastAsia="仿宋_GB2312" w:cs="仿宋_GB2312"/>
          <w:kern w:val="0"/>
          <w:sz w:val="24"/>
          <w:szCs w:val="24"/>
        </w:rPr>
        <w:fldChar w:fldCharType="end"/>
      </w:r>
      <w:r>
        <w:rPr>
          <w:rFonts w:ascii="仿宋_GB2312" w:hAnsi="仿宋_GB2312" w:eastAsia="仿宋_GB2312" w:cs="仿宋_GB2312"/>
          <w:kern w:val="0"/>
          <w:sz w:val="24"/>
          <w:szCs w:val="24"/>
        </w:rPr>
        <w:t>、交货时间。</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fldChar w:fldCharType="begin"/>
      </w:r>
      <w:r>
        <w:rPr>
          <w:rFonts w:ascii="仿宋_GB2312" w:hAnsi="仿宋_GB2312" w:eastAsia="仿宋_GB2312" w:cs="仿宋_GB2312"/>
          <w:kern w:val="0"/>
          <w:sz w:val="24"/>
          <w:szCs w:val="24"/>
        </w:rPr>
        <w:instrText xml:space="preserve"> = 4 \* GB2 </w:instrText>
      </w:r>
      <w:r>
        <w:rPr>
          <w:rFonts w:ascii="仿宋_GB2312" w:hAnsi="仿宋_GB2312" w:eastAsia="仿宋_GB2312" w:cs="仿宋_GB2312"/>
          <w:kern w:val="0"/>
          <w:sz w:val="24"/>
          <w:szCs w:val="24"/>
        </w:rPr>
        <w:fldChar w:fldCharType="separate"/>
      </w:r>
      <w:r>
        <w:rPr>
          <w:rFonts w:ascii="仿宋_GB2312" w:hAnsi="仿宋_GB2312" w:eastAsia="仿宋_GB2312" w:cs="仿宋_GB2312"/>
          <w:kern w:val="0"/>
          <w:sz w:val="24"/>
          <w:szCs w:val="24"/>
        </w:rPr>
        <w:t>⑷</w:t>
      </w:r>
      <w:r>
        <w:rPr>
          <w:rFonts w:ascii="仿宋_GB2312" w:hAnsi="仿宋_GB2312" w:eastAsia="仿宋_GB2312" w:cs="仿宋_GB2312"/>
          <w:kern w:val="0"/>
          <w:sz w:val="24"/>
          <w:szCs w:val="24"/>
        </w:rPr>
        <w:fldChar w:fldCharType="end"/>
      </w:r>
      <w:r>
        <w:rPr>
          <w:rFonts w:ascii="仿宋_GB2312" w:hAnsi="仿宋_GB2312" w:eastAsia="仿宋_GB2312" w:cs="仿宋_GB2312"/>
          <w:kern w:val="0"/>
          <w:sz w:val="24"/>
          <w:szCs w:val="24"/>
        </w:rPr>
        <w:t>、企业信誉。</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fldChar w:fldCharType="begin"/>
      </w:r>
      <w:r>
        <w:rPr>
          <w:rFonts w:ascii="仿宋_GB2312" w:hAnsi="仿宋_GB2312" w:eastAsia="仿宋_GB2312" w:cs="仿宋_GB2312"/>
          <w:kern w:val="0"/>
          <w:sz w:val="24"/>
          <w:szCs w:val="24"/>
        </w:rPr>
        <w:instrText xml:space="preserve"> = 5 \* GB2 </w:instrText>
      </w:r>
      <w:r>
        <w:rPr>
          <w:rFonts w:ascii="仿宋_GB2312" w:hAnsi="仿宋_GB2312" w:eastAsia="仿宋_GB2312" w:cs="仿宋_GB2312"/>
          <w:kern w:val="0"/>
          <w:sz w:val="24"/>
          <w:szCs w:val="24"/>
        </w:rPr>
        <w:fldChar w:fldCharType="separate"/>
      </w:r>
      <w:r>
        <w:rPr>
          <w:rFonts w:ascii="仿宋_GB2312" w:hAnsi="仿宋_GB2312" w:eastAsia="仿宋_GB2312" w:cs="仿宋_GB2312"/>
          <w:kern w:val="0"/>
          <w:sz w:val="24"/>
          <w:szCs w:val="24"/>
        </w:rPr>
        <w:t>⑸</w:t>
      </w:r>
      <w:r>
        <w:rPr>
          <w:rFonts w:ascii="仿宋_GB2312" w:hAnsi="仿宋_GB2312" w:eastAsia="仿宋_GB2312" w:cs="仿宋_GB2312"/>
          <w:kern w:val="0"/>
          <w:sz w:val="24"/>
          <w:szCs w:val="24"/>
        </w:rPr>
        <w:fldChar w:fldCharType="end"/>
      </w:r>
      <w:r>
        <w:rPr>
          <w:rFonts w:ascii="仿宋_GB2312" w:hAnsi="仿宋_GB2312" w:eastAsia="仿宋_GB2312" w:cs="仿宋_GB2312"/>
          <w:kern w:val="0"/>
          <w:sz w:val="24"/>
          <w:szCs w:val="24"/>
        </w:rPr>
        <w:t>、执行合同能力。</w:t>
      </w:r>
      <w:bookmarkEnd w:id="41"/>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6.4 评标委员会允许投标中有微小的不正规、不一致或不规则，而该微小之处不构成重大偏离。</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6.5 评标委员会将采用综合评分法，按照投标文件能最大限度地满足招标文件中规定的各项综合评价标准者为中标者的原则确定中标候选人。最低报价不作为中标的唯一标准。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6.6  与招标文件有重大偏离的投标文件将被拒绝。</w:t>
      </w:r>
    </w:p>
    <w:p>
      <w:pPr>
        <w:overflowPunct w:val="0"/>
        <w:spacing w:line="320" w:lineRule="exact"/>
        <w:ind w:firstLine="480" w:firstLineChars="20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凡被评标委员会界定为发生重大偏差的投标文件，将作废标处理。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6.7 投标人对评标委员会提出的各项问题(包括技术规范、规格、设备技术含量、技术等级、价格、安装调试、售后服务、合同条款是否偏离、产品合格证书及相关资料等)必须做出明确解答。</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6.8 投标人的澄清文件将取代投标文件中被澄清的部分,经投标人法人或其授权代表审核签字后将作为签订合同时不可分割的组成部分。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6.9 如果投标人在投标文件中未对招标文件中的条款或参数要求提出偏离意见且在评标答疑过程中未做澄清，将视同投标人同意招标文件的全部或部分要求。</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6.10 投标文件的澄清不得改变投标的实质内容。</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7、中标结果公示</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采购人在评审结束后，如无异议采购人将确定中标人，在</w:t>
      </w:r>
      <w:r>
        <w:rPr>
          <w:rFonts w:hint="eastAsia" w:ascii="仿宋_GB2312" w:hAnsi="仿宋_GB2312" w:eastAsia="仿宋_GB2312" w:cs="仿宋_GB2312"/>
          <w:color w:val="000000"/>
          <w:szCs w:val="24"/>
          <w:lang w:val="en-US" w:eastAsia="zh-CN"/>
        </w:rPr>
        <w:t>新疆政府采购网（</w:t>
      </w:r>
      <w:r>
        <w:rPr>
          <w:rFonts w:hint="eastAsia" w:ascii="仿宋_GB2312" w:hAnsi="仿宋_GB2312" w:eastAsia="仿宋_GB2312" w:cs="仿宋_GB2312"/>
          <w:color w:val="000000"/>
          <w:szCs w:val="24"/>
          <w:highlight w:val="none"/>
          <w:lang w:val="en-US" w:eastAsia="zh-CN"/>
        </w:rPr>
        <w:t>http://www.ccgp-xinjiang.gov.cn/</w:t>
      </w:r>
      <w:r>
        <w:rPr>
          <w:rFonts w:hint="eastAsia" w:ascii="仿宋_GB2312" w:hAnsi="仿宋_GB2312" w:eastAsia="仿宋_GB2312" w:cs="仿宋_GB2312"/>
          <w:color w:val="000000"/>
          <w:szCs w:val="24"/>
          <w:lang w:val="en-US" w:eastAsia="zh-CN"/>
        </w:rPr>
        <w:t>）</w:t>
      </w:r>
      <w:r>
        <w:rPr>
          <w:rFonts w:ascii="仿宋_GB2312" w:hAnsi="仿宋_GB2312" w:eastAsia="仿宋_GB2312" w:cs="仿宋_GB2312"/>
          <w:szCs w:val="24"/>
          <w:lang w:val="en-US" w:eastAsia="zh-CN"/>
        </w:rPr>
        <w:t>上</w:t>
      </w:r>
      <w:r>
        <w:rPr>
          <w:rFonts w:hint="eastAsia" w:ascii="仿宋_GB2312" w:hAnsi="仿宋_GB2312" w:eastAsia="仿宋_GB2312" w:cs="仿宋_GB2312"/>
          <w:szCs w:val="24"/>
          <w:lang w:val="en-US" w:eastAsia="zh-CN"/>
        </w:rPr>
        <w:t>发布中标结果公示</w:t>
      </w:r>
      <w:r>
        <w:rPr>
          <w:rFonts w:ascii="仿宋_GB2312" w:hAnsi="仿宋_GB2312" w:eastAsia="仿宋_GB2312" w:cs="仿宋_GB2312"/>
          <w:szCs w:val="24"/>
          <w:lang w:val="en-US" w:eastAsia="zh-CN"/>
        </w:rPr>
        <w:t>，公示期</w:t>
      </w:r>
      <w:r>
        <w:rPr>
          <w:rFonts w:hint="eastAsia" w:ascii="仿宋_GB2312" w:hAnsi="仿宋_GB2312" w:eastAsia="仿宋_GB2312" w:cs="仿宋_GB2312"/>
          <w:szCs w:val="24"/>
          <w:lang w:val="en-US" w:eastAsia="zh-CN"/>
        </w:rPr>
        <w:t>一</w:t>
      </w:r>
      <w:r>
        <w:rPr>
          <w:rFonts w:ascii="仿宋_GB2312" w:hAnsi="仿宋_GB2312" w:eastAsia="仿宋_GB2312" w:cs="仿宋_GB2312"/>
          <w:szCs w:val="24"/>
          <w:lang w:val="en-US" w:eastAsia="zh-CN"/>
        </w:rPr>
        <w:t>个工作日。</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8.  中标通知书</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8.1 招标代理机构在中标公示结果之后，以书面形式向中标人发出《中标通知书》。</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8.2 在中标通知书发出的同时，向未中标单位退回投标保证金。对于落标单位不解释落标原因，退还投标文件副本。</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9、 授予合同</w:t>
      </w:r>
      <w:bookmarkStart w:id="42" w:name="_Toc99610040"/>
      <w:bookmarkStart w:id="43" w:name="_Toc99609904"/>
      <w:bookmarkStart w:id="44" w:name="_Toc99609768"/>
      <w:bookmarkStart w:id="45" w:name="_Toc167252421"/>
      <w:bookmarkStart w:id="46" w:name="_Toc99610210"/>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1.授予合同时变更数量的权力</w:t>
      </w:r>
      <w:bookmarkEnd w:id="42"/>
      <w:bookmarkEnd w:id="43"/>
      <w:bookmarkEnd w:id="44"/>
      <w:bookmarkEnd w:id="45"/>
      <w:bookmarkEnd w:id="46"/>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1.1采购人在授予合同时有权根据项目实际情况对合同内容予以增加或减少，但投标人不得对其单价或其它条款和条件做任何改变。</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2. 签订合同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2.1 中标人收到中标通知书后，按中标通知书规定与采购人签订合同（一般在《中标通知书》发出后</w:t>
      </w:r>
      <w:r>
        <w:rPr>
          <w:rFonts w:hint="eastAsia" w:ascii="仿宋_GB2312" w:hAnsi="仿宋_GB2312" w:eastAsia="仿宋_GB2312" w:cs="仿宋_GB2312"/>
          <w:szCs w:val="24"/>
          <w:lang w:val="en-US" w:eastAsia="zh-CN"/>
        </w:rPr>
        <w:t>30日</w:t>
      </w:r>
      <w:r>
        <w:rPr>
          <w:rFonts w:ascii="仿宋_GB2312" w:hAnsi="仿宋_GB2312" w:eastAsia="仿宋_GB2312" w:cs="仿宋_GB2312"/>
          <w:szCs w:val="24"/>
          <w:lang w:val="en-US" w:eastAsia="zh-CN"/>
        </w:rPr>
        <w:t>内进行）。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2.2 中标合同不得转让。合同分包需在投标文件中予以说明，并需经采购人同意。否则，采购人有权取消中标人的中标资格。</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2.3 如中标人拒签合同, 招标代理机构可从中标候选人中重新选定中标人，并组织和采购人签订经济合同。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3、合同的组成</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3.1 下列文件均为合同不可分割的组成部分：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3.1.1  招标文件；</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3.1.2  中标人的投标文件；</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3.1.3  中标通知书；</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3.1.4  补充招标文件、答疑记录及投标人的承诺书。</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4.付款方式：见投标须知前附表。</w:t>
      </w:r>
    </w:p>
    <w:p>
      <w:pPr>
        <w:overflowPunct w:val="0"/>
        <w:spacing w:line="320" w:lineRule="exact"/>
        <w:ind w:firstLine="482" w:firstLineChars="200"/>
        <w:jc w:val="left"/>
        <w:rPr>
          <w:rFonts w:ascii="仿宋_GB2312" w:hAnsi="仿宋_GB2312" w:eastAsia="仿宋_GB2312" w:cs="仿宋_GB2312"/>
          <w:b/>
          <w:kern w:val="0"/>
          <w:sz w:val="24"/>
          <w:szCs w:val="24"/>
        </w:rPr>
      </w:pPr>
      <w:r>
        <w:rPr>
          <w:rFonts w:ascii="仿宋_GB2312" w:hAnsi="仿宋_GB2312" w:eastAsia="仿宋_GB2312" w:cs="仿宋_GB2312"/>
          <w:b/>
          <w:kern w:val="0"/>
          <w:sz w:val="24"/>
          <w:szCs w:val="24"/>
        </w:rPr>
        <w:t>10.中标服务费：</w:t>
      </w:r>
    </w:p>
    <w:p>
      <w:pPr>
        <w:pStyle w:val="39"/>
        <w:spacing w:line="320" w:lineRule="exact"/>
        <w:ind w:firstLine="480" w:firstLineChars="200"/>
        <w:rPr>
          <w:rFonts w:hint="eastAsia"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10.1 中标人必须在领取中标通知</w:t>
      </w:r>
      <w:r>
        <w:rPr>
          <w:rFonts w:hint="eastAsia" w:ascii="仿宋_GB2312" w:hAnsi="仿宋_GB2312" w:eastAsia="仿宋_GB2312" w:cs="仿宋_GB2312"/>
          <w:szCs w:val="24"/>
          <w:lang w:val="en-US" w:eastAsia="zh-CN"/>
        </w:rPr>
        <w:t>书</w:t>
      </w:r>
      <w:r>
        <w:rPr>
          <w:rFonts w:ascii="仿宋_GB2312" w:hAnsi="仿宋_GB2312" w:eastAsia="仿宋_GB2312" w:cs="仿宋_GB2312"/>
          <w:szCs w:val="24"/>
          <w:lang w:val="en-US" w:eastAsia="zh-CN"/>
        </w:rPr>
        <w:t>时,向</w:t>
      </w:r>
      <w:r>
        <w:rPr>
          <w:rFonts w:hint="eastAsia" w:ascii="仿宋_GB2312" w:hAnsi="仿宋_GB2312" w:eastAsia="仿宋_GB2312" w:cs="仿宋_GB2312"/>
          <w:b/>
          <w:bCs/>
          <w:szCs w:val="24"/>
          <w:lang w:val="en-US" w:eastAsia="zh-CN"/>
        </w:rPr>
        <w:t>中建鼎正项目管理有限公司新疆分公司</w:t>
      </w:r>
      <w:r>
        <w:rPr>
          <w:rFonts w:hint="eastAsia" w:ascii="仿宋_GB2312" w:hAnsi="仿宋_GB2312" w:eastAsia="仿宋_GB2312" w:cs="仿宋_GB2312"/>
          <w:szCs w:val="24"/>
          <w:lang w:val="en-US" w:eastAsia="zh-CN"/>
        </w:rPr>
        <w:t>一次性</w:t>
      </w:r>
      <w:r>
        <w:rPr>
          <w:rFonts w:ascii="仿宋_GB2312" w:hAnsi="仿宋_GB2312" w:eastAsia="仿宋_GB2312" w:cs="仿宋_GB2312"/>
          <w:szCs w:val="24"/>
          <w:lang w:val="en-US" w:eastAsia="zh-CN"/>
        </w:rPr>
        <w:t>付清</w:t>
      </w:r>
      <w:r>
        <w:rPr>
          <w:rFonts w:hint="eastAsia" w:ascii="仿宋_GB2312" w:hAnsi="仿宋_GB2312" w:eastAsia="仿宋_GB2312" w:cs="仿宋_GB2312"/>
          <w:szCs w:val="24"/>
          <w:lang w:val="en-US" w:eastAsia="zh-CN"/>
        </w:rPr>
        <w:t>招标代理服务费。</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10.2代理服务费由中标单位支付，代理费取费标准参照计价格[2002]1980号文件及发改办价格[2003]857号文件收费，如代理费计算不足3000元的，按3000元计收。。</w:t>
      </w:r>
    </w:p>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10.3 招标代理服务费不得在投标报价表中单列。</w:t>
      </w:r>
    </w:p>
    <w:p>
      <w:pPr>
        <w:pStyle w:val="39"/>
        <w:numPr>
          <w:ilvl w:val="0"/>
          <w:numId w:val="0"/>
        </w:numPr>
        <w:spacing w:line="420" w:lineRule="exact"/>
        <w:jc w:val="center"/>
        <w:outlineLvl w:val="0"/>
        <w:rPr>
          <w:rFonts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br w:type="page"/>
      </w:r>
      <w:bookmarkStart w:id="47" w:name="_Toc22140"/>
      <w:bookmarkStart w:id="48" w:name="_Toc989"/>
      <w:bookmarkStart w:id="49" w:name="_Toc24310"/>
      <w:r>
        <w:rPr>
          <w:rFonts w:hint="eastAsia" w:ascii="仿宋_GB2312" w:hAnsi="仿宋_GB2312" w:eastAsia="仿宋_GB2312" w:cs="仿宋_GB2312"/>
          <w:sz w:val="44"/>
          <w:szCs w:val="44"/>
          <w:lang w:val="en-US" w:eastAsia="zh-CN"/>
        </w:rPr>
        <w:t>第三章</w:t>
      </w:r>
      <w:r>
        <w:rPr>
          <w:rFonts w:ascii="仿宋_GB2312" w:hAnsi="仿宋_GB2312" w:eastAsia="仿宋_GB2312" w:cs="仿宋_GB2312"/>
          <w:bCs/>
          <w:kern w:val="0"/>
          <w:sz w:val="44"/>
          <w:szCs w:val="44"/>
          <w:lang w:val="en-US" w:eastAsia="zh-CN" w:bidi="ar-SA"/>
        </w:rPr>
        <w:t>合同条款</w:t>
      </w:r>
      <w:bookmarkEnd w:id="47"/>
      <w:bookmarkEnd w:id="48"/>
      <w:bookmarkEnd w:id="49"/>
    </w:p>
    <w:p>
      <w:pPr>
        <w:pStyle w:val="39"/>
        <w:numPr>
          <w:ilvl w:val="0"/>
          <w:numId w:val="0"/>
        </w:numPr>
        <w:spacing w:line="420" w:lineRule="exact"/>
        <w:ind w:firstLine="2100" w:firstLineChars="700"/>
        <w:jc w:val="both"/>
        <w:rPr>
          <w:rFonts w:hint="default" w:ascii="仿宋_GB2312" w:hAnsi="仿宋_GB2312" w:eastAsia="仿宋_GB2312" w:cs="仿宋_GB2312"/>
          <w:sz w:val="44"/>
          <w:szCs w:val="44"/>
          <w:lang w:val="en-US" w:eastAsia="zh-CN"/>
        </w:rPr>
      </w:pPr>
      <w:r>
        <w:rPr>
          <w:rFonts w:hint="eastAsia" w:ascii="仿宋_GB2312" w:hAnsi="仿宋_GB2312" w:eastAsia="仿宋_GB2312" w:cs="仿宋_GB2312"/>
          <w:sz w:val="30"/>
          <w:szCs w:val="30"/>
          <w:lang w:val="en-US" w:eastAsia="zh-CN"/>
        </w:rPr>
        <w:t>(以最终签订合同为准，本合同条款仅供参考)</w:t>
      </w:r>
    </w:p>
    <w:p>
      <w:pPr>
        <w:pStyle w:val="39"/>
        <w:numPr>
          <w:ilvl w:val="0"/>
          <w:numId w:val="0"/>
        </w:numPr>
        <w:spacing w:line="420" w:lineRule="exact"/>
        <w:rPr>
          <w:rFonts w:ascii="仿宋_GB2312" w:hAnsi="仿宋_GB2312" w:eastAsia="仿宋_GB2312" w:cs="仿宋_GB2312"/>
          <w:sz w:val="44"/>
          <w:szCs w:val="44"/>
          <w:lang w:val="en-US" w:eastAsia="zh-CN"/>
        </w:rPr>
      </w:pPr>
    </w:p>
    <w:p>
      <w:pPr>
        <w:widowControl/>
        <w:tabs>
          <w:tab w:val="left" w:pos="420"/>
        </w:tabs>
        <w:overflowPunct w:val="0"/>
        <w:spacing w:line="320" w:lineRule="exact"/>
        <w:ind w:firstLine="525" w:firstLineChars="219"/>
        <w:outlineLvl w:val="0"/>
        <w:rPr>
          <w:rFonts w:ascii="仿宋_GB2312" w:hAnsi="仿宋_GB2312" w:eastAsia="仿宋_GB2312" w:cs="仿宋_GB2312"/>
          <w:kern w:val="0"/>
          <w:sz w:val="24"/>
          <w:szCs w:val="24"/>
        </w:rPr>
      </w:pPr>
      <w:bookmarkStart w:id="50" w:name="_Toc288827310"/>
      <w:bookmarkStart w:id="51" w:name="_Toc397169051"/>
      <w:bookmarkStart w:id="52" w:name="_Toc469195800"/>
      <w:bookmarkStart w:id="53" w:name="_Toc402766604"/>
      <w:bookmarkStart w:id="54" w:name="_Toc396298481"/>
      <w:bookmarkStart w:id="55" w:name="_Toc26602"/>
      <w:bookmarkStart w:id="56" w:name="_Toc397169250"/>
      <w:bookmarkStart w:id="57" w:name="_Toc396960555"/>
      <w:bookmarkStart w:id="58" w:name="_Toc396298676"/>
      <w:bookmarkStart w:id="59" w:name="_Toc397169195"/>
      <w:bookmarkStart w:id="60" w:name="_Toc398375690"/>
      <w:bookmarkStart w:id="61" w:name="_Toc398375549"/>
      <w:bookmarkStart w:id="62" w:name="_Toc397162580"/>
      <w:bookmarkStart w:id="63" w:name="_Toc398374917"/>
      <w:bookmarkStart w:id="64" w:name="_Toc397162794"/>
      <w:bookmarkStart w:id="65" w:name="_Toc395923683"/>
      <w:bookmarkStart w:id="66" w:name="_Toc396295792"/>
      <w:bookmarkStart w:id="67" w:name="_Toc398375334"/>
      <w:bookmarkStart w:id="68" w:name="_Toc399326491"/>
      <w:bookmarkStart w:id="69" w:name="_Toc397169295"/>
      <w:bookmarkStart w:id="70" w:name="_Toc397168907"/>
      <w:bookmarkStart w:id="71" w:name="_Toc6775"/>
      <w:bookmarkStart w:id="72" w:name="_Toc396298251"/>
      <w:bookmarkStart w:id="73" w:name="_Toc288828835"/>
      <w:bookmarkStart w:id="74" w:name="_Toc396986808"/>
      <w:bookmarkStart w:id="75" w:name="_Toc396295900"/>
      <w:bookmarkStart w:id="76" w:name="_Toc402767016"/>
      <w:bookmarkStart w:id="77" w:name="_Toc222114138"/>
      <w:bookmarkStart w:id="78" w:name="_Toc497135767"/>
      <w:bookmarkStart w:id="79" w:name="_Toc399318747"/>
      <w:bookmarkStart w:id="80" w:name="_Toc398375448"/>
      <w:bookmarkStart w:id="81" w:name="_Toc396960347"/>
      <w:bookmarkStart w:id="82" w:name="_Toc6320"/>
      <w:bookmarkStart w:id="83" w:name="_Toc11050"/>
      <w:bookmarkStart w:id="84" w:name="_Toc27701"/>
      <w:r>
        <w:rPr>
          <w:rFonts w:ascii="仿宋_GB2312" w:hAnsi="仿宋_GB2312" w:eastAsia="仿宋_GB2312" w:cs="仿宋_GB2312"/>
          <w:kern w:val="0"/>
          <w:sz w:val="24"/>
          <w:szCs w:val="24"/>
        </w:rPr>
        <w:t>1. 合同标的</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overflowPunct w:val="0"/>
        <w:spacing w:line="320" w:lineRule="exact"/>
        <w:ind w:left="61" w:leftChars="29" w:firstLine="792" w:firstLineChars="330"/>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本合同所订货物将用于</w:t>
      </w:r>
      <w:r>
        <w:rPr>
          <w:rFonts w:hint="eastAsia" w:ascii="仿宋_GB2312" w:hAnsi="仿宋_GB2312" w:eastAsia="仿宋_GB2312" w:cs="仿宋_GB2312"/>
          <w:b/>
          <w:bCs/>
          <w:szCs w:val="24"/>
          <w:lang w:val="en-US" w:eastAsia="zh-CN"/>
        </w:rPr>
        <w:t>新疆供销技师学院（新疆供销学校）</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1.1货物名称、数量</w:t>
      </w:r>
      <w:r>
        <w:rPr>
          <w:rFonts w:hint="eastAsia" w:ascii="仿宋_GB2312" w:hAnsi="仿宋_GB2312" w:eastAsia="仿宋_GB2312" w:cs="仿宋_GB2312"/>
          <w:kern w:val="0"/>
          <w:sz w:val="24"/>
          <w:szCs w:val="24"/>
          <w:lang w:val="en-US" w:eastAsia="zh-CN"/>
        </w:rPr>
        <w:t>及要求</w:t>
      </w:r>
      <w:r>
        <w:rPr>
          <w:rFonts w:ascii="仿宋_GB2312" w:hAnsi="仿宋_GB2312" w:eastAsia="仿宋_GB2312" w:cs="仿宋_GB2312"/>
          <w:kern w:val="0"/>
          <w:sz w:val="24"/>
          <w:szCs w:val="24"/>
        </w:rPr>
        <w:t>：见</w:t>
      </w:r>
      <w:r>
        <w:rPr>
          <w:rFonts w:hint="eastAsia" w:ascii="仿宋_GB2312" w:hAnsi="仿宋_GB2312" w:eastAsia="仿宋_GB2312" w:cs="仿宋_GB2312"/>
          <w:kern w:val="0"/>
          <w:sz w:val="24"/>
          <w:szCs w:val="24"/>
        </w:rPr>
        <w:t>第四章</w:t>
      </w:r>
      <w:r>
        <w:rPr>
          <w:rFonts w:ascii="仿宋_GB2312" w:hAnsi="仿宋_GB2312" w:eastAsia="仿宋_GB2312" w:cs="仿宋_GB2312"/>
          <w:kern w:val="0"/>
          <w:sz w:val="24"/>
          <w:szCs w:val="24"/>
        </w:rPr>
        <w:t>。</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1.2投标人供应的货物应是全新的、技术先进的并且是成熟可靠的。</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1.3货物的技术规范和性能按本合同招标技术协议。</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1.4投标人提供的技术资料按合同技术协议。</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1.5投标人提供的技术服务按合同技术协议。</w:t>
      </w:r>
    </w:p>
    <w:p>
      <w:pPr>
        <w:widowControl/>
        <w:overflowPunct w:val="0"/>
        <w:spacing w:line="320" w:lineRule="exact"/>
        <w:ind w:firstLine="525" w:firstLineChars="219"/>
        <w:outlineLvl w:val="0"/>
        <w:rPr>
          <w:rFonts w:ascii="仿宋_GB2312" w:hAnsi="仿宋_GB2312" w:eastAsia="仿宋_GB2312" w:cs="仿宋_GB2312"/>
          <w:kern w:val="0"/>
          <w:sz w:val="24"/>
          <w:szCs w:val="24"/>
        </w:rPr>
      </w:pPr>
      <w:bookmarkStart w:id="85" w:name="_Toc288827311"/>
      <w:bookmarkStart w:id="86" w:name="_Toc22312"/>
      <w:bookmarkStart w:id="87" w:name="_Toc288828836"/>
      <w:bookmarkStart w:id="88" w:name="_Toc11385"/>
      <w:bookmarkStart w:id="89" w:name="_Toc222114139"/>
      <w:bookmarkStart w:id="90" w:name="_Toc497135768"/>
      <w:bookmarkStart w:id="91" w:name="_Toc16701"/>
      <w:bookmarkStart w:id="92" w:name="_Toc11717"/>
      <w:bookmarkStart w:id="93" w:name="_Toc30596"/>
      <w:r>
        <w:rPr>
          <w:rFonts w:ascii="仿宋_GB2312" w:hAnsi="仿宋_GB2312" w:eastAsia="仿宋_GB2312" w:cs="仿宋_GB2312"/>
          <w:kern w:val="0"/>
          <w:sz w:val="24"/>
          <w:szCs w:val="24"/>
        </w:rPr>
        <w:t>2. 合同范围</w:t>
      </w:r>
      <w:bookmarkEnd w:id="85"/>
      <w:bookmarkEnd w:id="86"/>
      <w:bookmarkEnd w:id="87"/>
      <w:bookmarkEnd w:id="88"/>
      <w:bookmarkEnd w:id="89"/>
      <w:bookmarkEnd w:id="90"/>
      <w:bookmarkEnd w:id="91"/>
      <w:bookmarkEnd w:id="92"/>
      <w:bookmarkEnd w:id="93"/>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2.1合同供货范围详见本第</w:t>
      </w:r>
      <w:r>
        <w:rPr>
          <w:rFonts w:hint="eastAsia" w:ascii="仿宋_GB2312" w:hAnsi="仿宋_GB2312" w:eastAsia="仿宋_GB2312" w:cs="仿宋_GB2312"/>
          <w:kern w:val="0"/>
          <w:sz w:val="24"/>
          <w:szCs w:val="24"/>
        </w:rPr>
        <w:t>四</w:t>
      </w:r>
      <w:r>
        <w:rPr>
          <w:rFonts w:ascii="仿宋_GB2312" w:hAnsi="仿宋_GB2312" w:eastAsia="仿宋_GB2312" w:cs="仿宋_GB2312"/>
          <w:kern w:val="0"/>
          <w:sz w:val="24"/>
          <w:szCs w:val="24"/>
        </w:rPr>
        <w:t>章。</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合同供货范围包括了所有采购项目、货物、技术资料、专用工具、备品备件，安装费、但在执行合同过程中如发现有任何漏项和短缺，在发货清单中并未列入而且确实是投标人供货范围中应该有的，并且是满足合同技术协议中对合同货物的性能保证值要求所必须的，均应由投标人负责将所缺的货物、技术资料、专用工具、备品备件等补上，发生费用由投标人承担。</w:t>
      </w:r>
    </w:p>
    <w:p>
      <w:pPr>
        <w:widowControl/>
        <w:overflowPunct w:val="0"/>
        <w:spacing w:line="320" w:lineRule="exact"/>
        <w:ind w:firstLine="525" w:firstLineChars="219"/>
        <w:outlineLvl w:val="0"/>
        <w:rPr>
          <w:rFonts w:ascii="仿宋_GB2312" w:hAnsi="仿宋_GB2312" w:eastAsia="仿宋_GB2312" w:cs="仿宋_GB2312"/>
          <w:kern w:val="0"/>
          <w:sz w:val="24"/>
          <w:szCs w:val="24"/>
        </w:rPr>
      </w:pPr>
      <w:bookmarkStart w:id="94" w:name="_Toc222114140"/>
      <w:bookmarkStart w:id="95" w:name="_Toc17588"/>
      <w:bookmarkStart w:id="96" w:name="_Toc288827312"/>
      <w:bookmarkStart w:id="97" w:name="_Toc32629"/>
      <w:bookmarkStart w:id="98" w:name="_Toc497135769"/>
      <w:bookmarkStart w:id="99" w:name="_Toc288828837"/>
      <w:bookmarkStart w:id="100" w:name="_Toc6197"/>
      <w:bookmarkStart w:id="101" w:name="_Toc24050"/>
      <w:bookmarkStart w:id="102" w:name="_Toc17704"/>
      <w:r>
        <w:rPr>
          <w:rFonts w:ascii="仿宋_GB2312" w:hAnsi="仿宋_GB2312" w:eastAsia="仿宋_GB2312" w:cs="仿宋_GB2312"/>
          <w:kern w:val="0"/>
          <w:sz w:val="24"/>
          <w:szCs w:val="24"/>
        </w:rPr>
        <w:t>3 合同价格</w:t>
      </w:r>
      <w:bookmarkEnd w:id="94"/>
      <w:bookmarkEnd w:id="95"/>
      <w:bookmarkEnd w:id="96"/>
      <w:bookmarkEnd w:id="97"/>
      <w:bookmarkEnd w:id="98"/>
      <w:bookmarkEnd w:id="99"/>
      <w:bookmarkEnd w:id="100"/>
      <w:bookmarkEnd w:id="101"/>
      <w:bookmarkEnd w:id="102"/>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本合同价格即合同总价为</w:t>
      </w:r>
      <w:r>
        <w:rPr>
          <w:rFonts w:ascii="仿宋_GB2312" w:hAnsi="仿宋_GB2312" w:eastAsia="仿宋_GB2312" w:cs="仿宋_GB2312"/>
          <w:kern w:val="0"/>
          <w:sz w:val="24"/>
          <w:szCs w:val="24"/>
          <w:u w:val="single"/>
        </w:rPr>
        <w:t xml:space="preserve">     </w:t>
      </w:r>
      <w:r>
        <w:rPr>
          <w:rFonts w:ascii="仿宋_GB2312" w:hAnsi="仿宋_GB2312" w:eastAsia="仿宋_GB2312" w:cs="仿宋_GB2312"/>
          <w:kern w:val="0"/>
          <w:sz w:val="24"/>
          <w:szCs w:val="24"/>
        </w:rPr>
        <w:t>万元(大写:</w:t>
      </w:r>
      <w:r>
        <w:rPr>
          <w:rFonts w:ascii="仿宋_GB2312" w:hAnsi="仿宋_GB2312" w:eastAsia="仿宋_GB2312" w:cs="仿宋_GB2312"/>
          <w:kern w:val="0"/>
          <w:sz w:val="24"/>
          <w:szCs w:val="24"/>
          <w:u w:val="single"/>
        </w:rPr>
        <w:t xml:space="preserve">       </w:t>
      </w:r>
      <w:r>
        <w:rPr>
          <w:rFonts w:ascii="仿宋_GB2312" w:hAnsi="仿宋_GB2312" w:eastAsia="仿宋_GB2312" w:cs="仿宋_GB2312"/>
          <w:kern w:val="0"/>
          <w:sz w:val="24"/>
          <w:szCs w:val="24"/>
        </w:rPr>
        <w:t>万元整)。</w:t>
      </w:r>
    </w:p>
    <w:p>
      <w:pPr>
        <w:widowControl/>
        <w:overflowPunct w:val="0"/>
        <w:spacing w:line="320" w:lineRule="exact"/>
        <w:ind w:right="202" w:firstLine="525" w:firstLineChars="219"/>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本合同价格包括合同货物(含备品备件、专用工具)、安装、技术资料、技术服务等费用,还包括合同货物的税费、运杂费、保险费用等与本合同有关的所有费用。</w:t>
      </w:r>
      <w:bookmarkStart w:id="103" w:name="_Toc222114141"/>
      <w:bookmarkStart w:id="104" w:name="_Toc288828838"/>
      <w:bookmarkStart w:id="105" w:name="_Toc288827313"/>
      <w:bookmarkStart w:id="106" w:name="_Toc497135770"/>
      <w:bookmarkStart w:id="107" w:name="_Toc12127"/>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4 付款</w:t>
      </w:r>
      <w:bookmarkEnd w:id="103"/>
      <w:bookmarkEnd w:id="104"/>
      <w:bookmarkEnd w:id="105"/>
      <w:bookmarkEnd w:id="106"/>
      <w:bookmarkEnd w:id="107"/>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4.1付款方式：电汇、银行承兑汇票或转账支票。</w:t>
      </w:r>
    </w:p>
    <w:p>
      <w:pPr>
        <w:pStyle w:val="39"/>
        <w:spacing w:line="320" w:lineRule="exact"/>
        <w:ind w:firstLine="480" w:firstLineChars="200"/>
        <w:rPr>
          <w:rFonts w:ascii="仿宋_GB2312" w:hAnsi="仿宋_GB2312" w:eastAsia="仿宋_GB2312" w:cs="仿宋_GB2312"/>
          <w:color w:val="C00000"/>
          <w:szCs w:val="24"/>
          <w:lang w:val="en-US" w:eastAsia="zh-CN"/>
        </w:rPr>
      </w:pPr>
      <w:r>
        <w:rPr>
          <w:rFonts w:ascii="仿宋_GB2312" w:hAnsi="仿宋_GB2312" w:eastAsia="仿宋_GB2312" w:cs="仿宋_GB2312"/>
          <w:color w:val="C00000"/>
          <w:szCs w:val="24"/>
          <w:lang w:val="en-US" w:eastAsia="zh-CN"/>
        </w:rPr>
        <w:t>4.2  合同价款的结算方式：</w:t>
      </w:r>
    </w:p>
    <w:p>
      <w:pPr>
        <w:pStyle w:val="39"/>
        <w:spacing w:line="320" w:lineRule="exact"/>
        <w:ind w:firstLine="480" w:firstLineChars="200"/>
        <w:rPr>
          <w:rFonts w:hint="eastAsia" w:ascii="仿宋_GB2312" w:hAnsi="仿宋_GB2312" w:eastAsia="仿宋_GB2312" w:cs="仿宋_GB2312"/>
          <w:color w:val="C00000"/>
          <w:szCs w:val="21"/>
        </w:rPr>
      </w:pPr>
      <w:bookmarkStart w:id="108" w:name="_Toc396298255"/>
      <w:bookmarkStart w:id="109" w:name="_Toc397169055"/>
      <w:bookmarkStart w:id="110" w:name="_Toc396960351"/>
      <w:bookmarkStart w:id="111" w:name="_Toc396298485"/>
      <w:bookmarkStart w:id="112" w:name="_Toc397162585"/>
      <w:bookmarkStart w:id="113" w:name="_Toc398374921"/>
      <w:bookmarkStart w:id="114" w:name="_Toc396295796"/>
      <w:bookmarkStart w:id="115" w:name="_Toc395923687"/>
      <w:bookmarkStart w:id="116" w:name="_Toc398375452"/>
      <w:bookmarkStart w:id="117" w:name="_Toc396298680"/>
      <w:bookmarkStart w:id="118" w:name="_Toc398375694"/>
      <w:bookmarkStart w:id="119" w:name="_Toc398375338"/>
      <w:bookmarkStart w:id="120" w:name="_Toc397169199"/>
      <w:bookmarkStart w:id="121" w:name="_Toc398375553"/>
      <w:bookmarkStart w:id="122" w:name="_Toc397169254"/>
      <w:bookmarkStart w:id="123" w:name="_Toc396960559"/>
      <w:bookmarkStart w:id="124" w:name="_Toc397169299"/>
      <w:bookmarkStart w:id="125" w:name="_Toc396986812"/>
      <w:bookmarkStart w:id="126" w:name="_Toc396295904"/>
      <w:bookmarkStart w:id="127" w:name="_Toc397168912"/>
      <w:bookmarkStart w:id="128" w:name="_Toc288827314"/>
      <w:bookmarkStart w:id="129" w:name="_Toc399326495"/>
      <w:bookmarkStart w:id="130" w:name="_Toc288828839"/>
      <w:bookmarkStart w:id="131" w:name="_Toc399318751"/>
      <w:bookmarkStart w:id="132" w:name="_Toc497135771"/>
      <w:bookmarkStart w:id="133" w:name="_Toc469195804"/>
      <w:bookmarkStart w:id="134" w:name="_Toc6499"/>
      <w:bookmarkStart w:id="135" w:name="_Toc402767020"/>
      <w:bookmarkStart w:id="136" w:name="_Toc222114142"/>
      <w:bookmarkStart w:id="137" w:name="_Toc402766608"/>
      <w:r>
        <w:rPr>
          <w:rFonts w:hint="eastAsia" w:ascii="仿宋_GB2312" w:hAnsi="仿宋_GB2312" w:eastAsia="仿宋_GB2312" w:cs="仿宋_GB2312"/>
          <w:color w:val="C00000"/>
          <w:szCs w:val="21"/>
          <w:lang w:eastAsia="zh-CN"/>
        </w:rPr>
        <w:t xml:space="preserve">4.2.2.1 </w:t>
      </w:r>
      <w:r>
        <w:rPr>
          <w:rFonts w:hint="eastAsia" w:ascii="仿宋_GB2312" w:hAnsi="仿宋_GB2312" w:eastAsia="仿宋_GB2312" w:cs="仿宋_GB2312"/>
          <w:color w:val="C00000"/>
          <w:szCs w:val="21"/>
        </w:rPr>
        <w:t>预付款：本设备材料预付款为合同价款的</w:t>
      </w:r>
      <w:r>
        <w:rPr>
          <w:rFonts w:hint="eastAsia" w:ascii="仿宋_GB2312" w:hAnsi="仿宋_GB2312" w:eastAsia="仿宋_GB2312" w:cs="仿宋_GB2312"/>
          <w:color w:val="C00000"/>
          <w:szCs w:val="21"/>
          <w:u w:val="single"/>
          <w:lang w:eastAsia="zh-CN"/>
        </w:rPr>
        <w:t xml:space="preserve"> </w:t>
      </w:r>
      <w:r>
        <w:rPr>
          <w:rFonts w:hint="eastAsia" w:ascii="仿宋_GB2312" w:hAnsi="仿宋_GB2312" w:eastAsia="仿宋_GB2312" w:cs="仿宋_GB2312"/>
          <w:color w:val="C00000"/>
          <w:szCs w:val="21"/>
          <w:u w:val="single"/>
          <w:lang w:val="en-US" w:eastAsia="zh-CN"/>
        </w:rPr>
        <w:t>30</w:t>
      </w:r>
      <w:r>
        <w:rPr>
          <w:rFonts w:hint="eastAsia" w:ascii="仿宋_GB2312" w:hAnsi="仿宋_GB2312" w:eastAsia="仿宋_GB2312" w:cs="仿宋_GB2312"/>
          <w:color w:val="C00000"/>
          <w:szCs w:val="21"/>
          <w:u w:val="single"/>
          <w:lang w:eastAsia="zh-CN"/>
        </w:rPr>
        <w:t xml:space="preserve"> </w:t>
      </w:r>
      <w:r>
        <w:rPr>
          <w:rFonts w:hint="eastAsia" w:ascii="仿宋_GB2312" w:hAnsi="仿宋_GB2312" w:eastAsia="仿宋_GB2312" w:cs="仿宋_GB2312"/>
          <w:color w:val="C00000"/>
          <w:szCs w:val="21"/>
        </w:rPr>
        <w:t>%；</w:t>
      </w:r>
    </w:p>
    <w:p>
      <w:pPr>
        <w:pStyle w:val="39"/>
        <w:spacing w:line="320" w:lineRule="exact"/>
        <w:ind w:firstLine="480" w:firstLineChars="200"/>
        <w:rPr>
          <w:rFonts w:hint="eastAsia" w:ascii="仿宋_GB2312" w:hAnsi="仿宋_GB2312" w:eastAsia="仿宋_GB2312" w:cs="仿宋_GB2312"/>
          <w:color w:val="C00000"/>
          <w:szCs w:val="21"/>
          <w:lang w:eastAsia="zh-CN"/>
        </w:rPr>
      </w:pPr>
      <w:r>
        <w:rPr>
          <w:rFonts w:hint="eastAsia" w:ascii="仿宋_GB2312" w:hAnsi="仿宋_GB2312" w:eastAsia="仿宋_GB2312" w:cs="仿宋_GB2312"/>
          <w:color w:val="C00000"/>
          <w:szCs w:val="21"/>
          <w:lang w:eastAsia="zh-CN"/>
        </w:rPr>
        <w:t>4.2.2.</w:t>
      </w:r>
      <w:r>
        <w:rPr>
          <w:rFonts w:hint="eastAsia" w:ascii="仿宋_GB2312" w:hAnsi="仿宋_GB2312" w:eastAsia="仿宋_GB2312" w:cs="仿宋_GB2312"/>
          <w:color w:val="C00000"/>
          <w:szCs w:val="21"/>
          <w:lang w:val="en-US" w:eastAsia="zh-CN"/>
        </w:rPr>
        <w:t>2</w:t>
      </w:r>
      <w:r>
        <w:rPr>
          <w:rFonts w:hint="eastAsia" w:ascii="仿宋_GB2312" w:hAnsi="仿宋_GB2312" w:eastAsia="仿宋_GB2312" w:cs="仿宋_GB2312"/>
          <w:color w:val="C00000"/>
          <w:szCs w:val="21"/>
          <w:lang w:eastAsia="zh-CN"/>
        </w:rPr>
        <w:t xml:space="preserve"> 到货</w:t>
      </w:r>
      <w:r>
        <w:rPr>
          <w:rFonts w:hint="eastAsia" w:ascii="仿宋_GB2312" w:hAnsi="仿宋_GB2312" w:eastAsia="仿宋_GB2312" w:cs="仿宋_GB2312"/>
          <w:color w:val="C00000"/>
          <w:szCs w:val="21"/>
        </w:rPr>
        <w:t>安装付款：设备材料</w:t>
      </w:r>
      <w:r>
        <w:rPr>
          <w:rFonts w:hint="eastAsia" w:ascii="仿宋_GB2312" w:hAnsi="仿宋_GB2312" w:eastAsia="仿宋_GB2312" w:cs="仿宋_GB2312"/>
          <w:color w:val="C00000"/>
          <w:szCs w:val="21"/>
          <w:lang w:eastAsia="zh-CN"/>
        </w:rPr>
        <w:t>到货</w:t>
      </w:r>
      <w:r>
        <w:rPr>
          <w:rFonts w:hint="eastAsia" w:ascii="仿宋_GB2312" w:hAnsi="仿宋_GB2312" w:eastAsia="仿宋_GB2312" w:cs="仿宋_GB2312"/>
          <w:color w:val="C00000"/>
          <w:szCs w:val="21"/>
        </w:rPr>
        <w:t>安装调试完毕后支付合同价款的</w:t>
      </w:r>
      <w:r>
        <w:rPr>
          <w:rFonts w:hint="eastAsia" w:ascii="仿宋_GB2312" w:hAnsi="仿宋_GB2312" w:eastAsia="仿宋_GB2312" w:cs="仿宋_GB2312"/>
          <w:color w:val="C00000"/>
          <w:szCs w:val="21"/>
          <w:u w:val="single"/>
          <w:lang w:eastAsia="zh-CN"/>
        </w:rPr>
        <w:t xml:space="preserve"> </w:t>
      </w:r>
      <w:r>
        <w:rPr>
          <w:rFonts w:hint="eastAsia" w:ascii="仿宋_GB2312" w:hAnsi="仿宋_GB2312" w:eastAsia="仿宋_GB2312" w:cs="仿宋_GB2312"/>
          <w:color w:val="C00000"/>
          <w:szCs w:val="21"/>
          <w:u w:val="single"/>
          <w:lang w:val="en-US" w:eastAsia="zh-CN"/>
        </w:rPr>
        <w:t>65</w:t>
      </w:r>
      <w:r>
        <w:rPr>
          <w:rFonts w:hint="eastAsia" w:ascii="仿宋_GB2312" w:hAnsi="仿宋_GB2312" w:eastAsia="仿宋_GB2312" w:cs="仿宋_GB2312"/>
          <w:color w:val="C00000"/>
          <w:szCs w:val="21"/>
          <w:u w:val="single"/>
          <w:lang w:eastAsia="zh-CN"/>
        </w:rPr>
        <w:t xml:space="preserve"> </w:t>
      </w:r>
      <w:r>
        <w:rPr>
          <w:rFonts w:hint="eastAsia" w:ascii="仿宋_GB2312" w:hAnsi="仿宋_GB2312" w:eastAsia="仿宋_GB2312" w:cs="仿宋_GB2312"/>
          <w:color w:val="C00000"/>
          <w:szCs w:val="21"/>
        </w:rPr>
        <w:t>%；</w:t>
      </w:r>
    </w:p>
    <w:p>
      <w:pPr>
        <w:pStyle w:val="39"/>
        <w:spacing w:line="320" w:lineRule="exact"/>
        <w:ind w:right="-420" w:rightChars="-200" w:firstLine="480" w:firstLineChars="200"/>
        <w:rPr>
          <w:rFonts w:hint="eastAsia" w:ascii="仿宋_GB2312" w:hAnsi="仿宋_GB2312" w:eastAsia="仿宋_GB2312" w:cs="仿宋_GB2312"/>
          <w:color w:val="C00000"/>
          <w:szCs w:val="21"/>
          <w:lang w:eastAsia="zh-CN"/>
        </w:rPr>
      </w:pPr>
      <w:r>
        <w:rPr>
          <w:rFonts w:hint="eastAsia" w:ascii="仿宋_GB2312" w:hAnsi="仿宋_GB2312" w:eastAsia="仿宋_GB2312" w:cs="仿宋_GB2312"/>
          <w:color w:val="C00000"/>
          <w:szCs w:val="21"/>
          <w:lang w:eastAsia="zh-CN"/>
        </w:rPr>
        <w:t>4.2.2.</w:t>
      </w:r>
      <w:r>
        <w:rPr>
          <w:rFonts w:hint="eastAsia" w:ascii="仿宋_GB2312" w:hAnsi="仿宋_GB2312" w:eastAsia="仿宋_GB2312" w:cs="仿宋_GB2312"/>
          <w:color w:val="C00000"/>
          <w:szCs w:val="21"/>
          <w:lang w:val="en-US" w:eastAsia="zh-CN"/>
        </w:rPr>
        <w:t>3</w:t>
      </w:r>
      <w:r>
        <w:rPr>
          <w:rFonts w:ascii="仿宋_GB2312" w:hAnsi="仿宋_GB2312" w:eastAsia="仿宋_GB2312" w:cs="仿宋_GB2312"/>
          <w:color w:val="C00000"/>
          <w:szCs w:val="21"/>
        </w:rPr>
        <w:t>质量保证款：为合同价款的</w:t>
      </w:r>
      <w:r>
        <w:rPr>
          <w:rFonts w:hint="eastAsia" w:ascii="仿宋_GB2312" w:hAnsi="仿宋_GB2312" w:eastAsia="仿宋_GB2312" w:cs="仿宋_GB2312"/>
          <w:color w:val="C00000"/>
          <w:szCs w:val="21"/>
          <w:u w:val="single"/>
          <w:lang w:eastAsia="zh-CN"/>
        </w:rPr>
        <w:t xml:space="preserve"> </w:t>
      </w:r>
      <w:r>
        <w:rPr>
          <w:rFonts w:hint="eastAsia" w:ascii="仿宋_GB2312" w:hAnsi="仿宋_GB2312" w:eastAsia="仿宋_GB2312" w:cs="仿宋_GB2312"/>
          <w:color w:val="C00000"/>
          <w:szCs w:val="21"/>
          <w:u w:val="single"/>
          <w:lang w:val="en-US" w:eastAsia="zh-CN"/>
        </w:rPr>
        <w:t>5</w:t>
      </w:r>
      <w:r>
        <w:rPr>
          <w:rFonts w:hint="eastAsia" w:ascii="仿宋_GB2312" w:hAnsi="仿宋_GB2312" w:eastAsia="仿宋_GB2312" w:cs="仿宋_GB2312"/>
          <w:color w:val="C00000"/>
          <w:szCs w:val="21"/>
          <w:u w:val="single"/>
          <w:lang w:eastAsia="zh-CN"/>
        </w:rPr>
        <w:t xml:space="preserve"> </w:t>
      </w:r>
      <w:r>
        <w:rPr>
          <w:rFonts w:ascii="仿宋_GB2312" w:hAnsi="仿宋_GB2312" w:eastAsia="仿宋_GB2312" w:cs="仿宋_GB2312"/>
          <w:color w:val="C00000"/>
          <w:szCs w:val="21"/>
        </w:rPr>
        <w:t>%，1年后，无质量问题，支付。（无利息）</w:t>
      </w:r>
    </w:p>
    <w:p>
      <w:pPr>
        <w:pStyle w:val="39"/>
        <w:spacing w:line="320" w:lineRule="exact"/>
        <w:ind w:firstLine="480" w:firstLineChars="200"/>
        <w:rPr>
          <w:rFonts w:hint="eastAsia" w:ascii="仿宋_GB2312" w:hAnsi="仿宋_GB2312" w:eastAsia="仿宋_GB2312" w:cs="仿宋_GB2312"/>
          <w:color w:val="C00000"/>
          <w:szCs w:val="21"/>
          <w:lang w:eastAsia="zh-CN"/>
        </w:rPr>
      </w:pPr>
      <w:r>
        <w:rPr>
          <w:rFonts w:ascii="仿宋_GB2312" w:hAnsi="仿宋_GB2312" w:eastAsia="仿宋_GB2312" w:cs="仿宋_GB2312"/>
          <w:color w:val="C00000"/>
          <w:szCs w:val="21"/>
        </w:rPr>
        <w:t>（实际付款方式以合同为准）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 交货</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仿宋_GB2312" w:hAnsi="仿宋_GB2312" w:eastAsia="仿宋_GB2312" w:cs="仿宋_GB2312"/>
          <w:szCs w:val="24"/>
          <w:lang w:val="en-US" w:eastAsia="zh-CN"/>
        </w:rPr>
        <w:t>和运输</w:t>
      </w:r>
      <w:bookmarkEnd w:id="128"/>
      <w:bookmarkEnd w:id="129"/>
      <w:bookmarkEnd w:id="130"/>
      <w:bookmarkEnd w:id="131"/>
      <w:bookmarkEnd w:id="132"/>
      <w:bookmarkEnd w:id="133"/>
      <w:bookmarkEnd w:id="134"/>
      <w:bookmarkEnd w:id="135"/>
      <w:bookmarkEnd w:id="136"/>
      <w:bookmarkEnd w:id="137"/>
    </w:p>
    <w:p>
      <w:pPr>
        <w:pStyle w:val="39"/>
        <w:spacing w:line="320" w:lineRule="exact"/>
        <w:ind w:right="-781" w:rightChars="-372"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5.1本合同货物在</w:t>
      </w:r>
      <w:r>
        <w:rPr>
          <w:rFonts w:hint="eastAsia" w:ascii="仿宋_GB2312" w:hAnsi="仿宋_GB2312" w:eastAsia="仿宋_GB2312" w:cs="仿宋_GB2312"/>
          <w:szCs w:val="24"/>
          <w:u w:val="single"/>
          <w:lang w:val="en-US" w:eastAsia="zh-CN"/>
        </w:rPr>
        <w:t xml:space="preserve">     </w:t>
      </w:r>
      <w:r>
        <w:rPr>
          <w:rFonts w:ascii="仿宋_GB2312" w:hAnsi="仿宋_GB2312" w:eastAsia="仿宋_GB2312" w:cs="仿宋_GB2312"/>
          <w:szCs w:val="24"/>
          <w:lang w:val="en-US" w:eastAsia="zh-CN"/>
        </w:rPr>
        <w:t>年</w:t>
      </w:r>
      <w:r>
        <w:rPr>
          <w:rFonts w:ascii="仿宋_GB2312" w:hAnsi="仿宋_GB2312" w:eastAsia="仿宋_GB2312" w:cs="仿宋_GB2312"/>
          <w:szCs w:val="24"/>
          <w:u w:val="single"/>
          <w:lang w:val="en-US" w:eastAsia="zh-CN"/>
        </w:rPr>
        <w:t xml:space="preserve">   </w:t>
      </w:r>
      <w:r>
        <w:rPr>
          <w:rFonts w:ascii="仿宋_GB2312" w:hAnsi="仿宋_GB2312" w:eastAsia="仿宋_GB2312" w:cs="仿宋_GB2312"/>
          <w:szCs w:val="24"/>
          <w:lang w:val="en-US" w:eastAsia="zh-CN"/>
        </w:rPr>
        <w:t>月</w:t>
      </w:r>
      <w:r>
        <w:rPr>
          <w:rFonts w:hint="eastAsia" w:ascii="仿宋_GB2312" w:hAnsi="仿宋_GB2312" w:eastAsia="仿宋_GB2312" w:cs="仿宋_GB2312"/>
          <w:szCs w:val="24"/>
          <w:u w:val="single"/>
          <w:lang w:val="en-US" w:eastAsia="zh-CN"/>
        </w:rPr>
        <w:t xml:space="preserve">   </w:t>
      </w:r>
      <w:r>
        <w:rPr>
          <w:rFonts w:ascii="仿宋_GB2312" w:hAnsi="仿宋_GB2312" w:eastAsia="仿宋_GB2312" w:cs="仿宋_GB2312"/>
          <w:szCs w:val="24"/>
          <w:lang w:val="en-US" w:eastAsia="zh-CN"/>
        </w:rPr>
        <w:t>日前具备发货条件，具体的交货日期以采购人通知为准。</w:t>
      </w:r>
    </w:p>
    <w:p>
      <w:pPr>
        <w:pStyle w:val="39"/>
        <w:spacing w:line="320" w:lineRule="exact"/>
        <w:ind w:firstLine="480" w:firstLineChars="200"/>
        <w:rPr>
          <w:rFonts w:ascii="仿宋_GB2312" w:hAnsi="仿宋_GB2312" w:eastAsia="仿宋_GB2312" w:cs="仿宋_GB2312"/>
          <w:szCs w:val="24"/>
          <w:u w:val="single"/>
          <w:lang w:val="en-US" w:eastAsia="zh-CN"/>
        </w:rPr>
      </w:pPr>
      <w:r>
        <w:rPr>
          <w:rFonts w:ascii="仿宋_GB2312" w:hAnsi="仿宋_GB2312" w:eastAsia="仿宋_GB2312" w:cs="仿宋_GB2312"/>
          <w:szCs w:val="24"/>
          <w:lang w:val="en-US" w:eastAsia="zh-CN"/>
        </w:rPr>
        <w:t>5.2交货地点：</w:t>
      </w:r>
      <w:r>
        <w:rPr>
          <w:rFonts w:hint="eastAsia" w:ascii="仿宋_GB2312" w:hAnsi="仿宋_GB2312" w:eastAsia="仿宋_GB2312" w:cs="仿宋_GB2312"/>
          <w:b/>
          <w:bCs/>
          <w:szCs w:val="24"/>
          <w:lang w:val="en-US" w:eastAsia="zh-CN"/>
        </w:rPr>
        <w:t>新疆供销技师学院（新疆供销学校）</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5.3在货物启运3天前，投标人应以电报或传真通知采购人。</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5.4合同货物交货日期以到货时间为准。此日期为计算迟交货物违约金时的根据。</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5.5在合同签订后5日内，投标人按技术协议的规定向采购人提供满足设计要求的货物技术资料5套、电子版1套。如提交的货物技术资料一次不能满足设计要求，采购人有权解除合同。投标人应分别列出上述技术资料的清单。</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5.6技术资料以邮政部门提货通知单时间戳记为技术资料的实际交付日期。此日期将作为延期交付资料违约金计算的依据。</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5.7采购人可派遣代表到投标人工厂监督货物生产、质量及交货情况。</w:t>
      </w:r>
    </w:p>
    <w:p>
      <w:pPr>
        <w:pStyle w:val="39"/>
        <w:spacing w:line="320" w:lineRule="exact"/>
        <w:ind w:firstLine="480" w:firstLineChars="200"/>
        <w:rPr>
          <w:rFonts w:ascii="仿宋_GB2312" w:hAnsi="仿宋_GB2312" w:eastAsia="仿宋_GB2312" w:cs="仿宋_GB2312"/>
          <w:szCs w:val="24"/>
          <w:lang w:val="en-US" w:eastAsia="zh-CN"/>
        </w:rPr>
      </w:pPr>
      <w:bookmarkStart w:id="138" w:name="_Toc288828840"/>
      <w:bookmarkStart w:id="139" w:name="_Toc397162798"/>
      <w:bookmarkStart w:id="140" w:name="_Toc399318752"/>
      <w:bookmarkStart w:id="141" w:name="_Toc396298486"/>
      <w:bookmarkStart w:id="142" w:name="_Toc396298256"/>
      <w:bookmarkStart w:id="143" w:name="_Toc396960352"/>
      <w:bookmarkStart w:id="144" w:name="_Toc397169200"/>
      <w:bookmarkStart w:id="145" w:name="_Toc398375339"/>
      <w:bookmarkStart w:id="146" w:name="_Toc396298681"/>
      <w:bookmarkStart w:id="147" w:name="_Toc402766609"/>
      <w:bookmarkStart w:id="148" w:name="_Toc398374922"/>
      <w:bookmarkStart w:id="149" w:name="_Toc397162586"/>
      <w:bookmarkStart w:id="150" w:name="_Toc288827315"/>
      <w:bookmarkStart w:id="151" w:name="_Toc395923688"/>
      <w:bookmarkStart w:id="152" w:name="_Toc398375554"/>
      <w:bookmarkStart w:id="153" w:name="_Toc396960560"/>
      <w:bookmarkStart w:id="154" w:name="_Toc20864"/>
      <w:bookmarkStart w:id="155" w:name="_Toc222114143"/>
      <w:bookmarkStart w:id="156" w:name="_Toc469195805"/>
      <w:bookmarkStart w:id="157" w:name="_Toc397169255"/>
      <w:bookmarkStart w:id="158" w:name="_Toc398375453"/>
      <w:bookmarkStart w:id="159" w:name="_Toc399326496"/>
      <w:bookmarkStart w:id="160" w:name="_Toc396986813"/>
      <w:bookmarkStart w:id="161" w:name="_Toc396295905"/>
      <w:bookmarkStart w:id="162" w:name="_Toc402767021"/>
      <w:bookmarkStart w:id="163" w:name="_Toc398375695"/>
      <w:bookmarkStart w:id="164" w:name="_Toc397169056"/>
      <w:bookmarkStart w:id="165" w:name="_Toc396295797"/>
      <w:bookmarkStart w:id="166" w:name="_Toc497135772"/>
      <w:bookmarkStart w:id="167" w:name="_Toc397168913"/>
      <w:bookmarkStart w:id="168" w:name="_Toc397169300"/>
      <w:r>
        <w:rPr>
          <w:rFonts w:ascii="仿宋_GB2312" w:hAnsi="仿宋_GB2312" w:eastAsia="仿宋_GB2312" w:cs="仿宋_GB2312"/>
          <w:szCs w:val="24"/>
          <w:lang w:val="en-US" w:eastAsia="zh-CN"/>
        </w:rPr>
        <w:t>6包装与标记</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6.1投标人交付的所有货物有包装要求的应有坚固的包装。包装应保证在运输、装卸过程中完好无损，安全抵达现场。</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6.2投标人对包装箱内的各散装部件在装配图中的部件号、零件号应标记清楚。</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6.3每件包装箱内，应附有包括分件名称、数量、价格、机组号、图号的详细装箱单、合格证。外购件包装箱内应有产品出厂质量合格证明书、技术说明各一份。另邮寄装箱清单二份。</w:t>
      </w:r>
    </w:p>
    <w:p>
      <w:pPr>
        <w:pStyle w:val="39"/>
        <w:spacing w:line="320" w:lineRule="exact"/>
        <w:ind w:firstLine="480" w:firstLineChars="200"/>
        <w:rPr>
          <w:rFonts w:ascii="仿宋_GB2312" w:hAnsi="仿宋_GB2312" w:eastAsia="仿宋_GB2312" w:cs="仿宋_GB2312"/>
          <w:szCs w:val="24"/>
          <w:lang w:val="en-US" w:eastAsia="zh-CN"/>
        </w:rPr>
      </w:pPr>
      <w:bookmarkStart w:id="169" w:name="_Toc288827316"/>
      <w:bookmarkStart w:id="170" w:name="_Toc399318753"/>
      <w:bookmarkStart w:id="171" w:name="_Toc398375454"/>
      <w:bookmarkStart w:id="172" w:name="_Toc397169201"/>
      <w:bookmarkStart w:id="173" w:name="_Toc397162587"/>
      <w:bookmarkStart w:id="174" w:name="_Toc402766610"/>
      <w:bookmarkStart w:id="175" w:name="_Toc398375340"/>
      <w:bookmarkStart w:id="176" w:name="_Toc397162799"/>
      <w:bookmarkStart w:id="177" w:name="_Toc397168914"/>
      <w:bookmarkStart w:id="178" w:name="_Toc222114144"/>
      <w:bookmarkStart w:id="179" w:name="_Toc398375555"/>
      <w:bookmarkStart w:id="180" w:name="_Toc288828841"/>
      <w:bookmarkStart w:id="181" w:name="_Toc402767022"/>
      <w:bookmarkStart w:id="182" w:name="_Toc23644"/>
      <w:bookmarkStart w:id="183" w:name="_Toc395923689"/>
      <w:bookmarkStart w:id="184" w:name="_Toc396960353"/>
      <w:bookmarkStart w:id="185" w:name="_Toc396960561"/>
      <w:bookmarkStart w:id="186" w:name="_Toc397169057"/>
      <w:bookmarkStart w:id="187" w:name="_Toc396295906"/>
      <w:bookmarkStart w:id="188" w:name="_Toc399326497"/>
      <w:bookmarkStart w:id="189" w:name="_Toc469195806"/>
      <w:bookmarkStart w:id="190" w:name="_Toc398374923"/>
      <w:bookmarkStart w:id="191" w:name="_Toc497135773"/>
      <w:bookmarkStart w:id="192" w:name="_Toc396986814"/>
      <w:bookmarkStart w:id="193" w:name="_Toc397169256"/>
      <w:bookmarkStart w:id="194" w:name="_Toc396298257"/>
      <w:bookmarkStart w:id="195" w:name="_Toc396298682"/>
      <w:bookmarkStart w:id="196" w:name="_Toc396298487"/>
      <w:bookmarkStart w:id="197" w:name="_Toc396295798"/>
      <w:bookmarkStart w:id="198" w:name="_Toc398375696"/>
      <w:bookmarkStart w:id="199" w:name="_Toc397169301"/>
      <w:r>
        <w:rPr>
          <w:rFonts w:ascii="仿宋_GB2312" w:hAnsi="仿宋_GB2312" w:eastAsia="仿宋_GB2312" w:cs="仿宋_GB2312"/>
          <w:szCs w:val="24"/>
          <w:lang w:val="en-US" w:eastAsia="zh-CN"/>
        </w:rPr>
        <w:t>7 技术服务和联络</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7.1投标人应及时提供与本合同货物有关的货物监造、检验、土建、安装、调试、验收、性能验收试验、运行、检修等相应的技术指导、技术配合、技术培训</w:t>
      </w:r>
      <w:r>
        <w:rPr>
          <w:rFonts w:hint="eastAsia" w:ascii="仿宋_GB2312" w:hAnsi="仿宋_GB2312" w:eastAsia="仿宋_GB2312" w:cs="仿宋_GB2312"/>
          <w:szCs w:val="24"/>
          <w:lang w:val="en-US" w:eastAsia="zh-CN"/>
        </w:rPr>
        <w:t>（免费）</w:t>
      </w:r>
      <w:r>
        <w:rPr>
          <w:rFonts w:ascii="仿宋_GB2312" w:hAnsi="仿宋_GB2312" w:eastAsia="仿宋_GB2312" w:cs="仿宋_GB2312"/>
          <w:szCs w:val="24"/>
          <w:lang w:val="en-US" w:eastAsia="zh-CN"/>
        </w:rPr>
        <w:t>等全过程的服务。</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7.2投标人需派代表到现场进行技术服务，并负责按技术资料进行安装、分部试运、调试和启动，并负责解决货物在安装调试、试运行中发现的制造质量及性能等有关问题。</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7.3采购人有权将投标人所提供的一切与本合同货物有关的资料分发给与本项目有关的各方，并不由此而构成任何侵权,但不得向任何与本项目无关的第三方提供。</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7.4投标人（包括分包与外购）须对一切与本合同有关的供货、货物及技术接口、技术服务等问题负全部责任。</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7.5凡与本合同货物相连接的其它货物装置，投标人有提供接口和技术配合的义务，并不由此而发生合同价格以外的任何费用。</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7.6由于投标人技术服务人员对安装、调试、试运的技术指导的疏忽和错误以及投标人未按要求派人指导而造成的损失应由投标人负责。</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7.7技术服务和联络的具体要求见技术协议。</w:t>
      </w:r>
    </w:p>
    <w:p>
      <w:pPr>
        <w:pStyle w:val="39"/>
        <w:spacing w:line="320" w:lineRule="exact"/>
        <w:ind w:firstLine="480" w:firstLineChars="200"/>
        <w:rPr>
          <w:rFonts w:ascii="仿宋_GB2312" w:hAnsi="仿宋_GB2312" w:eastAsia="仿宋_GB2312" w:cs="仿宋_GB2312"/>
          <w:szCs w:val="24"/>
          <w:lang w:val="en-US" w:eastAsia="zh-CN"/>
        </w:rPr>
      </w:pPr>
      <w:bookmarkStart w:id="200" w:name="_Toc397162801"/>
      <w:bookmarkStart w:id="201" w:name="_Toc402767024"/>
      <w:bookmarkStart w:id="202" w:name="_Toc222114145"/>
      <w:bookmarkStart w:id="203" w:name="_Toc288827317"/>
      <w:bookmarkStart w:id="204" w:name="_Toc8478"/>
      <w:bookmarkStart w:id="205" w:name="_Toc397162589"/>
      <w:bookmarkStart w:id="206" w:name="_Toc396298489"/>
      <w:bookmarkStart w:id="207" w:name="_Toc397169303"/>
      <w:bookmarkStart w:id="208" w:name="_Toc399326499"/>
      <w:bookmarkStart w:id="209" w:name="_Toc396960355"/>
      <w:bookmarkStart w:id="210" w:name="_Toc396986816"/>
      <w:bookmarkStart w:id="211" w:name="_Toc397169203"/>
      <w:bookmarkStart w:id="212" w:name="_Toc402766612"/>
      <w:bookmarkStart w:id="213" w:name="_Toc396298259"/>
      <w:bookmarkStart w:id="214" w:name="_Toc399318755"/>
      <w:bookmarkStart w:id="215" w:name="_Toc395923691"/>
      <w:bookmarkStart w:id="216" w:name="_Toc396295800"/>
      <w:bookmarkStart w:id="217" w:name="_Toc469195808"/>
      <w:bookmarkStart w:id="218" w:name="_Toc398375698"/>
      <w:bookmarkStart w:id="219" w:name="_Toc397168916"/>
      <w:bookmarkStart w:id="220" w:name="_Toc288828842"/>
      <w:bookmarkStart w:id="221" w:name="_Toc497135775"/>
      <w:bookmarkStart w:id="222" w:name="_Toc396960563"/>
      <w:bookmarkStart w:id="223" w:name="_Toc396298684"/>
      <w:bookmarkStart w:id="224" w:name="_Toc398375342"/>
      <w:bookmarkStart w:id="225" w:name="_Toc398374925"/>
      <w:bookmarkStart w:id="226" w:name="_Toc397169258"/>
      <w:bookmarkStart w:id="227" w:name="_Toc398375456"/>
      <w:bookmarkStart w:id="228" w:name="_Toc398375557"/>
      <w:bookmarkStart w:id="229" w:name="_Toc396295908"/>
      <w:r>
        <w:rPr>
          <w:rFonts w:ascii="仿宋_GB2312" w:hAnsi="仿宋_GB2312" w:eastAsia="仿宋_GB2312" w:cs="仿宋_GB2312"/>
          <w:szCs w:val="24"/>
          <w:lang w:val="en-US" w:eastAsia="zh-CN"/>
        </w:rPr>
        <w:t>8 安装、调试、试运和验收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8.1货物由投标人根据技术资料、检验标准、图纸及说明书进行安装、调试、运行和维修。整个安装、调试过程须在投标人现场技术服务人员指导下进行。如需经投标人现场技术服务人员签字确认时，应进行签字确认。</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8.2本合同货物安装完毕后的验收工作按照技术协议的要求进行。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8.3如果第一次性能验收试验达不到本合同技术协议所规定的一项或多项性能保证值，则双方应共同分析原因，投标人采取措施，并进行第二次验收试验。试验费由投标人支付。</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8.4初步验收证书只是证明投标人所提供的合同货物性能和参数截至出具初步验收证明时，可以按合同要求予以接受，但不能视为投标人对货物中存在的可能引起设施或货物损坏的潜在缺陷所应负的责任解除的证据，同样，最终验收证书也不能被视为投标人对货物中存在可能引起货物损坏的潜在缺陷应负责任的解除的证据。潜在缺陷指货物的隐患在正常情况下不能被发现，投标人对纠正潜在缺陷所应负的责任，其时间应保证到三年质保期终止后到第一次大修时。当发现这类潜在缺陷时(经双方确认)，投标人应进行修理或调换。</w:t>
      </w:r>
    </w:p>
    <w:p>
      <w:pPr>
        <w:pStyle w:val="39"/>
        <w:spacing w:line="320" w:lineRule="exact"/>
        <w:ind w:firstLine="480" w:firstLineChars="200"/>
        <w:rPr>
          <w:rFonts w:ascii="仿宋_GB2312" w:hAnsi="仿宋_GB2312" w:eastAsia="仿宋_GB2312" w:cs="仿宋_GB2312"/>
          <w:szCs w:val="24"/>
          <w:lang w:val="en-US" w:eastAsia="zh-CN"/>
        </w:rPr>
      </w:pPr>
      <w:bookmarkStart w:id="230" w:name="_Toc288828843"/>
      <w:bookmarkStart w:id="231" w:name="_Toc288827318"/>
      <w:bookmarkStart w:id="232" w:name="_Toc26116"/>
      <w:bookmarkStart w:id="233" w:name="_Toc222114146"/>
      <w:r>
        <w:rPr>
          <w:rFonts w:ascii="仿宋_GB2312" w:hAnsi="仿宋_GB2312" w:eastAsia="仿宋_GB2312" w:cs="仿宋_GB2312"/>
          <w:szCs w:val="24"/>
          <w:lang w:val="en-US" w:eastAsia="zh-CN"/>
        </w:rPr>
        <w:t>9质保期</w:t>
      </w:r>
      <w:bookmarkEnd w:id="230"/>
      <w:bookmarkEnd w:id="231"/>
      <w:bookmarkEnd w:id="232"/>
      <w:bookmarkEnd w:id="23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9.1质保期是指货物</w:t>
      </w:r>
      <w:r>
        <w:rPr>
          <w:rFonts w:hint="eastAsia" w:ascii="仿宋_GB2312" w:hAnsi="仿宋_GB2312" w:eastAsia="仿宋_GB2312" w:cs="仿宋_GB2312"/>
          <w:szCs w:val="24"/>
          <w:lang w:val="en-US" w:eastAsia="zh-CN"/>
        </w:rPr>
        <w:t>安装调试</w:t>
      </w:r>
      <w:r>
        <w:rPr>
          <w:rFonts w:ascii="仿宋_GB2312" w:hAnsi="仿宋_GB2312" w:eastAsia="仿宋_GB2312" w:cs="仿宋_GB2312"/>
          <w:szCs w:val="24"/>
          <w:lang w:val="en-US" w:eastAsia="zh-CN"/>
        </w:rPr>
        <w:t>验收合格之日起</w:t>
      </w:r>
      <w:r>
        <w:rPr>
          <w:rFonts w:hint="eastAsia" w:ascii="仿宋_GB2312" w:hAnsi="仿宋_GB2312" w:eastAsia="仿宋_GB2312" w:cs="仿宋_GB2312"/>
          <w:szCs w:val="24"/>
          <w:lang w:val="en-US" w:eastAsia="zh-CN"/>
        </w:rPr>
        <w:t>两</w:t>
      </w:r>
      <w:r>
        <w:rPr>
          <w:rFonts w:ascii="仿宋_GB2312" w:hAnsi="仿宋_GB2312" w:eastAsia="仿宋_GB2312" w:cs="仿宋_GB2312"/>
          <w:szCs w:val="24"/>
          <w:lang w:val="en-US" w:eastAsia="zh-CN"/>
        </w:rPr>
        <w:t>年。</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9.2货物合同执行期间，如果投标人提供的货物有缺陷和技术资料有错误，或者由于投标人技术人员指导错误和疏忽，造成返工、报废，投标人应立即无偿更换和修理。如需更换，投标人应承担由此产生的到安装现场更换的一切费用，更换或修理期限应不影响安装进度，否则,按违约处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9.3在质保期内，如发现货物有缺陷，不符合本合同规定时，投标人应立即无偿修理、更换、赔款或委托采购人安排修理。包括由此产生的所有费用由投标人负担。</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9.4如由于投标人责任需要更换、修理有缺陷的货物，而使货物停运或推迟安装时，则质保期应按实际修理或更换所延误的时间做相应的延长。</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9.5如货物在质保期内发现属投标人责任的十分严重的缺陷（如设施或货物性能达不到要求等）则其质保期将自该缺陷修正后开始计算</w:t>
      </w:r>
      <w:r>
        <w:rPr>
          <w:rFonts w:hint="eastAsia" w:ascii="仿宋_GB2312" w:hAnsi="仿宋_GB2312" w:eastAsia="仿宋_GB2312" w:cs="仿宋_GB2312"/>
          <w:szCs w:val="24"/>
          <w:lang w:val="en-US" w:eastAsia="zh-CN"/>
        </w:rPr>
        <w:t>两</w:t>
      </w:r>
      <w:r>
        <w:rPr>
          <w:rFonts w:ascii="仿宋_GB2312" w:hAnsi="仿宋_GB2312" w:eastAsia="仿宋_GB2312" w:cs="仿宋_GB2312"/>
          <w:szCs w:val="24"/>
          <w:lang w:val="en-US" w:eastAsia="zh-CN"/>
        </w:rPr>
        <w:t>年。</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10违约责任及违约金</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10.1由于投标人责任，如经第二次验收试验仍不能达到本合同技术协议所规定的一项或多项保证指标时，投标人向采购人赔偿货物总价的5%，并承担经济损失。</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投标人提交违约金后，仍有义务向采购人提供技术帮助，采取各种措施以使货物达到各项经济技术指标。若仍然达不到经济技术指标，投标人向采购人赔偿货物总价的15%，并承担经济损失，采购人有权终止部分或全部合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 xml:space="preserve"> 10.2投标人未能按本合同规定的交货期交货时（不可抗力除外），采购人有权按下列比例向投标人收取违约金：</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迟交1－3周，每周违约金金额为迟交货物金额的3％；</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迟交4－6周，每周违约金金额为迟交货物金额的5％；</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不满一周按一周计算。</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（注：对因迟交的配套件或货物而影响整套货物的安装进度，或进度则应按整套货物的价款计算）投标人货物迟交超过1个月时，采购人有权终止部分或全部合同。</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10.3如由于投标人责任未能按时交付技术资料时，迟交一周，投标人支付违约金1万元/件，其后每天投标人支付违约金1万元/件。</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10.4如果由于投标人技术服务的延误、疏忽或错误，在执行合同中造成延误，每延误交货期一周投标人将向采购人支付每套合同货物总价的3％违约金，且投标人支付由于投标人技术服务错误或违约造成采购人的经济损失。</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10.5投标人支付迟交违约金并不解除按合同所规定的相应义务。</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10.6因采购人原因要求中途退货，采购人应向投标人偿付违约金，违约金为退货部分货物价格的10％，并赔偿投标人由此产生的直接经济损失。</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10.7因投标人原因而不能交货，投标人应向采购人偿付违约金，违约金为不能交货部分货物价格的10％，并赔偿采购人由此产生的经济损失。</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10.8 投标人不履行保修义务或不及时保修的，采购人有权拒付质保金，并要求赔偿损失。</w:t>
      </w:r>
    </w:p>
    <w:p>
      <w:pPr>
        <w:pStyle w:val="39"/>
        <w:spacing w:line="320" w:lineRule="exact"/>
        <w:ind w:firstLine="480" w:firstLineChars="200"/>
        <w:rPr>
          <w:rFonts w:ascii="仿宋_GB2312" w:hAnsi="仿宋_GB2312" w:eastAsia="仿宋_GB2312" w:cs="仿宋_GB2312"/>
          <w:szCs w:val="24"/>
          <w:lang w:val="en-US" w:eastAsia="zh-CN"/>
        </w:rPr>
      </w:pPr>
      <w:bookmarkStart w:id="234" w:name="_Toc396298688"/>
      <w:bookmarkStart w:id="235" w:name="_Toc395923695"/>
      <w:bookmarkStart w:id="236" w:name="_Toc396298493"/>
      <w:bookmarkStart w:id="237" w:name="_Toc396295804"/>
      <w:bookmarkStart w:id="238" w:name="_Toc396298263"/>
      <w:bookmarkStart w:id="239" w:name="_Toc396295912"/>
      <w:bookmarkStart w:id="240" w:name="_Toc397162593"/>
      <w:bookmarkStart w:id="241" w:name="_Toc397162805"/>
      <w:bookmarkStart w:id="242" w:name="_Toc288828844"/>
      <w:bookmarkStart w:id="243" w:name="_Toc399318759"/>
      <w:bookmarkStart w:id="244" w:name="_Toc402766616"/>
      <w:bookmarkStart w:id="245" w:name="_Toc21570"/>
      <w:bookmarkStart w:id="246" w:name="_Toc288827319"/>
      <w:bookmarkStart w:id="247" w:name="_Toc398375702"/>
      <w:bookmarkStart w:id="248" w:name="_Toc398374929"/>
      <w:bookmarkStart w:id="249" w:name="_Toc398375561"/>
      <w:bookmarkStart w:id="250" w:name="_Toc497135779"/>
      <w:bookmarkStart w:id="251" w:name="_Toc397169207"/>
      <w:bookmarkStart w:id="252" w:name="_Toc402767028"/>
      <w:bookmarkStart w:id="253" w:name="_Toc396960359"/>
      <w:bookmarkStart w:id="254" w:name="_Toc398375460"/>
      <w:bookmarkStart w:id="255" w:name="_Toc397169307"/>
      <w:bookmarkStart w:id="256" w:name="_Toc222114147"/>
      <w:bookmarkStart w:id="257" w:name="_Toc396986820"/>
      <w:bookmarkStart w:id="258" w:name="_Toc397168920"/>
      <w:bookmarkStart w:id="259" w:name="_Toc399326503"/>
      <w:bookmarkStart w:id="260" w:name="_Toc469195812"/>
      <w:bookmarkStart w:id="261" w:name="_Toc397169262"/>
      <w:bookmarkStart w:id="262" w:name="_Toc396960567"/>
      <w:bookmarkStart w:id="263" w:name="_Toc398375346"/>
      <w:r>
        <w:rPr>
          <w:rFonts w:ascii="仿宋_GB2312" w:hAnsi="仿宋_GB2312" w:eastAsia="仿宋_GB2312" w:cs="仿宋_GB2312"/>
          <w:szCs w:val="24"/>
          <w:lang w:val="en-US" w:eastAsia="zh-CN"/>
        </w:rPr>
        <w:t>11 分包</w:t>
      </w:r>
      <w:bookmarkEnd w:id="234"/>
      <w:bookmarkEnd w:id="235"/>
      <w:bookmarkEnd w:id="236"/>
      <w:bookmarkEnd w:id="237"/>
      <w:bookmarkEnd w:id="238"/>
      <w:bookmarkEnd w:id="239"/>
      <w:r>
        <w:rPr>
          <w:rFonts w:ascii="仿宋_GB2312" w:hAnsi="仿宋_GB2312" w:eastAsia="仿宋_GB2312" w:cs="仿宋_GB2312"/>
          <w:szCs w:val="24"/>
          <w:lang w:val="en-US" w:eastAsia="zh-CN"/>
        </w:rPr>
        <w:t>与外购</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11.1分包(外购)货物或部件的技术服务投标人负责。</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11.2投标人对所有分包货物、部件承担本合同项下的全部责任。</w:t>
      </w:r>
    </w:p>
    <w:p>
      <w:pPr>
        <w:pStyle w:val="39"/>
        <w:spacing w:line="320" w:lineRule="exact"/>
        <w:ind w:firstLine="480" w:firstLineChars="200"/>
        <w:rPr>
          <w:rFonts w:ascii="仿宋_GB2312" w:hAnsi="仿宋_GB2312" w:eastAsia="仿宋_GB2312" w:cs="仿宋_GB2312"/>
          <w:szCs w:val="24"/>
          <w:lang w:val="en-US" w:eastAsia="zh-CN"/>
        </w:rPr>
      </w:pPr>
      <w:bookmarkStart w:id="264" w:name="_Toc288828845"/>
      <w:bookmarkStart w:id="265" w:name="_Toc399318760"/>
      <w:bookmarkStart w:id="266" w:name="_Toc222114148"/>
      <w:bookmarkStart w:id="267" w:name="_Toc397162806"/>
      <w:bookmarkStart w:id="268" w:name="_Toc398375703"/>
      <w:bookmarkStart w:id="269" w:name="_Toc399326504"/>
      <w:bookmarkStart w:id="270" w:name="_Toc402766617"/>
      <w:bookmarkStart w:id="271" w:name="_Toc396298689"/>
      <w:bookmarkStart w:id="272" w:name="_Toc396960360"/>
      <w:bookmarkStart w:id="273" w:name="_Toc398375347"/>
      <w:bookmarkStart w:id="274" w:name="_Toc398374930"/>
      <w:bookmarkStart w:id="275" w:name="_Toc398375461"/>
      <w:bookmarkStart w:id="276" w:name="_Toc398375562"/>
      <w:bookmarkStart w:id="277" w:name="_Toc397169263"/>
      <w:bookmarkStart w:id="278" w:name="_Toc396298494"/>
      <w:bookmarkStart w:id="279" w:name="_Toc395923696"/>
      <w:bookmarkStart w:id="280" w:name="_Toc396295913"/>
      <w:bookmarkStart w:id="281" w:name="_Toc288827320"/>
      <w:bookmarkStart w:id="282" w:name="_Toc396295805"/>
      <w:bookmarkStart w:id="283" w:name="_Toc469195813"/>
      <w:bookmarkStart w:id="284" w:name="_Toc402767029"/>
      <w:bookmarkStart w:id="285" w:name="_Toc497135780"/>
      <w:bookmarkStart w:id="286" w:name="_Toc396960568"/>
      <w:bookmarkStart w:id="287" w:name="_Toc397168921"/>
      <w:bookmarkStart w:id="288" w:name="_Toc397169308"/>
      <w:bookmarkStart w:id="289" w:name="_Toc396986821"/>
      <w:bookmarkStart w:id="290" w:name="_Toc396298264"/>
      <w:bookmarkStart w:id="291" w:name="_Toc397162594"/>
      <w:bookmarkStart w:id="292" w:name="_Toc12137"/>
      <w:bookmarkStart w:id="293" w:name="_Toc397169208"/>
      <w:r>
        <w:rPr>
          <w:rFonts w:ascii="仿宋_GB2312" w:hAnsi="仿宋_GB2312" w:eastAsia="仿宋_GB2312" w:cs="仿宋_GB2312"/>
          <w:szCs w:val="24"/>
          <w:lang w:val="en-US" w:eastAsia="zh-CN"/>
        </w:rPr>
        <w:t>12 合同的变更、修改、中止和终止</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12.1本合同一经生效，合同双方均不得擅自对本合同的内容（包括附件）作任何单方的修改。一方以书面形式提出变更、修改、取消或补充的,经双方签字确认。</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12.2如果投标人有违反或拒绝执行本合同规定的行为时，采购人将用书面通知投标人，投标人在接到通知后7天内确认无误后应对违反或拒绝作出修正，如果得不到纠正或提不出修正计划，采购人有权中止本合同的一部分或全部。对于这种中止，采购人将不出具变更通知书，由此而发生的一切费用、损失和违约金将由投标人负担。</w:t>
      </w:r>
    </w:p>
    <w:p>
      <w:pPr>
        <w:pStyle w:val="39"/>
        <w:spacing w:line="320" w:lineRule="exact"/>
        <w:ind w:firstLine="480" w:firstLineChars="200"/>
        <w:rPr>
          <w:rFonts w:ascii="仿宋_GB2312" w:hAnsi="仿宋_GB2312" w:eastAsia="仿宋_GB2312" w:cs="仿宋_GB2312"/>
          <w:szCs w:val="24"/>
          <w:lang w:val="en-US" w:eastAsia="zh-CN"/>
        </w:rPr>
      </w:pPr>
      <w:bookmarkStart w:id="294" w:name="_Toc402767031"/>
      <w:bookmarkStart w:id="295" w:name="_Toc399326506"/>
      <w:bookmarkStart w:id="296" w:name="_Toc497135782"/>
      <w:bookmarkStart w:id="297" w:name="_Toc396960570"/>
      <w:bookmarkStart w:id="298" w:name="_Toc288827321"/>
      <w:bookmarkStart w:id="299" w:name="_Toc398375349"/>
      <w:bookmarkStart w:id="300" w:name="_Toc397169210"/>
      <w:bookmarkStart w:id="301" w:name="_Toc396295915"/>
      <w:bookmarkStart w:id="302" w:name="_Toc397168923"/>
      <w:bookmarkStart w:id="303" w:name="_Toc396960362"/>
      <w:bookmarkStart w:id="304" w:name="_Toc288828846"/>
      <w:bookmarkStart w:id="305" w:name="_Toc399318762"/>
      <w:bookmarkStart w:id="306" w:name="_Toc222114149"/>
      <w:bookmarkStart w:id="307" w:name="_Toc397162808"/>
      <w:bookmarkStart w:id="308" w:name="_Toc22079"/>
      <w:bookmarkStart w:id="309" w:name="_Toc397169265"/>
      <w:bookmarkStart w:id="310" w:name="_Toc396986823"/>
      <w:bookmarkStart w:id="311" w:name="_Toc398375564"/>
      <w:bookmarkStart w:id="312" w:name="_Toc469195815"/>
      <w:bookmarkStart w:id="313" w:name="_Toc396298691"/>
      <w:bookmarkStart w:id="314" w:name="_Toc397162596"/>
      <w:bookmarkStart w:id="315" w:name="_Toc397169310"/>
      <w:bookmarkStart w:id="316" w:name="_Toc396295807"/>
      <w:bookmarkStart w:id="317" w:name="_Toc398375463"/>
      <w:bookmarkStart w:id="318" w:name="_Toc398374932"/>
      <w:bookmarkStart w:id="319" w:name="_Toc402766619"/>
      <w:bookmarkStart w:id="320" w:name="_Toc398375705"/>
      <w:bookmarkStart w:id="321" w:name="_Toc396298266"/>
      <w:bookmarkStart w:id="322" w:name="_Toc396298496"/>
      <w:bookmarkStart w:id="323" w:name="_Toc395923698"/>
      <w:r>
        <w:rPr>
          <w:rFonts w:ascii="仿宋_GB2312" w:hAnsi="仿宋_GB2312" w:eastAsia="仿宋_GB2312" w:cs="仿宋_GB2312"/>
          <w:szCs w:val="24"/>
          <w:lang w:val="en-US" w:eastAsia="zh-CN"/>
        </w:rPr>
        <w:t>13 合同争议的解决</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13.1凡与本合同有关而引起的一切争议，双方应首先通过友好协商解决，如经协商后仍不能达成协议时，则任何一方可以向履约地人民法院提出诉讼。</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13.2在进行法院审理期间，除提出终止合同外，合同仍应继续履行。</w:t>
      </w:r>
      <w:bookmarkStart w:id="324" w:name="_Toc396298692"/>
      <w:bookmarkStart w:id="325" w:name="_Toc396295916"/>
      <w:bookmarkStart w:id="326" w:name="_Toc395923699"/>
      <w:bookmarkStart w:id="327" w:name="_Toc397169211"/>
      <w:bookmarkStart w:id="328" w:name="_Toc399318763"/>
      <w:bookmarkStart w:id="329" w:name="_Toc398375464"/>
      <w:bookmarkStart w:id="330" w:name="_Toc402766620"/>
      <w:bookmarkStart w:id="331" w:name="_Toc397169311"/>
      <w:bookmarkStart w:id="332" w:name="_Toc397168924"/>
      <w:bookmarkStart w:id="333" w:name="_Toc396298267"/>
      <w:bookmarkStart w:id="334" w:name="_Toc397162597"/>
      <w:bookmarkStart w:id="335" w:name="_Toc396960571"/>
      <w:bookmarkStart w:id="336" w:name="_Toc398374933"/>
      <w:bookmarkStart w:id="337" w:name="_Toc397169266"/>
      <w:bookmarkStart w:id="338" w:name="_Toc398375706"/>
      <w:bookmarkStart w:id="339" w:name="_Toc396295808"/>
      <w:bookmarkStart w:id="340" w:name="_Toc396960363"/>
      <w:bookmarkStart w:id="341" w:name="_Toc402767032"/>
      <w:bookmarkStart w:id="342" w:name="_Toc398375565"/>
      <w:bookmarkStart w:id="343" w:name="_Toc469195816"/>
      <w:bookmarkStart w:id="344" w:name="_Toc398375350"/>
      <w:bookmarkStart w:id="345" w:name="_Toc399326507"/>
      <w:bookmarkStart w:id="346" w:name="_Toc396298497"/>
      <w:bookmarkStart w:id="347" w:name="_Toc397162809"/>
      <w:bookmarkStart w:id="348" w:name="_Toc396986824"/>
    </w:p>
    <w:p>
      <w:pPr>
        <w:pStyle w:val="39"/>
        <w:spacing w:line="320" w:lineRule="exact"/>
        <w:ind w:firstLine="480" w:firstLineChars="200"/>
        <w:rPr>
          <w:rFonts w:ascii="仿宋_GB2312" w:hAnsi="仿宋_GB2312" w:eastAsia="仿宋_GB2312" w:cs="仿宋_GB2312"/>
          <w:szCs w:val="24"/>
          <w:lang w:val="en-US" w:eastAsia="zh-CN"/>
        </w:rPr>
      </w:pPr>
      <w:bookmarkStart w:id="349" w:name="_Toc222114150"/>
      <w:bookmarkStart w:id="350" w:name="_Toc288827322"/>
      <w:bookmarkStart w:id="351" w:name="_Toc288828847"/>
      <w:bookmarkStart w:id="352" w:name="_Toc497135783"/>
      <w:bookmarkStart w:id="353" w:name="_Toc31502"/>
      <w:r>
        <w:rPr>
          <w:rFonts w:ascii="仿宋_GB2312" w:hAnsi="仿宋_GB2312" w:eastAsia="仿宋_GB2312" w:cs="仿宋_GB2312"/>
          <w:szCs w:val="24"/>
          <w:lang w:val="en-US" w:eastAsia="zh-CN"/>
        </w:rPr>
        <w:t>14 合同生效</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14.1本合同经双方签字，加盖合同专用章之日起生效。</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14.2本合同有效期：从合同生效之日起到质保期满并货款两清之日止。</w:t>
      </w:r>
      <w:bookmarkStart w:id="354" w:name="_Toc397168925"/>
      <w:bookmarkStart w:id="355" w:name="_Toc397162810"/>
      <w:bookmarkStart w:id="356" w:name="_Toc398375351"/>
      <w:bookmarkStart w:id="357" w:name="_Toc396960364"/>
      <w:bookmarkStart w:id="358" w:name="_Toc398375465"/>
      <w:bookmarkStart w:id="359" w:name="_Toc399326508"/>
      <w:bookmarkStart w:id="360" w:name="_Toc402767033"/>
      <w:bookmarkStart w:id="361" w:name="_Toc398374934"/>
      <w:bookmarkStart w:id="362" w:name="_Toc402766621"/>
      <w:bookmarkStart w:id="363" w:name="_Toc396295809"/>
      <w:bookmarkStart w:id="364" w:name="_Toc399318764"/>
      <w:bookmarkStart w:id="365" w:name="_Toc398375566"/>
      <w:bookmarkStart w:id="366" w:name="_Toc396298268"/>
      <w:bookmarkStart w:id="367" w:name="_Toc396295917"/>
      <w:bookmarkStart w:id="368" w:name="_Toc397169212"/>
      <w:bookmarkStart w:id="369" w:name="_Toc397162598"/>
      <w:bookmarkStart w:id="370" w:name="_Toc397169312"/>
      <w:bookmarkStart w:id="371" w:name="_Toc395923700"/>
      <w:bookmarkStart w:id="372" w:name="_Toc396298498"/>
      <w:bookmarkStart w:id="373" w:name="_Toc396298693"/>
      <w:bookmarkStart w:id="374" w:name="_Toc397169267"/>
      <w:bookmarkStart w:id="375" w:name="_Toc469195817"/>
      <w:bookmarkStart w:id="376" w:name="_Toc396960572"/>
      <w:bookmarkStart w:id="377" w:name="_Toc398375707"/>
      <w:bookmarkStart w:id="378" w:name="_Toc396986825"/>
    </w:p>
    <w:p>
      <w:pPr>
        <w:pStyle w:val="39"/>
        <w:spacing w:line="320" w:lineRule="exact"/>
        <w:ind w:firstLine="480" w:firstLineChars="200"/>
        <w:rPr>
          <w:rFonts w:ascii="仿宋_GB2312" w:hAnsi="仿宋_GB2312" w:eastAsia="仿宋_GB2312" w:cs="仿宋_GB2312"/>
          <w:szCs w:val="24"/>
          <w:lang w:val="en-US" w:eastAsia="zh-CN"/>
        </w:rPr>
      </w:pPr>
      <w:bookmarkStart w:id="379" w:name="_Toc497135784"/>
      <w:bookmarkStart w:id="380" w:name="_Toc14881"/>
      <w:bookmarkStart w:id="381" w:name="_Toc288827323"/>
      <w:bookmarkStart w:id="382" w:name="_Toc288828848"/>
      <w:bookmarkStart w:id="383" w:name="_Toc222114151"/>
      <w:r>
        <w:rPr>
          <w:rFonts w:ascii="仿宋_GB2312" w:hAnsi="仿宋_GB2312" w:eastAsia="仿宋_GB2312" w:cs="仿宋_GB2312"/>
          <w:szCs w:val="24"/>
          <w:lang w:val="en-US" w:eastAsia="zh-CN"/>
        </w:rPr>
        <w:t>15 其它</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15.1 本合同所包括的附件、</w:t>
      </w:r>
      <w:r>
        <w:rPr>
          <w:rFonts w:hint="eastAsia" w:ascii="仿宋_GB2312" w:hAnsi="仿宋_GB2312" w:eastAsia="仿宋_GB2312" w:cs="仿宋_GB2312"/>
          <w:szCs w:val="24"/>
          <w:lang w:val="en-US" w:eastAsia="zh-CN"/>
        </w:rPr>
        <w:t>招标文件</w:t>
      </w:r>
      <w:r>
        <w:rPr>
          <w:rFonts w:ascii="仿宋_GB2312" w:hAnsi="仿宋_GB2312" w:eastAsia="仿宋_GB2312" w:cs="仿宋_GB2312"/>
          <w:szCs w:val="24"/>
          <w:lang w:val="en-US" w:eastAsia="zh-CN"/>
        </w:rPr>
        <w:t>、</w:t>
      </w:r>
      <w:r>
        <w:rPr>
          <w:rFonts w:hint="eastAsia" w:ascii="仿宋_GB2312" w:hAnsi="仿宋_GB2312" w:eastAsia="仿宋_GB2312" w:cs="仿宋_GB2312"/>
          <w:szCs w:val="24"/>
          <w:lang w:val="en-US" w:eastAsia="zh-CN"/>
        </w:rPr>
        <w:t>中标</w:t>
      </w:r>
      <w:r>
        <w:rPr>
          <w:rFonts w:ascii="仿宋_GB2312" w:hAnsi="仿宋_GB2312" w:eastAsia="仿宋_GB2312" w:cs="仿宋_GB2312"/>
          <w:szCs w:val="24"/>
          <w:lang w:val="en-US" w:eastAsia="zh-CN"/>
        </w:rPr>
        <w:t>单位的投标文件、评标答疑记录及</w:t>
      </w:r>
      <w:r>
        <w:rPr>
          <w:rFonts w:hint="eastAsia" w:ascii="仿宋_GB2312" w:hAnsi="仿宋_GB2312" w:eastAsia="仿宋_GB2312" w:cs="仿宋_GB2312"/>
          <w:szCs w:val="24"/>
          <w:lang w:val="en-US" w:eastAsia="zh-CN"/>
        </w:rPr>
        <w:t>中标</w:t>
      </w:r>
      <w:r>
        <w:rPr>
          <w:rFonts w:ascii="仿宋_GB2312" w:hAnsi="仿宋_GB2312" w:eastAsia="仿宋_GB2312" w:cs="仿宋_GB2312"/>
          <w:szCs w:val="24"/>
          <w:lang w:val="en-US" w:eastAsia="zh-CN"/>
        </w:rPr>
        <w:t>通知书都是本合同不可分割的一部分，具有同等的法律效力。本合同解释的顺序为：合同、技术协议;</w:t>
      </w:r>
      <w:r>
        <w:rPr>
          <w:rFonts w:hint="eastAsia" w:ascii="仿宋_GB2312" w:hAnsi="仿宋_GB2312" w:eastAsia="仿宋_GB2312" w:cs="仿宋_GB2312"/>
          <w:szCs w:val="24"/>
          <w:lang w:val="en-US" w:eastAsia="zh-CN"/>
        </w:rPr>
        <w:t>中标</w:t>
      </w:r>
      <w:r>
        <w:rPr>
          <w:rFonts w:ascii="仿宋_GB2312" w:hAnsi="仿宋_GB2312" w:eastAsia="仿宋_GB2312" w:cs="仿宋_GB2312"/>
          <w:szCs w:val="24"/>
          <w:lang w:val="en-US" w:eastAsia="zh-CN"/>
        </w:rPr>
        <w:t>通知书;</w:t>
      </w:r>
      <w:r>
        <w:rPr>
          <w:rFonts w:hint="eastAsia" w:ascii="仿宋_GB2312" w:hAnsi="仿宋_GB2312" w:eastAsia="仿宋_GB2312" w:cs="仿宋_GB2312"/>
          <w:szCs w:val="24"/>
          <w:lang w:val="en-US" w:eastAsia="zh-CN"/>
        </w:rPr>
        <w:t>招标</w:t>
      </w:r>
      <w:r>
        <w:rPr>
          <w:rFonts w:ascii="仿宋_GB2312" w:hAnsi="仿宋_GB2312" w:eastAsia="仿宋_GB2312" w:cs="仿宋_GB2312"/>
          <w:szCs w:val="24"/>
          <w:lang w:val="en-US" w:eastAsia="zh-CN"/>
        </w:rPr>
        <w:t>文件、补充</w:t>
      </w:r>
      <w:r>
        <w:rPr>
          <w:rFonts w:hint="eastAsia" w:ascii="仿宋_GB2312" w:hAnsi="仿宋_GB2312" w:eastAsia="仿宋_GB2312" w:cs="仿宋_GB2312"/>
          <w:szCs w:val="24"/>
          <w:lang w:val="en-US" w:eastAsia="zh-CN"/>
        </w:rPr>
        <w:t>招标</w:t>
      </w:r>
      <w:r>
        <w:rPr>
          <w:rFonts w:ascii="仿宋_GB2312" w:hAnsi="仿宋_GB2312" w:eastAsia="仿宋_GB2312" w:cs="仿宋_GB2312"/>
          <w:szCs w:val="24"/>
          <w:lang w:val="en-US" w:eastAsia="zh-CN"/>
        </w:rPr>
        <w:t>文件、评审答疑记录;</w:t>
      </w:r>
      <w:r>
        <w:rPr>
          <w:rFonts w:hint="eastAsia" w:ascii="仿宋_GB2312" w:hAnsi="仿宋_GB2312" w:eastAsia="仿宋_GB2312" w:cs="仿宋_GB2312"/>
          <w:szCs w:val="24"/>
          <w:lang w:val="en-US" w:eastAsia="zh-CN"/>
        </w:rPr>
        <w:t>中标</w:t>
      </w:r>
      <w:r>
        <w:rPr>
          <w:rFonts w:ascii="仿宋_GB2312" w:hAnsi="仿宋_GB2312" w:eastAsia="仿宋_GB2312" w:cs="仿宋_GB2312"/>
          <w:szCs w:val="24"/>
          <w:lang w:val="en-US" w:eastAsia="zh-CN"/>
        </w:rPr>
        <w:t>单位的投标文件。</w:t>
      </w:r>
      <w:r>
        <w:rPr>
          <w:rFonts w:hint="eastAsia" w:ascii="仿宋_GB2312" w:hAnsi="仿宋_GB2312" w:eastAsia="仿宋_GB2312" w:cs="仿宋_GB2312"/>
          <w:szCs w:val="24"/>
          <w:lang w:val="en-US" w:eastAsia="zh-CN"/>
        </w:rPr>
        <w:t>招标</w:t>
      </w:r>
      <w:r>
        <w:rPr>
          <w:rFonts w:ascii="仿宋_GB2312" w:hAnsi="仿宋_GB2312" w:eastAsia="仿宋_GB2312" w:cs="仿宋_GB2312"/>
          <w:szCs w:val="24"/>
          <w:lang w:val="en-US" w:eastAsia="zh-CN"/>
        </w:rPr>
        <w:t>文件与投标文件内容不一致时,以</w:t>
      </w:r>
      <w:r>
        <w:rPr>
          <w:rFonts w:hint="eastAsia" w:ascii="仿宋_GB2312" w:hAnsi="仿宋_GB2312" w:eastAsia="仿宋_GB2312" w:cs="仿宋_GB2312"/>
          <w:szCs w:val="24"/>
          <w:lang w:val="en-US" w:eastAsia="zh-CN"/>
        </w:rPr>
        <w:t>招标</w:t>
      </w:r>
      <w:r>
        <w:rPr>
          <w:rFonts w:ascii="仿宋_GB2312" w:hAnsi="仿宋_GB2312" w:eastAsia="仿宋_GB2312" w:cs="仿宋_GB2312"/>
          <w:szCs w:val="24"/>
          <w:lang w:val="en-US" w:eastAsia="zh-CN"/>
        </w:rPr>
        <w:t>文件为准。</w:t>
      </w:r>
    </w:p>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15.2本合同一式八份，采购人四份，投标人四份 。</w:t>
      </w:r>
    </w:p>
    <w:tbl>
      <w:tblPr>
        <w:tblStyle w:val="26"/>
        <w:tblpPr w:leftFromText="180" w:rightFromText="180" w:vertAnchor="text" w:horzAnchor="margin" w:tblpXSpec="center" w:tblpY="-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7"/>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采购人</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名称：</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地址：</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邮编：</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电话：</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传真：</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开户银行：</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帐号：</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法定代表人:</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授权人签字：</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4577"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签字日期:</w:t>
            </w:r>
          </w:p>
        </w:tc>
        <w:tc>
          <w:tcPr>
            <w:tcW w:w="4131" w:type="dxa"/>
            <w:tcBorders>
              <w:top w:val="single" w:color="auto" w:sz="4" w:space="0"/>
              <w:left w:val="single" w:color="auto" w:sz="4" w:space="0"/>
              <w:bottom w:val="single" w:color="auto" w:sz="4" w:space="0"/>
              <w:right w:val="single" w:color="auto" w:sz="4" w:space="0"/>
            </w:tcBorders>
            <w:noWrap w:val="0"/>
            <w:vAlign w:val="center"/>
          </w:tcPr>
          <w:p>
            <w:pPr>
              <w:pStyle w:val="39"/>
              <w:spacing w:line="320" w:lineRule="exact"/>
              <w:ind w:firstLine="480" w:firstLineChars="200"/>
              <w:rPr>
                <w:rFonts w:ascii="仿宋_GB2312" w:hAnsi="仿宋_GB2312" w:eastAsia="仿宋_GB2312" w:cs="仿宋_GB2312"/>
                <w:szCs w:val="24"/>
                <w:lang w:val="en-US" w:eastAsia="zh-CN"/>
              </w:rPr>
            </w:pPr>
            <w:r>
              <w:rPr>
                <w:rFonts w:ascii="仿宋_GB2312" w:hAnsi="仿宋_GB2312" w:eastAsia="仿宋_GB2312" w:cs="仿宋_GB2312"/>
                <w:szCs w:val="24"/>
                <w:lang w:val="en-US" w:eastAsia="zh-CN"/>
              </w:rPr>
              <w:t>签字日期:</w:t>
            </w:r>
          </w:p>
        </w:tc>
      </w:tr>
    </w:tbl>
    <w:p>
      <w:pPr>
        <w:pStyle w:val="39"/>
        <w:spacing w:line="320" w:lineRule="exact"/>
        <w:ind w:firstLine="480" w:firstLineChars="200"/>
        <w:rPr>
          <w:rFonts w:ascii="仿宋_GB2312" w:hAnsi="仿宋_GB2312" w:eastAsia="仿宋_GB2312" w:cs="仿宋_GB2312"/>
          <w:szCs w:val="24"/>
          <w:lang w:val="en-US" w:eastAsia="zh-CN"/>
        </w:rPr>
        <w:sectPr>
          <w:headerReference r:id="rId3" w:type="default"/>
          <w:footerReference r:id="rId4" w:type="default"/>
          <w:pgSz w:w="11906" w:h="16838"/>
          <w:pgMar w:top="1440" w:right="1304" w:bottom="777" w:left="1304" w:header="851" w:footer="992" w:gutter="0"/>
          <w:pgNumType w:fmt="decimal" w:start="1"/>
          <w:cols w:space="720" w:num="1"/>
        </w:sectPr>
      </w:pPr>
    </w:p>
    <w:p>
      <w:pPr>
        <w:pStyle w:val="3"/>
        <w:jc w:val="center"/>
        <w:rPr>
          <w:rFonts w:ascii="宋体" w:hAnsi="宋体" w:eastAsia="宋体"/>
          <w:szCs w:val="36"/>
        </w:rPr>
      </w:pPr>
      <w:bookmarkStart w:id="384" w:name="_Toc20578"/>
      <w:bookmarkStart w:id="385" w:name="_Toc13177"/>
      <w:bookmarkStart w:id="386" w:name="_Toc14240"/>
      <w:r>
        <w:rPr>
          <w:rFonts w:ascii="仿宋_GB2312" w:hAnsi="仿宋_GB2312" w:eastAsia="仿宋_GB2312" w:cs="仿宋_GB2312"/>
          <w:color w:val="auto"/>
          <w:sz w:val="44"/>
          <w:szCs w:val="44"/>
        </w:rPr>
        <w:t>第四章</w:t>
      </w:r>
      <w:r>
        <w:rPr>
          <w:rFonts w:hint="eastAsia" w:ascii="仿宋_GB2312" w:hAnsi="仿宋_GB2312" w:eastAsia="仿宋_GB2312" w:cs="仿宋_GB2312"/>
          <w:color w:val="auto"/>
          <w:sz w:val="44"/>
          <w:szCs w:val="44"/>
        </w:rPr>
        <w:t xml:space="preserve"> </w:t>
      </w:r>
      <w:r>
        <w:rPr>
          <w:rFonts w:hint="eastAsia" w:ascii="宋体" w:hAnsi="宋体" w:eastAsia="宋体"/>
          <w:szCs w:val="36"/>
        </w:rPr>
        <w:t>货物技术规格要求</w:t>
      </w:r>
      <w:bookmarkEnd w:id="384"/>
      <w:bookmarkEnd w:id="385"/>
      <w:bookmarkEnd w:id="386"/>
    </w:p>
    <w:p>
      <w:pPr>
        <w:pStyle w:val="4"/>
        <w:rPr>
          <w:rFonts w:ascii="宋体" w:hAnsi="宋体" w:eastAsia="宋体" w:cs="宋体"/>
          <w:b/>
          <w:bCs w:val="0"/>
          <w:szCs w:val="32"/>
        </w:rPr>
      </w:pPr>
      <w:r>
        <w:rPr>
          <w:rFonts w:hint="eastAsia" w:ascii="宋体" w:hAnsi="宋体" w:eastAsia="宋体" w:cs="宋体"/>
          <w:b/>
          <w:bCs w:val="0"/>
          <w:szCs w:val="32"/>
          <w:lang w:val="en-US" w:eastAsia="zh-CN"/>
        </w:rPr>
        <w:t>4.1</w:t>
      </w:r>
      <w:r>
        <w:rPr>
          <w:rFonts w:hint="eastAsia" w:ascii="宋体" w:hAnsi="宋体" w:eastAsia="宋体" w:cs="宋体"/>
          <w:b/>
          <w:bCs w:val="0"/>
          <w:szCs w:val="32"/>
        </w:rPr>
        <w:t>技术参数需求</w:t>
      </w:r>
    </w:p>
    <w:p>
      <w:pPr>
        <w:pStyle w:val="5"/>
        <w:rPr>
          <w:rFonts w:ascii="宋体" w:hAnsi="宋体" w:cs="宋体"/>
          <w:szCs w:val="32"/>
        </w:rPr>
      </w:pPr>
      <w:r>
        <w:rPr>
          <w:rFonts w:hint="eastAsia" w:ascii="宋体" w:hAnsi="宋体" w:cs="宋体"/>
          <w:szCs w:val="32"/>
          <w:lang w:val="en-US" w:eastAsia="zh-CN"/>
        </w:rPr>
        <w:t>4.1.1</w:t>
      </w:r>
      <w:r>
        <w:rPr>
          <w:rFonts w:hint="eastAsia" w:ascii="宋体" w:hAnsi="宋体" w:cs="宋体"/>
          <w:szCs w:val="32"/>
        </w:rPr>
        <w:t>项目概况</w:t>
      </w:r>
    </w:p>
    <w:p>
      <w:pPr>
        <w:spacing w:line="360" w:lineRule="auto"/>
        <w:ind w:firstLine="480"/>
        <w:rPr>
          <w:rFonts w:ascii="宋体" w:hAnsi="宋体" w:cs="宋体"/>
          <w:sz w:val="24"/>
          <w:szCs w:val="24"/>
        </w:rPr>
      </w:pPr>
      <w:r>
        <w:rPr>
          <w:rFonts w:hint="eastAsia" w:ascii="宋体" w:hAnsi="宋体" w:cs="宋体"/>
          <w:sz w:val="24"/>
          <w:szCs w:val="24"/>
        </w:rPr>
        <w:t>1、总体目标</w:t>
      </w:r>
    </w:p>
    <w:p>
      <w:pPr>
        <w:spacing w:line="360" w:lineRule="auto"/>
        <w:ind w:firstLine="480"/>
        <w:rPr>
          <w:rFonts w:ascii="宋体" w:hAnsi="宋体" w:cs="宋体"/>
          <w:sz w:val="24"/>
          <w:szCs w:val="24"/>
        </w:rPr>
      </w:pPr>
      <w:r>
        <w:rPr>
          <w:rFonts w:hint="eastAsia" w:ascii="宋体" w:hAnsi="宋体" w:cs="宋体"/>
          <w:sz w:val="24"/>
          <w:szCs w:val="24"/>
        </w:rPr>
        <w:t>学校信息化水平进入自治区职业教育领先行列，智慧化应用覆盖教学、科研、管理、服务等各个层面，集智创新共育人才成为学校人才培养的主要形态，智慧教学、科研、管理、服务方式得到普及，校园全面实现智能化管理运行，着力通过智慧手段将校园建成促进集智创新发展的双创校园、网络融合全面覆盖的互联校园、教育科研与文化繁荣的活力校园、产学研政企一体充分融合对接的实力校园，努力将校园打造成为国内一流、自治区内领先的“互联网+职教示范校、工匠人才培养名校、特色鲜明技能强校”。</w:t>
      </w:r>
    </w:p>
    <w:p>
      <w:pPr>
        <w:spacing w:line="360" w:lineRule="auto"/>
        <w:rPr>
          <w:rFonts w:ascii="宋体" w:hAnsi="宋体" w:cs="宋体"/>
          <w:sz w:val="24"/>
          <w:szCs w:val="24"/>
        </w:rPr>
      </w:pPr>
    </w:p>
    <w:p>
      <w:pPr>
        <w:pStyle w:val="5"/>
        <w:rPr>
          <w:rFonts w:ascii="宋体" w:hAnsi="宋体" w:cs="宋体"/>
          <w:szCs w:val="32"/>
        </w:rPr>
      </w:pPr>
      <w:r>
        <w:rPr>
          <w:rFonts w:hint="eastAsia" w:ascii="宋体" w:hAnsi="宋体" w:cs="宋体"/>
          <w:szCs w:val="32"/>
          <w:lang w:val="en-US" w:eastAsia="zh-CN"/>
        </w:rPr>
        <w:t>4.1.2</w:t>
      </w:r>
      <w:r>
        <w:rPr>
          <w:rFonts w:hint="eastAsia" w:ascii="宋体" w:hAnsi="宋体" w:cs="宋体"/>
          <w:szCs w:val="32"/>
        </w:rPr>
        <w:t>技术路线要求</w:t>
      </w:r>
    </w:p>
    <w:p>
      <w:pPr>
        <w:pStyle w:val="6"/>
      </w:pPr>
      <w:bookmarkStart w:id="387" w:name="_Toc13920497"/>
      <w:bookmarkStart w:id="388" w:name="_Toc11789895"/>
      <w:r>
        <w:rPr>
          <w:rFonts w:hint="eastAsia"/>
          <w:lang w:val="en-US" w:eastAsia="zh-CN"/>
        </w:rPr>
        <w:t>4.1.2.1</w:t>
      </w:r>
      <w:r>
        <w:rPr>
          <w:rFonts w:hint="eastAsia"/>
        </w:rPr>
        <w:t>采用基于SOA的体系结构</w:t>
      </w:r>
      <w:bookmarkEnd w:id="387"/>
      <w:bookmarkEnd w:id="388"/>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系统开发要求采用SOA的架构来进行设计和开发，SOA是当前先进的软件设计架构，采用基于服务的设计理念，遵循SOA相关标准与规范，来解决异构系统间的集成，建立学校的WebService服务库和服务管理平台（SMP），降低学校对IT资源的投资。</w:t>
      </w:r>
    </w:p>
    <w:p>
      <w:pPr>
        <w:pStyle w:val="6"/>
      </w:pPr>
      <w:bookmarkStart w:id="389" w:name="_Toc11789898"/>
      <w:bookmarkStart w:id="390" w:name="_Toc13920500"/>
      <w:r>
        <w:rPr>
          <w:rFonts w:hint="eastAsia"/>
          <w:lang w:val="en-US" w:eastAsia="zh-CN"/>
        </w:rPr>
        <w:t>4.1.2.2</w:t>
      </w:r>
      <w:r>
        <w:rPr>
          <w:rFonts w:hint="eastAsia"/>
        </w:rPr>
        <w:t>面向对象的组件技术</w:t>
      </w:r>
      <w:bookmarkEnd w:id="389"/>
      <w:bookmarkEnd w:id="390"/>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采用面向对象组件化设计，基于跨平台业界标准，完全独立于硬件和操作系统的开发环境。在设计和开发上需提供多种组件服务：公用组件和应用组件。基础服务提供独立于业务的公用组件，如工作流引擎、服务引擎、消息引擎、菜单管理引擎、电子表单、格式转换、个性化订制等；</w:t>
      </w:r>
    </w:p>
    <w:p>
      <w:pPr>
        <w:pStyle w:val="6"/>
      </w:pPr>
      <w:bookmarkStart w:id="391" w:name="_Toc13920501"/>
      <w:bookmarkStart w:id="392" w:name="_Toc11789899"/>
      <w:r>
        <w:rPr>
          <w:rFonts w:hint="eastAsia"/>
          <w:lang w:val="en-US" w:eastAsia="zh-CN"/>
        </w:rPr>
        <w:t>4.1.2.3</w:t>
      </w:r>
      <w:r>
        <w:rPr>
          <w:rFonts w:hint="eastAsia"/>
        </w:rPr>
        <w:t>应用程序的开发和运行结构</w:t>
      </w:r>
      <w:bookmarkEnd w:id="391"/>
      <w:bookmarkEnd w:id="392"/>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系统开发及运行结构要求基于后台数据库的三层架构，即Web服务器、应用服务器和数据库服务器：Web层负责对应用的展示，应用层封装业务逻辑，数据库服务层提供联机事务处理。在三层架构基础上，采用MVC加上服务容器的体系架构，支持各层之间的松耦合，从而做到服务到业务流程可配置和可重构。</w:t>
      </w:r>
    </w:p>
    <w:p>
      <w:pPr>
        <w:pStyle w:val="6"/>
      </w:pPr>
      <w:bookmarkStart w:id="393" w:name="_Toc13920502"/>
      <w:bookmarkStart w:id="394" w:name="_Toc11789900"/>
      <w:r>
        <w:rPr>
          <w:rFonts w:hint="eastAsia"/>
          <w:lang w:val="en-US" w:eastAsia="zh-CN"/>
        </w:rPr>
        <w:t>4.1.2.4</w:t>
      </w:r>
      <w:r>
        <w:rPr>
          <w:rFonts w:hint="eastAsia"/>
        </w:rPr>
        <w:t>系统集成接口</w:t>
      </w:r>
      <w:bookmarkEnd w:id="393"/>
      <w:bookmarkEnd w:id="394"/>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要求通过开放的体系架构模式，能够为第三方软件提供相关接口、开发规范、源代码，并为学校提供综合服务门户平台、统一身份认证平台、数据交换平台等二次开发的接口规范、相关技术文档等。</w:t>
      </w:r>
    </w:p>
    <w:p>
      <w:pPr>
        <w:pStyle w:val="6"/>
      </w:pPr>
      <w:bookmarkStart w:id="395" w:name="_Toc13920503"/>
      <w:bookmarkStart w:id="396" w:name="_Toc11789901"/>
      <w:r>
        <w:rPr>
          <w:rFonts w:hint="eastAsia"/>
          <w:lang w:val="en-US" w:eastAsia="zh-CN"/>
        </w:rPr>
        <w:t>4.1.2.5</w:t>
      </w:r>
      <w:r>
        <w:rPr>
          <w:rFonts w:hint="eastAsia"/>
        </w:rPr>
        <w:t>跨平台支持</w:t>
      </w:r>
      <w:bookmarkEnd w:id="395"/>
      <w:bookmarkEnd w:id="396"/>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平台及应用要求采用B/S分布式软件架构，所使用操作系统、数据库系统、应用服务器中间件系统，均为当前IT行业内主流软件系统产品。系统均支持IPV6\IPV4双栈式网络互联，可以在IPV4和IPV6网络环境中稳定运行。</w:t>
      </w:r>
    </w:p>
    <w:p>
      <w:pPr>
        <w:pStyle w:val="6"/>
      </w:pPr>
      <w:r>
        <w:rPr>
          <w:rFonts w:hint="eastAsia"/>
          <w:lang w:val="en-US" w:eastAsia="zh-CN"/>
        </w:rPr>
        <w:t>4.1.2.6</w:t>
      </w:r>
      <w:r>
        <w:rPr>
          <w:rFonts w:hint="eastAsia"/>
        </w:rPr>
        <w:t>软件平台要求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依照“大平台，轻应用”的思路，采用Web2.0技术，将全校各业务扁平化，统一服务入口，搭建校内统一的服务门户平台（APP门户+WEB信息门户），对用户提供统一展示入口，实现校园资源、信息、数据、入口的统一管理和服务。</w:t>
      </w:r>
    </w:p>
    <w:p>
      <w:pPr>
        <w:pStyle w:val="3"/>
        <w:spacing w:line="360" w:lineRule="auto"/>
        <w:jc w:val="center"/>
        <w:rPr>
          <w:rFonts w:ascii="宋体" w:hAnsi="宋体" w:eastAsia="宋体"/>
          <w:color w:val="000000"/>
          <w:szCs w:val="36"/>
        </w:rPr>
      </w:pPr>
      <w:bookmarkStart w:id="397" w:name="_Toc9169"/>
      <w:bookmarkStart w:id="398" w:name="_Toc30058"/>
      <w:bookmarkStart w:id="399" w:name="_Toc12540"/>
      <w:r>
        <w:rPr>
          <w:rFonts w:hint="eastAsia" w:ascii="宋体" w:hAnsi="宋体" w:eastAsia="宋体"/>
          <w:color w:val="000000"/>
          <w:szCs w:val="36"/>
          <w:lang w:val="en-US" w:eastAsia="zh-CN"/>
        </w:rPr>
        <w:t>4.2</w:t>
      </w:r>
      <w:r>
        <w:rPr>
          <w:rFonts w:hint="eastAsia" w:ascii="宋体" w:hAnsi="宋体" w:eastAsia="宋体"/>
          <w:color w:val="000000"/>
          <w:szCs w:val="36"/>
        </w:rPr>
        <w:t>建设方案要求</w:t>
      </w:r>
      <w:bookmarkEnd w:id="397"/>
      <w:bookmarkEnd w:id="398"/>
      <w:bookmarkEnd w:id="399"/>
    </w:p>
    <w:p>
      <w:pPr>
        <w:pStyle w:val="4"/>
        <w:rPr>
          <w:rFonts w:ascii="宋体" w:hAnsi="宋体" w:eastAsia="宋体" w:cs="宋体"/>
          <w:szCs w:val="32"/>
        </w:rPr>
      </w:pPr>
      <w:r>
        <w:rPr>
          <w:rFonts w:hint="eastAsia" w:ascii="宋体" w:hAnsi="宋体" w:eastAsia="宋体" w:cs="宋体"/>
          <w:sz w:val="32"/>
          <w:szCs w:val="36"/>
          <w:lang w:val="en-US" w:eastAsia="zh-CN"/>
        </w:rPr>
        <w:t>4.2.1</w:t>
      </w:r>
      <w:r>
        <w:rPr>
          <w:rFonts w:hint="eastAsia" w:ascii="宋体" w:hAnsi="宋体" w:eastAsia="宋体" w:cs="宋体"/>
          <w:sz w:val="32"/>
          <w:szCs w:val="36"/>
        </w:rPr>
        <w:t>基础支撑平台建</w:t>
      </w:r>
      <w:r>
        <w:rPr>
          <w:rFonts w:hint="eastAsia" w:ascii="宋体" w:hAnsi="宋体" w:eastAsia="宋体" w:cs="宋体"/>
          <w:szCs w:val="32"/>
        </w:rPr>
        <w:t>设</w:t>
      </w:r>
    </w:p>
    <w:p>
      <w:pPr>
        <w:pStyle w:val="5"/>
        <w:rPr>
          <w:rFonts w:ascii="宋体" w:hAnsi="宋体" w:cs="宋体"/>
          <w:szCs w:val="32"/>
        </w:rPr>
      </w:pPr>
      <w:bookmarkStart w:id="400" w:name="_Toc476309028"/>
      <w:bookmarkStart w:id="401" w:name="_Toc498331536"/>
      <w:r>
        <w:rPr>
          <w:rFonts w:hint="eastAsia" w:ascii="宋体" w:hAnsi="宋体" w:cs="宋体"/>
          <w:szCs w:val="32"/>
          <w:lang w:val="en-US" w:eastAsia="zh-CN"/>
        </w:rPr>
        <w:t>4.2.2.1</w:t>
      </w:r>
      <w:r>
        <w:rPr>
          <w:rFonts w:hint="eastAsia" w:ascii="宋体" w:hAnsi="宋体" w:cs="宋体"/>
          <w:szCs w:val="32"/>
        </w:rPr>
        <w:t>信息标准平台</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 采用技术规范，是一个科学的、实用的、完善的、开放式的信息化标准体系，符合和满足学校的具体情况和实际需求。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 信息标准能够实现及时更新。</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 建设目标</w:t>
      </w:r>
    </w:p>
    <w:p>
      <w:pPr>
        <w:spacing w:line="360" w:lineRule="auto"/>
        <w:ind w:firstLine="960" w:firstLineChars="400"/>
        <w:rPr>
          <w:rFonts w:ascii="宋体" w:hAnsi="宋体" w:cs="宋体"/>
          <w:color w:val="000000"/>
          <w:sz w:val="24"/>
          <w:szCs w:val="24"/>
        </w:rPr>
      </w:pPr>
      <w:bookmarkStart w:id="402" w:name="_Hlk62555271"/>
      <w:r>
        <w:rPr>
          <w:rFonts w:hint="eastAsia" w:ascii="宋体" w:hAnsi="宋体" w:cs="宋体"/>
          <w:color w:val="000000"/>
          <w:sz w:val="24"/>
          <w:szCs w:val="24"/>
        </w:rPr>
        <w:t>建设基于国家标准、教育部标准、行业标准和学校已有的校标，兼顾各个标准之间的兼容性、一致性以及标准的可扩展性，补充和完善学校的各项标准，并给出信息分类编码规格说明书，依据本项目的建设内容，提供一套符合学校自身实际的管理信息化标准。</w:t>
      </w:r>
    </w:p>
    <w:bookmarkEnd w:id="402"/>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 组成结构</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信息标准由信息集与代码集构成。信息集包括公共信息子集与人力资源管理、学生综合管理、教务管理、科技管理、资产设备管理、财务审计管理和行政办公等业务信息子集，每一信息子集由相应的数据类、数据子类与数据项构成，数据项用元数据进行描述；代码集由中华人民共和国国家标准(GB)代码集、教育部教育管理信息化标准(JB)代码集、高等教育行业标准(HB)代码集、教育管理信息标准(KB)代码集与学校信息标准(XB)代码集构成，每一代码集包含若干代码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 功能要求</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以设置数据集管理功能，可以对信息集代码、信息集名称、数据类代码、数据类名称等信息进行增加、修改、删除。可以设置代码集管理功能，可以对代码标准号、代码标准名称、分类码等信息进行增加、修改、删除。</w:t>
      </w:r>
    </w:p>
    <w:p>
      <w:pPr>
        <w:pStyle w:val="5"/>
        <w:rPr>
          <w:rFonts w:ascii="宋体" w:hAnsi="宋体" w:cs="宋体"/>
          <w:szCs w:val="32"/>
        </w:rPr>
      </w:pPr>
      <w:r>
        <w:rPr>
          <w:rFonts w:hint="eastAsia" w:ascii="宋体" w:hAnsi="宋体" w:cs="宋体"/>
          <w:szCs w:val="32"/>
          <w:lang w:val="en-US" w:eastAsia="zh-CN"/>
        </w:rPr>
        <w:t>4.2.1.2</w:t>
      </w:r>
      <w:r>
        <w:rPr>
          <w:rFonts w:hint="eastAsia" w:ascii="宋体" w:hAnsi="宋体" w:cs="宋体"/>
          <w:szCs w:val="32"/>
        </w:rPr>
        <w:t>数据中心平台</w:t>
      </w:r>
    </w:p>
    <w:p>
      <w:pPr>
        <w:pStyle w:val="6"/>
      </w:pPr>
      <w:r>
        <w:rPr>
          <w:rFonts w:hint="eastAsia"/>
          <w:lang w:val="en-US" w:eastAsia="zh-CN"/>
        </w:rPr>
        <w:t>4.1.2.1</w:t>
      </w:r>
      <w:r>
        <w:rPr>
          <w:rFonts w:hint="eastAsia"/>
        </w:rPr>
        <w:t>建设目标</w:t>
      </w:r>
    </w:p>
    <w:p>
      <w:pPr>
        <w:spacing w:line="360" w:lineRule="auto"/>
        <w:ind w:firstLine="720" w:firstLineChars="300"/>
        <w:rPr>
          <w:rFonts w:ascii="宋体" w:hAnsi="宋体" w:cs="宋体"/>
          <w:color w:val="000000"/>
          <w:sz w:val="24"/>
          <w:szCs w:val="24"/>
        </w:rPr>
      </w:pPr>
      <w:bookmarkStart w:id="403" w:name="_Hlk62555591"/>
      <w:r>
        <w:rPr>
          <w:rFonts w:hint="eastAsia" w:ascii="宋体" w:hAnsi="宋体" w:cs="宋体"/>
          <w:color w:val="000000"/>
          <w:sz w:val="24"/>
          <w:szCs w:val="24"/>
        </w:rPr>
        <w:t xml:space="preserve">公共数据库是指在校园内搭建一个基于我校数字化标准实现的信息子集和扩展信息子集模型的公共数据库。通过数据的集中存储与共享管理实现校园内各类信息系统的数据层面的互通互连。 </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通过数据应用将我校内部所有的人员、内容、应用进行整合后就可以利用公共数据库的资源根据进入系统用户的不同角色查询相关数据享受相应信息服务。 </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为满足新旧系统的数据交换需要从学校实际情况出发制定适合我校实际情况的数据交换标准包括基于公共数据库的数据交换对象、交换内容、转换格式、路由策略、交换协议、交换计划、异常处理及配套的人工干预的管理机制。最后通过数据交换等技术手段去实现。 </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公共数据库建设是校园信息化建设的重点、基础和前提只有全面完成公共数据建设才能实现真正意义上的校园数字化。</w:t>
      </w:r>
    </w:p>
    <w:bookmarkEnd w:id="403"/>
    <w:p>
      <w:pPr>
        <w:pStyle w:val="6"/>
      </w:pPr>
      <w:r>
        <w:rPr>
          <w:rFonts w:hint="eastAsia"/>
          <w:lang w:val="en-US" w:eastAsia="zh-CN"/>
        </w:rPr>
        <w:t>4.1.2.2</w:t>
      </w:r>
      <w:r>
        <w:rPr>
          <w:rFonts w:hint="eastAsia"/>
        </w:rPr>
        <w:t>功能要求</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1.行政区域</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关于全国行政区域编号、名称、简拼、级别、是否有效的数据录入，对已录入的数据进行管理；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省份信息：系统录入省份信息，为系统其它模块提供省份的基础数据；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地市信息：系统录入地市信息，为系统其它模块提供地市的基础数据；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县区信息：系统录入县区信息，为系统其它模块提供县区的基础数据。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2.数据字典</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关于系统中涉及的一些数据字典的管理。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3.字典分类</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系统中字典分类中名称、编号、是否有效数据的录入，对已录入的数据进行管理。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4.系统功能</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系统中所有功能模块的录入、修改、删除的管理操作，对于一级模块、二级模块甚至于三级模块的管理，各个可能模块是否显示、是否可展开、是否有效可进行管理。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5. 系统日志</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5.1 </w:t>
      </w:r>
      <w:r>
        <w:rPr>
          <w:rFonts w:hint="eastAsia" w:ascii="宋体" w:hAnsi="宋体" w:cs="宋体"/>
          <w:sz w:val="24"/>
          <w:szCs w:val="24"/>
        </w:rPr>
        <w:t>★</w:t>
      </w:r>
      <w:r>
        <w:rPr>
          <w:rFonts w:hint="eastAsia" w:ascii="宋体" w:hAnsi="宋体" w:cs="宋体"/>
          <w:color w:val="000000"/>
          <w:sz w:val="24"/>
          <w:szCs w:val="24"/>
        </w:rPr>
        <w:t>登录日志</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可进行登录信息的查看，根据时间、关键字可进行单条或者某一时间段登录信息的查看，也可将登陆信息进行一件清空操作，可对登陆信息进行导出；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5.2 </w:t>
      </w:r>
      <w:r>
        <w:rPr>
          <w:rFonts w:hint="eastAsia" w:ascii="宋体" w:hAnsi="宋体" w:cs="宋体"/>
          <w:sz w:val="24"/>
          <w:szCs w:val="24"/>
        </w:rPr>
        <w:t>★</w:t>
      </w:r>
      <w:r>
        <w:rPr>
          <w:rFonts w:hint="eastAsia" w:ascii="宋体" w:hAnsi="宋体" w:cs="宋体"/>
          <w:color w:val="000000"/>
          <w:sz w:val="24"/>
          <w:szCs w:val="24"/>
        </w:rPr>
        <w:t>访问日志</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可进行访问信息的查看，根据时间、关键字可进行单条或者某一时间段访问信息的查看，可查看具体用户、IP地址、系统功能的查看，也可将访问信息进行一键清空操作，可对访问信息进行导出；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5.3 操作日志</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进行操作信息的查看，根据时间、关键字可进行单条或者某一时间段登操作信息的查看，可查看具体用户、IP地址、系统功能的查看，可查看具体的操作类型，也可将操作信息进行一键清空操作，可对操作信息进行导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5.4 </w:t>
      </w:r>
      <w:r>
        <w:rPr>
          <w:rFonts w:hint="eastAsia" w:ascii="宋体" w:hAnsi="宋体" w:cs="宋体"/>
          <w:sz w:val="24"/>
          <w:szCs w:val="24"/>
        </w:rPr>
        <w:t>★</w:t>
      </w:r>
      <w:r>
        <w:rPr>
          <w:rFonts w:hint="eastAsia" w:ascii="宋体" w:hAnsi="宋体" w:cs="宋体"/>
          <w:color w:val="000000"/>
          <w:sz w:val="24"/>
          <w:szCs w:val="24"/>
        </w:rPr>
        <w:t>异常日志</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可进行异常信息的查看，根据时间、关键字可进行单条或者某一时间段异常信息的查看，可查看具体用户、IP地址的查看，也可将登陆信息进行一键清空操作，可对登陆信息进行导出；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6. </w:t>
      </w:r>
      <w:r>
        <w:rPr>
          <w:rFonts w:hint="eastAsia" w:ascii="宋体" w:hAnsi="宋体" w:cs="宋体"/>
          <w:sz w:val="24"/>
          <w:szCs w:val="24"/>
        </w:rPr>
        <w:t>★</w:t>
      </w:r>
      <w:r>
        <w:rPr>
          <w:rFonts w:hint="eastAsia" w:ascii="宋体" w:hAnsi="宋体" w:cs="宋体"/>
          <w:color w:val="000000"/>
          <w:sz w:val="24"/>
          <w:szCs w:val="24"/>
        </w:rPr>
        <w:t>数据权限</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在系统中进行接口录入后，对所录入接口进行数据权限的设置，可对录入的数据进行管理。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7. </w:t>
      </w:r>
      <w:r>
        <w:rPr>
          <w:rFonts w:hint="eastAsia" w:ascii="宋体" w:hAnsi="宋体" w:cs="宋体"/>
          <w:sz w:val="24"/>
          <w:szCs w:val="24"/>
        </w:rPr>
        <w:t>★</w:t>
      </w:r>
      <w:r>
        <w:rPr>
          <w:rFonts w:hint="eastAsia" w:ascii="宋体" w:hAnsi="宋体" w:cs="宋体"/>
          <w:color w:val="000000"/>
          <w:sz w:val="24"/>
          <w:szCs w:val="24"/>
        </w:rPr>
        <w:t>接口管理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系统与别的软件进行对接对应接口的管理，可录入接口，对录入的接口进行管理；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8. 消息管理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对于系统中消息用户的录入，对于录入的用户进行管理。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9. </w:t>
      </w:r>
      <w:r>
        <w:rPr>
          <w:rFonts w:hint="eastAsia" w:ascii="宋体" w:hAnsi="宋体" w:cs="宋体"/>
          <w:sz w:val="24"/>
          <w:szCs w:val="24"/>
        </w:rPr>
        <w:t>★</w:t>
      </w:r>
      <w:r>
        <w:rPr>
          <w:rFonts w:hint="eastAsia" w:ascii="宋体" w:hAnsi="宋体" w:cs="宋体"/>
          <w:color w:val="000000"/>
          <w:sz w:val="24"/>
          <w:szCs w:val="24"/>
        </w:rPr>
        <w:t>桌面配置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9.1</w:t>
      </w:r>
      <w:r>
        <w:rPr>
          <w:rFonts w:hint="eastAsia" w:ascii="宋体" w:hAnsi="宋体" w:cs="宋体"/>
          <w:sz w:val="24"/>
          <w:szCs w:val="24"/>
        </w:rPr>
        <w:t>★</w:t>
      </w:r>
      <w:r>
        <w:rPr>
          <w:rFonts w:hint="eastAsia" w:ascii="宋体" w:hAnsi="宋体" w:cs="宋体"/>
          <w:color w:val="000000"/>
          <w:sz w:val="24"/>
          <w:szCs w:val="24"/>
        </w:rPr>
        <w:t>桌面设置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能可视化动态设配置首页信息包含统计栏，通知栏，图标栏，设置好统计栏名称、自定义统计栏小图标，可在连接地址栏中添加链接地址，选择所设置栏目数据对应的数据库，通过SQL语句进行各个栏目与设置的系统中对应数据进行关联显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9.2 </w:t>
      </w:r>
      <w:r>
        <w:rPr>
          <w:rFonts w:hint="eastAsia" w:ascii="宋体" w:hAnsi="宋体" w:cs="宋体"/>
          <w:sz w:val="24"/>
          <w:szCs w:val="24"/>
        </w:rPr>
        <w:t>★</w:t>
      </w:r>
      <w:r>
        <w:rPr>
          <w:rFonts w:hint="eastAsia" w:ascii="宋体" w:hAnsi="宋体" w:cs="宋体"/>
          <w:color w:val="000000"/>
          <w:sz w:val="24"/>
          <w:szCs w:val="24"/>
        </w:rPr>
        <w:t>统计配置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能可视化进行的统计配置，可进行名称、图标等信息的管理；设置好统计栏名称、自定义统计栏小图标，可在连接地址栏中添加链接地址，选择所设置栏目数据对应的数据库，通过SQL语句进行各个栏目与设置的系统中对应数据进行关联显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9.3 </w:t>
      </w:r>
      <w:r>
        <w:rPr>
          <w:rFonts w:hint="eastAsia" w:ascii="宋体" w:hAnsi="宋体" w:cs="宋体"/>
          <w:sz w:val="24"/>
          <w:szCs w:val="24"/>
        </w:rPr>
        <w:t>★</w:t>
      </w:r>
      <w:r>
        <w:rPr>
          <w:rFonts w:hint="eastAsia" w:ascii="宋体" w:hAnsi="宋体" w:cs="宋体"/>
          <w:color w:val="000000"/>
          <w:sz w:val="24"/>
          <w:szCs w:val="24"/>
        </w:rPr>
        <w:t>图标配置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能可视化的对于系统中对应的学生专业、学生性别、学生成绩、教师性别等统计信息采用图标的设置，同样需先设置名称，选择图表类型（饼图、折线图、柱状图），选择各个数据占比，选择对应的数据库，并书写SQL语句进行数据关联；</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9.4 </w:t>
      </w:r>
      <w:r>
        <w:rPr>
          <w:rFonts w:hint="eastAsia" w:ascii="宋体" w:hAnsi="宋体" w:cs="宋体"/>
          <w:sz w:val="24"/>
          <w:szCs w:val="24"/>
        </w:rPr>
        <w:t>★</w:t>
      </w:r>
      <w:r>
        <w:rPr>
          <w:rFonts w:hint="eastAsia" w:ascii="宋体" w:hAnsi="宋体" w:cs="宋体"/>
          <w:color w:val="000000"/>
          <w:sz w:val="24"/>
          <w:szCs w:val="24"/>
        </w:rPr>
        <w:t>消息列配置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能可视化对于系统中的新闻列表与通知公告，设置好名称，填写功能地址，选择所设置栏目名称对应的数据库，通过SQL语句进行各个栏目与设置的系统中对应数据进行关联显示；</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10. </w:t>
      </w:r>
      <w:r>
        <w:rPr>
          <w:rFonts w:hint="eastAsia" w:ascii="宋体" w:hAnsi="宋体" w:cs="宋体"/>
          <w:sz w:val="24"/>
          <w:szCs w:val="24"/>
        </w:rPr>
        <w:t>★</w:t>
      </w:r>
      <w:r>
        <w:rPr>
          <w:rFonts w:hint="eastAsia" w:ascii="宋体" w:hAnsi="宋体" w:cs="宋体"/>
          <w:color w:val="000000"/>
          <w:sz w:val="24"/>
          <w:szCs w:val="24"/>
        </w:rPr>
        <w:t>数据管理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10.1 </w:t>
      </w:r>
      <w:r>
        <w:rPr>
          <w:rFonts w:hint="eastAsia" w:ascii="宋体" w:hAnsi="宋体" w:cs="宋体"/>
          <w:sz w:val="24"/>
          <w:szCs w:val="24"/>
        </w:rPr>
        <w:t>★</w:t>
      </w:r>
      <w:r>
        <w:rPr>
          <w:rFonts w:hint="eastAsia" w:ascii="宋体" w:hAnsi="宋体" w:cs="宋体"/>
          <w:color w:val="000000"/>
          <w:sz w:val="24"/>
          <w:szCs w:val="24"/>
        </w:rPr>
        <w:t>数据库连接</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系统中对应数据库的录入，对录入的数据库进行管理；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系统中各个数据、功能对应的数据库名、表名都可在系统中可视化显示，对系统中大批量数据的修改、更新操作可以直接在系统中进行，省去了远程连接服务器，进行数据库连接大批量数据的调试；</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10.2</w:t>
      </w:r>
      <w:r>
        <w:rPr>
          <w:rFonts w:hint="eastAsia" w:ascii="宋体" w:hAnsi="宋体" w:cs="宋体"/>
          <w:sz w:val="24"/>
          <w:szCs w:val="24"/>
        </w:rPr>
        <w:t>★</w:t>
      </w:r>
      <w:r>
        <w:rPr>
          <w:rFonts w:hint="eastAsia" w:ascii="宋体" w:hAnsi="宋体" w:cs="宋体"/>
          <w:color w:val="000000"/>
          <w:sz w:val="24"/>
          <w:szCs w:val="24"/>
        </w:rPr>
        <w:t xml:space="preserve"> 数据表管理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可对对应的数据库文件中的数据表进行查看和查询操作，可查看数据表中的字段信息以及数据表中的数据条数、数据表大小、索引使用大小。</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可对单张数据表中的数据进行筛选，可视化的查询界面中需要包含该数据表中所有字段，显示出数据表中所有数据；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查询条件可以根据数据表中单个字段进行（等于、不等于、大于、大于等于、小于、小于等于、为空、不为空、包含）等条件的关键字查询；</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在对应数据库中可视化的新建数据表，可设置列名、数据类型、数据长度、允许为空、主键、说明等信息，可对表进行复制，对字段信息进行复制，可将新建数据表存入草稿，也可导入草稿，发布后即可直接使用该数据表。</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10.3 </w:t>
      </w:r>
      <w:r>
        <w:rPr>
          <w:rFonts w:hint="eastAsia" w:ascii="宋体" w:hAnsi="宋体" w:cs="宋体"/>
          <w:sz w:val="24"/>
          <w:szCs w:val="24"/>
        </w:rPr>
        <w:t>★</w:t>
      </w:r>
      <w:r>
        <w:rPr>
          <w:rFonts w:hint="eastAsia" w:ascii="宋体" w:hAnsi="宋体" w:cs="宋体"/>
          <w:color w:val="000000"/>
          <w:sz w:val="24"/>
          <w:szCs w:val="24"/>
        </w:rPr>
        <w:t>数据源管理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对于系统中数据源的录入，对于录入的数据可进行管理；</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在数据源中存储了所有建立数据库连接的信息，通过指定名称可以在系统中找到对应的数据名称，通过提供正确的数据源名称，可以找到相应的</w:t>
      </w:r>
      <w:r>
        <w:fldChar w:fldCharType="begin"/>
      </w:r>
      <w:r>
        <w:instrText xml:space="preserve"> HYPERLINK "https://baike.baidu.com/item/%E6%95%B0%E6%8D%AE%E5%BA%93/103728" \t "https://baike.baidu.com/item/%E6%95%B0%E6%8D%AE%E6%BA%90/_blank" </w:instrText>
      </w:r>
      <w:r>
        <w:fldChar w:fldCharType="separate"/>
      </w:r>
      <w:r>
        <w:rPr>
          <w:rFonts w:hint="eastAsia" w:ascii="宋体" w:hAnsi="宋体" w:cs="宋体"/>
          <w:color w:val="000000"/>
          <w:sz w:val="24"/>
          <w:szCs w:val="24"/>
        </w:rPr>
        <w:t>数据库</w:t>
      </w:r>
      <w:r>
        <w:rPr>
          <w:rFonts w:hint="eastAsia" w:ascii="宋体" w:hAnsi="宋体" w:cs="宋体"/>
          <w:color w:val="000000"/>
          <w:sz w:val="24"/>
          <w:szCs w:val="24"/>
        </w:rPr>
        <w:fldChar w:fldCharType="end"/>
      </w:r>
      <w:r>
        <w:rPr>
          <w:rFonts w:hint="eastAsia" w:ascii="宋体" w:hAnsi="宋体" w:cs="宋体"/>
          <w:color w:val="000000"/>
          <w:sz w:val="24"/>
          <w:szCs w:val="24"/>
        </w:rPr>
        <w:t>连接。</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10.4 </w:t>
      </w:r>
      <w:r>
        <w:rPr>
          <w:rFonts w:hint="eastAsia" w:ascii="宋体" w:hAnsi="宋体" w:cs="宋体"/>
          <w:sz w:val="24"/>
          <w:szCs w:val="24"/>
        </w:rPr>
        <w:t>★</w:t>
      </w:r>
      <w:r>
        <w:rPr>
          <w:rFonts w:hint="eastAsia" w:ascii="宋体" w:hAnsi="宋体" w:cs="宋体"/>
          <w:color w:val="000000"/>
          <w:sz w:val="24"/>
          <w:szCs w:val="24"/>
        </w:rPr>
        <w:t>常用字段</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系统中对应数据库常用字段的录入，对已录入的字段可进行管理；添加过程中可对各个字段数据类型、字段长度进行设置，查看各个字段的创建人与创建时间。</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10.5 </w:t>
      </w:r>
      <w:r>
        <w:rPr>
          <w:rFonts w:hint="eastAsia" w:ascii="宋体" w:hAnsi="宋体" w:cs="宋体"/>
          <w:sz w:val="24"/>
          <w:szCs w:val="24"/>
        </w:rPr>
        <w:t>★</w:t>
      </w:r>
      <w:r>
        <w:rPr>
          <w:rFonts w:hint="eastAsia" w:ascii="宋体" w:hAnsi="宋体" w:cs="宋体"/>
          <w:color w:val="000000"/>
          <w:sz w:val="24"/>
          <w:szCs w:val="24"/>
        </w:rPr>
        <w:t>数据备份</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支持数据备份管理和一键清除相关数据管理，可以根据日期和频次设定数据备份的模式，系统会自动备份系统的数据到磁盘，并进行管理，防止数据丢失造成的损失。</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11、 系统设置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对系统中公共信息的统一设置功能。包括公众号配置、桌面logo设置、登录页设置和客服配置。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公众号配置：对于系统对接公众号的管理，对于配置公众号的是否启用；</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桌面logo设置：为系统设置LOGO的功能；</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登录页设置：关于系统登录页面样式的选择，可进行管理，对界面样式是否启用的设置；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客服配置：关于系统客服的管理。</w:t>
      </w:r>
    </w:p>
    <w:p>
      <w:pPr>
        <w:numPr>
          <w:ilvl w:val="0"/>
          <w:numId w:val="1"/>
        </w:num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EXCEL导入导出配置</w:t>
      </w: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可通过系统对所管理的数据表中的数据进行导入导出的配置，可选择导出的字段信息和导出模板中的描述信息，可选择是否必填、是否唯一，可选择导出模板绑定的功能模块和按钮以及导出错误机制。</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13、推送信息管理</w:t>
      </w:r>
    </w:p>
    <w:p>
      <w:pPr>
        <w:spacing w:line="360" w:lineRule="auto"/>
        <w:ind w:firstLine="720" w:firstLineChars="300"/>
        <w:rPr>
          <w:rFonts w:ascii="宋体" w:hAnsi="宋体" w:cs="宋体"/>
          <w:sz w:val="24"/>
          <w:szCs w:val="24"/>
        </w:rPr>
      </w:pPr>
      <w:r>
        <w:rPr>
          <w:rFonts w:hint="eastAsia" w:ascii="宋体" w:hAnsi="宋体" w:cs="宋体"/>
          <w:sz w:val="24"/>
          <w:szCs w:val="24"/>
        </w:rPr>
        <w:t>实现对推送内容的管理，可自定义开启和关闭推送的内容模块。</w:t>
      </w:r>
    </w:p>
    <w:p>
      <w:pPr>
        <w:spacing w:line="360" w:lineRule="auto"/>
        <w:rPr>
          <w:rFonts w:ascii="宋体" w:hAnsi="宋体" w:cs="宋体"/>
          <w:color w:val="000000"/>
          <w:sz w:val="24"/>
          <w:szCs w:val="24"/>
        </w:rPr>
      </w:pPr>
    </w:p>
    <w:p>
      <w:pPr>
        <w:pStyle w:val="5"/>
        <w:rPr>
          <w:rFonts w:ascii="宋体" w:hAnsi="宋体" w:cs="宋体"/>
          <w:szCs w:val="32"/>
        </w:rPr>
      </w:pPr>
      <w:r>
        <w:rPr>
          <w:rFonts w:hint="eastAsia" w:ascii="宋体" w:hAnsi="宋体" w:cs="宋体"/>
          <w:szCs w:val="32"/>
          <w:lang w:val="en-US" w:eastAsia="zh-CN"/>
        </w:rPr>
        <w:t>4.2.1.3</w:t>
      </w:r>
      <w:r>
        <w:rPr>
          <w:rFonts w:hint="eastAsia" w:ascii="宋体" w:hAnsi="宋体" w:cs="宋体"/>
          <w:szCs w:val="32"/>
        </w:rPr>
        <w:t>统一信息门户</w:t>
      </w:r>
    </w:p>
    <w:p>
      <w:pPr>
        <w:pStyle w:val="6"/>
      </w:pPr>
      <w:bookmarkStart w:id="404" w:name="_Toc243903287"/>
      <w:r>
        <w:rPr>
          <w:rFonts w:hint="eastAsia"/>
          <w:lang w:val="en-US" w:eastAsia="zh-CN"/>
        </w:rPr>
        <w:t>4.1.3.1</w:t>
      </w:r>
      <w:r>
        <w:rPr>
          <w:rFonts w:hint="eastAsia"/>
        </w:rPr>
        <w:t>系统目标</w:t>
      </w:r>
      <w:bookmarkEnd w:id="404"/>
    </w:p>
    <w:p>
      <w:pPr>
        <w:spacing w:line="360" w:lineRule="auto"/>
        <w:ind w:firstLine="480"/>
        <w:rPr>
          <w:rFonts w:ascii="宋体" w:hAnsi="宋体" w:cs="宋体"/>
          <w:sz w:val="24"/>
          <w:szCs w:val="24"/>
        </w:rPr>
      </w:pPr>
      <w:r>
        <w:rPr>
          <w:rFonts w:hint="eastAsia" w:ascii="宋体" w:hAnsi="宋体" w:cs="宋体"/>
          <w:sz w:val="24"/>
          <w:szCs w:val="24"/>
        </w:rPr>
        <w:t>要求构建基于校园网异构应用</w:t>
      </w:r>
      <w:r>
        <w:rPr>
          <w:rFonts w:hint="eastAsia" w:ascii="宋体" w:hAnsi="宋体" w:cs="宋体"/>
          <w:color w:val="000000"/>
          <w:sz w:val="24"/>
          <w:szCs w:val="24"/>
        </w:rPr>
        <w:t>系统</w:t>
      </w:r>
      <w:r>
        <w:rPr>
          <w:rFonts w:hint="eastAsia" w:ascii="宋体" w:hAnsi="宋体" w:cs="宋体"/>
          <w:sz w:val="24"/>
          <w:szCs w:val="24"/>
        </w:rPr>
        <w:t>的综合服务门户平台，对校园网内的信息资源、应用系统进行管理和整合；要能实现数据、用户、权限、应用、流程、内容等各个方面的整合达到较高程度；根据用户需要的信息和服务去组织内容，提供集成的、无缝的、安全的、个性化的资源访问；需要能为用户提供访问校园网资源的统一入口并对用户进行统一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要求“在校园信息直通的基础上架构一个认证授权平台、一个校园门户平台，实现身份认证、展现层面的整合”。为全体师生提供一站式的信息服务，提高信息检索和发布效率，为全校师生的工作生活带来便利。</w:t>
      </w:r>
    </w:p>
    <w:p>
      <w:pPr>
        <w:pStyle w:val="6"/>
      </w:pPr>
      <w:r>
        <w:rPr>
          <w:rFonts w:hint="eastAsia"/>
          <w:lang w:val="en-US" w:eastAsia="zh-CN"/>
        </w:rPr>
        <w:t>4.1.3.2</w:t>
      </w:r>
      <w:r>
        <w:rPr>
          <w:rFonts w:hint="eastAsia"/>
        </w:rPr>
        <w:t>总体结构</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综合服务门户平台是建立在统一身份认证平台、门户支撑平台以及全局服务模型之上的一个综合性的信息发布和服务的系统。有如下要求：</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对象主要包括教师、学生、管理人员和学校领导；</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要能依托统一身份认证平台，实现单点登录；</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需要整合学校已经建设或将要建设的各种系统；</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用户可以定制所访问的界面外观和内容；</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要求将应用和数据整合到门户中；</w:t>
      </w:r>
    </w:p>
    <w:p>
      <w:pPr>
        <w:numPr>
          <w:ilvl w:val="0"/>
          <w:numId w:val="2"/>
        </w:numPr>
        <w:spacing w:line="360" w:lineRule="auto"/>
        <w:ind w:left="709" w:hanging="278"/>
        <w:rPr>
          <w:rFonts w:ascii="宋体" w:hAnsi="宋体" w:cs="宋体"/>
          <w:color w:val="000000"/>
          <w:sz w:val="24"/>
          <w:szCs w:val="24"/>
        </w:rPr>
      </w:pPr>
      <w:r>
        <w:rPr>
          <w:rFonts w:hint="eastAsia" w:ascii="宋体" w:hAnsi="宋体" w:cs="宋体"/>
          <w:color w:val="000000"/>
          <w:sz w:val="24"/>
          <w:szCs w:val="24"/>
        </w:rPr>
        <w:t>要能实现对门户提供的内容进行分级的权限管理。</w:t>
      </w:r>
    </w:p>
    <w:p>
      <w:pPr>
        <w:pStyle w:val="6"/>
      </w:pPr>
      <w:r>
        <w:rPr>
          <w:rFonts w:hint="eastAsia"/>
          <w:lang w:val="en-US" w:eastAsia="zh-CN"/>
        </w:rPr>
        <w:t>4.1.3.3</w:t>
      </w:r>
      <w:r>
        <w:rPr>
          <w:rFonts w:hint="eastAsia"/>
        </w:rPr>
        <w:t>功能要求说明</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★门户桌面</w:t>
      </w:r>
    </w:p>
    <w:p>
      <w:pPr>
        <w:spacing w:line="360" w:lineRule="auto"/>
        <w:ind w:firstLine="480"/>
        <w:rPr>
          <w:rFonts w:ascii="宋体" w:hAnsi="宋体" w:cs="宋体"/>
          <w:sz w:val="24"/>
          <w:szCs w:val="24"/>
        </w:rPr>
      </w:pPr>
      <w:r>
        <w:rPr>
          <w:rFonts w:hint="eastAsia" w:ascii="宋体" w:hAnsi="宋体" w:cs="宋体"/>
          <w:sz w:val="24"/>
          <w:szCs w:val="24"/>
        </w:rPr>
        <w:t>门户桌面需要实现自定义配置，可按用户自主要求配置多桌面，每个桌面的名称和桌面内容以及桌面内容的顺序都可以自己进行拖拽式的配置，门户桌面还需要支持切换皮肤，按照用户喜欢的风格进行选择。</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★模式切换</w:t>
      </w:r>
    </w:p>
    <w:p>
      <w:pPr>
        <w:spacing w:line="360" w:lineRule="auto"/>
        <w:ind w:firstLine="480"/>
        <w:rPr>
          <w:rFonts w:ascii="宋体" w:hAnsi="宋体" w:cs="宋体"/>
          <w:sz w:val="24"/>
          <w:szCs w:val="24"/>
        </w:rPr>
      </w:pPr>
      <w:r>
        <w:rPr>
          <w:rFonts w:hint="eastAsia" w:ascii="宋体" w:hAnsi="宋体" w:cs="宋体"/>
          <w:sz w:val="24"/>
          <w:szCs w:val="24"/>
        </w:rPr>
        <w:t>门户需要支持办事大厅模式、效率优先模式、管理驾驶舱模式的切换，每个模式展示的主要内容和顺序均有不同，管理驾驶舱模式要能够展示学校的基础信息统计。</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★数据看板</w:t>
      </w:r>
    </w:p>
    <w:p>
      <w:pPr>
        <w:spacing w:line="360" w:lineRule="auto"/>
        <w:ind w:firstLine="480"/>
        <w:rPr>
          <w:rFonts w:ascii="宋体" w:hAnsi="宋体" w:cs="宋体"/>
          <w:sz w:val="24"/>
          <w:szCs w:val="24"/>
        </w:rPr>
      </w:pPr>
      <w:r>
        <w:rPr>
          <w:rFonts w:hint="eastAsia" w:ascii="宋体" w:hAnsi="宋体" w:cs="宋体"/>
          <w:sz w:val="24"/>
          <w:szCs w:val="24"/>
        </w:rPr>
        <w:t>门户中需要有学校基础信息统计的看板，包含：专业统计、班级统计、学生统计、教师统计、教室统计、课程统计、一卡通消费统计、邮件统计、办公事项统计、课程开课统计、学生到课率统计等。</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★常用服务快捷方式</w:t>
      </w:r>
    </w:p>
    <w:p>
      <w:pPr>
        <w:spacing w:line="360" w:lineRule="auto"/>
        <w:ind w:firstLine="480"/>
        <w:rPr>
          <w:rFonts w:ascii="宋体" w:hAnsi="宋体" w:cs="宋体"/>
          <w:sz w:val="24"/>
          <w:szCs w:val="24"/>
        </w:rPr>
      </w:pPr>
      <w:r>
        <w:rPr>
          <w:rFonts w:hint="eastAsia" w:ascii="宋体" w:hAnsi="宋体" w:cs="宋体"/>
          <w:sz w:val="24"/>
          <w:szCs w:val="24"/>
        </w:rPr>
        <w:t>门户需要根据每个人的使用习惯，智能排列出10多项常用的菜单和功能模块，并且提供快速打开连接，可直接打开系统模块进行操作。</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办公邮件</w:t>
      </w:r>
    </w:p>
    <w:p>
      <w:pPr>
        <w:spacing w:line="360" w:lineRule="auto"/>
        <w:ind w:firstLine="480"/>
        <w:rPr>
          <w:rFonts w:ascii="宋体" w:hAnsi="宋体" w:cs="宋体"/>
          <w:sz w:val="24"/>
          <w:szCs w:val="24"/>
        </w:rPr>
      </w:pPr>
      <w:r>
        <w:rPr>
          <w:rFonts w:hint="eastAsia" w:ascii="宋体" w:hAnsi="宋体" w:cs="宋体"/>
          <w:sz w:val="24"/>
          <w:szCs w:val="24"/>
        </w:rPr>
        <w:t>门户将展示当前用户的最新办公邮件，可直接打开查看邮件内容。</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待办事项</w:t>
      </w:r>
    </w:p>
    <w:p>
      <w:pPr>
        <w:spacing w:line="360" w:lineRule="auto"/>
        <w:ind w:firstLine="480"/>
        <w:rPr>
          <w:rFonts w:ascii="宋体" w:hAnsi="宋体" w:cs="宋体"/>
          <w:sz w:val="24"/>
          <w:szCs w:val="24"/>
        </w:rPr>
      </w:pPr>
      <w:r>
        <w:rPr>
          <w:rFonts w:hint="eastAsia" w:ascii="宋体" w:hAnsi="宋体" w:cs="宋体"/>
          <w:sz w:val="24"/>
          <w:szCs w:val="24"/>
        </w:rPr>
        <w:t>门户将展示当前用户的最新代办事项，可直接打开查看代办任务。</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公告新闻展示</w:t>
      </w:r>
    </w:p>
    <w:p>
      <w:pPr>
        <w:spacing w:line="360" w:lineRule="auto"/>
        <w:ind w:firstLine="480"/>
        <w:rPr>
          <w:rFonts w:ascii="宋体" w:hAnsi="宋体" w:cs="宋体"/>
          <w:sz w:val="24"/>
          <w:szCs w:val="24"/>
        </w:rPr>
      </w:pPr>
      <w:r>
        <w:rPr>
          <w:rFonts w:hint="eastAsia" w:ascii="宋体" w:hAnsi="宋体" w:cs="宋体"/>
          <w:sz w:val="24"/>
          <w:szCs w:val="24"/>
        </w:rPr>
        <w:t>门户将展示当前用户有权限查看的最新专题推荐、宣传报道、通知公告，并可直接打开查看。</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★统一应用</w:t>
      </w:r>
    </w:p>
    <w:p>
      <w:pPr>
        <w:spacing w:line="360" w:lineRule="auto"/>
        <w:ind w:firstLine="480"/>
        <w:rPr>
          <w:rFonts w:ascii="宋体" w:hAnsi="宋体" w:cs="宋体"/>
          <w:sz w:val="24"/>
          <w:szCs w:val="24"/>
        </w:rPr>
      </w:pPr>
      <w:r>
        <w:rPr>
          <w:rFonts w:hint="eastAsia" w:ascii="宋体" w:hAnsi="宋体" w:cs="宋体"/>
          <w:sz w:val="24"/>
          <w:szCs w:val="24"/>
        </w:rPr>
        <w:t>门户将展示当前用户有权限查看的统一应用分类，以及每个分类下的应用，在配置了应用的账号密码之后可以直接打开链接，不需要再次登录即可直接访问。</w:t>
      </w:r>
    </w:p>
    <w:p>
      <w:pPr>
        <w:pStyle w:val="77"/>
        <w:numPr>
          <w:ilvl w:val="0"/>
          <w:numId w:val="3"/>
        </w:numPr>
        <w:spacing w:line="360" w:lineRule="auto"/>
        <w:ind w:firstLineChars="0"/>
        <w:rPr>
          <w:rFonts w:ascii="宋体" w:hAnsi="宋体" w:cs="宋体"/>
          <w:szCs w:val="24"/>
        </w:rPr>
      </w:pPr>
      <w:r>
        <w:rPr>
          <w:rFonts w:hint="eastAsia" w:ascii="宋体" w:hAnsi="宋体" w:cs="宋体"/>
          <w:szCs w:val="24"/>
        </w:rPr>
        <w:t>服务中心</w:t>
      </w:r>
    </w:p>
    <w:p>
      <w:pPr>
        <w:spacing w:line="360" w:lineRule="auto"/>
        <w:ind w:firstLine="480"/>
        <w:rPr>
          <w:rFonts w:ascii="宋体" w:hAnsi="宋体" w:cs="宋体"/>
          <w:sz w:val="24"/>
          <w:szCs w:val="24"/>
        </w:rPr>
      </w:pPr>
      <w:r>
        <w:rPr>
          <w:rFonts w:hint="eastAsia" w:ascii="宋体" w:hAnsi="宋体" w:cs="宋体"/>
          <w:sz w:val="24"/>
          <w:szCs w:val="24"/>
        </w:rPr>
        <w:t>门户会展示所有平台服务事项，按照服务的分类以及使用频率进行排序，可直接打开使用服务应用，并且根据流程进行审批推送。</w:t>
      </w:r>
    </w:p>
    <w:p>
      <w:pPr>
        <w:pStyle w:val="6"/>
      </w:pPr>
      <w:r>
        <w:rPr>
          <w:rFonts w:hint="eastAsia"/>
          <w:lang w:val="en-US" w:eastAsia="zh-CN"/>
        </w:rPr>
        <w:t>4.1.3.4</w:t>
      </w:r>
      <w:r>
        <w:rPr>
          <w:rFonts w:hint="eastAsia"/>
        </w:rPr>
        <w:t>技术要求</w:t>
      </w:r>
    </w:p>
    <w:p>
      <w:pPr>
        <w:spacing w:line="360" w:lineRule="auto"/>
        <w:ind w:firstLine="480"/>
        <w:rPr>
          <w:rFonts w:ascii="宋体" w:hAnsi="宋体" w:cs="宋体"/>
          <w:sz w:val="24"/>
          <w:szCs w:val="24"/>
        </w:rPr>
      </w:pPr>
      <w:r>
        <w:rPr>
          <w:rFonts w:hint="eastAsia" w:ascii="宋体" w:hAnsi="宋体" w:cs="宋体"/>
          <w:sz w:val="24"/>
          <w:szCs w:val="24"/>
        </w:rPr>
        <w:t>1、能与统一身份认证平台集成，实现跨系统的单点登录，即只要在门户的唯一入口登录一次，就可以对集成的应用系统进行合法的认证，支持跨域的单点登录及多种、多级用户认证方式，容易与主流认证系统集成。</w:t>
      </w:r>
    </w:p>
    <w:p>
      <w:pPr>
        <w:spacing w:line="360" w:lineRule="auto"/>
        <w:ind w:firstLine="480"/>
        <w:rPr>
          <w:rFonts w:ascii="宋体" w:hAnsi="宋体" w:cs="宋体"/>
          <w:sz w:val="24"/>
          <w:szCs w:val="24"/>
        </w:rPr>
      </w:pPr>
      <w:r>
        <w:rPr>
          <w:rFonts w:hint="eastAsia" w:ascii="宋体" w:hAnsi="宋体" w:cs="宋体"/>
          <w:sz w:val="24"/>
          <w:szCs w:val="24"/>
        </w:rPr>
        <w:t>2、可快速修改或增减部署门户平台功能模块，无需修改基础架构。</w:t>
      </w:r>
    </w:p>
    <w:p>
      <w:pPr>
        <w:spacing w:line="360" w:lineRule="auto"/>
        <w:ind w:firstLine="480"/>
        <w:rPr>
          <w:rFonts w:ascii="宋体" w:hAnsi="宋体" w:cs="宋体"/>
          <w:sz w:val="24"/>
          <w:szCs w:val="24"/>
        </w:rPr>
      </w:pPr>
      <w:r>
        <w:rPr>
          <w:rFonts w:hint="eastAsia" w:ascii="宋体" w:hAnsi="宋体" w:cs="宋体"/>
          <w:sz w:val="24"/>
          <w:szCs w:val="24"/>
        </w:rPr>
        <w:t>3、提供完善的安全机制，方便管理各服务模块的信息访问权限。</w:t>
      </w:r>
    </w:p>
    <w:p>
      <w:pPr>
        <w:pStyle w:val="6"/>
      </w:pPr>
      <w:r>
        <w:rPr>
          <w:rFonts w:hint="eastAsia"/>
          <w:lang w:val="en-US" w:eastAsia="zh-CN"/>
        </w:rPr>
        <w:t>4.1.3.5</w:t>
      </w:r>
      <w:r>
        <w:rPr>
          <w:rFonts w:hint="eastAsia"/>
        </w:rPr>
        <w:t>性能要求</w:t>
      </w:r>
    </w:p>
    <w:p>
      <w:pPr>
        <w:spacing w:line="360" w:lineRule="auto"/>
        <w:ind w:firstLine="480"/>
        <w:rPr>
          <w:rFonts w:ascii="宋体" w:hAnsi="宋体" w:cs="宋体"/>
          <w:sz w:val="24"/>
          <w:szCs w:val="24"/>
        </w:rPr>
      </w:pPr>
      <w:r>
        <w:rPr>
          <w:rFonts w:hint="eastAsia" w:ascii="宋体" w:hAnsi="宋体" w:cs="宋体"/>
          <w:sz w:val="24"/>
          <w:szCs w:val="24"/>
        </w:rPr>
        <w:t>1安全性</w:t>
      </w:r>
    </w:p>
    <w:p>
      <w:pPr>
        <w:spacing w:line="360" w:lineRule="auto"/>
        <w:ind w:firstLine="480"/>
        <w:rPr>
          <w:rFonts w:ascii="宋体" w:hAnsi="宋体" w:cs="宋体"/>
          <w:sz w:val="24"/>
          <w:szCs w:val="24"/>
        </w:rPr>
      </w:pPr>
      <w:r>
        <w:rPr>
          <w:rFonts w:hint="eastAsia" w:ascii="宋体" w:hAnsi="宋体" w:cs="宋体"/>
          <w:sz w:val="24"/>
          <w:szCs w:val="24"/>
        </w:rPr>
        <w:t>信息门户集成了校园网内所有的信息资源和应用系统，这要求综合信息门户系统要能够为用户提供安全的信息资源和业务数据的获取，保障信息传输的安全可靠、保障信息不被非法用户窃取、保障用户的合法身份不被盗用。</w:t>
      </w:r>
    </w:p>
    <w:p>
      <w:pPr>
        <w:spacing w:line="360" w:lineRule="auto"/>
        <w:ind w:firstLine="480"/>
        <w:rPr>
          <w:rFonts w:ascii="宋体" w:hAnsi="宋体" w:cs="宋体"/>
          <w:sz w:val="24"/>
          <w:szCs w:val="24"/>
        </w:rPr>
      </w:pPr>
      <w:r>
        <w:rPr>
          <w:rFonts w:hint="eastAsia" w:ascii="宋体" w:hAnsi="宋体" w:cs="宋体"/>
          <w:sz w:val="24"/>
          <w:szCs w:val="24"/>
        </w:rPr>
        <w:t>2可扩展性</w:t>
      </w:r>
    </w:p>
    <w:p>
      <w:pPr>
        <w:spacing w:line="360" w:lineRule="auto"/>
        <w:ind w:firstLine="480"/>
        <w:rPr>
          <w:rFonts w:ascii="宋体" w:hAnsi="宋体" w:cs="宋体"/>
          <w:sz w:val="24"/>
          <w:szCs w:val="24"/>
        </w:rPr>
      </w:pPr>
      <w:r>
        <w:rPr>
          <w:rFonts w:hint="eastAsia" w:ascii="宋体" w:hAnsi="宋体" w:cs="宋体"/>
          <w:sz w:val="24"/>
          <w:szCs w:val="24"/>
        </w:rPr>
        <w:t>面对高速发展的校园信息化建设，不断有新的应用系统和信息资源加入到数据校园中，要求综合信息门户提供具有高扩展性的服务架构和访问接口，让各种资源可以方便的集成到门户系统中，迅速的为校园网的用户提供服务。</w:t>
      </w:r>
    </w:p>
    <w:p>
      <w:pPr>
        <w:spacing w:line="360" w:lineRule="auto"/>
        <w:ind w:firstLine="480"/>
        <w:rPr>
          <w:rFonts w:ascii="宋体" w:hAnsi="宋体" w:cs="宋体"/>
          <w:sz w:val="24"/>
          <w:szCs w:val="24"/>
        </w:rPr>
      </w:pPr>
      <w:r>
        <w:rPr>
          <w:rFonts w:hint="eastAsia" w:ascii="宋体" w:hAnsi="宋体" w:cs="宋体"/>
          <w:sz w:val="24"/>
          <w:szCs w:val="24"/>
        </w:rPr>
        <w:t>3跨平台</w:t>
      </w:r>
    </w:p>
    <w:p>
      <w:pPr>
        <w:spacing w:line="360" w:lineRule="auto"/>
        <w:ind w:firstLine="480"/>
        <w:rPr>
          <w:rFonts w:ascii="宋体" w:hAnsi="宋体" w:cs="宋体"/>
          <w:sz w:val="24"/>
          <w:szCs w:val="24"/>
        </w:rPr>
      </w:pPr>
      <w:r>
        <w:rPr>
          <w:rFonts w:hint="eastAsia" w:ascii="宋体" w:hAnsi="宋体" w:cs="宋体"/>
          <w:sz w:val="24"/>
          <w:szCs w:val="24"/>
        </w:rPr>
        <w:t>支持Unix（包括AIX、HP Unix、Sco Unix等主流版本）、Linux、Windows多种平台，完全支持跨平台的部署。</w:t>
      </w:r>
    </w:p>
    <w:p>
      <w:pPr>
        <w:spacing w:line="360" w:lineRule="auto"/>
        <w:ind w:firstLine="480"/>
        <w:rPr>
          <w:rFonts w:ascii="宋体" w:hAnsi="宋体" w:cs="宋体"/>
          <w:sz w:val="24"/>
          <w:szCs w:val="24"/>
        </w:rPr>
      </w:pPr>
      <w:r>
        <w:rPr>
          <w:rFonts w:hint="eastAsia" w:ascii="宋体" w:hAnsi="宋体" w:cs="宋体"/>
          <w:sz w:val="24"/>
          <w:szCs w:val="24"/>
        </w:rPr>
        <w:t>4 稳定性</w:t>
      </w:r>
    </w:p>
    <w:p>
      <w:pPr>
        <w:spacing w:line="360" w:lineRule="auto"/>
        <w:ind w:firstLine="480"/>
        <w:rPr>
          <w:rFonts w:ascii="宋体" w:hAnsi="宋体" w:cs="宋体"/>
          <w:sz w:val="24"/>
          <w:szCs w:val="24"/>
        </w:rPr>
      </w:pPr>
      <w:r>
        <w:rPr>
          <w:rFonts w:hint="eastAsia" w:ascii="宋体" w:hAnsi="宋体" w:cs="宋体"/>
          <w:sz w:val="24"/>
          <w:szCs w:val="24"/>
        </w:rPr>
        <w:t>作为智慧校园的访问入口，信息门户的稳定行决定了校园网内的信息资源和应用系统能否被访问。这要求综合信息门户系统在高负载、甚至是运行环境出现故障的时仍能提供稳定、持续的服务。</w:t>
      </w:r>
    </w:p>
    <w:p>
      <w:pPr>
        <w:spacing w:line="360" w:lineRule="auto"/>
        <w:ind w:firstLine="480"/>
        <w:rPr>
          <w:rFonts w:ascii="宋体" w:hAnsi="宋体" w:cs="宋体"/>
          <w:sz w:val="24"/>
          <w:szCs w:val="24"/>
        </w:rPr>
      </w:pPr>
      <w:r>
        <w:rPr>
          <w:rFonts w:hint="eastAsia" w:ascii="宋体" w:hAnsi="宋体" w:cs="宋体"/>
          <w:sz w:val="24"/>
          <w:szCs w:val="24"/>
        </w:rPr>
        <w:t>5技术先进性</w:t>
      </w:r>
    </w:p>
    <w:p>
      <w:pPr>
        <w:spacing w:line="360" w:lineRule="auto"/>
        <w:ind w:firstLine="480"/>
        <w:rPr>
          <w:rFonts w:ascii="宋体" w:hAnsi="宋体" w:cs="宋体"/>
          <w:sz w:val="24"/>
          <w:szCs w:val="24"/>
        </w:rPr>
      </w:pPr>
      <w:r>
        <w:rPr>
          <w:rFonts w:hint="eastAsia" w:ascii="宋体" w:hAnsi="宋体" w:cs="宋体"/>
          <w:sz w:val="24"/>
          <w:szCs w:val="24"/>
        </w:rPr>
        <w:t>信息门户须采用先进的SOAP技术架构和设计理念，满足校园信息化建设不断发展的需要。</w:t>
      </w:r>
    </w:p>
    <w:p>
      <w:pPr>
        <w:pStyle w:val="5"/>
        <w:rPr>
          <w:rFonts w:ascii="宋体" w:hAnsi="宋体" w:cs="宋体"/>
          <w:szCs w:val="32"/>
        </w:rPr>
      </w:pPr>
      <w:bookmarkStart w:id="405" w:name="_Toc11789917"/>
      <w:bookmarkStart w:id="406" w:name="_Toc13920507"/>
      <w:r>
        <w:rPr>
          <w:rFonts w:hint="eastAsia" w:ascii="宋体" w:hAnsi="宋体" w:cs="宋体"/>
          <w:szCs w:val="32"/>
          <w:lang w:val="en-US" w:eastAsia="zh-CN"/>
        </w:rPr>
        <w:t>4.1.4</w:t>
      </w:r>
      <w:r>
        <w:rPr>
          <w:rFonts w:hint="eastAsia" w:ascii="宋体" w:hAnsi="宋体" w:cs="宋体"/>
          <w:szCs w:val="32"/>
        </w:rPr>
        <w:t>统一身份认证平台</w:t>
      </w:r>
      <w:bookmarkEnd w:id="400"/>
      <w:bookmarkEnd w:id="401"/>
      <w:bookmarkEnd w:id="405"/>
      <w:bookmarkEnd w:id="406"/>
    </w:p>
    <w:p>
      <w:pPr>
        <w:pStyle w:val="6"/>
      </w:pPr>
      <w:r>
        <w:rPr>
          <w:rFonts w:hint="eastAsia"/>
          <w:lang w:val="en-US" w:eastAsia="zh-CN"/>
        </w:rPr>
        <w:t>4.1.4.1</w:t>
      </w:r>
      <w:r>
        <w:rPr>
          <w:rFonts w:hint="eastAsia"/>
        </w:rPr>
        <w:t>建设目标</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要求实现对人员、权限、认证的统一管理，减少人员变化、系统扩展带来的管理复杂度。应用系统开发和维护方面达到如下功能目标：</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建设以目录服务和认证服务为基础的统一用户管理、授权管理和身份认证体系，将组织信息、用户信息统一存储，进行分级授权和集中身份认证，规范应用系统的用户认证方式。提高应用系统的安全性和用户使用的方便性，实现全部应用的单点登录。</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须支持0Auth2.0等主流协议，将云平台各组件视为资源服务器和客户端，实现整个平台用户/客户端的单点登录与统一授权功能，为PC端与移动端提供统认证服务，同时也为跨业务系统之间的服务访问提供支撑。</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通过统一的登录界面，提供多种登录方式，包括账号密码登录、短信验证码登录(需接入短信服务)、扫码登录、第三方应用(QQ、微信、微博)认证登录等方式。</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公共数据库是指在校园内搭建一个基于我校数字化标准实现的信息子集和扩展信息子集模型的公共数据库。通过数据的集中存储与共享管理实现校园内各类信息系统的数据层面的互通互连。 </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通过数据应用将我校内部所有的人员、内容、应用进行整合后就可以利用公共数据库的资源根据进入系统用户的不同角色查询相关数据享受相应信息服务。 </w:t>
      </w:r>
    </w:p>
    <w:p>
      <w:pPr>
        <w:spacing w:line="360" w:lineRule="auto"/>
        <w:ind w:firstLine="480"/>
        <w:rPr>
          <w:rFonts w:ascii="宋体" w:hAnsi="宋体" w:cs="宋体"/>
          <w:color w:val="000000"/>
          <w:sz w:val="24"/>
          <w:szCs w:val="24"/>
        </w:rPr>
      </w:pPr>
    </w:p>
    <w:p>
      <w:pPr>
        <w:pStyle w:val="6"/>
      </w:pPr>
      <w:r>
        <w:rPr>
          <w:rFonts w:hint="eastAsia"/>
          <w:lang w:val="en-US" w:eastAsia="zh-CN"/>
        </w:rPr>
        <w:t>4.1.4.2</w:t>
      </w:r>
      <w:r>
        <w:rPr>
          <w:rFonts w:hint="eastAsia"/>
        </w:rPr>
        <w:t>总体结构</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基于LDAP实现校园网内的统一用户身份认证和权限控制体系，利用目录服务，对用户身份信息和系统控制信息进行有效组织管理，提供高效安全的目录访问，为智慧校园的各应用系统提供统一身份认证和权限控制的支持。</w:t>
      </w:r>
    </w:p>
    <w:p>
      <w:pPr>
        <w:pStyle w:val="6"/>
      </w:pPr>
      <w:r>
        <w:rPr>
          <w:rFonts w:hint="eastAsia"/>
          <w:lang w:val="en-US" w:eastAsia="zh-CN"/>
        </w:rPr>
        <w:t>4.1.4.3</w:t>
      </w:r>
      <w:r>
        <w:rPr>
          <w:rFonts w:hint="eastAsia"/>
        </w:rPr>
        <w:t>功能要求说明</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color w:val="000000"/>
          <w:szCs w:val="24"/>
        </w:rPr>
        <w:t>学校管理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对学校的名称、编码、简称、成立时间、负责人的信息进行管理维护，对已录入的信息进行管理；</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color w:val="000000"/>
          <w:szCs w:val="24"/>
        </w:rPr>
        <w:t>部门管理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对学校的部门进行管理，可设置多级部门，每个部门可配置独立负责人。</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角色管理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系统中的角色进行灵活配置，通过可视化窗口筛选部门、用户名称的方式配置用户角色。可查看角色下的用户信息。可对角色进行功能授权和数据授权，保证系统授权无死角。可对角色配置IP过滤、时段过滤等方式进行授权和限制登录。</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角色的用户信息授权可分为系统功能、系统按钮、系统视图等三种方式进行授权，系统功能可配置系统菜单权限，系统按钮可配置每个功能下的按钮权限、系统视图可配置每个页面中显示的数据信息（如：可配置A用户能看A、B、C列的信息，B用户能看A、C列的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角色的数据授权主要可对每个模块下的数据信息进行过滤配置，可对某个字段进行数据筛选配置，筛选方式包括（等于、大于、大于等于、小于、小于等于、包含、包含于、不包含、不包含于、不等于）这几种方式，筛选值类型包括（自定义、登陆者ID、登陆者账号、登陆者学校、登陆者学校及下属学校、登陆者部门、登陆者部门及下属部门、登陆者岗位、登陆者角色）这几种方式。可配置多过滤条件。</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对角色的访问过滤进行配置，可配置起始IP和结束IP来配置授权访问和拒绝访问。通过可视化的时段选择（列出周一至周日，列出24个小时），对选中的时间段对该角色进行限制访问。</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用户管理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对系统中的用户信息进行账户禁用、启用和重置密码管理。可查看用户下的角色信息。可对用户进行功能授权和数据授权，保证系统授权无死角。可对用户配置IP过滤、时段过滤等方式进行授权和限制登录。</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用户的信息授权可分为系统功能、系统按钮、系统视图等三种方式进行授权，系统功能可配置系统菜单权限，系统按钮可配置每个功能下的按钮权限、系统视图可配置每个页面中显示的数据信息（如：可配置A用户能看A、B、C列的信息，B用户能看A、C列的信息。），系统表单可配置每个页面中管理功能中的表单数据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用户的数据授权主要可对每个模块下的数据信息进行过滤配置，可对某个字段进行数据筛选配置，筛选方式包括（等于、大于、大于等于、小于、小于等于、包含、包含于、不包含、不包含于、不等于）这几种方式，筛选值类型包括（自定义、登陆者ID、登陆者账号、登陆者学校、登陆者学校及下属学校、登陆者部门、登陆者部门及下属部门、登陆者岗位、登陆者角色）这几种方式。可配置多过滤条件。</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对用户的访问过滤进行配置，可配置起始IP和结束IP来配置授权访问和拒绝访问。通过可视化的时段选择（列出周一至周日，列出24个小时），对选中的时间段对该角色进行限制访问。</w:t>
      </w:r>
    </w:p>
    <w:p>
      <w:pPr>
        <w:pStyle w:val="77"/>
        <w:numPr>
          <w:ilvl w:val="0"/>
          <w:numId w:val="4"/>
        </w:numPr>
        <w:spacing w:line="360" w:lineRule="auto"/>
        <w:ind w:firstLineChars="0"/>
        <w:rPr>
          <w:rFonts w:ascii="宋体" w:hAnsi="宋体" w:cs="宋体"/>
          <w:color w:val="000000"/>
          <w:szCs w:val="24"/>
        </w:rPr>
      </w:pPr>
      <w:bookmarkStart w:id="407" w:name="_Toc12291590"/>
      <w:r>
        <w:rPr>
          <w:rFonts w:hint="eastAsia" w:ascii="宋体" w:hAnsi="宋体" w:cs="宋体"/>
          <w:szCs w:val="24"/>
        </w:rPr>
        <w:t>★</w:t>
      </w:r>
      <w:r>
        <w:rPr>
          <w:rFonts w:hint="eastAsia" w:ascii="宋体" w:hAnsi="宋体" w:cs="宋体"/>
          <w:color w:val="000000"/>
          <w:szCs w:val="24"/>
        </w:rPr>
        <w:t>岗位管理</w:t>
      </w:r>
      <w:bookmarkEnd w:id="407"/>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岗位管理是指学校对于要担负领导职责的或者管理任务的人分配岗位或者职务。岗位可进行上下级岗位的设计，并且可以在工作流中进行选择。一个岗位可分配多个人员。</w:t>
      </w:r>
    </w:p>
    <w:p>
      <w:pPr>
        <w:pStyle w:val="77"/>
        <w:numPr>
          <w:ilvl w:val="0"/>
          <w:numId w:val="4"/>
        </w:numPr>
        <w:spacing w:line="360" w:lineRule="auto"/>
        <w:ind w:firstLineChars="0"/>
        <w:rPr>
          <w:rFonts w:ascii="宋体" w:hAnsi="宋体" w:cs="宋体"/>
          <w:color w:val="000000"/>
          <w:szCs w:val="24"/>
        </w:rPr>
      </w:pPr>
      <w:bookmarkStart w:id="408" w:name="_Hlk12436001"/>
      <w:r>
        <w:rPr>
          <w:rFonts w:hint="eastAsia" w:ascii="宋体" w:hAnsi="宋体" w:cs="宋体"/>
          <w:color w:val="000000"/>
          <w:szCs w:val="24"/>
        </w:rPr>
        <w:t>统一应用分类</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对需要统一认证的应用进行分类。可设置多级分类，并且进行排序，可设置启用关闭。</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统一应用管理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对需要统一认证的应用进行管理。可设置应用名称、应用地址、应用接口地址、应用秘钥、是否启用等主要信息。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可对统一应用进行单个人员授权和整个角色授权。</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群组管理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对单点登录工具的群组进行管理。可设置群组人员，群组排序，是否启用。</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单点登录</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统一身份认证平台拥有统一的单点登录入口，我们将提供桌面级的应用供职工使用，相对于web网页形式，桌面应用更加方便快捷。</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内部机构联系人</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统一身份认证平台提供类似于QQ一样的通讯平台，可以让员工方便快捷的查看内部机构部门以及部门下的职工，可对职工进行查询。</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内部即时通讯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统一身份认证平台提供类似于QQ一样的通讯平台，可让内部职工进行在线沟通交流，包括个人与个人之间的通讯以及部门群组、自定义群组之间的通讯。</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szCs w:val="24"/>
        </w:rPr>
        <w:t>★</w:t>
      </w:r>
      <w:r>
        <w:rPr>
          <w:rFonts w:hint="eastAsia" w:ascii="宋体" w:hAnsi="宋体" w:cs="宋体"/>
          <w:color w:val="000000"/>
          <w:szCs w:val="24"/>
        </w:rPr>
        <w:t>内部云盘</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统一身份认证平台为职工提供内部云盘，方便大家上传、下载资料。方便部门领导收集资料。</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color w:val="000000"/>
          <w:szCs w:val="24"/>
        </w:rPr>
        <w:t>资料查看修改</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统一身份认证系统给各职工提供个人信息查看及修改功能，点击头像，即可弹出个人信息。个人信息页面显示了个人基本信息以及职位信息等。可以编辑头像以及编辑资料。</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color w:val="000000"/>
          <w:szCs w:val="24"/>
        </w:rPr>
        <w:t>更换皮肤</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统一身份认证系统的窗体颜色可进行换肤操作。主要分为动态图片和纯色换肤。可以通过换肤带来更好的操作体验。</w:t>
      </w:r>
    </w:p>
    <w:p>
      <w:pPr>
        <w:pStyle w:val="77"/>
        <w:numPr>
          <w:ilvl w:val="0"/>
          <w:numId w:val="4"/>
        </w:numPr>
        <w:spacing w:line="360" w:lineRule="auto"/>
        <w:ind w:firstLineChars="0"/>
        <w:rPr>
          <w:rFonts w:ascii="宋体" w:hAnsi="宋体" w:cs="宋体"/>
          <w:color w:val="000000"/>
          <w:szCs w:val="24"/>
        </w:rPr>
      </w:pPr>
      <w:r>
        <w:rPr>
          <w:rFonts w:hint="eastAsia" w:ascii="宋体" w:hAnsi="宋体" w:cs="宋体"/>
          <w:color w:val="000000"/>
          <w:szCs w:val="24"/>
        </w:rPr>
        <w:t>信息发布服务 </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在统一身份认证建设和认证系统集成过程中，为了方便职工及时掌握系统认证集成进度和登录方式，可通过信息发布管理系统把信息发布到统一身份认证的首页上。同时把平台使用的关键功能以帮助的形式发布出来，方便职工使用平台功能。</w:t>
      </w:r>
    </w:p>
    <w:bookmarkEnd w:id="408"/>
    <w:p>
      <w:pPr>
        <w:pStyle w:val="77"/>
        <w:numPr>
          <w:ilvl w:val="0"/>
          <w:numId w:val="4"/>
        </w:numPr>
        <w:spacing w:line="360" w:lineRule="auto"/>
        <w:ind w:firstLineChars="0"/>
        <w:rPr>
          <w:rFonts w:ascii="宋体" w:hAnsi="宋体" w:cs="宋体"/>
          <w:color w:val="000000"/>
          <w:szCs w:val="24"/>
        </w:rPr>
      </w:pPr>
      <w:bookmarkStart w:id="409" w:name="_Hlk12436025"/>
      <w:r>
        <w:rPr>
          <w:rFonts w:hint="eastAsia" w:ascii="宋体" w:hAnsi="宋体" w:cs="宋体"/>
          <w:color w:val="000000"/>
          <w:szCs w:val="24"/>
        </w:rPr>
        <w:t>集成服务 </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统一身份认证平台为业务系统接入提供集成管理服务，主要包括应用系统集成、应用系统功能集成、应用系统操作集成</w:t>
      </w:r>
      <w:bookmarkEnd w:id="409"/>
      <w:r>
        <w:rPr>
          <w:rFonts w:hint="eastAsia" w:ascii="宋体" w:hAnsi="宋体" w:cs="宋体"/>
          <w:color w:val="000000"/>
          <w:sz w:val="24"/>
          <w:szCs w:val="24"/>
        </w:rPr>
        <w:t>。</w:t>
      </w:r>
    </w:p>
    <w:p>
      <w:pPr>
        <w:pStyle w:val="6"/>
      </w:pPr>
      <w:r>
        <w:rPr>
          <w:rFonts w:hint="eastAsia"/>
          <w:lang w:val="en-US" w:eastAsia="zh-CN"/>
        </w:rPr>
        <w:t>4.1.4.4</w:t>
      </w:r>
      <w:r>
        <w:rPr>
          <w:rFonts w:hint="eastAsia"/>
        </w:rPr>
        <w:t>性能要求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 从学校全局观点出发，管理学校的所有用户、角色，以及所有的数据资源。</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 稳定可靠的统一身份管理：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建立全校信息系统统一的集中身份库，该身份库将包含管理信息系统所有用户资料信息，人员信息的日常更新、人员的登录认证等活动将全部基于该身份库的基础之上进行操作。</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用户和权限完全由内部自主管理。区别于其他公共身份认证中心，完全享有组织内部信息的保密性和独立性，管理方便，安全可靠，不受第三方控制。</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完全基于WEB界面，加密传输，无需专用客户端，随时随地可进行管理，方便安全。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（1）用户信息采取实名制。用户不能自己进行帐号注册，管理员基于用户实际身份和基本信息建立帐号，用户帐号独立且唯一。</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用户名的统一管理和权限分配的灵活性。系统管理员可对用户进行统一管理，主系统中用户删除或禁用后，其他各子系统中该用户信息自动删除或禁用；而各个子系统权限控制完全独立，同一用户，在不同的系统中可以具有完全不同的身份，各子系统用户权限可独立管理，对一个子系统中权限的修改，与其他子系统完全无关联，保证各子系统独立、安全、可靠。</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身份数据的处理方式除了新生入学、新教师报道的身份创建，还包括学生离校、教师离职的身份类别变化的同步处理和权限模型的建立，为学校各类用户提供注册、变更、转化、注销的全生命周期的身份数据管理方案。</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支持用户多重身份属性的定义和存储，符合学校教工多重身份、多重职务的现状。分布式数据采集机制，符合学校数据源分散管理的特点。</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sz w:val="24"/>
          <w:szCs w:val="24"/>
        </w:rPr>
        <w:t>★</w:t>
      </w:r>
      <w:r>
        <w:rPr>
          <w:rFonts w:hint="eastAsia" w:ascii="宋体" w:hAnsi="宋体" w:cs="宋体"/>
          <w:color w:val="000000"/>
          <w:sz w:val="24"/>
          <w:szCs w:val="24"/>
        </w:rPr>
        <w:t>系统应具有良好的稳定性和可集成性。支持对不同开发平台、不同开发模式的应用系统的认证集成，提供多种成熟认证接口，实现对网络层服务的集成，支持Unix、Linux、Windows多种平台，完全支持跨平台部署。</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3. 先进的技术和安全策略：</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sz w:val="24"/>
          <w:szCs w:val="24"/>
        </w:rPr>
        <w:t>★</w:t>
      </w:r>
      <w:r>
        <w:rPr>
          <w:rFonts w:hint="eastAsia" w:ascii="宋体" w:hAnsi="宋体" w:cs="宋体"/>
          <w:color w:val="000000"/>
          <w:sz w:val="24"/>
          <w:szCs w:val="24"/>
        </w:rPr>
        <w:t xml:space="preserve">充分利用各种安全、认证技术来实现整个系统平台的安全性，同时各种认证技术可以灵活选择 </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sz w:val="24"/>
          <w:szCs w:val="24"/>
        </w:rPr>
        <w:t>★</w:t>
      </w:r>
      <w:r>
        <w:rPr>
          <w:rFonts w:hint="eastAsia" w:ascii="宋体" w:hAnsi="宋体" w:cs="宋体"/>
          <w:color w:val="000000"/>
          <w:sz w:val="24"/>
          <w:szCs w:val="24"/>
        </w:rPr>
        <w:t>通过整体部署的安全机制、日志审核和访问策略等多种控制手段保证平台高度安全。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（3）对用户的操作行为进行日志记录，以追溯用户的行为过失，确保数据安全。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sz w:val="24"/>
          <w:szCs w:val="24"/>
        </w:rPr>
        <w:t>★</w:t>
      </w:r>
      <w:r>
        <w:rPr>
          <w:rFonts w:hint="eastAsia" w:ascii="宋体" w:hAnsi="宋体" w:cs="宋体"/>
          <w:color w:val="000000"/>
          <w:sz w:val="24"/>
          <w:szCs w:val="24"/>
        </w:rPr>
        <w:t>为了保证敏感信息的安全性，需要对学生成绩、用户登录密码等信息在传输过程和存储方面进行不同程度的加密处理。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4. </w:t>
      </w:r>
      <w:r>
        <w:rPr>
          <w:rFonts w:hint="eastAsia" w:ascii="宋体" w:hAnsi="宋体" w:cs="宋体"/>
          <w:sz w:val="24"/>
          <w:szCs w:val="24"/>
        </w:rPr>
        <w:t>★</w:t>
      </w:r>
      <w:r>
        <w:rPr>
          <w:rFonts w:hint="eastAsia" w:ascii="宋体" w:hAnsi="宋体" w:cs="宋体"/>
          <w:color w:val="000000"/>
          <w:sz w:val="24"/>
          <w:szCs w:val="24"/>
        </w:rPr>
        <w:t>具有单点登录功能。用户只需要登录（认证）一次，就可以访问许可范围内的所有智慧校园应用系统，为用户去除不停输入密码的烦恼，也避免了用户密码过多导致密码遗忘或遗失而带来的麻烦。</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5. 采用灵活的基于角色的权限管理模型。</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6. 可定制不同粗细粒度的访问控制策略。</w:t>
      </w:r>
    </w:p>
    <w:p>
      <w:pPr>
        <w:pStyle w:val="5"/>
        <w:rPr>
          <w:rFonts w:ascii="宋体" w:hAnsi="宋体" w:cs="宋体"/>
          <w:szCs w:val="32"/>
        </w:rPr>
      </w:pPr>
      <w:bookmarkStart w:id="410" w:name="_Toc19626"/>
      <w:r>
        <w:rPr>
          <w:rFonts w:hint="eastAsia" w:ascii="宋体" w:hAnsi="宋体" w:cs="宋体"/>
          <w:szCs w:val="32"/>
          <w:lang w:val="en-US" w:eastAsia="zh-CN"/>
        </w:rPr>
        <w:t>4.1.5</w:t>
      </w:r>
      <w:r>
        <w:rPr>
          <w:rFonts w:hint="eastAsia" w:ascii="宋体" w:hAnsi="宋体" w:cs="宋体"/>
          <w:szCs w:val="32"/>
        </w:rPr>
        <w:t>一站式办事大厅</w:t>
      </w:r>
    </w:p>
    <w:bookmarkEnd w:id="410"/>
    <w:p>
      <w:pPr>
        <w:pStyle w:val="6"/>
      </w:pPr>
      <w:bookmarkStart w:id="411" w:name="_Toc498331557"/>
      <w:bookmarkStart w:id="412" w:name="_Toc459884586"/>
      <w:r>
        <w:rPr>
          <w:rFonts w:hint="eastAsia"/>
          <w:lang w:val="en-US" w:eastAsia="zh-CN"/>
        </w:rPr>
        <w:t>4.1.5.1</w:t>
      </w:r>
      <w:r>
        <w:rPr>
          <w:rFonts w:hint="eastAsia"/>
        </w:rPr>
        <w:t>建设目标</w:t>
      </w:r>
      <w:bookmarkEnd w:id="411"/>
      <w:bookmarkEnd w:id="412"/>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要求建立网上办事大厅，解决当前学校面临的服务流程分散、服务流程不能在线办理、数据不统一不共享、师生不能在线填报表格、填报存在重复劳动的问题。</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流程中心面向用户可以提高体验，降低操作的学习成本。</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基于流程平台，在以下领域建设一站式业务流程：</w:t>
      </w:r>
    </w:p>
    <w:p>
      <w:pPr>
        <w:numPr>
          <w:ilvl w:val="0"/>
          <w:numId w:val="5"/>
        </w:numPr>
        <w:spacing w:line="360" w:lineRule="auto"/>
        <w:rPr>
          <w:rFonts w:ascii="宋体" w:hAnsi="宋体" w:cs="宋体"/>
          <w:color w:val="000000"/>
          <w:sz w:val="24"/>
          <w:szCs w:val="24"/>
        </w:rPr>
      </w:pPr>
      <w:r>
        <w:rPr>
          <w:rFonts w:hint="eastAsia" w:ascii="宋体" w:hAnsi="宋体" w:cs="宋体"/>
          <w:color w:val="000000"/>
          <w:sz w:val="24"/>
          <w:szCs w:val="24"/>
        </w:rPr>
        <w:t>教学服务领域</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在教学管理领域存在大量面向师生的服务可以用流程的方式进行建设。</w:t>
      </w:r>
    </w:p>
    <w:p>
      <w:pPr>
        <w:numPr>
          <w:ilvl w:val="0"/>
          <w:numId w:val="5"/>
        </w:numPr>
        <w:spacing w:line="360" w:lineRule="auto"/>
        <w:rPr>
          <w:rFonts w:ascii="宋体" w:hAnsi="宋体" w:cs="宋体"/>
          <w:color w:val="000000"/>
          <w:sz w:val="24"/>
          <w:szCs w:val="24"/>
        </w:rPr>
      </w:pPr>
      <w:r>
        <w:rPr>
          <w:rFonts w:hint="eastAsia" w:ascii="宋体" w:hAnsi="宋体" w:cs="宋体"/>
          <w:color w:val="000000"/>
          <w:sz w:val="24"/>
          <w:szCs w:val="24"/>
        </w:rPr>
        <w:t>行政管理及公共服务领域</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行政管理信息化是业务流程数量最大的领域，包括人力资源类流程、出入境管理等外事流程、请假用印等办公类流程、资产管理类流程、科研管理类流程等等</w:t>
      </w:r>
    </w:p>
    <w:p>
      <w:pPr>
        <w:numPr>
          <w:ilvl w:val="0"/>
          <w:numId w:val="5"/>
        </w:numPr>
        <w:spacing w:line="360" w:lineRule="auto"/>
        <w:rPr>
          <w:rFonts w:ascii="宋体" w:hAnsi="宋体" w:cs="宋体"/>
          <w:color w:val="000000"/>
          <w:sz w:val="24"/>
          <w:szCs w:val="24"/>
        </w:rPr>
      </w:pPr>
      <w:r>
        <w:rPr>
          <w:rFonts w:hint="eastAsia" w:ascii="宋体" w:hAnsi="宋体" w:cs="宋体"/>
          <w:color w:val="000000"/>
          <w:sz w:val="24"/>
          <w:szCs w:val="24"/>
        </w:rPr>
        <w:t>财务服务领域</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标准的财务系统解决的是会计管理功能，而在学校内存在大量与财务相关的服务可以用流程信息化来提高效率。能够使财务系统专注于专业的财务管理，而把个性化的服务由更适合的平台来实现。</w:t>
      </w:r>
    </w:p>
    <w:p>
      <w:pPr>
        <w:pStyle w:val="6"/>
      </w:pPr>
      <w:bookmarkStart w:id="413" w:name="_Toc383769544"/>
      <w:bookmarkStart w:id="414" w:name="_Toc231101134"/>
      <w:bookmarkStart w:id="415" w:name="_Toc426963055"/>
      <w:bookmarkStart w:id="416" w:name="_Toc378147826"/>
      <w:bookmarkStart w:id="417" w:name="_Toc426962985"/>
      <w:r>
        <w:rPr>
          <w:rFonts w:hint="eastAsia"/>
          <w:lang w:val="en-US" w:eastAsia="zh-CN"/>
        </w:rPr>
        <w:t>4.1.5.2</w:t>
      </w:r>
      <w:r>
        <w:rPr>
          <w:rFonts w:hint="eastAsia"/>
        </w:rPr>
        <w:t>总体要求</w:t>
      </w:r>
    </w:p>
    <w:p>
      <w:pPr>
        <w:numPr>
          <w:ilvl w:val="0"/>
          <w:numId w:val="6"/>
        </w:numPr>
        <w:spacing w:line="360" w:lineRule="auto"/>
        <w:rPr>
          <w:rFonts w:ascii="宋体" w:hAnsi="宋体" w:cs="宋体"/>
          <w:color w:val="000000"/>
          <w:sz w:val="24"/>
          <w:szCs w:val="24"/>
        </w:rPr>
      </w:pPr>
      <w:bookmarkStart w:id="418" w:name="_Toc459884588"/>
      <w:r>
        <w:rPr>
          <w:rFonts w:hint="eastAsia" w:ascii="宋体" w:hAnsi="宋体" w:cs="宋体"/>
          <w:color w:val="000000"/>
          <w:sz w:val="24"/>
          <w:szCs w:val="24"/>
          <w:lang w:val="zh-CN"/>
        </w:rPr>
        <w:t>基于</w:t>
      </w:r>
      <w:r>
        <w:rPr>
          <w:rFonts w:hint="eastAsia" w:ascii="宋体" w:hAnsi="宋体" w:cs="宋体"/>
          <w:color w:val="000000"/>
          <w:sz w:val="24"/>
          <w:szCs w:val="24"/>
        </w:rPr>
        <w:t>J2EE</w:t>
      </w:r>
      <w:r>
        <w:rPr>
          <w:rFonts w:hint="eastAsia" w:ascii="宋体" w:hAnsi="宋体" w:cs="宋体"/>
          <w:color w:val="000000"/>
          <w:sz w:val="24"/>
          <w:szCs w:val="24"/>
          <w:lang w:val="zh-CN"/>
        </w:rPr>
        <w:t>、</w:t>
      </w:r>
      <w:r>
        <w:rPr>
          <w:rFonts w:hint="eastAsia" w:ascii="宋体" w:hAnsi="宋体" w:cs="宋体"/>
          <w:color w:val="000000"/>
          <w:sz w:val="24"/>
          <w:szCs w:val="24"/>
        </w:rPr>
        <w:t>.Net</w:t>
      </w:r>
      <w:r>
        <w:rPr>
          <w:rFonts w:hint="eastAsia" w:ascii="宋体" w:hAnsi="宋体" w:cs="宋体"/>
          <w:color w:val="000000"/>
          <w:sz w:val="24"/>
          <w:szCs w:val="24"/>
          <w:lang w:val="zh-CN"/>
        </w:rPr>
        <w:t>等主流架构</w:t>
      </w:r>
      <w:bookmarkEnd w:id="418"/>
    </w:p>
    <w:p>
      <w:pPr>
        <w:spacing w:line="360" w:lineRule="auto"/>
        <w:ind w:firstLine="480"/>
        <w:rPr>
          <w:rFonts w:ascii="宋体" w:hAnsi="宋体" w:cs="宋体"/>
          <w:color w:val="000000"/>
          <w:sz w:val="24"/>
          <w:szCs w:val="24"/>
          <w:lang w:val="zh-CN"/>
        </w:rPr>
      </w:pPr>
      <w:r>
        <w:rPr>
          <w:rFonts w:hint="eastAsia" w:ascii="宋体" w:hAnsi="宋体" w:cs="宋体"/>
          <w:color w:val="000000"/>
          <w:sz w:val="24"/>
          <w:szCs w:val="24"/>
        </w:rPr>
        <w:t>要求</w:t>
      </w:r>
      <w:r>
        <w:rPr>
          <w:rFonts w:hint="eastAsia" w:ascii="宋体" w:hAnsi="宋体" w:cs="宋体"/>
          <w:color w:val="000000"/>
          <w:sz w:val="24"/>
          <w:szCs w:val="24"/>
          <w:lang w:val="zh-CN"/>
        </w:rPr>
        <w:t>基于J2EE、.Net等主流架构实现业务流程开发，对Java、.Net等主流开发语言提供完备的SDK支持。</w:t>
      </w:r>
    </w:p>
    <w:p>
      <w:pPr>
        <w:numPr>
          <w:ilvl w:val="0"/>
          <w:numId w:val="6"/>
        </w:numPr>
        <w:spacing w:line="360" w:lineRule="auto"/>
        <w:rPr>
          <w:rFonts w:ascii="宋体" w:hAnsi="宋体" w:cs="宋体"/>
          <w:color w:val="000000"/>
          <w:sz w:val="24"/>
          <w:szCs w:val="24"/>
          <w:lang w:val="zh-CN"/>
        </w:rPr>
      </w:pPr>
      <w:bookmarkStart w:id="419" w:name="_Toc459884589"/>
      <w:r>
        <w:rPr>
          <w:rFonts w:hint="eastAsia" w:ascii="宋体" w:hAnsi="宋体" w:cs="宋体"/>
          <w:color w:val="000000"/>
          <w:sz w:val="24"/>
          <w:szCs w:val="24"/>
          <w:lang w:val="zh-CN"/>
        </w:rPr>
        <w:t>提供二次开发访问接口</w:t>
      </w:r>
      <w:bookmarkEnd w:id="419"/>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要求系统可为相关应用系统提供共享数据访问服务，为第三方软件及二次开发提供服务接口。</w:t>
      </w:r>
    </w:p>
    <w:p>
      <w:pPr>
        <w:numPr>
          <w:ilvl w:val="0"/>
          <w:numId w:val="6"/>
        </w:numPr>
        <w:spacing w:line="360" w:lineRule="auto"/>
        <w:rPr>
          <w:rFonts w:ascii="宋体" w:hAnsi="宋体" w:cs="宋体"/>
          <w:color w:val="000000"/>
          <w:sz w:val="24"/>
          <w:szCs w:val="24"/>
          <w:lang w:val="zh-CN"/>
        </w:rPr>
      </w:pPr>
      <w:bookmarkStart w:id="420" w:name="_Toc459884590"/>
      <w:r>
        <w:rPr>
          <w:rFonts w:hint="eastAsia" w:ascii="宋体" w:hAnsi="宋体" w:cs="宋体"/>
          <w:color w:val="000000"/>
          <w:sz w:val="24"/>
          <w:szCs w:val="24"/>
          <w:lang w:val="zh-CN"/>
        </w:rPr>
        <w:t>支持多浏览器要求</w:t>
      </w:r>
      <w:bookmarkEnd w:id="420"/>
    </w:p>
    <w:p>
      <w:pPr>
        <w:widowControl/>
        <w:autoSpaceDE w:val="0"/>
        <w:autoSpaceDN w:val="0"/>
        <w:spacing w:line="360" w:lineRule="auto"/>
        <w:ind w:firstLine="480"/>
        <w:rPr>
          <w:rFonts w:ascii="宋体" w:hAnsi="宋体" w:cs="宋体"/>
          <w:color w:val="000000"/>
          <w:sz w:val="24"/>
          <w:szCs w:val="24"/>
          <w:lang w:val="zh-CN"/>
        </w:rPr>
      </w:pPr>
      <w:r>
        <w:rPr>
          <w:rFonts w:hint="eastAsia" w:ascii="宋体" w:hAnsi="宋体" w:cs="宋体"/>
          <w:color w:val="000000"/>
          <w:sz w:val="24"/>
          <w:szCs w:val="24"/>
        </w:rPr>
        <w:t>要求</w:t>
      </w:r>
      <w:r>
        <w:rPr>
          <w:rFonts w:hint="eastAsia" w:ascii="宋体" w:hAnsi="宋体" w:cs="宋体"/>
          <w:color w:val="000000"/>
          <w:sz w:val="24"/>
          <w:szCs w:val="24"/>
          <w:lang w:val="zh-CN"/>
        </w:rPr>
        <w:t>支持多浏览器访问，例如IE 8.0、IE 11、Firefox、Chrome、safari等及其移动版本。</w:t>
      </w:r>
    </w:p>
    <w:p>
      <w:pPr>
        <w:pStyle w:val="6"/>
      </w:pPr>
      <w:r>
        <w:rPr>
          <w:rFonts w:hint="eastAsia"/>
          <w:lang w:val="en-US" w:eastAsia="zh-CN"/>
        </w:rPr>
        <w:t>4.1.5.3</w:t>
      </w:r>
      <w:r>
        <w:rPr>
          <w:rFonts w:hint="eastAsia"/>
        </w:rPr>
        <w:t>功能要求说明</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1.网上办事</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可根据需求选择流程模板（如教职工请假、采购申请）、进行流程的发起。</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以教职工请假为例，选择该流程后，页面显示表单信息（教职工请假申请表）、流程信息（审批流程）、流转记录（发起后审批情况），填写相应的表单信息后可进行请假流程的发起，也可对表单信息进行打印。</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发起后可在办事大厅—流程任务—我的流程处查看审批进度（审批的流程可根据学校需求灵活定制），相应的审批状态也会变更为运行中。</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2.★流程设计</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流程分类：按照流程所属类型的不同可将流程分为费用类、人事类、合同类、采购类和公文类等等（根据需求用户可自定义流程类型）；</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流程设计：分为基本设置、权限设置、模板设置三步。</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基本设置：录入该流程的基础信息，如模板编号、模板名称、模板分类、是否移动端显示等信息。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权限设置：关于该流程发起人的设置，可以是所有成员均可发起，也可以指定成员（可以添加角色、岗位或个人）进行发起。</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模板设置：用与创建审批流程，设计流程的时候可以设置此类流程需要进行审核的次数；每次审核对应的审核人员；设置好的流程可以添加、修改审核人员；审核条件上一步审核通过才能进行下一步审核，只有所有审核通过，该任务才有效。</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以上三步设置完成后需在启用状态下，相应的人员可进行该流程的使用。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3.流程任务</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流程任务跟流程监控可以相互配合使用，分为代办任务、已办任务和我的流程。</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待办任务：涉及到当前用户需要办理的工作流程，都可在此处进行审核，审核时可查看具体的表单信息、流程信息和流转记录，审核者根据相应的信息进行审核，还可以进行加签处理。可对待办任务进行单个审核和批量审核。</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已办任务：当前用户已经办理的工作任务，都可在此处查看，列表显示任务名称、标题、等级、状态、发起人等信息，可对已审核的流程进行撤销审核，撤销后在代办任务里进行重新审核。</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我的流程：当前用户发起的工作流程任务。可在此处进行流程的发起，对已发起的流程进行撤销流程（撤销后已发起的流程会变为草稿状态）、催办审核的操作，还可对已发起的流程进行查看。</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3.★流程委托</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根据需求可将工作委托给指定的委托人进行处理，列表展示我的工作委托信息。可对被委托人、开始时间、结束时间、委托说明进行录入，委托时可进行委托流程的选择，可以单个流程任务委托，也可以多个流程任务同时委托。</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2.★流程监控</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流程监控包括已完成的工作流程和未完成的工作流程的管理。可以很直观的查看自己哪些工作流程已完成，哪些在运行中，可对未完成的流程指派审核人进行审核，还可对流程进行作废处理。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5.★表单设计</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表单分类：按照各种类型对表单进行分类，包括费用相关、服务支持、合同管理、采购管理和公文管理、人事管理等等；</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表单设计：可以根据数据库现有表或新建数据库表字段，进行设计表单的样式。在设计表单的时候可以用拖拽的形式对表单组件进行设计，如：文本框、单选框、下拉框、复选框等，设计好之后可以预览表单样式进行调整，提升用户体验。</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表单管理：管理表单设计中设计好的表单。方便各部门之间进行使用。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6.★流程报表</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可查看监控各个分类流程的使用情况。可根据年度展示每年度流程使用的情况分析，每年度流程使用趋势分析，综合展示每个流程应用的使用次数。</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7.★表单管理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管理学校所有的表单信息。填写功能编号、名称，选择对应的表单，进行对应功能条件配置，设置功能表单显示视图列表各个字段的添加，对添加的数据进行编辑与删除。 </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8.★文件管理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文件管理是每个学校的主要管理功能，该功能主要帮助办公室资料管理员进行文件资料的分类便捷管理。主要包括文件目录管理、文件管理、工作计划管理、工作总结、会议资料管理、制度管理和浏览阅读记录。</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文件目录管理：管理文件的目录信息，可进行增删查改；</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文件管理：管理所有文件信息；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工作计划管理：根据时间对全校工作计划的汇总管理；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工作总结：管理工作总结信息；</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会议资料管理：管理学校会议资料；</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制度管理：对学校制度信息的管理；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浏览阅读记录：对资料浏览记录的管理，可以实时监控到那些资料什么时间被那些用户浏览过，以及浏览次数等。</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9. ★电子签章管理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系统需要支持电子签章管理和使用，要对电子签章进行分类管理，可设置使用密码。可以在流程设计中配置是否使用签章，在流程审批过程中直接使用电子签章。电子签章记录将直接保存在流程记录中。</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10. ★手写签字</w:t>
      </w:r>
    </w:p>
    <w:p>
      <w:pPr>
        <w:spacing w:line="360" w:lineRule="auto"/>
        <w:ind w:firstLine="480"/>
        <w:rPr>
          <w:rFonts w:ascii="宋体" w:hAnsi="宋体" w:cs="宋体"/>
          <w:color w:val="000000"/>
          <w:sz w:val="24"/>
          <w:szCs w:val="24"/>
          <w:lang w:val="zh-CN"/>
        </w:rPr>
      </w:pPr>
      <w:r>
        <w:rPr>
          <w:rFonts w:hint="eastAsia" w:ascii="宋体" w:hAnsi="宋体" w:cs="宋体"/>
          <w:color w:val="000000"/>
          <w:sz w:val="24"/>
          <w:szCs w:val="24"/>
        </w:rPr>
        <w:t>系统需要支持手写签字，可以在流程设计中配置是否使用手写签字，在流程审批过程中使用手写签字，签字记录将直接保存在流程记录中。</w:t>
      </w:r>
    </w:p>
    <w:bookmarkEnd w:id="413"/>
    <w:bookmarkEnd w:id="414"/>
    <w:bookmarkEnd w:id="415"/>
    <w:bookmarkEnd w:id="416"/>
    <w:bookmarkEnd w:id="417"/>
    <w:p>
      <w:pPr>
        <w:pStyle w:val="5"/>
        <w:rPr>
          <w:rFonts w:ascii="宋体" w:hAnsi="宋体" w:cs="宋体"/>
          <w:szCs w:val="32"/>
        </w:rPr>
      </w:pPr>
      <w:bookmarkStart w:id="421" w:name="_Toc431310400"/>
      <w:bookmarkEnd w:id="421"/>
      <w:bookmarkStart w:id="422" w:name="_Toc431310296"/>
      <w:bookmarkEnd w:id="422"/>
      <w:bookmarkStart w:id="423" w:name="_Toc431309813"/>
      <w:bookmarkEnd w:id="423"/>
      <w:bookmarkStart w:id="424" w:name="_Toc431309999"/>
      <w:bookmarkEnd w:id="424"/>
      <w:bookmarkStart w:id="425" w:name="_Toc372885189"/>
      <w:bookmarkEnd w:id="425"/>
      <w:bookmarkStart w:id="426" w:name="_Toc431309764"/>
      <w:bookmarkEnd w:id="426"/>
      <w:bookmarkStart w:id="427" w:name="_Toc431310051"/>
      <w:bookmarkEnd w:id="427"/>
      <w:bookmarkStart w:id="428" w:name="_Toc431309624"/>
      <w:bookmarkEnd w:id="428"/>
      <w:bookmarkStart w:id="429" w:name="_Toc431310398"/>
      <w:bookmarkEnd w:id="429"/>
      <w:bookmarkStart w:id="430" w:name="_Toc431284109"/>
      <w:bookmarkEnd w:id="430"/>
      <w:bookmarkStart w:id="431" w:name="_Toc367975755"/>
      <w:bookmarkEnd w:id="431"/>
      <w:bookmarkStart w:id="432" w:name="_Toc372885191"/>
      <w:bookmarkEnd w:id="432"/>
      <w:bookmarkStart w:id="433" w:name="_Toc431284103"/>
      <w:bookmarkEnd w:id="433"/>
      <w:bookmarkStart w:id="434" w:name="_Toc431310292"/>
      <w:bookmarkEnd w:id="434"/>
      <w:bookmarkStart w:id="435" w:name="_Toc431310526"/>
      <w:bookmarkEnd w:id="435"/>
      <w:bookmarkStart w:id="436" w:name="_Toc367980462"/>
      <w:bookmarkEnd w:id="436"/>
      <w:bookmarkStart w:id="437" w:name="_Toc430957972"/>
      <w:bookmarkEnd w:id="437"/>
      <w:bookmarkStart w:id="438" w:name="_Toc431310298"/>
      <w:bookmarkEnd w:id="438"/>
      <w:bookmarkStart w:id="439" w:name="_Toc367975759"/>
      <w:bookmarkEnd w:id="439"/>
      <w:bookmarkStart w:id="440" w:name="_Toc431309618"/>
      <w:bookmarkEnd w:id="440"/>
      <w:bookmarkStart w:id="441" w:name="_Toc430957976"/>
      <w:bookmarkEnd w:id="441"/>
      <w:bookmarkStart w:id="442" w:name="_Toc431310347"/>
      <w:bookmarkEnd w:id="442"/>
      <w:bookmarkStart w:id="443" w:name="_Toc476571551"/>
      <w:bookmarkEnd w:id="443"/>
      <w:bookmarkStart w:id="444" w:name="_Toc367975761"/>
      <w:bookmarkEnd w:id="444"/>
      <w:bookmarkStart w:id="445" w:name="_Toc476571553"/>
      <w:bookmarkEnd w:id="445"/>
      <w:bookmarkStart w:id="446" w:name="_Toc431309758"/>
      <w:bookmarkEnd w:id="446"/>
      <w:bookmarkStart w:id="447" w:name="_Toc431299254"/>
      <w:bookmarkEnd w:id="447"/>
      <w:bookmarkStart w:id="448" w:name="_Toc431299260"/>
      <w:bookmarkEnd w:id="448"/>
      <w:bookmarkStart w:id="449" w:name="_Toc431310049"/>
      <w:bookmarkEnd w:id="449"/>
      <w:bookmarkStart w:id="450" w:name="_Toc431310045"/>
      <w:bookmarkEnd w:id="450"/>
      <w:bookmarkStart w:id="451" w:name="_Toc431310520"/>
      <w:bookmarkEnd w:id="451"/>
      <w:bookmarkStart w:id="452" w:name="_Toc431309762"/>
      <w:bookmarkEnd w:id="452"/>
      <w:bookmarkStart w:id="453" w:name="_Toc367980464"/>
      <w:bookmarkEnd w:id="453"/>
      <w:bookmarkStart w:id="454" w:name="_Toc476571547"/>
      <w:bookmarkEnd w:id="454"/>
      <w:bookmarkStart w:id="455" w:name="_Toc367980458"/>
      <w:bookmarkEnd w:id="455"/>
      <w:bookmarkStart w:id="456" w:name="_Toc431309997"/>
      <w:bookmarkEnd w:id="456"/>
      <w:bookmarkStart w:id="457" w:name="_Toc431309622"/>
      <w:bookmarkEnd w:id="457"/>
      <w:bookmarkStart w:id="458" w:name="_Toc431309815"/>
      <w:bookmarkEnd w:id="458"/>
      <w:bookmarkStart w:id="459" w:name="_Toc430957978"/>
      <w:bookmarkEnd w:id="459"/>
      <w:bookmarkStart w:id="460" w:name="_Toc431310524"/>
      <w:bookmarkEnd w:id="460"/>
      <w:bookmarkStart w:id="461" w:name="_Toc431310349"/>
      <w:bookmarkEnd w:id="461"/>
      <w:bookmarkStart w:id="462" w:name="_Toc431309993"/>
      <w:bookmarkEnd w:id="462"/>
      <w:bookmarkStart w:id="463" w:name="_Toc431299258"/>
      <w:bookmarkEnd w:id="463"/>
      <w:bookmarkStart w:id="464" w:name="_Toc431309809"/>
      <w:bookmarkEnd w:id="464"/>
      <w:bookmarkStart w:id="465" w:name="_Toc431284107"/>
      <w:bookmarkEnd w:id="465"/>
      <w:bookmarkStart w:id="466" w:name="_Toc431310394"/>
      <w:bookmarkEnd w:id="466"/>
      <w:bookmarkStart w:id="467" w:name="_Toc372885185"/>
      <w:bookmarkEnd w:id="467"/>
      <w:bookmarkStart w:id="468" w:name="_Toc431310343"/>
      <w:bookmarkEnd w:id="468"/>
      <w:bookmarkStart w:id="469" w:name="_Toc407802078"/>
      <w:bookmarkStart w:id="470" w:name="_Toc11789928"/>
      <w:bookmarkStart w:id="471" w:name="_Toc364070393"/>
      <w:bookmarkStart w:id="472" w:name="_Toc11789927"/>
      <w:bookmarkStart w:id="473" w:name="_Toc294701077"/>
      <w:bookmarkStart w:id="474" w:name="_Toc498331552"/>
      <w:bookmarkStart w:id="475" w:name="_Toc290302392"/>
      <w:bookmarkStart w:id="476" w:name="_Toc498331550"/>
      <w:bookmarkStart w:id="477" w:name="_Toc287102341"/>
      <w:bookmarkStart w:id="478" w:name="_Toc454530453"/>
      <w:bookmarkStart w:id="479" w:name="_Toc12577612"/>
      <w:bookmarkStart w:id="480" w:name="_Toc408158969"/>
      <w:bookmarkStart w:id="481" w:name="_Toc474830141"/>
      <w:bookmarkStart w:id="482" w:name="_Toc476309035"/>
      <w:bookmarkStart w:id="483" w:name="_Toc405308420"/>
      <w:r>
        <w:rPr>
          <w:rFonts w:hint="eastAsia" w:ascii="宋体" w:hAnsi="宋体" w:cs="宋体"/>
          <w:szCs w:val="32"/>
          <w:lang w:val="en-US" w:eastAsia="zh-CN"/>
        </w:rPr>
        <w:t>4.1.6</w:t>
      </w:r>
      <w:r>
        <w:rPr>
          <w:rFonts w:hint="eastAsia" w:ascii="宋体" w:hAnsi="宋体" w:cs="宋体"/>
          <w:szCs w:val="32"/>
        </w:rPr>
        <w:t>学生工作管理系统建设</w:t>
      </w:r>
    </w:p>
    <w:p>
      <w:pPr>
        <w:pStyle w:val="6"/>
      </w:pPr>
      <w:r>
        <w:rPr>
          <w:rFonts w:hint="eastAsia"/>
          <w:lang w:val="en-US" w:eastAsia="zh-CN"/>
        </w:rPr>
        <w:t>4.1.6.1</w:t>
      </w:r>
      <w:r>
        <w:rPr>
          <w:rFonts w:hint="eastAsia"/>
        </w:rPr>
        <w:t>建设目标</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学生信息管理系统即学工信息系统,该系统通过面向学校学生处实现对全校学生学籍管理、困难助学管理、奖惩管理、学业预警管理等实现的网络在线管理学工系统将严格基于公共应用平台的模式建立，采用统一的数据标准和管理规范，发挥统一身份认证设计、统一共享数据库设计、统一系统接口设计的优势，实现大量 数据共享，减少数据冗余， 满足学校数字化校园应用的长期持续发展 ， 减少了部门之间工作的中间环节，提高了跨部门管理的效率。学工系统密切结合各高校学生管理部门的实际操作过程，并从各个方面规范了工作流程，基本上做到了学生从入学至毕业全过程资料的完备管理。</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主要是学校学生思想教育和日常管理的、负责记录学生的考评、奖学金的评定、以及新生的管理的一个统一管理平台。主要有评教管理、文档收发、投诉管理、问卷调查管理、学生奖惩管理、行政班级管理、新生分班管理、学生班级评价等功能模块。</w:t>
      </w:r>
    </w:p>
    <w:p>
      <w:pPr>
        <w:pStyle w:val="6"/>
      </w:pPr>
      <w:r>
        <w:rPr>
          <w:rFonts w:hint="eastAsia"/>
          <w:lang w:val="en-US" w:eastAsia="zh-CN"/>
        </w:rPr>
        <w:t>4.1.6.2</w:t>
      </w:r>
      <w:r>
        <w:rPr>
          <w:rFonts w:hint="eastAsia"/>
        </w:rPr>
        <w:t>功能要求说明</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1.班级信息管理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关于班级的信息的管理。列表展示班级名称、代码、所属教研组、专业、辅导员、班主任、班级人数等信息。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可对班级信息进行录入，录入时可直接为该班级分配班主任和辅导员，也可进行班级信息的批量导入，设置所增班级是否启用、停用，也可对班级信息按照所需字段进行导出。</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2.学生奖惩管理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学生奖惩管理主要包括学生奖励管理、学生处罚管理、学生奖励统计和学生处罚统计。</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2.1学生奖励管理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管理学生的奖励信息，列表展示学生学号、姓名、奖励学年、学期、奖励原因、奖励日期等信息，可录入学生奖励信息，也可将学生的奖励信息导出到excel。</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2.2学生处分管理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管理学生的处分信息，包括学生学号、姓名、处分学年、学期、处分原因、处分日期与处分文号等信息，可录入学生处分信息，可将学生的处分信息导出到excel。</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2.3学生奖励统计</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统计学生所受的奖励信息；包括学校获奖信息、系奖励信息、年级奖励信息、班级奖励信息和个人奖励信息。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学校获奖信息：根据学年、学期可查看该学年全院奖励信息。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系奖励信息：根据学年、学期、系别可查看该学年各个教研组的奖励信息。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年级奖励信息：根据学年、学期、系别、年级可查看该学年各年级的奖励信息。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班级奖励信息：根据学年、学期、教研组、班级等信息可查看该学年各个班级奖励信息。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个人奖励信息：根据学年、学期、姓名、学号可查看该学年各学生的奖励信息。</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2.3学生处分统计</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统计学生所受的处分信息；包括学校处分信息、系处分信息、年级处分信息、班级处分信息和个人处分信息。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学校处分信息：根据学年、学期可查看该学年全院处分信息。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系处分信息：根据学年、学期、系别可查看该学年各个教研组的处分信息。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年级处分信息：根据学年、学期、系别、年级可查看该学年各年级的处分信息。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班级处分信息：根据学年、学期、教研组、班级等信息可查看该学年各个班级处分信息。</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个人处分信息：根据学年、学期、姓名、学号可查看该学年各学生的处分信息。</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3.新生分班管理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新生分班管理主要包括新行政班设定、新生分行政班、新生班级调整、学生学号生成、新生审核归档和查看分班结果等功能。</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3.1新行政班设定</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根据系别、专业的学生人数进行新的行政班级设置；可根据人数设置班级数量，选择人数分配方式（即可进行系统自动分配，也可进行自定义分配），还可对建好的行政班可进行信息修改与撤销。</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3.2新生分行政班</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根据条件查询新生分班信息（查看新行政班设定时分配的新生信息），可对分配好的学生进行撤销分班操作，以及再次分班。</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也可查询未分班学生，对未分班学生进行分班；</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3.3新生班级调整</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可根据学校需求进行新生班级的调整，可新增一个班级信息，将已分好班级的学生按照随机抽取分配到新建班级中，确保各个班级中学生学习质量的平衡。</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3.4新生学号生成</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根据系别、专业、班级查询学生信息，可查看学生姓名、性别、所在教研组、专业、所在班级与高考分数等信息，根据学校设置的学号规则可进行新生学号的生成；</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3.5新生审核归档</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根据专业可进行新生信息的查询，可对新生信息进行审核归档；归档后的学生信息将生成学籍，将无法进行更改。</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3.6查看分班结果</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根据系别、专业、班级可进行新生分班结果的查看，包括学生学号、姓名、性别、系别、专业、行政班等信息</w:t>
      </w:r>
      <w:bookmarkStart w:id="484" w:name="_Toc31534"/>
      <w:bookmarkStart w:id="485" w:name="_Toc21803_WPSOffice_Level2"/>
      <w:r>
        <w:rPr>
          <w:rFonts w:hint="eastAsia" w:ascii="宋体" w:hAnsi="宋体" w:cs="宋体"/>
          <w:sz w:val="24"/>
          <w:szCs w:val="24"/>
        </w:rPr>
        <w:t>，可将分班结果导出到excel。</w:t>
      </w:r>
    </w:p>
    <w:p>
      <w:pPr>
        <w:adjustRightInd w:val="0"/>
        <w:snapToGrid w:val="0"/>
        <w:spacing w:afterLines="50" w:line="360" w:lineRule="auto"/>
        <w:rPr>
          <w:rFonts w:ascii="宋体" w:hAnsi="宋体" w:cs="宋体"/>
          <w:sz w:val="24"/>
          <w:szCs w:val="24"/>
        </w:rPr>
      </w:pPr>
      <w:bookmarkStart w:id="486" w:name="_Toc21757"/>
      <w:bookmarkStart w:id="487" w:name="_Toc31952"/>
      <w:r>
        <w:rPr>
          <w:rFonts w:hint="eastAsia" w:ascii="宋体" w:hAnsi="宋体" w:cs="宋体"/>
          <w:sz w:val="24"/>
          <w:szCs w:val="24"/>
        </w:rPr>
        <w:t>4.问卷调查管理</w:t>
      </w:r>
      <w:bookmarkEnd w:id="486"/>
      <w:bookmarkEnd w:id="487"/>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问卷调查管理主要包括问卷分类管理与问卷管理功能；</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4.1</w:t>
      </w:r>
      <w:bookmarkStart w:id="488" w:name="_Toc31080"/>
      <w:bookmarkStart w:id="489" w:name="_Toc4255"/>
      <w:r>
        <w:rPr>
          <w:rFonts w:hint="eastAsia" w:ascii="宋体" w:hAnsi="宋体" w:cs="宋体"/>
          <w:sz w:val="24"/>
          <w:szCs w:val="24"/>
        </w:rPr>
        <w:t>问卷分类管理</w:t>
      </w:r>
      <w:bookmarkEnd w:id="488"/>
      <w:bookmarkEnd w:id="489"/>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关于问卷调查类型管理，包括问卷类型的名称，是否启用的录入。</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4.2问卷管理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关于各个问卷分类下，问卷调查的录入，包括问卷编号、标题、类别、开始时间、结束时间、考核学年、学期、专业、考核课程、班级、人数、是否匿名等信息的添加。</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针对添加的各个问卷可进行问题、答案的录入，录入时可设置题目类型（是否为单选、多选或文本框）、是否必填、排序、备注等信息，录入完成后可进行问卷的预览（对问卷的排版、显示等各项的查看）。</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对已考核过的问卷有权限的管理人员可查看某一问卷所有考核学生的答题情况（查看答题的学生姓名、学号、教研组、班级、是否交卷与最终得分情况的查看，根据需求可详细查看每位学生的答题情况）、结果分析（对每个问题的选项标题与对应选项标题分数与选择人数的统计）。</w:t>
      </w:r>
    </w:p>
    <w:p>
      <w:pPr>
        <w:adjustRightInd w:val="0"/>
        <w:snapToGrid w:val="0"/>
        <w:spacing w:afterLines="50" w:line="360" w:lineRule="auto"/>
        <w:rPr>
          <w:rFonts w:ascii="宋体" w:hAnsi="宋体" w:cs="宋体"/>
          <w:sz w:val="24"/>
          <w:szCs w:val="24"/>
        </w:rPr>
      </w:pPr>
      <w:bookmarkStart w:id="490" w:name="_Toc25141"/>
      <w:r>
        <w:rPr>
          <w:rFonts w:hint="eastAsia" w:ascii="宋体" w:hAnsi="宋体" w:cs="宋体"/>
          <w:sz w:val="24"/>
          <w:szCs w:val="24"/>
        </w:rPr>
        <w:t>5.文档收发</w:t>
      </w:r>
      <w:bookmarkEnd w:id="490"/>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文档收发主要包括发送文档与接受文档功能；</w:t>
      </w:r>
    </w:p>
    <w:p>
      <w:pPr>
        <w:adjustRightInd w:val="0"/>
        <w:snapToGrid w:val="0"/>
        <w:spacing w:afterLines="50" w:line="360" w:lineRule="auto"/>
        <w:rPr>
          <w:rFonts w:ascii="宋体" w:hAnsi="宋体" w:cs="宋体"/>
          <w:sz w:val="24"/>
          <w:szCs w:val="24"/>
        </w:rPr>
      </w:pPr>
      <w:bookmarkStart w:id="491" w:name="_Toc2984"/>
      <w:r>
        <w:rPr>
          <w:rFonts w:hint="eastAsia" w:ascii="宋体" w:hAnsi="宋体" w:cs="宋体"/>
          <w:sz w:val="24"/>
          <w:szCs w:val="24"/>
        </w:rPr>
        <w:t>5.1发送文档</w:t>
      </w:r>
      <w:bookmarkEnd w:id="491"/>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用于下发文档，包括文档的主题、接收对象、下发人、下发时间、状态等信息的录入，新增的文档信息状态为草稿，在草稿状态下可对新建好数据进行的修改与删除，确认无误将文档下发，状态会变更为已下发，下发后可对接收人、查阅时间、阅读状态、回复时间、回复状态进行查看。</w:t>
      </w:r>
    </w:p>
    <w:p>
      <w:pPr>
        <w:adjustRightInd w:val="0"/>
        <w:snapToGrid w:val="0"/>
        <w:spacing w:afterLines="50" w:line="360" w:lineRule="auto"/>
        <w:rPr>
          <w:rFonts w:ascii="宋体" w:hAnsi="宋体" w:cs="宋体"/>
          <w:sz w:val="24"/>
          <w:szCs w:val="24"/>
        </w:rPr>
      </w:pPr>
      <w:r>
        <w:rPr>
          <w:rFonts w:hint="eastAsia" w:ascii="宋体" w:hAnsi="宋体" w:cs="宋体"/>
          <w:sz w:val="24"/>
          <w:szCs w:val="24"/>
        </w:rPr>
        <w:t>5.2接收文档</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用于文档的接收，可进行文档的查看与回复。</w:t>
      </w:r>
    </w:p>
    <w:p>
      <w:pPr>
        <w:adjustRightInd w:val="0"/>
        <w:snapToGrid w:val="0"/>
        <w:spacing w:afterLines="50" w:line="360" w:lineRule="auto"/>
        <w:rPr>
          <w:rFonts w:ascii="宋体" w:hAnsi="宋体" w:cs="宋体"/>
          <w:sz w:val="24"/>
          <w:szCs w:val="24"/>
        </w:rPr>
      </w:pPr>
      <w:bookmarkStart w:id="492" w:name="_Toc13959"/>
      <w:r>
        <w:rPr>
          <w:rFonts w:hint="eastAsia" w:ascii="宋体" w:hAnsi="宋体" w:cs="宋体"/>
          <w:sz w:val="24"/>
          <w:szCs w:val="24"/>
        </w:rPr>
        <w:t>6.评教管理</w:t>
      </w:r>
      <w:bookmarkEnd w:id="492"/>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评教管理：对于评教的管理，包括评教编号、标题、起始时间、评教学年、学期、的录入。</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管理问题：在建好的评教信息上可进行问题与答案的录入，可对问题题目类型、是否必填、最多选择等信息进行录入，根据录好的问题录入对应答案，录入完成后可进行试题的预览（对试题的排版、显示等各项的查看）。</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审核/去审核，可将录入评教进行审核（审核后学生方可在评教时间内进行答题），审核后将无法进行问题与答案的修改，也无法对新建的评教进行修改与删除，所有的修改删除均可在去审核下进行操作。</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学生评教情况：有权限的管理员可通过选择评教标题，查看教研组、班级、学生姓名、学号、是否评教与最终得分情况的查看，可详细查看每位学生的答题情况，可根据课程、教师、学生姓名、学号等条件来进行查看。</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教师被评情况：有权限的管理员可对某一老师所带个别班级被评情况的查看（即被评教师、被评课程，上课学生人数，评教人数与平均分），以及查看评教学生的姓名、系别、专业、班级等信息，进行学生答案的查看。</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教师被评情况2：有权限的管理员可对某一老师所带全部班级被评情况的查看（即被评教师、被评课程，上课学生人数，评教人数与平均分），以及查看评教学生的姓名、系别、专业、班级等信息，进行学生答案的查看。</w:t>
      </w:r>
    </w:p>
    <w:p>
      <w:pPr>
        <w:adjustRightInd w:val="0"/>
        <w:snapToGrid w:val="0"/>
        <w:spacing w:afterLines="50" w:line="360" w:lineRule="auto"/>
        <w:rPr>
          <w:rFonts w:ascii="宋体" w:hAnsi="宋体" w:cs="宋体"/>
          <w:sz w:val="24"/>
          <w:szCs w:val="24"/>
        </w:rPr>
      </w:pPr>
      <w:bookmarkStart w:id="493" w:name="_Toc13455"/>
      <w:r>
        <w:rPr>
          <w:rFonts w:hint="eastAsia" w:ascii="宋体" w:hAnsi="宋体" w:cs="宋体"/>
          <w:sz w:val="24"/>
          <w:szCs w:val="24"/>
        </w:rPr>
        <w:t>7.投诉管理</w:t>
      </w:r>
      <w:bookmarkEnd w:id="484"/>
      <w:bookmarkEnd w:id="485"/>
      <w:bookmarkEnd w:id="493"/>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在学生端进行投诉发起后，有权限的管理员可在投诉管理中进行投诉处理人的指派，指派后指派人可对该投诉进行回复处理，还可进行详情的查看，如投诉编号、主题、投诉人、指派状态、指派时间与接收人。</w:t>
      </w:r>
    </w:p>
    <w:p>
      <w:pPr>
        <w:adjustRightInd w:val="0"/>
        <w:snapToGrid w:val="0"/>
        <w:spacing w:afterLines="50" w:line="360" w:lineRule="auto"/>
        <w:rPr>
          <w:rFonts w:ascii="宋体" w:hAnsi="宋体" w:cs="宋体"/>
          <w:sz w:val="24"/>
          <w:szCs w:val="24"/>
        </w:rPr>
      </w:pPr>
      <w:bookmarkStart w:id="494" w:name="_Toc188"/>
      <w:r>
        <w:rPr>
          <w:rFonts w:hint="eastAsia" w:ascii="宋体" w:hAnsi="宋体" w:cs="宋体"/>
          <w:sz w:val="24"/>
          <w:szCs w:val="24"/>
        </w:rPr>
        <w:t>8.学生班级评价</w:t>
      </w:r>
      <w:bookmarkEnd w:id="494"/>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学生班级评价主要包括环境卫生日考核、严重违纪日考核、宿舍内务日考核和行为规范日考核的功能。</w:t>
      </w:r>
    </w:p>
    <w:p>
      <w:pPr>
        <w:adjustRightInd w:val="0"/>
        <w:snapToGrid w:val="0"/>
        <w:spacing w:afterLines="50" w:line="360" w:lineRule="auto"/>
        <w:ind w:firstLine="480"/>
        <w:rPr>
          <w:rFonts w:ascii="宋体" w:hAnsi="宋体" w:cs="宋体"/>
          <w:sz w:val="24"/>
          <w:szCs w:val="24"/>
        </w:rPr>
      </w:pPr>
      <w:bookmarkStart w:id="495" w:name="_Toc21589"/>
      <w:r>
        <w:rPr>
          <w:rFonts w:hint="eastAsia" w:ascii="宋体" w:hAnsi="宋体" w:cs="宋体"/>
          <w:sz w:val="24"/>
          <w:szCs w:val="24"/>
        </w:rPr>
        <w:t>环境卫生日考核</w:t>
      </w:r>
      <w:bookmarkEnd w:id="495"/>
      <w:r>
        <w:rPr>
          <w:rFonts w:hint="eastAsia" w:ascii="宋体" w:hAnsi="宋体" w:cs="宋体"/>
          <w:sz w:val="24"/>
          <w:szCs w:val="24"/>
        </w:rPr>
        <w:t>：对班级的环境考核的管理，可对班级信息，考核分数、考核日期等信息进行录入。</w:t>
      </w:r>
    </w:p>
    <w:p>
      <w:pPr>
        <w:adjustRightInd w:val="0"/>
        <w:snapToGrid w:val="0"/>
        <w:spacing w:afterLines="50" w:line="360" w:lineRule="auto"/>
        <w:ind w:firstLine="480"/>
        <w:rPr>
          <w:rFonts w:ascii="宋体" w:hAnsi="宋体" w:cs="宋体"/>
          <w:sz w:val="24"/>
          <w:szCs w:val="24"/>
        </w:rPr>
      </w:pPr>
      <w:bookmarkStart w:id="496" w:name="_Toc20577"/>
      <w:r>
        <w:rPr>
          <w:rFonts w:hint="eastAsia" w:ascii="宋体" w:hAnsi="宋体" w:cs="宋体"/>
          <w:sz w:val="24"/>
          <w:szCs w:val="24"/>
        </w:rPr>
        <w:t>严重违纪日考核</w:t>
      </w:r>
      <w:bookmarkEnd w:id="496"/>
      <w:r>
        <w:rPr>
          <w:rFonts w:hint="eastAsia" w:ascii="宋体" w:hAnsi="宋体" w:cs="宋体"/>
          <w:sz w:val="24"/>
          <w:szCs w:val="24"/>
        </w:rPr>
        <w:t>：对班级的违纪考核的管理，可对班级信息，考核分数、考核日期等信息进行录入。</w:t>
      </w:r>
    </w:p>
    <w:p>
      <w:pPr>
        <w:adjustRightInd w:val="0"/>
        <w:snapToGrid w:val="0"/>
        <w:spacing w:afterLines="50" w:line="360" w:lineRule="auto"/>
        <w:ind w:firstLine="480"/>
        <w:rPr>
          <w:rFonts w:ascii="宋体" w:hAnsi="宋体" w:cs="宋体"/>
          <w:sz w:val="24"/>
          <w:szCs w:val="24"/>
        </w:rPr>
      </w:pPr>
      <w:bookmarkStart w:id="497" w:name="_Toc23472"/>
      <w:r>
        <w:rPr>
          <w:rFonts w:hint="eastAsia" w:ascii="宋体" w:hAnsi="宋体" w:cs="宋体"/>
          <w:sz w:val="24"/>
          <w:szCs w:val="24"/>
        </w:rPr>
        <w:t>宿舍内务日考核</w:t>
      </w:r>
      <w:bookmarkEnd w:id="497"/>
      <w:r>
        <w:rPr>
          <w:rFonts w:hint="eastAsia" w:ascii="宋体" w:hAnsi="宋体" w:cs="宋体"/>
          <w:sz w:val="24"/>
          <w:szCs w:val="24"/>
        </w:rPr>
        <w:t>：对班级的宿舍内务考核的管理，可对班级信息，考核分数、考核日期等信息进行录入。</w:t>
      </w:r>
    </w:p>
    <w:p>
      <w:pPr>
        <w:adjustRightInd w:val="0"/>
        <w:snapToGrid w:val="0"/>
        <w:spacing w:afterLines="50" w:line="360" w:lineRule="auto"/>
        <w:ind w:firstLine="480"/>
        <w:rPr>
          <w:rFonts w:ascii="宋体" w:hAnsi="宋体" w:cs="宋体"/>
          <w:sz w:val="24"/>
          <w:szCs w:val="24"/>
        </w:rPr>
      </w:pPr>
      <w:bookmarkStart w:id="498" w:name="_Toc28771"/>
      <w:r>
        <w:rPr>
          <w:rFonts w:hint="eastAsia" w:ascii="宋体" w:hAnsi="宋体" w:cs="宋体"/>
          <w:sz w:val="24"/>
          <w:szCs w:val="24"/>
        </w:rPr>
        <w:t>行为规范日考核</w:t>
      </w:r>
      <w:bookmarkEnd w:id="498"/>
      <w:r>
        <w:rPr>
          <w:rFonts w:hint="eastAsia" w:ascii="宋体" w:hAnsi="宋体" w:cs="宋体"/>
          <w:sz w:val="24"/>
          <w:szCs w:val="24"/>
        </w:rPr>
        <w:t>：对班级的行为规范考核的管理，可对班级信息，考核分数、考核日期等信息进行录入。</w:t>
      </w:r>
    </w:p>
    <w:p>
      <w:pPr>
        <w:adjustRightInd w:val="0"/>
        <w:snapToGrid w:val="0"/>
        <w:spacing w:afterLines="50" w:line="360" w:lineRule="auto"/>
        <w:jc w:val="left"/>
        <w:rPr>
          <w:rFonts w:ascii="宋体" w:hAnsi="宋体" w:cs="宋体"/>
          <w:sz w:val="24"/>
          <w:szCs w:val="24"/>
        </w:rPr>
      </w:pPr>
      <w:r>
        <w:rPr>
          <w:rFonts w:hint="eastAsia" w:ascii="宋体" w:hAnsi="宋体" w:cs="宋体"/>
          <w:sz w:val="24"/>
          <w:szCs w:val="24"/>
        </w:rPr>
        <w:t>9.全校学生课程考勤</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管理全校学生各科的考勤情况，如学年、学期、教研组、专业、班级、课程、教师、姓名、学号、是否出勤、考勤状态等信息的查看，可根据教研组、专业、课程、教师、学号、姓名等信息进行条件查询。</w:t>
      </w:r>
    </w:p>
    <w:p>
      <w:pPr>
        <w:tabs>
          <w:tab w:val="left" w:pos="312"/>
        </w:tabs>
        <w:adjustRightInd w:val="0"/>
        <w:snapToGrid w:val="0"/>
        <w:spacing w:afterLines="50" w:line="360" w:lineRule="auto"/>
        <w:jc w:val="left"/>
        <w:rPr>
          <w:rFonts w:ascii="宋体" w:hAnsi="宋体" w:cs="宋体"/>
          <w:sz w:val="24"/>
          <w:szCs w:val="24"/>
        </w:rPr>
      </w:pPr>
      <w:r>
        <w:rPr>
          <w:rFonts w:hint="eastAsia" w:ascii="宋体" w:hAnsi="宋体" w:cs="宋体"/>
          <w:sz w:val="24"/>
          <w:szCs w:val="24"/>
        </w:rPr>
        <w:t>10. 助学补助管理</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助学金种类管理：可管理、查看助学金种类，助学金种类信息包括：种类名称、奖励级别、设立单位、资金来源、分配方式、等信息；可对每个种类的助学金分别定义审核流程和审核角色；</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每个种类的助学金可以设置不同的等级，等级可设置金额和名额；每个种类的助学金可以设置评定条件；只有满足设定条件的学生才能申请该种类的助学金</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不可兼得管理：可以管理不可兼得组，组中可以加入多个助学金种类；在同一个不可兼得组中的助学金，学生申请时，同一组的种类只能申请一个。</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批次管理：可以设置助学金的评定批次，批次中可以设置多个可供申请的助学金种类；批次信息包括评定开始时间、结束时间、评定学年，评定学期、评定学生范围等信息；可为每个院系分配助学金种类、等级的名额和金额；</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补助问卷：可以维护对问卷进行维护，新增问卷，给问卷添加题目，题目支持单选、多选、简答等多种题型。问卷供学生填写，主要用于调查学生的家庭情况，用于为补助的认定提供参考依据。</w:t>
      </w:r>
    </w:p>
    <w:p>
      <w:pPr>
        <w:tabs>
          <w:tab w:val="left" w:pos="312"/>
        </w:tabs>
        <w:adjustRightInd w:val="0"/>
        <w:snapToGrid w:val="0"/>
        <w:spacing w:afterLines="50" w:line="360" w:lineRule="auto"/>
        <w:jc w:val="left"/>
        <w:rPr>
          <w:rFonts w:ascii="宋体" w:hAnsi="宋体" w:cs="宋体"/>
          <w:sz w:val="24"/>
          <w:szCs w:val="24"/>
        </w:rPr>
      </w:pPr>
      <w:r>
        <w:rPr>
          <w:rFonts w:hint="eastAsia" w:ascii="宋体" w:hAnsi="宋体" w:cs="宋体"/>
          <w:sz w:val="24"/>
          <w:szCs w:val="24"/>
        </w:rPr>
        <w:t>11.心理预约</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预约管理：学生可以根据自己的时间和心理老师的时间，预约心理咨询时间；老师可以查看学生的预约情况；</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心理档案管理：可以管理学生的心理健康档案；</w:t>
      </w:r>
    </w:p>
    <w:p>
      <w:pPr>
        <w:tabs>
          <w:tab w:val="left" w:pos="312"/>
        </w:tabs>
        <w:adjustRightInd w:val="0"/>
        <w:snapToGrid w:val="0"/>
        <w:spacing w:afterLines="50" w:line="360" w:lineRule="auto"/>
        <w:jc w:val="left"/>
        <w:rPr>
          <w:rFonts w:ascii="宋体" w:hAnsi="宋体" w:cs="宋体"/>
          <w:sz w:val="24"/>
          <w:szCs w:val="24"/>
        </w:rPr>
      </w:pPr>
      <w:r>
        <w:rPr>
          <w:rFonts w:hint="eastAsia" w:ascii="宋体" w:hAnsi="宋体" w:cs="宋体"/>
          <w:sz w:val="24"/>
          <w:szCs w:val="24"/>
        </w:rPr>
        <w:t>12.兵役登记</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兵役登记：男学生都必须到全国征兵网的网站上进行登记，登记后需要在本平台上上传截图；管理员可以查看学生的登记情况；</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参军意向管理：有参军意向的学生可以在学年开始前进行登记；管理员可以按学年查看和导出参军意向学生名单。</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参军记录管理：已经参军过的学生，需要在本系统中登记参军记录；管理员可以查看参军学生列表</w:t>
      </w:r>
    </w:p>
    <w:p>
      <w:pPr>
        <w:tabs>
          <w:tab w:val="left" w:pos="312"/>
        </w:tabs>
        <w:adjustRightInd w:val="0"/>
        <w:snapToGrid w:val="0"/>
        <w:spacing w:afterLines="50" w:line="360" w:lineRule="auto"/>
        <w:jc w:val="left"/>
        <w:rPr>
          <w:rFonts w:ascii="宋体" w:hAnsi="宋体" w:cs="宋体"/>
          <w:sz w:val="24"/>
          <w:szCs w:val="24"/>
        </w:rPr>
      </w:pPr>
      <w:r>
        <w:rPr>
          <w:rFonts w:hint="eastAsia" w:ascii="宋体" w:hAnsi="宋体" w:cs="宋体"/>
          <w:sz w:val="24"/>
          <w:szCs w:val="24"/>
        </w:rPr>
        <w:t>13.学生毕业离校</w:t>
      </w:r>
    </w:p>
    <w:p>
      <w:pPr>
        <w:adjustRightInd w:val="0"/>
        <w:snapToGrid w:val="0"/>
        <w:spacing w:afterLines="50" w:line="360" w:lineRule="auto"/>
        <w:ind w:firstLine="480"/>
        <w:rPr>
          <w:rFonts w:ascii="宋体" w:hAnsi="宋体" w:cs="宋体"/>
          <w:sz w:val="24"/>
          <w:szCs w:val="24"/>
        </w:rPr>
      </w:pPr>
      <w:r>
        <w:rPr>
          <w:rFonts w:hint="eastAsia" w:ascii="宋体" w:hAnsi="宋体" w:cs="宋体"/>
          <w:sz w:val="24"/>
          <w:szCs w:val="24"/>
        </w:rPr>
        <w:t xml:space="preserve"> 系统具对所有准备毕业的学生进行资格审核，审核项包括是否存在专业不及格科目，其它不及格科目，奖励情况，操行情况，处分情况，获取证书数量，图书借还情况，是否欠费等，全部在一个界面审核，能自己定义毕业审核条件进行查询，能将查询结果导出，能方便地生成毕业证号并打印毕业证书，能将毕业证发放的情况记录到系统中。</w:t>
      </w:r>
    </w:p>
    <w:bookmarkEnd w:id="469"/>
    <w:bookmarkEnd w:id="470"/>
    <w:bookmarkEnd w:id="471"/>
    <w:bookmarkEnd w:id="472"/>
    <w:bookmarkEnd w:id="473"/>
    <w:bookmarkEnd w:id="474"/>
    <w:bookmarkEnd w:id="475"/>
    <w:bookmarkEnd w:id="476"/>
    <w:bookmarkEnd w:id="477"/>
    <w:bookmarkEnd w:id="478"/>
    <w:bookmarkEnd w:id="479"/>
    <w:p>
      <w:pPr>
        <w:pStyle w:val="5"/>
        <w:rPr>
          <w:rFonts w:ascii="宋体" w:hAnsi="宋体" w:cs="宋体"/>
          <w:szCs w:val="32"/>
        </w:rPr>
      </w:pPr>
      <w:r>
        <w:rPr>
          <w:rFonts w:hint="eastAsia" w:ascii="宋体" w:hAnsi="宋体" w:cs="宋体"/>
          <w:szCs w:val="32"/>
          <w:lang w:val="en-US" w:eastAsia="zh-CN"/>
        </w:rPr>
        <w:t>4.1.7</w:t>
      </w:r>
      <w:r>
        <w:rPr>
          <w:rFonts w:hint="eastAsia" w:ascii="宋体" w:hAnsi="宋体" w:cs="宋体"/>
          <w:szCs w:val="32"/>
        </w:rPr>
        <w:t>教务管理系统建设</w:t>
      </w:r>
    </w:p>
    <w:p>
      <w:pPr>
        <w:pStyle w:val="6"/>
      </w:pPr>
      <w:r>
        <w:rPr>
          <w:rFonts w:hint="eastAsia"/>
          <w:lang w:val="en-US" w:eastAsia="zh-CN"/>
        </w:rPr>
        <w:t>4.1.7.1</w:t>
      </w:r>
      <w:r>
        <w:rPr>
          <w:rFonts w:hint="eastAsia"/>
        </w:rPr>
        <w:t>建设目标</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系统管理平台充分利用互联网络B/S管理系统模式，以网络为平台，为学校教务系统的管理提供一个平台，教务管理的主要任务不但包括事务性管理（如课表编排、成绩管理、考试安排等）还包括战略性管理（如培养过程管理、教学质量检查、教学工作评价、教学业绩评价等）。因此，本平台开发的目标是通过现代信息技术整合教务数据、体现现代职业学校教学管理理念、改进教学管理手段、实现教务全生命周期的协同管理。平台要求在管理日常教学事务层面活动的同时还要兼顾教学价值层面的活动，实现教务工作从“事务型”方式向“战略型”方式转变。平台建成后，能使教学管理工作更科学、更规范、更有效地提升学校的教学水平、教学管理水平，并促使教学管理满足学校的战略发展需要。</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系统功能应该包括基础数据管理、教学工作安排、开课计划管理、课表查询、学生学籍管理、考试工作管理、学生成绩管理、教学评价管理、毕业实习管理、教材管理、校历设置、毕业生管理、排课管理和学籍管理。</w:t>
      </w:r>
    </w:p>
    <w:p>
      <w:pPr>
        <w:pStyle w:val="6"/>
      </w:pPr>
      <w:r>
        <w:rPr>
          <w:rFonts w:hint="eastAsia"/>
          <w:lang w:val="en-US" w:eastAsia="zh-CN"/>
        </w:rPr>
        <w:t>4.1.7.2</w:t>
      </w:r>
      <w:r>
        <w:rPr>
          <w:rFonts w:hint="eastAsia"/>
        </w:rPr>
        <w:t>功能要求说明</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1.基础信息管理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教务系统的基础信息，包括专业信息管理、课程分类、课程类型、课程分类明细、课程信息管理、教室信息管理、教室类型管理、班级信息管理、教学楼信息管理，并且可以进行基础信息的维护以及可以自主设置元信息的编码方式和编码标准，如国家标准、校内标准、行业标准、教育部标准四大类基础编码规范。</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 学校信息管理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管理学校的学校信息，可录入学校名称、编号、校区、负责人等信息。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 专业信息管理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管理学校所有的专业信息，可录入专业名称、编号、学制、学科门类、校区等信息。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1.3 课程分类</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管理学校课程分类的信息，可录入分类名称、编号、选课级别等信息。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1.4 课程类型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管理学校课程类型的信息，可录入课程类型名称、编号、是否启用等信息。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1.5 课程分类明细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管理学校课程分类明细的信息，可录入分类明细名称、编号、上级分类等信息。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1.6 课程信息管理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教务工作人员通过该模块来管理课程的基本信息，可录入课程编号、课程名称、校区、专业、周理论学时、学分、每周课时等信息。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在进行信息的录入时，需要进行课程的编号是否重复的检查，如果添加的课程编号重复时系统会对用户进行提示，只有在不重复的情况下才能进行信息的添加。</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根据学校需求可对已添加的课程进行启用/停用的操作，还可对已有课程进行导出。</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1.7 教室类型管理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教务工作人员通过该模块来管理学校所有的教室类型信息，可录入教室类型名称、类型编号、大类等信息。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1.8 教室信息管理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该模块来管理教室的基本信息，可录入教室名称、教师编号、教师类型、校区、教学楼、所在楼层、容纳人数、考试人数是否启用等信息，可对教室信息进行批量导入，还可对已有的教室数据按照字段进行导出。</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1.9 教学楼信息管理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教务工作人员通过该模块来管理教学楼的基本信息，可录入教学楼名称、编号等信息。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1.10 班级信息管理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教务工作人员通过此模块来管理班级的信息，可录入班级名称、班级代码、所在专业、班级类型、年级、学生人数、班主任、是否拆分班等信息，也可直接对班级信息进行导入。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对未分配班主任、辅导员的班级根据需求可进行班主任的分配，以及设置班级类型（考核班级、实习班级或已毕业班级）。</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对已有的班级进行启用、停用的操作，启用后为有效数据，还可对已有的数据按字段进行导出。</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1.11班级考核</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教务工作人员通过此模块来管理班级考核的信息，可录入班级、环境卫生考核、严重违纪考核、宿舍内务考核、行为规范考核等信息，还可对考核信息进行打印。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2.教学工作安排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教学工作时间的安排，可以自主设置工作内容和时间节点，包括学生注册、在校生应收费录入、教学计划录入、开课计划录入、各系教学工作、填写学籍卡、选课、成绩录入、重考成绩录入、网上评教提交等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3.排课/排考管理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为方便管理员进行课程、老师、时间、地点的安排，系统支持多种排课模式，包括：自动排课、手动排课、单任务排课、多任务排课、批量排课。排课界面采用单周课表、单双周课表和时间段课表三种样式，保证用户的易用性和界面的美观性。</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课表编排原则是先排学科基础必修课，后排专业必修课与专业选修课。由教务处与相关单位共同协商编排。基础必修课由教务处统一编排，专业必修课与专业选修课由各教学单位在基础课排完后安排。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3.1 排课参数设置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排课参数设置是排课系统的排课条件管理，可以让系统排出来的课表更能满足使用者实际的使用需要。包括主要的课表时间设置、排课类别设置、课表结构设置等等。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3.2 系统设置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系统设置是对排课系统中基础信息的管理。 </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3.3基础数据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基于统一身份认证之后排课系统跟智慧校园系统数据同步，获取智慧校园的基础数据包括学校管理、学期管理、专业管理、教室管理、班级管理、教师管理和课程管理，保证数据的一致和完整性。</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3.4 课程结构&amp;开课计划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课表结构管理是对不同课程表样式的管理，管理员可以自主设计与自己学校想匹配的课程表样式，比如周一到周五每天六节课两自习的正常课表；周一到周六每天八节课两自习的周六课表以及只有周六周日有课的周末课表等等都可以自主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 课表生成结构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员自主设计课表结构，设置周课表的上课天数、每天上课的节次、每节课的上课开始时间和结束时间等等。管理员也可以设置多个课表结构，根据不同的学期或者不同的教研组使用不同的课表结构，达到更好的使用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(2) 课表样式结构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课表样式结构是对课表样式的设置，包括单周课表、单双周课表、时间段课表等等。单周课表是指自动或手动排课的时候，只需要排好一周的课表，以后每周的课表都系统自动生成跟这一周一样的课表；单双周课表是指每个单周的课表和每个双周的课表是一致的，但是单周和双周的课表是不一样的；时间段课表是指在某个时间点之前是一种课表，在这个时间点之后又是另外一张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 教学计划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管理系统中的教学计划任务，教学计划可以按照学校现有模板信息进行导入数据，也可以收到录入教学计划。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 专业开课计划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管理系统中的专业开课计划任务，系统可以根据教学计划生成相应的专业开课计划，专业根据不同的权限可以制定各专业不同的专业开课计划。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 班级开课计划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班级开课计划是排课系统的直接数据支撑，可以用专业开课计划直接生成班级开课计划，为了排课数据的更准确性也可以手动修改自动生成的班级开课计划，设置好班级开课计划后系统就可以自动或手动进行排课阶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 合班组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合班组信息是管理系统中的所有合班课信息，用户选定需要合班的课程后可以灵活的设置哪个班跟哪个班或者更多的班级进行生成合班组，系统支持多班级合班上课，既支持同专业的合班也支持不同专业的合班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3.5 排课管理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排课管理是排课系统的核心功能，包括系统的自动排课和手动排课以及课表统计分析管理。课程排完之后，可以通过校园网发布有关排课安排信息，教师、学生可在线进行查询和打印课表。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 自动排课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系统依据排课参数，设置自动排课课程、排课教室、排课老师、排课班级、设置排课规则与约束，有些硬性约束是自动排课时绝对不会违背的规则；软性约束是在排课时尽可能不违背的规则。根据系统设置的各种规则实现课表的自动排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(2) 手动排课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手动排课主要是协助自动排课而存在的，根据各个学校课程的不同和特殊性，自动排课是不能满足各个学校的所有排课的，只能满足百分之八十或者九十，剩余的百分之十或二十就需要借助手动排课来完善课表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手动排课是以班级为单位的，根据班级开课计划选择班级对应课程、代课老师、授课场所从而手动安排到需要开课的时间段内的课表中，当然也可以进行手动的调课、加课和删课。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 统计管理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排课统计管理包括教室使用统计（教室名称）、教室使用统计（教室类型）、教师任务分配表、教师任（职）课情况一览表等，教室使用统计的课表导出功能。</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3.6 课表管理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管理系统中的所有课表信息，包括学校大课表、专业课表、班级课表和教师课表。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学校课表：可用来查看和打印学校课表；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专业课表：可用来查看和打印每个专业的课表；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年级课表：可用来查看和打印每个年级的课表；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班级课表：可用来查看和打印所有班级的课表；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教师课表：可以查看和打印每个老师的个人课表；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教室课表：可以查看和打印每个教室的课表。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3.7 数据统计</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可根据学校、学期查看该学年教室使用统计（教室名称）、教室使用统计（教室类型）、教师任务分配表、教师任（职）课情况一览表等信息。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3.8 排考管理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考管理主要是对期中考试、期末考试、补考重修考试的安排，设置有关排考规则后，可采用智能自动安排或手工辅助安排方式，简便快捷、科学合理地完成考试安排，并通过校园网发布有关考试安排信息，教师、学生可在线进行查询考试安排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 必修/选修排考</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系统智能的把相同考试内容（相同课程）的考试安排在同一个时间点上考试，并能人工辅助的调整考试安排信息，能提供各种考试信息查询统计功能，如：按考生考场安排查询、主考监考查询、考试内容安排查询、准考证打印、考务分析统计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(2) 班级/教师排考课表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对班级排考课表和教师排考课表的管理，排考结束后系统可以自动生成班级和教师的排考课表，并且可以导出排考课表，教务处审核后发布排考信息、调整排考结果。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3.9 排课数据同步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排课系统与数字化智慧校园数据对接，排好的课表，点击当前学期排课数据同步按钮，进行各个数据的同步的功能，保证整个系统中数据的一致性。</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3.10 调整教师课表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排课结束后，如果由于一些原因上课的时间、地点或教师需要进行调整时，可以对教师课表进行修改调整，通过网上申请和审核的功能。由任课教师在网上提交调停课申请，各级管理人员审核审批后生效，教师调课审批流程步骤可以由系统管理员设置；调停课申请审核通过后，系统自动更新相关联的教师、学生的课表。教师停课后，可以申请补课功能。</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4.学生学籍管理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主要管理学生的学籍档案信息，学生学籍信息主要包括学籍信息注册维护、学籍卡打印、学籍异动查询及维护、学生证打印和留降级管理等功能。</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4.1 学籍信息注册维护</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籍基本信息的注册和维护功能，主要包括：学生基本信息（学号、姓名、性别、民族、政治面貌、出生日期、籍贯、联系电话、通信地址、入学年份、专业、班级、照片等等），学生个人简历，家庭成员信息，奖励处分情况，异动信息，注册信息等。可以新增、修改、删除、导入和导出学籍基本信息，可以按照多个组合字段对学籍信息进行综合查询，并且可以导出打印查询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4.2 学籍卡打印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管理学生学籍卡信息，并且可以对学生学籍卡信息进行查询、录入、修改、删除和打印操作。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4.3 学籍异动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籍异动是学生学籍上的非程序化变动，主要包括休学、复学、退学、转专业、转学（转入及转出）、专升本、保留入学资格、提前毕业、延期毕业、留级、降级、旁听等。学籍异动后不会影响学生异动之前在系统中产生的其他数据信息，并且可以根据实际需要自定义扩展学籍异动的类型，能设置异动申请审核的流程。学籍异动既可由学籍管理人员直接进行学籍异动操作，也可按照异动流程由学生提交异动申请进行各级审批处理后完成异动。提供学籍异动情况的查询统计报表。学籍异动后，系统会针对一些关联模块进行相应的异动联动处理，包括：异动后的成绩处理、异动后选课处理、异动后考试安排的处理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4.4 学生证打印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管理学生的学生证信息，可对学生证信息进行打印，还可以对学生证信息进行修改、删除操作。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5.学生成绩管理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工作人员通过该模块来进行学生成绩的管理，在进行学生成绩的录入时，可用它来为学生设置所在班级的课程表来直接输入成绩成绩管理包括成绩录入参数设置、学生成绩录入、班级成绩初始化、教师成绩单提交、成绩录入监控、学生成绩查询、学生成绩打印、成绩单管理、学生成绩审核、学生学分管理和成绩数据管理等功能。</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 成绩比例设置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由于不同的课程的成绩要求不同，系统可根据实际情况设置成绩的全局参数，包括最终成绩来源、成绩组成成分、成绩占比设置等。并且教务处可以统一设置成绩录入的开关、允许录入成绩的时间范围，教师在时间范围内进行成绩录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5.2 全校成绩录入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由任课教师、教务秘书与教务处成绩管理人员，根据个人账号密码登录系统后根据不同的操作权限便捷的完成学生成绩的录入与审核。并且支持在线手动成绩录入和批量导入两种成绩录入方式，能灵活设置课程总成绩的组成项目（如：平时成绩+期末成绩，其中成绩+作业成绩+期末成绩等等），并能设置各项目所占总成绩的百分比功能。任课老师在第一次录入成绩保存后还可以进行修改和调整，修改调整完确认成绩无误后可以提交成绩到教务处，成绩提交后就不能进行修改和调整操作了，如果还需要修改的话就需要联系教务处成绩管理员进行修改。</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5.3 班级成绩初始化</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每学期各班学生在录入情况前，需将上个学期的班级成绩录入初始化。选中需进行初始化的班级，点击班级学生成绩录入初始化按钮，上学期的班级成绩就会保存到系统成绩库中，并且生成该班级这学期的成绩录入页面，供代课老师录入该班级本学期学生成绩。</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5.4教师成绩单提交</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每一学年学期代课老师电子成绩单与纸质成绩单是否提交记录的管理，记录代课老师成绩录入并且提交后的电子成绩提交状态和打印出纸质成绩单提交给教务处的纸质成绩单提交状态。方便教务处管理代课老师的成绩录入情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5.5 成绩录入监控</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主要监控学年学期学成成绩录入的情况。选择学年学期，可以查看该学年学期中各门课程代课老师成绩录入的详细情况，如：学生名称、科目、成绩、录入时间、录入教师等信息。教务处管理成绩人员可进行点击强制提交按钮进行录入状态的修改。</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 xml:space="preserve">5.6 学生成绩查询 </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查询学生成绩功能。根据条件进行选择，然后选择学年、学期、课程、系别、专业、班级进行学生成绩查询管理，当然我也可以只按照学年查询、学期查询或者只按照课程查。也就是可以多属性级联查询也可以按照单个属性进行查询。</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5.7 学生学分查看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管理学生的学分信息，可以根据条件对单个学生或者一个班的学分进行查看，教务处管理人员可以对学生学分进行修改、删除和导出等功能操作。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5.8 成绩统计分析</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成绩统计分析管理功能，包括多维度、多粒度统计及分析；具有丰富的成绩查询条件字段，并能按各种组合条件进行成绩查询。提供多种多样的成绩统计报表，如：学生个人成绩单、班级成绩单、专业成绩单、课程成绩单、不及格门数统计、学分绩点统计、成绩通知单、不及格课程统计、不及格学生名单、缓考情况统计、课程平均分统计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5.9成绩数据管理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系统所有学生成绩数据的管理。教务处成绩管理员可以对学生成绩进行查询、编辑、修改、删除和导出等功能操作。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5.10 成绩录入初始化</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在学期成绩录入前，对本学期所有成绩录入设置的初始化。选择对应的学年、学期，然后点击期末成绩录入前初始化功能即可实现。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5.11 学生成绩打印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支持学生自助打印成绩单，当然教务处成绩管理员也是可以打印学生成绩的。学生个人成绩单打印提供两种格式当前学期成绩和全部成绩，在成绩打印的时候，如果有补考或重修及格的成绩都会在成绩单中显示及格分数线最低分同时标注出该成绩是补考或重修。而教务处成绩管理员是可以按照选择打印教研组成绩、班级成绩、课程成绩或者个人成绩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5.12 考试成绩同步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如果对接考试系统后可以让学生进行在线考试，该功能可以将在线考试的成绩直接对接到智慧校园系统中来。并且可以对在线考试成绩进行查询、修改和删除等操作。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5.13 学生成绩审核</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成绩审核与去审核的权限功能，可以自定义成绩审核流程，任课教师录入完成绩后，需要提交送审，由各级教务人员进行审批，审批通过后，成绩才能生效并发布。教务处成绩管理人员可撤销去审核已经审核通过的成绩。</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5.14 全院班级成绩查看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查看全院班级成绩信息，也可进行选择性的导出、打印。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5.15 学生成绩单管理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管理学校所有学生的成绩单信息，可以按照不同情况进行打印、导出班级成绩单、导出专业成绩单、导出学期成绩单。教务处成绩管理员可以对学生成绩进行查询、删除和导出等功能操作。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6.学生补考管理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主要管理学生的补考信息，教务处补课管理员可以手动查看、删除补考学生记录，所有补考学生名单生成过程中，需要验证学生的学籍状态，只有在校学生才会自动加入补考学生列表中，例如休息、退学、转学等类型的学生在补考学生名单里边就不会体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6.1 补考名单查看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成绩录入结束后，系统自动生成补考学生名单，对应权限的老师可以查询补考学生信息，并且可以导出或打印查询结果。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6.2 补考成绩录入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补考结束后代课老师可以录入学生的补考成绩，教务处管理补考的老师可以设置补考成绩录入时间。任课老师在第一次录入成绩保存后还可以进行修改和调整，修改调整完确认成绩无误后可以提交成绩到教务处，成绩提交后就不能进行修改和调整操作了，如果还需要修改的话就需要联系教务处成绩管理员进行修改。</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6.3 补考成绩打印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支持学生自助打印补考成绩单，当然教务处成绩管理员也是可以打印学生成绩的。学生个人成绩单打印提供两种格式当前学期成绩和全部成绩，在成绩打印的时候，如果有补考或重修及格的成绩都会在成绩单中显示及格分数线最低分同时标注出该成绩是补考或重修。而教务处成绩管理员是可以按照选择打印教研组成绩、班级成绩、课程成绩或者个人成绩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7.二次补考管理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主要管理学生的二次补考信息，教务处补考管理员可以手动查看、删除补考学生记录，所有补考学生名单生成过程中，需要验证学生的学籍状态，只有在校学生才会自动加入补考学生列表中，例如休息、退学、转学等类型的学生在补考学生名单里边就不会体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7.1 二次补考名单查看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补考成绩录入结束后，系统自动生成需要二次补考学生名单，对应权限的老师可以查询二次补考学生信息，并且可以导出或打印查询结果。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7.2 补考成绩录入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二次补考成绩的管理，可以录入二次补考成绩。任课老师在第一次录入二次补考成绩保存后还可以进行修改和调整，修改调整完确认成绩无误后可以提交成绩到教务处，成绩提交后就不能进行修改和调整操作了，如果还需要修改的话就需要联系教务处成绩管理员进行修改。</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7.3 二次补考成绩打印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二次补考成绩单打印功能。</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8.教学评价管理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能灵活设置评价课程类别、评价主体、评价建议。能控制各类评价活动的起止时间，指定督导评价（领导评价）的参评人员，提供控制教师查看评估结果的开关参数；可通过二级权限配置，实现院系单独组织评教活动；对未参与评教的学生，可设置取消其选课、成绩查询的权限，促使其积极参加评教；系统对于学生提交的评价数据进行检验，对于各项评价指标未全部打分不允许学生提交，对于评价选项全选“优”或全选“差”的情况默认不能提交（可设置开关参数），并弹出相关提示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8.1 学生反馈信息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学生端评教结构的管理，可以反映学生对老师的评教结果。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8.2 评教结果统计</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统计各种评教数据，包括学生评老师、老师评老师等等，并且可以用多种统计图表的方式图文并茂的展现出来。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9.毕业学生管理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支持学生毕业信息导出功能，格式需要采用dbf的格式：（考生号、姓名、性别、毕业结论、入学日期、培养层次、学制、专业（校外专业名称）、校长名、学校名称）。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9.1 毕业资格审查</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对学生是否符合毕业的信息统计。通过查看学生总的不及格数、必修和选修学分、总学分的等信息对学生能否毕业进行设置。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9.2 毕业统计报表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对可毕业学生信息的统计查看，具体查看各个系、专业、班级的毕业学生统计。</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9.3 毕业证号生成</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对毕业班级生成毕业证号的生成。</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9.4 毕业学生归档</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可查看各个系、专业、班级的毕业学生统计。</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9.5 已毕业生管理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毕业生信息管理，包括毕业生名单管理（转入、转出、替换、清空、列选、报表、查找、查询、组查、存盘、打开、统计、排序；增加记录、插入记录、数据合法性校验、数据校验标准等。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10.选修课管理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主要管理学生的选修课信息，学生选修课信息主要包括选合班设置、选修课课程管理、学生选修课情况、选修课预选、学生选课情况预选和选修课课程异动。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10.1 选修合班设置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将排课系统中选修课程与数字化校园数据对接，排好的课表，点击当前学期排课数据同步按钮，进行各个数据的同步，如有误差，可点击清空当前学期选修排课数据。</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10.2 选修课课程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关于当前学期选修课课程选修专业的添加，选修人数的设置与选修学生的审核、查看已审的学生。</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10.3 学生选课情况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管理学生选课情况，教务处管理选课的老师可以查看到学生的选课情况并且可以对选课学生进行审核操作。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10.4 选修课课程（预选）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设置选修课程的预选模式。</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10.5 学生选课情况（预选）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管理学生选课情况，教务处管理选课的老师可以查看到学生的预选选课情况以此可以推断出那些选修课课程受学生欢迎，从而定制所开选修课程的班级数和人数等。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10.6 选修课课程异动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选修课课程异动管理，教务处管理选修课的老师对选好课的学生的操作。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11.学生奖惩管理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学生奖惩管理主要包括学生奖励管理、学生处罚管理、学生奖励统计和学生处罚统计。</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11.1学生奖励管理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管理学生的奖励信息，列表展示学生学号、姓名、奖励学年、学期、奖励原因、奖励日期等信息，可录入学生奖励信息，也可将学生的奖励信息导出到excel。</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11.2学生处分管理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管理学生的处分信息，包括学生学号、姓名、处分学年、学期、处分原因、处分日期与处分文号等信息，可录入学生处分信息，可将学生的处分信息导出到excel。</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12.教材管理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教务系统要帮助学校建立一个教材信息库，并支持教材科对教材库信息进行维护。教师可以在线填写教材、添加申请单，可以为自己授课课程指定教材，教师、学生可以在线订购教材，管理员可以统计教材订单</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12.1 教材信息。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可以导入或录入各种教材信息。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12.2 教材使用计划。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可依据开课计划中学生数量和教师数量确定教材的种类与数量，自动生成教材使用计划。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12.3 教材订单。</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根据教材使用计划和现有库存量，生成并导出教材订单。</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12.4 教材入库。</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将采购回来的教材入库，自动盘点。</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12.5 教材出库。</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根据学年学期的开课课程，记录教师领用情况和学生领用情况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12.6 教材费报表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提供多种查询、统计功能。主要包括：各班教材费汇总统计表，学生个人教材费统计等。</w:t>
      </w:r>
    </w:p>
    <w:bookmarkEnd w:id="480"/>
    <w:bookmarkEnd w:id="481"/>
    <w:bookmarkEnd w:id="482"/>
    <w:bookmarkEnd w:id="483"/>
    <w:p>
      <w:pPr>
        <w:pStyle w:val="5"/>
        <w:rPr>
          <w:rFonts w:ascii="宋体" w:hAnsi="宋体" w:cs="宋体"/>
          <w:szCs w:val="32"/>
        </w:rPr>
      </w:pPr>
      <w:r>
        <w:rPr>
          <w:rFonts w:hint="eastAsia" w:ascii="宋体" w:hAnsi="宋体" w:cs="宋体"/>
          <w:szCs w:val="32"/>
          <w:lang w:val="en-US" w:eastAsia="zh-CN"/>
        </w:rPr>
        <w:t>4.1.8</w:t>
      </w:r>
      <w:r>
        <w:rPr>
          <w:rFonts w:hint="eastAsia" w:ascii="宋体" w:hAnsi="宋体" w:cs="宋体"/>
          <w:szCs w:val="32"/>
        </w:rPr>
        <w:t>学子在线系统建设</w:t>
      </w:r>
    </w:p>
    <w:p>
      <w:pPr>
        <w:pStyle w:val="6"/>
      </w:pPr>
      <w:r>
        <w:rPr>
          <w:rFonts w:hint="eastAsia"/>
          <w:lang w:val="en-US" w:eastAsia="zh-CN"/>
        </w:rPr>
        <w:t>4.1.8.1</w:t>
      </w:r>
      <w:r>
        <w:rPr>
          <w:rFonts w:hint="eastAsia"/>
        </w:rPr>
        <w:t>建设目标</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学子在线是学生端独有功能，学生根据用户名密码登录系统后，可以查看个人学籍信息、个人课表、个人成绩、出勤情况，也可以修改自己的个人信息，并且可以对自己的代课老师进行网上评教等。</w:t>
      </w:r>
    </w:p>
    <w:p>
      <w:pPr>
        <w:pStyle w:val="6"/>
      </w:pPr>
      <w:r>
        <w:rPr>
          <w:rFonts w:hint="eastAsia"/>
          <w:lang w:val="en-US" w:eastAsia="zh-CN"/>
        </w:rPr>
        <w:t>4.1.8.2</w:t>
      </w:r>
      <w:r>
        <w:rPr>
          <w:rFonts w:hint="eastAsia"/>
        </w:rPr>
        <w:t>功能要求说明</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1.学籍信息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展示当前登录学生的学籍信息，并且可以进行学籍信息修改完善，修改提交后，管理员老师拥有审核权限，防止学生学籍信息录入有误。</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2.个人课表</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显示当前学生用户的课表信息，可选择学年、学期、具体的时间进行查看，也可进行课表的打印。</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3.个人成绩</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显示当前登录用户的个人成绩信息，可选择学年、学期查看自己的各科成绩，还可对自己的成绩进行导出、打印操作。</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4.出勤情况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学生可在“出勤清单”模块对应当前学年，各个课程的上课日期，上课节数，是否到课，考勤类别等信息查看。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5.网上评教</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学生可以对自己的代课老师和班主任进行网上评教，评教按分数制对老师进行打分，对已经评教过的老师和未评教的老师用不同颜色显示，便于学生对已评教师和未评教师的区分。</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6.考试安排</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可显示当前登录用户的考试安排情况，根据时间可进行节次、星期考试安排表的查看。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7.量表考核</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可以针对学生的评价数据和成绩数据，以及综合评定数据，量化考核学生的综合水平能力，对学生进行量表的相关考核，并进行相关考核评定。可根据标题、编号查看考核的答题情况。</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8.投诉中心</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学生可在该模块下进行匿名投诉，可通过新增进行投诉，对新增的投诉进行编辑或删除，投诉提交后，管理员老师进行回复后，可在回复情况处进行查看。</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9.选课中心</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选课中心主要管理学校的选修课程信息和个人的选修课。</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选修课选课：学校开放选修课报名时间后，学校所有的选修课课程都可在选修课选课中显示，学生在规定时间内进行选修课的报名或取消报名；</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我的选修课：学生选修课报名后，所选的课程都会在我的选修课中显示，可查看该课程是否报名成功，失败的原因，成功后该课程具体的代课教师，教室，开始周，结束周、课程信息、教师信息等。</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10.新生在线咨询</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新生可在此对学校的一些问题进行咨询，管理员老师看见该问题后会予以回复。</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11.新生信息完善</w:t>
      </w:r>
    </w:p>
    <w:p>
      <w:pPr>
        <w:widowControl/>
        <w:spacing w:line="360" w:lineRule="auto"/>
        <w:ind w:firstLine="480"/>
        <w:rPr>
          <w:rFonts w:ascii="宋体" w:hAnsi="宋体" w:cs="宋体"/>
          <w:color w:val="000000"/>
          <w:sz w:val="24"/>
          <w:szCs w:val="24"/>
        </w:rPr>
      </w:pPr>
      <w:r>
        <w:rPr>
          <w:rFonts w:hint="eastAsia" w:ascii="宋体" w:hAnsi="宋体" w:cs="宋体"/>
          <w:color w:val="000000"/>
          <w:sz w:val="24"/>
          <w:szCs w:val="24"/>
        </w:rPr>
        <w:t>新生在此处完善自己的基础信息。</w:t>
      </w:r>
    </w:p>
    <w:p>
      <w:pPr>
        <w:rPr>
          <w:rFonts w:ascii="宋体" w:hAnsi="宋体" w:cs="宋体"/>
          <w:sz w:val="24"/>
          <w:szCs w:val="24"/>
        </w:rPr>
      </w:pPr>
    </w:p>
    <w:p>
      <w:pPr>
        <w:pStyle w:val="14"/>
        <w:rPr>
          <w:rFonts w:hAnsi="宋体" w:cs="宋体"/>
          <w:sz w:val="24"/>
          <w:szCs w:val="24"/>
        </w:rPr>
      </w:pPr>
    </w:p>
    <w:p>
      <w:pPr>
        <w:pStyle w:val="14"/>
        <w:rPr>
          <w:rFonts w:hAnsi="宋体" w:cs="宋体"/>
          <w:sz w:val="24"/>
          <w:szCs w:val="24"/>
        </w:rPr>
      </w:pPr>
    </w:p>
    <w:p>
      <w:pPr>
        <w:pStyle w:val="4"/>
        <w:rPr>
          <w:rFonts w:ascii="宋体" w:hAnsi="宋体" w:eastAsia="宋体" w:cs="宋体"/>
          <w:b/>
          <w:bCs w:val="0"/>
          <w:sz w:val="32"/>
          <w:szCs w:val="36"/>
        </w:rPr>
      </w:pPr>
      <w:r>
        <w:rPr>
          <w:rFonts w:hint="eastAsia" w:ascii="宋体" w:hAnsi="宋体" w:eastAsia="宋体" w:cs="宋体"/>
          <w:b/>
          <w:bCs w:val="0"/>
          <w:sz w:val="32"/>
          <w:szCs w:val="36"/>
          <w:lang w:val="en-US" w:eastAsia="zh-CN"/>
        </w:rPr>
        <w:t>4.2</w:t>
      </w:r>
      <w:r>
        <w:rPr>
          <w:rFonts w:hint="eastAsia" w:ascii="宋体" w:hAnsi="宋体" w:eastAsia="宋体" w:cs="宋体"/>
          <w:b/>
          <w:bCs w:val="0"/>
          <w:sz w:val="32"/>
          <w:szCs w:val="36"/>
        </w:rPr>
        <w:t>教育诊断改进平台</w:t>
      </w:r>
    </w:p>
    <w:p>
      <w:pPr>
        <w:pStyle w:val="5"/>
        <w:rPr>
          <w:rFonts w:ascii="宋体" w:hAnsi="宋体" w:cs="宋体"/>
          <w:szCs w:val="32"/>
        </w:rPr>
      </w:pPr>
      <w:r>
        <w:rPr>
          <w:rFonts w:hint="eastAsia" w:ascii="宋体" w:hAnsi="宋体" w:cs="宋体"/>
          <w:szCs w:val="32"/>
          <w:lang w:val="en-US" w:eastAsia="zh-CN"/>
        </w:rPr>
        <w:t>4.2.1</w:t>
      </w:r>
      <w:r>
        <w:rPr>
          <w:rFonts w:hint="eastAsia" w:ascii="宋体" w:hAnsi="宋体" w:cs="宋体"/>
          <w:szCs w:val="32"/>
        </w:rPr>
        <w:t>整体要求</w:t>
      </w:r>
    </w:p>
    <w:p>
      <w:pPr>
        <w:spacing w:line="360" w:lineRule="auto"/>
        <w:ind w:firstLine="420"/>
        <w:rPr>
          <w:rFonts w:ascii="宋体" w:hAnsi="宋体" w:cs="宋体"/>
          <w:sz w:val="24"/>
          <w:szCs w:val="24"/>
        </w:rPr>
      </w:pPr>
      <w:r>
        <w:rPr>
          <w:rFonts w:hint="eastAsia" w:ascii="宋体" w:hAnsi="宋体" w:cs="宋体"/>
          <w:sz w:val="24"/>
          <w:szCs w:val="24"/>
        </w:rPr>
        <w:t>1、支持与学校的基础支撑平台进行对接。</w:t>
      </w:r>
    </w:p>
    <w:p>
      <w:pPr>
        <w:spacing w:line="360" w:lineRule="auto"/>
        <w:ind w:firstLine="420"/>
        <w:rPr>
          <w:rFonts w:ascii="宋体" w:hAnsi="宋体" w:cs="宋体"/>
          <w:sz w:val="24"/>
          <w:szCs w:val="24"/>
        </w:rPr>
      </w:pPr>
      <w:r>
        <w:rPr>
          <w:rFonts w:hint="eastAsia" w:ascii="宋体" w:hAnsi="宋体" w:cs="宋体"/>
          <w:sz w:val="24"/>
          <w:szCs w:val="24"/>
        </w:rPr>
        <w:t>2、最终交付学校的系统需要向校方开放接口（可签保密协议），方便学校自行二次开发和功能完善，系统的平台账号、数据库账号等必须对校方公开。</w:t>
      </w:r>
    </w:p>
    <w:p>
      <w:pPr>
        <w:spacing w:line="360" w:lineRule="auto"/>
        <w:ind w:firstLine="420"/>
        <w:rPr>
          <w:rFonts w:ascii="宋体" w:hAnsi="宋体" w:cs="宋体"/>
          <w:sz w:val="24"/>
          <w:szCs w:val="24"/>
        </w:rPr>
      </w:pPr>
      <w:r>
        <w:rPr>
          <w:rFonts w:hint="eastAsia" w:ascii="宋体" w:hAnsi="宋体" w:cs="宋体"/>
          <w:sz w:val="24"/>
          <w:szCs w:val="24"/>
        </w:rPr>
        <w:t>3、强大的交互性，能够实现跨维度的任意钻取，可以对于数据进行切片和多粒度的聚合，且提供丰富强劲的图形引擎。</w:t>
      </w:r>
    </w:p>
    <w:p>
      <w:pPr>
        <w:spacing w:line="360" w:lineRule="auto"/>
        <w:ind w:firstLine="420"/>
        <w:rPr>
          <w:rFonts w:ascii="宋体" w:hAnsi="宋体" w:cs="宋体"/>
          <w:sz w:val="24"/>
          <w:szCs w:val="24"/>
        </w:rPr>
      </w:pPr>
      <w:r>
        <w:rPr>
          <w:rFonts w:hint="eastAsia" w:ascii="宋体" w:hAnsi="宋体" w:cs="宋体"/>
          <w:sz w:val="24"/>
          <w:szCs w:val="24"/>
        </w:rPr>
        <w:t>4、要求采用B/S结构，可运行于Unix、Linux、windows等高安全性操作系统。</w:t>
      </w:r>
    </w:p>
    <w:p>
      <w:pPr>
        <w:spacing w:line="360" w:lineRule="auto"/>
        <w:ind w:firstLine="420"/>
        <w:rPr>
          <w:rFonts w:ascii="宋体" w:hAnsi="宋体" w:cs="宋体"/>
          <w:sz w:val="24"/>
          <w:szCs w:val="24"/>
        </w:rPr>
      </w:pPr>
      <w:r>
        <w:rPr>
          <w:rFonts w:hint="eastAsia" w:ascii="宋体" w:hAnsi="宋体" w:cs="宋体"/>
          <w:sz w:val="24"/>
          <w:szCs w:val="24"/>
        </w:rPr>
        <w:t>5、采用面向对象的组件技术，着重于开发构成应用程序“业务对象”的可重复使用的组件，利用这些组件顺利地建立分布式应用程序。</w:t>
      </w:r>
    </w:p>
    <w:p>
      <w:pPr>
        <w:spacing w:line="360" w:lineRule="auto"/>
        <w:ind w:firstLine="420"/>
        <w:rPr>
          <w:rFonts w:ascii="宋体" w:hAnsi="宋体" w:cs="宋体"/>
          <w:sz w:val="24"/>
          <w:szCs w:val="24"/>
        </w:rPr>
      </w:pPr>
      <w:r>
        <w:rPr>
          <w:rFonts w:hint="eastAsia" w:ascii="宋体" w:hAnsi="宋体" w:cs="宋体"/>
          <w:sz w:val="24"/>
          <w:szCs w:val="24"/>
        </w:rPr>
        <w:t>6、应用程序开发与运行结构要基于统一的技术开发平台的三层架构，即Web服务器、应用支撑服务器和数据库服务器。</w:t>
      </w:r>
    </w:p>
    <w:p>
      <w:pPr>
        <w:spacing w:line="360" w:lineRule="auto"/>
        <w:ind w:firstLine="420"/>
        <w:rPr>
          <w:rFonts w:ascii="宋体" w:hAnsi="宋体" w:cs="宋体"/>
          <w:sz w:val="24"/>
          <w:szCs w:val="24"/>
        </w:rPr>
      </w:pPr>
      <w:r>
        <w:rPr>
          <w:rFonts w:hint="eastAsia" w:ascii="宋体" w:hAnsi="宋体" w:cs="宋体"/>
          <w:sz w:val="24"/>
          <w:szCs w:val="24"/>
        </w:rPr>
        <w:t>7、系统拥有丰富的页面自定义功能。</w:t>
      </w:r>
    </w:p>
    <w:p>
      <w:pPr>
        <w:spacing w:line="360" w:lineRule="auto"/>
        <w:ind w:firstLine="420"/>
        <w:rPr>
          <w:rFonts w:ascii="宋体" w:hAnsi="宋体" w:cs="宋体"/>
          <w:sz w:val="24"/>
          <w:szCs w:val="24"/>
        </w:rPr>
      </w:pPr>
      <w:r>
        <w:rPr>
          <w:rFonts w:hint="eastAsia" w:ascii="宋体" w:hAnsi="宋体" w:cs="宋体"/>
          <w:sz w:val="24"/>
          <w:szCs w:val="24"/>
        </w:rPr>
        <w:t>8、支持固定指标的统计与分析外，系统还支持用户根据现有数据结构定义指标的构成及计算公式。</w:t>
      </w:r>
    </w:p>
    <w:p>
      <w:pPr>
        <w:spacing w:line="360" w:lineRule="auto"/>
        <w:ind w:firstLine="420"/>
        <w:rPr>
          <w:rFonts w:ascii="宋体" w:hAnsi="宋体" w:cs="宋体"/>
          <w:sz w:val="24"/>
          <w:szCs w:val="24"/>
        </w:rPr>
      </w:pPr>
      <w:r>
        <w:rPr>
          <w:rFonts w:hint="eastAsia" w:ascii="宋体" w:hAnsi="宋体" w:cs="宋体"/>
          <w:sz w:val="24"/>
          <w:szCs w:val="24"/>
        </w:rPr>
        <w:t>9、系统数据来源多样化，用户可以通过Excel或者数据库的方式导入基础数据。</w:t>
      </w:r>
    </w:p>
    <w:p>
      <w:pPr>
        <w:pStyle w:val="5"/>
        <w:spacing w:line="360" w:lineRule="auto"/>
        <w:rPr>
          <w:rFonts w:ascii="宋体" w:hAnsi="宋体" w:cs="宋体"/>
          <w:szCs w:val="32"/>
        </w:rPr>
      </w:pPr>
      <w:r>
        <w:rPr>
          <w:rFonts w:hint="eastAsia" w:ascii="宋体" w:hAnsi="宋体" w:cs="宋体"/>
          <w:szCs w:val="32"/>
          <w:lang w:val="en-US" w:eastAsia="zh-CN"/>
        </w:rPr>
        <w:t>4.2.2</w:t>
      </w:r>
      <w:r>
        <w:rPr>
          <w:rFonts w:hint="eastAsia" w:ascii="宋体" w:hAnsi="宋体" w:cs="宋体"/>
          <w:szCs w:val="32"/>
        </w:rPr>
        <w:t>业务要求</w:t>
      </w:r>
    </w:p>
    <w:p>
      <w:pPr>
        <w:spacing w:line="360" w:lineRule="auto"/>
        <w:ind w:firstLine="420"/>
        <w:rPr>
          <w:rFonts w:ascii="宋体" w:hAnsi="宋体" w:cs="宋体"/>
          <w:sz w:val="24"/>
          <w:szCs w:val="24"/>
        </w:rPr>
      </w:pPr>
      <w:r>
        <w:rPr>
          <w:rFonts w:hint="eastAsia" w:ascii="宋体" w:hAnsi="宋体" w:cs="宋体"/>
          <w:sz w:val="24"/>
          <w:szCs w:val="24"/>
        </w:rPr>
        <w:t>1）目标标准自定义，提供模版供用户参考，支持指标质控点自定义设计</w:t>
      </w:r>
    </w:p>
    <w:p>
      <w:pPr>
        <w:spacing w:line="360" w:lineRule="auto"/>
        <w:ind w:firstLine="420"/>
        <w:rPr>
          <w:rFonts w:ascii="宋体" w:hAnsi="宋体" w:cs="宋体"/>
          <w:sz w:val="24"/>
          <w:szCs w:val="24"/>
        </w:rPr>
      </w:pPr>
      <w:r>
        <w:rPr>
          <w:rFonts w:hint="eastAsia" w:ascii="宋体" w:hAnsi="宋体" w:cs="宋体"/>
          <w:sz w:val="24"/>
          <w:szCs w:val="24"/>
        </w:rPr>
        <w:t>标准与目标可设计，用户也可根据学校特点可自定义学校自有的诊改标准。</w:t>
      </w:r>
    </w:p>
    <w:p>
      <w:pPr>
        <w:spacing w:line="360" w:lineRule="auto"/>
        <w:ind w:firstLine="420"/>
        <w:rPr>
          <w:rFonts w:ascii="宋体" w:hAnsi="宋体" w:cs="宋体"/>
          <w:sz w:val="24"/>
          <w:szCs w:val="24"/>
        </w:rPr>
      </w:pPr>
      <w:r>
        <w:rPr>
          <w:rFonts w:hint="eastAsia" w:ascii="宋体" w:hAnsi="宋体" w:cs="宋体"/>
          <w:sz w:val="24"/>
          <w:szCs w:val="24"/>
        </w:rPr>
        <w:t>系统在设计指标体系上基于诊改“五纵五横一平台”与“8字螺旋质量改进”的基础理念，在五个层面上（学校、专业、课程、教师、学生）以及各个级别上（校级、院系级、部门级、教师级、专业级、课程级、学生级、辅导员级、教辅人员等）进行诊断指标质控点设计。</w:t>
      </w:r>
    </w:p>
    <w:p>
      <w:pPr>
        <w:spacing w:line="360" w:lineRule="auto"/>
        <w:ind w:firstLine="420"/>
        <w:rPr>
          <w:rFonts w:ascii="宋体" w:hAnsi="宋体" w:cs="宋体"/>
          <w:sz w:val="24"/>
          <w:szCs w:val="24"/>
        </w:rPr>
      </w:pPr>
      <w:r>
        <w:rPr>
          <w:rFonts w:hint="eastAsia" w:ascii="宋体" w:hAnsi="宋体" w:cs="宋体"/>
          <w:sz w:val="24"/>
          <w:szCs w:val="24"/>
        </w:rPr>
        <w:t>在指标质控点的设计上充分考虑到指标质控点的纵横关联以及目标标准与呈现样式的分析。</w:t>
      </w:r>
    </w:p>
    <w:p>
      <w:pPr>
        <w:spacing w:line="360" w:lineRule="auto"/>
        <w:ind w:firstLine="420"/>
        <w:rPr>
          <w:rFonts w:ascii="宋体" w:hAnsi="宋体" w:cs="宋体"/>
          <w:sz w:val="24"/>
          <w:szCs w:val="24"/>
        </w:rPr>
      </w:pPr>
      <w:r>
        <w:rPr>
          <w:rFonts w:hint="eastAsia" w:ascii="宋体" w:hAnsi="宋体" w:cs="宋体"/>
          <w:sz w:val="24"/>
          <w:szCs w:val="24"/>
        </w:rPr>
        <w:t>一个完整的质控点设计，可以包含“指标目录体系、质控点名称、质控点内涵说明、算法、目标范围、统计维度、呈现方式、是否具备过程数据、采集方式、采样周期、诊断结果、预警设置”等内容，完美体现事前设标、事中检查、事后改进的质量保障体系的运行流程。</w:t>
      </w:r>
    </w:p>
    <w:p>
      <w:pPr>
        <w:spacing w:line="360" w:lineRule="auto"/>
        <w:ind w:firstLine="420"/>
        <w:rPr>
          <w:rFonts w:ascii="宋体" w:hAnsi="宋体" w:cs="宋体"/>
          <w:sz w:val="24"/>
          <w:szCs w:val="24"/>
        </w:rPr>
      </w:pPr>
      <w:r>
        <w:rPr>
          <w:rFonts w:hint="eastAsia" w:ascii="宋体" w:hAnsi="宋体" w:cs="宋体"/>
          <w:sz w:val="24"/>
          <w:szCs w:val="24"/>
        </w:rPr>
        <w:t>2）数据可存储，内置数据仓库，便于数据的采集、存储与集成</w:t>
      </w:r>
    </w:p>
    <w:p>
      <w:pPr>
        <w:spacing w:line="360" w:lineRule="auto"/>
        <w:ind w:firstLine="420"/>
        <w:rPr>
          <w:rFonts w:ascii="宋体" w:hAnsi="宋体" w:cs="宋体"/>
          <w:sz w:val="24"/>
          <w:szCs w:val="24"/>
        </w:rPr>
      </w:pPr>
      <w:r>
        <w:rPr>
          <w:rFonts w:hint="eastAsia" w:ascii="宋体" w:hAnsi="宋体" w:cs="宋体"/>
          <w:sz w:val="24"/>
          <w:szCs w:val="24"/>
        </w:rPr>
        <w:t>系统提供数据仓库模块，方便数据的采集与存储。用户可自定义设计字段与表单相关属性，可导入高职院校人才培养状态数据。</w:t>
      </w:r>
    </w:p>
    <w:p>
      <w:pPr>
        <w:spacing w:line="360" w:lineRule="auto"/>
        <w:ind w:firstLine="420"/>
        <w:rPr>
          <w:rFonts w:ascii="宋体" w:hAnsi="宋体" w:cs="宋体"/>
          <w:sz w:val="24"/>
          <w:szCs w:val="24"/>
        </w:rPr>
      </w:pPr>
      <w:r>
        <w:rPr>
          <w:rFonts w:hint="eastAsia" w:ascii="宋体" w:hAnsi="宋体" w:cs="宋体"/>
          <w:sz w:val="24"/>
          <w:szCs w:val="24"/>
        </w:rPr>
        <w:t>3）指标有对比，根据结果数据可对比、可分析，以便后续的改进</w:t>
      </w:r>
    </w:p>
    <w:p>
      <w:pPr>
        <w:spacing w:line="360" w:lineRule="auto"/>
        <w:ind w:firstLine="420"/>
        <w:rPr>
          <w:rFonts w:ascii="宋体" w:hAnsi="宋体" w:cs="宋体"/>
          <w:sz w:val="24"/>
          <w:szCs w:val="24"/>
        </w:rPr>
      </w:pPr>
      <w:r>
        <w:rPr>
          <w:rFonts w:hint="eastAsia" w:ascii="宋体" w:hAnsi="宋体" w:cs="宋体"/>
          <w:sz w:val="24"/>
          <w:szCs w:val="24"/>
        </w:rPr>
        <w:t>根据用户对应的指标库进行诊断数据分析后，能够实时计算出每个指标对应的结果值，根据结果数据可以进行数据对比分析，以便于后续的改进。</w:t>
      </w:r>
    </w:p>
    <w:p>
      <w:pPr>
        <w:spacing w:line="360" w:lineRule="auto"/>
        <w:ind w:firstLine="420"/>
        <w:rPr>
          <w:rFonts w:ascii="宋体" w:hAnsi="宋体" w:cs="宋体"/>
          <w:sz w:val="24"/>
          <w:szCs w:val="24"/>
        </w:rPr>
      </w:pPr>
      <w:r>
        <w:rPr>
          <w:rFonts w:hint="eastAsia" w:ascii="宋体" w:hAnsi="宋体" w:cs="宋体"/>
          <w:sz w:val="24"/>
          <w:szCs w:val="24"/>
        </w:rPr>
        <w:t>4）维度有画像，根据各层面与级别不同需要可以呈现不同的数据画像</w:t>
      </w:r>
    </w:p>
    <w:p>
      <w:pPr>
        <w:spacing w:line="360" w:lineRule="auto"/>
        <w:ind w:firstLine="420"/>
        <w:rPr>
          <w:rFonts w:ascii="宋体" w:hAnsi="宋体" w:cs="宋体"/>
          <w:sz w:val="24"/>
          <w:szCs w:val="24"/>
        </w:rPr>
      </w:pPr>
      <w:r>
        <w:rPr>
          <w:rFonts w:hint="eastAsia" w:ascii="宋体" w:hAnsi="宋体" w:cs="宋体"/>
          <w:sz w:val="24"/>
          <w:szCs w:val="24"/>
        </w:rPr>
        <w:t>根据用户对应的指标库进行诊断数据分析后，可以得出被诊断用户的数据画像信息，而对于不同的层面与级别的用户是有不同的数据呈现的。</w:t>
      </w:r>
    </w:p>
    <w:p>
      <w:pPr>
        <w:spacing w:line="360" w:lineRule="auto"/>
        <w:ind w:firstLine="420"/>
        <w:rPr>
          <w:rFonts w:ascii="宋体" w:hAnsi="宋体" w:cs="宋体"/>
          <w:sz w:val="24"/>
          <w:szCs w:val="24"/>
        </w:rPr>
      </w:pPr>
      <w:r>
        <w:rPr>
          <w:rFonts w:hint="eastAsia" w:ascii="宋体" w:hAnsi="宋体" w:cs="宋体"/>
          <w:sz w:val="24"/>
          <w:szCs w:val="24"/>
        </w:rPr>
        <w:t>5）问题有预警，支持微信、短信、邮件等多方式提醒</w:t>
      </w:r>
    </w:p>
    <w:p>
      <w:pPr>
        <w:spacing w:line="360" w:lineRule="auto"/>
        <w:ind w:firstLine="420"/>
        <w:rPr>
          <w:rFonts w:ascii="宋体" w:hAnsi="宋体" w:cs="宋体"/>
          <w:sz w:val="24"/>
          <w:szCs w:val="24"/>
        </w:rPr>
      </w:pPr>
      <w:r>
        <w:rPr>
          <w:rFonts w:hint="eastAsia" w:ascii="宋体" w:hAnsi="宋体" w:cs="宋体"/>
          <w:sz w:val="24"/>
          <w:szCs w:val="24"/>
        </w:rPr>
        <w:t>根据用户对应的指标库，可统计并显示预警数。根据指标标准范围的核定，超过某一个值，系统可预警，并可以通过多种手段方式提醒该质控点的被诊断负责人。</w:t>
      </w:r>
    </w:p>
    <w:p>
      <w:pPr>
        <w:spacing w:line="360" w:lineRule="auto"/>
        <w:ind w:firstLine="420"/>
        <w:rPr>
          <w:rFonts w:ascii="宋体" w:hAnsi="宋体" w:cs="宋体"/>
          <w:sz w:val="24"/>
          <w:szCs w:val="24"/>
        </w:rPr>
      </w:pPr>
      <w:r>
        <w:rPr>
          <w:rFonts w:hint="eastAsia" w:ascii="宋体" w:hAnsi="宋体" w:cs="宋体"/>
          <w:sz w:val="24"/>
          <w:szCs w:val="24"/>
        </w:rPr>
        <w:t>6）诊断有过程，诊断的结果数据可记录、可分析、可对比</w:t>
      </w:r>
    </w:p>
    <w:p>
      <w:pPr>
        <w:spacing w:line="360" w:lineRule="auto"/>
        <w:ind w:firstLine="420"/>
        <w:rPr>
          <w:rFonts w:ascii="宋体" w:hAnsi="宋体" w:cs="宋体"/>
          <w:sz w:val="24"/>
          <w:szCs w:val="24"/>
        </w:rPr>
      </w:pPr>
      <w:r>
        <w:rPr>
          <w:rFonts w:hint="eastAsia" w:ascii="宋体" w:hAnsi="宋体" w:cs="宋体"/>
          <w:sz w:val="24"/>
          <w:szCs w:val="24"/>
        </w:rPr>
        <w:t>在指标诊断的过程中，都是可以进行数据记录分析的，可统计每次诊断分析结果的不达标数与预警数，可记录每次诊断的结果数据。对于结果数据可以下钻分析这次诊断的过程数据，可以通过程数据进行分析对比。诊断的过程中可以任意上传多个支撑附件，并支撑打包下载。</w:t>
      </w:r>
    </w:p>
    <w:p>
      <w:pPr>
        <w:spacing w:line="360" w:lineRule="auto"/>
        <w:ind w:firstLine="420"/>
        <w:rPr>
          <w:rFonts w:ascii="宋体" w:hAnsi="宋体" w:cs="宋体"/>
          <w:sz w:val="24"/>
          <w:szCs w:val="24"/>
        </w:rPr>
      </w:pPr>
      <w:r>
        <w:rPr>
          <w:rFonts w:hint="eastAsia" w:ascii="宋体" w:hAnsi="宋体" w:cs="宋体"/>
          <w:sz w:val="24"/>
          <w:szCs w:val="24"/>
        </w:rPr>
        <w:t>7）报告可生成，可一键导出根据报告模版生成的诊改报告</w:t>
      </w:r>
    </w:p>
    <w:p>
      <w:pPr>
        <w:spacing w:line="360" w:lineRule="auto"/>
        <w:ind w:firstLine="420"/>
        <w:rPr>
          <w:rFonts w:ascii="宋体" w:hAnsi="宋体" w:cs="宋体"/>
          <w:sz w:val="24"/>
          <w:szCs w:val="24"/>
        </w:rPr>
      </w:pPr>
      <w:r>
        <w:rPr>
          <w:rFonts w:hint="eastAsia" w:ascii="宋体" w:hAnsi="宋体" w:cs="宋体"/>
          <w:sz w:val="24"/>
          <w:szCs w:val="24"/>
        </w:rPr>
        <w:t>系统根据用户对应的指标库以及报告模版自动生成诊改报告，报告内容包含对应的指标质控点体系与诊断结果与改进建议等模块，根据用户的权限可查看报告并可一键导出报告。</w:t>
      </w:r>
    </w:p>
    <w:p>
      <w:pPr>
        <w:spacing w:line="360" w:lineRule="auto"/>
        <w:ind w:firstLine="420"/>
        <w:rPr>
          <w:rFonts w:ascii="宋体" w:hAnsi="宋体" w:cs="宋体"/>
          <w:sz w:val="24"/>
          <w:szCs w:val="24"/>
        </w:rPr>
      </w:pPr>
      <w:r>
        <w:rPr>
          <w:rFonts w:hint="eastAsia" w:ascii="宋体" w:hAnsi="宋体" w:cs="宋体"/>
          <w:sz w:val="24"/>
          <w:szCs w:val="24"/>
        </w:rPr>
        <w:t>8）用户分角色，不同用户有不同的功能以及不同诊断结果的呈现</w:t>
      </w:r>
    </w:p>
    <w:p>
      <w:pPr>
        <w:spacing w:line="360" w:lineRule="auto"/>
        <w:ind w:firstLine="420"/>
        <w:rPr>
          <w:rFonts w:ascii="宋体" w:hAnsi="宋体" w:cs="宋体"/>
          <w:sz w:val="24"/>
          <w:szCs w:val="24"/>
        </w:rPr>
      </w:pPr>
      <w:r>
        <w:rPr>
          <w:rFonts w:hint="eastAsia" w:ascii="宋体" w:hAnsi="宋体" w:cs="宋体"/>
          <w:sz w:val="24"/>
          <w:szCs w:val="24"/>
        </w:rPr>
        <w:t>系统提供多用户多角色权限管理设置，可根据角色组设置该角色的功能权限，每个用户可对应到角色，根据角色的不同而体现不同的功能以及不同诊断结果的呈现与报告的生成。</w:t>
      </w:r>
    </w:p>
    <w:p>
      <w:pPr>
        <w:spacing w:line="360" w:lineRule="auto"/>
        <w:ind w:firstLine="420"/>
        <w:rPr>
          <w:rFonts w:ascii="宋体" w:hAnsi="宋体" w:cs="宋体"/>
          <w:sz w:val="24"/>
          <w:szCs w:val="24"/>
        </w:rPr>
      </w:pPr>
      <w:r>
        <w:rPr>
          <w:rFonts w:hint="eastAsia" w:ascii="宋体" w:hAnsi="宋体" w:cs="宋体"/>
          <w:sz w:val="24"/>
          <w:szCs w:val="24"/>
        </w:rPr>
        <w:t>9）部署跨平台，多终端呈现，系统可开放</w:t>
      </w:r>
    </w:p>
    <w:p>
      <w:pPr>
        <w:spacing w:line="360" w:lineRule="auto"/>
        <w:ind w:firstLine="420"/>
        <w:rPr>
          <w:rFonts w:ascii="宋体" w:hAnsi="宋体" w:cs="宋体"/>
          <w:sz w:val="24"/>
          <w:szCs w:val="24"/>
        </w:rPr>
      </w:pPr>
      <w:r>
        <w:rPr>
          <w:rFonts w:hint="eastAsia" w:ascii="宋体" w:hAnsi="宋体" w:cs="宋体"/>
          <w:sz w:val="24"/>
          <w:szCs w:val="24"/>
        </w:rPr>
        <w:t>系统可实现跨平台部署，支持虚拟机部署，支持热备、集群方案。根据用户需要可提供多终端方式的呈现。系统可集成统一身份认证，对外也可提供接口，方便其他系统集成。</w:t>
      </w:r>
    </w:p>
    <w:p>
      <w:pPr>
        <w:pStyle w:val="5"/>
        <w:spacing w:line="360" w:lineRule="auto"/>
        <w:rPr>
          <w:rFonts w:ascii="宋体" w:hAnsi="宋体" w:cs="宋体"/>
          <w:szCs w:val="32"/>
        </w:rPr>
      </w:pPr>
      <w:r>
        <w:rPr>
          <w:rFonts w:hint="eastAsia" w:ascii="宋体" w:hAnsi="宋体" w:cs="宋体"/>
          <w:szCs w:val="32"/>
          <w:lang w:val="en-US" w:eastAsia="zh-CN"/>
        </w:rPr>
        <w:t>4.2.3</w:t>
      </w:r>
      <w:r>
        <w:rPr>
          <w:rFonts w:hint="eastAsia" w:ascii="宋体" w:hAnsi="宋体" w:cs="宋体"/>
          <w:szCs w:val="32"/>
        </w:rPr>
        <w:t>用户与数据</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4.2.3.1</w:t>
      </w:r>
      <w:r>
        <w:rPr>
          <w:rFonts w:hint="eastAsia" w:ascii="宋体" w:hAnsi="宋体" w:eastAsia="宋体" w:cs="宋体"/>
          <w:sz w:val="24"/>
          <w:szCs w:val="24"/>
        </w:rPr>
        <w:t>用户首页</w:t>
      </w:r>
    </w:p>
    <w:p>
      <w:pPr>
        <w:spacing w:line="360" w:lineRule="auto"/>
        <w:ind w:firstLine="420"/>
        <w:rPr>
          <w:rFonts w:ascii="宋体" w:hAnsi="宋体" w:cs="宋体"/>
          <w:sz w:val="24"/>
          <w:szCs w:val="24"/>
        </w:rPr>
      </w:pPr>
      <w:r>
        <w:rPr>
          <w:rFonts w:hint="eastAsia" w:ascii="宋体" w:hAnsi="宋体" w:cs="宋体"/>
          <w:sz w:val="24"/>
          <w:szCs w:val="24"/>
        </w:rPr>
        <w:t>（一）用户待办</w:t>
      </w:r>
    </w:p>
    <w:p>
      <w:pPr>
        <w:spacing w:line="360" w:lineRule="auto"/>
        <w:ind w:firstLine="420"/>
        <w:rPr>
          <w:rFonts w:ascii="宋体" w:hAnsi="宋体" w:cs="宋体"/>
          <w:sz w:val="24"/>
          <w:szCs w:val="24"/>
        </w:rPr>
      </w:pPr>
      <w:r>
        <w:rPr>
          <w:rFonts w:hint="eastAsia" w:ascii="宋体" w:hAnsi="宋体" w:cs="宋体"/>
          <w:sz w:val="24"/>
          <w:szCs w:val="24"/>
        </w:rPr>
        <w:t>系统能够自动汇总统计展示用户的待办信息，包括预警待办、诊改待办和我的报告，具体内容与用户角色有关，用户可以点击待办信息进入相应页面处理任务。</w:t>
      </w:r>
    </w:p>
    <w:p>
      <w:pPr>
        <w:spacing w:line="360" w:lineRule="auto"/>
        <w:ind w:firstLine="420"/>
        <w:rPr>
          <w:rFonts w:ascii="宋体" w:hAnsi="宋体" w:cs="宋体"/>
          <w:sz w:val="24"/>
          <w:szCs w:val="24"/>
        </w:rPr>
      </w:pPr>
      <w:r>
        <w:rPr>
          <w:rFonts w:hint="eastAsia" w:ascii="宋体" w:hAnsi="宋体" w:cs="宋体"/>
          <w:sz w:val="24"/>
          <w:szCs w:val="24"/>
        </w:rPr>
        <w:t>（二）我关注的指标</w:t>
      </w:r>
    </w:p>
    <w:p>
      <w:pPr>
        <w:spacing w:line="360" w:lineRule="auto"/>
        <w:ind w:firstLine="420"/>
        <w:rPr>
          <w:rFonts w:ascii="宋体" w:hAnsi="宋体" w:cs="宋体"/>
          <w:sz w:val="24"/>
          <w:szCs w:val="24"/>
        </w:rPr>
      </w:pPr>
      <w:r>
        <w:rPr>
          <w:rFonts w:hint="eastAsia" w:ascii="宋体" w:hAnsi="宋体" w:cs="宋体"/>
          <w:sz w:val="24"/>
          <w:szCs w:val="24"/>
        </w:rPr>
        <w:t>▲能自动汇总统计展示用户的所有指标信息，包括预警指标和未达标指标，用户可以点击指标进入对应的页面处理任务。用户可直观查看所关注指标的具体内容，包括关注对应指标的诊改任务、诊改对象、质控点、标准值、目标值、当前值、未处理预警数等。能进一步通过关注指标提高用户对诊改任务的跟踪效率。（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（三）我的自诊任务</w:t>
      </w:r>
    </w:p>
    <w:p>
      <w:pPr>
        <w:spacing w:line="360" w:lineRule="auto"/>
        <w:ind w:firstLine="420"/>
        <w:rPr>
          <w:rFonts w:ascii="宋体" w:hAnsi="宋体" w:cs="宋体"/>
          <w:sz w:val="24"/>
          <w:szCs w:val="24"/>
        </w:rPr>
      </w:pPr>
      <w:r>
        <w:rPr>
          <w:rFonts w:hint="eastAsia" w:ascii="宋体" w:hAnsi="宋体" w:cs="宋体"/>
          <w:sz w:val="24"/>
          <w:szCs w:val="24"/>
        </w:rPr>
        <w:t>系统能够自动汇总统计展示用户的所属任务，用户可以点击任务进入对应的页面进行处理。</w:t>
      </w:r>
    </w:p>
    <w:p>
      <w:pPr>
        <w:spacing w:line="360" w:lineRule="auto"/>
        <w:ind w:firstLine="420"/>
        <w:rPr>
          <w:rFonts w:ascii="宋体" w:hAnsi="宋体" w:cs="宋体"/>
          <w:sz w:val="24"/>
          <w:szCs w:val="24"/>
        </w:rPr>
      </w:pPr>
      <w:r>
        <w:rPr>
          <w:rFonts w:hint="eastAsia" w:ascii="宋体" w:hAnsi="宋体" w:cs="宋体"/>
          <w:sz w:val="24"/>
          <w:szCs w:val="24"/>
        </w:rPr>
        <w:t>（四）系统消息</w:t>
      </w:r>
    </w:p>
    <w:p>
      <w:pPr>
        <w:spacing w:line="360" w:lineRule="auto"/>
        <w:ind w:firstLine="420"/>
        <w:rPr>
          <w:rFonts w:ascii="宋体" w:hAnsi="宋体" w:cs="宋体"/>
          <w:sz w:val="24"/>
          <w:szCs w:val="24"/>
        </w:rPr>
      </w:pPr>
      <w:r>
        <w:rPr>
          <w:rFonts w:hint="eastAsia" w:ascii="宋体" w:hAnsi="宋体" w:cs="宋体"/>
          <w:sz w:val="24"/>
          <w:szCs w:val="24"/>
        </w:rPr>
        <w:t>支持自动汇总展示用户所属的系统消息，点击消息进入相应页面查看或处理消息。</w:t>
      </w:r>
    </w:p>
    <w:p>
      <w:pPr>
        <w:spacing w:line="360" w:lineRule="auto"/>
        <w:ind w:firstLine="420"/>
        <w:rPr>
          <w:rFonts w:ascii="宋体" w:hAnsi="宋体" w:cs="宋体"/>
          <w:sz w:val="24"/>
          <w:szCs w:val="24"/>
        </w:rPr>
      </w:pPr>
      <w:r>
        <w:rPr>
          <w:rFonts w:hint="eastAsia" w:ascii="宋体" w:hAnsi="宋体" w:cs="宋体"/>
          <w:sz w:val="24"/>
          <w:szCs w:val="24"/>
        </w:rPr>
        <w:t>（五）我的仪表盘</w:t>
      </w:r>
    </w:p>
    <w:p>
      <w:pPr>
        <w:spacing w:line="360" w:lineRule="auto"/>
        <w:ind w:firstLine="420"/>
        <w:rPr>
          <w:rFonts w:ascii="宋体" w:hAnsi="宋体" w:cs="宋体"/>
          <w:sz w:val="24"/>
          <w:szCs w:val="24"/>
        </w:rPr>
      </w:pPr>
      <w:r>
        <w:rPr>
          <w:rFonts w:hint="eastAsia" w:ascii="宋体" w:hAnsi="宋体" w:cs="宋体"/>
          <w:sz w:val="24"/>
          <w:szCs w:val="24"/>
        </w:rPr>
        <w:t>用户可点击仪表盘按钮进入设置仪表盘页面，自行选择想要在首页展示的仪表盘图样，不同用户展示的仪表盘有所不同。</w:t>
      </w:r>
    </w:p>
    <w:p>
      <w:pPr>
        <w:spacing w:line="360" w:lineRule="auto"/>
        <w:ind w:firstLine="420"/>
        <w:rPr>
          <w:rFonts w:ascii="宋体" w:hAnsi="宋体" w:cs="宋体"/>
          <w:sz w:val="24"/>
          <w:szCs w:val="24"/>
        </w:rPr>
      </w:pPr>
      <w:r>
        <w:rPr>
          <w:rFonts w:hint="eastAsia" w:ascii="宋体" w:hAnsi="宋体" w:cs="宋体"/>
          <w:sz w:val="24"/>
          <w:szCs w:val="24"/>
        </w:rPr>
        <w:t>（六）我的报告</w:t>
      </w:r>
    </w:p>
    <w:p>
      <w:pPr>
        <w:spacing w:line="360" w:lineRule="auto"/>
        <w:ind w:firstLine="420"/>
        <w:rPr>
          <w:rFonts w:ascii="宋体" w:hAnsi="宋体" w:cs="宋体"/>
          <w:sz w:val="24"/>
          <w:szCs w:val="24"/>
        </w:rPr>
      </w:pPr>
      <w:r>
        <w:rPr>
          <w:rFonts w:hint="eastAsia" w:ascii="宋体" w:hAnsi="宋体" w:cs="宋体"/>
          <w:sz w:val="24"/>
          <w:szCs w:val="24"/>
        </w:rPr>
        <w:t>能自动汇总用户所属的自诊报告，用户可以点击进入相应的页面进行查看和其他操作。</w:t>
      </w:r>
    </w:p>
    <w:p>
      <w:pPr>
        <w:spacing w:line="360" w:lineRule="auto"/>
        <w:ind w:firstLine="420"/>
        <w:rPr>
          <w:rFonts w:ascii="宋体" w:hAnsi="宋体" w:cs="宋体"/>
          <w:sz w:val="24"/>
          <w:szCs w:val="24"/>
        </w:rPr>
      </w:pPr>
      <w:r>
        <w:rPr>
          <w:rFonts w:hint="eastAsia" w:ascii="宋体" w:hAnsi="宋体" w:cs="宋体"/>
          <w:sz w:val="24"/>
          <w:szCs w:val="24"/>
        </w:rPr>
        <w:t>（七）诊改进度</w:t>
      </w:r>
    </w:p>
    <w:p>
      <w:pPr>
        <w:spacing w:line="360" w:lineRule="auto"/>
        <w:ind w:firstLine="420"/>
        <w:rPr>
          <w:rFonts w:ascii="宋体" w:hAnsi="宋体" w:cs="宋体"/>
          <w:sz w:val="24"/>
          <w:szCs w:val="24"/>
        </w:rPr>
      </w:pPr>
      <w:r>
        <w:rPr>
          <w:rFonts w:hint="eastAsia" w:ascii="宋体" w:hAnsi="宋体" w:cs="宋体"/>
          <w:sz w:val="24"/>
          <w:szCs w:val="24"/>
        </w:rPr>
        <w:t>能自动汇总用户作为负责人所属的诊改任务，并且根据诊改的四个阶段进行相应的数据统计，用户通过点击可以进入相应的任务页面查看。</w:t>
      </w:r>
    </w:p>
    <w:p>
      <w:pPr>
        <w:spacing w:line="360" w:lineRule="auto"/>
        <w:ind w:firstLine="420"/>
        <w:rPr>
          <w:rFonts w:ascii="宋体" w:hAnsi="宋体" w:cs="宋体"/>
          <w:sz w:val="24"/>
          <w:szCs w:val="24"/>
        </w:rPr>
      </w:pPr>
      <w:r>
        <w:rPr>
          <w:rFonts w:hint="eastAsia" w:ascii="宋体" w:hAnsi="宋体" w:cs="宋体"/>
          <w:sz w:val="24"/>
          <w:szCs w:val="24"/>
        </w:rPr>
        <w:t>（八）质控点监控</w:t>
      </w:r>
    </w:p>
    <w:p>
      <w:pPr>
        <w:spacing w:line="360" w:lineRule="auto"/>
        <w:ind w:firstLine="420"/>
        <w:rPr>
          <w:rFonts w:ascii="宋体" w:hAnsi="宋体" w:cs="宋体"/>
          <w:sz w:val="24"/>
          <w:szCs w:val="24"/>
        </w:rPr>
      </w:pPr>
      <w:r>
        <w:rPr>
          <w:rFonts w:hint="eastAsia" w:ascii="宋体" w:hAnsi="宋体" w:cs="宋体"/>
          <w:sz w:val="24"/>
          <w:szCs w:val="24"/>
        </w:rPr>
        <w:t>能自动统计用户未达标与未完成的质控点数据，并且展示此类质控点的简要信息，用户可以点击进入相应的页面进行查看与其他操作。</w:t>
      </w:r>
    </w:p>
    <w:p>
      <w:pPr>
        <w:spacing w:line="360" w:lineRule="auto"/>
        <w:ind w:firstLine="420"/>
        <w:rPr>
          <w:rFonts w:ascii="宋体" w:hAnsi="宋体" w:cs="宋体"/>
          <w:sz w:val="24"/>
          <w:szCs w:val="24"/>
        </w:rPr>
      </w:pPr>
      <w:r>
        <w:rPr>
          <w:rFonts w:hint="eastAsia" w:ascii="宋体" w:hAnsi="宋体" w:cs="宋体"/>
          <w:sz w:val="24"/>
          <w:szCs w:val="24"/>
        </w:rPr>
        <w:t>（九）我发布的任务</w:t>
      </w:r>
    </w:p>
    <w:p>
      <w:pPr>
        <w:spacing w:line="360" w:lineRule="auto"/>
        <w:ind w:firstLine="420"/>
        <w:rPr>
          <w:rFonts w:ascii="宋体" w:hAnsi="宋体" w:cs="宋体"/>
          <w:sz w:val="24"/>
          <w:szCs w:val="24"/>
        </w:rPr>
      </w:pPr>
      <w:r>
        <w:rPr>
          <w:rFonts w:hint="eastAsia" w:ascii="宋体" w:hAnsi="宋体" w:cs="宋体"/>
          <w:sz w:val="24"/>
          <w:szCs w:val="24"/>
        </w:rPr>
        <w:t>能自动统计作为发布人的用户发布的任务，包括发布任务总数、未完成任务数、已完成任务数，并且点击能跳转至相应的页面进行查看与其他操作。</w:t>
      </w:r>
    </w:p>
    <w:p>
      <w:pPr>
        <w:spacing w:line="360" w:lineRule="auto"/>
        <w:ind w:firstLine="420"/>
        <w:rPr>
          <w:rFonts w:ascii="宋体" w:hAnsi="宋体" w:cs="宋体"/>
          <w:sz w:val="24"/>
          <w:szCs w:val="24"/>
        </w:rPr>
      </w:pPr>
      <w:r>
        <w:rPr>
          <w:rFonts w:hint="eastAsia" w:ascii="宋体" w:hAnsi="宋体" w:cs="宋体"/>
          <w:sz w:val="24"/>
          <w:szCs w:val="24"/>
        </w:rPr>
        <w:t>（十）校领导、专家页面</w:t>
      </w:r>
    </w:p>
    <w:p>
      <w:pPr>
        <w:spacing w:line="360" w:lineRule="auto"/>
        <w:ind w:firstLine="420"/>
        <w:rPr>
          <w:rFonts w:ascii="宋体" w:hAnsi="宋体" w:cs="宋体"/>
          <w:sz w:val="24"/>
          <w:szCs w:val="24"/>
        </w:rPr>
      </w:pPr>
      <w:r>
        <w:rPr>
          <w:rFonts w:hint="eastAsia" w:ascii="宋体" w:hAnsi="宋体" w:cs="宋体"/>
          <w:sz w:val="24"/>
          <w:szCs w:val="24"/>
        </w:rPr>
        <w:t>对于角色为校领导与专家的用户，首页展示的信息与其他用户的不相同，能够展示指标库、诊改任务、诊改报告统计以及画像入口、待复核报告（专家）等全局信息，利于用户能够快速的了解学校的诊改情况以及具体诊改进程信息。</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4.2.3.2</w:t>
      </w:r>
      <w:r>
        <w:rPr>
          <w:rFonts w:hint="eastAsia" w:ascii="宋体" w:hAnsi="宋体" w:eastAsia="宋体" w:cs="宋体"/>
          <w:sz w:val="24"/>
          <w:szCs w:val="24"/>
        </w:rPr>
        <w:t>数据管理</w:t>
      </w:r>
    </w:p>
    <w:p>
      <w:pPr>
        <w:spacing w:line="360" w:lineRule="auto"/>
        <w:ind w:firstLine="420"/>
        <w:rPr>
          <w:rFonts w:ascii="宋体" w:hAnsi="宋体" w:cs="宋体"/>
          <w:sz w:val="24"/>
          <w:szCs w:val="24"/>
        </w:rPr>
      </w:pPr>
      <w:r>
        <w:rPr>
          <w:rFonts w:hint="eastAsia" w:ascii="宋体" w:hAnsi="宋体" w:cs="宋体"/>
          <w:sz w:val="24"/>
          <w:szCs w:val="24"/>
        </w:rPr>
        <w:t>数据管理包括内容包括如下：</w:t>
      </w:r>
    </w:p>
    <w:p>
      <w:pPr>
        <w:spacing w:line="360" w:lineRule="auto"/>
        <w:ind w:firstLine="420"/>
        <w:rPr>
          <w:rFonts w:ascii="宋体" w:hAnsi="宋体" w:cs="宋体"/>
          <w:sz w:val="24"/>
          <w:szCs w:val="24"/>
        </w:rPr>
      </w:pPr>
      <w:r>
        <w:rPr>
          <w:rFonts w:hint="eastAsia" w:ascii="宋体" w:hAnsi="宋体" w:cs="宋体"/>
          <w:sz w:val="24"/>
          <w:szCs w:val="24"/>
        </w:rPr>
        <w:t>（一）诊断周期管理</w:t>
      </w:r>
    </w:p>
    <w:p>
      <w:pPr>
        <w:spacing w:line="360" w:lineRule="auto"/>
        <w:ind w:firstLine="420"/>
        <w:rPr>
          <w:rFonts w:ascii="宋体" w:hAnsi="宋体" w:cs="宋体"/>
          <w:sz w:val="24"/>
          <w:szCs w:val="24"/>
        </w:rPr>
      </w:pPr>
      <w:r>
        <w:rPr>
          <w:rFonts w:hint="eastAsia" w:ascii="宋体" w:hAnsi="宋体" w:cs="宋体"/>
          <w:sz w:val="24"/>
          <w:szCs w:val="24"/>
        </w:rPr>
        <w:t>诊断周期有五大类型，分别为自然年、学年、学期、时段和时点，根据诊断任务所需周期在周期管理模块中选择类型并添加周期值。支持自定义添加周期值，如添加自然年年份，学年年份，添加学期，添加时段等。系统支持基于自然年、学年、学期、时段、时点的维度进行诊改工作。</w:t>
      </w:r>
    </w:p>
    <w:p>
      <w:pPr>
        <w:spacing w:line="360" w:lineRule="auto"/>
        <w:ind w:firstLine="420"/>
        <w:rPr>
          <w:rFonts w:ascii="宋体" w:hAnsi="宋体" w:cs="宋体"/>
          <w:sz w:val="24"/>
          <w:szCs w:val="24"/>
        </w:rPr>
      </w:pPr>
      <w:r>
        <w:rPr>
          <w:rFonts w:hint="eastAsia" w:ascii="宋体" w:hAnsi="宋体" w:cs="宋体"/>
          <w:sz w:val="24"/>
          <w:szCs w:val="24"/>
        </w:rPr>
        <w:t>（二）仓库管理</w:t>
      </w:r>
    </w:p>
    <w:p>
      <w:pPr>
        <w:spacing w:line="360" w:lineRule="auto"/>
        <w:ind w:firstLine="420"/>
        <w:rPr>
          <w:rFonts w:ascii="宋体" w:hAnsi="宋体" w:cs="宋体"/>
          <w:sz w:val="24"/>
          <w:szCs w:val="24"/>
        </w:rPr>
      </w:pPr>
      <w:r>
        <w:rPr>
          <w:rFonts w:hint="eastAsia" w:ascii="宋体" w:hAnsi="宋体" w:cs="宋体"/>
          <w:sz w:val="24"/>
          <w:szCs w:val="24"/>
        </w:rPr>
        <w:t>将采集系统中采集到的学校数据导入数据仓库，在诊改任务和智能画像中系统会调用仓库中的数据，以值和图表的形式呈现，同时支持仓库数据导出。</w:t>
      </w:r>
    </w:p>
    <w:p>
      <w:pPr>
        <w:spacing w:line="360" w:lineRule="auto"/>
        <w:ind w:firstLine="420"/>
        <w:rPr>
          <w:rFonts w:ascii="宋体" w:hAnsi="宋体" w:cs="宋体"/>
          <w:sz w:val="24"/>
          <w:szCs w:val="24"/>
        </w:rPr>
      </w:pPr>
      <w:r>
        <w:rPr>
          <w:rFonts w:hint="eastAsia" w:ascii="宋体" w:hAnsi="宋体" w:cs="宋体"/>
          <w:sz w:val="24"/>
          <w:szCs w:val="24"/>
        </w:rPr>
        <w:t>支持建立不同的仓库空间，以便于存储诊改工作复杂的数据源数据。如状态数据仓库，业务主题库等。</w:t>
      </w:r>
    </w:p>
    <w:p>
      <w:pPr>
        <w:spacing w:line="360" w:lineRule="auto"/>
        <w:ind w:firstLine="420"/>
        <w:rPr>
          <w:rFonts w:ascii="宋体" w:hAnsi="宋体" w:cs="宋体"/>
          <w:sz w:val="24"/>
          <w:szCs w:val="24"/>
        </w:rPr>
      </w:pPr>
      <w:r>
        <w:rPr>
          <w:rFonts w:hint="eastAsia" w:ascii="宋体" w:hAnsi="宋体" w:cs="宋体"/>
          <w:sz w:val="24"/>
          <w:szCs w:val="24"/>
        </w:rPr>
        <w:t>支持对仓库进行一键导出备份。</w:t>
      </w:r>
    </w:p>
    <w:p>
      <w:pPr>
        <w:spacing w:line="360" w:lineRule="auto"/>
        <w:ind w:firstLine="420"/>
        <w:rPr>
          <w:rFonts w:ascii="宋体" w:hAnsi="宋体" w:cs="宋体"/>
          <w:sz w:val="24"/>
          <w:szCs w:val="24"/>
        </w:rPr>
      </w:pPr>
      <w:r>
        <w:rPr>
          <w:rFonts w:hint="eastAsia" w:ascii="宋体" w:hAnsi="宋体" w:cs="宋体"/>
          <w:sz w:val="24"/>
          <w:szCs w:val="24"/>
        </w:rPr>
        <w:t>支持在仓库内建立表空间，支持自定义建立表空间时需支持配置业务表信息及配置对应的物理表名称。</w:t>
      </w:r>
    </w:p>
    <w:p>
      <w:pPr>
        <w:spacing w:line="360" w:lineRule="auto"/>
        <w:ind w:firstLine="420"/>
        <w:rPr>
          <w:rFonts w:ascii="宋体" w:hAnsi="宋体" w:cs="宋体"/>
          <w:sz w:val="24"/>
          <w:szCs w:val="24"/>
        </w:rPr>
      </w:pPr>
      <w:r>
        <w:rPr>
          <w:rFonts w:hint="eastAsia" w:ascii="宋体" w:hAnsi="宋体" w:cs="宋体"/>
          <w:sz w:val="24"/>
          <w:szCs w:val="24"/>
        </w:rPr>
        <w:t>支持一键导入物理表。</w:t>
      </w:r>
    </w:p>
    <w:p>
      <w:pPr>
        <w:spacing w:line="360" w:lineRule="auto"/>
        <w:ind w:firstLine="420"/>
        <w:rPr>
          <w:rFonts w:ascii="宋体" w:hAnsi="宋体" w:cs="宋体"/>
          <w:sz w:val="24"/>
          <w:szCs w:val="24"/>
        </w:rPr>
      </w:pPr>
      <w:r>
        <w:rPr>
          <w:rFonts w:hint="eastAsia" w:ascii="宋体" w:hAnsi="宋体" w:cs="宋体"/>
          <w:sz w:val="24"/>
          <w:szCs w:val="24"/>
        </w:rPr>
        <w:t>支持物理表字段手动添加功能。</w:t>
      </w:r>
    </w:p>
    <w:p>
      <w:pPr>
        <w:spacing w:line="360" w:lineRule="auto"/>
        <w:ind w:firstLine="420"/>
        <w:rPr>
          <w:rFonts w:ascii="宋体" w:hAnsi="宋体" w:cs="宋体"/>
          <w:sz w:val="24"/>
          <w:szCs w:val="24"/>
        </w:rPr>
      </w:pPr>
      <w:r>
        <w:rPr>
          <w:rFonts w:hint="eastAsia" w:ascii="宋体" w:hAnsi="宋体" w:cs="宋体"/>
          <w:sz w:val="24"/>
          <w:szCs w:val="24"/>
        </w:rPr>
        <w:t>支持一键导出表结构。</w:t>
      </w:r>
    </w:p>
    <w:p>
      <w:pPr>
        <w:spacing w:line="360" w:lineRule="auto"/>
        <w:ind w:firstLine="420"/>
        <w:rPr>
          <w:rFonts w:ascii="宋体" w:hAnsi="宋体" w:cs="宋体"/>
          <w:sz w:val="24"/>
          <w:szCs w:val="24"/>
        </w:rPr>
      </w:pPr>
      <w:r>
        <w:rPr>
          <w:rFonts w:hint="eastAsia" w:ascii="宋体" w:hAnsi="宋体" w:cs="宋体"/>
          <w:sz w:val="24"/>
          <w:szCs w:val="24"/>
        </w:rPr>
        <w:t>支持状态数据库自动更新。</w:t>
      </w:r>
    </w:p>
    <w:p>
      <w:pPr>
        <w:spacing w:line="360" w:lineRule="auto"/>
        <w:ind w:firstLine="420"/>
        <w:rPr>
          <w:rFonts w:ascii="宋体" w:hAnsi="宋体" w:cs="宋体"/>
          <w:sz w:val="24"/>
          <w:szCs w:val="24"/>
        </w:rPr>
      </w:pPr>
      <w:r>
        <w:rPr>
          <w:rFonts w:hint="eastAsia" w:ascii="宋体" w:hAnsi="宋体" w:cs="宋体"/>
          <w:sz w:val="24"/>
          <w:szCs w:val="24"/>
        </w:rPr>
        <w:t>（三）维度管理</w:t>
      </w:r>
    </w:p>
    <w:p>
      <w:pPr>
        <w:spacing w:line="360" w:lineRule="auto"/>
        <w:ind w:firstLine="420"/>
        <w:rPr>
          <w:rFonts w:ascii="宋体" w:hAnsi="宋体" w:cs="宋体"/>
          <w:sz w:val="24"/>
          <w:szCs w:val="24"/>
        </w:rPr>
      </w:pPr>
      <w:r>
        <w:rPr>
          <w:rFonts w:hint="eastAsia" w:ascii="宋体" w:hAnsi="宋体" w:cs="宋体"/>
          <w:sz w:val="24"/>
          <w:szCs w:val="24"/>
        </w:rPr>
        <w:t>支持添加数据维度，以便学校扩展工作的业务维度。如添加学校级、分院级、专业级、课程级、班级级、学生级维度，便能够以以上维度进行业务数据诊断改进。添加维度过程支持自定义。</w:t>
      </w:r>
    </w:p>
    <w:p>
      <w:pPr>
        <w:spacing w:line="360" w:lineRule="auto"/>
        <w:ind w:firstLine="420"/>
        <w:rPr>
          <w:rFonts w:ascii="宋体" w:hAnsi="宋体" w:cs="宋体"/>
          <w:sz w:val="24"/>
          <w:szCs w:val="24"/>
        </w:rPr>
      </w:pPr>
      <w:r>
        <w:rPr>
          <w:rFonts w:hint="eastAsia" w:ascii="宋体" w:hAnsi="宋体" w:cs="宋体"/>
          <w:sz w:val="24"/>
          <w:szCs w:val="24"/>
        </w:rPr>
        <w:t>支持一键导出及导入维度表，便于维度表快捷备份与维护。</w:t>
      </w:r>
    </w:p>
    <w:p>
      <w:pPr>
        <w:spacing w:line="360" w:lineRule="auto"/>
        <w:ind w:firstLine="420"/>
        <w:rPr>
          <w:rFonts w:ascii="宋体" w:hAnsi="宋体" w:cs="宋体"/>
          <w:sz w:val="24"/>
          <w:szCs w:val="24"/>
        </w:rPr>
      </w:pPr>
      <w:r>
        <w:rPr>
          <w:rFonts w:hint="eastAsia" w:ascii="宋体" w:hAnsi="宋体" w:cs="宋体"/>
          <w:sz w:val="24"/>
          <w:szCs w:val="24"/>
        </w:rPr>
        <w:t>（四）数据源配置</w:t>
      </w:r>
    </w:p>
    <w:p>
      <w:pPr>
        <w:spacing w:line="360" w:lineRule="auto"/>
        <w:ind w:firstLine="420"/>
        <w:rPr>
          <w:rFonts w:ascii="宋体" w:hAnsi="宋体" w:cs="宋体"/>
          <w:sz w:val="24"/>
          <w:szCs w:val="24"/>
        </w:rPr>
      </w:pPr>
      <w:r>
        <w:rPr>
          <w:rFonts w:hint="eastAsia" w:ascii="宋体" w:hAnsi="宋体" w:cs="宋体"/>
          <w:sz w:val="24"/>
          <w:szCs w:val="24"/>
        </w:rPr>
        <w:t>支持数据源配置的，便于诊改平台与数据源数据库实现数据互联互通。</w:t>
      </w:r>
    </w:p>
    <w:p>
      <w:pPr>
        <w:spacing w:line="360" w:lineRule="auto"/>
        <w:ind w:firstLine="420"/>
        <w:rPr>
          <w:rFonts w:ascii="宋体" w:hAnsi="宋体" w:cs="宋体"/>
          <w:sz w:val="24"/>
          <w:szCs w:val="24"/>
        </w:rPr>
      </w:pPr>
      <w:r>
        <w:rPr>
          <w:rFonts w:hint="eastAsia" w:ascii="宋体" w:hAnsi="宋体" w:cs="宋体"/>
          <w:sz w:val="24"/>
          <w:szCs w:val="24"/>
        </w:rPr>
        <w:t>配置数据源支持数据源基本信息配置。</w:t>
      </w:r>
    </w:p>
    <w:p>
      <w:pPr>
        <w:spacing w:line="360" w:lineRule="auto"/>
        <w:ind w:firstLine="420"/>
        <w:rPr>
          <w:rFonts w:ascii="宋体" w:hAnsi="宋体" w:cs="宋体"/>
          <w:sz w:val="24"/>
          <w:szCs w:val="24"/>
        </w:rPr>
      </w:pPr>
      <w:r>
        <w:rPr>
          <w:rFonts w:hint="eastAsia" w:ascii="宋体" w:hAnsi="宋体" w:cs="宋体"/>
          <w:sz w:val="24"/>
          <w:szCs w:val="24"/>
        </w:rPr>
        <w:t>支持数据源类型配置，数据源支持Mysql、Oracle、Sqlserver等数据源配置。</w:t>
      </w:r>
    </w:p>
    <w:p>
      <w:pPr>
        <w:spacing w:line="360" w:lineRule="auto"/>
        <w:ind w:firstLine="420"/>
        <w:rPr>
          <w:rFonts w:ascii="宋体" w:hAnsi="宋体" w:cs="宋体"/>
          <w:sz w:val="24"/>
          <w:szCs w:val="24"/>
        </w:rPr>
      </w:pPr>
      <w:r>
        <w:rPr>
          <w:rFonts w:hint="eastAsia" w:ascii="宋体" w:hAnsi="宋体" w:cs="宋体"/>
          <w:sz w:val="24"/>
          <w:szCs w:val="24"/>
        </w:rPr>
        <w:t>支持即时测试数据源。</w:t>
      </w:r>
    </w:p>
    <w:p>
      <w:pPr>
        <w:spacing w:line="360" w:lineRule="auto"/>
        <w:ind w:firstLine="420"/>
        <w:rPr>
          <w:rFonts w:ascii="宋体" w:hAnsi="宋体" w:cs="宋体"/>
          <w:sz w:val="24"/>
          <w:szCs w:val="24"/>
        </w:rPr>
      </w:pPr>
      <w:r>
        <w:rPr>
          <w:rFonts w:hint="eastAsia" w:ascii="宋体" w:hAnsi="宋体" w:cs="宋体"/>
          <w:sz w:val="24"/>
          <w:szCs w:val="24"/>
        </w:rPr>
        <w:t>配置数据源支持全过程无代码处理。</w:t>
      </w:r>
    </w:p>
    <w:p>
      <w:pPr>
        <w:spacing w:line="360" w:lineRule="auto"/>
        <w:ind w:firstLine="420"/>
        <w:rPr>
          <w:rFonts w:ascii="宋体" w:hAnsi="宋体" w:cs="宋体"/>
          <w:sz w:val="24"/>
          <w:szCs w:val="24"/>
        </w:rPr>
      </w:pPr>
      <w:r>
        <w:rPr>
          <w:rFonts w:hint="eastAsia" w:ascii="宋体" w:hAnsi="宋体" w:cs="宋体"/>
          <w:sz w:val="24"/>
          <w:szCs w:val="24"/>
        </w:rPr>
        <w:t>（五）算法库配置</w:t>
      </w:r>
    </w:p>
    <w:p>
      <w:pPr>
        <w:spacing w:line="360" w:lineRule="auto"/>
        <w:ind w:firstLine="420"/>
        <w:rPr>
          <w:rFonts w:ascii="宋体" w:hAnsi="宋体" w:cs="宋体"/>
          <w:sz w:val="24"/>
          <w:szCs w:val="24"/>
        </w:rPr>
      </w:pPr>
      <w:r>
        <w:rPr>
          <w:rFonts w:hint="eastAsia" w:ascii="宋体" w:hAnsi="宋体" w:cs="宋体"/>
          <w:sz w:val="24"/>
          <w:szCs w:val="24"/>
        </w:rPr>
        <w:t>支持算法配置功能，具体见后面的目标与标准的指标算法说明。</w:t>
      </w:r>
    </w:p>
    <w:p>
      <w:pPr>
        <w:spacing w:line="360" w:lineRule="auto"/>
        <w:ind w:firstLine="420"/>
        <w:rPr>
          <w:rFonts w:ascii="宋体" w:hAnsi="宋体" w:cs="宋体"/>
          <w:sz w:val="24"/>
          <w:szCs w:val="24"/>
        </w:rPr>
      </w:pPr>
      <w:r>
        <w:rPr>
          <w:rFonts w:hint="eastAsia" w:ascii="宋体" w:hAnsi="宋体" w:cs="宋体"/>
          <w:sz w:val="24"/>
          <w:szCs w:val="24"/>
        </w:rPr>
        <w:t>（六）仪表盘设置</w:t>
      </w:r>
    </w:p>
    <w:p>
      <w:pPr>
        <w:spacing w:line="360" w:lineRule="auto"/>
        <w:ind w:firstLine="420"/>
        <w:rPr>
          <w:rFonts w:ascii="宋体" w:hAnsi="宋体" w:cs="宋体"/>
          <w:sz w:val="24"/>
          <w:szCs w:val="24"/>
        </w:rPr>
      </w:pPr>
      <w:r>
        <w:rPr>
          <w:rFonts w:hint="eastAsia" w:ascii="宋体" w:hAnsi="宋体" w:cs="宋体"/>
          <w:sz w:val="24"/>
          <w:szCs w:val="24"/>
        </w:rPr>
        <w:t>可以对仪表盘进行详细的编辑，包括适用范围、算法以及数据编辑等。。</w:t>
      </w:r>
    </w:p>
    <w:p>
      <w:pPr>
        <w:pStyle w:val="5"/>
        <w:spacing w:line="360" w:lineRule="auto"/>
        <w:rPr>
          <w:rFonts w:ascii="宋体" w:hAnsi="宋体" w:cs="宋体"/>
          <w:sz w:val="24"/>
          <w:szCs w:val="24"/>
        </w:rPr>
      </w:pPr>
      <w:r>
        <w:rPr>
          <w:rFonts w:hint="eastAsia" w:ascii="宋体" w:hAnsi="宋体" w:cs="宋体"/>
          <w:sz w:val="24"/>
          <w:szCs w:val="24"/>
          <w:lang w:val="en-US" w:eastAsia="zh-CN"/>
        </w:rPr>
        <w:t>4.2.4</w:t>
      </w:r>
      <w:r>
        <w:rPr>
          <w:rFonts w:hint="eastAsia" w:ascii="宋体" w:hAnsi="宋体" w:cs="宋体"/>
          <w:sz w:val="24"/>
          <w:szCs w:val="24"/>
        </w:rPr>
        <w:t>数据大屏</w:t>
      </w:r>
    </w:p>
    <w:p>
      <w:pPr>
        <w:spacing w:line="360" w:lineRule="auto"/>
        <w:ind w:firstLine="420"/>
        <w:rPr>
          <w:rFonts w:ascii="宋体" w:hAnsi="宋体" w:cs="宋体"/>
          <w:sz w:val="24"/>
          <w:szCs w:val="24"/>
        </w:rPr>
      </w:pPr>
      <w:r>
        <w:rPr>
          <w:rFonts w:hint="eastAsia" w:ascii="宋体" w:hAnsi="宋体" w:cs="宋体"/>
          <w:sz w:val="24"/>
          <w:szCs w:val="24"/>
        </w:rPr>
        <w:t>（一）诊改运行监控大屏：运行监控数据大屏是供给校领导和管理员的监控窗口，展示各层面诊改任务的开展情况。</w:t>
      </w:r>
    </w:p>
    <w:p>
      <w:pPr>
        <w:spacing w:line="360" w:lineRule="auto"/>
        <w:ind w:firstLine="420"/>
        <w:rPr>
          <w:rFonts w:ascii="宋体" w:hAnsi="宋体" w:cs="宋体"/>
          <w:sz w:val="24"/>
          <w:szCs w:val="24"/>
        </w:rPr>
      </w:pPr>
      <w:r>
        <w:rPr>
          <w:rFonts w:hint="eastAsia" w:ascii="宋体" w:hAnsi="宋体" w:cs="宋体"/>
          <w:sz w:val="24"/>
          <w:szCs w:val="24"/>
        </w:rPr>
        <w:t>（二）质量年报数据分析大屏：为学校提供质量年报中人才培养，办学条件，国际交流，政策落实，社会服务五个维度的数据展示，以及各层次维度的校间对标分析。</w:t>
      </w:r>
    </w:p>
    <w:p>
      <w:pPr>
        <w:spacing w:line="360" w:lineRule="auto"/>
        <w:ind w:firstLine="420"/>
        <w:rPr>
          <w:rFonts w:ascii="宋体" w:hAnsi="宋体" w:cs="宋体"/>
          <w:sz w:val="24"/>
          <w:szCs w:val="24"/>
          <w:lang w:val="zh-CN"/>
        </w:rPr>
      </w:pPr>
      <w:r>
        <w:rPr>
          <w:rFonts w:hint="eastAsia" w:ascii="宋体" w:hAnsi="宋体" w:cs="宋体"/>
          <w:sz w:val="24"/>
          <w:szCs w:val="24"/>
        </w:rPr>
        <w:t>可以分析和展示质量年报中人才培养、办学条件、国际交流、政策落实、社会服务五个维度的数据。▲投标人须提供国家级软件测评中心开具的测评报告中关键页复印件并加盖原厂公章，报告测评内容包括以上内容。</w:t>
      </w:r>
    </w:p>
    <w:p>
      <w:pPr>
        <w:pStyle w:val="5"/>
        <w:spacing w:line="360" w:lineRule="auto"/>
        <w:rPr>
          <w:rFonts w:ascii="宋体" w:hAnsi="宋体" w:cs="宋体"/>
          <w:sz w:val="24"/>
          <w:szCs w:val="24"/>
        </w:rPr>
      </w:pPr>
      <w:r>
        <w:rPr>
          <w:rFonts w:hint="eastAsia" w:ascii="宋体" w:hAnsi="宋体" w:cs="宋体"/>
          <w:sz w:val="24"/>
          <w:szCs w:val="24"/>
          <w:lang w:val="en-US" w:eastAsia="zh-CN"/>
        </w:rPr>
        <w:t>4.2.5</w:t>
      </w:r>
      <w:r>
        <w:rPr>
          <w:rFonts w:hint="eastAsia" w:ascii="宋体" w:hAnsi="宋体" w:cs="宋体"/>
          <w:sz w:val="24"/>
          <w:szCs w:val="24"/>
        </w:rPr>
        <w:t>目标与标准</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4.2.5.1</w:t>
      </w:r>
      <w:r>
        <w:rPr>
          <w:rFonts w:hint="eastAsia" w:ascii="宋体" w:hAnsi="宋体" w:eastAsia="宋体" w:cs="宋体"/>
          <w:sz w:val="24"/>
          <w:szCs w:val="24"/>
        </w:rPr>
        <w:t>层面方向设置</w:t>
      </w:r>
    </w:p>
    <w:p>
      <w:pPr>
        <w:spacing w:line="360" w:lineRule="auto"/>
        <w:ind w:firstLine="420"/>
        <w:rPr>
          <w:rFonts w:ascii="宋体" w:hAnsi="宋体" w:cs="宋体"/>
          <w:sz w:val="24"/>
          <w:szCs w:val="24"/>
        </w:rPr>
      </w:pPr>
      <w:r>
        <w:rPr>
          <w:rFonts w:hint="eastAsia" w:ascii="宋体" w:hAnsi="宋体" w:cs="宋体"/>
          <w:sz w:val="24"/>
          <w:szCs w:val="24"/>
        </w:rPr>
        <w:t>可配置诊改五层面（学校层、专业层、课程层、师资层、学生层）的指标库。</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4.2.5.2</w:t>
      </w:r>
      <w:r>
        <w:rPr>
          <w:rFonts w:hint="eastAsia" w:ascii="宋体" w:hAnsi="宋体" w:eastAsia="宋体" w:cs="宋体"/>
          <w:sz w:val="24"/>
          <w:szCs w:val="24"/>
        </w:rPr>
        <w:t>维度方向设置</w:t>
      </w:r>
    </w:p>
    <w:p>
      <w:pPr>
        <w:spacing w:line="360" w:lineRule="auto"/>
        <w:ind w:firstLine="420"/>
        <w:rPr>
          <w:rFonts w:ascii="宋体" w:hAnsi="宋体" w:cs="宋体"/>
          <w:sz w:val="24"/>
          <w:szCs w:val="24"/>
        </w:rPr>
      </w:pPr>
      <w:r>
        <w:rPr>
          <w:rFonts w:hint="eastAsia" w:ascii="宋体" w:hAnsi="宋体" w:cs="宋体"/>
          <w:sz w:val="24"/>
          <w:szCs w:val="24"/>
        </w:rPr>
        <w:t>支持自定义维度。根据系统维度来定义指标库的维度方向（学校、二级学院、部门、专业、课程、班级、教师、学生等）。</w:t>
      </w:r>
    </w:p>
    <w:p>
      <w:pPr>
        <w:spacing w:line="360" w:lineRule="auto"/>
        <w:ind w:firstLine="420"/>
        <w:rPr>
          <w:rFonts w:ascii="宋体" w:hAnsi="宋体" w:cs="宋体"/>
          <w:sz w:val="24"/>
          <w:szCs w:val="24"/>
        </w:rPr>
      </w:pPr>
      <w:r>
        <w:rPr>
          <w:rFonts w:hint="eastAsia" w:ascii="宋体" w:hAnsi="宋体" w:cs="宋体"/>
          <w:sz w:val="24"/>
          <w:szCs w:val="24"/>
        </w:rPr>
        <w:t>设置职能部门维度，可对不同的职能部门分配诊改指标，从而对职能部门日常工作状况进行诊断。</w:t>
      </w:r>
    </w:p>
    <w:p>
      <w:pPr>
        <w:spacing w:line="360" w:lineRule="auto"/>
        <w:ind w:firstLine="420"/>
        <w:rPr>
          <w:rFonts w:ascii="宋体" w:hAnsi="宋体" w:cs="宋体"/>
          <w:sz w:val="24"/>
          <w:szCs w:val="24"/>
        </w:rPr>
      </w:pPr>
      <w:r>
        <w:rPr>
          <w:rFonts w:hint="eastAsia" w:ascii="宋体" w:hAnsi="宋体" w:cs="宋体"/>
          <w:sz w:val="24"/>
          <w:szCs w:val="24"/>
        </w:rPr>
        <w:t>设置教学部门维度，可对不同的教学部门分配诊改指标，从而对教学部门日常教学工作、教学成果等内容进行诊断。</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4.2.5.2</w:t>
      </w:r>
      <w:r>
        <w:rPr>
          <w:rFonts w:hint="eastAsia" w:ascii="宋体" w:hAnsi="宋体" w:eastAsia="宋体" w:cs="宋体"/>
          <w:sz w:val="24"/>
          <w:szCs w:val="24"/>
        </w:rPr>
        <w:t>父子指标库管理</w:t>
      </w:r>
    </w:p>
    <w:p>
      <w:pPr>
        <w:spacing w:line="360" w:lineRule="auto"/>
        <w:ind w:firstLine="420"/>
        <w:rPr>
          <w:rFonts w:ascii="宋体" w:hAnsi="宋体" w:cs="宋体"/>
          <w:sz w:val="24"/>
          <w:szCs w:val="24"/>
        </w:rPr>
      </w:pPr>
      <w:r>
        <w:rPr>
          <w:rFonts w:hint="eastAsia" w:ascii="宋体" w:hAnsi="宋体" w:cs="宋体"/>
          <w:sz w:val="24"/>
          <w:szCs w:val="24"/>
        </w:rPr>
        <w:t>▲指标库分有父指标库和子指标库，父指标库是通用标准指标库，父指标库基础上创建的子指标库个数不限，且指标内容完全继承父指标库指标；创建完的子指标库有</w:t>
      </w:r>
      <w:bookmarkStart w:id="499" w:name="_Hlk83717171"/>
      <w:r>
        <w:rPr>
          <w:rFonts w:hint="eastAsia" w:ascii="宋体" w:hAnsi="宋体" w:cs="宋体"/>
          <w:sz w:val="24"/>
          <w:szCs w:val="24"/>
        </w:rPr>
        <w:t>复制、继承父库、编辑、删除</w:t>
      </w:r>
      <w:bookmarkEnd w:id="499"/>
      <w:r>
        <w:rPr>
          <w:rFonts w:hint="eastAsia" w:ascii="宋体" w:hAnsi="宋体" w:cs="宋体"/>
          <w:sz w:val="24"/>
          <w:szCs w:val="24"/>
        </w:rPr>
        <w:t>四个标识，</w:t>
      </w:r>
      <w:bookmarkStart w:id="500" w:name="_Hlk83717244"/>
      <w:r>
        <w:rPr>
          <w:rFonts w:hint="eastAsia" w:ascii="宋体" w:hAnsi="宋体" w:cs="宋体"/>
          <w:sz w:val="24"/>
          <w:szCs w:val="24"/>
        </w:rPr>
        <w:t>点击编辑可再进入指标库详情界面对指标内容进行增删改操作；</w:t>
      </w:r>
      <w:bookmarkEnd w:id="500"/>
      <w:bookmarkStart w:id="501" w:name="_Hlk83717225"/>
      <w:r>
        <w:rPr>
          <w:rFonts w:hint="eastAsia" w:ascii="宋体" w:hAnsi="宋体" w:cs="宋体"/>
          <w:sz w:val="24"/>
          <w:szCs w:val="24"/>
        </w:rPr>
        <w:t>点击继承父库将清空子指标库数据，并用父指标库的数据进行覆盖；</w:t>
      </w:r>
      <w:bookmarkEnd w:id="501"/>
      <w:bookmarkStart w:id="502" w:name="_Hlk83717195"/>
      <w:r>
        <w:rPr>
          <w:rFonts w:hint="eastAsia" w:ascii="宋体" w:hAnsi="宋体" w:cs="宋体"/>
          <w:sz w:val="24"/>
          <w:szCs w:val="24"/>
        </w:rPr>
        <w:t>点击复制标识可直接复制生成另一个子指标库；</w:t>
      </w:r>
      <w:bookmarkEnd w:id="502"/>
      <w:bookmarkStart w:id="503" w:name="_Hlk83717263"/>
      <w:r>
        <w:rPr>
          <w:rFonts w:hint="eastAsia" w:ascii="宋体" w:hAnsi="宋体" w:cs="宋体"/>
          <w:sz w:val="24"/>
          <w:szCs w:val="24"/>
        </w:rPr>
        <w:t>点击删除标识可直接删除此子指标库。</w:t>
      </w:r>
      <w:bookmarkEnd w:id="503"/>
      <w:r>
        <w:rPr>
          <w:rFonts w:hint="eastAsia" w:ascii="宋体" w:hAnsi="宋体" w:cs="宋体"/>
          <w:sz w:val="24"/>
          <w:szCs w:val="24"/>
        </w:rPr>
        <w:t>（投标人提供软件功能截图并加盖公章）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支持指标库中指标架构与指标内容配置。能够支持一级、二级、三级指标配置，包括配置指标章节，指标名称，配置指标。支持指标手工添加与批量导入功能。</w:t>
      </w:r>
    </w:p>
    <w:p>
      <w:pPr>
        <w:spacing w:line="360" w:lineRule="auto"/>
        <w:ind w:firstLine="420"/>
        <w:rPr>
          <w:rFonts w:ascii="宋体" w:hAnsi="宋体" w:cs="宋体"/>
          <w:sz w:val="24"/>
          <w:szCs w:val="24"/>
        </w:rPr>
      </w:pPr>
      <w:r>
        <w:rPr>
          <w:rFonts w:hint="eastAsia" w:ascii="宋体" w:hAnsi="宋体" w:cs="宋体"/>
          <w:sz w:val="24"/>
          <w:szCs w:val="24"/>
        </w:rPr>
        <w:t>支持新增指标库，支持指标库信息编辑，可设置指标库所属维度及所属层面，形成指标库诊断主题。新增指标库后，系统可无代码形成对应的指标库诊改报告。</w:t>
      </w:r>
    </w:p>
    <w:p>
      <w:pPr>
        <w:spacing w:line="360" w:lineRule="auto"/>
        <w:ind w:firstLine="420"/>
        <w:rPr>
          <w:rFonts w:ascii="宋体" w:hAnsi="宋体" w:cs="宋体"/>
          <w:sz w:val="24"/>
          <w:szCs w:val="24"/>
        </w:rPr>
      </w:pPr>
      <w:r>
        <w:rPr>
          <w:rFonts w:hint="eastAsia" w:ascii="宋体" w:hAnsi="宋体" w:cs="宋体"/>
          <w:sz w:val="24"/>
          <w:szCs w:val="24"/>
        </w:rPr>
        <w:t>指标和质控点支持权重分值设置，每级分值能够不均等的分配到每个指标或者质控点。同时配合质控点结果分值，以乘数方式将结果呈现到指标分析中，让校领导或者老师对分值较高的指标质控点一目了然，能够数值显示当前指标或质控点的权重分值，方框数据代表该指标下的次级指标或质控点权重值之和。</w:t>
      </w:r>
    </w:p>
    <w:p>
      <w:pPr>
        <w:spacing w:line="360" w:lineRule="auto"/>
        <w:ind w:firstLine="420"/>
        <w:rPr>
          <w:rFonts w:ascii="宋体" w:hAnsi="宋体" w:cs="宋体"/>
          <w:sz w:val="24"/>
          <w:szCs w:val="24"/>
        </w:rPr>
      </w:pPr>
      <w:r>
        <w:rPr>
          <w:rFonts w:hint="eastAsia" w:ascii="宋体" w:hAnsi="宋体" w:cs="宋体"/>
          <w:sz w:val="24"/>
          <w:szCs w:val="24"/>
        </w:rPr>
        <w:t>指标配置支持实时生成指标架构树。</w:t>
      </w:r>
    </w:p>
    <w:p>
      <w:pPr>
        <w:spacing w:line="360" w:lineRule="auto"/>
        <w:ind w:firstLine="420"/>
        <w:rPr>
          <w:rFonts w:ascii="宋体" w:hAnsi="宋体" w:cs="宋体"/>
          <w:sz w:val="24"/>
          <w:szCs w:val="24"/>
        </w:rPr>
      </w:pPr>
      <w:r>
        <w:rPr>
          <w:rFonts w:hint="eastAsia" w:ascii="宋体" w:hAnsi="宋体" w:cs="宋体"/>
          <w:sz w:val="24"/>
          <w:szCs w:val="24"/>
        </w:rPr>
        <w:t>▲支持质控点配置，质控点可从指标体系选择；配置质控点名称与排序；配置质控点采集周期，以符合学校不同业务指标的数据生成情况，周期应内置每天、每周、每月。（投标人提供软件功能截图并加盖公章）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▲支持质控点计算方式，包括值类型（整数、小数、百分比、有无、是否）；支持值预期配置，如越小越好、越大越好；支持配置计算内容。（投标人提供软件功能截图并加盖公章）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支持质控点数据内涵配置，包括内涵结果范围，配置预警信息与配置预警推送设置。其中配置结果范围，可配置多种结果层次，如A/B/C等级的等级范围。</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4.2.5.4</w:t>
      </w:r>
      <w:r>
        <w:rPr>
          <w:rFonts w:hint="eastAsia" w:ascii="宋体" w:hAnsi="宋体" w:eastAsia="宋体" w:cs="宋体"/>
          <w:sz w:val="24"/>
          <w:szCs w:val="24"/>
        </w:rPr>
        <w:t>指标查看</w:t>
      </w:r>
    </w:p>
    <w:p>
      <w:pPr>
        <w:spacing w:line="360" w:lineRule="auto"/>
        <w:ind w:firstLine="420"/>
        <w:rPr>
          <w:rFonts w:ascii="宋体" w:hAnsi="宋体" w:cs="宋体"/>
          <w:sz w:val="24"/>
          <w:szCs w:val="24"/>
        </w:rPr>
      </w:pPr>
      <w:r>
        <w:rPr>
          <w:rFonts w:hint="eastAsia" w:ascii="宋体" w:hAnsi="宋体" w:cs="宋体"/>
          <w:sz w:val="24"/>
          <w:szCs w:val="24"/>
        </w:rPr>
        <w:t>支持查看指标库，包括对多级指标及质控点查看。</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4.2.5.5</w:t>
      </w:r>
      <w:r>
        <w:rPr>
          <w:rFonts w:hint="eastAsia" w:ascii="宋体" w:hAnsi="宋体" w:eastAsia="宋体" w:cs="宋体"/>
          <w:sz w:val="24"/>
          <w:szCs w:val="24"/>
        </w:rPr>
        <w:t>质控点管理</w:t>
      </w:r>
    </w:p>
    <w:p>
      <w:pPr>
        <w:spacing w:line="360" w:lineRule="auto"/>
        <w:ind w:firstLine="420"/>
        <w:rPr>
          <w:rFonts w:ascii="宋体" w:hAnsi="宋体" w:cs="宋体"/>
          <w:sz w:val="24"/>
          <w:szCs w:val="24"/>
        </w:rPr>
      </w:pPr>
      <w:r>
        <w:rPr>
          <w:rFonts w:hint="eastAsia" w:ascii="宋体" w:hAnsi="宋体" w:cs="宋体"/>
          <w:sz w:val="24"/>
          <w:szCs w:val="24"/>
        </w:rPr>
        <w:t>1、基本信息管理</w:t>
      </w:r>
    </w:p>
    <w:p>
      <w:pPr>
        <w:spacing w:line="360" w:lineRule="auto"/>
        <w:ind w:firstLine="420"/>
        <w:rPr>
          <w:rFonts w:ascii="宋体" w:hAnsi="宋体" w:cs="宋体"/>
          <w:sz w:val="24"/>
          <w:szCs w:val="24"/>
        </w:rPr>
      </w:pPr>
      <w:r>
        <w:rPr>
          <w:rFonts w:hint="eastAsia" w:ascii="宋体" w:hAnsi="宋体" w:cs="宋体"/>
          <w:sz w:val="24"/>
          <w:szCs w:val="24"/>
        </w:rPr>
        <w:t>编辑质控点，设置质控点的结果类型、权重值、标准值、目标值、结果算法等详细参数。</w:t>
      </w:r>
    </w:p>
    <w:p>
      <w:pPr>
        <w:spacing w:line="360" w:lineRule="auto"/>
        <w:ind w:firstLine="420"/>
        <w:rPr>
          <w:rFonts w:ascii="宋体" w:hAnsi="宋体" w:cs="宋体"/>
          <w:sz w:val="24"/>
          <w:szCs w:val="24"/>
        </w:rPr>
      </w:pPr>
      <w:r>
        <w:rPr>
          <w:rFonts w:hint="eastAsia" w:ascii="宋体" w:hAnsi="宋体" w:cs="宋体"/>
          <w:sz w:val="24"/>
          <w:szCs w:val="24"/>
        </w:rPr>
        <w:t>2、诊断标准设置</w:t>
      </w:r>
    </w:p>
    <w:p>
      <w:pPr>
        <w:spacing w:line="360" w:lineRule="auto"/>
        <w:ind w:firstLine="420"/>
        <w:rPr>
          <w:rFonts w:ascii="宋体" w:hAnsi="宋体" w:cs="宋体"/>
          <w:sz w:val="24"/>
          <w:szCs w:val="24"/>
        </w:rPr>
      </w:pPr>
      <w:r>
        <w:rPr>
          <w:rFonts w:hint="eastAsia" w:ascii="宋体" w:hAnsi="宋体" w:cs="宋体"/>
          <w:sz w:val="24"/>
          <w:szCs w:val="24"/>
        </w:rPr>
        <w:t>当质控点的内容有国家、地区或教育局的标准时，可以设置诊断标准，通过对比标准能更好的定义标准值或目标值，达到预期目标。</w:t>
      </w:r>
    </w:p>
    <w:p>
      <w:pPr>
        <w:spacing w:line="360" w:lineRule="auto"/>
        <w:ind w:firstLine="420"/>
        <w:rPr>
          <w:rFonts w:ascii="宋体" w:hAnsi="宋体" w:cs="宋体"/>
          <w:sz w:val="24"/>
          <w:szCs w:val="24"/>
        </w:rPr>
      </w:pPr>
      <w:r>
        <w:rPr>
          <w:rFonts w:hint="eastAsia" w:ascii="宋体" w:hAnsi="宋体" w:cs="宋体"/>
          <w:sz w:val="24"/>
          <w:szCs w:val="24"/>
        </w:rPr>
        <w:t>3、下钻分析定义</w:t>
      </w:r>
    </w:p>
    <w:p>
      <w:pPr>
        <w:spacing w:line="360" w:lineRule="auto"/>
        <w:ind w:firstLine="420"/>
        <w:rPr>
          <w:rFonts w:ascii="宋体" w:hAnsi="宋体" w:cs="宋体"/>
          <w:sz w:val="24"/>
          <w:szCs w:val="24"/>
        </w:rPr>
      </w:pPr>
      <w:r>
        <w:rPr>
          <w:rFonts w:hint="eastAsia" w:ascii="宋体" w:hAnsi="宋体" w:cs="宋体"/>
          <w:sz w:val="24"/>
          <w:szCs w:val="24"/>
        </w:rPr>
        <w:t>结果算法和详情算法通过绑定算法库中的算法来进行sql语句计算，从而实现质控点值计算和呈现，同时可以设置结果值范围、等级和结果分值，最终结果会在诊断任务中呈现。</w:t>
      </w:r>
    </w:p>
    <w:p>
      <w:pPr>
        <w:spacing w:line="360" w:lineRule="auto"/>
        <w:ind w:firstLine="420"/>
        <w:rPr>
          <w:rFonts w:ascii="宋体" w:hAnsi="宋体" w:cs="宋体"/>
          <w:sz w:val="24"/>
          <w:szCs w:val="24"/>
        </w:rPr>
      </w:pPr>
      <w:r>
        <w:rPr>
          <w:rFonts w:hint="eastAsia" w:ascii="宋体" w:hAnsi="宋体" w:cs="宋体"/>
          <w:sz w:val="24"/>
          <w:szCs w:val="24"/>
        </w:rPr>
        <w:t>4、预警设置</w:t>
      </w:r>
    </w:p>
    <w:p>
      <w:pPr>
        <w:spacing w:line="360" w:lineRule="auto"/>
        <w:ind w:firstLine="420"/>
        <w:rPr>
          <w:rFonts w:ascii="宋体" w:hAnsi="宋体" w:cs="宋体"/>
          <w:sz w:val="24"/>
          <w:szCs w:val="24"/>
        </w:rPr>
      </w:pPr>
      <w:r>
        <w:rPr>
          <w:rFonts w:hint="eastAsia" w:ascii="宋体" w:hAnsi="宋体" w:cs="宋体"/>
          <w:sz w:val="24"/>
          <w:szCs w:val="24"/>
        </w:rPr>
        <w:t>当质控点值超出设定范围时，系统会自动在预警周期时以消息和页面显示方式通知用户，用户可以对该质控点进行查看编辑操作，按预警设置，系统会在每日凌晨对该质控点进行监控，若值大于或者等于一定值时，提示用户；预警值的设置可手动输入，也可以通过绑定算法库中的算法或编写sql语句获取，实时计算获取不同阶段的预警值。</w:t>
      </w:r>
    </w:p>
    <w:p>
      <w:pPr>
        <w:spacing w:line="360" w:lineRule="auto"/>
        <w:ind w:firstLine="420"/>
        <w:rPr>
          <w:rFonts w:ascii="宋体" w:hAnsi="宋体" w:cs="宋体"/>
          <w:sz w:val="24"/>
          <w:szCs w:val="24"/>
        </w:rPr>
      </w:pPr>
      <w:r>
        <w:rPr>
          <w:rFonts w:hint="eastAsia" w:ascii="宋体" w:hAnsi="宋体" w:cs="宋体"/>
          <w:sz w:val="24"/>
          <w:szCs w:val="24"/>
        </w:rPr>
        <w:t>支持指标结果导出。</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4.2.5.6</w:t>
      </w:r>
      <w:r>
        <w:rPr>
          <w:rFonts w:hint="eastAsia" w:ascii="宋体" w:hAnsi="宋体" w:eastAsia="宋体" w:cs="宋体"/>
          <w:sz w:val="24"/>
          <w:szCs w:val="24"/>
        </w:rPr>
        <w:t>指标算法</w:t>
      </w:r>
    </w:p>
    <w:p>
      <w:pPr>
        <w:spacing w:line="360" w:lineRule="auto"/>
        <w:ind w:firstLine="420"/>
        <w:rPr>
          <w:rFonts w:ascii="宋体" w:hAnsi="宋体" w:cs="宋体"/>
          <w:sz w:val="24"/>
          <w:szCs w:val="24"/>
        </w:rPr>
      </w:pPr>
      <w:r>
        <w:rPr>
          <w:rFonts w:hint="eastAsia" w:ascii="宋体" w:hAnsi="宋体" w:cs="宋体"/>
          <w:sz w:val="24"/>
          <w:szCs w:val="24"/>
        </w:rPr>
        <w:t>指标算法包括如下：</w:t>
      </w:r>
    </w:p>
    <w:p>
      <w:pPr>
        <w:spacing w:line="360" w:lineRule="auto"/>
        <w:ind w:firstLine="420"/>
        <w:rPr>
          <w:rFonts w:ascii="宋体" w:hAnsi="宋体" w:cs="宋体"/>
          <w:sz w:val="24"/>
          <w:szCs w:val="24"/>
        </w:rPr>
      </w:pPr>
      <w:r>
        <w:rPr>
          <w:rFonts w:hint="eastAsia" w:ascii="宋体" w:hAnsi="宋体" w:cs="宋体"/>
          <w:sz w:val="24"/>
          <w:szCs w:val="24"/>
        </w:rPr>
        <w:t>1、算法目录管理</w:t>
      </w:r>
    </w:p>
    <w:p>
      <w:pPr>
        <w:spacing w:line="360" w:lineRule="auto"/>
        <w:ind w:firstLine="420"/>
        <w:rPr>
          <w:rFonts w:ascii="宋体" w:hAnsi="宋体" w:cs="宋体"/>
          <w:sz w:val="24"/>
          <w:szCs w:val="24"/>
        </w:rPr>
      </w:pPr>
      <w:r>
        <w:rPr>
          <w:rFonts w:hint="eastAsia" w:ascii="宋体" w:hAnsi="宋体" w:cs="宋体"/>
          <w:sz w:val="24"/>
          <w:szCs w:val="24"/>
        </w:rPr>
        <w:t>算法库中支持添加编辑算法目录及算法。</w:t>
      </w:r>
    </w:p>
    <w:p>
      <w:pPr>
        <w:spacing w:line="360" w:lineRule="auto"/>
        <w:ind w:firstLine="420"/>
        <w:rPr>
          <w:rFonts w:ascii="宋体" w:hAnsi="宋体" w:cs="宋体"/>
          <w:sz w:val="24"/>
          <w:szCs w:val="24"/>
        </w:rPr>
      </w:pPr>
      <w:r>
        <w:rPr>
          <w:rFonts w:hint="eastAsia" w:ascii="宋体" w:hAnsi="宋体" w:cs="宋体"/>
          <w:sz w:val="24"/>
          <w:szCs w:val="24"/>
        </w:rPr>
        <w:t>2、算法版本管理</w:t>
      </w:r>
    </w:p>
    <w:p>
      <w:pPr>
        <w:spacing w:line="360" w:lineRule="auto"/>
        <w:ind w:firstLine="420"/>
        <w:rPr>
          <w:rFonts w:ascii="宋体" w:hAnsi="宋体" w:cs="宋体"/>
          <w:sz w:val="24"/>
          <w:szCs w:val="24"/>
        </w:rPr>
      </w:pPr>
      <w:r>
        <w:rPr>
          <w:rFonts w:hint="eastAsia" w:ascii="宋体" w:hAnsi="宋体" w:cs="宋体"/>
          <w:sz w:val="24"/>
          <w:szCs w:val="24"/>
        </w:rPr>
        <w:t>同个算法中的结果算法和详情算法支持多个版本算法函数。</w:t>
      </w:r>
    </w:p>
    <w:p>
      <w:pPr>
        <w:spacing w:line="360" w:lineRule="auto"/>
        <w:ind w:firstLine="420"/>
        <w:rPr>
          <w:rFonts w:ascii="宋体" w:hAnsi="宋体" w:cs="宋体"/>
          <w:sz w:val="24"/>
          <w:szCs w:val="24"/>
        </w:rPr>
      </w:pPr>
      <w:r>
        <w:rPr>
          <w:rFonts w:hint="eastAsia" w:ascii="宋体" w:hAnsi="宋体" w:cs="宋体"/>
          <w:sz w:val="24"/>
          <w:szCs w:val="24"/>
        </w:rPr>
        <w:t>3、结果算法管理</w:t>
      </w:r>
    </w:p>
    <w:p>
      <w:pPr>
        <w:spacing w:line="360" w:lineRule="auto"/>
        <w:ind w:firstLine="420"/>
        <w:rPr>
          <w:rFonts w:ascii="宋体" w:hAnsi="宋体" w:cs="宋体"/>
          <w:sz w:val="24"/>
          <w:szCs w:val="24"/>
        </w:rPr>
      </w:pPr>
      <w:r>
        <w:rPr>
          <w:rFonts w:hint="eastAsia" w:ascii="宋体" w:hAnsi="宋体" w:cs="宋体"/>
          <w:sz w:val="24"/>
          <w:szCs w:val="24"/>
        </w:rPr>
        <w:t>要求结果算法实现质控点的结果数据计算，在诊改过程中实现指控点的结果数值计算。</w:t>
      </w:r>
    </w:p>
    <w:p>
      <w:pPr>
        <w:spacing w:line="360" w:lineRule="auto"/>
        <w:ind w:firstLine="420"/>
        <w:rPr>
          <w:rFonts w:ascii="宋体" w:hAnsi="宋体" w:cs="宋体"/>
          <w:sz w:val="24"/>
          <w:szCs w:val="24"/>
        </w:rPr>
      </w:pPr>
      <w:r>
        <w:rPr>
          <w:rFonts w:hint="eastAsia" w:ascii="宋体" w:hAnsi="宋体" w:cs="宋体"/>
          <w:sz w:val="24"/>
          <w:szCs w:val="24"/>
        </w:rPr>
        <w:t>4、过程详情算法管理</w:t>
      </w:r>
    </w:p>
    <w:p>
      <w:pPr>
        <w:spacing w:line="360" w:lineRule="auto"/>
        <w:ind w:firstLine="420"/>
        <w:rPr>
          <w:rFonts w:ascii="宋体" w:hAnsi="宋体" w:cs="宋体"/>
          <w:sz w:val="24"/>
          <w:szCs w:val="24"/>
        </w:rPr>
      </w:pPr>
      <w:r>
        <w:rPr>
          <w:rFonts w:hint="eastAsia" w:ascii="宋体" w:hAnsi="宋体" w:cs="宋体"/>
          <w:sz w:val="24"/>
          <w:szCs w:val="24"/>
        </w:rPr>
        <w:t>要求详情算法实现指控点的关联数据绑定与展示，在整改过程中实现指控点计算结果的下钻分析展示。</w:t>
      </w:r>
    </w:p>
    <w:p>
      <w:pPr>
        <w:pStyle w:val="5"/>
        <w:spacing w:line="360" w:lineRule="auto"/>
        <w:rPr>
          <w:rFonts w:ascii="宋体" w:hAnsi="宋体" w:cs="宋体"/>
          <w:sz w:val="24"/>
          <w:szCs w:val="24"/>
        </w:rPr>
      </w:pPr>
      <w:r>
        <w:rPr>
          <w:rFonts w:hint="eastAsia" w:ascii="宋体" w:hAnsi="宋体" w:cs="宋体"/>
          <w:sz w:val="24"/>
          <w:szCs w:val="24"/>
          <w:lang w:val="en-US" w:eastAsia="zh-CN"/>
        </w:rPr>
        <w:t>4.2.6</w:t>
      </w:r>
      <w:r>
        <w:rPr>
          <w:rFonts w:hint="eastAsia" w:ascii="宋体" w:hAnsi="宋体" w:cs="宋体"/>
          <w:sz w:val="24"/>
          <w:szCs w:val="24"/>
        </w:rPr>
        <w:t>诊断改进</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4.2.6.1</w:t>
      </w:r>
      <w:r>
        <w:rPr>
          <w:rFonts w:hint="eastAsia" w:ascii="宋体" w:hAnsi="宋体" w:eastAsia="宋体" w:cs="宋体"/>
          <w:sz w:val="24"/>
          <w:szCs w:val="24"/>
        </w:rPr>
        <w:t>诊改大厅</w:t>
      </w:r>
    </w:p>
    <w:p>
      <w:pPr>
        <w:spacing w:line="360" w:lineRule="auto"/>
        <w:ind w:firstLine="420"/>
        <w:rPr>
          <w:rFonts w:ascii="宋体" w:hAnsi="宋体" w:cs="宋体"/>
          <w:sz w:val="24"/>
          <w:szCs w:val="24"/>
        </w:rPr>
      </w:pPr>
      <w:r>
        <w:rPr>
          <w:rFonts w:hint="eastAsia" w:ascii="宋体" w:hAnsi="宋体" w:cs="宋体"/>
          <w:sz w:val="24"/>
          <w:szCs w:val="24"/>
        </w:rPr>
        <w:t>系统任务大厅可以查询所有诊改任务的基本信息、包括名称、监管人、周期、开始时间、自诊时间、结束时间。能够通过五个层面分别展示诊改任务的完成状态并支持下钻查看。</w:t>
      </w:r>
    </w:p>
    <w:p>
      <w:pPr>
        <w:spacing w:line="360" w:lineRule="auto"/>
        <w:ind w:firstLine="420"/>
        <w:rPr>
          <w:rFonts w:ascii="宋体" w:hAnsi="宋体" w:cs="宋体"/>
          <w:sz w:val="24"/>
          <w:szCs w:val="24"/>
        </w:rPr>
      </w:pPr>
      <w:r>
        <w:rPr>
          <w:rFonts w:hint="eastAsia" w:ascii="宋体" w:hAnsi="宋体" w:cs="宋体"/>
          <w:sz w:val="24"/>
          <w:szCs w:val="24"/>
        </w:rPr>
        <w:t>支持按照完成情况、维度、周期类型、周期值等关键信息快速定位诊改任务。</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4.2.6.2</w:t>
      </w:r>
      <w:r>
        <w:rPr>
          <w:rFonts w:hint="eastAsia" w:ascii="宋体" w:hAnsi="宋体" w:eastAsia="宋体" w:cs="宋体"/>
          <w:sz w:val="24"/>
          <w:szCs w:val="24"/>
        </w:rPr>
        <w:t>运行监控</w:t>
      </w:r>
    </w:p>
    <w:p>
      <w:pPr>
        <w:spacing w:line="360" w:lineRule="auto"/>
        <w:ind w:firstLine="420"/>
        <w:rPr>
          <w:rFonts w:ascii="宋体" w:hAnsi="宋体" w:cs="宋体"/>
          <w:sz w:val="24"/>
          <w:szCs w:val="24"/>
        </w:rPr>
      </w:pPr>
      <w:r>
        <w:rPr>
          <w:rFonts w:hint="eastAsia" w:ascii="宋体" w:hAnsi="宋体" w:cs="宋体"/>
          <w:sz w:val="24"/>
          <w:szCs w:val="24"/>
        </w:rPr>
        <w:t>▲运行监控通过事前、事中、事后三个维度展示五个层面诊改任务的整体信息，具体包括了指标父/子库数、预警处理次数、预警次数、采样次数、参与部门、标准/目标未完成质控点个数（占比）、优/差于上一轮质控点数（占比）等，应能够直观的展示所有诊改任务的总体情况。（投标人提供软件功能截图并加盖公章）</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4.2.6.3</w:t>
      </w:r>
      <w:r>
        <w:rPr>
          <w:rFonts w:hint="eastAsia" w:ascii="宋体" w:hAnsi="宋体" w:eastAsia="宋体" w:cs="宋体"/>
          <w:sz w:val="24"/>
          <w:szCs w:val="24"/>
        </w:rPr>
        <w:t>我的任务</w:t>
      </w:r>
    </w:p>
    <w:p>
      <w:pPr>
        <w:spacing w:line="360" w:lineRule="auto"/>
        <w:ind w:firstLine="420"/>
        <w:rPr>
          <w:rFonts w:ascii="宋体" w:hAnsi="宋体" w:cs="宋体"/>
          <w:sz w:val="24"/>
          <w:szCs w:val="24"/>
        </w:rPr>
      </w:pPr>
      <w:bookmarkStart w:id="504" w:name="_Hlk83717611"/>
      <w:r>
        <w:rPr>
          <w:rFonts w:hint="eastAsia" w:ascii="宋体" w:hAnsi="宋体" w:cs="宋体"/>
          <w:sz w:val="24"/>
          <w:szCs w:val="24"/>
        </w:rPr>
        <w:t>▲新建完一个诊改任务时，支持添加具体的任务执行对象，通过选择父指标库筛选出此任务下的所有诊改对象，并可将不同的诊改对象绑定具体的负责人和审核人，下发具体对象时需选择对应子指标库，从而实现同一个任务下发时，可对不同的诊改对象进行个性化目标制定，使目标制定更灵活、更合理。</w:t>
      </w:r>
      <w:bookmarkEnd w:id="504"/>
      <w:r>
        <w:rPr>
          <w:rFonts w:hint="eastAsia" w:ascii="宋体" w:hAnsi="宋体" w:cs="宋体"/>
          <w:sz w:val="24"/>
          <w:szCs w:val="24"/>
        </w:rPr>
        <w:t>（投标人提供软件功能截图并加盖公章）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支持诊断任务跟踪，包括查看指标体系及对应的诊断标准，诊断结果，计算等级，支撑材料，支持表格在线查看与对应诊改报告在线查看。</w:t>
      </w:r>
    </w:p>
    <w:p>
      <w:pPr>
        <w:spacing w:line="360" w:lineRule="auto"/>
        <w:ind w:firstLine="420"/>
        <w:rPr>
          <w:rFonts w:ascii="宋体" w:hAnsi="宋体" w:cs="宋体"/>
          <w:sz w:val="24"/>
          <w:szCs w:val="24"/>
        </w:rPr>
      </w:pPr>
      <w:r>
        <w:rPr>
          <w:rFonts w:hint="eastAsia" w:ascii="宋体" w:hAnsi="宋体" w:cs="宋体"/>
          <w:sz w:val="24"/>
          <w:szCs w:val="24"/>
        </w:rPr>
        <w:t>应包括如下操作：</w:t>
      </w:r>
    </w:p>
    <w:p>
      <w:pPr>
        <w:spacing w:line="360" w:lineRule="auto"/>
        <w:ind w:firstLine="420"/>
        <w:rPr>
          <w:rFonts w:ascii="宋体" w:hAnsi="宋体" w:cs="宋体"/>
          <w:sz w:val="24"/>
          <w:szCs w:val="24"/>
        </w:rPr>
      </w:pPr>
      <w:r>
        <w:rPr>
          <w:rFonts w:hint="eastAsia" w:ascii="宋体" w:hAnsi="宋体" w:cs="宋体"/>
          <w:sz w:val="24"/>
          <w:szCs w:val="24"/>
        </w:rPr>
        <w:t>(一)我的自诊</w:t>
      </w:r>
    </w:p>
    <w:p>
      <w:pPr>
        <w:spacing w:line="360" w:lineRule="auto"/>
        <w:ind w:firstLine="420"/>
        <w:rPr>
          <w:rFonts w:ascii="宋体" w:hAnsi="宋体" w:cs="宋体"/>
          <w:sz w:val="24"/>
          <w:szCs w:val="24"/>
        </w:rPr>
      </w:pPr>
      <w:r>
        <w:rPr>
          <w:rFonts w:hint="eastAsia" w:ascii="宋体" w:hAnsi="宋体" w:cs="宋体"/>
          <w:sz w:val="24"/>
          <w:szCs w:val="24"/>
        </w:rPr>
        <w:t>可以参看编辑当前用户为任务负责人时的诊改任务。</w:t>
      </w:r>
    </w:p>
    <w:p>
      <w:pPr>
        <w:spacing w:line="360" w:lineRule="auto"/>
        <w:ind w:firstLine="420"/>
        <w:rPr>
          <w:rFonts w:ascii="宋体" w:hAnsi="宋体" w:cs="宋体"/>
          <w:sz w:val="24"/>
          <w:szCs w:val="24"/>
        </w:rPr>
      </w:pPr>
      <w:r>
        <w:rPr>
          <w:rFonts w:hint="eastAsia" w:ascii="宋体" w:hAnsi="宋体" w:cs="宋体"/>
          <w:sz w:val="24"/>
          <w:szCs w:val="24"/>
        </w:rPr>
        <w:t>(二)我监管的任务</w:t>
      </w:r>
    </w:p>
    <w:p>
      <w:pPr>
        <w:spacing w:line="360" w:lineRule="auto"/>
        <w:ind w:firstLine="420"/>
        <w:rPr>
          <w:rFonts w:ascii="宋体" w:hAnsi="宋体" w:cs="宋体"/>
          <w:sz w:val="24"/>
          <w:szCs w:val="24"/>
        </w:rPr>
      </w:pPr>
      <w:r>
        <w:rPr>
          <w:rFonts w:hint="eastAsia" w:ascii="宋体" w:hAnsi="宋体" w:cs="宋体"/>
          <w:sz w:val="24"/>
          <w:szCs w:val="24"/>
        </w:rPr>
        <w:t>可以查看编辑当前用户作为监管人所负责的诊改任务。</w:t>
      </w:r>
    </w:p>
    <w:p>
      <w:pPr>
        <w:spacing w:line="360" w:lineRule="auto"/>
        <w:ind w:firstLine="420"/>
        <w:rPr>
          <w:rFonts w:ascii="宋体" w:hAnsi="宋体" w:cs="宋体"/>
          <w:sz w:val="24"/>
          <w:szCs w:val="24"/>
        </w:rPr>
      </w:pPr>
      <w:r>
        <w:rPr>
          <w:rFonts w:hint="eastAsia" w:ascii="宋体" w:hAnsi="宋体" w:cs="宋体"/>
          <w:sz w:val="24"/>
          <w:szCs w:val="24"/>
        </w:rPr>
        <w:t>(三)我审核的任务</w:t>
      </w:r>
    </w:p>
    <w:p>
      <w:pPr>
        <w:spacing w:line="360" w:lineRule="auto"/>
        <w:ind w:firstLine="420"/>
        <w:rPr>
          <w:rFonts w:ascii="宋体" w:hAnsi="宋体" w:cs="宋体"/>
          <w:sz w:val="24"/>
          <w:szCs w:val="24"/>
        </w:rPr>
      </w:pPr>
      <w:r>
        <w:rPr>
          <w:rFonts w:hint="eastAsia" w:ascii="宋体" w:hAnsi="宋体" w:cs="宋体"/>
          <w:sz w:val="24"/>
          <w:szCs w:val="24"/>
        </w:rPr>
        <w:t>可以查看审核当前用户为任务审核人的诊改任务。</w:t>
      </w:r>
    </w:p>
    <w:p>
      <w:pPr>
        <w:spacing w:line="360" w:lineRule="auto"/>
        <w:ind w:firstLine="420"/>
        <w:rPr>
          <w:rFonts w:ascii="宋体" w:hAnsi="宋体" w:cs="宋体"/>
          <w:sz w:val="24"/>
          <w:szCs w:val="24"/>
        </w:rPr>
      </w:pPr>
      <w:r>
        <w:rPr>
          <w:rFonts w:hint="eastAsia" w:ascii="宋体" w:hAnsi="宋体" w:cs="宋体"/>
          <w:sz w:val="24"/>
          <w:szCs w:val="24"/>
        </w:rPr>
        <w:t>(四)我发布的任务</w:t>
      </w:r>
    </w:p>
    <w:p>
      <w:pPr>
        <w:spacing w:line="360" w:lineRule="auto"/>
        <w:ind w:firstLine="420"/>
        <w:rPr>
          <w:rFonts w:ascii="宋体" w:hAnsi="宋体" w:cs="宋体"/>
          <w:sz w:val="24"/>
          <w:szCs w:val="24"/>
        </w:rPr>
      </w:pPr>
      <w:r>
        <w:rPr>
          <w:rFonts w:hint="eastAsia" w:ascii="宋体" w:hAnsi="宋体" w:cs="宋体"/>
          <w:sz w:val="24"/>
          <w:szCs w:val="24"/>
        </w:rPr>
        <w:t>可以查看当前用户所创建的诊改任务，同时支持权限范围内的用户能够创建任务，根据诊改层面，对应指标库，设置任务负责人、任务共享对象、起止时间、周期，能够筛选诊改对象，快速发布诊改任务。</w:t>
      </w:r>
    </w:p>
    <w:p>
      <w:pPr>
        <w:spacing w:line="360" w:lineRule="auto"/>
        <w:ind w:firstLine="420"/>
        <w:rPr>
          <w:rFonts w:ascii="宋体" w:hAnsi="宋体" w:cs="宋体"/>
          <w:sz w:val="24"/>
          <w:szCs w:val="24"/>
        </w:rPr>
      </w:pPr>
      <w:r>
        <w:rPr>
          <w:rFonts w:hint="eastAsia" w:ascii="宋体" w:hAnsi="宋体" w:cs="宋体"/>
          <w:sz w:val="24"/>
          <w:szCs w:val="24"/>
        </w:rPr>
        <w:t>(五)共享给我的任务</w:t>
      </w:r>
    </w:p>
    <w:p>
      <w:pPr>
        <w:spacing w:line="360" w:lineRule="auto"/>
        <w:ind w:firstLine="420"/>
        <w:rPr>
          <w:rFonts w:ascii="宋体" w:hAnsi="宋体" w:cs="宋体"/>
          <w:sz w:val="24"/>
          <w:szCs w:val="24"/>
        </w:rPr>
      </w:pPr>
      <w:r>
        <w:rPr>
          <w:rFonts w:hint="eastAsia" w:ascii="宋体" w:hAnsi="宋体" w:cs="宋体"/>
          <w:sz w:val="24"/>
          <w:szCs w:val="24"/>
        </w:rPr>
        <w:t>可以查看负责人共享给当前用户的诊改任务。</w:t>
      </w:r>
    </w:p>
    <w:p>
      <w:pPr>
        <w:spacing w:line="360" w:lineRule="auto"/>
        <w:ind w:firstLine="420"/>
        <w:rPr>
          <w:rFonts w:ascii="宋体" w:hAnsi="宋体" w:cs="宋体"/>
          <w:sz w:val="24"/>
          <w:szCs w:val="24"/>
        </w:rPr>
      </w:pPr>
      <w:r>
        <w:rPr>
          <w:rFonts w:hint="eastAsia" w:ascii="宋体" w:hAnsi="宋体" w:cs="宋体"/>
          <w:sz w:val="24"/>
          <w:szCs w:val="24"/>
        </w:rPr>
        <w:t>(六)回收站</w:t>
      </w:r>
    </w:p>
    <w:p>
      <w:pPr>
        <w:spacing w:line="360" w:lineRule="auto"/>
        <w:ind w:firstLine="420"/>
        <w:rPr>
          <w:rFonts w:ascii="宋体" w:hAnsi="宋体" w:cs="宋体"/>
          <w:sz w:val="24"/>
          <w:szCs w:val="24"/>
        </w:rPr>
      </w:pPr>
      <w:r>
        <w:rPr>
          <w:rFonts w:hint="eastAsia" w:ascii="宋体" w:hAnsi="宋体" w:cs="宋体"/>
          <w:sz w:val="24"/>
          <w:szCs w:val="24"/>
        </w:rPr>
        <w:t>可以查看以及恢复被删除的任务。</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4.2.6.4</w:t>
      </w:r>
      <w:r>
        <w:rPr>
          <w:rFonts w:hint="eastAsia" w:ascii="宋体" w:hAnsi="宋体" w:eastAsia="宋体" w:cs="宋体"/>
          <w:sz w:val="24"/>
          <w:szCs w:val="24"/>
        </w:rPr>
        <w:t>诊改分析</w:t>
      </w:r>
    </w:p>
    <w:p>
      <w:pPr>
        <w:spacing w:line="360" w:lineRule="auto"/>
        <w:ind w:firstLine="420"/>
        <w:rPr>
          <w:rFonts w:ascii="宋体" w:hAnsi="宋体" w:cs="宋体"/>
          <w:sz w:val="24"/>
          <w:szCs w:val="24"/>
        </w:rPr>
      </w:pPr>
      <w:r>
        <w:rPr>
          <w:rFonts w:hint="eastAsia" w:ascii="宋体" w:hAnsi="宋体" w:cs="宋体"/>
          <w:sz w:val="24"/>
          <w:szCs w:val="24"/>
        </w:rPr>
        <w:t>▲支持通过维度筛选查看具体诊改任务的分析数据，包括目标适切性分析以及综合得分分析，支持达标率、偏离率等的图形展示。（投标人提供软件功能截图并加盖公章）</w:t>
      </w:r>
    </w:p>
    <w:p>
      <w:pPr>
        <w:pStyle w:val="5"/>
        <w:spacing w:line="360" w:lineRule="auto"/>
        <w:rPr>
          <w:rFonts w:ascii="宋体" w:hAnsi="宋体" w:cs="宋体"/>
          <w:sz w:val="24"/>
          <w:szCs w:val="24"/>
        </w:rPr>
      </w:pPr>
      <w:r>
        <w:rPr>
          <w:rFonts w:hint="eastAsia" w:ascii="宋体" w:hAnsi="宋体" w:cs="宋体"/>
          <w:sz w:val="24"/>
          <w:szCs w:val="24"/>
          <w:lang w:val="en-US" w:eastAsia="zh-CN"/>
        </w:rPr>
        <w:t>4.2.7</w:t>
      </w:r>
      <w:r>
        <w:rPr>
          <w:rFonts w:hint="eastAsia" w:ascii="宋体" w:hAnsi="宋体" w:cs="宋体"/>
          <w:sz w:val="24"/>
          <w:szCs w:val="24"/>
        </w:rPr>
        <w:t>诊改流程管理</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4.2.7.1</w:t>
      </w:r>
      <w:r>
        <w:rPr>
          <w:rFonts w:hint="eastAsia" w:ascii="宋体" w:hAnsi="宋体" w:eastAsia="宋体" w:cs="宋体"/>
          <w:sz w:val="24"/>
          <w:szCs w:val="24"/>
        </w:rPr>
        <w:t>目标标准</w:t>
      </w:r>
    </w:p>
    <w:p>
      <w:pPr>
        <w:spacing w:line="360" w:lineRule="auto"/>
        <w:ind w:firstLine="420"/>
        <w:rPr>
          <w:rFonts w:ascii="宋体" w:hAnsi="宋体" w:cs="宋体"/>
          <w:sz w:val="24"/>
          <w:szCs w:val="24"/>
        </w:rPr>
      </w:pPr>
      <w:r>
        <w:rPr>
          <w:rFonts w:hint="eastAsia" w:ascii="宋体" w:hAnsi="宋体" w:cs="宋体"/>
          <w:sz w:val="24"/>
          <w:szCs w:val="24"/>
        </w:rPr>
        <w:t>(一)可自设目标</w:t>
      </w:r>
    </w:p>
    <w:p>
      <w:pPr>
        <w:spacing w:line="360" w:lineRule="auto"/>
        <w:ind w:firstLine="420"/>
        <w:rPr>
          <w:rFonts w:ascii="宋体" w:hAnsi="宋体" w:cs="宋体"/>
          <w:sz w:val="24"/>
          <w:szCs w:val="24"/>
        </w:rPr>
      </w:pPr>
      <w:r>
        <w:rPr>
          <w:rFonts w:hint="eastAsia" w:ascii="宋体" w:hAnsi="宋体" w:cs="宋体"/>
          <w:sz w:val="24"/>
          <w:szCs w:val="24"/>
        </w:rPr>
        <w:t>支持被诊改对象中的质控点目标值可以在目标标准阶段进行重新设定。</w:t>
      </w:r>
    </w:p>
    <w:p>
      <w:pPr>
        <w:spacing w:line="360" w:lineRule="auto"/>
        <w:ind w:firstLine="420"/>
        <w:rPr>
          <w:rFonts w:ascii="宋体" w:hAnsi="宋体" w:cs="宋体"/>
          <w:sz w:val="24"/>
          <w:szCs w:val="24"/>
        </w:rPr>
      </w:pPr>
      <w:r>
        <w:rPr>
          <w:rFonts w:hint="eastAsia" w:ascii="宋体" w:hAnsi="宋体" w:cs="宋体"/>
          <w:sz w:val="24"/>
          <w:szCs w:val="24"/>
        </w:rPr>
        <w:t>(二)可上传支撑材料</w:t>
      </w:r>
    </w:p>
    <w:p>
      <w:pPr>
        <w:spacing w:line="360" w:lineRule="auto"/>
        <w:ind w:firstLine="420"/>
        <w:rPr>
          <w:rFonts w:ascii="宋体" w:hAnsi="宋体" w:cs="宋体"/>
          <w:sz w:val="24"/>
          <w:szCs w:val="24"/>
        </w:rPr>
      </w:pPr>
      <w:r>
        <w:rPr>
          <w:rFonts w:hint="eastAsia" w:ascii="宋体" w:hAnsi="宋体" w:cs="宋体"/>
          <w:sz w:val="24"/>
          <w:szCs w:val="24"/>
        </w:rPr>
        <w:t>支持多个支撑材料的上传与下载</w:t>
      </w:r>
    </w:p>
    <w:p>
      <w:pPr>
        <w:spacing w:line="360" w:lineRule="auto"/>
        <w:ind w:firstLine="420"/>
        <w:rPr>
          <w:rFonts w:ascii="宋体" w:hAnsi="宋体" w:cs="宋体"/>
          <w:sz w:val="24"/>
          <w:szCs w:val="24"/>
        </w:rPr>
      </w:pPr>
      <w:r>
        <w:rPr>
          <w:rFonts w:hint="eastAsia" w:ascii="宋体" w:hAnsi="宋体" w:cs="宋体"/>
          <w:sz w:val="24"/>
          <w:szCs w:val="24"/>
        </w:rPr>
        <w:t>(三)可对目标进行审核</w:t>
      </w:r>
    </w:p>
    <w:p>
      <w:pPr>
        <w:spacing w:line="360" w:lineRule="auto"/>
        <w:ind w:firstLine="420"/>
        <w:rPr>
          <w:rFonts w:ascii="宋体" w:hAnsi="宋体" w:cs="宋体"/>
          <w:sz w:val="24"/>
          <w:szCs w:val="24"/>
        </w:rPr>
      </w:pPr>
      <w:r>
        <w:rPr>
          <w:rFonts w:hint="eastAsia" w:ascii="宋体" w:hAnsi="宋体" w:cs="宋体"/>
          <w:sz w:val="24"/>
          <w:szCs w:val="24"/>
        </w:rPr>
        <w:t>应满足重新设定完目标值后需要重新提交审核，审核人通过后该诊改对象才会进入下一阶段。</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4.2.7.2</w:t>
      </w:r>
      <w:r>
        <w:rPr>
          <w:rFonts w:hint="eastAsia" w:ascii="宋体" w:hAnsi="宋体" w:eastAsia="宋体" w:cs="宋体"/>
          <w:sz w:val="24"/>
          <w:szCs w:val="24"/>
        </w:rPr>
        <w:t>预警监测</w:t>
      </w:r>
    </w:p>
    <w:p>
      <w:pPr>
        <w:spacing w:line="360" w:lineRule="auto"/>
        <w:ind w:firstLine="420"/>
        <w:rPr>
          <w:rFonts w:ascii="宋体" w:hAnsi="宋体" w:cs="宋体"/>
          <w:sz w:val="24"/>
          <w:szCs w:val="24"/>
        </w:rPr>
      </w:pPr>
      <w:r>
        <w:rPr>
          <w:rFonts w:hint="eastAsia" w:ascii="宋体" w:hAnsi="宋体" w:cs="宋体"/>
          <w:sz w:val="24"/>
          <w:szCs w:val="24"/>
        </w:rPr>
        <w:t>(一)预警数目统计</w:t>
      </w:r>
    </w:p>
    <w:p>
      <w:pPr>
        <w:spacing w:line="360" w:lineRule="auto"/>
        <w:ind w:firstLine="420"/>
        <w:rPr>
          <w:rFonts w:ascii="宋体" w:hAnsi="宋体" w:cs="宋体"/>
          <w:sz w:val="24"/>
          <w:szCs w:val="24"/>
        </w:rPr>
      </w:pPr>
      <w:r>
        <w:rPr>
          <w:rFonts w:hint="eastAsia" w:ascii="宋体" w:hAnsi="宋体" w:cs="宋体"/>
          <w:sz w:val="24"/>
          <w:szCs w:val="24"/>
        </w:rPr>
        <w:t>当质控点数值超出预警设定范围时，诊改任务的监测预警阶段会自动记录当前预计数量和预警总计。</w:t>
      </w:r>
    </w:p>
    <w:p>
      <w:pPr>
        <w:spacing w:line="360" w:lineRule="auto"/>
        <w:ind w:firstLine="420"/>
        <w:rPr>
          <w:rFonts w:ascii="宋体" w:hAnsi="宋体" w:cs="宋体"/>
          <w:sz w:val="24"/>
          <w:szCs w:val="24"/>
        </w:rPr>
      </w:pPr>
      <w:r>
        <w:rPr>
          <w:rFonts w:hint="eastAsia" w:ascii="宋体" w:hAnsi="宋体" w:cs="宋体"/>
          <w:sz w:val="24"/>
          <w:szCs w:val="24"/>
        </w:rPr>
        <w:t>(二)多手段推送预警信息</w:t>
      </w:r>
    </w:p>
    <w:p>
      <w:pPr>
        <w:spacing w:line="360" w:lineRule="auto"/>
        <w:ind w:firstLine="420"/>
        <w:rPr>
          <w:rFonts w:ascii="宋体" w:hAnsi="宋体" w:cs="宋体"/>
          <w:sz w:val="24"/>
          <w:szCs w:val="24"/>
        </w:rPr>
      </w:pPr>
      <w:r>
        <w:rPr>
          <w:rFonts w:hint="eastAsia" w:ascii="宋体" w:hAnsi="宋体" w:cs="宋体"/>
          <w:sz w:val="24"/>
          <w:szCs w:val="24"/>
        </w:rPr>
        <w:t>▲在指标库的指标质控点中，可以选择触发预警时系统以哪种消息方式通知用户，目前支持短信、微信和邮件的方式。（投标人提供软件功能截图并加盖公章）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(三)预警过程全记录</w:t>
      </w:r>
    </w:p>
    <w:p>
      <w:pPr>
        <w:spacing w:line="360" w:lineRule="auto"/>
        <w:ind w:firstLine="420"/>
        <w:rPr>
          <w:rFonts w:ascii="宋体" w:hAnsi="宋体" w:cs="宋体"/>
          <w:sz w:val="24"/>
          <w:szCs w:val="24"/>
        </w:rPr>
      </w:pPr>
      <w:r>
        <w:rPr>
          <w:rFonts w:hint="eastAsia" w:ascii="宋体" w:hAnsi="宋体" w:cs="宋体"/>
          <w:sz w:val="24"/>
          <w:szCs w:val="24"/>
        </w:rPr>
        <w:t>▲监测质控点的所有预警状况，包括按统计预警次数，处理次数，未及时处理次数，趋势分析的曲线图，支持预警关闭功能。（投标人提供软件功能截图并加盖公章）</w:t>
      </w:r>
    </w:p>
    <w:p>
      <w:pPr>
        <w:spacing w:line="360" w:lineRule="auto"/>
        <w:ind w:firstLine="420"/>
        <w:rPr>
          <w:rFonts w:ascii="宋体" w:hAnsi="宋体" w:cs="宋体"/>
          <w:sz w:val="24"/>
          <w:szCs w:val="24"/>
        </w:rPr>
      </w:pPr>
      <w:r>
        <w:rPr>
          <w:rFonts w:hint="eastAsia" w:ascii="宋体" w:hAnsi="宋体" w:cs="宋体"/>
          <w:sz w:val="24"/>
          <w:szCs w:val="24"/>
        </w:rPr>
        <w:t>(四)可上传支撑材料</w:t>
      </w:r>
    </w:p>
    <w:p>
      <w:pPr>
        <w:spacing w:line="360" w:lineRule="auto"/>
        <w:ind w:firstLine="420"/>
        <w:rPr>
          <w:rFonts w:ascii="宋体" w:hAnsi="宋体" w:cs="宋体"/>
          <w:sz w:val="24"/>
          <w:szCs w:val="24"/>
        </w:rPr>
      </w:pPr>
      <w:r>
        <w:rPr>
          <w:rFonts w:hint="eastAsia" w:ascii="宋体" w:hAnsi="宋体" w:cs="宋体"/>
          <w:sz w:val="24"/>
          <w:szCs w:val="24"/>
        </w:rPr>
        <w:t>支持多个支撑材料的上传与下载，文件类别的指标观察点支撑通过上传文件解除预警。</w:t>
      </w:r>
    </w:p>
    <w:p>
      <w:pPr>
        <w:spacing w:line="360" w:lineRule="auto"/>
        <w:ind w:firstLine="420"/>
        <w:rPr>
          <w:rFonts w:ascii="宋体" w:hAnsi="宋体" w:cs="宋体"/>
          <w:sz w:val="24"/>
          <w:szCs w:val="24"/>
        </w:rPr>
      </w:pPr>
      <w:r>
        <w:rPr>
          <w:rFonts w:hint="eastAsia" w:ascii="宋体" w:hAnsi="宋体" w:cs="宋体"/>
          <w:sz w:val="24"/>
          <w:szCs w:val="24"/>
        </w:rPr>
        <w:t>(五)实时计算分析</w:t>
      </w:r>
    </w:p>
    <w:p>
      <w:pPr>
        <w:spacing w:line="360" w:lineRule="auto"/>
        <w:ind w:firstLine="420"/>
        <w:rPr>
          <w:rFonts w:ascii="宋体" w:hAnsi="宋体" w:cs="宋体"/>
          <w:sz w:val="24"/>
          <w:szCs w:val="24"/>
        </w:rPr>
      </w:pPr>
      <w:r>
        <w:rPr>
          <w:rFonts w:hint="eastAsia" w:ascii="宋体" w:hAnsi="宋体" w:cs="宋体"/>
          <w:sz w:val="24"/>
          <w:szCs w:val="24"/>
        </w:rPr>
        <w:t>通过质控点的算法可以实时计算出该质控点的诊断结果。</w:t>
      </w:r>
    </w:p>
    <w:p>
      <w:pPr>
        <w:spacing w:line="360" w:lineRule="auto"/>
        <w:ind w:firstLine="420"/>
        <w:rPr>
          <w:rFonts w:ascii="宋体" w:hAnsi="宋体" w:cs="宋体"/>
          <w:sz w:val="24"/>
          <w:szCs w:val="24"/>
        </w:rPr>
      </w:pPr>
      <w:r>
        <w:rPr>
          <w:rFonts w:hint="eastAsia" w:ascii="宋体" w:hAnsi="宋体" w:cs="宋体"/>
          <w:sz w:val="24"/>
          <w:szCs w:val="24"/>
        </w:rPr>
        <w:t>(六)导出分析结果</w:t>
      </w:r>
    </w:p>
    <w:p>
      <w:pPr>
        <w:spacing w:line="360" w:lineRule="auto"/>
        <w:ind w:firstLine="420"/>
        <w:rPr>
          <w:rFonts w:ascii="宋体" w:hAnsi="宋体" w:cs="宋体"/>
          <w:sz w:val="24"/>
          <w:szCs w:val="24"/>
        </w:rPr>
      </w:pPr>
      <w:r>
        <w:rPr>
          <w:rFonts w:hint="eastAsia" w:ascii="宋体" w:hAnsi="宋体" w:cs="宋体"/>
          <w:sz w:val="24"/>
          <w:szCs w:val="24"/>
        </w:rPr>
        <w:t>通过质量分析计算出质控点的诊断结果后，在页面点击导出按钮可以导出分析结果。</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4.2.7.3</w:t>
      </w:r>
      <w:r>
        <w:rPr>
          <w:rFonts w:hint="eastAsia" w:ascii="宋体" w:hAnsi="宋体" w:eastAsia="宋体" w:cs="宋体"/>
          <w:sz w:val="24"/>
          <w:szCs w:val="24"/>
        </w:rPr>
        <w:t>自我诊断</w:t>
      </w:r>
    </w:p>
    <w:p>
      <w:pPr>
        <w:spacing w:line="360" w:lineRule="auto"/>
        <w:ind w:firstLine="420"/>
        <w:rPr>
          <w:rFonts w:ascii="宋体" w:hAnsi="宋体" w:cs="宋体"/>
          <w:sz w:val="24"/>
          <w:szCs w:val="24"/>
        </w:rPr>
      </w:pPr>
      <w:r>
        <w:rPr>
          <w:rFonts w:hint="eastAsia" w:ascii="宋体" w:hAnsi="宋体" w:cs="宋体"/>
          <w:sz w:val="24"/>
          <w:szCs w:val="24"/>
        </w:rPr>
        <w:t>(一)可修正诊断后的结果</w:t>
      </w:r>
    </w:p>
    <w:p>
      <w:pPr>
        <w:spacing w:line="360" w:lineRule="auto"/>
        <w:ind w:firstLine="420"/>
        <w:rPr>
          <w:rFonts w:ascii="宋体" w:hAnsi="宋体" w:cs="宋体"/>
          <w:sz w:val="24"/>
          <w:szCs w:val="24"/>
        </w:rPr>
      </w:pPr>
      <w:r>
        <w:rPr>
          <w:rFonts w:hint="eastAsia" w:ascii="宋体" w:hAnsi="宋体" w:cs="宋体"/>
          <w:sz w:val="24"/>
          <w:szCs w:val="24"/>
        </w:rPr>
        <w:t>支持质控点计算值的修正，在修正框中输入修正值。</w:t>
      </w:r>
    </w:p>
    <w:p>
      <w:pPr>
        <w:spacing w:line="360" w:lineRule="auto"/>
        <w:ind w:firstLine="420"/>
        <w:rPr>
          <w:rFonts w:ascii="宋体" w:hAnsi="宋体" w:cs="宋体"/>
          <w:sz w:val="24"/>
          <w:szCs w:val="24"/>
        </w:rPr>
      </w:pPr>
      <w:r>
        <w:rPr>
          <w:rFonts w:hint="eastAsia" w:ascii="宋体" w:hAnsi="宋体" w:cs="宋体"/>
          <w:sz w:val="24"/>
          <w:szCs w:val="24"/>
        </w:rPr>
        <w:t>(二)可上传支撑材料</w:t>
      </w:r>
    </w:p>
    <w:p>
      <w:pPr>
        <w:spacing w:line="360" w:lineRule="auto"/>
        <w:ind w:firstLine="420"/>
        <w:rPr>
          <w:rFonts w:ascii="宋体" w:hAnsi="宋体" w:cs="宋体"/>
          <w:sz w:val="24"/>
          <w:szCs w:val="24"/>
        </w:rPr>
      </w:pPr>
      <w:r>
        <w:rPr>
          <w:rFonts w:hint="eastAsia" w:ascii="宋体" w:hAnsi="宋体" w:cs="宋体"/>
          <w:sz w:val="24"/>
          <w:szCs w:val="24"/>
        </w:rPr>
        <w:t>支持多个支撑材料的上传与下载。</w:t>
      </w:r>
    </w:p>
    <w:p>
      <w:pPr>
        <w:spacing w:line="360" w:lineRule="auto"/>
        <w:ind w:firstLine="420"/>
        <w:rPr>
          <w:rFonts w:ascii="宋体" w:hAnsi="宋体" w:cs="宋体"/>
          <w:sz w:val="24"/>
          <w:szCs w:val="24"/>
        </w:rPr>
      </w:pPr>
      <w:r>
        <w:rPr>
          <w:rFonts w:hint="eastAsia" w:ascii="宋体" w:hAnsi="宋体" w:cs="宋体"/>
          <w:sz w:val="24"/>
          <w:szCs w:val="24"/>
        </w:rPr>
        <w:t>(三)可对修正进行说明</w:t>
      </w:r>
    </w:p>
    <w:p>
      <w:pPr>
        <w:spacing w:line="360" w:lineRule="auto"/>
        <w:ind w:firstLine="420"/>
        <w:rPr>
          <w:rFonts w:ascii="宋体" w:hAnsi="宋体" w:cs="宋体"/>
          <w:sz w:val="24"/>
          <w:szCs w:val="24"/>
        </w:rPr>
      </w:pPr>
      <w:r>
        <w:rPr>
          <w:rFonts w:hint="eastAsia" w:ascii="宋体" w:hAnsi="宋体" w:cs="宋体"/>
          <w:sz w:val="24"/>
          <w:szCs w:val="24"/>
        </w:rPr>
        <w:t>可对修正值进行文字描述说明。</w:t>
      </w:r>
    </w:p>
    <w:p>
      <w:pPr>
        <w:spacing w:line="360" w:lineRule="auto"/>
        <w:ind w:firstLine="420"/>
        <w:rPr>
          <w:rFonts w:ascii="宋体" w:hAnsi="宋体" w:cs="宋体"/>
          <w:sz w:val="24"/>
          <w:szCs w:val="24"/>
        </w:rPr>
      </w:pPr>
      <w:r>
        <w:rPr>
          <w:rFonts w:hint="eastAsia" w:ascii="宋体" w:hAnsi="宋体" w:cs="宋体"/>
          <w:sz w:val="24"/>
          <w:szCs w:val="24"/>
        </w:rPr>
        <w:t>(四)可对自我诊断后的结果进行审核</w:t>
      </w:r>
    </w:p>
    <w:p>
      <w:pPr>
        <w:spacing w:line="360" w:lineRule="auto"/>
        <w:ind w:firstLine="420"/>
        <w:rPr>
          <w:rFonts w:ascii="宋体" w:hAnsi="宋体" w:cs="宋体"/>
          <w:sz w:val="24"/>
          <w:szCs w:val="24"/>
        </w:rPr>
      </w:pPr>
      <w:r>
        <w:rPr>
          <w:rFonts w:hint="eastAsia" w:ascii="宋体" w:hAnsi="宋体" w:cs="宋体"/>
          <w:sz w:val="24"/>
          <w:szCs w:val="24"/>
        </w:rPr>
        <w:t>确认计算值无误后，点击提交审核。审核人审核通过后，可以进入下一阶段总结改进。</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4.2.7.4</w:t>
      </w:r>
      <w:r>
        <w:rPr>
          <w:rFonts w:hint="eastAsia" w:ascii="宋体" w:hAnsi="宋体" w:eastAsia="宋体" w:cs="宋体"/>
          <w:sz w:val="24"/>
          <w:szCs w:val="24"/>
        </w:rPr>
        <w:t>诊改报告</w:t>
      </w:r>
    </w:p>
    <w:p>
      <w:pPr>
        <w:spacing w:line="360" w:lineRule="auto"/>
        <w:ind w:firstLine="420"/>
        <w:rPr>
          <w:rFonts w:ascii="宋体" w:hAnsi="宋体" w:cs="宋体"/>
          <w:sz w:val="24"/>
          <w:szCs w:val="24"/>
        </w:rPr>
      </w:pPr>
      <w:r>
        <w:rPr>
          <w:rFonts w:hint="eastAsia" w:ascii="宋体" w:hAnsi="宋体" w:cs="宋体"/>
          <w:sz w:val="24"/>
          <w:szCs w:val="24"/>
        </w:rPr>
        <w:t>(一)可退回报告</w:t>
      </w:r>
    </w:p>
    <w:p>
      <w:pPr>
        <w:spacing w:line="360" w:lineRule="auto"/>
        <w:ind w:firstLine="420"/>
        <w:rPr>
          <w:rFonts w:ascii="宋体" w:hAnsi="宋体" w:cs="宋体"/>
          <w:sz w:val="24"/>
          <w:szCs w:val="24"/>
        </w:rPr>
      </w:pPr>
      <w:r>
        <w:rPr>
          <w:rFonts w:hint="eastAsia" w:ascii="宋体" w:hAnsi="宋体" w:cs="宋体"/>
          <w:sz w:val="24"/>
          <w:szCs w:val="24"/>
        </w:rPr>
        <w:t>诊改报告在审核过程中，领导和管理人员可以对报告执行退回操作。</w:t>
      </w:r>
    </w:p>
    <w:p>
      <w:pPr>
        <w:spacing w:line="360" w:lineRule="auto"/>
        <w:ind w:firstLine="420"/>
        <w:rPr>
          <w:rFonts w:ascii="宋体" w:hAnsi="宋体" w:cs="宋体"/>
          <w:sz w:val="24"/>
          <w:szCs w:val="24"/>
        </w:rPr>
      </w:pPr>
      <w:r>
        <w:rPr>
          <w:rFonts w:hint="eastAsia" w:ascii="宋体" w:hAnsi="宋体" w:cs="宋体"/>
          <w:sz w:val="24"/>
          <w:szCs w:val="24"/>
        </w:rPr>
        <w:t>(二)报告需审核</w:t>
      </w:r>
    </w:p>
    <w:p>
      <w:pPr>
        <w:spacing w:line="360" w:lineRule="auto"/>
        <w:ind w:firstLine="420"/>
        <w:rPr>
          <w:rFonts w:ascii="宋体" w:hAnsi="宋体" w:cs="宋体"/>
          <w:sz w:val="24"/>
          <w:szCs w:val="24"/>
        </w:rPr>
      </w:pPr>
      <w:r>
        <w:rPr>
          <w:rFonts w:hint="eastAsia" w:ascii="宋体" w:hAnsi="宋体" w:cs="宋体"/>
          <w:sz w:val="24"/>
          <w:szCs w:val="24"/>
        </w:rPr>
        <w:t>报告在发布之前应先通过相关部门和管理人员的审核。</w:t>
      </w:r>
    </w:p>
    <w:p>
      <w:pPr>
        <w:spacing w:line="360" w:lineRule="auto"/>
        <w:ind w:firstLine="420"/>
        <w:rPr>
          <w:rFonts w:ascii="宋体" w:hAnsi="宋体" w:cs="宋体"/>
          <w:sz w:val="24"/>
          <w:szCs w:val="24"/>
        </w:rPr>
      </w:pPr>
      <w:r>
        <w:rPr>
          <w:rFonts w:hint="eastAsia" w:ascii="宋体" w:hAnsi="宋体" w:cs="宋体"/>
          <w:sz w:val="24"/>
          <w:szCs w:val="24"/>
        </w:rPr>
        <w:t>(三)报告可下载</w:t>
      </w:r>
    </w:p>
    <w:p>
      <w:pPr>
        <w:spacing w:line="360" w:lineRule="auto"/>
        <w:ind w:firstLine="420"/>
        <w:rPr>
          <w:rFonts w:ascii="宋体" w:hAnsi="宋体" w:cs="宋体"/>
          <w:sz w:val="24"/>
          <w:szCs w:val="24"/>
        </w:rPr>
      </w:pPr>
      <w:r>
        <w:rPr>
          <w:rFonts w:hint="eastAsia" w:ascii="宋体" w:hAnsi="宋体" w:cs="宋体"/>
          <w:sz w:val="24"/>
          <w:szCs w:val="24"/>
        </w:rPr>
        <w:t>生成诊改报告后，支撑下载报告功能。</w:t>
      </w:r>
    </w:p>
    <w:p>
      <w:pPr>
        <w:spacing w:line="360" w:lineRule="auto"/>
        <w:ind w:firstLine="420"/>
        <w:rPr>
          <w:rFonts w:ascii="宋体" w:hAnsi="宋体" w:cs="宋体"/>
          <w:sz w:val="24"/>
          <w:szCs w:val="24"/>
        </w:rPr>
      </w:pPr>
      <w:r>
        <w:rPr>
          <w:rFonts w:hint="eastAsia" w:ascii="宋体" w:hAnsi="宋体" w:cs="宋体"/>
          <w:sz w:val="24"/>
          <w:szCs w:val="24"/>
        </w:rPr>
        <w:t>(四)可评论报告</w:t>
      </w:r>
    </w:p>
    <w:p>
      <w:pPr>
        <w:spacing w:line="360" w:lineRule="auto"/>
        <w:ind w:firstLine="420"/>
        <w:rPr>
          <w:rFonts w:ascii="宋体" w:hAnsi="宋体" w:cs="宋体"/>
          <w:sz w:val="24"/>
          <w:szCs w:val="24"/>
        </w:rPr>
      </w:pPr>
      <w:r>
        <w:rPr>
          <w:rFonts w:hint="eastAsia" w:ascii="宋体" w:hAnsi="宋体" w:cs="宋体"/>
          <w:sz w:val="24"/>
          <w:szCs w:val="24"/>
        </w:rPr>
        <w:t>针对诊改报告，用户可以在页面下方参与评论。</w:t>
      </w:r>
    </w:p>
    <w:p>
      <w:pPr>
        <w:pStyle w:val="5"/>
        <w:spacing w:line="360" w:lineRule="auto"/>
        <w:rPr>
          <w:rFonts w:ascii="宋体" w:hAnsi="宋体" w:cs="宋体"/>
          <w:sz w:val="24"/>
          <w:szCs w:val="24"/>
        </w:rPr>
      </w:pPr>
      <w:r>
        <w:rPr>
          <w:rFonts w:hint="eastAsia" w:ascii="宋体" w:hAnsi="宋体" w:cs="宋体"/>
          <w:sz w:val="24"/>
          <w:szCs w:val="24"/>
          <w:lang w:val="en-US" w:eastAsia="zh-CN"/>
        </w:rPr>
        <w:t>4.2.8</w:t>
      </w:r>
      <w:r>
        <w:rPr>
          <w:rFonts w:hint="eastAsia" w:ascii="宋体" w:hAnsi="宋体" w:cs="宋体"/>
          <w:sz w:val="24"/>
          <w:szCs w:val="24"/>
        </w:rPr>
        <w:t>预警中心</w:t>
      </w:r>
    </w:p>
    <w:p>
      <w:pPr>
        <w:spacing w:line="360" w:lineRule="auto"/>
        <w:ind w:firstLine="420"/>
        <w:rPr>
          <w:rFonts w:ascii="宋体" w:hAnsi="宋体" w:cs="宋体"/>
          <w:sz w:val="24"/>
          <w:szCs w:val="24"/>
        </w:rPr>
      </w:pPr>
      <w:r>
        <w:rPr>
          <w:rFonts w:hint="eastAsia" w:ascii="宋体" w:hAnsi="宋体" w:cs="宋体"/>
          <w:sz w:val="24"/>
          <w:szCs w:val="24"/>
        </w:rPr>
        <w:t>预警中心包括全部预警和我的预警</w:t>
      </w:r>
    </w:p>
    <w:p>
      <w:pPr>
        <w:spacing w:line="360" w:lineRule="auto"/>
        <w:ind w:firstLine="420"/>
        <w:rPr>
          <w:rFonts w:ascii="宋体" w:hAnsi="宋体" w:cs="宋体"/>
          <w:sz w:val="24"/>
          <w:szCs w:val="24"/>
        </w:rPr>
      </w:pPr>
      <w:r>
        <w:rPr>
          <w:rFonts w:hint="eastAsia" w:ascii="宋体" w:hAnsi="宋体" w:cs="宋体"/>
          <w:sz w:val="24"/>
          <w:szCs w:val="24"/>
        </w:rPr>
        <w:t>1、在全部预警中可以监测到所有任务的预警数据，数据内容包含当前预警数、历史预警总数、预警处理次数和预警详细数据列表；</w:t>
      </w:r>
    </w:p>
    <w:p>
      <w:pPr>
        <w:spacing w:line="360" w:lineRule="auto"/>
        <w:ind w:firstLine="420"/>
        <w:rPr>
          <w:rFonts w:ascii="宋体" w:hAnsi="宋体" w:cs="宋体"/>
          <w:sz w:val="24"/>
          <w:szCs w:val="24"/>
        </w:rPr>
      </w:pPr>
      <w:r>
        <w:rPr>
          <w:rFonts w:hint="eastAsia" w:ascii="宋体" w:hAnsi="宋体" w:cs="宋体"/>
          <w:sz w:val="24"/>
          <w:szCs w:val="24"/>
        </w:rPr>
        <w:t>2、在我的预警中用户可以查看到自己负责的任务的预警数据，数据内容包含当前预警数、历史预警总数、预警处理次数和预警详细数据列表。</w:t>
      </w:r>
    </w:p>
    <w:p>
      <w:pPr>
        <w:pStyle w:val="5"/>
        <w:spacing w:line="360" w:lineRule="auto"/>
        <w:rPr>
          <w:rFonts w:ascii="宋体" w:hAnsi="宋体" w:cs="宋体"/>
          <w:sz w:val="24"/>
          <w:szCs w:val="24"/>
        </w:rPr>
      </w:pPr>
      <w:r>
        <w:rPr>
          <w:rFonts w:hint="eastAsia" w:ascii="宋体" w:hAnsi="宋体" w:cs="宋体"/>
          <w:sz w:val="24"/>
          <w:szCs w:val="24"/>
          <w:lang w:val="en-US" w:eastAsia="zh-CN"/>
        </w:rPr>
        <w:t>4.2.9</w:t>
      </w:r>
      <w:r>
        <w:rPr>
          <w:rFonts w:hint="eastAsia" w:ascii="宋体" w:hAnsi="宋体" w:cs="宋体"/>
          <w:sz w:val="24"/>
          <w:szCs w:val="24"/>
        </w:rPr>
        <w:t>质量报告</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4.2.9.1</w:t>
      </w:r>
      <w:r>
        <w:rPr>
          <w:rFonts w:hint="eastAsia" w:ascii="宋体" w:hAnsi="宋体" w:eastAsia="宋体" w:cs="宋体"/>
          <w:sz w:val="24"/>
          <w:szCs w:val="24"/>
        </w:rPr>
        <w:t>诊改报告</w:t>
      </w:r>
    </w:p>
    <w:p>
      <w:pPr>
        <w:spacing w:line="360" w:lineRule="auto"/>
        <w:ind w:firstLine="420"/>
        <w:rPr>
          <w:rFonts w:ascii="宋体" w:hAnsi="宋体" w:cs="宋体"/>
          <w:sz w:val="24"/>
          <w:szCs w:val="24"/>
        </w:rPr>
      </w:pPr>
      <w:r>
        <w:rPr>
          <w:rFonts w:hint="eastAsia" w:ascii="宋体" w:hAnsi="宋体" w:cs="宋体"/>
          <w:sz w:val="24"/>
          <w:szCs w:val="24"/>
        </w:rPr>
        <w:t>提供基于指标体系的分析模块，可针对学校层、专业层、课程层、师资层、学生层进行指标分析。</w:t>
      </w:r>
    </w:p>
    <w:p>
      <w:pPr>
        <w:spacing w:line="360" w:lineRule="auto"/>
        <w:ind w:firstLine="420"/>
        <w:rPr>
          <w:rFonts w:ascii="宋体" w:hAnsi="宋体" w:cs="宋体"/>
          <w:sz w:val="24"/>
          <w:szCs w:val="24"/>
        </w:rPr>
      </w:pPr>
      <w:r>
        <w:rPr>
          <w:rFonts w:hint="eastAsia" w:ascii="宋体" w:hAnsi="宋体" w:cs="宋体"/>
          <w:sz w:val="24"/>
          <w:szCs w:val="24"/>
        </w:rPr>
        <w:t>支持自动生成诊改报告，诊改报告支持按照各层面、各维度分类，并且能够基于每一个指标库独立生成诊改报告。</w:t>
      </w:r>
    </w:p>
    <w:p>
      <w:pPr>
        <w:spacing w:line="360" w:lineRule="auto"/>
        <w:ind w:firstLine="420"/>
        <w:rPr>
          <w:rFonts w:ascii="宋体" w:hAnsi="宋体" w:cs="宋体"/>
          <w:sz w:val="24"/>
          <w:szCs w:val="24"/>
        </w:rPr>
      </w:pPr>
      <w:r>
        <w:rPr>
          <w:rFonts w:hint="eastAsia" w:ascii="宋体" w:hAnsi="宋体" w:cs="宋体"/>
          <w:sz w:val="24"/>
          <w:szCs w:val="24"/>
        </w:rPr>
        <w:t>诊改报告支持一键退回，专家复诊。</w:t>
      </w:r>
    </w:p>
    <w:p>
      <w:pPr>
        <w:spacing w:line="360" w:lineRule="auto"/>
        <w:ind w:firstLine="420"/>
        <w:rPr>
          <w:rFonts w:ascii="宋体" w:hAnsi="宋体" w:cs="宋体"/>
          <w:sz w:val="24"/>
          <w:szCs w:val="24"/>
        </w:rPr>
      </w:pPr>
      <w:r>
        <w:rPr>
          <w:rFonts w:hint="eastAsia" w:ascii="宋体" w:hAnsi="宋体" w:cs="宋体"/>
          <w:sz w:val="24"/>
          <w:szCs w:val="24"/>
        </w:rPr>
        <w:t>（1）支持生成学校层诊改报告，支持生成各类诊改对象所对应的诊改报告。学校层诊改报告内容必须包括自我诊改概述、自我诊改表。诊改概述应包括主要问题，改进措施，意见反馈，改进成效。自我诊改表应包括一级指标、二级指标、质控点、数据内涵、诊断标准、测量结果、对标等级等。</w:t>
      </w:r>
    </w:p>
    <w:p>
      <w:pPr>
        <w:spacing w:line="360" w:lineRule="auto"/>
        <w:ind w:firstLine="420"/>
        <w:rPr>
          <w:rFonts w:ascii="宋体" w:hAnsi="宋体" w:cs="宋体"/>
          <w:sz w:val="24"/>
          <w:szCs w:val="24"/>
        </w:rPr>
      </w:pPr>
      <w:r>
        <w:rPr>
          <w:rFonts w:hint="eastAsia" w:ascii="宋体" w:hAnsi="宋体" w:cs="宋体"/>
          <w:sz w:val="24"/>
          <w:szCs w:val="24"/>
        </w:rPr>
        <w:t>（2）支持生成专业层诊改报告，该报告必须包括自我诊改概述和自我诊改表。</w:t>
      </w:r>
    </w:p>
    <w:p>
      <w:pPr>
        <w:spacing w:line="360" w:lineRule="auto"/>
        <w:ind w:firstLine="420"/>
        <w:rPr>
          <w:rFonts w:ascii="宋体" w:hAnsi="宋体" w:cs="宋体"/>
          <w:sz w:val="24"/>
          <w:szCs w:val="24"/>
        </w:rPr>
      </w:pPr>
      <w:r>
        <w:rPr>
          <w:rFonts w:hint="eastAsia" w:ascii="宋体" w:hAnsi="宋体" w:cs="宋体"/>
          <w:sz w:val="24"/>
          <w:szCs w:val="24"/>
        </w:rPr>
        <w:t>（3）支持生成课程层诊改报告，该报告应包括自我诊改概述和自我诊改表。</w:t>
      </w:r>
    </w:p>
    <w:p>
      <w:pPr>
        <w:spacing w:line="360" w:lineRule="auto"/>
        <w:ind w:firstLine="420"/>
        <w:rPr>
          <w:rFonts w:ascii="宋体" w:hAnsi="宋体" w:cs="宋体"/>
          <w:sz w:val="24"/>
          <w:szCs w:val="24"/>
        </w:rPr>
      </w:pPr>
      <w:r>
        <w:rPr>
          <w:rFonts w:hint="eastAsia" w:ascii="宋体" w:hAnsi="宋体" w:cs="宋体"/>
          <w:sz w:val="24"/>
          <w:szCs w:val="24"/>
        </w:rPr>
        <w:t>（4）支持生成教师层诊改报告，该报告应包括自我诊断概述和自我诊改表。</w:t>
      </w:r>
    </w:p>
    <w:p>
      <w:pPr>
        <w:spacing w:line="360" w:lineRule="auto"/>
        <w:ind w:firstLine="420"/>
        <w:rPr>
          <w:rFonts w:ascii="宋体" w:hAnsi="宋体" w:cs="宋体"/>
          <w:sz w:val="24"/>
          <w:szCs w:val="24"/>
        </w:rPr>
      </w:pPr>
      <w:r>
        <w:rPr>
          <w:rFonts w:hint="eastAsia" w:ascii="宋体" w:hAnsi="宋体" w:cs="宋体"/>
          <w:sz w:val="24"/>
          <w:szCs w:val="24"/>
        </w:rPr>
        <w:t>（5）支持生成学生层诊改报告，该报告应包括自我诊断概述和自我诊改表。</w:t>
      </w:r>
    </w:p>
    <w:p>
      <w:pPr>
        <w:spacing w:line="360" w:lineRule="auto"/>
        <w:ind w:firstLine="420"/>
        <w:rPr>
          <w:rFonts w:ascii="宋体" w:hAnsi="宋体" w:cs="宋体"/>
          <w:sz w:val="24"/>
          <w:szCs w:val="24"/>
        </w:rPr>
      </w:pPr>
      <w:r>
        <w:rPr>
          <w:rFonts w:hint="eastAsia" w:ascii="宋体" w:hAnsi="宋体" w:cs="宋体"/>
          <w:sz w:val="24"/>
          <w:szCs w:val="24"/>
        </w:rPr>
        <w:t>支持报告可下载即对生成诊改报告后，支撑下载报告功能。</w:t>
      </w:r>
    </w:p>
    <w:p>
      <w:pPr>
        <w:spacing w:line="360" w:lineRule="auto"/>
        <w:ind w:firstLine="420"/>
        <w:rPr>
          <w:rFonts w:ascii="宋体" w:hAnsi="宋体" w:cs="宋体"/>
          <w:sz w:val="24"/>
          <w:szCs w:val="24"/>
        </w:rPr>
      </w:pPr>
      <w:r>
        <w:rPr>
          <w:rFonts w:hint="eastAsia" w:ascii="宋体" w:hAnsi="宋体" w:cs="宋体"/>
          <w:sz w:val="24"/>
          <w:szCs w:val="24"/>
        </w:rPr>
        <w:t>支持可评论报告即对针对诊改报告，用户可以在页面下方参与评论。</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4.2.9.2</w:t>
      </w:r>
      <w:r>
        <w:rPr>
          <w:rFonts w:hint="eastAsia" w:ascii="宋体" w:hAnsi="宋体" w:eastAsia="宋体" w:cs="宋体"/>
          <w:sz w:val="24"/>
          <w:szCs w:val="24"/>
        </w:rPr>
        <w:t>我的报告</w:t>
      </w:r>
    </w:p>
    <w:p>
      <w:pPr>
        <w:spacing w:line="360" w:lineRule="auto"/>
        <w:ind w:firstLine="420"/>
        <w:rPr>
          <w:rFonts w:ascii="宋体" w:hAnsi="宋体" w:cs="宋体"/>
          <w:sz w:val="24"/>
          <w:szCs w:val="24"/>
        </w:rPr>
      </w:pPr>
      <w:r>
        <w:rPr>
          <w:rFonts w:hint="eastAsia" w:ascii="宋体" w:hAnsi="宋体" w:cs="宋体"/>
          <w:sz w:val="24"/>
          <w:szCs w:val="24"/>
        </w:rPr>
        <w:t>支持查看当前用户的指标库报告，一键退回和导出PDF操作。</w:t>
      </w:r>
    </w:p>
    <w:p>
      <w:pPr>
        <w:spacing w:line="360" w:lineRule="auto"/>
        <w:ind w:firstLine="420"/>
        <w:rPr>
          <w:rFonts w:ascii="宋体" w:hAnsi="宋体" w:cs="宋体"/>
          <w:sz w:val="24"/>
          <w:szCs w:val="24"/>
        </w:rPr>
      </w:pPr>
      <w:r>
        <w:rPr>
          <w:rFonts w:hint="eastAsia" w:ascii="宋体" w:hAnsi="宋体" w:cs="宋体"/>
          <w:sz w:val="24"/>
          <w:szCs w:val="24"/>
        </w:rPr>
        <w:t>1、我的自诊报告</w:t>
      </w:r>
    </w:p>
    <w:p>
      <w:pPr>
        <w:spacing w:line="360" w:lineRule="auto"/>
        <w:ind w:firstLine="420"/>
        <w:rPr>
          <w:rFonts w:ascii="宋体" w:hAnsi="宋体" w:cs="宋体"/>
          <w:sz w:val="24"/>
          <w:szCs w:val="24"/>
        </w:rPr>
      </w:pPr>
      <w:r>
        <w:rPr>
          <w:rFonts w:hint="eastAsia" w:ascii="宋体" w:hAnsi="宋体" w:cs="宋体"/>
          <w:sz w:val="24"/>
          <w:szCs w:val="24"/>
        </w:rPr>
        <w:t>可查阅当前用户作为负责人的诊断报告。</w:t>
      </w:r>
    </w:p>
    <w:p>
      <w:pPr>
        <w:spacing w:line="360" w:lineRule="auto"/>
        <w:ind w:firstLine="420"/>
        <w:rPr>
          <w:rFonts w:ascii="宋体" w:hAnsi="宋体" w:cs="宋体"/>
          <w:sz w:val="24"/>
          <w:szCs w:val="24"/>
        </w:rPr>
      </w:pPr>
      <w:r>
        <w:rPr>
          <w:rFonts w:hint="eastAsia" w:ascii="宋体" w:hAnsi="宋体" w:cs="宋体"/>
          <w:sz w:val="24"/>
          <w:szCs w:val="24"/>
        </w:rPr>
        <w:t>2、我参与的报告</w:t>
      </w:r>
    </w:p>
    <w:p>
      <w:pPr>
        <w:spacing w:line="360" w:lineRule="auto"/>
        <w:ind w:firstLine="420"/>
        <w:rPr>
          <w:rFonts w:ascii="宋体" w:hAnsi="宋体" w:cs="宋体"/>
          <w:sz w:val="24"/>
          <w:szCs w:val="24"/>
        </w:rPr>
      </w:pPr>
      <w:r>
        <w:rPr>
          <w:rFonts w:hint="eastAsia" w:ascii="宋体" w:hAnsi="宋体" w:cs="宋体"/>
          <w:sz w:val="24"/>
          <w:szCs w:val="24"/>
        </w:rPr>
        <w:t>可查阅当前用户身为发布人，监管人，审核人，共享人，校内专家或校外专家的诊断任务报告。</w:t>
      </w:r>
    </w:p>
    <w:p>
      <w:pPr>
        <w:spacing w:line="360" w:lineRule="auto"/>
        <w:ind w:firstLine="420"/>
        <w:rPr>
          <w:rFonts w:ascii="宋体" w:hAnsi="宋体" w:cs="宋体"/>
          <w:sz w:val="24"/>
          <w:szCs w:val="24"/>
        </w:rPr>
      </w:pPr>
      <w:r>
        <w:rPr>
          <w:rFonts w:hint="eastAsia" w:ascii="宋体" w:hAnsi="宋体" w:cs="宋体"/>
          <w:sz w:val="24"/>
          <w:szCs w:val="24"/>
        </w:rPr>
        <w:t>3、共享给我的报告</w:t>
      </w:r>
    </w:p>
    <w:p>
      <w:pPr>
        <w:spacing w:line="360" w:lineRule="auto"/>
        <w:ind w:firstLine="420"/>
        <w:rPr>
          <w:rFonts w:ascii="宋体" w:hAnsi="宋体" w:cs="宋体"/>
          <w:sz w:val="24"/>
          <w:szCs w:val="24"/>
        </w:rPr>
      </w:pPr>
      <w:r>
        <w:rPr>
          <w:rFonts w:hint="eastAsia" w:ascii="宋体" w:hAnsi="宋体" w:cs="宋体"/>
          <w:sz w:val="24"/>
          <w:szCs w:val="24"/>
        </w:rPr>
        <w:t>可查阅当前用户身为共享人的诊改报告。</w:t>
      </w:r>
    </w:p>
    <w:p>
      <w:pPr>
        <w:spacing w:line="360" w:lineRule="auto"/>
        <w:ind w:firstLine="420"/>
        <w:rPr>
          <w:rFonts w:ascii="宋体" w:hAnsi="宋体" w:cs="宋体"/>
          <w:sz w:val="24"/>
          <w:szCs w:val="24"/>
        </w:rPr>
      </w:pPr>
      <w:r>
        <w:rPr>
          <w:rFonts w:hint="eastAsia" w:ascii="宋体" w:hAnsi="宋体" w:cs="宋体"/>
          <w:sz w:val="24"/>
          <w:szCs w:val="24"/>
        </w:rPr>
        <w:t>4、我共享的报告</w:t>
      </w:r>
    </w:p>
    <w:p>
      <w:pPr>
        <w:spacing w:line="360" w:lineRule="auto"/>
        <w:ind w:firstLine="420"/>
        <w:rPr>
          <w:rFonts w:ascii="宋体" w:hAnsi="宋体" w:cs="宋体"/>
          <w:sz w:val="24"/>
          <w:szCs w:val="24"/>
        </w:rPr>
      </w:pPr>
      <w:r>
        <w:rPr>
          <w:rFonts w:hint="eastAsia" w:ascii="宋体" w:hAnsi="宋体" w:cs="宋体"/>
          <w:sz w:val="24"/>
          <w:szCs w:val="24"/>
        </w:rPr>
        <w:t>可查阅当前用户共享出去的诊改报告。</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4.2.9.3</w:t>
      </w:r>
      <w:r>
        <w:rPr>
          <w:rFonts w:hint="eastAsia" w:ascii="宋体" w:hAnsi="宋体" w:eastAsia="宋体" w:cs="宋体"/>
          <w:sz w:val="24"/>
          <w:szCs w:val="24"/>
        </w:rPr>
        <w:t>报告模版管理</w:t>
      </w:r>
    </w:p>
    <w:p>
      <w:pPr>
        <w:spacing w:line="360" w:lineRule="auto"/>
        <w:ind w:firstLine="420"/>
        <w:rPr>
          <w:rFonts w:ascii="宋体" w:hAnsi="宋体" w:cs="宋体"/>
          <w:sz w:val="24"/>
          <w:szCs w:val="24"/>
        </w:rPr>
      </w:pPr>
      <w:r>
        <w:rPr>
          <w:rFonts w:hint="eastAsia" w:ascii="宋体" w:hAnsi="宋体" w:cs="宋体"/>
          <w:sz w:val="24"/>
          <w:szCs w:val="24"/>
        </w:rPr>
        <w:t>1、报告封面设置</w:t>
      </w:r>
    </w:p>
    <w:p>
      <w:pPr>
        <w:spacing w:line="360" w:lineRule="auto"/>
        <w:ind w:firstLine="420"/>
        <w:rPr>
          <w:rFonts w:ascii="宋体" w:hAnsi="宋体" w:cs="宋体"/>
          <w:sz w:val="24"/>
          <w:szCs w:val="24"/>
        </w:rPr>
      </w:pPr>
      <w:r>
        <w:rPr>
          <w:rFonts w:hint="eastAsia" w:ascii="宋体" w:hAnsi="宋体" w:cs="宋体"/>
          <w:sz w:val="24"/>
          <w:szCs w:val="24"/>
        </w:rPr>
        <w:t>支持自行选择报告封面图片上传并保存。</w:t>
      </w:r>
    </w:p>
    <w:p>
      <w:pPr>
        <w:spacing w:line="360" w:lineRule="auto"/>
        <w:ind w:firstLine="420"/>
        <w:rPr>
          <w:rFonts w:ascii="宋体" w:hAnsi="宋体" w:cs="宋体"/>
          <w:sz w:val="24"/>
          <w:szCs w:val="24"/>
        </w:rPr>
      </w:pPr>
      <w:r>
        <w:rPr>
          <w:rFonts w:hint="eastAsia" w:ascii="宋体" w:hAnsi="宋体" w:cs="宋体"/>
          <w:sz w:val="24"/>
          <w:szCs w:val="24"/>
        </w:rPr>
        <w:t>2、报告内容设置</w:t>
      </w:r>
    </w:p>
    <w:p>
      <w:pPr>
        <w:spacing w:line="360" w:lineRule="auto"/>
        <w:ind w:firstLine="420"/>
        <w:rPr>
          <w:rFonts w:ascii="宋体" w:hAnsi="宋体" w:cs="宋体"/>
          <w:sz w:val="24"/>
          <w:szCs w:val="24"/>
        </w:rPr>
      </w:pPr>
      <w:r>
        <w:rPr>
          <w:rFonts w:hint="eastAsia" w:ascii="宋体" w:hAnsi="宋体" w:cs="宋体"/>
          <w:sz w:val="24"/>
          <w:szCs w:val="24"/>
        </w:rPr>
        <w:t>支持对报告的内容模块进行选择，可对自我诊改概述相关参数进行自定义。创建诊改任务时可以选择报告模版。</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4.2.9.4</w:t>
      </w:r>
      <w:r>
        <w:rPr>
          <w:rFonts w:hint="eastAsia" w:ascii="宋体" w:hAnsi="宋体" w:eastAsia="宋体" w:cs="宋体"/>
          <w:sz w:val="24"/>
          <w:szCs w:val="24"/>
        </w:rPr>
        <w:t>文件管理</w:t>
      </w:r>
    </w:p>
    <w:p>
      <w:pPr>
        <w:spacing w:line="360" w:lineRule="auto"/>
        <w:ind w:firstLine="420"/>
        <w:rPr>
          <w:rFonts w:ascii="宋体" w:hAnsi="宋体" w:cs="宋体"/>
          <w:sz w:val="24"/>
          <w:szCs w:val="24"/>
        </w:rPr>
      </w:pPr>
      <w:r>
        <w:rPr>
          <w:rFonts w:hint="eastAsia" w:ascii="宋体" w:hAnsi="宋体" w:cs="宋体"/>
          <w:sz w:val="24"/>
          <w:szCs w:val="24"/>
        </w:rPr>
        <w:t>1、所有文档</w:t>
      </w:r>
    </w:p>
    <w:p>
      <w:pPr>
        <w:spacing w:line="360" w:lineRule="auto"/>
        <w:ind w:firstLine="420"/>
        <w:rPr>
          <w:rFonts w:ascii="宋体" w:hAnsi="宋体" w:cs="宋体"/>
          <w:sz w:val="24"/>
          <w:szCs w:val="24"/>
        </w:rPr>
      </w:pPr>
      <w:r>
        <w:rPr>
          <w:rFonts w:hint="eastAsia" w:ascii="宋体" w:hAnsi="宋体" w:cs="宋体"/>
          <w:sz w:val="24"/>
          <w:szCs w:val="24"/>
        </w:rPr>
        <w:t>支持查看、上传、编辑所有的文档。</w:t>
      </w:r>
    </w:p>
    <w:p>
      <w:pPr>
        <w:spacing w:line="360" w:lineRule="auto"/>
        <w:ind w:firstLine="420"/>
        <w:rPr>
          <w:rFonts w:ascii="宋体" w:hAnsi="宋体" w:cs="宋体"/>
          <w:sz w:val="24"/>
          <w:szCs w:val="24"/>
        </w:rPr>
      </w:pPr>
      <w:r>
        <w:rPr>
          <w:rFonts w:hint="eastAsia" w:ascii="宋体" w:hAnsi="宋体" w:cs="宋体"/>
          <w:sz w:val="24"/>
          <w:szCs w:val="24"/>
        </w:rPr>
        <w:t>2、我的文档</w:t>
      </w:r>
    </w:p>
    <w:p>
      <w:pPr>
        <w:spacing w:line="360" w:lineRule="auto"/>
        <w:ind w:firstLine="420"/>
        <w:rPr>
          <w:rFonts w:ascii="宋体" w:hAnsi="宋体" w:cs="宋体"/>
          <w:sz w:val="24"/>
          <w:szCs w:val="24"/>
        </w:rPr>
      </w:pPr>
      <w:r>
        <w:rPr>
          <w:rFonts w:hint="eastAsia" w:ascii="宋体" w:hAnsi="宋体" w:cs="宋体"/>
          <w:sz w:val="24"/>
          <w:szCs w:val="24"/>
        </w:rPr>
        <w:t>支持查看、上传、编辑所有我上传的文档。</w:t>
      </w:r>
    </w:p>
    <w:p>
      <w:pPr>
        <w:spacing w:line="360" w:lineRule="auto"/>
        <w:ind w:firstLine="420"/>
        <w:rPr>
          <w:rFonts w:ascii="宋体" w:hAnsi="宋体" w:cs="宋体"/>
          <w:sz w:val="24"/>
          <w:szCs w:val="24"/>
        </w:rPr>
      </w:pPr>
      <w:r>
        <w:rPr>
          <w:rFonts w:hint="eastAsia" w:ascii="宋体" w:hAnsi="宋体" w:cs="宋体"/>
          <w:sz w:val="24"/>
          <w:szCs w:val="24"/>
        </w:rPr>
        <w:t>3、共享给我的文档</w:t>
      </w:r>
    </w:p>
    <w:p>
      <w:pPr>
        <w:spacing w:line="360" w:lineRule="auto"/>
        <w:ind w:firstLine="420"/>
        <w:rPr>
          <w:rFonts w:ascii="宋体" w:hAnsi="宋体" w:cs="宋体"/>
          <w:sz w:val="24"/>
          <w:szCs w:val="24"/>
        </w:rPr>
      </w:pPr>
      <w:r>
        <w:rPr>
          <w:rFonts w:hint="eastAsia" w:ascii="宋体" w:hAnsi="宋体" w:cs="宋体"/>
          <w:sz w:val="24"/>
          <w:szCs w:val="24"/>
        </w:rPr>
        <w:t>支持查看所有共享给我的文档。</w:t>
      </w:r>
    </w:p>
    <w:p>
      <w:pPr>
        <w:pStyle w:val="5"/>
        <w:spacing w:line="360" w:lineRule="auto"/>
        <w:rPr>
          <w:rFonts w:ascii="宋体" w:hAnsi="宋体" w:cs="宋体"/>
          <w:sz w:val="24"/>
          <w:szCs w:val="24"/>
        </w:rPr>
      </w:pPr>
      <w:r>
        <w:rPr>
          <w:rFonts w:hint="eastAsia" w:ascii="宋体" w:hAnsi="宋体" w:cs="宋体"/>
          <w:sz w:val="24"/>
          <w:szCs w:val="24"/>
          <w:lang w:val="en-US" w:eastAsia="zh-CN"/>
        </w:rPr>
        <w:t>4.2.10</w:t>
      </w:r>
      <w:r>
        <w:rPr>
          <w:rFonts w:hint="eastAsia" w:ascii="宋体" w:hAnsi="宋体" w:cs="宋体"/>
          <w:sz w:val="24"/>
          <w:szCs w:val="24"/>
        </w:rPr>
        <w:t>智能分析</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4.2.10.1</w:t>
      </w:r>
      <w:r>
        <w:rPr>
          <w:rFonts w:hint="eastAsia" w:ascii="宋体" w:hAnsi="宋体" w:eastAsia="宋体" w:cs="宋体"/>
          <w:sz w:val="24"/>
          <w:szCs w:val="24"/>
        </w:rPr>
        <w:t>诊改画像</w:t>
      </w:r>
    </w:p>
    <w:p>
      <w:pPr>
        <w:pStyle w:val="7"/>
        <w:spacing w:line="360" w:lineRule="auto"/>
        <w:rPr>
          <w:rFonts w:ascii="宋体" w:hAnsi="宋体" w:cs="宋体"/>
          <w:b/>
          <w:bCs/>
          <w:sz w:val="24"/>
          <w:szCs w:val="24"/>
        </w:rPr>
      </w:pPr>
      <w:r>
        <w:rPr>
          <w:rFonts w:hint="eastAsia" w:ascii="宋体" w:hAnsi="宋体" w:cs="宋体"/>
          <w:b/>
          <w:bCs/>
          <w:sz w:val="24"/>
          <w:szCs w:val="24"/>
          <w:lang w:val="en-US" w:eastAsia="zh-CN"/>
        </w:rPr>
        <w:t>4.2.10.1.1</w:t>
      </w:r>
      <w:r>
        <w:rPr>
          <w:rFonts w:hint="eastAsia" w:ascii="宋体" w:hAnsi="宋体" w:cs="宋体"/>
          <w:b/>
          <w:bCs/>
          <w:sz w:val="24"/>
          <w:szCs w:val="24"/>
        </w:rPr>
        <w:t>学校画像</w:t>
      </w:r>
    </w:p>
    <w:p>
      <w:pPr>
        <w:spacing w:line="360" w:lineRule="auto"/>
        <w:ind w:firstLine="420"/>
        <w:rPr>
          <w:rFonts w:ascii="宋体" w:hAnsi="宋体" w:cs="宋体"/>
          <w:sz w:val="24"/>
          <w:szCs w:val="24"/>
        </w:rPr>
      </w:pPr>
      <w:r>
        <w:rPr>
          <w:rFonts w:hint="eastAsia" w:ascii="宋体" w:hAnsi="宋体" w:cs="宋体"/>
          <w:sz w:val="24"/>
          <w:szCs w:val="24"/>
        </w:rPr>
        <w:t>1）基本情况：学校校训、建校时间、学校类型、学校率属于哪个部门主管；</w:t>
      </w:r>
    </w:p>
    <w:p>
      <w:pPr>
        <w:spacing w:line="360" w:lineRule="auto"/>
        <w:ind w:firstLine="420"/>
        <w:rPr>
          <w:rFonts w:ascii="宋体" w:hAnsi="宋体" w:cs="宋体"/>
          <w:sz w:val="24"/>
          <w:szCs w:val="24"/>
        </w:rPr>
      </w:pPr>
      <w:r>
        <w:rPr>
          <w:rFonts w:hint="eastAsia" w:ascii="宋体" w:hAnsi="宋体" w:cs="宋体"/>
          <w:sz w:val="24"/>
          <w:szCs w:val="24"/>
        </w:rPr>
        <w:t>2）办学条件：教育经费收入总额、固定资产总值、占地面积、图书馆藏书、开设课程门数、计算机总数、校外实习基地数；</w:t>
      </w:r>
    </w:p>
    <w:p>
      <w:pPr>
        <w:spacing w:line="360" w:lineRule="auto"/>
        <w:ind w:firstLine="420"/>
        <w:rPr>
          <w:rFonts w:ascii="宋体" w:hAnsi="宋体" w:cs="宋体"/>
          <w:sz w:val="24"/>
          <w:szCs w:val="24"/>
        </w:rPr>
      </w:pPr>
      <w:r>
        <w:rPr>
          <w:rFonts w:hint="eastAsia" w:ascii="宋体" w:hAnsi="宋体" w:cs="宋体"/>
          <w:sz w:val="24"/>
          <w:szCs w:val="24"/>
        </w:rPr>
        <w:t>3）学科专业&amp;机构情况：学院数、专业数、重点学科、特色学科、机构数。</w:t>
      </w:r>
    </w:p>
    <w:p>
      <w:pPr>
        <w:spacing w:line="360" w:lineRule="auto"/>
        <w:ind w:firstLine="420"/>
        <w:rPr>
          <w:rFonts w:ascii="宋体" w:hAnsi="宋体" w:cs="宋体"/>
          <w:sz w:val="24"/>
          <w:szCs w:val="24"/>
        </w:rPr>
      </w:pPr>
      <w:r>
        <w:rPr>
          <w:rFonts w:hint="eastAsia" w:ascii="宋体" w:hAnsi="宋体" w:cs="宋体"/>
          <w:sz w:val="24"/>
          <w:szCs w:val="24"/>
        </w:rPr>
        <w:t>4）生均核心力量：师资力量包括研究生学历教师比例、生师比、高级职称教师比例，教学包括生均教学行政用房、生均教学科研仪器、生均实践场所、新增科研仪器占比，建筑包括生均用地、生均宿舍面积，图书包括生均图书、生均新进图书；</w:t>
      </w:r>
    </w:p>
    <w:p>
      <w:pPr>
        <w:spacing w:line="360" w:lineRule="auto"/>
        <w:ind w:firstLine="420"/>
        <w:rPr>
          <w:rFonts w:ascii="宋体" w:hAnsi="宋体" w:cs="宋体"/>
          <w:sz w:val="24"/>
          <w:szCs w:val="24"/>
        </w:rPr>
      </w:pPr>
      <w:r>
        <w:rPr>
          <w:rFonts w:hint="eastAsia" w:ascii="宋体" w:hAnsi="宋体" w:cs="宋体"/>
          <w:sz w:val="24"/>
          <w:szCs w:val="24"/>
        </w:rPr>
        <w:t>5）师生情况：教师人数、校内专任教师、学生人数、校内兼职教师、校外兼职教师、校外兼职教师；</w:t>
      </w:r>
    </w:p>
    <w:p>
      <w:pPr>
        <w:spacing w:line="360" w:lineRule="auto"/>
        <w:ind w:firstLine="420"/>
        <w:rPr>
          <w:rFonts w:ascii="宋体" w:hAnsi="宋体" w:cs="宋体"/>
          <w:sz w:val="24"/>
          <w:szCs w:val="24"/>
        </w:rPr>
      </w:pPr>
      <w:r>
        <w:rPr>
          <w:rFonts w:hint="eastAsia" w:ascii="宋体" w:hAnsi="宋体" w:cs="宋体"/>
          <w:sz w:val="24"/>
          <w:szCs w:val="24"/>
        </w:rPr>
        <w:t>6）高校信息化建设：百名学生配教学计算机台数、校园网主干最大带宽、网络信息点、无线网覆盖、数字资源总数；</w:t>
      </w:r>
    </w:p>
    <w:p>
      <w:pPr>
        <w:pStyle w:val="7"/>
        <w:spacing w:line="360" w:lineRule="auto"/>
        <w:rPr>
          <w:rFonts w:ascii="宋体" w:hAnsi="宋体" w:cs="宋体"/>
          <w:b/>
          <w:bCs/>
          <w:sz w:val="24"/>
          <w:szCs w:val="24"/>
        </w:rPr>
      </w:pPr>
      <w:r>
        <w:rPr>
          <w:rFonts w:hint="eastAsia" w:ascii="宋体" w:hAnsi="宋体" w:cs="宋体"/>
          <w:b/>
          <w:bCs/>
          <w:sz w:val="24"/>
          <w:szCs w:val="24"/>
          <w:lang w:val="en-US" w:eastAsia="zh-CN"/>
        </w:rPr>
        <w:t>4.2.10.1.2</w:t>
      </w:r>
      <w:r>
        <w:rPr>
          <w:rFonts w:hint="eastAsia" w:ascii="宋体" w:hAnsi="宋体" w:cs="宋体"/>
          <w:b/>
          <w:bCs/>
          <w:sz w:val="24"/>
          <w:szCs w:val="24"/>
        </w:rPr>
        <w:t>专业画像</w:t>
      </w:r>
    </w:p>
    <w:p>
      <w:pPr>
        <w:spacing w:line="360" w:lineRule="auto"/>
        <w:ind w:firstLine="420"/>
        <w:rPr>
          <w:rFonts w:ascii="宋体" w:hAnsi="宋体" w:cs="宋体"/>
          <w:sz w:val="24"/>
          <w:szCs w:val="24"/>
        </w:rPr>
      </w:pPr>
      <w:r>
        <w:rPr>
          <w:rFonts w:hint="eastAsia" w:ascii="宋体" w:hAnsi="宋体" w:cs="宋体"/>
          <w:sz w:val="24"/>
          <w:szCs w:val="24"/>
        </w:rPr>
        <w:t>支持选择具体年份查看画像信息，包括：</w:t>
      </w:r>
    </w:p>
    <w:p>
      <w:pPr>
        <w:spacing w:line="360" w:lineRule="auto"/>
        <w:ind w:firstLine="420"/>
        <w:rPr>
          <w:rFonts w:ascii="宋体" w:hAnsi="宋体" w:cs="宋体"/>
          <w:sz w:val="24"/>
          <w:szCs w:val="24"/>
        </w:rPr>
      </w:pPr>
      <w:r>
        <w:rPr>
          <w:rFonts w:hint="eastAsia" w:ascii="宋体" w:hAnsi="宋体" w:cs="宋体"/>
          <w:sz w:val="24"/>
          <w:szCs w:val="24"/>
        </w:rPr>
        <w:t>1）近几年招生专业数量变化：连续三年开设专业数量；</w:t>
      </w:r>
    </w:p>
    <w:p>
      <w:pPr>
        <w:spacing w:line="360" w:lineRule="auto"/>
        <w:ind w:firstLine="420"/>
        <w:rPr>
          <w:rFonts w:ascii="宋体" w:hAnsi="宋体" w:cs="宋体"/>
          <w:sz w:val="24"/>
          <w:szCs w:val="24"/>
        </w:rPr>
      </w:pPr>
      <w:r>
        <w:rPr>
          <w:rFonts w:hint="eastAsia" w:ascii="宋体" w:hAnsi="宋体" w:cs="宋体"/>
          <w:sz w:val="24"/>
          <w:szCs w:val="24"/>
        </w:rPr>
        <w:t>2）专业概况：专业总数、新增专业数、在招专业数、停招专业数、撤销专业数；</w:t>
      </w:r>
    </w:p>
    <w:p>
      <w:pPr>
        <w:spacing w:line="360" w:lineRule="auto"/>
        <w:ind w:firstLine="420"/>
        <w:rPr>
          <w:rFonts w:ascii="宋体" w:hAnsi="宋体" w:cs="宋体"/>
          <w:sz w:val="24"/>
          <w:szCs w:val="24"/>
        </w:rPr>
      </w:pPr>
      <w:r>
        <w:rPr>
          <w:rFonts w:hint="eastAsia" w:ascii="宋体" w:hAnsi="宋体" w:cs="宋体"/>
          <w:sz w:val="24"/>
          <w:szCs w:val="24"/>
        </w:rPr>
        <w:t>3）重点&amp;特色专业：重点和特色专业数；</w:t>
      </w:r>
    </w:p>
    <w:p>
      <w:pPr>
        <w:spacing w:line="360" w:lineRule="auto"/>
        <w:ind w:firstLine="420"/>
        <w:rPr>
          <w:rFonts w:ascii="宋体" w:hAnsi="宋体" w:cs="宋体"/>
          <w:sz w:val="24"/>
          <w:szCs w:val="24"/>
        </w:rPr>
      </w:pPr>
      <w:r>
        <w:rPr>
          <w:rFonts w:hint="eastAsia" w:ascii="宋体" w:hAnsi="宋体" w:cs="宋体"/>
          <w:sz w:val="24"/>
          <w:szCs w:val="24"/>
        </w:rPr>
        <w:t>4）教学管理指标-评教：评教个体、评教领导、评教学生、评教社会人士；</w:t>
      </w:r>
    </w:p>
    <w:p>
      <w:pPr>
        <w:spacing w:line="360" w:lineRule="auto"/>
        <w:ind w:firstLine="420"/>
        <w:rPr>
          <w:rFonts w:ascii="宋体" w:hAnsi="宋体" w:cs="宋体"/>
          <w:sz w:val="24"/>
          <w:szCs w:val="24"/>
        </w:rPr>
      </w:pPr>
      <w:r>
        <w:rPr>
          <w:rFonts w:hint="eastAsia" w:ascii="宋体" w:hAnsi="宋体" w:cs="宋体"/>
          <w:sz w:val="24"/>
          <w:szCs w:val="24"/>
        </w:rPr>
        <w:t>5）教学管理指标-领导关注学生：领导人数、领导关注听课平均课时数、领导走访实习基地；</w:t>
      </w:r>
    </w:p>
    <w:p>
      <w:pPr>
        <w:spacing w:line="360" w:lineRule="auto"/>
        <w:ind w:firstLine="420"/>
        <w:rPr>
          <w:rFonts w:ascii="宋体" w:hAnsi="宋体" w:cs="宋体"/>
          <w:sz w:val="24"/>
          <w:szCs w:val="24"/>
        </w:rPr>
      </w:pPr>
      <w:r>
        <w:rPr>
          <w:rFonts w:hint="eastAsia" w:ascii="宋体" w:hAnsi="宋体" w:cs="宋体"/>
          <w:sz w:val="24"/>
          <w:szCs w:val="24"/>
        </w:rPr>
        <w:t>6）专业开课类型：公共课、基础课、专业课开课数目占比。</w:t>
      </w:r>
    </w:p>
    <w:p>
      <w:pPr>
        <w:pStyle w:val="7"/>
        <w:spacing w:line="360" w:lineRule="auto"/>
        <w:rPr>
          <w:rFonts w:ascii="宋体" w:hAnsi="宋体" w:cs="宋体"/>
          <w:b/>
          <w:bCs/>
          <w:sz w:val="24"/>
          <w:szCs w:val="24"/>
        </w:rPr>
      </w:pPr>
      <w:r>
        <w:rPr>
          <w:rFonts w:hint="eastAsia" w:ascii="宋体" w:hAnsi="宋体" w:cs="宋体"/>
          <w:b/>
          <w:bCs/>
          <w:sz w:val="24"/>
          <w:szCs w:val="24"/>
          <w:lang w:val="en-US" w:eastAsia="zh-CN"/>
        </w:rPr>
        <w:t>4.2.10.1.3</w:t>
      </w:r>
      <w:r>
        <w:rPr>
          <w:rFonts w:hint="eastAsia" w:ascii="宋体" w:hAnsi="宋体" w:cs="宋体"/>
          <w:b/>
          <w:bCs/>
          <w:sz w:val="24"/>
          <w:szCs w:val="24"/>
        </w:rPr>
        <w:t>课程画像</w:t>
      </w:r>
    </w:p>
    <w:p>
      <w:pPr>
        <w:spacing w:line="360" w:lineRule="auto"/>
        <w:ind w:firstLine="420"/>
        <w:rPr>
          <w:rFonts w:ascii="宋体" w:hAnsi="宋体" w:cs="宋体"/>
          <w:sz w:val="24"/>
          <w:szCs w:val="24"/>
        </w:rPr>
      </w:pPr>
      <w:r>
        <w:rPr>
          <w:rFonts w:hint="eastAsia" w:ascii="宋体" w:hAnsi="宋体" w:cs="宋体"/>
          <w:sz w:val="24"/>
          <w:szCs w:val="24"/>
        </w:rPr>
        <w:t>支持选择具体年份查看画像信息，包括：</w:t>
      </w:r>
    </w:p>
    <w:p>
      <w:pPr>
        <w:spacing w:line="360" w:lineRule="auto"/>
        <w:ind w:firstLine="420"/>
        <w:rPr>
          <w:rFonts w:ascii="宋体" w:hAnsi="宋体" w:cs="宋体"/>
          <w:sz w:val="24"/>
          <w:szCs w:val="24"/>
        </w:rPr>
      </w:pPr>
      <w:r>
        <w:rPr>
          <w:rFonts w:hint="eastAsia" w:ascii="宋体" w:hAnsi="宋体" w:cs="宋体"/>
          <w:sz w:val="24"/>
          <w:szCs w:val="24"/>
        </w:rPr>
        <w:t>1）课程整体概况：开设课程数、课程总学时、实践课时数、专业核心课程、校企合作开发课程、精品课程；</w:t>
      </w:r>
    </w:p>
    <w:p>
      <w:pPr>
        <w:spacing w:line="360" w:lineRule="auto"/>
        <w:ind w:firstLine="420"/>
        <w:rPr>
          <w:rFonts w:ascii="宋体" w:hAnsi="宋体" w:cs="宋体"/>
          <w:sz w:val="24"/>
          <w:szCs w:val="24"/>
        </w:rPr>
      </w:pPr>
      <w:r>
        <w:rPr>
          <w:rFonts w:hint="eastAsia" w:ascii="宋体" w:hAnsi="宋体" w:cs="宋体"/>
          <w:sz w:val="24"/>
          <w:szCs w:val="24"/>
        </w:rPr>
        <w:t>2）课程师资概况：校内专任教师、校外兼职教师、校内兼课教师、专任教师平均工作量、校外兼课教师、教师平均工作量；</w:t>
      </w:r>
    </w:p>
    <w:p>
      <w:pPr>
        <w:spacing w:line="360" w:lineRule="auto"/>
        <w:ind w:firstLine="420"/>
        <w:rPr>
          <w:rFonts w:ascii="宋体" w:hAnsi="宋体" w:cs="宋体"/>
          <w:sz w:val="24"/>
          <w:szCs w:val="24"/>
        </w:rPr>
      </w:pPr>
      <w:r>
        <w:rPr>
          <w:rFonts w:hint="eastAsia" w:ascii="宋体" w:hAnsi="宋体" w:cs="宋体"/>
          <w:sz w:val="24"/>
          <w:szCs w:val="24"/>
        </w:rPr>
        <w:t>3）课程类型：显示A、B、C类课程；</w:t>
      </w:r>
    </w:p>
    <w:p>
      <w:pPr>
        <w:spacing w:line="360" w:lineRule="auto"/>
        <w:ind w:firstLine="420"/>
        <w:rPr>
          <w:rFonts w:ascii="宋体" w:hAnsi="宋体" w:cs="宋体"/>
          <w:sz w:val="24"/>
          <w:szCs w:val="24"/>
        </w:rPr>
      </w:pPr>
      <w:r>
        <w:rPr>
          <w:rFonts w:hint="eastAsia" w:ascii="宋体" w:hAnsi="宋体" w:cs="宋体"/>
          <w:sz w:val="24"/>
          <w:szCs w:val="24"/>
        </w:rPr>
        <w:t>4）课程授课年级：按年级显示课程门数；</w:t>
      </w:r>
    </w:p>
    <w:p>
      <w:pPr>
        <w:spacing w:line="360" w:lineRule="auto"/>
        <w:ind w:firstLine="420"/>
        <w:rPr>
          <w:rFonts w:ascii="宋体" w:hAnsi="宋体" w:cs="宋体"/>
          <w:sz w:val="24"/>
          <w:szCs w:val="24"/>
        </w:rPr>
      </w:pPr>
      <w:r>
        <w:rPr>
          <w:rFonts w:hint="eastAsia" w:ascii="宋体" w:hAnsi="宋体" w:cs="宋体"/>
          <w:sz w:val="24"/>
          <w:szCs w:val="24"/>
        </w:rPr>
        <w:t>5）课程属性：公共课、基础课、专业课开课数目占比；</w:t>
      </w:r>
    </w:p>
    <w:p>
      <w:pPr>
        <w:spacing w:line="360" w:lineRule="auto"/>
        <w:ind w:firstLine="420"/>
        <w:rPr>
          <w:rFonts w:ascii="宋体" w:hAnsi="宋体" w:cs="宋体"/>
          <w:sz w:val="24"/>
          <w:szCs w:val="24"/>
        </w:rPr>
      </w:pPr>
      <w:r>
        <w:rPr>
          <w:rFonts w:hint="eastAsia" w:ascii="宋体" w:hAnsi="宋体" w:cs="宋体"/>
          <w:sz w:val="24"/>
          <w:szCs w:val="24"/>
        </w:rPr>
        <w:t>6）专业核心课程：显示专业核心课程和非专业核心课程数目；</w:t>
      </w:r>
    </w:p>
    <w:p>
      <w:pPr>
        <w:spacing w:line="360" w:lineRule="auto"/>
        <w:ind w:firstLine="420"/>
        <w:rPr>
          <w:rFonts w:ascii="宋体" w:hAnsi="宋体" w:cs="宋体"/>
          <w:sz w:val="24"/>
          <w:szCs w:val="24"/>
        </w:rPr>
      </w:pPr>
      <w:r>
        <w:rPr>
          <w:rFonts w:hint="eastAsia" w:ascii="宋体" w:hAnsi="宋体" w:cs="宋体"/>
          <w:sz w:val="24"/>
          <w:szCs w:val="24"/>
        </w:rPr>
        <w:t>7）课程授课方式top5：对前五名课程授课方式进行排名，并显示具体数目；</w:t>
      </w:r>
    </w:p>
    <w:p>
      <w:pPr>
        <w:spacing w:line="360" w:lineRule="auto"/>
        <w:ind w:firstLine="420"/>
        <w:rPr>
          <w:rFonts w:ascii="宋体" w:hAnsi="宋体" w:cs="宋体"/>
          <w:sz w:val="24"/>
          <w:szCs w:val="24"/>
        </w:rPr>
      </w:pPr>
      <w:r>
        <w:rPr>
          <w:rFonts w:hint="eastAsia" w:ascii="宋体" w:hAnsi="宋体" w:cs="宋体"/>
          <w:sz w:val="24"/>
          <w:szCs w:val="24"/>
        </w:rPr>
        <w:t>8）课程考试考核方式top5：对前五名课程考试考核方式进行排名，并显示具体数目。</w:t>
      </w:r>
    </w:p>
    <w:p>
      <w:pPr>
        <w:pStyle w:val="7"/>
        <w:spacing w:line="360" w:lineRule="auto"/>
        <w:rPr>
          <w:rFonts w:ascii="宋体" w:hAnsi="宋体" w:cs="宋体"/>
          <w:b/>
          <w:bCs/>
          <w:sz w:val="24"/>
          <w:szCs w:val="24"/>
        </w:rPr>
      </w:pPr>
      <w:r>
        <w:rPr>
          <w:rFonts w:hint="eastAsia" w:ascii="宋体" w:hAnsi="宋体" w:cs="宋体"/>
          <w:b/>
          <w:bCs/>
          <w:sz w:val="24"/>
          <w:szCs w:val="24"/>
          <w:lang w:val="en-US" w:eastAsia="zh-CN"/>
        </w:rPr>
        <w:t>4.2.10.1.4</w:t>
      </w:r>
      <w:r>
        <w:rPr>
          <w:rFonts w:hint="eastAsia" w:ascii="宋体" w:hAnsi="宋体" w:cs="宋体"/>
          <w:b/>
          <w:bCs/>
          <w:sz w:val="24"/>
          <w:szCs w:val="24"/>
        </w:rPr>
        <w:t>教师画像</w:t>
      </w:r>
    </w:p>
    <w:p>
      <w:pPr>
        <w:spacing w:line="360" w:lineRule="auto"/>
        <w:ind w:firstLine="420"/>
        <w:rPr>
          <w:rFonts w:ascii="宋体" w:hAnsi="宋体" w:cs="宋体"/>
          <w:sz w:val="24"/>
          <w:szCs w:val="24"/>
        </w:rPr>
      </w:pPr>
      <w:r>
        <w:rPr>
          <w:rFonts w:hint="eastAsia" w:ascii="宋体" w:hAnsi="宋体" w:cs="宋体"/>
          <w:sz w:val="24"/>
          <w:szCs w:val="24"/>
        </w:rPr>
        <w:t>支持选择具体年份查看画像信息，包括：</w:t>
      </w:r>
    </w:p>
    <w:p>
      <w:pPr>
        <w:spacing w:line="360" w:lineRule="auto"/>
        <w:ind w:firstLine="420"/>
        <w:rPr>
          <w:rFonts w:ascii="宋体" w:hAnsi="宋体" w:cs="宋体"/>
          <w:sz w:val="24"/>
          <w:szCs w:val="24"/>
        </w:rPr>
      </w:pPr>
      <w:r>
        <w:rPr>
          <w:rFonts w:hint="eastAsia" w:ascii="宋体" w:hAnsi="宋体" w:cs="宋体"/>
          <w:sz w:val="24"/>
          <w:szCs w:val="24"/>
        </w:rPr>
        <w:t>1）教师师资分析：包括是否专业教师人数、是否骨干教师人数、是否为双师素质教师人数、教学名师人数；</w:t>
      </w:r>
    </w:p>
    <w:p>
      <w:pPr>
        <w:spacing w:line="360" w:lineRule="auto"/>
        <w:ind w:firstLine="420"/>
        <w:rPr>
          <w:rFonts w:ascii="宋体" w:hAnsi="宋体" w:cs="宋体"/>
          <w:sz w:val="24"/>
          <w:szCs w:val="24"/>
        </w:rPr>
      </w:pPr>
      <w:r>
        <w:rPr>
          <w:rFonts w:hint="eastAsia" w:ascii="宋体" w:hAnsi="宋体" w:cs="宋体"/>
          <w:sz w:val="24"/>
          <w:szCs w:val="24"/>
        </w:rPr>
        <w:t>2）教师概况：校内专任教师人数、校外兼职教师人数、校内兼职教师人数；</w:t>
      </w:r>
    </w:p>
    <w:p>
      <w:pPr>
        <w:spacing w:line="360" w:lineRule="auto"/>
        <w:ind w:firstLine="420"/>
        <w:rPr>
          <w:rFonts w:ascii="宋体" w:hAnsi="宋体" w:cs="宋体"/>
          <w:sz w:val="24"/>
          <w:szCs w:val="24"/>
        </w:rPr>
      </w:pPr>
      <w:r>
        <w:rPr>
          <w:rFonts w:hint="eastAsia" w:ascii="宋体" w:hAnsi="宋体" w:cs="宋体"/>
          <w:sz w:val="24"/>
          <w:szCs w:val="24"/>
        </w:rPr>
        <w:t>3）教职工基本情况分析（专任）：在校男女教师性别结构比例、不同年龄阶段教师人数、在校教师最高学历分析；</w:t>
      </w:r>
    </w:p>
    <w:p>
      <w:pPr>
        <w:spacing w:line="360" w:lineRule="auto"/>
        <w:ind w:firstLine="420"/>
        <w:rPr>
          <w:rFonts w:ascii="宋体" w:hAnsi="宋体" w:cs="宋体"/>
          <w:sz w:val="24"/>
          <w:szCs w:val="24"/>
        </w:rPr>
      </w:pPr>
      <w:r>
        <w:rPr>
          <w:rFonts w:hint="eastAsia" w:ascii="宋体" w:hAnsi="宋体" w:cs="宋体"/>
          <w:sz w:val="24"/>
          <w:szCs w:val="24"/>
        </w:rPr>
        <w:t>4）授课类型分布（专任）：A、B、C类专任教师占比及具体人数统计；</w:t>
      </w:r>
    </w:p>
    <w:p>
      <w:pPr>
        <w:spacing w:line="360" w:lineRule="auto"/>
        <w:ind w:firstLine="420"/>
        <w:rPr>
          <w:rFonts w:ascii="宋体" w:hAnsi="宋体" w:cs="宋体"/>
          <w:sz w:val="24"/>
          <w:szCs w:val="24"/>
        </w:rPr>
      </w:pPr>
      <w:r>
        <w:rPr>
          <w:rFonts w:hint="eastAsia" w:ascii="宋体" w:hAnsi="宋体" w:cs="宋体"/>
          <w:sz w:val="24"/>
          <w:szCs w:val="24"/>
        </w:rPr>
        <w:t>5）师资队伍结构：校内专任教师人数占比、校内兼课教师人数占比、校外兼课教师人数占比、校外兼职人数占比；</w:t>
      </w:r>
    </w:p>
    <w:p>
      <w:pPr>
        <w:spacing w:line="360" w:lineRule="auto"/>
        <w:ind w:firstLine="420"/>
        <w:rPr>
          <w:rFonts w:ascii="宋体" w:hAnsi="宋体" w:cs="宋体"/>
          <w:sz w:val="24"/>
          <w:szCs w:val="24"/>
        </w:rPr>
      </w:pPr>
      <w:r>
        <w:rPr>
          <w:rFonts w:hint="eastAsia" w:ascii="宋体" w:hAnsi="宋体" w:cs="宋体"/>
          <w:sz w:val="24"/>
          <w:szCs w:val="24"/>
        </w:rPr>
        <w:t>6）专业技术职称服务：无等级、初级、中级、高级教师人数；</w:t>
      </w:r>
    </w:p>
    <w:p>
      <w:pPr>
        <w:pStyle w:val="7"/>
        <w:spacing w:line="360" w:lineRule="auto"/>
        <w:rPr>
          <w:rFonts w:ascii="宋体" w:hAnsi="宋体" w:cs="宋体"/>
          <w:b/>
          <w:bCs/>
          <w:sz w:val="24"/>
          <w:szCs w:val="24"/>
        </w:rPr>
      </w:pPr>
      <w:r>
        <w:rPr>
          <w:rFonts w:hint="eastAsia" w:ascii="宋体" w:hAnsi="宋体" w:cs="宋体"/>
          <w:b/>
          <w:bCs/>
          <w:sz w:val="24"/>
          <w:szCs w:val="24"/>
          <w:lang w:val="en-US" w:eastAsia="zh-CN"/>
        </w:rPr>
        <w:t>4.2.10.1.5</w:t>
      </w:r>
      <w:r>
        <w:rPr>
          <w:rFonts w:hint="eastAsia" w:ascii="宋体" w:hAnsi="宋体" w:cs="宋体"/>
          <w:b/>
          <w:bCs/>
          <w:sz w:val="24"/>
          <w:szCs w:val="24"/>
        </w:rPr>
        <w:t>学生画像</w:t>
      </w:r>
    </w:p>
    <w:p>
      <w:pPr>
        <w:spacing w:line="360" w:lineRule="auto"/>
        <w:ind w:firstLine="420"/>
        <w:rPr>
          <w:rFonts w:ascii="宋体" w:hAnsi="宋体" w:cs="宋体"/>
          <w:sz w:val="24"/>
          <w:szCs w:val="24"/>
        </w:rPr>
      </w:pPr>
      <w:r>
        <w:rPr>
          <w:rFonts w:hint="eastAsia" w:ascii="宋体" w:hAnsi="宋体" w:cs="宋体"/>
          <w:sz w:val="24"/>
          <w:szCs w:val="24"/>
        </w:rPr>
        <w:t>支持选择具体年份查看画像信息，包括：</w:t>
      </w:r>
    </w:p>
    <w:p>
      <w:pPr>
        <w:spacing w:line="360" w:lineRule="auto"/>
        <w:ind w:firstLine="420"/>
        <w:rPr>
          <w:rFonts w:ascii="宋体" w:hAnsi="宋体" w:cs="宋体"/>
          <w:sz w:val="24"/>
          <w:szCs w:val="24"/>
        </w:rPr>
      </w:pPr>
      <w:r>
        <w:rPr>
          <w:rFonts w:hint="eastAsia" w:ascii="宋体" w:hAnsi="宋体" w:cs="宋体"/>
          <w:sz w:val="24"/>
          <w:szCs w:val="24"/>
        </w:rPr>
        <w:t>1）学生概况：全校学生总人数、学院数、专业数；</w:t>
      </w:r>
    </w:p>
    <w:p>
      <w:pPr>
        <w:spacing w:line="360" w:lineRule="auto"/>
        <w:ind w:firstLine="420"/>
        <w:rPr>
          <w:rFonts w:ascii="宋体" w:hAnsi="宋体" w:cs="宋体"/>
          <w:sz w:val="24"/>
          <w:szCs w:val="24"/>
        </w:rPr>
      </w:pPr>
      <w:r>
        <w:rPr>
          <w:rFonts w:hint="eastAsia" w:ascii="宋体" w:hAnsi="宋体" w:cs="宋体"/>
          <w:sz w:val="24"/>
          <w:szCs w:val="24"/>
        </w:rPr>
        <w:t>2）性别占比：在校学生男女生人数占比；</w:t>
      </w:r>
    </w:p>
    <w:p>
      <w:pPr>
        <w:spacing w:line="360" w:lineRule="auto"/>
        <w:ind w:firstLine="420"/>
        <w:rPr>
          <w:rFonts w:ascii="宋体" w:hAnsi="宋体" w:cs="宋体"/>
          <w:sz w:val="24"/>
          <w:szCs w:val="24"/>
        </w:rPr>
      </w:pPr>
      <w:r>
        <w:rPr>
          <w:rFonts w:hint="eastAsia" w:ascii="宋体" w:hAnsi="宋体" w:cs="宋体"/>
          <w:sz w:val="24"/>
          <w:szCs w:val="24"/>
        </w:rPr>
        <w:t>3）学生获奖类别：获奖学生中所获国家级奖项或者省部级奖项人数占比；</w:t>
      </w:r>
    </w:p>
    <w:p>
      <w:pPr>
        <w:spacing w:line="360" w:lineRule="auto"/>
        <w:ind w:firstLine="420"/>
        <w:rPr>
          <w:rFonts w:ascii="宋体" w:hAnsi="宋体" w:cs="宋体"/>
          <w:sz w:val="24"/>
          <w:szCs w:val="24"/>
        </w:rPr>
      </w:pPr>
      <w:r>
        <w:rPr>
          <w:rFonts w:hint="eastAsia" w:ascii="宋体" w:hAnsi="宋体" w:cs="宋体"/>
          <w:sz w:val="24"/>
          <w:szCs w:val="24"/>
        </w:rPr>
        <w:t>4）贫困生人数分布：在校学生中贫困生和非贫困生人数占比；</w:t>
      </w:r>
    </w:p>
    <w:p>
      <w:pPr>
        <w:spacing w:line="360" w:lineRule="auto"/>
        <w:ind w:firstLine="420"/>
        <w:rPr>
          <w:rFonts w:ascii="宋体" w:hAnsi="宋体" w:cs="宋体"/>
          <w:sz w:val="24"/>
          <w:szCs w:val="24"/>
        </w:rPr>
      </w:pPr>
      <w:r>
        <w:rPr>
          <w:rFonts w:hint="eastAsia" w:ascii="宋体" w:hAnsi="宋体" w:cs="宋体"/>
          <w:sz w:val="24"/>
          <w:szCs w:val="24"/>
        </w:rPr>
        <w:t>5）辍学分布：辍学学生男女性别比例；</w:t>
      </w:r>
    </w:p>
    <w:p>
      <w:pPr>
        <w:spacing w:line="360" w:lineRule="auto"/>
        <w:ind w:firstLine="420"/>
        <w:rPr>
          <w:rFonts w:ascii="宋体" w:hAnsi="宋体" w:cs="宋体"/>
          <w:sz w:val="24"/>
          <w:szCs w:val="24"/>
        </w:rPr>
      </w:pPr>
      <w:r>
        <w:rPr>
          <w:rFonts w:hint="eastAsia" w:ascii="宋体" w:hAnsi="宋体" w:cs="宋体"/>
          <w:sz w:val="24"/>
          <w:szCs w:val="24"/>
        </w:rPr>
        <w:t>6）学生民族比：在校生各民族人数占比。</w:t>
      </w:r>
    </w:p>
    <w:p>
      <w:pPr>
        <w:spacing w:line="360" w:lineRule="auto"/>
        <w:ind w:firstLine="420"/>
        <w:rPr>
          <w:rFonts w:ascii="宋体" w:hAnsi="宋体" w:cs="宋体"/>
          <w:sz w:val="24"/>
          <w:szCs w:val="24"/>
        </w:rPr>
      </w:pPr>
      <w:r>
        <w:rPr>
          <w:rFonts w:hint="eastAsia" w:ascii="宋体" w:hAnsi="宋体" w:cs="宋体"/>
          <w:sz w:val="24"/>
          <w:szCs w:val="24"/>
        </w:rPr>
        <w:t>7）学生奖助类别分布：减免学杂费学生所占比例、助学贷款学生所占比例、助学金获得学生所占比例、奖学金获得学生所占比例；</w:t>
      </w:r>
    </w:p>
    <w:p>
      <w:pPr>
        <w:spacing w:line="360" w:lineRule="auto"/>
        <w:ind w:firstLine="420"/>
        <w:rPr>
          <w:rFonts w:ascii="宋体" w:hAnsi="宋体" w:cs="宋体"/>
          <w:sz w:val="24"/>
          <w:szCs w:val="24"/>
        </w:rPr>
      </w:pPr>
      <w:r>
        <w:rPr>
          <w:rFonts w:hint="eastAsia" w:ascii="宋体" w:hAnsi="宋体" w:cs="宋体"/>
          <w:sz w:val="24"/>
          <w:szCs w:val="24"/>
        </w:rPr>
        <w:t>8）学生来源地区分布情况：通过地图的形式显示学生生源地区，显示前五名生源地以及具体的学生人数。</w:t>
      </w:r>
    </w:p>
    <w:p>
      <w:pPr>
        <w:spacing w:line="360" w:lineRule="auto"/>
        <w:ind w:firstLine="420"/>
        <w:rPr>
          <w:rFonts w:ascii="宋体" w:hAnsi="宋体" w:cs="宋体"/>
          <w:sz w:val="24"/>
          <w:szCs w:val="24"/>
        </w:rPr>
      </w:pPr>
      <w:r>
        <w:rPr>
          <w:rFonts w:hint="eastAsia" w:ascii="宋体" w:hAnsi="宋体" w:cs="宋体"/>
          <w:sz w:val="24"/>
          <w:szCs w:val="24"/>
        </w:rPr>
        <w:t>9）招生方式：显示基于高考直接招生人数、单独考试招生人数、对口招生人数、中高职贯通招生人数。</w:t>
      </w:r>
    </w:p>
    <w:p>
      <w:pPr>
        <w:spacing w:line="360" w:lineRule="auto"/>
        <w:ind w:firstLine="420"/>
        <w:rPr>
          <w:rFonts w:ascii="宋体" w:hAnsi="宋体" w:cs="宋体"/>
          <w:sz w:val="24"/>
          <w:szCs w:val="24"/>
        </w:rPr>
      </w:pPr>
      <w:r>
        <w:rPr>
          <w:rFonts w:hint="eastAsia" w:ascii="宋体" w:hAnsi="宋体" w:cs="宋体"/>
          <w:sz w:val="24"/>
          <w:szCs w:val="24"/>
        </w:rPr>
        <w:t>10）生源类型：“三校生”人数占比、五年制高职生人数占比、普通高中生人数占比；</w:t>
      </w:r>
    </w:p>
    <w:p>
      <w:pPr>
        <w:spacing w:line="360" w:lineRule="auto"/>
        <w:ind w:firstLine="420"/>
        <w:rPr>
          <w:rFonts w:ascii="宋体" w:hAnsi="宋体" w:cs="宋体"/>
          <w:sz w:val="24"/>
          <w:szCs w:val="24"/>
        </w:rPr>
      </w:pPr>
      <w:r>
        <w:rPr>
          <w:rFonts w:hint="eastAsia" w:ascii="宋体" w:hAnsi="宋体" w:cs="宋体"/>
          <w:sz w:val="24"/>
          <w:szCs w:val="24"/>
        </w:rPr>
        <w:t>11）各学院人数：显示各个学院学生具体人数。</w:t>
      </w:r>
    </w:p>
    <w:p>
      <w:pPr>
        <w:pStyle w:val="5"/>
        <w:spacing w:line="360" w:lineRule="auto"/>
        <w:rPr>
          <w:rFonts w:ascii="宋体" w:hAnsi="宋体" w:cs="宋体"/>
          <w:sz w:val="24"/>
          <w:szCs w:val="24"/>
        </w:rPr>
      </w:pPr>
      <w:r>
        <w:rPr>
          <w:rFonts w:hint="eastAsia" w:ascii="宋体" w:hAnsi="宋体" w:cs="宋体"/>
          <w:sz w:val="24"/>
          <w:szCs w:val="24"/>
          <w:lang w:val="en-US" w:eastAsia="zh-CN"/>
        </w:rPr>
        <w:t>4.2.11</w:t>
      </w:r>
      <w:r>
        <w:rPr>
          <w:rFonts w:hint="eastAsia" w:ascii="宋体" w:hAnsi="宋体" w:cs="宋体"/>
          <w:sz w:val="24"/>
          <w:szCs w:val="24"/>
        </w:rPr>
        <w:t>数据采集</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4.2.11.1</w:t>
      </w:r>
      <w:r>
        <w:rPr>
          <w:rFonts w:hint="eastAsia" w:ascii="宋体" w:hAnsi="宋体" w:eastAsia="宋体" w:cs="宋体"/>
          <w:sz w:val="24"/>
          <w:szCs w:val="24"/>
        </w:rPr>
        <w:t>采集表单管理</w:t>
      </w:r>
    </w:p>
    <w:p>
      <w:pPr>
        <w:spacing w:line="360" w:lineRule="auto"/>
        <w:ind w:firstLine="420"/>
        <w:rPr>
          <w:rFonts w:ascii="宋体" w:hAnsi="宋体" w:cs="宋体"/>
          <w:sz w:val="24"/>
          <w:szCs w:val="24"/>
        </w:rPr>
      </w:pPr>
      <w:r>
        <w:rPr>
          <w:rFonts w:hint="eastAsia" w:ascii="宋体" w:hAnsi="宋体" w:cs="宋体"/>
          <w:sz w:val="24"/>
          <w:szCs w:val="24"/>
        </w:rPr>
        <w:t>采集表单管理包括：添加目录、新建模板、模板配置。</w:t>
      </w:r>
    </w:p>
    <w:p>
      <w:pPr>
        <w:spacing w:line="360" w:lineRule="auto"/>
        <w:ind w:firstLine="420"/>
        <w:rPr>
          <w:rFonts w:ascii="宋体" w:hAnsi="宋体" w:cs="宋体"/>
          <w:sz w:val="24"/>
          <w:szCs w:val="24"/>
        </w:rPr>
      </w:pPr>
      <w:r>
        <w:rPr>
          <w:rFonts w:hint="eastAsia" w:ascii="宋体" w:hAnsi="宋体" w:cs="宋体"/>
          <w:sz w:val="24"/>
          <w:szCs w:val="24"/>
        </w:rPr>
        <w:t>基于数据仓库下，可以设置仓库中的表单类型，可以对表单信息进行增、删、改管理，可以对表单设置数据校验规则，数据来源，库表映射，可查看数据信息。</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4.2.11.2</w:t>
      </w:r>
      <w:r>
        <w:rPr>
          <w:rFonts w:hint="eastAsia" w:ascii="宋体" w:hAnsi="宋体" w:eastAsia="宋体" w:cs="宋体"/>
          <w:sz w:val="24"/>
          <w:szCs w:val="24"/>
        </w:rPr>
        <w:t>采集任务管理</w:t>
      </w:r>
    </w:p>
    <w:p>
      <w:pPr>
        <w:spacing w:line="360" w:lineRule="auto"/>
        <w:ind w:firstLine="420"/>
        <w:rPr>
          <w:rFonts w:ascii="宋体" w:hAnsi="宋体" w:cs="宋体"/>
          <w:sz w:val="24"/>
          <w:szCs w:val="24"/>
        </w:rPr>
      </w:pPr>
      <w:r>
        <w:rPr>
          <w:rFonts w:hint="eastAsia" w:ascii="宋体" w:hAnsi="宋体" w:cs="宋体"/>
          <w:sz w:val="24"/>
          <w:szCs w:val="24"/>
        </w:rPr>
        <w:t>采集任务管理包括：任务管理、填报与审核。</w:t>
      </w:r>
    </w:p>
    <w:p>
      <w:pPr>
        <w:spacing w:line="360" w:lineRule="auto"/>
        <w:ind w:firstLine="420"/>
        <w:rPr>
          <w:rFonts w:ascii="宋体" w:hAnsi="宋体" w:cs="宋体"/>
          <w:sz w:val="24"/>
          <w:szCs w:val="24"/>
        </w:rPr>
      </w:pPr>
      <w:r>
        <w:rPr>
          <w:rFonts w:hint="eastAsia" w:ascii="宋体" w:hAnsi="宋体" w:cs="宋体"/>
          <w:sz w:val="24"/>
          <w:szCs w:val="24"/>
        </w:rPr>
        <w:t>提供多种手段的任务发布，可设定采集任务的填报人与审核人，支持退回机制。</w:t>
      </w:r>
    </w:p>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4.2.11.3</w:t>
      </w:r>
      <w:r>
        <w:rPr>
          <w:rFonts w:hint="eastAsia" w:ascii="宋体" w:hAnsi="宋体" w:eastAsia="宋体" w:cs="宋体"/>
          <w:sz w:val="24"/>
          <w:szCs w:val="24"/>
        </w:rPr>
        <w:t>采集后台管理</w:t>
      </w:r>
    </w:p>
    <w:p>
      <w:pPr>
        <w:spacing w:line="360" w:lineRule="auto"/>
        <w:ind w:firstLine="420"/>
        <w:rPr>
          <w:rFonts w:ascii="宋体" w:hAnsi="宋体" w:cs="宋体"/>
          <w:sz w:val="24"/>
          <w:szCs w:val="24"/>
        </w:rPr>
      </w:pPr>
      <w:r>
        <w:rPr>
          <w:rFonts w:hint="eastAsia" w:ascii="宋体" w:hAnsi="宋体" w:cs="宋体"/>
          <w:sz w:val="24"/>
          <w:szCs w:val="24"/>
        </w:rPr>
        <w:t>采集后台管理包括：角色定义、权限功能分配、表单授权定义、采集数据源管理。</w:t>
      </w:r>
    </w:p>
    <w:p>
      <w:pPr>
        <w:spacing w:line="360" w:lineRule="auto"/>
        <w:ind w:firstLine="420"/>
        <w:rPr>
          <w:rFonts w:ascii="宋体" w:hAnsi="宋体" w:cs="宋体"/>
          <w:sz w:val="24"/>
          <w:szCs w:val="24"/>
        </w:rPr>
      </w:pPr>
      <w:r>
        <w:rPr>
          <w:rFonts w:hint="eastAsia" w:ascii="宋体" w:hAnsi="宋体" w:cs="宋体"/>
          <w:sz w:val="24"/>
          <w:szCs w:val="24"/>
        </w:rPr>
        <w:t>可设定填报与审核两种角色，可根据表单来设置填报用户，可设置采集数据源信息。</w:t>
      </w:r>
    </w:p>
    <w:p>
      <w:pPr>
        <w:spacing w:line="360" w:lineRule="auto"/>
        <w:ind w:firstLine="420"/>
        <w:rPr>
          <w:rFonts w:hint="eastAsia" w:ascii="宋体" w:hAnsi="宋体" w:cs="宋体"/>
          <w:sz w:val="24"/>
          <w:szCs w:val="24"/>
        </w:rPr>
      </w:pPr>
      <w:r>
        <w:rPr>
          <w:rFonts w:hint="eastAsia" w:ascii="宋体" w:hAnsi="宋体" w:cs="宋体"/>
          <w:sz w:val="24"/>
          <w:szCs w:val="24"/>
        </w:rPr>
        <w:t>要求平台与学校的数据中心平台实现集成对接，而实现各个应用系统数据资源整合，对其数据进行抽取、清洗、转换、储存等措施，学校负责协调对现有应用系统的整合中各系统的厂商提供接口代码。</w:t>
      </w:r>
    </w:p>
    <w:p>
      <w:pPr>
        <w:spacing w:line="360" w:lineRule="auto"/>
        <w:ind w:firstLine="420"/>
        <w:rPr>
          <w:rFonts w:ascii="宋体" w:hAnsi="宋体" w:cs="宋体"/>
          <w:b/>
          <w:bCs/>
          <w:sz w:val="24"/>
          <w:szCs w:val="24"/>
        </w:rPr>
      </w:pPr>
      <w:r>
        <w:rPr>
          <w:rFonts w:hint="eastAsia" w:ascii="宋体" w:hAnsi="宋体" w:cs="宋体"/>
          <w:b/>
          <w:bCs/>
          <w:sz w:val="24"/>
          <w:szCs w:val="24"/>
          <w:lang w:val="en-US" w:eastAsia="zh-CN"/>
        </w:rPr>
        <w:t>4.2.12</w:t>
      </w:r>
      <w:r>
        <w:rPr>
          <w:rFonts w:hint="eastAsia" w:ascii="宋体" w:hAnsi="宋体" w:cs="宋体"/>
          <w:b/>
          <w:bCs/>
          <w:sz w:val="24"/>
          <w:szCs w:val="24"/>
        </w:rPr>
        <w:t>目标任务管理</w:t>
      </w:r>
    </w:p>
    <w:p>
      <w:pPr>
        <w:spacing w:line="360" w:lineRule="auto"/>
        <w:ind w:firstLine="420"/>
        <w:rPr>
          <w:rFonts w:ascii="宋体" w:hAnsi="宋体" w:cs="宋体"/>
          <w:sz w:val="24"/>
          <w:szCs w:val="24"/>
        </w:rPr>
      </w:pPr>
      <w:r>
        <w:rPr>
          <w:rFonts w:hint="eastAsia" w:ascii="宋体" w:hAnsi="宋体" w:cs="宋体"/>
          <w:sz w:val="24"/>
          <w:szCs w:val="24"/>
        </w:rPr>
        <w:t>1）可进行年度目标的制定和各部门年度目标的分解，任务可按部门下发，并下发到个人负责。</w:t>
      </w:r>
    </w:p>
    <w:p>
      <w:pPr>
        <w:spacing w:line="360" w:lineRule="auto"/>
        <w:ind w:firstLine="420"/>
        <w:rPr>
          <w:rFonts w:ascii="宋体" w:hAnsi="宋体" w:cs="宋体"/>
          <w:sz w:val="24"/>
          <w:szCs w:val="24"/>
        </w:rPr>
      </w:pPr>
      <w:r>
        <w:rPr>
          <w:rFonts w:hint="eastAsia" w:ascii="宋体" w:hAnsi="宋体" w:cs="宋体"/>
          <w:sz w:val="24"/>
          <w:szCs w:val="24"/>
        </w:rPr>
        <w:t>2）任务管理按我的任务、部门任务以及协作任务分类，任务人责任可操作自己的任务，部门负责人可监控本部门和其他部门给本部门的任务，部门负责人可监控分配给其他部门的协作任务，每个末级任务都可以设置独立的任务周期。</w:t>
      </w:r>
    </w:p>
    <w:p>
      <w:pPr>
        <w:spacing w:line="360" w:lineRule="auto"/>
        <w:ind w:firstLine="420"/>
        <w:rPr>
          <w:rFonts w:ascii="宋体" w:hAnsi="宋体" w:cs="宋体"/>
          <w:sz w:val="24"/>
          <w:szCs w:val="24"/>
        </w:rPr>
      </w:pPr>
      <w:r>
        <w:rPr>
          <w:rFonts w:hint="eastAsia" w:ascii="宋体" w:hAnsi="宋体" w:cs="宋体"/>
          <w:sz w:val="24"/>
          <w:szCs w:val="24"/>
        </w:rPr>
        <w:t>3）任务按年度目标、部门任务进行统计任务的完成情况。</w:t>
      </w:r>
    </w:p>
    <w:p>
      <w:pPr>
        <w:spacing w:line="360" w:lineRule="auto"/>
        <w:ind w:firstLine="420"/>
        <w:rPr>
          <w:rFonts w:ascii="宋体" w:hAnsi="宋体" w:cs="宋体"/>
          <w:sz w:val="24"/>
          <w:szCs w:val="24"/>
        </w:rPr>
      </w:pPr>
      <w:r>
        <w:rPr>
          <w:rFonts w:hint="eastAsia" w:ascii="宋体" w:hAnsi="宋体" w:cs="宋体"/>
          <w:sz w:val="24"/>
          <w:szCs w:val="24"/>
        </w:rPr>
        <w:t>4）目标任务绩效按任务完成情况，部门自评和校领导进行等级考评的审核流程，最终生成绩效报告。</w:t>
      </w:r>
    </w:p>
    <w:p>
      <w:pPr>
        <w:spacing w:line="360" w:lineRule="auto"/>
        <w:ind w:firstLine="420"/>
        <w:rPr>
          <w:rFonts w:ascii="宋体" w:hAnsi="宋体" w:cs="宋体"/>
          <w:sz w:val="24"/>
          <w:szCs w:val="24"/>
        </w:rPr>
      </w:pPr>
      <w:r>
        <w:rPr>
          <w:rFonts w:hint="eastAsia" w:ascii="宋体" w:hAnsi="宋体" w:cs="宋体"/>
          <w:sz w:val="24"/>
          <w:szCs w:val="24"/>
        </w:rPr>
        <w:t>5）任务负责人可以对负责的任务的完成情况（已完成、正常推进、任务停滞、未启动等）选项式填报，并进行进度描述和上传支持材料。</w:t>
      </w:r>
    </w:p>
    <w:p>
      <w:pPr>
        <w:spacing w:line="360" w:lineRule="auto"/>
        <w:ind w:firstLine="420"/>
        <w:rPr>
          <w:rFonts w:ascii="宋体" w:hAnsi="宋体" w:cs="宋体"/>
          <w:sz w:val="24"/>
          <w:szCs w:val="24"/>
        </w:rPr>
      </w:pPr>
      <w:r>
        <w:rPr>
          <w:rFonts w:hint="eastAsia" w:ascii="宋体" w:hAnsi="宋体" w:cs="宋体"/>
          <w:sz w:val="24"/>
          <w:szCs w:val="24"/>
        </w:rPr>
        <w:t>6）分管领导可以对任务的完成情况进行评定等级。</w:t>
      </w:r>
    </w:p>
    <w:p>
      <w:pPr>
        <w:spacing w:line="360" w:lineRule="auto"/>
        <w:ind w:firstLine="420"/>
        <w:rPr>
          <w:rFonts w:ascii="宋体" w:hAnsi="宋体" w:cs="宋体"/>
          <w:sz w:val="24"/>
          <w:szCs w:val="24"/>
        </w:rPr>
      </w:pPr>
      <w:r>
        <w:rPr>
          <w:rFonts w:hint="eastAsia" w:ascii="宋体" w:hAnsi="宋体" w:cs="宋体"/>
          <w:sz w:val="24"/>
          <w:szCs w:val="24"/>
        </w:rPr>
        <w:t>7）任务的发布人可以对任务的完成情况进行最终评定等级。</w:t>
      </w:r>
    </w:p>
    <w:p>
      <w:pPr>
        <w:spacing w:line="360" w:lineRule="auto"/>
        <w:ind w:firstLine="420"/>
        <w:rPr>
          <w:rFonts w:ascii="宋体" w:hAnsi="宋体" w:cs="宋体"/>
          <w:sz w:val="24"/>
          <w:szCs w:val="24"/>
        </w:rPr>
      </w:pPr>
      <w:r>
        <w:rPr>
          <w:rFonts w:hint="eastAsia" w:ascii="宋体" w:hAnsi="宋体" w:cs="宋体"/>
          <w:sz w:val="24"/>
          <w:szCs w:val="24"/>
        </w:rPr>
        <w:t>8）在目标绩效报告模块可以查看目标任务流程最终生成的绩效报告。</w:t>
      </w:r>
    </w:p>
    <w:p>
      <w:pPr>
        <w:pStyle w:val="5"/>
        <w:spacing w:line="360" w:lineRule="auto"/>
        <w:rPr>
          <w:rFonts w:ascii="宋体" w:hAnsi="宋体" w:cs="宋体"/>
          <w:sz w:val="24"/>
          <w:szCs w:val="24"/>
        </w:rPr>
      </w:pPr>
      <w:r>
        <w:rPr>
          <w:rFonts w:hint="eastAsia" w:ascii="宋体" w:hAnsi="宋体" w:cs="宋体"/>
          <w:sz w:val="24"/>
          <w:szCs w:val="24"/>
          <w:lang w:val="en-US" w:eastAsia="zh-CN"/>
        </w:rPr>
        <w:t>4.2.13</w:t>
      </w:r>
      <w:r>
        <w:rPr>
          <w:rFonts w:hint="eastAsia" w:ascii="宋体" w:hAnsi="宋体" w:cs="宋体"/>
          <w:sz w:val="24"/>
          <w:szCs w:val="24"/>
        </w:rPr>
        <w:t>指标体系设计</w:t>
      </w:r>
    </w:p>
    <w:p>
      <w:pPr>
        <w:pStyle w:val="6"/>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4.2.13.1</w:t>
      </w:r>
      <w:r>
        <w:rPr>
          <w:rFonts w:hint="eastAsia" w:ascii="宋体" w:hAnsi="宋体" w:eastAsia="宋体" w:cs="宋体"/>
          <w:sz w:val="24"/>
          <w:szCs w:val="24"/>
        </w:rPr>
        <w:t>学校层</w:t>
      </w:r>
    </w:p>
    <w:tbl>
      <w:tblPr>
        <w:tblStyle w:val="2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924"/>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一级指标</w:t>
            </w: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二级指标</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诊断指标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1.决策指挥</w:t>
            </w: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1.1目标标准</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学校中长期规划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1.2专业设置</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学校专业发展规划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学校专业建设标准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1.3培养模式</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2.资源建设</w:t>
            </w: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2.1师资队伍</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学校师资队伍建设规划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2.2课程与资源</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课程选用近三年教材占比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2.3实践条件</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生均校内实践教学工位数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2.4教研科研</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科研成果数量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教研成果数量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3.支持服务</w:t>
            </w: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3.1体制机制</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学校质量保证文档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专职质量管理人员数量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3.2质量保证制度</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学校质量保证制度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师资质量保证制度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专业质量保证制度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课程质量保证制度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学生发展质量保证制度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4.质量生成</w:t>
            </w: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4.1招生服务</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新生招生计划完成率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4.2就业服务</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协议就业率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自主创业率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毕业生直接升学率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5.监督控制</w:t>
            </w: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5.1校级质量监控</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五年规划目标达成度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部门年度重点工作完成率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校友母校满意度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5.2专业质量监控</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专业就业率达成度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5.3课程质量监控</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学生缺课率达成度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学生成绩合格率达成度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5.4师资质量监控</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校内生师比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专任教师双师素质占比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restar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5.5学生发展质量监控</w:t>
            </w: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学生缺勤率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07" w:type="pct"/>
            <w:vMerge w:val="continue"/>
            <w:vAlign w:val="center"/>
          </w:tcPr>
          <w:p>
            <w:pPr>
              <w:pStyle w:val="93"/>
              <w:spacing w:line="360" w:lineRule="auto"/>
              <w:ind w:firstLine="420"/>
              <w:rPr>
                <w:rFonts w:ascii="宋体" w:hAnsi="宋体" w:eastAsia="宋体" w:cs="宋体"/>
                <w:szCs w:val="24"/>
              </w:rPr>
            </w:pPr>
          </w:p>
        </w:tc>
        <w:tc>
          <w:tcPr>
            <w:tcW w:w="1556" w:type="pct"/>
            <w:vMerge w:val="continue"/>
            <w:vAlign w:val="center"/>
          </w:tcPr>
          <w:p>
            <w:pPr>
              <w:pStyle w:val="93"/>
              <w:spacing w:line="360" w:lineRule="auto"/>
              <w:ind w:firstLine="420"/>
              <w:rPr>
                <w:rFonts w:ascii="宋体" w:hAnsi="宋体" w:eastAsia="宋体" w:cs="宋体"/>
                <w:szCs w:val="24"/>
              </w:rPr>
            </w:pPr>
          </w:p>
        </w:tc>
        <w:tc>
          <w:tcPr>
            <w:tcW w:w="2237" w:type="pct"/>
            <w:shd w:val="clear" w:color="auto" w:fill="auto"/>
            <w:noWrap/>
            <w:vAlign w:val="center"/>
          </w:tcPr>
          <w:p>
            <w:pPr>
              <w:pStyle w:val="93"/>
              <w:spacing w:line="360" w:lineRule="auto"/>
              <w:rPr>
                <w:rFonts w:ascii="宋体" w:hAnsi="宋体" w:eastAsia="宋体" w:cs="宋体"/>
                <w:szCs w:val="24"/>
              </w:rPr>
            </w:pPr>
            <w:r>
              <w:rPr>
                <w:rFonts w:hint="eastAsia" w:ascii="宋体" w:hAnsi="宋体" w:eastAsia="宋体" w:cs="宋体"/>
                <w:szCs w:val="24"/>
              </w:rPr>
              <w:t>学生成绩合格率</w:t>
            </w:r>
          </w:p>
        </w:tc>
      </w:tr>
    </w:tbl>
    <w:p>
      <w:pPr>
        <w:pStyle w:val="6"/>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4.2.13.2</w:t>
      </w:r>
      <w:r>
        <w:rPr>
          <w:rFonts w:hint="eastAsia" w:ascii="宋体" w:hAnsi="宋体" w:eastAsia="宋体" w:cs="宋体"/>
          <w:sz w:val="24"/>
          <w:szCs w:val="24"/>
        </w:rPr>
        <w:t>专业层</w:t>
      </w:r>
    </w:p>
    <w:tbl>
      <w:tblPr>
        <w:tblStyle w:val="2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779"/>
        <w:gridCol w:w="4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一级指标</w:t>
            </w: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二级指标</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rPr>
              <w:t>诊断指标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1.决策指挥</w:t>
            </w: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1.1专业规划</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1.2专业调研</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企业需求岗位与专业培养岗位的吻合度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1.3专业开设</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1.4专业人才培养方案</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2.资源建设</w:t>
            </w: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2.1专业师资</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专业专任教师双师素质教师占比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专业专任教师高级职称占比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2.2实践条件</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C类课程学分比例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2.3教学资源</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教材选用省级以上精品或规划占比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3.支持服务</w:t>
            </w: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3.1专业制度</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专业建设与管理制度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实践基地建设与管理制度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专业人才需求调研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4.质量生成</w:t>
            </w:r>
          </w:p>
        </w:tc>
        <w:tc>
          <w:tcPr>
            <w:tcW w:w="14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4.1课堂教学</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学生缺课率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4.2在校生及毕业生</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学生辍学率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应届毕业生毕业率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4.3教学评价</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督导听课成绩合格率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督导听课成绩优秀率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4.4科研与社会服务</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年度教师获得教科研项目数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年度专业教师获得教科研成果奖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年度社会人员培训量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5.监督控制</w:t>
            </w: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5.1专业目标达成</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完成年度专业建设主要任务占比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新生招生计划完成率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5.2教师与经费条件</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专业课生师比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专业生均教育经费占比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5.3专业教学</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专业教学计划调整率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应届毕业生核心课程满足度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5.4建设效果</w:t>
            </w: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毕业生中高级职业资格证书获取率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37" w:type="pct"/>
            <w:vMerge w:val="continue"/>
            <w:vAlign w:val="center"/>
          </w:tcPr>
          <w:p>
            <w:pPr>
              <w:pStyle w:val="93"/>
              <w:spacing w:line="360" w:lineRule="auto"/>
              <w:ind w:firstLine="420"/>
              <w:rPr>
                <w:rFonts w:ascii="宋体" w:hAnsi="宋体" w:eastAsia="宋体" w:cs="宋体"/>
                <w:szCs w:val="24"/>
                <w:lang w:val="en-US"/>
              </w:rPr>
            </w:pPr>
          </w:p>
        </w:tc>
        <w:tc>
          <w:tcPr>
            <w:tcW w:w="1481" w:type="pct"/>
            <w:vMerge w:val="continue"/>
            <w:vAlign w:val="center"/>
          </w:tcPr>
          <w:p>
            <w:pPr>
              <w:pStyle w:val="93"/>
              <w:spacing w:line="360" w:lineRule="auto"/>
              <w:ind w:firstLine="420"/>
              <w:rPr>
                <w:rFonts w:ascii="宋体" w:hAnsi="宋体" w:eastAsia="宋体" w:cs="宋体"/>
                <w:szCs w:val="24"/>
                <w:lang w:val="en-US"/>
              </w:rPr>
            </w:pPr>
          </w:p>
        </w:tc>
        <w:tc>
          <w:tcPr>
            <w:tcW w:w="2282"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应届毕业生初次就业率</w:t>
            </w:r>
          </w:p>
        </w:tc>
      </w:tr>
    </w:tbl>
    <w:p>
      <w:pPr>
        <w:pStyle w:val="6"/>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4.2.13.3</w:t>
      </w:r>
      <w:r>
        <w:rPr>
          <w:rFonts w:hint="eastAsia" w:ascii="宋体" w:hAnsi="宋体" w:eastAsia="宋体" w:cs="宋体"/>
          <w:sz w:val="24"/>
          <w:szCs w:val="24"/>
        </w:rPr>
        <w:t>课程层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802"/>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一级指标</w:t>
            </w: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二级指标</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诊断指标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1.决策指挥</w:t>
            </w: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1.1课程建设规划</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课程建设规划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1.2课程教学大纲</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课程教学大纲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1.3课程授课计划</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课程授课计划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2.资源建设</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2.1教材</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选用教材级别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选用教材出版年份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2.2教学资源</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数字资源数量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在线学习或教学平台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2.3实践教学条件</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实验实训室数量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本课程实验实训项目开出比例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3.支持服务</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3.1课程教学制度与规范</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课程教学大纲格式规范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教师教学工作规范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4.质量生成</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4.1学生质量</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缺课率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成绩合格率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成绩优秀率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4.2教师质量</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教学日志填写率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调课率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5.监督控制</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5.1教学评价</w:t>
            </w: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督导听课成绩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二级学院听课成绩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评学成绩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81"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28"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评教成绩</w:t>
            </w:r>
          </w:p>
        </w:tc>
      </w:tr>
    </w:tbl>
    <w:p>
      <w:pPr>
        <w:rPr>
          <w:rFonts w:hint="eastAsia" w:ascii="宋体" w:hAnsi="宋体" w:eastAsia="宋体" w:cs="宋体"/>
          <w:sz w:val="24"/>
          <w:szCs w:val="24"/>
        </w:rPr>
      </w:pPr>
      <w:r>
        <w:rPr>
          <w:rFonts w:hint="eastAsia" w:ascii="宋体" w:hAnsi="宋体" w:eastAsia="宋体" w:cs="宋体"/>
          <w:sz w:val="24"/>
          <w:szCs w:val="24"/>
        </w:rPr>
        <w:br w:type="page"/>
      </w:r>
    </w:p>
    <w:p>
      <w:pPr>
        <w:pStyle w:val="6"/>
        <w:spacing w:line="360" w:lineRule="auto"/>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4.2.13.4</w:t>
      </w:r>
      <w:r>
        <w:rPr>
          <w:rFonts w:hint="eastAsia" w:ascii="宋体" w:hAnsi="宋体" w:eastAsia="宋体" w:cs="宋体"/>
          <w:sz w:val="24"/>
          <w:szCs w:val="24"/>
        </w:rPr>
        <w:t>师资层</w:t>
      </w:r>
    </w:p>
    <w:tbl>
      <w:tblPr>
        <w:tblStyle w:val="2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796"/>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一级指标</w:t>
            </w:r>
          </w:p>
        </w:tc>
        <w:tc>
          <w:tcPr>
            <w:tcW w:w="15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二级指标</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诊断指标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1.决策指挥</w:t>
            </w:r>
          </w:p>
        </w:tc>
        <w:tc>
          <w:tcPr>
            <w:tcW w:w="15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1.1师资建设规划</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教学部门师资队伍建设规划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1.2人员配置</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教学部门教职工人数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专任教师人数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辅导员人数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校内兼课教师人数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校外兼职教师人数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2.资源建设</w:t>
            </w: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2.1师资引进和师资培养</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高层次人才引进人数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高层次人才引进完成率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2.2师资培养基地</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校外双师型教师培养基地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校内双师型教师培养基地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3.支持服务</w:t>
            </w: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3.1师资相关管理制度</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教师教育教学工作评价及管理实施细则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教师科研工作评价及管理实施细则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高层次人才培养管理实施细则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4.质量生成</w:t>
            </w: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4.1师资结构</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专任教师高级职称占比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校外兼职教师占比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4.2教学工作</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专任教师平均工作量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工匠型实践教学教师平均工作量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4.3人才项目和评优评先</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高层次人才人数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高层次人才项目数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各级各类名师数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高水平科研与教研成果数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其他个人和集体荣誉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5.监督控制</w:t>
            </w:r>
          </w:p>
        </w:tc>
        <w:tc>
          <w:tcPr>
            <w:tcW w:w="1520"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5.1师资结构</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专任教师双师素质占比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vMerge w:val="continue"/>
            <w:vAlign w:val="center"/>
          </w:tcPr>
          <w:p>
            <w:pPr>
              <w:pStyle w:val="93"/>
              <w:spacing w:line="360" w:lineRule="auto"/>
              <w:ind w:firstLine="420"/>
              <w:rPr>
                <w:rFonts w:ascii="宋体" w:hAnsi="宋体" w:eastAsia="宋体" w:cs="宋体"/>
                <w:szCs w:val="24"/>
                <w:lang w:val="en-US"/>
              </w:rPr>
            </w:pP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校内专业课生师比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60" w:type="pct"/>
            <w:vMerge w:val="continue"/>
            <w:vAlign w:val="center"/>
          </w:tcPr>
          <w:p>
            <w:pPr>
              <w:pStyle w:val="93"/>
              <w:spacing w:line="360" w:lineRule="auto"/>
              <w:ind w:firstLine="420"/>
              <w:rPr>
                <w:rFonts w:ascii="宋体" w:hAnsi="宋体" w:eastAsia="宋体" w:cs="宋体"/>
                <w:szCs w:val="24"/>
                <w:lang w:val="en-US"/>
              </w:rPr>
            </w:pPr>
          </w:p>
        </w:tc>
        <w:tc>
          <w:tcPr>
            <w:tcW w:w="15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5.2师资工作达成度</w:t>
            </w:r>
          </w:p>
        </w:tc>
        <w:tc>
          <w:tcPr>
            <w:tcW w:w="2220"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师资年度重点工作完成率</w:t>
            </w:r>
          </w:p>
        </w:tc>
      </w:tr>
    </w:tbl>
    <w:p>
      <w:pPr>
        <w:pStyle w:val="6"/>
        <w:spacing w:line="360" w:lineRule="auto"/>
        <w:rPr>
          <w:rFonts w:ascii="宋体" w:hAnsi="宋体" w:eastAsia="宋体" w:cs="宋体"/>
          <w:sz w:val="24"/>
          <w:szCs w:val="24"/>
        </w:rPr>
      </w:pPr>
      <w:r>
        <w:rPr>
          <w:rFonts w:hint="eastAsia" w:ascii="宋体" w:hAnsi="宋体" w:eastAsia="宋体" w:cs="宋体"/>
          <w:sz w:val="24"/>
          <w:szCs w:val="24"/>
          <w:lang w:val="en-US" w:eastAsia="zh-CN"/>
        </w:rPr>
        <w:t>4..2.13.5</w:t>
      </w:r>
      <w:r>
        <w:rPr>
          <w:rFonts w:hint="eastAsia" w:ascii="宋体" w:hAnsi="宋体" w:eastAsia="宋体" w:cs="宋体"/>
          <w:sz w:val="24"/>
          <w:szCs w:val="24"/>
        </w:rPr>
        <w:t>学生层</w:t>
      </w:r>
    </w:p>
    <w:tbl>
      <w:tblPr>
        <w:tblStyle w:val="2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2802"/>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一级指标</w:t>
            </w: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二级指标</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诊断指标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1.决策指挥</w:t>
            </w: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1.1人才培养方案</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学生毕业标准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1.2综合素质标准</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学生综合素质评价办法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学生素质教育实施细则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1.3成长规划</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学生个人成长发展规划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2.资源建设</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2.1人员保障</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学生服务队伍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学生自主管理队伍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2.2经费保障</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学生服务经费总额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2.3资源保障</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生均活动场馆面积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素质教育基地数量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3.支持服务</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3.1管理服务</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宿舍检查平均成绩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文明宿舍比例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辅导员进宿舍次数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3.2学生诉求服务</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学生投诉数量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学生意见反馈处理率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3.3特殊群体服务</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贫困学生奖助金额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毕业生求职补贴金额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4.质量生成</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4.1学业提升</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学生学年成绩合格率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生均不及格课程门数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4.2基础素质提升</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生均参加社会公益次数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生均早操缺勤次数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4.3职业与就业能力提升</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职业生涯规划作品完成情况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学生参加竞赛情况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生均职业资格证书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5.监督控制</w:t>
            </w: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5.1人才培养目标达成</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合格学生比例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优秀学生比例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5.2学生评价</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学生服务满意度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教学工作满意度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生活服务满意度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社团活动满意度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5.3培养成效</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教师评学成绩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毕业生协议签约率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毕业生就业对口率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毕业生自主创业比率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毕业生平均薪酬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毕业生对母校满意率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restar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5.4精英学生</w:t>
            </w: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获得奖学金学生比例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43" w:type="pct"/>
            <w:vMerge w:val="continue"/>
            <w:vAlign w:val="center"/>
          </w:tcPr>
          <w:p>
            <w:pPr>
              <w:pStyle w:val="93"/>
              <w:spacing w:line="360" w:lineRule="auto"/>
              <w:ind w:firstLine="420"/>
              <w:rPr>
                <w:rFonts w:ascii="宋体" w:hAnsi="宋体" w:eastAsia="宋体" w:cs="宋体"/>
                <w:szCs w:val="24"/>
                <w:lang w:val="en-US"/>
              </w:rPr>
            </w:pPr>
          </w:p>
        </w:tc>
        <w:tc>
          <w:tcPr>
            <w:tcW w:w="1491" w:type="pct"/>
            <w:vMerge w:val="continue"/>
            <w:vAlign w:val="center"/>
          </w:tcPr>
          <w:p>
            <w:pPr>
              <w:pStyle w:val="93"/>
              <w:spacing w:line="360" w:lineRule="auto"/>
              <w:ind w:firstLine="420"/>
              <w:rPr>
                <w:rFonts w:ascii="宋体" w:hAnsi="宋体" w:eastAsia="宋体" w:cs="宋体"/>
                <w:szCs w:val="24"/>
                <w:lang w:val="en-US"/>
              </w:rPr>
            </w:pPr>
          </w:p>
        </w:tc>
        <w:tc>
          <w:tcPr>
            <w:tcW w:w="2266" w:type="pct"/>
            <w:shd w:val="clear" w:color="auto" w:fill="auto"/>
            <w:noWrap/>
            <w:vAlign w:val="center"/>
          </w:tcPr>
          <w:p>
            <w:pPr>
              <w:pStyle w:val="93"/>
              <w:spacing w:line="360" w:lineRule="auto"/>
              <w:rPr>
                <w:rFonts w:ascii="宋体" w:hAnsi="宋体" w:eastAsia="宋体" w:cs="宋体"/>
                <w:szCs w:val="24"/>
                <w:lang w:val="en-US"/>
              </w:rPr>
            </w:pPr>
            <w:r>
              <w:rPr>
                <w:rFonts w:hint="eastAsia" w:ascii="宋体" w:hAnsi="宋体" w:eastAsia="宋体" w:cs="宋体"/>
                <w:szCs w:val="24"/>
                <w:lang w:val="en-US"/>
              </w:rPr>
              <w:t>各类竞赛获奖学生总人次</w:t>
            </w:r>
          </w:p>
        </w:tc>
      </w:tr>
    </w:tbl>
    <w:p/>
    <w:p/>
    <w:p>
      <w:pPr>
        <w:pStyle w:val="14"/>
      </w:pPr>
    </w:p>
    <w:p>
      <w:pPr>
        <w:pStyle w:val="14"/>
      </w:pPr>
    </w:p>
    <w:p>
      <w:pPr>
        <w:pStyle w:val="14"/>
      </w:pPr>
    </w:p>
    <w:p>
      <w:pPr>
        <w:pStyle w:val="14"/>
      </w:pPr>
    </w:p>
    <w:p/>
    <w:p>
      <w:pPr>
        <w:rPr>
          <w:rFonts w:ascii="黑体" w:hAnsi="黑体" w:eastAsia="仿宋_GB2312"/>
          <w:b/>
          <w:kern w:val="0"/>
          <w:sz w:val="32"/>
          <w:szCs w:val="32"/>
        </w:rPr>
      </w:pPr>
      <w:r>
        <w:rPr>
          <w:rFonts w:hint="eastAsia" w:ascii="黑体" w:hAnsi="黑体" w:eastAsia="仿宋_GB2312"/>
          <w:b/>
          <w:kern w:val="0"/>
          <w:sz w:val="32"/>
          <w:szCs w:val="32"/>
        </w:rPr>
        <w:br w:type="page"/>
      </w:r>
    </w:p>
    <w:p>
      <w:pPr>
        <w:pStyle w:val="4"/>
        <w:rPr>
          <w:rFonts w:ascii="宋体" w:hAnsi="宋体" w:eastAsia="宋体" w:cs="宋体"/>
          <w:b/>
          <w:bCs w:val="0"/>
          <w:szCs w:val="32"/>
        </w:rPr>
      </w:pPr>
      <w:r>
        <w:rPr>
          <w:rFonts w:hint="eastAsia" w:ascii="宋体" w:hAnsi="宋体" w:eastAsia="宋体" w:cs="宋体"/>
          <w:b/>
          <w:bCs w:val="0"/>
          <w:szCs w:val="32"/>
          <w:lang w:val="en-US" w:eastAsia="zh-CN"/>
        </w:rPr>
        <w:t>4.3</w:t>
      </w:r>
      <w:r>
        <w:rPr>
          <w:rFonts w:hint="eastAsia" w:ascii="宋体" w:hAnsi="宋体" w:eastAsia="宋体" w:cs="宋体"/>
          <w:b/>
          <w:bCs w:val="0"/>
          <w:szCs w:val="32"/>
        </w:rPr>
        <w:t>硬件设备清单</w:t>
      </w:r>
    </w:p>
    <w:tbl>
      <w:tblPr>
        <w:tblStyle w:val="26"/>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9"/>
        <w:gridCol w:w="4548"/>
        <w:gridCol w:w="1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89" w:type="dxa"/>
            <w:tcMar>
              <w:top w:w="13" w:type="dxa"/>
              <w:left w:w="57" w:type="dxa"/>
              <w:bottom w:w="0" w:type="dxa"/>
              <w:right w:w="57" w:type="dxa"/>
            </w:tcMar>
            <w:vAlign w:val="center"/>
          </w:tcPr>
          <w:p>
            <w:pPr>
              <w:spacing w:line="360" w:lineRule="auto"/>
              <w:jc w:val="center"/>
              <w:rPr>
                <w:rFonts w:ascii="宋体" w:hAnsi="宋体" w:cs="宋体"/>
                <w:b/>
                <w:sz w:val="24"/>
              </w:rPr>
            </w:pPr>
            <w:r>
              <w:rPr>
                <w:rFonts w:hint="eastAsia" w:ascii="宋体" w:hAnsi="宋体" w:cs="宋体"/>
                <w:b/>
                <w:sz w:val="24"/>
              </w:rPr>
              <w:t>序号</w:t>
            </w:r>
          </w:p>
        </w:tc>
        <w:tc>
          <w:tcPr>
            <w:tcW w:w="4548" w:type="dxa"/>
            <w:tcMar>
              <w:top w:w="13" w:type="dxa"/>
              <w:left w:w="57" w:type="dxa"/>
              <w:bottom w:w="0" w:type="dxa"/>
              <w:right w:w="57" w:type="dxa"/>
            </w:tcMar>
            <w:vAlign w:val="center"/>
          </w:tcPr>
          <w:p>
            <w:pPr>
              <w:snapToGrid w:val="0"/>
              <w:spacing w:line="360" w:lineRule="auto"/>
              <w:jc w:val="center"/>
              <w:rPr>
                <w:rFonts w:ascii="宋体" w:hAnsi="宋体" w:cs="宋体"/>
                <w:b/>
                <w:sz w:val="24"/>
              </w:rPr>
            </w:pPr>
            <w:r>
              <w:rPr>
                <w:rFonts w:hint="eastAsia" w:ascii="宋体" w:hAnsi="宋体" w:cs="宋体"/>
                <w:b/>
                <w:sz w:val="24"/>
              </w:rPr>
              <w:t>设备名称</w:t>
            </w:r>
          </w:p>
        </w:tc>
        <w:tc>
          <w:tcPr>
            <w:tcW w:w="1227"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362" w:type="dxa"/>
            <w:vAlign w:val="center"/>
          </w:tcPr>
          <w:p>
            <w:pPr>
              <w:spacing w:line="360" w:lineRule="auto"/>
              <w:jc w:val="center"/>
              <w:rPr>
                <w:rFonts w:ascii="宋体" w:hAnsi="宋体" w:cs="宋体"/>
                <w:b/>
                <w:sz w:val="24"/>
              </w:rPr>
            </w:pPr>
            <w:r>
              <w:rPr>
                <w:rFonts w:hint="eastAsia" w:ascii="宋体" w:hAnsi="宋体" w:cs="宋体"/>
                <w:b/>
                <w:sz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89" w:type="dxa"/>
            <w:tcMar>
              <w:top w:w="13" w:type="dxa"/>
              <w:left w:w="57" w:type="dxa"/>
              <w:bottom w:w="0" w:type="dxa"/>
              <w:right w:w="57" w:type="dxa"/>
            </w:tcMar>
            <w:vAlign w:val="center"/>
          </w:tcPr>
          <w:p>
            <w:pPr>
              <w:widowControl/>
              <w:spacing w:line="360" w:lineRule="auto"/>
              <w:jc w:val="center"/>
              <w:textAlignment w:val="center"/>
              <w:rPr>
                <w:rFonts w:ascii="宋体" w:hAnsi="宋体" w:cs="宋体"/>
                <w:bCs/>
                <w:sz w:val="24"/>
              </w:rPr>
            </w:pPr>
            <w:r>
              <w:rPr>
                <w:rFonts w:hint="eastAsia" w:ascii="宋体" w:hAnsi="宋体" w:cs="宋体"/>
                <w:kern w:val="0"/>
                <w:sz w:val="24"/>
              </w:rPr>
              <w:t>1</w:t>
            </w:r>
          </w:p>
        </w:tc>
        <w:tc>
          <w:tcPr>
            <w:tcW w:w="4548" w:type="dxa"/>
            <w:tcMar>
              <w:top w:w="13" w:type="dxa"/>
              <w:left w:w="57" w:type="dxa"/>
              <w:bottom w:w="0" w:type="dxa"/>
              <w:right w:w="57" w:type="dxa"/>
            </w:tcMar>
            <w:vAlign w:val="center"/>
          </w:tcPr>
          <w:p>
            <w:pPr>
              <w:widowControl/>
              <w:spacing w:line="360" w:lineRule="auto"/>
              <w:jc w:val="center"/>
              <w:textAlignment w:val="center"/>
              <w:rPr>
                <w:rFonts w:ascii="宋体" w:hAnsi="宋体" w:cs="宋体"/>
                <w:sz w:val="24"/>
              </w:rPr>
            </w:pPr>
            <w:r>
              <w:rPr>
                <w:rFonts w:hint="eastAsia" w:ascii="宋体" w:hAnsi="宋体" w:cs="宋体"/>
                <w:sz w:val="24"/>
              </w:rPr>
              <w:t>超融合服务器</w:t>
            </w:r>
          </w:p>
        </w:tc>
        <w:tc>
          <w:tcPr>
            <w:tcW w:w="1227" w:type="dxa"/>
            <w:vAlign w:val="center"/>
          </w:tcPr>
          <w:p>
            <w:pPr>
              <w:widowControl/>
              <w:spacing w:line="360" w:lineRule="auto"/>
              <w:jc w:val="center"/>
              <w:textAlignment w:val="center"/>
              <w:rPr>
                <w:rFonts w:ascii="宋体" w:hAnsi="宋体" w:cs="宋体"/>
                <w:sz w:val="24"/>
              </w:rPr>
            </w:pPr>
            <w:r>
              <w:rPr>
                <w:rFonts w:ascii="宋体" w:hAnsi="宋体" w:cs="宋体"/>
                <w:sz w:val="24"/>
              </w:rPr>
              <w:t>6</w:t>
            </w:r>
          </w:p>
        </w:tc>
        <w:tc>
          <w:tcPr>
            <w:tcW w:w="1362"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89" w:type="dxa"/>
            <w:tcMar>
              <w:top w:w="13" w:type="dxa"/>
              <w:left w:w="57" w:type="dxa"/>
              <w:bottom w:w="0" w:type="dxa"/>
              <w:right w:w="57" w:type="dxa"/>
            </w:tcMar>
            <w:vAlign w:val="center"/>
          </w:tcPr>
          <w:p>
            <w:pPr>
              <w:widowControl/>
              <w:spacing w:line="360" w:lineRule="auto"/>
              <w:jc w:val="center"/>
              <w:textAlignment w:val="center"/>
              <w:rPr>
                <w:rFonts w:ascii="宋体" w:hAnsi="宋体" w:cs="宋体"/>
                <w:bCs/>
                <w:sz w:val="24"/>
              </w:rPr>
            </w:pPr>
            <w:r>
              <w:rPr>
                <w:rFonts w:hint="eastAsia" w:ascii="宋体" w:hAnsi="宋体" w:cs="宋体"/>
                <w:kern w:val="0"/>
                <w:sz w:val="24"/>
              </w:rPr>
              <w:t>2</w:t>
            </w:r>
          </w:p>
        </w:tc>
        <w:tc>
          <w:tcPr>
            <w:tcW w:w="4548" w:type="dxa"/>
            <w:tcMar>
              <w:top w:w="13" w:type="dxa"/>
              <w:left w:w="57" w:type="dxa"/>
              <w:bottom w:w="0" w:type="dxa"/>
              <w:right w:w="57" w:type="dxa"/>
            </w:tcMar>
            <w:vAlign w:val="center"/>
          </w:tcPr>
          <w:p>
            <w:pPr>
              <w:widowControl/>
              <w:spacing w:line="360" w:lineRule="auto"/>
              <w:jc w:val="center"/>
              <w:textAlignment w:val="center"/>
              <w:rPr>
                <w:rFonts w:ascii="宋体" w:hAnsi="宋体" w:cs="宋体"/>
                <w:sz w:val="24"/>
              </w:rPr>
            </w:pPr>
            <w:r>
              <w:rPr>
                <w:rFonts w:hint="eastAsia" w:ascii="宋体" w:hAnsi="宋体" w:cs="宋体"/>
                <w:sz w:val="24"/>
              </w:rPr>
              <w:t>超融合存储组网交换机</w:t>
            </w:r>
          </w:p>
        </w:tc>
        <w:tc>
          <w:tcPr>
            <w:tcW w:w="1227" w:type="dxa"/>
            <w:vAlign w:val="center"/>
          </w:tcPr>
          <w:p>
            <w:pPr>
              <w:widowControl/>
              <w:spacing w:line="360" w:lineRule="auto"/>
              <w:jc w:val="center"/>
              <w:textAlignment w:val="center"/>
              <w:rPr>
                <w:rFonts w:ascii="宋体" w:hAnsi="宋体" w:cs="宋体"/>
                <w:sz w:val="24"/>
              </w:rPr>
            </w:pPr>
            <w:r>
              <w:rPr>
                <w:rFonts w:ascii="宋体" w:hAnsi="宋体" w:cs="宋体"/>
                <w:sz w:val="24"/>
              </w:rPr>
              <w:t>2</w:t>
            </w:r>
          </w:p>
        </w:tc>
        <w:tc>
          <w:tcPr>
            <w:tcW w:w="1362"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89" w:type="dxa"/>
            <w:tcMar>
              <w:top w:w="13" w:type="dxa"/>
              <w:left w:w="57" w:type="dxa"/>
              <w:bottom w:w="0" w:type="dxa"/>
              <w:right w:w="57" w:type="dxa"/>
            </w:tcMar>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3</w:t>
            </w:r>
          </w:p>
        </w:tc>
        <w:tc>
          <w:tcPr>
            <w:tcW w:w="4548" w:type="dxa"/>
            <w:tcMar>
              <w:top w:w="13" w:type="dxa"/>
              <w:left w:w="57" w:type="dxa"/>
              <w:bottom w:w="0" w:type="dxa"/>
              <w:right w:w="57" w:type="dxa"/>
            </w:tcMar>
            <w:vAlign w:val="center"/>
          </w:tcPr>
          <w:p>
            <w:pPr>
              <w:widowControl/>
              <w:spacing w:line="360" w:lineRule="auto"/>
              <w:jc w:val="center"/>
              <w:textAlignment w:val="center"/>
              <w:rPr>
                <w:rFonts w:ascii="宋体" w:hAnsi="宋体" w:cs="宋体"/>
                <w:sz w:val="24"/>
              </w:rPr>
            </w:pPr>
            <w:r>
              <w:rPr>
                <w:rFonts w:hint="eastAsia" w:ascii="宋体" w:hAnsi="宋体" w:cs="宋体"/>
                <w:sz w:val="24"/>
              </w:rPr>
              <w:t>超融合业务管理交换机</w:t>
            </w:r>
          </w:p>
        </w:tc>
        <w:tc>
          <w:tcPr>
            <w:tcW w:w="1227" w:type="dxa"/>
            <w:vAlign w:val="center"/>
          </w:tcPr>
          <w:p>
            <w:pPr>
              <w:widowControl/>
              <w:spacing w:line="360" w:lineRule="auto"/>
              <w:jc w:val="center"/>
              <w:textAlignment w:val="center"/>
              <w:rPr>
                <w:rFonts w:ascii="宋体" w:hAnsi="宋体" w:cs="宋体"/>
                <w:sz w:val="24"/>
              </w:rPr>
            </w:pPr>
            <w:r>
              <w:rPr>
                <w:rFonts w:ascii="宋体" w:hAnsi="宋体" w:cs="宋体"/>
                <w:sz w:val="24"/>
              </w:rPr>
              <w:t>2</w:t>
            </w:r>
          </w:p>
        </w:tc>
        <w:tc>
          <w:tcPr>
            <w:tcW w:w="1362"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89" w:type="dxa"/>
            <w:tcMar>
              <w:top w:w="13" w:type="dxa"/>
              <w:left w:w="57" w:type="dxa"/>
              <w:bottom w:w="0" w:type="dxa"/>
              <w:right w:w="57" w:type="dxa"/>
            </w:tcMar>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4</w:t>
            </w:r>
          </w:p>
        </w:tc>
        <w:tc>
          <w:tcPr>
            <w:tcW w:w="4548" w:type="dxa"/>
            <w:tcMar>
              <w:top w:w="13" w:type="dxa"/>
              <w:left w:w="57" w:type="dxa"/>
              <w:bottom w:w="0" w:type="dxa"/>
              <w:right w:w="57" w:type="dxa"/>
            </w:tcMar>
            <w:vAlign w:val="center"/>
          </w:tcPr>
          <w:p>
            <w:pPr>
              <w:widowControl/>
              <w:spacing w:line="360" w:lineRule="auto"/>
              <w:jc w:val="center"/>
              <w:textAlignment w:val="center"/>
              <w:rPr>
                <w:rFonts w:ascii="宋体" w:hAnsi="宋体" w:cs="宋体"/>
                <w:sz w:val="24"/>
              </w:rPr>
            </w:pPr>
            <w:r>
              <w:rPr>
                <w:rFonts w:hint="eastAsia" w:ascii="宋体" w:hAnsi="宋体" w:cs="宋体"/>
                <w:sz w:val="24"/>
              </w:rPr>
              <w:t>安全感知管理平台</w:t>
            </w:r>
          </w:p>
        </w:tc>
        <w:tc>
          <w:tcPr>
            <w:tcW w:w="1227"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1</w:t>
            </w:r>
          </w:p>
        </w:tc>
        <w:tc>
          <w:tcPr>
            <w:tcW w:w="1362"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889" w:type="dxa"/>
            <w:tcMar>
              <w:top w:w="13" w:type="dxa"/>
              <w:left w:w="57" w:type="dxa"/>
              <w:bottom w:w="0" w:type="dxa"/>
              <w:right w:w="57" w:type="dxa"/>
            </w:tcMar>
            <w:vAlign w:val="center"/>
          </w:tcPr>
          <w:p>
            <w:pPr>
              <w:widowControl/>
              <w:spacing w:line="360" w:lineRule="auto"/>
              <w:jc w:val="center"/>
              <w:textAlignment w:val="center"/>
              <w:rPr>
                <w:rFonts w:ascii="宋体" w:hAnsi="宋体" w:cs="宋体"/>
                <w:bCs/>
                <w:sz w:val="24"/>
              </w:rPr>
            </w:pPr>
            <w:r>
              <w:rPr>
                <w:rFonts w:hint="eastAsia" w:ascii="宋体" w:hAnsi="宋体" w:cs="宋体"/>
                <w:bCs/>
                <w:sz w:val="24"/>
              </w:rPr>
              <w:t>5</w:t>
            </w:r>
          </w:p>
        </w:tc>
        <w:tc>
          <w:tcPr>
            <w:tcW w:w="4548" w:type="dxa"/>
            <w:tcMar>
              <w:top w:w="13" w:type="dxa"/>
              <w:left w:w="57" w:type="dxa"/>
              <w:bottom w:w="0" w:type="dxa"/>
              <w:right w:w="57" w:type="dxa"/>
            </w:tcMar>
            <w:vAlign w:val="center"/>
          </w:tcPr>
          <w:p>
            <w:pPr>
              <w:widowControl/>
              <w:spacing w:line="360" w:lineRule="auto"/>
              <w:jc w:val="center"/>
              <w:textAlignment w:val="center"/>
              <w:rPr>
                <w:rFonts w:ascii="宋体" w:hAnsi="宋体" w:cs="宋体"/>
                <w:sz w:val="24"/>
              </w:rPr>
            </w:pPr>
            <w:r>
              <w:rPr>
                <w:rFonts w:hint="eastAsia" w:ascii="宋体" w:hAnsi="宋体" w:cs="宋体"/>
                <w:sz w:val="24"/>
              </w:rPr>
              <w:t>潜伏威胁探针</w:t>
            </w:r>
          </w:p>
        </w:tc>
        <w:tc>
          <w:tcPr>
            <w:tcW w:w="1227"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1</w:t>
            </w:r>
          </w:p>
        </w:tc>
        <w:tc>
          <w:tcPr>
            <w:tcW w:w="1362" w:type="dxa"/>
            <w:vAlign w:val="center"/>
          </w:tcPr>
          <w:p>
            <w:pPr>
              <w:widowControl/>
              <w:spacing w:line="360" w:lineRule="auto"/>
              <w:jc w:val="center"/>
              <w:textAlignment w:val="center"/>
              <w:rPr>
                <w:rFonts w:ascii="宋体" w:hAnsi="宋体" w:cs="宋体"/>
                <w:sz w:val="24"/>
              </w:rPr>
            </w:pPr>
            <w:r>
              <w:rPr>
                <w:rFonts w:hint="eastAsia" w:ascii="宋体" w:hAnsi="宋体" w:cs="宋体"/>
                <w:sz w:val="24"/>
              </w:rPr>
              <w:t>套</w:t>
            </w:r>
          </w:p>
        </w:tc>
      </w:tr>
    </w:tbl>
    <w:p>
      <w:pPr>
        <w:pStyle w:val="2"/>
      </w:pPr>
    </w:p>
    <w:p>
      <w:pPr>
        <w:pStyle w:val="5"/>
        <w:spacing w:line="360" w:lineRule="auto"/>
        <w:rPr>
          <w:rFonts w:ascii="宋体" w:hAnsi="宋体" w:cs="宋体"/>
          <w:sz w:val="28"/>
          <w:szCs w:val="28"/>
        </w:rPr>
      </w:pPr>
      <w:r>
        <w:rPr>
          <w:rFonts w:hint="eastAsia" w:ascii="宋体" w:hAnsi="宋体" w:cs="宋体"/>
          <w:sz w:val="28"/>
          <w:szCs w:val="28"/>
          <w:lang w:val="en-US" w:eastAsia="zh-CN"/>
        </w:rPr>
        <w:t>4.3.1</w:t>
      </w:r>
      <w:r>
        <w:rPr>
          <w:rFonts w:hint="eastAsia" w:ascii="宋体" w:hAnsi="宋体" w:cs="宋体"/>
          <w:sz w:val="28"/>
          <w:szCs w:val="28"/>
        </w:rPr>
        <w:t>超融合服务器</w:t>
      </w:r>
    </w:p>
    <w:tbl>
      <w:tblPr>
        <w:tblStyle w:val="2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061"/>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37" w:type="dxa"/>
          </w:tcPr>
          <w:p>
            <w:pPr>
              <w:pStyle w:val="6"/>
              <w:numPr>
                <w:ilvl w:val="3"/>
                <w:numId w:val="0"/>
              </w:numPr>
              <w:spacing w:line="240" w:lineRule="auto"/>
              <w:outlineLvl w:val="3"/>
              <w:rPr>
                <w:rFonts w:ascii="宋体" w:hAnsi="宋体" w:eastAsia="宋体" w:cs="宋体"/>
                <w:sz w:val="24"/>
                <w:szCs w:val="24"/>
              </w:rPr>
            </w:pPr>
            <w:r>
              <w:rPr>
                <w:rFonts w:hint="eastAsia" w:ascii="宋体" w:hAnsi="宋体" w:eastAsia="宋体" w:cs="宋体"/>
                <w:sz w:val="24"/>
                <w:szCs w:val="24"/>
              </w:rPr>
              <w:t>序号</w:t>
            </w:r>
          </w:p>
        </w:tc>
        <w:tc>
          <w:tcPr>
            <w:tcW w:w="1061" w:type="dxa"/>
          </w:tcPr>
          <w:p>
            <w:pPr>
              <w:pStyle w:val="6"/>
              <w:numPr>
                <w:ilvl w:val="3"/>
                <w:numId w:val="0"/>
              </w:numPr>
              <w:spacing w:line="240" w:lineRule="auto"/>
              <w:outlineLvl w:val="3"/>
              <w:rPr>
                <w:rFonts w:ascii="宋体" w:hAnsi="宋体" w:eastAsia="宋体" w:cs="宋体"/>
                <w:sz w:val="24"/>
                <w:szCs w:val="24"/>
              </w:rPr>
            </w:pPr>
            <w:r>
              <w:rPr>
                <w:rFonts w:hint="eastAsia" w:ascii="宋体" w:hAnsi="宋体" w:eastAsia="宋体" w:cs="宋体"/>
                <w:sz w:val="24"/>
                <w:szCs w:val="24"/>
              </w:rPr>
              <w:t>产品</w:t>
            </w:r>
          </w:p>
        </w:tc>
        <w:tc>
          <w:tcPr>
            <w:tcW w:w="6622" w:type="dxa"/>
          </w:tcPr>
          <w:p>
            <w:pPr>
              <w:pStyle w:val="6"/>
              <w:numPr>
                <w:ilvl w:val="3"/>
                <w:numId w:val="0"/>
              </w:numPr>
              <w:spacing w:line="240" w:lineRule="auto"/>
              <w:jc w:val="center"/>
              <w:outlineLvl w:val="3"/>
              <w:rPr>
                <w:rFonts w:ascii="宋体" w:hAnsi="宋体" w:eastAsia="宋体" w:cs="宋体"/>
                <w:sz w:val="24"/>
                <w:szCs w:val="24"/>
              </w:rPr>
            </w:pPr>
            <w:r>
              <w:rPr>
                <w:rFonts w:hint="eastAsia" w:ascii="宋体" w:hAnsi="宋体" w:eastAsia="宋体" w:cs="宋体"/>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restart"/>
          </w:tcPr>
          <w:p>
            <w:pPr>
              <w:spacing w:line="360" w:lineRule="auto"/>
              <w:rPr>
                <w:rFonts w:ascii="宋体" w:hAnsi="宋体" w:cs="宋体"/>
                <w:sz w:val="24"/>
                <w:szCs w:val="24"/>
              </w:rPr>
            </w:pPr>
            <w:r>
              <w:rPr>
                <w:rFonts w:hint="eastAsia" w:ascii="宋体" w:hAnsi="宋体" w:cs="宋体"/>
                <w:sz w:val="24"/>
                <w:szCs w:val="24"/>
              </w:rPr>
              <w:t>1</w:t>
            </w:r>
          </w:p>
        </w:tc>
        <w:tc>
          <w:tcPr>
            <w:tcW w:w="1061" w:type="dxa"/>
            <w:vMerge w:val="restart"/>
          </w:tcPr>
          <w:p>
            <w:pPr>
              <w:spacing w:line="360" w:lineRule="auto"/>
              <w:rPr>
                <w:rFonts w:ascii="宋体" w:hAnsi="宋体" w:cs="宋体"/>
                <w:sz w:val="24"/>
                <w:szCs w:val="24"/>
              </w:rPr>
            </w:pPr>
            <w:r>
              <w:rPr>
                <w:rFonts w:hint="eastAsia" w:ascii="宋体" w:hAnsi="宋体" w:cs="宋体"/>
                <w:sz w:val="24"/>
                <w:szCs w:val="24"/>
              </w:rPr>
              <w:t>硬件基本要求</w:t>
            </w:r>
          </w:p>
        </w:tc>
        <w:tc>
          <w:tcPr>
            <w:tcW w:w="6622" w:type="dxa"/>
          </w:tcPr>
          <w:p>
            <w:pPr>
              <w:spacing w:line="360" w:lineRule="auto"/>
              <w:rPr>
                <w:rFonts w:ascii="宋体" w:hAnsi="宋体" w:cs="宋体"/>
                <w:sz w:val="24"/>
                <w:szCs w:val="24"/>
              </w:rPr>
            </w:pPr>
            <w:r>
              <w:rPr>
                <w:rFonts w:hint="eastAsia" w:ascii="宋体" w:hAnsi="宋体" w:cs="宋体"/>
                <w:sz w:val="24"/>
                <w:szCs w:val="24"/>
              </w:rPr>
              <w:t>处理器：不低于2颗Gold 6226R 2.9 GHz（16C）</w:t>
            </w:r>
          </w:p>
          <w:p>
            <w:pPr>
              <w:spacing w:line="360" w:lineRule="auto"/>
              <w:rPr>
                <w:rFonts w:ascii="宋体" w:hAnsi="宋体" w:cs="宋体"/>
                <w:sz w:val="24"/>
                <w:szCs w:val="24"/>
              </w:rPr>
            </w:pPr>
            <w:r>
              <w:rPr>
                <w:rFonts w:hint="eastAsia" w:ascii="宋体" w:hAnsi="宋体" w:cs="宋体"/>
                <w:sz w:val="24"/>
                <w:szCs w:val="24"/>
              </w:rPr>
              <w:t xml:space="preserve">内存：不低于128 GB DDR4 内存 </w:t>
            </w:r>
          </w:p>
          <w:p>
            <w:pPr>
              <w:spacing w:line="360" w:lineRule="auto"/>
              <w:rPr>
                <w:rFonts w:ascii="宋体" w:hAnsi="宋体" w:cs="宋体"/>
                <w:sz w:val="24"/>
                <w:szCs w:val="24"/>
              </w:rPr>
            </w:pPr>
            <w:r>
              <w:rPr>
                <w:rFonts w:hint="eastAsia" w:ascii="宋体" w:hAnsi="宋体" w:cs="宋体"/>
                <w:sz w:val="24"/>
                <w:szCs w:val="24"/>
              </w:rPr>
              <w:t>硬盘：本次单台配置≥2*240G SSD系统盘，≥2*960G SSD缓存盘，≥2*8T SATA数据盘</w:t>
            </w:r>
          </w:p>
          <w:p>
            <w:pPr>
              <w:spacing w:line="360" w:lineRule="auto"/>
              <w:rPr>
                <w:rFonts w:ascii="宋体" w:hAnsi="宋体" w:cs="宋体"/>
                <w:sz w:val="24"/>
                <w:szCs w:val="24"/>
              </w:rPr>
            </w:pPr>
            <w:r>
              <w:rPr>
                <w:rFonts w:hint="eastAsia" w:ascii="宋体" w:hAnsi="宋体" w:cs="宋体"/>
                <w:sz w:val="24"/>
                <w:szCs w:val="24"/>
              </w:rPr>
              <w:t>接口：本次接口配置≥千兆电口6个,2个万兆光口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Merge w:val="continue"/>
          </w:tcPr>
          <w:p>
            <w:pPr>
              <w:spacing w:line="360" w:lineRule="auto"/>
              <w:rPr>
                <w:rFonts w:ascii="宋体" w:hAnsi="宋体" w:cs="宋体"/>
                <w:sz w:val="24"/>
                <w:szCs w:val="24"/>
              </w:rPr>
            </w:pPr>
          </w:p>
        </w:tc>
        <w:tc>
          <w:tcPr>
            <w:tcW w:w="1061" w:type="dxa"/>
            <w:vMerge w:val="continue"/>
          </w:tcPr>
          <w:p>
            <w:pPr>
              <w:spacing w:line="360" w:lineRule="auto"/>
              <w:rPr>
                <w:rFonts w:ascii="宋体" w:hAnsi="宋体" w:cs="宋体"/>
                <w:sz w:val="24"/>
                <w:szCs w:val="24"/>
              </w:rPr>
            </w:pPr>
          </w:p>
        </w:tc>
        <w:tc>
          <w:tcPr>
            <w:tcW w:w="6622" w:type="dxa"/>
          </w:tcPr>
          <w:p>
            <w:pPr>
              <w:spacing w:line="360" w:lineRule="auto"/>
              <w:rPr>
                <w:rFonts w:ascii="宋体" w:hAnsi="宋体" w:cs="宋体"/>
                <w:sz w:val="24"/>
                <w:szCs w:val="24"/>
              </w:rPr>
            </w:pPr>
            <w:r>
              <w:rPr>
                <w:rFonts w:hint="eastAsia" w:ascii="宋体" w:hAnsi="宋体" w:cs="宋体"/>
                <w:sz w:val="24"/>
                <w:szCs w:val="24"/>
              </w:rPr>
              <w:t>（1）所提供产品为一体机硬件，出厂预装超融合软件系统，提供不少于三年硬件质保服务，光纤线、光模块根据本项目需求提供。</w:t>
            </w:r>
          </w:p>
          <w:p>
            <w:pPr>
              <w:spacing w:line="360" w:lineRule="auto"/>
              <w:rPr>
                <w:rFonts w:ascii="宋体" w:hAnsi="宋体" w:cs="宋体"/>
                <w:sz w:val="24"/>
                <w:szCs w:val="24"/>
              </w:rPr>
            </w:pPr>
            <w:r>
              <w:rPr>
                <w:rFonts w:hint="eastAsia" w:ascii="宋体" w:hAnsi="宋体" w:cs="宋体"/>
                <w:sz w:val="24"/>
                <w:szCs w:val="24"/>
              </w:rPr>
              <w:t>（2）为保障售后服务的及时性，所投设备的稳定性、可靠性，必须提供设备生产厂家售后服务承诺保证文件以及投标授权书。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60" w:lineRule="auto"/>
              <w:rPr>
                <w:rFonts w:ascii="宋体" w:hAnsi="宋体" w:cs="宋体"/>
                <w:sz w:val="24"/>
                <w:szCs w:val="24"/>
              </w:rPr>
            </w:pPr>
            <w:r>
              <w:rPr>
                <w:rFonts w:hint="eastAsia" w:ascii="宋体" w:hAnsi="宋体" w:cs="宋体"/>
                <w:sz w:val="24"/>
                <w:szCs w:val="24"/>
              </w:rPr>
              <w:t>2</w:t>
            </w:r>
          </w:p>
        </w:tc>
        <w:tc>
          <w:tcPr>
            <w:tcW w:w="1061" w:type="dxa"/>
          </w:tcPr>
          <w:p>
            <w:pPr>
              <w:spacing w:line="360" w:lineRule="auto"/>
              <w:rPr>
                <w:rFonts w:ascii="宋体" w:hAnsi="宋体" w:cs="宋体"/>
                <w:sz w:val="24"/>
                <w:szCs w:val="24"/>
              </w:rPr>
            </w:pPr>
            <w:r>
              <w:rPr>
                <w:rFonts w:hint="eastAsia" w:ascii="宋体" w:hAnsi="宋体" w:cs="宋体"/>
                <w:sz w:val="24"/>
                <w:szCs w:val="24"/>
              </w:rPr>
              <w:t>超融合系统总体要求</w:t>
            </w:r>
          </w:p>
        </w:tc>
        <w:tc>
          <w:tcPr>
            <w:tcW w:w="6622" w:type="dxa"/>
          </w:tcPr>
          <w:p>
            <w:pPr>
              <w:spacing w:line="360" w:lineRule="auto"/>
              <w:rPr>
                <w:rFonts w:ascii="宋体" w:hAnsi="宋体" w:cs="宋体"/>
                <w:sz w:val="24"/>
                <w:szCs w:val="24"/>
              </w:rPr>
            </w:pPr>
            <w:r>
              <w:rPr>
                <w:rFonts w:hint="eastAsia" w:ascii="宋体" w:hAnsi="宋体" w:cs="宋体"/>
                <w:sz w:val="24"/>
                <w:szCs w:val="24"/>
              </w:rPr>
              <w:t xml:space="preserve">（1）虚拟化平台至少满足12颗物理CPU的虚拟化授权，包含服务器虚拟化、存储虚拟化，云计算管理平台等，为方便统一管理和后期扩容方便，授权可通过虚拟化平台统一管理和授权。所有虚拟化平台软件，提供不低于3年的软件升级服务； </w:t>
            </w:r>
          </w:p>
          <w:p>
            <w:pPr>
              <w:spacing w:line="360" w:lineRule="auto"/>
              <w:rPr>
                <w:rFonts w:ascii="宋体" w:hAnsi="宋体" w:cs="宋体"/>
                <w:sz w:val="24"/>
                <w:szCs w:val="24"/>
              </w:rPr>
            </w:pPr>
            <w:r>
              <w:rPr>
                <w:rFonts w:hint="eastAsia" w:ascii="宋体" w:hAnsi="宋体" w:cs="宋体"/>
                <w:sz w:val="24"/>
                <w:szCs w:val="24"/>
              </w:rPr>
              <w:t>（2）★为保证云平台具备良好的虚拟安全拓展能力，可以支持扩展同一品牌的网络和安全虚拟化（虚拟应用防火墙、虚拟应用负载均衡等）功能组件，以保障平台的扩展性和兼容性（需提供通过序列号方式扩展产品功能的截图，并加盖厂商公章）</w:t>
            </w:r>
          </w:p>
          <w:p>
            <w:pPr>
              <w:spacing w:line="360" w:lineRule="auto"/>
              <w:rPr>
                <w:rFonts w:ascii="宋体" w:hAnsi="宋体" w:cs="宋体"/>
                <w:sz w:val="24"/>
                <w:szCs w:val="24"/>
              </w:rPr>
            </w:pPr>
            <w:r>
              <w:rPr>
                <w:rFonts w:hint="eastAsia" w:ascii="宋体" w:hAnsi="宋体" w:cs="宋体"/>
                <w:sz w:val="24"/>
                <w:szCs w:val="24"/>
              </w:rPr>
              <w:t>（3）提供统一的图形界面管理软件，可以在一个地点完成所有虚拟机的日常管理工作，包括控制管理、CPU内存管理、用户管理、存储管理、网络管理、日志收集、性能分析、故障诊断、权限管理、在线维护等工作。</w:t>
            </w:r>
          </w:p>
          <w:p>
            <w:pPr>
              <w:spacing w:line="360" w:lineRule="auto"/>
              <w:rPr>
                <w:rFonts w:ascii="宋体" w:hAnsi="宋体" w:cs="宋体"/>
                <w:sz w:val="24"/>
                <w:szCs w:val="24"/>
              </w:rPr>
            </w:pPr>
            <w:r>
              <w:rPr>
                <w:rFonts w:hint="eastAsia" w:ascii="宋体" w:hAnsi="宋体" w:cs="宋体"/>
                <w:sz w:val="24"/>
                <w:szCs w:val="24"/>
              </w:rPr>
              <w:t>（4）★云平台应具备大规模资源池的纳管能力，可支持跨地域的多集群管理，多集群的物理节点纳管规模应超过1000台。</w:t>
            </w:r>
          </w:p>
          <w:p>
            <w:pPr>
              <w:spacing w:line="360" w:lineRule="auto"/>
              <w:rPr>
                <w:rFonts w:ascii="宋体" w:hAnsi="宋体" w:cs="宋体"/>
                <w:sz w:val="24"/>
                <w:szCs w:val="24"/>
              </w:rPr>
            </w:pPr>
            <w:r>
              <w:rPr>
                <w:rFonts w:hint="eastAsia" w:ascii="宋体" w:hAnsi="宋体" w:cs="宋体"/>
                <w:sz w:val="24"/>
                <w:szCs w:val="24"/>
              </w:rPr>
              <w:t>（5）所投产品为国产品牌，要求超融合产品的计算虚拟化软件、存储虚拟化软件，同一品牌且完全自主研发，并提供相应的计算机软件著作权登记证书。</w:t>
            </w:r>
          </w:p>
          <w:p>
            <w:pPr>
              <w:spacing w:line="360" w:lineRule="auto"/>
              <w:rPr>
                <w:rFonts w:ascii="宋体" w:hAnsi="宋体" w:cs="宋体"/>
                <w:sz w:val="24"/>
                <w:szCs w:val="24"/>
              </w:rPr>
            </w:pPr>
            <w:r>
              <w:rPr>
                <w:rFonts w:hint="eastAsia" w:ascii="宋体" w:hAnsi="宋体" w:cs="宋体"/>
                <w:sz w:val="24"/>
                <w:szCs w:val="24"/>
              </w:rPr>
              <w:t>（6）★厂商软件开发必须通过CMMI5级认证，要求提供证书，CMMI官方可查询并提供网站截图。</w:t>
            </w:r>
          </w:p>
          <w:p>
            <w:pPr>
              <w:spacing w:line="360" w:lineRule="auto"/>
              <w:rPr>
                <w:rFonts w:ascii="宋体" w:hAnsi="宋体" w:cs="宋体"/>
                <w:sz w:val="24"/>
                <w:szCs w:val="24"/>
              </w:rPr>
            </w:pPr>
            <w:r>
              <w:rPr>
                <w:rFonts w:hint="eastAsia" w:ascii="宋体" w:hAnsi="宋体" w:cs="宋体"/>
                <w:sz w:val="24"/>
                <w:szCs w:val="24"/>
              </w:rPr>
              <w:t>（7）★超融合软件获得数据中心联盟颁发的云计算超融合架构可信评估证书。</w:t>
            </w:r>
          </w:p>
          <w:p>
            <w:pPr>
              <w:spacing w:line="360" w:lineRule="auto"/>
              <w:rPr>
                <w:rFonts w:ascii="宋体" w:hAnsi="宋体" w:cs="宋体"/>
                <w:sz w:val="24"/>
                <w:szCs w:val="24"/>
              </w:rPr>
            </w:pPr>
            <w:r>
              <w:rPr>
                <w:rFonts w:hint="eastAsia" w:ascii="宋体" w:hAnsi="宋体" w:cs="宋体"/>
                <w:sz w:val="24"/>
                <w:szCs w:val="24"/>
              </w:rPr>
              <w:t>（8）★为保证厂商对云平台及虚拟化技术具有良好的理解和规划设计能力，厂商需具备为全国信息技术标准化技术组委员会云计算标准工作组成员单位。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60" w:lineRule="auto"/>
              <w:rPr>
                <w:rFonts w:ascii="宋体" w:hAnsi="宋体" w:cs="宋体"/>
                <w:sz w:val="24"/>
                <w:szCs w:val="24"/>
              </w:rPr>
            </w:pPr>
            <w:r>
              <w:rPr>
                <w:rFonts w:hint="eastAsia" w:ascii="宋体" w:hAnsi="宋体" w:cs="宋体"/>
                <w:sz w:val="24"/>
                <w:szCs w:val="24"/>
              </w:rPr>
              <w:t>3</w:t>
            </w:r>
          </w:p>
        </w:tc>
        <w:tc>
          <w:tcPr>
            <w:tcW w:w="1061" w:type="dxa"/>
          </w:tcPr>
          <w:p>
            <w:pPr>
              <w:spacing w:line="360" w:lineRule="auto"/>
              <w:rPr>
                <w:rFonts w:ascii="宋体" w:hAnsi="宋体" w:cs="宋体"/>
                <w:sz w:val="24"/>
                <w:szCs w:val="24"/>
              </w:rPr>
            </w:pPr>
            <w:r>
              <w:rPr>
                <w:rFonts w:hint="eastAsia" w:ascii="宋体" w:hAnsi="宋体" w:cs="宋体"/>
                <w:sz w:val="24"/>
                <w:szCs w:val="24"/>
              </w:rPr>
              <w:t>计算虚拟化参数要求</w:t>
            </w:r>
          </w:p>
        </w:tc>
        <w:tc>
          <w:tcPr>
            <w:tcW w:w="6622" w:type="dxa"/>
          </w:tcPr>
          <w:p>
            <w:pPr>
              <w:spacing w:line="360" w:lineRule="auto"/>
              <w:rPr>
                <w:rFonts w:ascii="宋体" w:hAnsi="宋体" w:cs="宋体"/>
                <w:sz w:val="24"/>
                <w:szCs w:val="24"/>
              </w:rPr>
            </w:pPr>
            <w:r>
              <w:rPr>
                <w:rFonts w:hint="eastAsia" w:ascii="宋体" w:hAnsi="宋体" w:cs="宋体"/>
                <w:sz w:val="24"/>
                <w:szCs w:val="24"/>
              </w:rPr>
              <w:t>（1）超融合一体化产品，要求产品出厂即具备虚拟化特性，上电开机即可快速登陆虚拟化管理界面进行虚机管理操作，简单易用，免去软硬件兼容性问题</w:t>
            </w:r>
          </w:p>
          <w:p>
            <w:pPr>
              <w:spacing w:line="360" w:lineRule="auto"/>
              <w:rPr>
                <w:rFonts w:ascii="宋体" w:hAnsi="宋体" w:cs="宋体"/>
                <w:sz w:val="24"/>
                <w:szCs w:val="24"/>
              </w:rPr>
            </w:pPr>
            <w:r>
              <w:rPr>
                <w:rFonts w:hint="eastAsia" w:ascii="宋体" w:hAnsi="宋体" w:cs="宋体"/>
                <w:sz w:val="24"/>
                <w:szCs w:val="24"/>
              </w:rPr>
              <w:t>（2）★采用分布式管理架构，去中心化，管理平台不依赖于某一个虚拟机或物理机部署，采用分布式架构保障平台更可靠（需提供具有CNAS、CMA资质的第三方测试机构的证明材料，至少包含报告首页，对应功能测试页和报告尾页）</w:t>
            </w:r>
          </w:p>
          <w:p>
            <w:pPr>
              <w:spacing w:line="360" w:lineRule="auto"/>
              <w:rPr>
                <w:rFonts w:ascii="宋体" w:hAnsi="宋体" w:cs="宋体"/>
                <w:sz w:val="24"/>
                <w:szCs w:val="24"/>
              </w:rPr>
            </w:pPr>
            <w:r>
              <w:rPr>
                <w:rFonts w:hint="eastAsia" w:ascii="宋体" w:hAnsi="宋体" w:cs="宋体"/>
                <w:sz w:val="24"/>
                <w:szCs w:val="24"/>
              </w:rPr>
              <w:t>（3）★在超融合管理平台管理界面上提供虚拟机删除、开关机、挂起与恢复、重启、关闭、关闭电源、克隆、迁移、备份、模板导出、快照、标签管理等功能，并支持批量操作。（需提供产品功能截图，并加盖厂商公章） </w:t>
            </w:r>
          </w:p>
          <w:p>
            <w:pPr>
              <w:spacing w:line="360" w:lineRule="auto"/>
              <w:rPr>
                <w:rFonts w:ascii="宋体" w:hAnsi="宋体" w:cs="宋体"/>
                <w:sz w:val="24"/>
                <w:szCs w:val="24"/>
              </w:rPr>
            </w:pPr>
            <w:r>
              <w:rPr>
                <w:rFonts w:hint="eastAsia" w:ascii="宋体" w:hAnsi="宋体" w:cs="宋体"/>
                <w:sz w:val="24"/>
                <w:szCs w:val="24"/>
              </w:rPr>
              <w:t>（4）提供虚拟机回收站功能，防止因虚拟机误删除导致数据丢失，超期的文件将被自动删除。 </w:t>
            </w:r>
          </w:p>
          <w:p>
            <w:pPr>
              <w:spacing w:line="360" w:lineRule="auto"/>
              <w:rPr>
                <w:rFonts w:ascii="宋体" w:hAnsi="宋体" w:cs="宋体"/>
                <w:sz w:val="24"/>
                <w:szCs w:val="24"/>
              </w:rPr>
            </w:pPr>
            <w:r>
              <w:rPr>
                <w:rFonts w:hint="eastAsia" w:ascii="宋体" w:hAnsi="宋体" w:cs="宋体"/>
                <w:sz w:val="24"/>
                <w:szCs w:val="24"/>
              </w:rPr>
              <w:t>（5）支持UPS QoS，为尽可能保障数据中心断电场景下的业务，支持UPS联动，并在市电断电时通过UPS临时供应电量，当UPS电量过低时，按照虚拟机优先级先将不重要的虚拟机进行软关机（需提供产品功能截图，并加盖厂商公章） </w:t>
            </w:r>
          </w:p>
          <w:p>
            <w:pPr>
              <w:spacing w:line="360" w:lineRule="auto"/>
              <w:rPr>
                <w:rFonts w:ascii="宋体" w:hAnsi="宋体" w:cs="宋体"/>
                <w:sz w:val="24"/>
                <w:szCs w:val="24"/>
              </w:rPr>
            </w:pPr>
            <w:r>
              <w:rPr>
                <w:rFonts w:hint="eastAsia" w:ascii="宋体" w:hAnsi="宋体" w:cs="宋体"/>
                <w:sz w:val="24"/>
                <w:szCs w:val="24"/>
              </w:rPr>
              <w:t>（6）虚拟化管理平台具备监控功能，对资源池中CPU、网络、磁盘使用率等指标进行实时的数据统计，当指标超过设置的阈值，可以通过多种方式（短信、邮箱）告知管理员进行排障</w:t>
            </w:r>
          </w:p>
          <w:p>
            <w:pPr>
              <w:spacing w:line="360" w:lineRule="auto"/>
              <w:rPr>
                <w:rFonts w:ascii="宋体" w:hAnsi="宋体" w:cs="宋体"/>
                <w:sz w:val="24"/>
                <w:szCs w:val="24"/>
              </w:rPr>
            </w:pPr>
            <w:r>
              <w:rPr>
                <w:rFonts w:hint="eastAsia" w:ascii="宋体" w:hAnsi="宋体" w:cs="宋体"/>
                <w:sz w:val="24"/>
                <w:szCs w:val="24"/>
              </w:rPr>
              <w:t>（7）每个虚拟机都可以安装独立的操作系统，为获得良好的兼容性操作系统支持需要包括Windows、 Linux，并且支持国产操作系统包括：红旗linux、中标麒麟、中标普华、深度linux等（需提供具有CNAS、CMA的第三方测试机构的证明材料，至少包含报告首页，对应功能测试页和报告尾页）</w:t>
            </w:r>
          </w:p>
          <w:p>
            <w:pPr>
              <w:spacing w:line="360" w:lineRule="auto"/>
              <w:rPr>
                <w:rFonts w:ascii="宋体" w:hAnsi="宋体" w:cs="宋体"/>
                <w:sz w:val="24"/>
                <w:szCs w:val="24"/>
              </w:rPr>
            </w:pPr>
            <w:r>
              <w:rPr>
                <w:rFonts w:hint="eastAsia" w:ascii="宋体" w:hAnsi="宋体" w:cs="宋体"/>
                <w:sz w:val="24"/>
                <w:szCs w:val="24"/>
              </w:rPr>
              <w:t>（8）★支持回收站一键还原已删除的虚拟机，可恢复30天内已删除的虚拟机（需提供截图证明）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60" w:lineRule="auto"/>
              <w:rPr>
                <w:rFonts w:ascii="宋体" w:hAnsi="宋体" w:cs="宋体"/>
                <w:sz w:val="24"/>
                <w:szCs w:val="24"/>
              </w:rPr>
            </w:pPr>
            <w:r>
              <w:rPr>
                <w:rFonts w:hint="eastAsia" w:ascii="宋体" w:hAnsi="宋体" w:cs="宋体"/>
                <w:sz w:val="24"/>
                <w:szCs w:val="24"/>
              </w:rPr>
              <w:t>4</w:t>
            </w:r>
          </w:p>
        </w:tc>
        <w:tc>
          <w:tcPr>
            <w:tcW w:w="1061" w:type="dxa"/>
          </w:tcPr>
          <w:p>
            <w:pPr>
              <w:spacing w:line="360" w:lineRule="auto"/>
              <w:rPr>
                <w:rFonts w:ascii="宋体" w:hAnsi="宋体" w:cs="宋体"/>
                <w:sz w:val="24"/>
                <w:szCs w:val="24"/>
              </w:rPr>
            </w:pPr>
            <w:r>
              <w:rPr>
                <w:rFonts w:hint="eastAsia" w:ascii="宋体" w:hAnsi="宋体" w:cs="宋体"/>
                <w:sz w:val="24"/>
                <w:szCs w:val="24"/>
              </w:rPr>
              <w:t>虚拟存储软件参数要求</w:t>
            </w:r>
          </w:p>
        </w:tc>
        <w:tc>
          <w:tcPr>
            <w:tcW w:w="6622" w:type="dxa"/>
          </w:tcPr>
          <w:p>
            <w:pPr>
              <w:spacing w:line="360" w:lineRule="auto"/>
              <w:rPr>
                <w:rFonts w:ascii="宋体" w:hAnsi="宋体" w:cs="宋体"/>
                <w:sz w:val="24"/>
                <w:szCs w:val="24"/>
              </w:rPr>
            </w:pPr>
            <w:r>
              <w:rPr>
                <w:rFonts w:hint="eastAsia" w:ascii="宋体" w:hAnsi="宋体" w:cs="宋体"/>
                <w:sz w:val="24"/>
                <w:szCs w:val="24"/>
              </w:rPr>
              <w:t>（1）★投标虚拟化产品要求提供第三方测试机构出具的虚拟化软件性能测试报告，为保证第三方测试机构的权威性，要求测试机构具有中国合格评定国家认可委员会（CNAS）实验室认可证书。（需提供有效证明材料，并加盖厂商公章）</w:t>
            </w:r>
          </w:p>
          <w:p>
            <w:pPr>
              <w:spacing w:line="360" w:lineRule="auto"/>
              <w:rPr>
                <w:rFonts w:ascii="宋体" w:hAnsi="宋体" w:cs="宋体"/>
                <w:sz w:val="24"/>
                <w:szCs w:val="24"/>
              </w:rPr>
            </w:pPr>
            <w:r>
              <w:rPr>
                <w:rFonts w:hint="eastAsia" w:ascii="宋体" w:hAnsi="宋体" w:cs="宋体"/>
                <w:sz w:val="24"/>
                <w:szCs w:val="24"/>
              </w:rPr>
              <w:t>（2）★支持存储虚拟化功能，无需安装额外的软件，在一个统一的管理平台上使用License激活的方式即可开通使用，存储虚拟化与计算虚拟化为紧耦合架构，减少底层开销，提升性能（需提供产品功能截图，并加盖厂商公章） </w:t>
            </w:r>
          </w:p>
          <w:p>
            <w:pPr>
              <w:spacing w:line="360" w:lineRule="auto"/>
              <w:rPr>
                <w:rFonts w:ascii="宋体" w:hAnsi="宋体" w:cs="宋体"/>
                <w:sz w:val="24"/>
                <w:szCs w:val="24"/>
              </w:rPr>
            </w:pPr>
            <w:r>
              <w:rPr>
                <w:rFonts w:hint="eastAsia" w:ascii="宋体" w:hAnsi="宋体" w:cs="宋体"/>
                <w:sz w:val="24"/>
                <w:szCs w:val="24"/>
              </w:rPr>
              <w:t>（3）★支持多种硬盘状态检测监控及告警，包括“健康”状态、“亚健康”状态、“故障”状态，不同状态的硬盘在UI上呈现不同的特征或告警，让用户能够区分处理（需提供产品功能截图，并加盖厂商公章） </w:t>
            </w:r>
          </w:p>
          <w:p>
            <w:pPr>
              <w:spacing w:line="360" w:lineRule="auto"/>
              <w:rPr>
                <w:rFonts w:ascii="宋体" w:hAnsi="宋体" w:cs="宋体"/>
                <w:sz w:val="24"/>
                <w:szCs w:val="24"/>
              </w:rPr>
            </w:pPr>
            <w:r>
              <w:rPr>
                <w:rFonts w:hint="eastAsia" w:ascii="宋体" w:hAnsi="宋体" w:cs="宋体"/>
                <w:sz w:val="24"/>
                <w:szCs w:val="24"/>
              </w:rPr>
              <w:t>（4）★为保证集群业务或者oracle rac数据库业务的快照一致性，以便故障时业务可通过快照恢复，支持对虚拟机配置一致性组，对整个一致性组进行快照（需提供产品功能截图，并加盖厂商公章） </w:t>
            </w:r>
          </w:p>
          <w:p>
            <w:pPr>
              <w:spacing w:line="360" w:lineRule="auto"/>
              <w:rPr>
                <w:rFonts w:ascii="宋体" w:hAnsi="宋体" w:cs="宋体"/>
                <w:sz w:val="24"/>
                <w:szCs w:val="24"/>
              </w:rPr>
            </w:pPr>
            <w:r>
              <w:rPr>
                <w:rFonts w:hint="eastAsia" w:ascii="宋体" w:hAnsi="宋体" w:cs="宋体"/>
                <w:sz w:val="24"/>
                <w:szCs w:val="24"/>
              </w:rPr>
              <w:t>（5）3台起步即可组建集群，支持在同一个存储池（卷）内，针对不同的虚拟机或虚拟磁盘设置不同的副本数，灵活地满足用户的可靠性需求</w:t>
            </w:r>
          </w:p>
          <w:p>
            <w:pPr>
              <w:spacing w:line="360" w:lineRule="auto"/>
              <w:rPr>
                <w:rFonts w:ascii="宋体" w:hAnsi="宋体" w:cs="宋体"/>
                <w:sz w:val="24"/>
                <w:szCs w:val="24"/>
              </w:rPr>
            </w:pPr>
            <w:r>
              <w:rPr>
                <w:rFonts w:hint="eastAsia" w:ascii="宋体" w:hAnsi="宋体" w:cs="宋体"/>
                <w:sz w:val="24"/>
                <w:szCs w:val="24"/>
              </w:rPr>
              <w:t>（6）支持磁盘亚健康监测及告警，包括SSD寿命告警、硬盘卡/慢的检测和告警、IO错误告警、RAID卡错误告警等，支持邮件和短信告警</w:t>
            </w:r>
          </w:p>
          <w:p>
            <w:pPr>
              <w:spacing w:line="360" w:lineRule="auto"/>
              <w:rPr>
                <w:rFonts w:ascii="宋体" w:hAnsi="宋体" w:cs="宋体"/>
                <w:sz w:val="24"/>
                <w:szCs w:val="24"/>
              </w:rPr>
            </w:pPr>
            <w:r>
              <w:rPr>
                <w:rFonts w:hint="eastAsia" w:ascii="宋体" w:hAnsi="宋体" w:cs="宋体"/>
                <w:sz w:val="24"/>
                <w:szCs w:val="24"/>
              </w:rPr>
              <w:t>（7）支持对虚拟机或虚拟磁盘设置不同的缓存QoS能力，区分出高性能虚拟机、普通性能虚拟机和低性能虚拟机 </w:t>
            </w:r>
          </w:p>
          <w:p>
            <w:pPr>
              <w:spacing w:line="360" w:lineRule="auto"/>
              <w:rPr>
                <w:rFonts w:ascii="宋体" w:hAnsi="宋体" w:cs="宋体"/>
                <w:sz w:val="24"/>
                <w:szCs w:val="24"/>
              </w:rPr>
            </w:pPr>
            <w:r>
              <w:rPr>
                <w:rFonts w:hint="eastAsia" w:ascii="宋体" w:hAnsi="宋体" w:cs="宋体"/>
                <w:sz w:val="24"/>
                <w:szCs w:val="24"/>
              </w:rPr>
              <w:t>（8）支持数据自动重建机制，当主机或者磁盘故障后，自动利用集群内空闲磁盘空间，将故障数据重新恢复</w:t>
            </w:r>
          </w:p>
        </w:tc>
      </w:tr>
    </w:tbl>
    <w:p>
      <w:pPr>
        <w:spacing w:line="360" w:lineRule="auto"/>
        <w:rPr>
          <w:rFonts w:ascii="宋体" w:hAnsi="宋体" w:cs="宋体"/>
          <w:sz w:val="24"/>
          <w:szCs w:val="24"/>
        </w:rPr>
      </w:pPr>
    </w:p>
    <w:p>
      <w:pPr>
        <w:pStyle w:val="5"/>
        <w:spacing w:line="360" w:lineRule="auto"/>
        <w:rPr>
          <w:rFonts w:ascii="宋体" w:hAnsi="宋体" w:cs="宋体"/>
          <w:sz w:val="28"/>
          <w:szCs w:val="28"/>
        </w:rPr>
      </w:pPr>
      <w:r>
        <w:rPr>
          <w:rFonts w:hint="eastAsia" w:ascii="宋体" w:hAnsi="宋体" w:cs="宋体"/>
          <w:sz w:val="28"/>
          <w:szCs w:val="28"/>
          <w:lang w:val="en-US" w:eastAsia="zh-CN"/>
        </w:rPr>
        <w:t>4.3.2</w:t>
      </w:r>
      <w:r>
        <w:rPr>
          <w:rFonts w:hint="eastAsia" w:ascii="宋体" w:hAnsi="宋体" w:cs="宋体"/>
          <w:sz w:val="28"/>
          <w:szCs w:val="28"/>
        </w:rPr>
        <w:t>超融合存储组网交换机</w:t>
      </w:r>
    </w:p>
    <w:tbl>
      <w:tblPr>
        <w:tblStyle w:val="2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062"/>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序号</w:t>
            </w:r>
          </w:p>
        </w:tc>
        <w:tc>
          <w:tcPr>
            <w:tcW w:w="1062" w:type="dxa"/>
          </w:tcPr>
          <w:p>
            <w:pPr>
              <w:spacing w:line="360" w:lineRule="auto"/>
              <w:rPr>
                <w:rFonts w:ascii="宋体" w:hAnsi="宋体" w:cs="宋体"/>
                <w:sz w:val="24"/>
                <w:szCs w:val="24"/>
              </w:rPr>
            </w:pPr>
            <w:r>
              <w:rPr>
                <w:rFonts w:hint="eastAsia" w:ascii="宋体" w:hAnsi="宋体" w:cs="宋体"/>
                <w:sz w:val="24"/>
                <w:szCs w:val="24"/>
              </w:rPr>
              <w:t>指标</w:t>
            </w:r>
          </w:p>
        </w:tc>
        <w:tc>
          <w:tcPr>
            <w:tcW w:w="6610" w:type="dxa"/>
          </w:tcPr>
          <w:p>
            <w:pPr>
              <w:spacing w:line="360" w:lineRule="auto"/>
              <w:rPr>
                <w:rFonts w:ascii="宋体" w:hAnsi="宋体" w:cs="宋体"/>
                <w:sz w:val="24"/>
                <w:szCs w:val="24"/>
              </w:rPr>
            </w:pPr>
            <w:r>
              <w:rPr>
                <w:rFonts w:hint="eastAsia" w:ascii="宋体" w:hAnsi="宋体" w:cs="宋体"/>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1</w:t>
            </w:r>
          </w:p>
        </w:tc>
        <w:tc>
          <w:tcPr>
            <w:tcW w:w="1062" w:type="dxa"/>
          </w:tcPr>
          <w:p>
            <w:pPr>
              <w:spacing w:line="360" w:lineRule="auto"/>
              <w:rPr>
                <w:rFonts w:ascii="宋体" w:hAnsi="宋体" w:cs="宋体"/>
                <w:sz w:val="24"/>
                <w:szCs w:val="24"/>
              </w:rPr>
            </w:pPr>
            <w:r>
              <w:rPr>
                <w:rFonts w:hint="eastAsia" w:ascii="宋体" w:hAnsi="宋体" w:cs="宋体"/>
                <w:sz w:val="24"/>
                <w:szCs w:val="24"/>
              </w:rPr>
              <w:t>性能要求</w:t>
            </w:r>
          </w:p>
        </w:tc>
        <w:tc>
          <w:tcPr>
            <w:tcW w:w="6610" w:type="dxa"/>
          </w:tcPr>
          <w:p>
            <w:pPr>
              <w:spacing w:line="360" w:lineRule="auto"/>
              <w:rPr>
                <w:rFonts w:ascii="宋体" w:hAnsi="宋体" w:cs="宋体"/>
                <w:sz w:val="24"/>
                <w:szCs w:val="24"/>
              </w:rPr>
            </w:pPr>
            <w:r>
              <w:rPr>
                <w:rFonts w:hint="eastAsia" w:ascii="宋体" w:hAnsi="宋体" w:cs="宋体"/>
                <w:sz w:val="24"/>
                <w:szCs w:val="24"/>
              </w:rPr>
              <w:t>固定端口 12个千兆电口，12个万兆光口；管理端口 1个Console口，1个Manage口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2</w:t>
            </w:r>
          </w:p>
        </w:tc>
        <w:tc>
          <w:tcPr>
            <w:tcW w:w="1062" w:type="dxa"/>
          </w:tcPr>
          <w:p>
            <w:pPr>
              <w:spacing w:line="360" w:lineRule="auto"/>
              <w:rPr>
                <w:rFonts w:ascii="宋体" w:hAnsi="宋体" w:cs="宋体"/>
                <w:sz w:val="24"/>
                <w:szCs w:val="24"/>
              </w:rPr>
            </w:pPr>
            <w:r>
              <w:rPr>
                <w:rFonts w:hint="eastAsia" w:ascii="宋体" w:hAnsi="宋体" w:cs="宋体"/>
                <w:sz w:val="24"/>
                <w:szCs w:val="24"/>
              </w:rPr>
              <w:t xml:space="preserve">交换机性能 </w:t>
            </w:r>
          </w:p>
        </w:tc>
        <w:tc>
          <w:tcPr>
            <w:tcW w:w="6610" w:type="dxa"/>
          </w:tcPr>
          <w:p>
            <w:pPr>
              <w:spacing w:line="360" w:lineRule="auto"/>
              <w:rPr>
                <w:rFonts w:ascii="宋体" w:hAnsi="宋体" w:cs="宋体"/>
                <w:sz w:val="24"/>
                <w:szCs w:val="24"/>
              </w:rPr>
            </w:pPr>
            <w:r>
              <w:rPr>
                <w:rFonts w:hint="eastAsia" w:ascii="宋体" w:hAnsi="宋体" w:cs="宋体"/>
                <w:sz w:val="24"/>
                <w:szCs w:val="24"/>
              </w:rPr>
              <w:t>交换容量1.28Tbps/12.8Tbps， 包转发率480Mpps；若存在双参数，以较小参数为准）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3</w:t>
            </w:r>
          </w:p>
        </w:tc>
        <w:tc>
          <w:tcPr>
            <w:tcW w:w="1062" w:type="dxa"/>
          </w:tcPr>
          <w:p>
            <w:pPr>
              <w:spacing w:line="360" w:lineRule="auto"/>
              <w:rPr>
                <w:rFonts w:ascii="宋体" w:hAnsi="宋体" w:cs="宋体"/>
                <w:sz w:val="24"/>
                <w:szCs w:val="24"/>
              </w:rPr>
            </w:pPr>
            <w:r>
              <w:rPr>
                <w:rFonts w:hint="eastAsia" w:ascii="宋体" w:hAnsi="宋体" w:cs="宋体"/>
                <w:sz w:val="24"/>
                <w:szCs w:val="24"/>
              </w:rPr>
              <w:t>接入方式</w:t>
            </w:r>
          </w:p>
        </w:tc>
        <w:tc>
          <w:tcPr>
            <w:tcW w:w="6610" w:type="dxa"/>
          </w:tcPr>
          <w:p>
            <w:pPr>
              <w:spacing w:line="360" w:lineRule="auto"/>
              <w:rPr>
                <w:rFonts w:ascii="宋体" w:hAnsi="宋体" w:cs="宋体"/>
                <w:sz w:val="24"/>
                <w:szCs w:val="24"/>
              </w:rPr>
            </w:pPr>
            <w:r>
              <w:rPr>
                <w:rFonts w:hint="eastAsia" w:ascii="宋体" w:hAnsi="宋体" w:cs="宋体"/>
                <w:sz w:val="24"/>
                <w:szCs w:val="24"/>
              </w:rPr>
              <w:t>支持胖瘦一体化，支持智能交换机和普通交换机两种工作模式，可以根据不同的组网需要，随时灵活的进行切换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4</w:t>
            </w:r>
          </w:p>
        </w:tc>
        <w:tc>
          <w:tcPr>
            <w:tcW w:w="1062" w:type="dxa"/>
          </w:tcPr>
          <w:p>
            <w:pPr>
              <w:spacing w:line="360" w:lineRule="auto"/>
              <w:rPr>
                <w:rFonts w:ascii="宋体" w:hAnsi="宋体" w:cs="宋体"/>
                <w:sz w:val="24"/>
                <w:szCs w:val="24"/>
              </w:rPr>
            </w:pPr>
            <w:r>
              <w:rPr>
                <w:rFonts w:hint="eastAsia" w:ascii="宋体" w:hAnsi="宋体" w:cs="宋体"/>
                <w:sz w:val="24"/>
                <w:szCs w:val="24"/>
              </w:rPr>
              <w:t>运维</w:t>
            </w:r>
          </w:p>
        </w:tc>
        <w:tc>
          <w:tcPr>
            <w:tcW w:w="6610" w:type="dxa"/>
          </w:tcPr>
          <w:p>
            <w:pPr>
              <w:spacing w:line="360" w:lineRule="auto"/>
              <w:rPr>
                <w:rFonts w:ascii="宋体" w:hAnsi="宋体" w:cs="宋体"/>
                <w:sz w:val="24"/>
                <w:szCs w:val="24"/>
              </w:rPr>
            </w:pPr>
            <w:r>
              <w:rPr>
                <w:rFonts w:hint="eastAsia" w:ascii="宋体" w:hAnsi="宋体" w:cs="宋体"/>
                <w:sz w:val="24"/>
                <w:szCs w:val="24"/>
              </w:rPr>
              <w:t>支持通过控制器平台查看交换机面板端口工作状态，通过端口颜色显示状态即可判断端口是否在线工作；</w:t>
            </w:r>
          </w:p>
        </w:tc>
      </w:tr>
    </w:tbl>
    <w:p>
      <w:pPr>
        <w:spacing w:line="360" w:lineRule="auto"/>
        <w:rPr>
          <w:rFonts w:ascii="宋体" w:hAnsi="宋体" w:cs="宋体"/>
          <w:sz w:val="24"/>
          <w:szCs w:val="24"/>
        </w:rPr>
      </w:pPr>
    </w:p>
    <w:p>
      <w:pPr>
        <w:pStyle w:val="5"/>
        <w:spacing w:line="360" w:lineRule="auto"/>
        <w:rPr>
          <w:rFonts w:ascii="宋体" w:hAnsi="宋体" w:cs="宋体"/>
          <w:sz w:val="28"/>
          <w:szCs w:val="28"/>
        </w:rPr>
      </w:pPr>
      <w:r>
        <w:rPr>
          <w:rFonts w:hint="eastAsia" w:ascii="宋体" w:hAnsi="宋体" w:cs="宋体"/>
          <w:sz w:val="28"/>
          <w:szCs w:val="28"/>
          <w:lang w:val="en-US" w:eastAsia="zh-CN"/>
        </w:rPr>
        <w:t>4.3.2</w:t>
      </w:r>
      <w:r>
        <w:rPr>
          <w:rFonts w:hint="eastAsia" w:ascii="宋体" w:hAnsi="宋体" w:cs="宋体"/>
          <w:sz w:val="28"/>
          <w:szCs w:val="28"/>
        </w:rPr>
        <w:t>超融合业务管理交换机</w:t>
      </w:r>
    </w:p>
    <w:tbl>
      <w:tblPr>
        <w:tblStyle w:val="2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062"/>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序号</w:t>
            </w:r>
          </w:p>
        </w:tc>
        <w:tc>
          <w:tcPr>
            <w:tcW w:w="1062" w:type="dxa"/>
          </w:tcPr>
          <w:p>
            <w:pPr>
              <w:spacing w:line="360" w:lineRule="auto"/>
              <w:rPr>
                <w:rFonts w:ascii="宋体" w:hAnsi="宋体" w:cs="宋体"/>
                <w:sz w:val="24"/>
                <w:szCs w:val="24"/>
              </w:rPr>
            </w:pPr>
            <w:r>
              <w:rPr>
                <w:rFonts w:hint="eastAsia" w:ascii="宋体" w:hAnsi="宋体" w:cs="宋体"/>
                <w:sz w:val="24"/>
                <w:szCs w:val="24"/>
              </w:rPr>
              <w:t>指标</w:t>
            </w:r>
          </w:p>
        </w:tc>
        <w:tc>
          <w:tcPr>
            <w:tcW w:w="6610" w:type="dxa"/>
          </w:tcPr>
          <w:p>
            <w:pPr>
              <w:spacing w:line="360" w:lineRule="auto"/>
              <w:rPr>
                <w:rFonts w:ascii="宋体" w:hAnsi="宋体" w:cs="宋体"/>
                <w:sz w:val="24"/>
                <w:szCs w:val="24"/>
              </w:rPr>
            </w:pPr>
            <w:r>
              <w:rPr>
                <w:rFonts w:hint="eastAsia" w:ascii="宋体" w:hAnsi="宋体" w:cs="宋体"/>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1</w:t>
            </w:r>
          </w:p>
        </w:tc>
        <w:tc>
          <w:tcPr>
            <w:tcW w:w="1062" w:type="dxa"/>
          </w:tcPr>
          <w:p>
            <w:pPr>
              <w:spacing w:line="360" w:lineRule="auto"/>
              <w:rPr>
                <w:rFonts w:ascii="宋体" w:hAnsi="宋体" w:cs="宋体"/>
                <w:sz w:val="24"/>
                <w:szCs w:val="24"/>
              </w:rPr>
            </w:pPr>
            <w:r>
              <w:rPr>
                <w:rFonts w:hint="eastAsia" w:ascii="宋体" w:hAnsi="宋体" w:cs="宋体"/>
                <w:sz w:val="24"/>
                <w:szCs w:val="24"/>
              </w:rPr>
              <w:t>性能要求</w:t>
            </w:r>
          </w:p>
        </w:tc>
        <w:tc>
          <w:tcPr>
            <w:tcW w:w="6610" w:type="dxa"/>
          </w:tcPr>
          <w:p>
            <w:pPr>
              <w:spacing w:line="360" w:lineRule="auto"/>
              <w:rPr>
                <w:rFonts w:ascii="宋体" w:hAnsi="宋体" w:cs="宋体"/>
                <w:sz w:val="24"/>
                <w:szCs w:val="24"/>
              </w:rPr>
            </w:pPr>
            <w:r>
              <w:rPr>
                <w:rFonts w:hint="eastAsia" w:ascii="宋体" w:hAnsi="宋体" w:cs="宋体"/>
                <w:sz w:val="24"/>
                <w:szCs w:val="24"/>
              </w:rPr>
              <w:t>固定端口 24个千兆电口，4个万兆光口；管理端口 1个Console口，1个Manage口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2</w:t>
            </w:r>
          </w:p>
        </w:tc>
        <w:tc>
          <w:tcPr>
            <w:tcW w:w="1062" w:type="dxa"/>
          </w:tcPr>
          <w:p>
            <w:pPr>
              <w:spacing w:line="360" w:lineRule="auto"/>
              <w:rPr>
                <w:rFonts w:ascii="宋体" w:hAnsi="宋体" w:cs="宋体"/>
                <w:sz w:val="24"/>
                <w:szCs w:val="24"/>
              </w:rPr>
            </w:pPr>
            <w:r>
              <w:rPr>
                <w:rFonts w:hint="eastAsia" w:ascii="宋体" w:hAnsi="宋体" w:cs="宋体"/>
                <w:sz w:val="24"/>
                <w:szCs w:val="24"/>
              </w:rPr>
              <w:t xml:space="preserve">交换机性能 </w:t>
            </w:r>
          </w:p>
        </w:tc>
        <w:tc>
          <w:tcPr>
            <w:tcW w:w="6610" w:type="dxa"/>
          </w:tcPr>
          <w:p>
            <w:pPr>
              <w:spacing w:line="360" w:lineRule="auto"/>
              <w:rPr>
                <w:rFonts w:ascii="宋体" w:hAnsi="宋体" w:cs="宋体"/>
                <w:sz w:val="24"/>
                <w:szCs w:val="24"/>
              </w:rPr>
            </w:pPr>
            <w:r>
              <w:rPr>
                <w:rFonts w:hint="eastAsia" w:ascii="宋体" w:hAnsi="宋体" w:cs="宋体"/>
                <w:sz w:val="24"/>
                <w:szCs w:val="24"/>
              </w:rPr>
              <w:t>交换容量336Gbps/3.36Tbps，包转发率108Mpps/126Mpps，（若存在双参数，以较小参数为准）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3</w:t>
            </w:r>
          </w:p>
        </w:tc>
        <w:tc>
          <w:tcPr>
            <w:tcW w:w="1062" w:type="dxa"/>
          </w:tcPr>
          <w:p>
            <w:pPr>
              <w:spacing w:line="360" w:lineRule="auto"/>
              <w:rPr>
                <w:rFonts w:ascii="宋体" w:hAnsi="宋体" w:cs="宋体"/>
                <w:sz w:val="24"/>
                <w:szCs w:val="24"/>
              </w:rPr>
            </w:pPr>
            <w:r>
              <w:rPr>
                <w:rFonts w:hint="eastAsia" w:ascii="宋体" w:hAnsi="宋体" w:cs="宋体"/>
                <w:sz w:val="24"/>
                <w:szCs w:val="24"/>
              </w:rPr>
              <w:t>接入方式</w:t>
            </w:r>
          </w:p>
        </w:tc>
        <w:tc>
          <w:tcPr>
            <w:tcW w:w="6610" w:type="dxa"/>
          </w:tcPr>
          <w:p>
            <w:pPr>
              <w:spacing w:line="360" w:lineRule="auto"/>
              <w:rPr>
                <w:rFonts w:ascii="宋体" w:hAnsi="宋体" w:cs="宋体"/>
                <w:sz w:val="24"/>
                <w:szCs w:val="24"/>
              </w:rPr>
            </w:pPr>
            <w:r>
              <w:rPr>
                <w:rFonts w:hint="eastAsia" w:ascii="宋体" w:hAnsi="宋体" w:cs="宋体"/>
                <w:sz w:val="24"/>
                <w:szCs w:val="24"/>
              </w:rPr>
              <w:t>支持胖瘦一体化，支持智能交换机和普通交换机两种工作模式，可以根据不同的组网需要，随时灵活的进行切换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4</w:t>
            </w:r>
          </w:p>
        </w:tc>
        <w:tc>
          <w:tcPr>
            <w:tcW w:w="1062" w:type="dxa"/>
          </w:tcPr>
          <w:p>
            <w:pPr>
              <w:spacing w:line="360" w:lineRule="auto"/>
              <w:rPr>
                <w:rFonts w:ascii="宋体" w:hAnsi="宋体" w:cs="宋体"/>
                <w:sz w:val="24"/>
                <w:szCs w:val="24"/>
              </w:rPr>
            </w:pPr>
            <w:r>
              <w:rPr>
                <w:rFonts w:hint="eastAsia" w:ascii="宋体" w:hAnsi="宋体" w:cs="宋体"/>
                <w:sz w:val="24"/>
                <w:szCs w:val="24"/>
              </w:rPr>
              <w:t>运维</w:t>
            </w:r>
          </w:p>
        </w:tc>
        <w:tc>
          <w:tcPr>
            <w:tcW w:w="6610" w:type="dxa"/>
          </w:tcPr>
          <w:p>
            <w:pPr>
              <w:spacing w:line="360" w:lineRule="auto"/>
              <w:rPr>
                <w:rFonts w:ascii="宋体" w:hAnsi="宋体" w:cs="宋体"/>
                <w:sz w:val="24"/>
                <w:szCs w:val="24"/>
              </w:rPr>
            </w:pPr>
            <w:r>
              <w:rPr>
                <w:rFonts w:hint="eastAsia" w:ascii="宋体" w:hAnsi="宋体" w:cs="宋体"/>
                <w:sz w:val="24"/>
                <w:szCs w:val="24"/>
              </w:rPr>
              <w:t>支持通过控制器平台查看交换机面板端口工作状态，通过端口颜色显示状态即可判断端口是否在线工作；</w:t>
            </w:r>
          </w:p>
        </w:tc>
      </w:tr>
    </w:tbl>
    <w:p>
      <w:pPr>
        <w:spacing w:line="360" w:lineRule="auto"/>
        <w:rPr>
          <w:rFonts w:ascii="宋体" w:hAnsi="宋体" w:cs="宋体"/>
          <w:sz w:val="24"/>
          <w:szCs w:val="24"/>
        </w:rPr>
      </w:pPr>
    </w:p>
    <w:p>
      <w:pPr>
        <w:pStyle w:val="5"/>
        <w:spacing w:line="360" w:lineRule="auto"/>
        <w:rPr>
          <w:rFonts w:ascii="宋体" w:hAnsi="宋体" w:cs="宋体"/>
          <w:sz w:val="28"/>
          <w:szCs w:val="28"/>
        </w:rPr>
      </w:pPr>
      <w:r>
        <w:rPr>
          <w:rFonts w:hint="eastAsia" w:ascii="宋体" w:hAnsi="宋体" w:cs="宋体"/>
          <w:sz w:val="28"/>
          <w:szCs w:val="28"/>
          <w:lang w:val="en-US" w:eastAsia="zh-CN"/>
        </w:rPr>
        <w:t>4.3.4</w:t>
      </w:r>
      <w:r>
        <w:rPr>
          <w:rFonts w:hint="eastAsia" w:ascii="宋体" w:hAnsi="宋体" w:cs="宋体"/>
          <w:sz w:val="28"/>
          <w:szCs w:val="28"/>
        </w:rPr>
        <w:t>安全感知管理平台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08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rPr>
                <w:rFonts w:ascii="宋体" w:hAnsi="宋体" w:cs="宋体"/>
                <w:sz w:val="24"/>
                <w:szCs w:val="24"/>
              </w:rPr>
            </w:pPr>
            <w:r>
              <w:rPr>
                <w:rFonts w:hint="eastAsia" w:ascii="宋体" w:hAnsi="宋体" w:cs="宋体"/>
                <w:sz w:val="24"/>
                <w:szCs w:val="24"/>
              </w:rPr>
              <w:t>序号</w:t>
            </w:r>
          </w:p>
        </w:tc>
        <w:tc>
          <w:tcPr>
            <w:tcW w:w="1080" w:type="dxa"/>
          </w:tcPr>
          <w:p>
            <w:pPr>
              <w:spacing w:line="360" w:lineRule="auto"/>
              <w:rPr>
                <w:rFonts w:ascii="宋体" w:hAnsi="宋体" w:cs="宋体"/>
                <w:sz w:val="24"/>
                <w:szCs w:val="24"/>
              </w:rPr>
            </w:pPr>
            <w:r>
              <w:rPr>
                <w:rFonts w:hint="eastAsia" w:ascii="宋体" w:hAnsi="宋体" w:cs="宋体"/>
                <w:sz w:val="24"/>
                <w:szCs w:val="24"/>
              </w:rPr>
              <w:t>指标</w:t>
            </w:r>
          </w:p>
        </w:tc>
        <w:tc>
          <w:tcPr>
            <w:tcW w:w="6585" w:type="dxa"/>
          </w:tcPr>
          <w:p>
            <w:pPr>
              <w:spacing w:line="360" w:lineRule="auto"/>
              <w:rPr>
                <w:rFonts w:ascii="宋体" w:hAnsi="宋体" w:cs="宋体"/>
                <w:sz w:val="24"/>
                <w:szCs w:val="24"/>
              </w:rPr>
            </w:pPr>
            <w:r>
              <w:rPr>
                <w:rFonts w:hint="eastAsia" w:ascii="宋体" w:hAnsi="宋体" w:cs="宋体"/>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7" w:type="dxa"/>
          </w:tcPr>
          <w:p>
            <w:pPr>
              <w:spacing w:line="360" w:lineRule="auto"/>
              <w:rPr>
                <w:rFonts w:ascii="宋体" w:hAnsi="宋体" w:cs="宋体"/>
                <w:sz w:val="24"/>
                <w:szCs w:val="24"/>
              </w:rPr>
            </w:pPr>
            <w:r>
              <w:rPr>
                <w:rFonts w:hint="eastAsia" w:ascii="宋体" w:hAnsi="宋体" w:cs="宋体"/>
                <w:sz w:val="24"/>
                <w:szCs w:val="24"/>
              </w:rPr>
              <w:t>1</w:t>
            </w:r>
          </w:p>
        </w:tc>
        <w:tc>
          <w:tcPr>
            <w:tcW w:w="1080" w:type="dxa"/>
          </w:tcPr>
          <w:p>
            <w:pPr>
              <w:spacing w:line="360" w:lineRule="auto"/>
              <w:rPr>
                <w:rFonts w:ascii="宋体" w:hAnsi="宋体" w:cs="宋体"/>
                <w:sz w:val="24"/>
                <w:szCs w:val="24"/>
              </w:rPr>
            </w:pPr>
            <w:r>
              <w:rPr>
                <w:rFonts w:hint="eastAsia" w:ascii="宋体" w:hAnsi="宋体" w:cs="宋体"/>
                <w:sz w:val="24"/>
                <w:szCs w:val="24"/>
              </w:rPr>
              <w:t>硬件性能</w:t>
            </w:r>
          </w:p>
        </w:tc>
        <w:tc>
          <w:tcPr>
            <w:tcW w:w="6585" w:type="dxa"/>
          </w:tcPr>
          <w:p>
            <w:pPr>
              <w:spacing w:line="360" w:lineRule="auto"/>
              <w:rPr>
                <w:rFonts w:ascii="宋体" w:hAnsi="宋体" w:cs="宋体"/>
                <w:sz w:val="24"/>
                <w:szCs w:val="24"/>
              </w:rPr>
            </w:pPr>
            <w:r>
              <w:rPr>
                <w:rFonts w:hint="eastAsia" w:ascii="宋体" w:hAnsi="宋体" w:cs="宋体"/>
                <w:sz w:val="24"/>
                <w:szCs w:val="24"/>
              </w:rPr>
              <w:t>规格为2U，内存不小于3*32GB DDR4 2666，系统盘不小于1*240GB SATA SSD，数据盘不小于8*4TB，冗余电源，接口不小于4千兆电口。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rPr>
                <w:rFonts w:ascii="宋体" w:hAnsi="宋体" w:cs="宋体"/>
                <w:sz w:val="24"/>
                <w:szCs w:val="24"/>
              </w:rPr>
            </w:pPr>
            <w:r>
              <w:rPr>
                <w:rFonts w:hint="eastAsia" w:ascii="宋体" w:hAnsi="宋体" w:cs="宋体"/>
                <w:sz w:val="24"/>
                <w:szCs w:val="24"/>
              </w:rPr>
              <w:t>2</w:t>
            </w:r>
          </w:p>
        </w:tc>
        <w:tc>
          <w:tcPr>
            <w:tcW w:w="1080" w:type="dxa"/>
          </w:tcPr>
          <w:p>
            <w:pPr>
              <w:spacing w:line="360" w:lineRule="auto"/>
              <w:rPr>
                <w:rFonts w:ascii="宋体" w:hAnsi="宋体" w:cs="宋体"/>
                <w:sz w:val="24"/>
                <w:szCs w:val="24"/>
              </w:rPr>
            </w:pPr>
            <w:r>
              <w:rPr>
                <w:rFonts w:hint="eastAsia" w:ascii="宋体" w:hAnsi="宋体" w:cs="宋体"/>
                <w:sz w:val="24"/>
                <w:szCs w:val="24"/>
              </w:rPr>
              <w:t>可视化</w:t>
            </w:r>
          </w:p>
        </w:tc>
        <w:tc>
          <w:tcPr>
            <w:tcW w:w="6585" w:type="dxa"/>
          </w:tcPr>
          <w:p>
            <w:pPr>
              <w:spacing w:line="360" w:lineRule="auto"/>
              <w:rPr>
                <w:rFonts w:ascii="宋体" w:hAnsi="宋体" w:cs="宋体"/>
                <w:sz w:val="24"/>
                <w:szCs w:val="24"/>
              </w:rPr>
            </w:pPr>
            <w:r>
              <w:rPr>
                <w:rFonts w:hint="eastAsia" w:ascii="宋体" w:hAnsi="宋体" w:cs="宋体"/>
                <w:sz w:val="24"/>
                <w:szCs w:val="24"/>
              </w:rPr>
              <w:t>★支持不同安全视角展示15个独立的大屏展示功能，包括全网安全态势感知大屏、分支安全态势、安全事件态势、通报预警态势、资产态势大屏等，同时能满足多种场景的监控，比如日常运维、护网场景。（提供截图证明，并加盖厂商公章）</w:t>
            </w:r>
          </w:p>
          <w:p>
            <w:pPr>
              <w:spacing w:line="360" w:lineRule="auto"/>
              <w:rPr>
                <w:rFonts w:ascii="宋体" w:hAnsi="宋体" w:cs="宋体"/>
                <w:sz w:val="24"/>
                <w:szCs w:val="24"/>
              </w:rPr>
            </w:pPr>
            <w:r>
              <w:rPr>
                <w:rFonts w:hint="eastAsia" w:ascii="宋体" w:hAnsi="宋体" w:cs="宋体"/>
                <w:sz w:val="24"/>
                <w:szCs w:val="24"/>
              </w:rPr>
              <w:t>★可视区域基于数据中心、总部、租户等按照风险等级（优秀、良、中、差）来展示数据中心的情况。支持对数据中心正常反问的趋势和攻击者监视和分析威胁的说明。（提供截图证明，并加盖厂商公章）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rPr>
                <w:rFonts w:ascii="宋体" w:hAnsi="宋体" w:cs="宋体"/>
                <w:sz w:val="24"/>
                <w:szCs w:val="24"/>
              </w:rPr>
            </w:pPr>
            <w:r>
              <w:rPr>
                <w:rFonts w:hint="eastAsia" w:ascii="宋体" w:hAnsi="宋体" w:cs="宋体"/>
                <w:sz w:val="24"/>
                <w:szCs w:val="24"/>
              </w:rPr>
              <w:t>3</w:t>
            </w:r>
          </w:p>
        </w:tc>
        <w:tc>
          <w:tcPr>
            <w:tcW w:w="1080" w:type="dxa"/>
          </w:tcPr>
          <w:p>
            <w:pPr>
              <w:spacing w:line="360" w:lineRule="auto"/>
              <w:rPr>
                <w:rFonts w:ascii="宋体" w:hAnsi="宋体" w:cs="宋体"/>
                <w:sz w:val="24"/>
                <w:szCs w:val="24"/>
              </w:rPr>
            </w:pPr>
            <w:r>
              <w:rPr>
                <w:rFonts w:hint="eastAsia" w:ascii="宋体" w:hAnsi="宋体" w:cs="宋体"/>
                <w:sz w:val="24"/>
                <w:szCs w:val="24"/>
              </w:rPr>
              <w:t>通报预警</w:t>
            </w:r>
          </w:p>
        </w:tc>
        <w:tc>
          <w:tcPr>
            <w:tcW w:w="6585" w:type="dxa"/>
          </w:tcPr>
          <w:p>
            <w:pPr>
              <w:spacing w:line="360" w:lineRule="auto"/>
              <w:rPr>
                <w:rFonts w:ascii="宋体" w:hAnsi="宋体" w:cs="宋体"/>
                <w:sz w:val="24"/>
                <w:szCs w:val="24"/>
              </w:rPr>
            </w:pPr>
            <w:r>
              <w:rPr>
                <w:rFonts w:hint="eastAsia" w:ascii="宋体" w:hAnsi="宋体" w:cs="宋体"/>
                <w:sz w:val="24"/>
                <w:szCs w:val="24"/>
              </w:rPr>
              <w:t>支持通报预警，支持新增加签功能（短信或邮件通知），可邀请指定管理员研判评论，双方评论回复均可视。</w:t>
            </w:r>
          </w:p>
          <w:p>
            <w:pPr>
              <w:spacing w:line="360" w:lineRule="auto"/>
              <w:rPr>
                <w:rFonts w:ascii="宋体" w:hAnsi="宋体" w:cs="宋体"/>
                <w:sz w:val="24"/>
                <w:szCs w:val="24"/>
              </w:rPr>
            </w:pPr>
            <w:r>
              <w:rPr>
                <w:rFonts w:hint="eastAsia" w:ascii="宋体" w:hAnsi="宋体" w:cs="宋体"/>
                <w:sz w:val="24"/>
                <w:szCs w:val="24"/>
              </w:rPr>
              <w:t>支持短信/邮件/微信/实时告警推送。告警条件、推送频率、推送时间等可自定义；短信邮件告警支持策略部编辑，可将不同告警内容发送至不同的责任人；（提供截图证明，并加盖厂商公章）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rPr>
                <w:rFonts w:ascii="宋体" w:hAnsi="宋体" w:cs="宋体"/>
                <w:sz w:val="24"/>
                <w:szCs w:val="24"/>
              </w:rPr>
            </w:pPr>
            <w:r>
              <w:rPr>
                <w:rFonts w:hint="eastAsia" w:ascii="宋体" w:hAnsi="宋体" w:cs="宋体"/>
                <w:sz w:val="24"/>
                <w:szCs w:val="24"/>
              </w:rPr>
              <w:t>4</w:t>
            </w:r>
          </w:p>
        </w:tc>
        <w:tc>
          <w:tcPr>
            <w:tcW w:w="1080" w:type="dxa"/>
          </w:tcPr>
          <w:p>
            <w:pPr>
              <w:spacing w:line="360" w:lineRule="auto"/>
              <w:rPr>
                <w:rFonts w:ascii="宋体" w:hAnsi="宋体" w:cs="宋体"/>
                <w:sz w:val="24"/>
                <w:szCs w:val="24"/>
              </w:rPr>
            </w:pPr>
            <w:r>
              <w:rPr>
                <w:rFonts w:hint="eastAsia" w:ascii="宋体" w:hAnsi="宋体" w:cs="宋体"/>
                <w:sz w:val="24"/>
                <w:szCs w:val="24"/>
              </w:rPr>
              <w:t>设备联动</w:t>
            </w:r>
          </w:p>
        </w:tc>
        <w:tc>
          <w:tcPr>
            <w:tcW w:w="6585" w:type="dxa"/>
          </w:tcPr>
          <w:p>
            <w:pPr>
              <w:spacing w:line="360" w:lineRule="auto"/>
              <w:rPr>
                <w:rFonts w:ascii="宋体" w:hAnsi="宋体" w:cs="宋体"/>
                <w:sz w:val="24"/>
                <w:szCs w:val="24"/>
              </w:rPr>
            </w:pPr>
            <w:r>
              <w:rPr>
                <w:rFonts w:hint="eastAsia" w:ascii="宋体" w:hAnsi="宋体" w:cs="宋体"/>
                <w:sz w:val="24"/>
                <w:szCs w:val="24"/>
              </w:rPr>
              <w:t>支持与学校现有数据库审计设备联动，同步数据库风险日志、管理员操作日志、正常审计日志，便于统一审计（需提供有效证明材料，并加盖厂商公章）。</w:t>
            </w:r>
          </w:p>
          <w:p>
            <w:pPr>
              <w:spacing w:line="360" w:lineRule="auto"/>
              <w:rPr>
                <w:rFonts w:ascii="宋体" w:hAnsi="宋体" w:cs="宋体"/>
                <w:sz w:val="24"/>
                <w:szCs w:val="24"/>
              </w:rPr>
            </w:pPr>
            <w:r>
              <w:rPr>
                <w:rFonts w:hint="eastAsia" w:ascii="宋体" w:hAnsi="宋体" w:cs="宋体"/>
                <w:sz w:val="24"/>
                <w:szCs w:val="24"/>
              </w:rPr>
              <w:t>支持与学校现有VPN设备联动，同步用户信息，包括用户登录、登出、分配IP、访问资源记录的日志数据，实现远程接入用户与安全事件关联分析，定位异常用户（需提供有效证明材料，并加盖厂商公章）。</w:t>
            </w:r>
          </w:p>
          <w:p>
            <w:pPr>
              <w:spacing w:line="360" w:lineRule="auto"/>
              <w:rPr>
                <w:rFonts w:ascii="宋体" w:hAnsi="宋体" w:cs="宋体"/>
                <w:sz w:val="24"/>
                <w:szCs w:val="24"/>
              </w:rPr>
            </w:pPr>
            <w:r>
              <w:rPr>
                <w:rFonts w:hint="eastAsia" w:ascii="宋体" w:hAnsi="宋体" w:cs="宋体"/>
                <w:sz w:val="24"/>
                <w:szCs w:val="24"/>
              </w:rPr>
              <w:t>支持与学校现有上网行为管理设备进行联动响应，同步认证用户关联安全事件；支持浏览器推送用户提醒与冻结用户上网（需提供有效证明材料，并加盖厂商公章）。</w:t>
            </w:r>
          </w:p>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rPr>
                <w:rFonts w:ascii="宋体" w:hAnsi="宋体" w:cs="宋体"/>
                <w:sz w:val="24"/>
                <w:szCs w:val="24"/>
              </w:rPr>
            </w:pPr>
            <w:r>
              <w:rPr>
                <w:rFonts w:hint="eastAsia" w:ascii="宋体" w:hAnsi="宋体" w:cs="宋体"/>
                <w:sz w:val="24"/>
                <w:szCs w:val="24"/>
              </w:rPr>
              <w:t>5</w:t>
            </w:r>
          </w:p>
        </w:tc>
        <w:tc>
          <w:tcPr>
            <w:tcW w:w="1080" w:type="dxa"/>
          </w:tcPr>
          <w:p>
            <w:pPr>
              <w:spacing w:line="360" w:lineRule="auto"/>
              <w:rPr>
                <w:rFonts w:ascii="宋体" w:hAnsi="宋体" w:cs="宋体"/>
                <w:sz w:val="24"/>
                <w:szCs w:val="24"/>
              </w:rPr>
            </w:pPr>
            <w:r>
              <w:rPr>
                <w:rFonts w:hint="eastAsia" w:ascii="宋体" w:hAnsi="宋体" w:cs="宋体"/>
                <w:sz w:val="24"/>
                <w:szCs w:val="24"/>
              </w:rPr>
              <w:t>厂商资质</w:t>
            </w:r>
          </w:p>
        </w:tc>
        <w:tc>
          <w:tcPr>
            <w:tcW w:w="6585" w:type="dxa"/>
          </w:tcPr>
          <w:p>
            <w:pPr>
              <w:spacing w:line="360" w:lineRule="auto"/>
              <w:rPr>
                <w:rFonts w:ascii="宋体" w:hAnsi="宋体" w:cs="宋体"/>
                <w:sz w:val="24"/>
                <w:szCs w:val="24"/>
              </w:rPr>
            </w:pPr>
            <w:r>
              <w:rPr>
                <w:rFonts w:hint="eastAsia" w:ascii="宋体" w:hAnsi="宋体" w:cs="宋体"/>
                <w:sz w:val="24"/>
                <w:szCs w:val="24"/>
              </w:rPr>
              <w:t>厂商应是国家互联网应急响应中心网络安全应急服务国家级支撑单位（需提供有效证明材料，并加盖厂商公章）</w:t>
            </w:r>
          </w:p>
          <w:p>
            <w:pPr>
              <w:spacing w:line="360" w:lineRule="auto"/>
              <w:rPr>
                <w:rFonts w:ascii="宋体" w:hAnsi="宋体" w:cs="宋体"/>
                <w:sz w:val="24"/>
                <w:szCs w:val="24"/>
              </w:rPr>
            </w:pPr>
            <w:r>
              <w:rPr>
                <w:rFonts w:hint="eastAsia" w:ascii="宋体" w:hAnsi="宋体" w:cs="宋体"/>
                <w:sz w:val="24"/>
                <w:szCs w:val="24"/>
              </w:rPr>
              <w:t>厂商需是中国反网络病毒联盟ANVA成员单位，（需提供有效证明材料，并加盖厂商公章）</w:t>
            </w:r>
          </w:p>
          <w:p>
            <w:pPr>
              <w:spacing w:line="360" w:lineRule="auto"/>
              <w:rPr>
                <w:rFonts w:ascii="宋体" w:hAnsi="宋体" w:cs="宋体"/>
                <w:sz w:val="24"/>
                <w:szCs w:val="24"/>
              </w:rPr>
            </w:pPr>
            <w:r>
              <w:rPr>
                <w:rFonts w:hint="eastAsia" w:ascii="宋体" w:hAnsi="宋体" w:cs="宋体"/>
                <w:sz w:val="24"/>
                <w:szCs w:val="24"/>
              </w:rPr>
              <w:t>具备公安部颁发的销售许可证（需提供有效证明材料，并加盖厂商公章）</w:t>
            </w:r>
          </w:p>
          <w:p>
            <w:pPr>
              <w:spacing w:line="360" w:lineRule="auto"/>
              <w:rPr>
                <w:rFonts w:ascii="宋体" w:hAnsi="宋体" w:cs="宋体"/>
                <w:sz w:val="24"/>
                <w:szCs w:val="24"/>
              </w:rPr>
            </w:pPr>
            <w:r>
              <w:rPr>
                <w:rFonts w:hint="eastAsia" w:ascii="宋体" w:hAnsi="宋体" w:cs="宋体"/>
                <w:sz w:val="24"/>
                <w:szCs w:val="24"/>
              </w:rPr>
              <w:t>具备软件著作权证书（需提供有效证明材料，并加盖厂商公章）</w:t>
            </w:r>
          </w:p>
        </w:tc>
      </w:tr>
    </w:tbl>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宋体" w:hAnsi="宋体" w:cs="宋体"/>
          <w:sz w:val="28"/>
          <w:szCs w:val="28"/>
        </w:rPr>
      </w:pPr>
      <w:r>
        <w:rPr>
          <w:rFonts w:hint="eastAsia" w:ascii="宋体" w:hAnsi="宋体" w:cs="宋体"/>
          <w:sz w:val="28"/>
          <w:szCs w:val="28"/>
        </w:rPr>
        <w:br w:type="page"/>
      </w:r>
    </w:p>
    <w:p>
      <w:pPr>
        <w:pStyle w:val="5"/>
        <w:spacing w:line="360" w:lineRule="auto"/>
        <w:rPr>
          <w:rFonts w:ascii="宋体" w:hAnsi="宋体" w:cs="宋体"/>
          <w:sz w:val="28"/>
          <w:szCs w:val="28"/>
        </w:rPr>
      </w:pPr>
      <w:r>
        <w:rPr>
          <w:rFonts w:hint="eastAsia" w:ascii="宋体" w:hAnsi="宋体" w:cs="宋体"/>
          <w:sz w:val="28"/>
          <w:szCs w:val="28"/>
          <w:lang w:val="en-US" w:eastAsia="zh-CN"/>
        </w:rPr>
        <w:t>4.3.5</w:t>
      </w:r>
      <w:r>
        <w:rPr>
          <w:rFonts w:hint="eastAsia" w:ascii="宋体" w:hAnsi="宋体" w:cs="宋体"/>
          <w:sz w:val="28"/>
          <w:szCs w:val="28"/>
        </w:rPr>
        <w:t>潜伏威胁探针</w:t>
      </w:r>
    </w:p>
    <w:tbl>
      <w:tblPr>
        <w:tblStyle w:val="2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062"/>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序号</w:t>
            </w:r>
          </w:p>
        </w:tc>
        <w:tc>
          <w:tcPr>
            <w:tcW w:w="1062" w:type="dxa"/>
          </w:tcPr>
          <w:p>
            <w:pPr>
              <w:spacing w:line="360" w:lineRule="auto"/>
              <w:rPr>
                <w:rFonts w:ascii="宋体" w:hAnsi="宋体" w:cs="宋体"/>
                <w:sz w:val="24"/>
                <w:szCs w:val="24"/>
              </w:rPr>
            </w:pPr>
            <w:r>
              <w:rPr>
                <w:rFonts w:hint="eastAsia" w:ascii="宋体" w:hAnsi="宋体" w:cs="宋体"/>
                <w:sz w:val="24"/>
                <w:szCs w:val="24"/>
              </w:rPr>
              <w:t>指标</w:t>
            </w:r>
          </w:p>
        </w:tc>
        <w:tc>
          <w:tcPr>
            <w:tcW w:w="6610" w:type="dxa"/>
          </w:tcPr>
          <w:p>
            <w:pPr>
              <w:spacing w:line="360" w:lineRule="auto"/>
              <w:rPr>
                <w:rFonts w:ascii="宋体" w:hAnsi="宋体" w:cs="宋体"/>
                <w:sz w:val="24"/>
                <w:szCs w:val="24"/>
              </w:rPr>
            </w:pPr>
            <w:r>
              <w:rPr>
                <w:rFonts w:hint="eastAsia" w:ascii="宋体" w:hAnsi="宋体" w:cs="宋体"/>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1</w:t>
            </w:r>
          </w:p>
        </w:tc>
        <w:tc>
          <w:tcPr>
            <w:tcW w:w="1062" w:type="dxa"/>
          </w:tcPr>
          <w:p>
            <w:pPr>
              <w:spacing w:line="360" w:lineRule="auto"/>
              <w:rPr>
                <w:rFonts w:ascii="宋体" w:hAnsi="宋体" w:cs="宋体"/>
                <w:sz w:val="24"/>
                <w:szCs w:val="24"/>
              </w:rPr>
            </w:pPr>
            <w:r>
              <w:rPr>
                <w:rFonts w:hint="eastAsia" w:ascii="宋体" w:hAnsi="宋体" w:cs="宋体"/>
                <w:sz w:val="24"/>
                <w:szCs w:val="24"/>
              </w:rPr>
              <w:t>性能要求</w:t>
            </w:r>
          </w:p>
        </w:tc>
        <w:tc>
          <w:tcPr>
            <w:tcW w:w="6610" w:type="dxa"/>
          </w:tcPr>
          <w:p>
            <w:pPr>
              <w:spacing w:line="360" w:lineRule="auto"/>
              <w:rPr>
                <w:rFonts w:ascii="宋体" w:hAnsi="宋体" w:cs="宋体"/>
                <w:sz w:val="24"/>
                <w:szCs w:val="24"/>
              </w:rPr>
            </w:pPr>
            <w:r>
              <w:rPr>
                <w:rFonts w:hint="eastAsia" w:ascii="宋体" w:hAnsi="宋体" w:cs="宋体"/>
                <w:sz w:val="24"/>
                <w:szCs w:val="24"/>
              </w:rPr>
              <w:t>网络层吞吐量不小于1bps；规格为1U，内存大小不小于8G，接口不小于6千兆电口+2千兆光口SFP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2</w:t>
            </w:r>
          </w:p>
        </w:tc>
        <w:tc>
          <w:tcPr>
            <w:tcW w:w="1062" w:type="dxa"/>
          </w:tcPr>
          <w:p>
            <w:pPr>
              <w:spacing w:line="360" w:lineRule="auto"/>
              <w:rPr>
                <w:rFonts w:ascii="宋体" w:hAnsi="宋体" w:cs="宋体"/>
                <w:sz w:val="24"/>
                <w:szCs w:val="24"/>
              </w:rPr>
            </w:pPr>
            <w:r>
              <w:rPr>
                <w:rFonts w:hint="eastAsia" w:ascii="宋体" w:hAnsi="宋体" w:cs="宋体"/>
                <w:sz w:val="24"/>
                <w:szCs w:val="24"/>
              </w:rPr>
              <w:t>功能要求</w:t>
            </w:r>
          </w:p>
        </w:tc>
        <w:tc>
          <w:tcPr>
            <w:tcW w:w="6610" w:type="dxa"/>
          </w:tcPr>
          <w:p>
            <w:pPr>
              <w:spacing w:line="360" w:lineRule="auto"/>
              <w:rPr>
                <w:rFonts w:ascii="宋体" w:hAnsi="宋体" w:cs="宋体"/>
                <w:sz w:val="24"/>
                <w:szCs w:val="24"/>
              </w:rPr>
            </w:pPr>
            <w:r>
              <w:rPr>
                <w:rFonts w:hint="eastAsia" w:ascii="宋体" w:hAnsi="宋体" w:cs="宋体"/>
                <w:sz w:val="24"/>
                <w:szCs w:val="24"/>
              </w:rPr>
              <w:t>（1）支持多台采集器同时部署于客户网络不同位置并将数据传输到同一套分析平台</w:t>
            </w:r>
          </w:p>
          <w:p>
            <w:pPr>
              <w:spacing w:line="360" w:lineRule="auto"/>
              <w:rPr>
                <w:rFonts w:ascii="宋体" w:hAnsi="宋体" w:cs="宋体"/>
                <w:sz w:val="24"/>
                <w:szCs w:val="24"/>
              </w:rPr>
            </w:pPr>
            <w:r>
              <w:rPr>
                <w:rFonts w:hint="eastAsia" w:ascii="宋体" w:hAnsi="宋体" w:cs="宋体"/>
                <w:sz w:val="24"/>
                <w:szCs w:val="24"/>
              </w:rPr>
              <w:t>（2）★支持敏感数据泄密功能检测能力，可自定义敏感信息，支持根据文件类型和敏感关键字进行信息过滤（需提供截图证明并加盖原厂商公章）。</w:t>
            </w:r>
          </w:p>
          <w:p>
            <w:pPr>
              <w:spacing w:line="360" w:lineRule="auto"/>
              <w:rPr>
                <w:rFonts w:ascii="宋体" w:hAnsi="宋体" w:cs="宋体"/>
                <w:sz w:val="24"/>
                <w:szCs w:val="24"/>
              </w:rPr>
            </w:pPr>
            <w:r>
              <w:rPr>
                <w:rFonts w:hint="eastAsia" w:ascii="宋体" w:hAnsi="宋体" w:cs="宋体"/>
                <w:sz w:val="24"/>
                <w:szCs w:val="24"/>
              </w:rPr>
              <w:t>（3）支持传输访问检测日志，包括正常访问、风险访问、违规访问（需提供有效证明材料，并加盖厂商公章）。</w:t>
            </w:r>
          </w:p>
          <w:p>
            <w:pPr>
              <w:spacing w:line="360" w:lineRule="auto"/>
              <w:rPr>
                <w:rFonts w:ascii="宋体" w:hAnsi="宋体" w:cs="宋体"/>
                <w:sz w:val="24"/>
                <w:szCs w:val="24"/>
              </w:rPr>
            </w:pPr>
            <w:r>
              <w:rPr>
                <w:rFonts w:hint="eastAsia" w:ascii="宋体" w:hAnsi="宋体" w:cs="宋体"/>
                <w:sz w:val="24"/>
                <w:szCs w:val="24"/>
              </w:rPr>
              <w:t>（4）★支持传输协议审计日志，包括https协议日志、http协议审计日志、DNS协议审计日志、邮件协议审计日志、SMB协议审计日志、AD域协议审计日志、WEB登录审计日志、FTP协议审计日志、Telnet协议审计日志、ICMP协议审计日志、LLMNR协议审计日志（需提供截图证明并加盖原厂商公章）。</w:t>
            </w:r>
          </w:p>
          <w:p>
            <w:pPr>
              <w:spacing w:line="360" w:lineRule="auto"/>
              <w:rPr>
                <w:rFonts w:ascii="宋体" w:hAnsi="宋体" w:cs="宋体"/>
                <w:sz w:val="24"/>
                <w:szCs w:val="24"/>
              </w:rPr>
            </w:pPr>
            <w:r>
              <w:rPr>
                <w:rFonts w:hint="eastAsia" w:ascii="宋体" w:hAnsi="宋体" w:cs="宋体"/>
                <w:sz w:val="24"/>
                <w:szCs w:val="24"/>
              </w:rPr>
              <w:t>（5）支持传输安全检测日志，包括网络攻击检测日志、漏洞利用攻击检测日志、僵尸网络检测日志、业务弱点发现日志。</w:t>
            </w:r>
          </w:p>
          <w:p>
            <w:pPr>
              <w:spacing w:line="360" w:lineRule="auto"/>
              <w:rPr>
                <w:rFonts w:ascii="宋体" w:hAnsi="宋体" w:cs="宋体"/>
                <w:sz w:val="24"/>
                <w:szCs w:val="24"/>
              </w:rPr>
            </w:pPr>
            <w:r>
              <w:rPr>
                <w:rFonts w:hint="eastAsia" w:ascii="宋体" w:hAnsi="宋体" w:cs="宋体"/>
                <w:sz w:val="24"/>
                <w:szCs w:val="24"/>
              </w:rPr>
              <w:t>（6）支持传输访问检测日志，包括正常访问、风险访问、违规访问。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spacing w:line="360" w:lineRule="auto"/>
              <w:rPr>
                <w:rFonts w:ascii="宋体" w:hAnsi="宋体" w:cs="宋体"/>
                <w:sz w:val="24"/>
                <w:szCs w:val="24"/>
              </w:rPr>
            </w:pPr>
            <w:r>
              <w:rPr>
                <w:rFonts w:hint="eastAsia" w:ascii="宋体" w:hAnsi="宋体" w:cs="宋体"/>
                <w:sz w:val="24"/>
                <w:szCs w:val="24"/>
              </w:rPr>
              <w:t>3</w:t>
            </w:r>
          </w:p>
        </w:tc>
        <w:tc>
          <w:tcPr>
            <w:tcW w:w="1062" w:type="dxa"/>
          </w:tcPr>
          <w:p>
            <w:pPr>
              <w:spacing w:line="360" w:lineRule="auto"/>
              <w:rPr>
                <w:rFonts w:ascii="宋体" w:hAnsi="宋体" w:cs="宋体"/>
                <w:sz w:val="24"/>
                <w:szCs w:val="24"/>
              </w:rPr>
            </w:pPr>
            <w:r>
              <w:rPr>
                <w:rFonts w:hint="eastAsia" w:ascii="宋体" w:hAnsi="宋体" w:cs="宋体"/>
                <w:sz w:val="24"/>
                <w:szCs w:val="24"/>
              </w:rPr>
              <w:t>其他要求</w:t>
            </w:r>
          </w:p>
        </w:tc>
        <w:tc>
          <w:tcPr>
            <w:tcW w:w="6610" w:type="dxa"/>
          </w:tcPr>
          <w:p>
            <w:pPr>
              <w:spacing w:line="360" w:lineRule="auto"/>
              <w:rPr>
                <w:rFonts w:ascii="宋体" w:hAnsi="宋体" w:cs="宋体"/>
                <w:sz w:val="24"/>
                <w:szCs w:val="24"/>
              </w:rPr>
            </w:pPr>
            <w:r>
              <w:rPr>
                <w:rFonts w:hint="eastAsia" w:ascii="宋体" w:hAnsi="宋体" w:cs="宋体"/>
                <w:sz w:val="24"/>
                <w:szCs w:val="24"/>
              </w:rPr>
              <w:t>要求所投探针设备与安全感知管理平台为同一品牌。（需提供有效证明材料，并加盖厂商公章）</w:t>
            </w:r>
          </w:p>
          <w:p>
            <w:pPr>
              <w:spacing w:line="360" w:lineRule="auto"/>
              <w:rPr>
                <w:rFonts w:ascii="宋体" w:hAnsi="宋体" w:cs="宋体"/>
                <w:sz w:val="24"/>
                <w:szCs w:val="24"/>
              </w:rPr>
            </w:pPr>
            <w:r>
              <w:rPr>
                <w:rFonts w:hint="eastAsia" w:ascii="宋体" w:hAnsi="宋体" w:cs="宋体"/>
                <w:sz w:val="24"/>
                <w:szCs w:val="24"/>
              </w:rPr>
              <w:t>要求具备公安颁发的网络入侵检测系统销售许可证（需提供有效证明材料，并加盖厂商公章）</w:t>
            </w:r>
          </w:p>
        </w:tc>
      </w:tr>
    </w:tbl>
    <w:p>
      <w:pPr>
        <w:spacing w:line="360" w:lineRule="auto"/>
        <w:rPr>
          <w:rFonts w:ascii="宋体" w:hAnsi="宋体" w:cs="宋体"/>
          <w:sz w:val="24"/>
          <w:szCs w:val="24"/>
        </w:rPr>
      </w:pPr>
    </w:p>
    <w:p>
      <w:pPr>
        <w:rPr>
          <w:rFonts w:ascii="宋体" w:hAnsi="宋体" w:cs="宋体"/>
          <w:sz w:val="24"/>
          <w:szCs w:val="24"/>
        </w:rPr>
      </w:pPr>
      <w:r>
        <w:rPr>
          <w:rFonts w:hint="eastAsia" w:ascii="宋体" w:hAnsi="宋体" w:cs="宋体"/>
          <w:sz w:val="24"/>
          <w:szCs w:val="24"/>
        </w:rPr>
        <w:br w:type="page"/>
      </w:r>
    </w:p>
    <w:p>
      <w:pPr>
        <w:pStyle w:val="3"/>
        <w:jc w:val="center"/>
        <w:rPr>
          <w:sz w:val="40"/>
          <w:szCs w:val="18"/>
        </w:rPr>
      </w:pPr>
      <w:bookmarkStart w:id="505" w:name="_Toc23569"/>
      <w:bookmarkStart w:id="506" w:name="_Toc32573"/>
      <w:bookmarkStart w:id="507" w:name="_Toc13438"/>
      <w:r>
        <w:rPr>
          <w:rFonts w:hint="eastAsia"/>
          <w:sz w:val="40"/>
          <w:szCs w:val="18"/>
        </w:rPr>
        <w:t>项目实施、售后、安装要求</w:t>
      </w:r>
      <w:bookmarkEnd w:id="505"/>
      <w:bookmarkEnd w:id="506"/>
      <w:bookmarkEnd w:id="507"/>
    </w:p>
    <w:p>
      <w:pPr>
        <w:spacing w:line="360" w:lineRule="auto"/>
        <w:rPr>
          <w:rFonts w:ascii="宋体" w:hAnsi="宋体" w:cs="宋体"/>
          <w:sz w:val="24"/>
          <w:szCs w:val="24"/>
        </w:rPr>
      </w:pPr>
      <w:r>
        <w:rPr>
          <w:rFonts w:hint="eastAsia" w:ascii="宋体" w:hAnsi="宋体" w:cs="宋体"/>
          <w:sz w:val="24"/>
          <w:szCs w:val="24"/>
        </w:rPr>
        <w:t>1、总体要求：中标人提供详细的项目实施方案，要突出重点、功能模块设计全面、合理。功能实现科学、规范、可行性强。能够完全满足采购人项目建设需要。</w:t>
      </w:r>
    </w:p>
    <w:p>
      <w:pPr>
        <w:spacing w:line="360" w:lineRule="auto"/>
        <w:rPr>
          <w:rFonts w:ascii="宋体" w:hAnsi="宋体" w:cs="宋体"/>
          <w:sz w:val="24"/>
          <w:szCs w:val="24"/>
        </w:rPr>
      </w:pPr>
      <w:r>
        <w:rPr>
          <w:rFonts w:hint="eastAsia" w:ascii="宋体" w:hAnsi="宋体" w:cs="宋体"/>
          <w:sz w:val="24"/>
          <w:szCs w:val="24"/>
        </w:rPr>
        <w:t>2、人员配置要求：中标人为本项目提供充足的项目实施人员，并且具有丰富的行业经验，人员分配科学合理、岗位职责分工详细明确。能够完全满足采购人项目建设需要。</w:t>
      </w:r>
    </w:p>
    <w:p>
      <w:pPr>
        <w:spacing w:line="360" w:lineRule="auto"/>
        <w:rPr>
          <w:rFonts w:ascii="宋体" w:hAnsi="宋体" w:cs="宋体"/>
          <w:sz w:val="24"/>
          <w:szCs w:val="24"/>
        </w:rPr>
      </w:pPr>
      <w:r>
        <w:rPr>
          <w:rFonts w:hint="eastAsia" w:ascii="宋体" w:hAnsi="宋体" w:cs="宋体"/>
          <w:sz w:val="24"/>
          <w:szCs w:val="24"/>
        </w:rPr>
        <w:t>3、进度计划要求：在合同签订后三个月内完成开发、实施、测试及试运行，如达到验收标准则组织验收。中标人为本项目提供的进度计划安排内容完整、合理、可行，提供具有详细的项目里程碑。</w:t>
      </w:r>
    </w:p>
    <w:p>
      <w:pPr>
        <w:spacing w:line="360" w:lineRule="auto"/>
        <w:rPr>
          <w:rFonts w:ascii="宋体" w:hAnsi="宋体" w:cs="宋体"/>
          <w:sz w:val="24"/>
          <w:szCs w:val="24"/>
        </w:rPr>
      </w:pPr>
      <w:r>
        <w:rPr>
          <w:rFonts w:hint="eastAsia" w:ascii="宋体" w:hAnsi="宋体" w:cs="宋体"/>
          <w:sz w:val="24"/>
          <w:szCs w:val="24"/>
        </w:rPr>
        <w:t>4、软件部署及安装要求：中标人为本项目提供软件系统布署与安装、调试和己有应用系统集成及后期维护服务的内容，软件系统的布署安装的主要目标不仅是使所有软件能够在相应平台上正常运行，而且具有对软件系统运行的监控测试手段，以证明系统优化运行。提供的软件部署及安装方案能够完全满足采购人建设需要。</w:t>
      </w:r>
    </w:p>
    <w:p>
      <w:pPr>
        <w:spacing w:line="360" w:lineRule="auto"/>
        <w:rPr>
          <w:rFonts w:ascii="宋体" w:hAnsi="宋体" w:cs="宋体"/>
          <w:sz w:val="24"/>
          <w:szCs w:val="24"/>
        </w:rPr>
      </w:pPr>
      <w:r>
        <w:rPr>
          <w:rFonts w:hint="eastAsia" w:ascii="宋体" w:hAnsi="宋体" w:cs="宋体"/>
          <w:sz w:val="24"/>
          <w:szCs w:val="24"/>
        </w:rPr>
        <w:t>5、软件测试计划：软件系统安装的主要目标不仅是使所有软件能够在相应平台上正常运行，而且具有对软件系统运行的监控测试手段，以证明系统优化运行。要求中标人承诺使项目单位的系统达到以上目标。提供的软件测试计划能够完全满足采购人建设需要。</w:t>
      </w:r>
    </w:p>
    <w:p>
      <w:pPr>
        <w:spacing w:line="360" w:lineRule="auto"/>
        <w:rPr>
          <w:rFonts w:ascii="宋体" w:hAnsi="宋体" w:cs="宋体"/>
          <w:sz w:val="24"/>
          <w:szCs w:val="24"/>
        </w:rPr>
      </w:pPr>
      <w:r>
        <w:rPr>
          <w:rFonts w:hint="eastAsia" w:ascii="宋体" w:hAnsi="宋体" w:cs="宋体"/>
          <w:sz w:val="24"/>
          <w:szCs w:val="24"/>
        </w:rPr>
        <w:t>6、售后服务：中标人在项目终验后，须提供三年的维护期；在维护期内，提供系统版本免费升级及对软件进行维护和完善，费用计入投标总价；要求提供完整、详细的售后服务方案，承诺响应及时、售后措施完善，能够完全满足采购人实际需要。</w:t>
      </w:r>
    </w:p>
    <w:p>
      <w:pPr>
        <w:spacing w:line="360" w:lineRule="auto"/>
        <w:rPr>
          <w:rFonts w:ascii="宋体" w:hAnsi="宋体" w:cs="宋体"/>
          <w:sz w:val="24"/>
          <w:szCs w:val="24"/>
        </w:rPr>
      </w:pPr>
      <w:r>
        <w:rPr>
          <w:rFonts w:hint="eastAsia" w:ascii="宋体" w:hAnsi="宋体" w:cs="宋体"/>
          <w:sz w:val="24"/>
          <w:szCs w:val="24"/>
        </w:rPr>
        <w:t>7、培训计划：中标人在实施过程中提供免费、全面的培训，包括面向系统管理员和业务人员的相应的培训、基于系统平台接口规范标准的二次开发培训等。要求提供完整、详细的培训方案，培训计划安排科学、合理，能够完全满足采购人实际需要。</w:t>
      </w:r>
    </w:p>
    <w:p>
      <w:pPr>
        <w:pStyle w:val="14"/>
        <w:jc w:val="center"/>
        <w:outlineLvl w:val="0"/>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br w:type="page"/>
      </w:r>
    </w:p>
    <w:p>
      <w:pPr>
        <w:pStyle w:val="14"/>
        <w:jc w:val="center"/>
        <w:outlineLvl w:val="0"/>
        <w:rPr>
          <w:rFonts w:ascii="仿宋_GB2312" w:hAnsi="仿宋_GB2312" w:eastAsia="仿宋_GB2312" w:cs="仿宋_GB2312"/>
          <w:kern w:val="0"/>
          <w:sz w:val="44"/>
          <w:szCs w:val="44"/>
        </w:rPr>
      </w:pPr>
      <w:bookmarkStart w:id="508" w:name="_Toc27938"/>
      <w:bookmarkStart w:id="509" w:name="_Toc26718"/>
      <w:bookmarkStart w:id="510" w:name="_Toc30084"/>
      <w:r>
        <w:rPr>
          <w:rFonts w:ascii="仿宋_GB2312" w:hAnsi="仿宋_GB2312" w:eastAsia="仿宋_GB2312" w:cs="仿宋_GB2312"/>
          <w:kern w:val="0"/>
          <w:sz w:val="44"/>
          <w:szCs w:val="44"/>
        </w:rPr>
        <w:t>第五章、投标文件格式及要求</w:t>
      </w:r>
      <w:bookmarkEnd w:id="508"/>
      <w:bookmarkEnd w:id="509"/>
      <w:bookmarkEnd w:id="510"/>
    </w:p>
    <w:p>
      <w:pPr>
        <w:pStyle w:val="8"/>
        <w:overflowPunct w:val="0"/>
        <w:spacing w:line="360" w:lineRule="auto"/>
        <w:ind w:firstLine="0"/>
        <w:rPr>
          <w:rFonts w:ascii="仿宋_GB2312" w:hAnsi="仿宋_GB2312" w:eastAsia="仿宋_GB2312" w:cs="仿宋_GB2312"/>
          <w:b/>
        </w:rPr>
      </w:pPr>
      <w:r>
        <w:rPr>
          <w:rFonts w:ascii="仿宋_GB2312" w:hAnsi="仿宋_GB2312" w:eastAsia="仿宋_GB2312" w:cs="仿宋_GB2312"/>
          <w:b/>
        </w:rPr>
        <w:t>说明：</w:t>
      </w:r>
    </w:p>
    <w:p>
      <w:pPr>
        <w:pStyle w:val="8"/>
        <w:overflowPunct w:val="0"/>
        <w:spacing w:line="360" w:lineRule="auto"/>
        <w:ind w:firstLine="480"/>
        <w:rPr>
          <w:rFonts w:ascii="仿宋_GB2312" w:hAnsi="仿宋_GB2312" w:eastAsia="仿宋_GB2312" w:cs="仿宋_GB2312"/>
          <w:b/>
        </w:rPr>
      </w:pPr>
      <w:r>
        <w:rPr>
          <w:rFonts w:ascii="仿宋_GB2312" w:hAnsi="仿宋_GB2312" w:eastAsia="仿宋_GB2312" w:cs="仿宋_GB2312"/>
          <w:b/>
        </w:rPr>
        <w:t>对本章所有的投标文件格式 ，投标方可根据自身情况进行补充和修改，但补充和修改不得造成与本格式内容有实质性的违背。</w:t>
      </w:r>
    </w:p>
    <w:p>
      <w:pPr>
        <w:overflowPunct w:val="0"/>
        <w:spacing w:line="500" w:lineRule="exact"/>
        <w:jc w:val="center"/>
        <w:rPr>
          <w:rFonts w:ascii="仿宋_GB2312" w:hAnsi="仿宋_GB2312" w:eastAsia="仿宋_GB2312" w:cs="仿宋_GB2312"/>
          <w:b/>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p>
    <w:p>
      <w:pPr>
        <w:overflowPunct w:val="0"/>
        <w:spacing w:line="50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一．商务部分投标格式</w:t>
      </w:r>
    </w:p>
    <w:p>
      <w:pPr>
        <w:overflowPunct w:val="0"/>
        <w:spacing w:line="500" w:lineRule="exact"/>
        <w:rPr>
          <w:rFonts w:ascii="仿宋_GB2312" w:hAnsi="仿宋_GB2312" w:eastAsia="仿宋_GB2312" w:cs="仿宋_GB2312"/>
          <w:bCs/>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正本（副本）</w:t>
      </w:r>
    </w:p>
    <w:p>
      <w:pPr>
        <w:overflowPunct w:val="0"/>
        <w:spacing w:after="312" w:afterLines="100" w:line="500" w:lineRule="exact"/>
        <w:jc w:val="center"/>
        <w:rPr>
          <w:rFonts w:ascii="仿宋_GB2312" w:hAnsi="仿宋_GB2312" w:eastAsia="仿宋_GB2312" w:cs="仿宋_GB2312"/>
          <w:sz w:val="44"/>
          <w:szCs w:val="44"/>
        </w:rPr>
      </w:pPr>
      <w:r>
        <w:rPr>
          <w:rFonts w:ascii="仿宋_GB2312" w:hAnsi="仿宋_GB2312" w:eastAsia="仿宋_GB2312" w:cs="仿宋_GB2312"/>
          <w:sz w:val="44"/>
          <w:szCs w:val="44"/>
        </w:rPr>
        <w:t>×××××投标文件</w:t>
      </w:r>
    </w:p>
    <w:p>
      <w:pPr>
        <w:overflowPunct w:val="0"/>
        <w:spacing w:after="312" w:afterLines="100" w:line="500" w:lineRule="exact"/>
        <w:ind w:firstLine="1820" w:firstLineChars="650"/>
        <w:rPr>
          <w:rFonts w:ascii="仿宋_GB2312" w:hAnsi="仿宋_GB2312" w:eastAsia="仿宋_GB2312" w:cs="仿宋_GB2312"/>
          <w:sz w:val="28"/>
          <w:szCs w:val="28"/>
        </w:rPr>
      </w:pPr>
      <w:r>
        <w:rPr>
          <w:rFonts w:ascii="仿宋_GB2312" w:hAnsi="仿宋_GB2312" w:eastAsia="仿宋_GB2312" w:cs="仿宋_GB2312"/>
          <w:sz w:val="28"/>
          <w:szCs w:val="28"/>
        </w:rPr>
        <w:t xml:space="preserve">货物名称：    </w:t>
      </w: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rPr>
          <w:rFonts w:ascii="仿宋_GB2312" w:hAnsi="仿宋_GB2312" w:eastAsia="仿宋_GB2312" w:cs="仿宋_GB2312"/>
          <w:sz w:val="28"/>
          <w:szCs w:val="28"/>
        </w:rPr>
      </w:pPr>
      <w:r>
        <w:rPr>
          <w:rFonts w:ascii="仿宋_GB2312" w:hAnsi="仿宋_GB2312" w:eastAsia="仿宋_GB2312" w:cs="仿宋_GB2312"/>
          <w:sz w:val="28"/>
          <w:szCs w:val="28"/>
        </w:rPr>
        <w:t>投标人（盖章）：</w:t>
      </w:r>
    </w:p>
    <w:p>
      <w:pPr>
        <w:overflowPunct w:val="0"/>
        <w:spacing w:after="312" w:afterLines="100" w:line="500" w:lineRule="exact"/>
        <w:rPr>
          <w:rFonts w:ascii="仿宋_GB2312" w:hAnsi="仿宋_GB2312" w:eastAsia="仿宋_GB2312" w:cs="仿宋_GB2312"/>
          <w:sz w:val="28"/>
          <w:szCs w:val="28"/>
        </w:rPr>
      </w:pPr>
      <w:r>
        <w:rPr>
          <w:rFonts w:ascii="仿宋_GB2312" w:hAnsi="仿宋_GB2312" w:eastAsia="仿宋_GB2312" w:cs="仿宋_GB2312"/>
          <w:sz w:val="28"/>
          <w:szCs w:val="28"/>
        </w:rPr>
        <w:t>法定代表人（盖章）</w:t>
      </w:r>
    </w:p>
    <w:p>
      <w:pPr>
        <w:overflowPunct w:val="0"/>
        <w:spacing w:after="312" w:afterLines="100" w:line="500" w:lineRule="exact"/>
        <w:rPr>
          <w:rFonts w:ascii="仿宋_GB2312" w:hAnsi="仿宋_GB2312" w:eastAsia="仿宋_GB2312" w:cs="仿宋_GB2312"/>
          <w:sz w:val="28"/>
          <w:szCs w:val="28"/>
        </w:rPr>
      </w:pPr>
      <w:r>
        <w:rPr>
          <w:rFonts w:ascii="仿宋_GB2312" w:hAnsi="仿宋_GB2312" w:eastAsia="仿宋_GB2312" w:cs="仿宋_GB2312"/>
          <w:sz w:val="28"/>
          <w:szCs w:val="28"/>
        </w:rPr>
        <w:t>单位地址：</w:t>
      </w:r>
    </w:p>
    <w:p>
      <w:pPr>
        <w:overflowPunct w:val="0"/>
        <w:spacing w:after="312" w:afterLines="100" w:line="500" w:lineRule="exact"/>
        <w:rPr>
          <w:rFonts w:ascii="仿宋_GB2312" w:hAnsi="仿宋_GB2312" w:eastAsia="仿宋_GB2312" w:cs="仿宋_GB2312"/>
          <w:sz w:val="28"/>
          <w:szCs w:val="28"/>
        </w:rPr>
      </w:pPr>
      <w:r>
        <w:rPr>
          <w:rFonts w:ascii="仿宋_GB2312" w:hAnsi="仿宋_GB2312" w:eastAsia="仿宋_GB2312" w:cs="仿宋_GB2312"/>
          <w:sz w:val="28"/>
          <w:szCs w:val="28"/>
        </w:rPr>
        <w:t>联系人：</w:t>
      </w:r>
    </w:p>
    <w:p>
      <w:pPr>
        <w:overflowPunct w:val="0"/>
        <w:spacing w:after="312" w:afterLines="100" w:line="500" w:lineRule="exact"/>
        <w:rPr>
          <w:rFonts w:ascii="仿宋_GB2312" w:hAnsi="仿宋_GB2312" w:eastAsia="仿宋_GB2312" w:cs="仿宋_GB2312"/>
          <w:sz w:val="28"/>
          <w:szCs w:val="28"/>
        </w:rPr>
      </w:pPr>
      <w:r>
        <w:rPr>
          <w:rFonts w:ascii="仿宋_GB2312" w:hAnsi="仿宋_GB2312" w:eastAsia="仿宋_GB2312" w:cs="仿宋_GB2312"/>
          <w:sz w:val="28"/>
          <w:szCs w:val="28"/>
        </w:rPr>
        <w:t>联系电话：</w:t>
      </w: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jc w:val="center"/>
        <w:rPr>
          <w:rFonts w:ascii="仿宋_GB2312" w:hAnsi="仿宋_GB2312" w:eastAsia="仿宋_GB2312" w:cs="仿宋_GB2312"/>
          <w:sz w:val="28"/>
          <w:szCs w:val="28"/>
        </w:rPr>
      </w:pPr>
    </w:p>
    <w:p>
      <w:pPr>
        <w:overflowPunct w:val="0"/>
        <w:spacing w:after="312" w:afterLines="100" w:line="500" w:lineRule="exact"/>
        <w:outlineLvl w:val="0"/>
        <w:rPr>
          <w:rFonts w:ascii="仿宋_GB2312" w:hAnsi="仿宋_GB2312" w:eastAsia="仿宋_GB2312" w:cs="仿宋_GB2312"/>
          <w:b/>
          <w:bCs/>
          <w:sz w:val="24"/>
          <w:szCs w:val="24"/>
        </w:rPr>
      </w:pPr>
      <w:bookmarkStart w:id="511" w:name="_Toc17032"/>
      <w:bookmarkStart w:id="512" w:name="_Toc32316"/>
      <w:bookmarkStart w:id="513" w:name="_Toc20502"/>
      <w:bookmarkStart w:id="514" w:name="_Toc20673"/>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eastAsia="zh-CN"/>
        </w:rPr>
        <w:t>一</w:t>
      </w:r>
      <w:r>
        <w:rPr>
          <w:rFonts w:ascii="仿宋_GB2312" w:hAnsi="仿宋_GB2312" w:eastAsia="仿宋_GB2312" w:cs="仿宋_GB2312"/>
          <w:b/>
          <w:bCs/>
          <w:sz w:val="24"/>
          <w:szCs w:val="24"/>
        </w:rPr>
        <w:t>:</w:t>
      </w:r>
      <w:bookmarkEnd w:id="511"/>
      <w:bookmarkEnd w:id="512"/>
      <w:bookmarkEnd w:id="513"/>
      <w:bookmarkEnd w:id="514"/>
    </w:p>
    <w:p>
      <w:pPr>
        <w:overflowPunct w:val="0"/>
        <w:spacing w:after="312" w:afterLines="100" w:line="5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投标函</w:t>
      </w:r>
    </w:p>
    <w:p>
      <w:pPr>
        <w:overflowPunct w:val="0"/>
        <w:spacing w:after="312" w:afterLines="100" w:line="500" w:lineRule="exact"/>
        <w:jc w:val="left"/>
        <w:rPr>
          <w:rFonts w:ascii="仿宋_GB2312" w:hAnsi="仿宋_GB2312" w:eastAsia="仿宋_GB2312" w:cs="仿宋_GB2312"/>
          <w:sz w:val="24"/>
          <w:szCs w:val="24"/>
          <w:u w:val="single"/>
        </w:rPr>
      </w:pPr>
      <w:r>
        <w:rPr>
          <w:rFonts w:ascii="仿宋_GB2312" w:hAnsi="仿宋_GB2312" w:eastAsia="仿宋_GB2312" w:cs="仿宋_GB2312"/>
          <w:sz w:val="24"/>
          <w:szCs w:val="24"/>
        </w:rPr>
        <w:t>采购人：</w:t>
      </w:r>
      <w:r>
        <w:rPr>
          <w:rFonts w:ascii="仿宋_GB2312" w:hAnsi="仿宋_GB2312" w:eastAsia="仿宋_GB2312" w:cs="仿宋_GB2312"/>
          <w:sz w:val="24"/>
          <w:szCs w:val="24"/>
          <w:u w:val="single"/>
        </w:rPr>
        <w:t xml:space="preserve">                           </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我们收到你们的</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（项目名称）招标文件（编号</w:t>
      </w:r>
      <w:r>
        <w:rPr>
          <w:rFonts w:hint="eastAsia" w:ascii="仿宋_GB2312" w:hAnsi="仿宋_GB2312" w:eastAsia="仿宋_GB2312" w:cs="仿宋_GB2312"/>
          <w:sz w:val="24"/>
          <w:szCs w:val="24"/>
          <w:u w:val="single"/>
          <w:lang w:val="en-US" w:eastAsia="zh-CN"/>
        </w:rPr>
        <w:t xml:space="preserve">               </w:t>
      </w:r>
      <w:r>
        <w:rPr>
          <w:rFonts w:ascii="仿宋_GB2312" w:hAnsi="仿宋_GB2312" w:eastAsia="仿宋_GB2312" w:cs="仿宋_GB2312"/>
          <w:sz w:val="24"/>
          <w:szCs w:val="24"/>
        </w:rPr>
        <w:t>），经认真研究，我们决定参加</w:t>
      </w:r>
      <w:r>
        <w:rPr>
          <w:rFonts w:ascii="仿宋_GB2312" w:hAnsi="仿宋_GB2312" w:eastAsia="仿宋_GB2312" w:cs="仿宋_GB2312"/>
          <w:sz w:val="24"/>
          <w:szCs w:val="24"/>
          <w:u w:val="single"/>
        </w:rPr>
        <w:t xml:space="preserve">       项目</w:t>
      </w:r>
      <w:r>
        <w:rPr>
          <w:rFonts w:ascii="仿宋_GB2312" w:hAnsi="仿宋_GB2312" w:eastAsia="仿宋_GB2312" w:cs="仿宋_GB2312"/>
          <w:sz w:val="24"/>
          <w:szCs w:val="24"/>
        </w:rPr>
        <w:t xml:space="preserve"> 设备采购投标。</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1、按照招标文件中的一切要求，提供招标材料，投标总价：</w:t>
      </w:r>
      <w:r>
        <w:rPr>
          <w:rFonts w:ascii="仿宋_GB2312" w:hAnsi="仿宋_GB2312" w:eastAsia="仿宋_GB2312" w:cs="仿宋_GB2312"/>
          <w:sz w:val="24"/>
          <w:szCs w:val="24"/>
          <w:u w:val="single"/>
        </w:rPr>
        <w:t xml:space="preserve"> （大小写都要写清） </w:t>
      </w:r>
      <w:r>
        <w:rPr>
          <w:rFonts w:ascii="仿宋_GB2312" w:hAnsi="仿宋_GB2312" w:eastAsia="仿宋_GB2312" w:cs="仿宋_GB2312"/>
          <w:sz w:val="24"/>
          <w:szCs w:val="24"/>
        </w:rPr>
        <w:t>明细见“投标设备报价明细表”。投标</w:t>
      </w:r>
      <w:r>
        <w:rPr>
          <w:rFonts w:hint="eastAsia" w:ascii="仿宋_GB2312" w:hAnsi="仿宋_GB2312" w:eastAsia="仿宋_GB2312" w:cs="仿宋_GB2312"/>
          <w:sz w:val="24"/>
          <w:szCs w:val="24"/>
          <w:lang w:eastAsia="zh-CN"/>
        </w:rPr>
        <w:t>服务内容</w:t>
      </w:r>
      <w:r>
        <w:rPr>
          <w:rFonts w:ascii="仿宋_GB2312" w:hAnsi="仿宋_GB2312" w:eastAsia="仿宋_GB2312" w:cs="仿宋_GB2312"/>
          <w:sz w:val="24"/>
          <w:szCs w:val="24"/>
          <w:u w:val="single"/>
        </w:rPr>
        <w:t xml:space="preserve">  一批（详见明细报价单） </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服务</w:t>
      </w:r>
      <w:r>
        <w:rPr>
          <w:rFonts w:ascii="仿宋_GB2312" w:hAnsi="仿宋_GB2312" w:eastAsia="仿宋_GB2312" w:cs="仿宋_GB2312"/>
          <w:sz w:val="24"/>
          <w:szCs w:val="24"/>
        </w:rPr>
        <w:t>期为（必须填写）</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xml:space="preserve"> 。质量目标为：</w:t>
      </w:r>
      <w:r>
        <w:rPr>
          <w:rFonts w:ascii="仿宋_GB2312" w:hAnsi="仿宋_GB2312" w:eastAsia="仿宋_GB2312" w:cs="仿宋_GB2312"/>
          <w:sz w:val="24"/>
          <w:szCs w:val="24"/>
          <w:u w:val="single"/>
        </w:rPr>
        <w:t xml:space="preserve">合格  </w:t>
      </w:r>
      <w:r>
        <w:rPr>
          <w:rFonts w:ascii="仿宋_GB2312" w:hAnsi="仿宋_GB2312" w:eastAsia="仿宋_GB2312" w:cs="仿宋_GB2312"/>
          <w:sz w:val="24"/>
          <w:szCs w:val="24"/>
        </w:rPr>
        <w:t>。</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2、如果我们的投标文件被接受，我们将履行招标文件中规定的每一项义务和要求，按期、按质、按量完成交货。</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3、我们同意按招标文件的规定，本投标文件的有效期为开标后</w:t>
      </w:r>
      <w:r>
        <w:rPr>
          <w:rFonts w:hint="eastAsia" w:ascii="仿宋_GB2312" w:hAnsi="仿宋_GB2312" w:eastAsia="仿宋_GB2312" w:cs="仿宋_GB2312"/>
          <w:sz w:val="24"/>
          <w:szCs w:val="24"/>
          <w:lang w:val="en-US" w:eastAsia="zh-CN"/>
        </w:rPr>
        <w:t>60</w:t>
      </w:r>
      <w:r>
        <w:rPr>
          <w:rFonts w:ascii="仿宋_GB2312" w:hAnsi="仿宋_GB2312" w:eastAsia="仿宋_GB2312" w:cs="仿宋_GB2312"/>
          <w:sz w:val="24"/>
          <w:szCs w:val="24"/>
        </w:rPr>
        <w:t>天。</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4、我们愿意提供采购人在招标文件中要求的所有资料。</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5、我们认为你们有选择或拒绝任何投标者中标的权力。</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sz w:val="24"/>
        </w:rPr>
      </w:pPr>
      <w:r>
        <w:rPr>
          <w:rFonts w:ascii="仿宋_GB2312" w:hAnsi="仿宋_GB2312" w:eastAsia="仿宋_GB2312" w:cs="仿宋_GB2312"/>
          <w:sz w:val="24"/>
          <w:szCs w:val="24"/>
        </w:rPr>
        <w:t>6、</w:t>
      </w:r>
      <w:r>
        <w:rPr>
          <w:rFonts w:hint="eastAsia" w:ascii="仿宋" w:hAnsi="仿宋" w:eastAsia="仿宋" w:cs="仿宋"/>
          <w:sz w:val="24"/>
        </w:rPr>
        <w:t>我方已详细审查全部招标文件，包括修改文件（如有的话）以及全部参考资料和有关附件。我们完全理解并同意放弃对这方面有不明及误解的权利；</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仿宋_GB2312" w:hAnsi="仿宋_GB2312" w:eastAsia="仿宋_GB2312" w:cs="仿宋_GB2312"/>
          <w:sz w:val="24"/>
          <w:szCs w:val="24"/>
        </w:rPr>
      </w:pPr>
      <w:r>
        <w:rPr>
          <w:rFonts w:ascii="仿宋_GB2312" w:hAnsi="仿宋_GB2312" w:eastAsia="仿宋_GB2312" w:cs="仿宋_GB2312"/>
          <w:sz w:val="24"/>
          <w:szCs w:val="24"/>
        </w:rPr>
        <w:t>7、</w:t>
      </w:r>
      <w:r>
        <w:rPr>
          <w:rFonts w:hint="eastAsia" w:ascii="仿宋" w:hAnsi="仿宋" w:eastAsia="仿宋" w:cs="仿宋"/>
          <w:sz w:val="24"/>
        </w:rPr>
        <w:t>我方同意提供按照贵单位要求的与其投标有关的一切数据或资料，并愿承担因材料不实而致的一切后果；完全理解贵单位不一定接受最低价的投标或收到的任何投标；</w:t>
      </w:r>
    </w:p>
    <w:p>
      <w:pPr>
        <w:overflowPunct w:val="0"/>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、我们愿按合同履行自己的全部责任。</w:t>
      </w:r>
    </w:p>
    <w:p>
      <w:pPr>
        <w:overflowPunct w:val="0"/>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、我们愿意遵守国家有关规定和招标文件中规定的收费标准，承付中标服务费。</w:t>
      </w:r>
    </w:p>
    <w:p>
      <w:pPr>
        <w:overflowPunct w:val="0"/>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、该项投标在开标后的全过程中保持有效，不作任何更改和变动。</w:t>
      </w:r>
    </w:p>
    <w:p>
      <w:pPr>
        <w:overflowPunct w:val="0"/>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ascii="仿宋_GB2312" w:hAnsi="仿宋_GB2312" w:eastAsia="仿宋_GB2312" w:cs="仿宋_GB2312"/>
          <w:sz w:val="24"/>
          <w:szCs w:val="24"/>
        </w:rPr>
        <w:t>、我们同意按招标文件规定，交纳</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元的投标保证金。</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              投标人：（盖章）</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 法定代表人或授权委托人：（</w:t>
      </w:r>
      <w:r>
        <w:rPr>
          <w:rFonts w:hint="eastAsia" w:ascii="仿宋_GB2312" w:hAnsi="仿宋_GB2312" w:eastAsia="仿宋_GB2312" w:cs="仿宋_GB2312"/>
          <w:sz w:val="24"/>
          <w:szCs w:val="24"/>
          <w:lang w:eastAsia="zh-CN"/>
        </w:rPr>
        <w:t>签字或盖章</w:t>
      </w:r>
      <w:r>
        <w:rPr>
          <w:rFonts w:ascii="仿宋_GB2312" w:hAnsi="仿宋_GB2312" w:eastAsia="仿宋_GB2312" w:cs="仿宋_GB2312"/>
          <w:sz w:val="24"/>
          <w:szCs w:val="24"/>
        </w:rPr>
        <w:t xml:space="preserve">）         </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p>
    <w:p>
      <w:pPr>
        <w:overflowPunct w:val="0"/>
        <w:spacing w:line="500" w:lineRule="exact"/>
        <w:ind w:right="480"/>
        <w:jc w:val="right"/>
        <w:rPr>
          <w:rFonts w:ascii="仿宋_GB2312" w:hAnsi="仿宋_GB2312" w:eastAsia="仿宋_GB2312" w:cs="仿宋_GB2312"/>
          <w:bCs/>
          <w:sz w:val="24"/>
          <w:szCs w:val="24"/>
        </w:rPr>
      </w:pPr>
      <w:r>
        <w:rPr>
          <w:rFonts w:ascii="仿宋_GB2312" w:hAnsi="仿宋_GB2312" w:eastAsia="仿宋_GB2312" w:cs="仿宋_GB2312"/>
          <w:sz w:val="24"/>
          <w:szCs w:val="24"/>
        </w:rPr>
        <w:t>年  月  日</w:t>
      </w:r>
    </w:p>
    <w:p>
      <w:pPr>
        <w:overflowPunct w:val="0"/>
        <w:spacing w:line="500" w:lineRule="exact"/>
        <w:ind w:left="424" w:leftChars="202"/>
        <w:jc w:val="center"/>
        <w:rPr>
          <w:rFonts w:ascii="仿宋_GB2312" w:hAnsi="仿宋_GB2312" w:eastAsia="仿宋_GB2312" w:cs="仿宋_GB2312"/>
          <w:b/>
          <w:bCs/>
          <w:sz w:val="24"/>
          <w:szCs w:val="24"/>
        </w:rPr>
      </w:pPr>
    </w:p>
    <w:p>
      <w:pPr>
        <w:overflowPunct w:val="0"/>
        <w:spacing w:line="500" w:lineRule="exact"/>
        <w:ind w:left="424" w:leftChars="202"/>
        <w:jc w:val="both"/>
        <w:rPr>
          <w:rFonts w:ascii="仿宋_GB2312" w:hAnsi="仿宋_GB2312" w:eastAsia="仿宋_GB2312" w:cs="仿宋_GB2312"/>
          <w:bCs/>
          <w:sz w:val="24"/>
          <w:szCs w:val="24"/>
        </w:rPr>
      </w:pPr>
      <w:r>
        <w:rPr>
          <w:rFonts w:ascii="仿宋_GB2312" w:hAnsi="仿宋_GB2312" w:eastAsia="仿宋_GB2312" w:cs="仿宋_GB2312"/>
          <w:b/>
          <w:bCs/>
          <w:sz w:val="24"/>
          <w:szCs w:val="24"/>
        </w:rPr>
        <w:t>附件</w:t>
      </w: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lang w:val="en-US" w:eastAsia="zh-CN"/>
        </w:rPr>
        <w:t xml:space="preserve">                    </w:t>
      </w:r>
      <w:r>
        <w:rPr>
          <w:rFonts w:ascii="仿宋_GB2312" w:hAnsi="仿宋_GB2312" w:eastAsia="仿宋_GB2312" w:cs="仿宋_GB2312"/>
          <w:bCs/>
          <w:sz w:val="24"/>
          <w:szCs w:val="24"/>
        </w:rPr>
        <w:t>投标承诺书（二）</w:t>
      </w:r>
    </w:p>
    <w:p>
      <w:pPr>
        <w:overflowPunct w:val="0"/>
        <w:spacing w:line="500" w:lineRule="exact"/>
        <w:ind w:left="424" w:leftChars="202"/>
        <w:jc w:val="center"/>
        <w:rPr>
          <w:rFonts w:hint="eastAsia" w:ascii="仿宋_GB2312" w:hAnsi="仿宋_GB2312" w:eastAsia="仿宋_GB2312" w:cs="仿宋_GB2312"/>
          <w:b/>
          <w:sz w:val="24"/>
          <w:szCs w:val="24"/>
          <w:lang w:eastAsia="zh-CN"/>
        </w:rPr>
      </w:pPr>
      <w:r>
        <w:rPr>
          <w:rFonts w:ascii="仿宋_GB2312" w:hAnsi="仿宋_GB2312" w:eastAsia="仿宋_GB2312" w:cs="仿宋_GB2312"/>
          <w:b/>
          <w:sz w:val="24"/>
          <w:szCs w:val="24"/>
        </w:rPr>
        <w:t>投标函</w:t>
      </w:r>
      <w:r>
        <w:rPr>
          <w:rFonts w:hint="eastAsia" w:ascii="仿宋_GB2312" w:hAnsi="仿宋_GB2312" w:eastAsia="仿宋_GB2312" w:cs="仿宋_GB2312"/>
          <w:b/>
          <w:sz w:val="24"/>
          <w:szCs w:val="24"/>
          <w:lang w:eastAsia="zh-CN"/>
        </w:rPr>
        <w:t>附录</w:t>
      </w:r>
    </w:p>
    <w:p>
      <w:pPr>
        <w:overflowPunct w:val="0"/>
        <w:spacing w:line="500" w:lineRule="exact"/>
        <w:ind w:left="424" w:leftChars="202"/>
        <w:jc w:val="center"/>
        <w:rPr>
          <w:rFonts w:ascii="仿宋_GB2312" w:hAnsi="仿宋_GB2312" w:eastAsia="仿宋_GB2312" w:cs="仿宋_GB2312"/>
          <w:b/>
          <w:sz w:val="24"/>
          <w:szCs w:val="24"/>
        </w:rPr>
      </w:pPr>
    </w:p>
    <w:p>
      <w:pPr>
        <w:overflowPunct w:val="0"/>
        <w:spacing w:line="500" w:lineRule="exact"/>
        <w:ind w:left="424" w:leftChars="202"/>
        <w:rPr>
          <w:rFonts w:ascii="仿宋_GB2312" w:hAnsi="仿宋_GB2312" w:eastAsia="仿宋_GB2312" w:cs="仿宋_GB2312"/>
          <w:sz w:val="24"/>
          <w:szCs w:val="24"/>
          <w:u w:val="single"/>
        </w:rPr>
      </w:pPr>
      <w:r>
        <w:rPr>
          <w:rFonts w:ascii="仿宋_GB2312" w:hAnsi="仿宋_GB2312" w:eastAsia="仿宋_GB2312" w:cs="仿宋_GB2312"/>
          <w:sz w:val="24"/>
          <w:szCs w:val="24"/>
        </w:rPr>
        <w:t>采购人：</w:t>
      </w:r>
      <w:r>
        <w:rPr>
          <w:rFonts w:ascii="仿宋_GB2312" w:hAnsi="仿宋_GB2312" w:eastAsia="仿宋_GB2312" w:cs="仿宋_GB2312"/>
          <w:sz w:val="24"/>
          <w:szCs w:val="24"/>
          <w:u w:val="single"/>
        </w:rPr>
        <w:t xml:space="preserve">                 </w:t>
      </w:r>
    </w:p>
    <w:p>
      <w:pPr>
        <w:overflowPunct w:val="0"/>
        <w:spacing w:line="500" w:lineRule="exact"/>
        <w:ind w:left="424" w:leftChars="202"/>
        <w:rPr>
          <w:rFonts w:ascii="仿宋_GB2312" w:hAnsi="仿宋_GB2312" w:eastAsia="仿宋_GB2312" w:cs="仿宋_GB2312"/>
          <w:sz w:val="24"/>
          <w:szCs w:val="24"/>
          <w:u w:val="single"/>
        </w:rPr>
      </w:pPr>
    </w:p>
    <w:p>
      <w:pPr>
        <w:overflowPunct w:val="0"/>
        <w:spacing w:line="500" w:lineRule="exact"/>
        <w:ind w:left="424" w:leftChars="202"/>
        <w:rPr>
          <w:rFonts w:ascii="仿宋_GB2312" w:hAnsi="仿宋_GB2312" w:eastAsia="仿宋_GB2312" w:cs="仿宋_GB2312"/>
          <w:sz w:val="24"/>
          <w:szCs w:val="24"/>
        </w:rPr>
      </w:pPr>
      <w:r>
        <w:rPr>
          <w:rFonts w:ascii="仿宋_GB2312" w:hAnsi="仿宋_GB2312" w:eastAsia="仿宋_GB2312" w:cs="仿宋_GB2312"/>
          <w:sz w:val="24"/>
          <w:szCs w:val="24"/>
        </w:rPr>
        <w:t>若我公司中标后，设备售后服务技术负责人为：</w:t>
      </w:r>
    </w:p>
    <w:p>
      <w:pPr>
        <w:overflowPunct w:val="0"/>
        <w:spacing w:line="500" w:lineRule="exact"/>
        <w:ind w:left="424" w:leftChars="202"/>
        <w:rPr>
          <w:rFonts w:ascii="仿宋_GB2312" w:hAnsi="仿宋_GB2312" w:eastAsia="仿宋_GB2312" w:cs="仿宋_GB2312"/>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234"/>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2233" w:type="dxa"/>
            <w:noWrap w:val="0"/>
            <w:vAlign w:val="top"/>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姓名</w:t>
            </w:r>
          </w:p>
        </w:tc>
        <w:tc>
          <w:tcPr>
            <w:tcW w:w="2234" w:type="dxa"/>
            <w:noWrap w:val="0"/>
            <w:vAlign w:val="top"/>
          </w:tcPr>
          <w:p>
            <w:pPr>
              <w:overflowPunct w:val="0"/>
              <w:spacing w:line="500" w:lineRule="exact"/>
              <w:rPr>
                <w:rFonts w:ascii="仿宋_GB2312" w:hAnsi="仿宋_GB2312" w:eastAsia="仿宋_GB2312" w:cs="仿宋_GB2312"/>
                <w:sz w:val="24"/>
                <w:szCs w:val="24"/>
              </w:rPr>
            </w:pPr>
          </w:p>
        </w:tc>
        <w:tc>
          <w:tcPr>
            <w:tcW w:w="2234" w:type="dxa"/>
            <w:noWrap w:val="0"/>
            <w:vAlign w:val="top"/>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职称</w:t>
            </w:r>
          </w:p>
        </w:tc>
        <w:tc>
          <w:tcPr>
            <w:tcW w:w="2234" w:type="dxa"/>
            <w:noWrap w:val="0"/>
            <w:vAlign w:val="top"/>
          </w:tcPr>
          <w:p>
            <w:pPr>
              <w:overflowPunct w:val="0"/>
              <w:spacing w:line="5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233" w:type="dxa"/>
            <w:noWrap w:val="0"/>
            <w:vAlign w:val="top"/>
          </w:tcPr>
          <w:p>
            <w:pPr>
              <w:overflowPunct w:val="0"/>
              <w:spacing w:line="500" w:lineRule="exact"/>
              <w:rPr>
                <w:rFonts w:ascii="仿宋_GB2312" w:hAnsi="仿宋_GB2312" w:eastAsia="仿宋_GB2312" w:cs="仿宋_GB2312"/>
                <w:sz w:val="24"/>
                <w:szCs w:val="24"/>
              </w:rPr>
            </w:pPr>
          </w:p>
        </w:tc>
        <w:tc>
          <w:tcPr>
            <w:tcW w:w="2234" w:type="dxa"/>
            <w:noWrap w:val="0"/>
            <w:vAlign w:val="top"/>
          </w:tcPr>
          <w:p>
            <w:pPr>
              <w:overflowPunct w:val="0"/>
              <w:spacing w:line="500" w:lineRule="exact"/>
              <w:rPr>
                <w:rFonts w:ascii="仿宋_GB2312" w:hAnsi="仿宋_GB2312" w:eastAsia="仿宋_GB2312" w:cs="仿宋_GB2312"/>
                <w:sz w:val="24"/>
                <w:szCs w:val="24"/>
              </w:rPr>
            </w:pPr>
          </w:p>
        </w:tc>
        <w:tc>
          <w:tcPr>
            <w:tcW w:w="2234" w:type="dxa"/>
            <w:noWrap w:val="0"/>
            <w:vAlign w:val="top"/>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证书编号</w:t>
            </w:r>
          </w:p>
        </w:tc>
        <w:tc>
          <w:tcPr>
            <w:tcW w:w="2234" w:type="dxa"/>
            <w:noWrap w:val="0"/>
            <w:vAlign w:val="top"/>
          </w:tcPr>
          <w:p>
            <w:pPr>
              <w:overflowPunct w:val="0"/>
              <w:spacing w:line="5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2233" w:type="dxa"/>
            <w:noWrap w:val="0"/>
            <w:vAlign w:val="top"/>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身份证号码</w:t>
            </w:r>
          </w:p>
        </w:tc>
        <w:tc>
          <w:tcPr>
            <w:tcW w:w="6702" w:type="dxa"/>
            <w:gridSpan w:val="3"/>
            <w:noWrap w:val="0"/>
            <w:vAlign w:val="top"/>
          </w:tcPr>
          <w:p>
            <w:pPr>
              <w:overflowPunct w:val="0"/>
              <w:spacing w:line="500" w:lineRule="exact"/>
              <w:rPr>
                <w:rFonts w:ascii="仿宋_GB2312" w:hAnsi="仿宋_GB2312" w:eastAsia="仿宋_GB2312" w:cs="仿宋_GB2312"/>
                <w:sz w:val="24"/>
                <w:szCs w:val="24"/>
              </w:rPr>
            </w:pPr>
          </w:p>
        </w:tc>
      </w:tr>
    </w:tbl>
    <w:p>
      <w:pPr>
        <w:overflowPunct w:val="0"/>
        <w:spacing w:line="500" w:lineRule="exact"/>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u w:val="single"/>
        </w:rPr>
      </w:pPr>
      <w:r>
        <w:rPr>
          <w:rFonts w:ascii="仿宋_GB2312" w:hAnsi="仿宋_GB2312" w:eastAsia="仿宋_GB2312" w:cs="仿宋_GB2312"/>
          <w:sz w:val="24"/>
          <w:szCs w:val="24"/>
        </w:rPr>
        <w:t>中标后，若由于特殊原因须更换技术负责人时，我方将以资质、业绩以及信誉不低于此技术负责人替换，并报采购人审查。经审查通过后，方可更换。若未经采购人批准，我方擅自更换技术负责人，我方愿以合同价的</w:t>
      </w:r>
      <w:r>
        <w:rPr>
          <w:rFonts w:ascii="仿宋_GB2312" w:hAnsi="仿宋_GB2312" w:eastAsia="仿宋_GB2312" w:cs="仿宋_GB2312"/>
          <w:sz w:val="24"/>
          <w:szCs w:val="24"/>
          <w:u w:val="single"/>
        </w:rPr>
        <w:t xml:space="preserve"> 3% </w:t>
      </w:r>
      <w:r>
        <w:rPr>
          <w:rFonts w:ascii="仿宋_GB2312" w:hAnsi="仿宋_GB2312" w:eastAsia="仿宋_GB2312" w:cs="仿宋_GB2312"/>
          <w:sz w:val="24"/>
          <w:szCs w:val="24"/>
        </w:rPr>
        <w:t>作为赔偿金。</w:t>
      </w:r>
    </w:p>
    <w:p>
      <w:pPr>
        <w:overflowPunct w:val="0"/>
        <w:spacing w:line="500" w:lineRule="exact"/>
        <w:rPr>
          <w:rFonts w:ascii="仿宋_GB2312" w:hAnsi="仿宋_GB2312" w:eastAsia="仿宋_GB2312" w:cs="仿宋_GB2312"/>
          <w:sz w:val="24"/>
          <w:szCs w:val="24"/>
        </w:rPr>
      </w:pPr>
    </w:p>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投标人：（盖章）</w:t>
      </w:r>
    </w:p>
    <w:p>
      <w:pPr>
        <w:overflowPunct w:val="0"/>
        <w:spacing w:line="500" w:lineRule="exact"/>
        <w:rPr>
          <w:rFonts w:ascii="仿宋_GB2312" w:hAnsi="仿宋_GB2312" w:eastAsia="仿宋_GB2312" w:cs="仿宋_GB2312"/>
          <w:sz w:val="24"/>
          <w:szCs w:val="24"/>
        </w:rPr>
      </w:pPr>
    </w:p>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法定代表人</w:t>
      </w:r>
    </w:p>
    <w:p>
      <w:pPr>
        <w:overflowPunct w:val="0"/>
        <w:spacing w:line="280" w:lineRule="exact"/>
        <w:rPr>
          <w:rFonts w:ascii="仿宋_GB2312" w:hAnsi="仿宋_GB2312" w:eastAsia="仿宋_GB2312" w:cs="仿宋_GB2312"/>
          <w:sz w:val="24"/>
          <w:szCs w:val="24"/>
        </w:rPr>
        <w:sectPr>
          <w:headerReference r:id="rId6" w:type="first"/>
          <w:headerReference r:id="rId5" w:type="even"/>
          <w:footerReference r:id="rId7" w:type="even"/>
          <w:pgSz w:w="11906" w:h="16838"/>
          <w:pgMar w:top="1440" w:right="1287" w:bottom="1440" w:left="1440" w:header="851" w:footer="992" w:gutter="0"/>
          <w:pgNumType w:fmt="decimal"/>
          <w:cols w:space="720" w:num="1"/>
          <w:docGrid w:type="lines" w:linePitch="312" w:charSpace="0"/>
        </w:sectPr>
      </w:pPr>
      <w:r>
        <w:rPr>
          <w:rFonts w:ascii="仿宋_GB2312" w:hAnsi="仿宋_GB2312" w:eastAsia="仿宋_GB2312" w:cs="仿宋_GB2312"/>
          <w:sz w:val="24"/>
          <w:szCs w:val="24"/>
        </w:rPr>
        <w:t>或授权代理人：（盖章）</w:t>
      </w:r>
    </w:p>
    <w:p>
      <w:pPr>
        <w:overflowPunct w:val="0"/>
        <w:spacing w:line="500" w:lineRule="exact"/>
        <w:rPr>
          <w:rFonts w:ascii="仿宋_GB2312" w:hAnsi="仿宋_GB2312" w:eastAsia="仿宋_GB2312" w:cs="仿宋_GB2312"/>
          <w:b/>
          <w:bCs/>
          <w:sz w:val="24"/>
          <w:szCs w:val="24"/>
        </w:rPr>
      </w:pPr>
      <w:r>
        <w:rPr>
          <w:rFonts w:ascii="仿宋_GB2312" w:hAnsi="仿宋_GB2312" w:eastAsia="仿宋_GB2312" w:cs="仿宋_GB2312"/>
          <w:b/>
          <w:bCs/>
          <w:sz w:val="24"/>
          <w:szCs w:val="24"/>
        </w:rPr>
        <w:t>附件三:</w:t>
      </w:r>
    </w:p>
    <w:p>
      <w:pPr>
        <w:overflowPunct w:val="0"/>
        <w:spacing w:line="500" w:lineRule="exact"/>
        <w:jc w:val="center"/>
        <w:rPr>
          <w:rFonts w:ascii="仿宋_GB2312" w:hAnsi="仿宋_GB2312" w:eastAsia="仿宋_GB2312" w:cs="仿宋_GB2312"/>
          <w:b/>
          <w:sz w:val="24"/>
          <w:szCs w:val="24"/>
        </w:rPr>
      </w:pPr>
      <w:r>
        <w:rPr>
          <w:rFonts w:ascii="仿宋_GB2312" w:hAnsi="仿宋_GB2312" w:eastAsia="仿宋_GB2312" w:cs="仿宋_GB2312"/>
          <w:b/>
          <w:sz w:val="24"/>
          <w:szCs w:val="24"/>
        </w:rPr>
        <w:t>法定代表人授权委托书</w:t>
      </w:r>
    </w:p>
    <w:p>
      <w:pPr>
        <w:overflowPunct w:val="0"/>
        <w:spacing w:line="500" w:lineRule="exact"/>
        <w:ind w:firstLine="480" w:firstLineChars="200"/>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本授权委托书声明：我</w:t>
      </w:r>
      <w:r>
        <w:rPr>
          <w:rFonts w:ascii="仿宋_GB2312" w:hAnsi="仿宋_GB2312" w:eastAsia="仿宋_GB2312" w:cs="仿宋_GB2312"/>
          <w:sz w:val="24"/>
          <w:szCs w:val="24"/>
          <w:u w:val="single"/>
        </w:rPr>
        <w:t xml:space="preserve">        （姓名）</w:t>
      </w:r>
      <w:r>
        <w:rPr>
          <w:rFonts w:ascii="仿宋_GB2312" w:hAnsi="仿宋_GB2312" w:eastAsia="仿宋_GB2312" w:cs="仿宋_GB2312"/>
          <w:sz w:val="24"/>
          <w:szCs w:val="24"/>
        </w:rPr>
        <w:t>系</w:t>
      </w:r>
      <w:r>
        <w:rPr>
          <w:rFonts w:ascii="仿宋_GB2312" w:hAnsi="仿宋_GB2312" w:eastAsia="仿宋_GB2312" w:cs="仿宋_GB2312"/>
          <w:sz w:val="24"/>
          <w:szCs w:val="24"/>
          <w:u w:val="single"/>
        </w:rPr>
        <w:t xml:space="preserve">             （投标人名称）</w:t>
      </w:r>
      <w:r>
        <w:rPr>
          <w:rFonts w:ascii="仿宋_GB2312" w:hAnsi="仿宋_GB2312" w:eastAsia="仿宋_GB2312" w:cs="仿宋_GB2312"/>
          <w:sz w:val="24"/>
          <w:szCs w:val="24"/>
        </w:rPr>
        <w:t>的法定代表人，现授权委托</w:t>
      </w:r>
      <w:r>
        <w:rPr>
          <w:rFonts w:ascii="仿宋_GB2312" w:hAnsi="仿宋_GB2312" w:eastAsia="仿宋_GB2312" w:cs="仿宋_GB2312"/>
          <w:sz w:val="24"/>
          <w:szCs w:val="24"/>
          <w:u w:val="single"/>
        </w:rPr>
        <w:t xml:space="preserve">                  （投标人名称）的</w:t>
      </w:r>
      <w:r>
        <w:rPr>
          <w:rFonts w:ascii="仿宋_GB2312" w:hAnsi="仿宋_GB2312" w:eastAsia="仿宋_GB2312" w:cs="仿宋_GB2312"/>
          <w:sz w:val="24"/>
          <w:szCs w:val="24"/>
        </w:rPr>
        <w:t xml:space="preserve">           </w:t>
      </w:r>
      <w:r>
        <w:rPr>
          <w:rFonts w:ascii="仿宋_GB2312" w:hAnsi="仿宋_GB2312" w:eastAsia="仿宋_GB2312" w:cs="仿宋_GB2312"/>
          <w:sz w:val="24"/>
          <w:szCs w:val="24"/>
          <w:u w:val="single"/>
        </w:rPr>
        <w:t xml:space="preserve">（姓名）      </w:t>
      </w:r>
      <w:r>
        <w:rPr>
          <w:rFonts w:ascii="仿宋_GB2312" w:hAnsi="仿宋_GB2312" w:eastAsia="仿宋_GB2312" w:cs="仿宋_GB2312"/>
          <w:sz w:val="24"/>
          <w:szCs w:val="24"/>
        </w:rPr>
        <w:t>为我公司代理人，以本公司的名义参加</w:t>
      </w:r>
      <w:r>
        <w:rPr>
          <w:rFonts w:ascii="仿宋_GB2312" w:hAnsi="仿宋_GB2312" w:eastAsia="仿宋_GB2312" w:cs="仿宋_GB2312"/>
          <w:sz w:val="24"/>
          <w:szCs w:val="24"/>
          <w:u w:val="single"/>
        </w:rPr>
        <w:t xml:space="preserve">          （采购人）</w:t>
      </w:r>
      <w:r>
        <w:rPr>
          <w:rFonts w:ascii="仿宋_GB2312" w:hAnsi="仿宋_GB2312" w:eastAsia="仿宋_GB2312" w:cs="仿宋_GB2312"/>
          <w:sz w:val="24"/>
          <w:szCs w:val="24"/>
        </w:rPr>
        <w:t>的</w:t>
      </w:r>
      <w:r>
        <w:rPr>
          <w:rFonts w:ascii="仿宋_GB2312" w:hAnsi="仿宋_GB2312" w:eastAsia="仿宋_GB2312" w:cs="仿宋_GB2312"/>
          <w:sz w:val="24"/>
          <w:szCs w:val="24"/>
          <w:u w:val="single"/>
        </w:rPr>
        <w:t xml:space="preserve">                 采购项目</w:t>
      </w:r>
      <w:r>
        <w:rPr>
          <w:rFonts w:ascii="仿宋_GB2312" w:hAnsi="仿宋_GB2312" w:eastAsia="仿宋_GB2312" w:cs="仿宋_GB2312"/>
          <w:sz w:val="24"/>
          <w:szCs w:val="24"/>
        </w:rPr>
        <w:t>的投标活动。代理人签署的投标文件和参加整个招标活动中所签署的一切文件和处理与之有关的一切事物，我均予以承认。</w:t>
      </w:r>
    </w:p>
    <w:p>
      <w:pPr>
        <w:overflowPunct w:val="0"/>
        <w:spacing w:line="500" w:lineRule="exact"/>
        <w:ind w:firstLine="480" w:firstLineChars="200"/>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代理人：              性别：             年龄：             </w:t>
      </w:r>
    </w:p>
    <w:p>
      <w:pPr>
        <w:overflowPunct w:val="0"/>
        <w:spacing w:line="500" w:lineRule="exact"/>
        <w:ind w:firstLine="480" w:firstLineChars="200"/>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单  位：              部门：             职务：             </w:t>
      </w: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代理人无转委权。特此委托。</w:t>
      </w:r>
    </w:p>
    <w:p>
      <w:pPr>
        <w:overflowPunct w:val="0"/>
        <w:spacing w:line="500" w:lineRule="exact"/>
        <w:ind w:firstLine="480" w:firstLineChars="200"/>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投标人：（盖章）</w:t>
      </w:r>
    </w:p>
    <w:p>
      <w:pPr>
        <w:overflowPunct w:val="0"/>
        <w:spacing w:line="500" w:lineRule="exact"/>
        <w:ind w:firstLine="480" w:firstLineChars="200"/>
        <w:rPr>
          <w:rFonts w:ascii="仿宋_GB2312" w:hAnsi="仿宋_GB2312" w:eastAsia="仿宋_GB2312" w:cs="仿宋_GB2312"/>
          <w:sz w:val="24"/>
          <w:szCs w:val="24"/>
        </w:rPr>
      </w:pPr>
    </w:p>
    <w:p>
      <w:pPr>
        <w:overflowPunct w:val="0"/>
        <w:spacing w:line="5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法定代表人：（签字）</w:t>
      </w:r>
    </w:p>
    <w:p>
      <w:pPr>
        <w:overflowPunct w:val="0"/>
        <w:spacing w:line="500" w:lineRule="exact"/>
        <w:rPr>
          <w:rFonts w:ascii="仿宋_GB2312" w:hAnsi="仿宋_GB2312" w:eastAsia="仿宋_GB2312" w:cs="仿宋_GB2312"/>
          <w:sz w:val="24"/>
          <w:szCs w:val="24"/>
        </w:rPr>
      </w:pPr>
    </w:p>
    <w:p>
      <w:pPr>
        <w:overflowPunct w:val="0"/>
        <w:spacing w:line="500" w:lineRule="exact"/>
        <w:jc w:val="center"/>
        <w:rPr>
          <w:rFonts w:ascii="仿宋_GB2312" w:hAnsi="仿宋_GB2312" w:eastAsia="仿宋_GB2312" w:cs="仿宋_GB2312"/>
          <w:bCs/>
          <w:sz w:val="24"/>
          <w:szCs w:val="24"/>
        </w:rPr>
      </w:pPr>
    </w:p>
    <w:p>
      <w:pPr>
        <w:overflowPunct w:val="0"/>
        <w:spacing w:line="500" w:lineRule="exact"/>
        <w:ind w:firstLine="720" w:firstLineChars="3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法</w:t>
      </w:r>
      <w:r>
        <w:rPr>
          <w:rFonts w:ascii="仿宋_GB2312" w:hAnsi="仿宋_GB2312" w:eastAsia="仿宋_GB2312" w:cs="仿宋_GB2312"/>
          <w:bCs/>
          <w:sz w:val="24"/>
          <w:szCs w:val="24"/>
        </w:rPr>
        <w:t>人身份证黏贴处</w:t>
      </w:r>
      <w:r>
        <w:rPr>
          <w:rFonts w:hint="eastAsia" w:ascii="仿宋_GB2312" w:hAnsi="仿宋_GB2312" w:eastAsia="仿宋_GB2312" w:cs="仿宋_GB2312"/>
          <w:bCs/>
          <w:sz w:val="24"/>
          <w:szCs w:val="24"/>
          <w:lang w:val="en-US" w:eastAsia="zh-CN"/>
        </w:rPr>
        <w:t xml:space="preserve">                          </w:t>
      </w:r>
      <w:r>
        <w:rPr>
          <w:rFonts w:ascii="仿宋_GB2312" w:hAnsi="仿宋_GB2312" w:eastAsia="仿宋_GB2312" w:cs="仿宋_GB2312"/>
          <w:bCs/>
          <w:sz w:val="24"/>
          <w:szCs w:val="24"/>
        </w:rPr>
        <w:t>代理人身份证黏贴处</w:t>
      </w:r>
    </w:p>
    <w:p>
      <w:pPr>
        <w:overflowPunct w:val="0"/>
        <w:spacing w:line="500" w:lineRule="exact"/>
        <w:rPr>
          <w:rFonts w:ascii="仿宋_GB2312" w:hAnsi="仿宋_GB2312" w:eastAsia="仿宋_GB2312" w:cs="仿宋_GB2312"/>
          <w:bCs/>
          <w:sz w:val="28"/>
          <w:szCs w:val="28"/>
        </w:rPr>
      </w:pPr>
    </w:p>
    <w:p>
      <w:pPr>
        <w:overflowPunct w:val="0"/>
        <w:spacing w:line="500" w:lineRule="exact"/>
        <w:rPr>
          <w:rFonts w:ascii="仿宋_GB2312" w:hAnsi="仿宋_GB2312" w:eastAsia="仿宋_GB2312" w:cs="仿宋_GB2312"/>
          <w:sz w:val="24"/>
          <w:szCs w:val="24"/>
        </w:rPr>
      </w:pPr>
    </w:p>
    <w:p>
      <w:pPr>
        <w:overflowPunct w:val="0"/>
        <w:spacing w:line="500" w:lineRule="exact"/>
        <w:rPr>
          <w:rFonts w:ascii="仿宋_GB2312" w:hAnsi="仿宋_GB2312" w:eastAsia="仿宋_GB2312" w:cs="仿宋_GB2312"/>
          <w:sz w:val="24"/>
          <w:szCs w:val="24"/>
        </w:rPr>
      </w:pPr>
    </w:p>
    <w:p>
      <w:pPr>
        <w:overflowPunct w:val="0"/>
        <w:spacing w:line="500" w:lineRule="exact"/>
        <w:jc w:val="right"/>
        <w:rPr>
          <w:rFonts w:ascii="仿宋_GB2312" w:hAnsi="仿宋_GB2312" w:eastAsia="仿宋_GB2312" w:cs="仿宋_GB2312"/>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日</w:t>
      </w:r>
    </w:p>
    <w:p>
      <w:pPr>
        <w:overflowPunct w:val="0"/>
        <w:spacing w:line="500" w:lineRule="exact"/>
        <w:jc w:val="right"/>
        <w:rPr>
          <w:rFonts w:ascii="仿宋_GB2312" w:hAnsi="仿宋_GB2312" w:eastAsia="仿宋_GB2312" w:cs="仿宋_GB2312"/>
          <w:sz w:val="24"/>
          <w:szCs w:val="24"/>
        </w:rPr>
      </w:pPr>
    </w:p>
    <w:p>
      <w:pPr>
        <w:pStyle w:val="77"/>
        <w:spacing w:line="360" w:lineRule="auto"/>
        <w:ind w:left="-19" w:leftChars="-9" w:firstLine="625" w:firstLineChars="298"/>
        <w:jc w:val="left"/>
        <w:outlineLvl w:val="1"/>
        <w:rPr>
          <w:rFonts w:ascii="仿宋_GB2312" w:hAnsi="仿宋_GB2312" w:eastAsia="仿宋_GB2312" w:cs="仿宋_GB2312"/>
          <w:szCs w:val="24"/>
        </w:rPr>
        <w:sectPr>
          <w:pgSz w:w="11906" w:h="16838"/>
          <w:pgMar w:top="1440" w:right="1287" w:bottom="1440" w:left="1440" w:header="851" w:footer="992" w:gutter="0"/>
          <w:pgNumType w:fmt="decimal"/>
          <w:cols w:space="720" w:num="1"/>
          <w:docGrid w:type="lines" w:linePitch="312" w:charSpace="0"/>
        </w:sectPr>
      </w:pPr>
    </w:p>
    <w:p>
      <w:pPr>
        <w:overflowPunct w:val="0"/>
        <w:spacing w:line="500" w:lineRule="exact"/>
        <w:jc w:val="left"/>
        <w:rPr>
          <w:rFonts w:ascii="仿宋_GB2312" w:hAnsi="仿宋_GB2312" w:eastAsia="仿宋_GB2312" w:cs="仿宋_GB2312"/>
          <w:b/>
          <w:sz w:val="24"/>
          <w:szCs w:val="24"/>
        </w:rPr>
      </w:pPr>
      <w:r>
        <w:rPr>
          <w:rFonts w:ascii="仿宋_GB2312" w:hAnsi="仿宋_GB2312" w:eastAsia="仿宋_GB2312" w:cs="仿宋_GB2312"/>
          <w:b/>
          <w:sz w:val="24"/>
          <w:szCs w:val="24"/>
        </w:rPr>
        <w:t>附件四</w:t>
      </w:r>
    </w:p>
    <w:p>
      <w:pPr>
        <w:overflowPunct w:val="0"/>
        <w:spacing w:line="500" w:lineRule="exact"/>
        <w:jc w:val="center"/>
        <w:rPr>
          <w:rFonts w:ascii="仿宋_GB2312" w:hAnsi="仿宋_GB2312" w:eastAsia="仿宋_GB2312" w:cs="仿宋_GB2312"/>
          <w:b/>
          <w:sz w:val="24"/>
          <w:szCs w:val="24"/>
        </w:rPr>
      </w:pPr>
    </w:p>
    <w:p>
      <w:pPr>
        <w:overflowPunct w:val="0"/>
        <w:spacing w:line="500" w:lineRule="exact"/>
        <w:jc w:val="center"/>
        <w:rPr>
          <w:rFonts w:ascii="仿宋_GB2312" w:hAnsi="仿宋_GB2312" w:eastAsia="仿宋_GB2312" w:cs="仿宋_GB2312"/>
          <w:b/>
          <w:sz w:val="24"/>
          <w:szCs w:val="24"/>
        </w:rPr>
      </w:pPr>
      <w:r>
        <w:rPr>
          <w:rFonts w:ascii="仿宋_GB2312" w:hAnsi="仿宋_GB2312" w:eastAsia="仿宋_GB2312" w:cs="仿宋_GB2312"/>
          <w:b/>
          <w:sz w:val="24"/>
          <w:szCs w:val="24"/>
        </w:rPr>
        <w:t>法定代表人身份证明书</w:t>
      </w:r>
    </w:p>
    <w:p>
      <w:pPr>
        <w:overflowPunct w:val="0"/>
        <w:spacing w:line="500" w:lineRule="exact"/>
        <w:jc w:val="center"/>
        <w:rPr>
          <w:rFonts w:ascii="仿宋_GB2312" w:hAnsi="仿宋_GB2312" w:eastAsia="仿宋_GB2312" w:cs="仿宋_GB2312"/>
          <w:b/>
          <w:sz w:val="24"/>
          <w:szCs w:val="24"/>
        </w:rPr>
      </w:pPr>
    </w:p>
    <w:p>
      <w:pPr>
        <w:overflowPunct w:val="0"/>
        <w:spacing w:line="500" w:lineRule="exact"/>
        <w:jc w:val="center"/>
        <w:rPr>
          <w:rFonts w:ascii="仿宋_GB2312" w:hAnsi="仿宋_GB2312" w:eastAsia="仿宋_GB2312" w:cs="仿宋_GB2312"/>
          <w:b/>
          <w:sz w:val="24"/>
          <w:szCs w:val="24"/>
        </w:rPr>
      </w:pP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单位名称：</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u w:val="single"/>
        </w:rPr>
      </w:pP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企业类型：</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rPr>
      </w:pP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地    址：</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rPr>
      </w:pP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营业期限：</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rPr>
      </w:pP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成立时间：</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u w:val="single"/>
        </w:rPr>
      </w:pPr>
    </w:p>
    <w:p>
      <w:pPr>
        <w:overflowPunct w:val="0"/>
        <w:spacing w:line="500" w:lineRule="exact"/>
        <w:rPr>
          <w:rFonts w:ascii="仿宋_GB2312" w:hAnsi="仿宋_GB2312" w:eastAsia="仿宋_GB2312" w:cs="仿宋_GB2312"/>
          <w:bCs/>
          <w:sz w:val="24"/>
          <w:szCs w:val="24"/>
        </w:rPr>
      </w:pPr>
      <w:r>
        <w:rPr>
          <w:rFonts w:ascii="仿宋_GB2312" w:hAnsi="仿宋_GB2312" w:eastAsia="仿宋_GB2312" w:cs="仿宋_GB2312"/>
          <w:bCs/>
          <w:sz w:val="24"/>
          <w:szCs w:val="24"/>
        </w:rPr>
        <w:t>姓名：</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 xml:space="preserve">    性别：</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 xml:space="preserve">   年龄：</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 xml:space="preserve"> </w:t>
      </w:r>
    </w:p>
    <w:p>
      <w:pPr>
        <w:overflowPunct w:val="0"/>
        <w:spacing w:line="500" w:lineRule="exact"/>
        <w:rPr>
          <w:rFonts w:ascii="仿宋_GB2312" w:hAnsi="仿宋_GB2312" w:eastAsia="仿宋_GB2312" w:cs="仿宋_GB2312"/>
          <w:bCs/>
          <w:sz w:val="24"/>
          <w:szCs w:val="24"/>
          <w:u w:val="single"/>
        </w:rPr>
      </w:pPr>
      <w:r>
        <w:rPr>
          <w:rFonts w:ascii="仿宋_GB2312" w:hAnsi="仿宋_GB2312" w:eastAsia="仿宋_GB2312" w:cs="仿宋_GB2312"/>
          <w:bCs/>
          <w:sz w:val="24"/>
          <w:szCs w:val="24"/>
        </w:rPr>
        <w:t>职务：</w:t>
      </w:r>
      <w:r>
        <w:rPr>
          <w:rFonts w:ascii="仿宋_GB2312" w:hAnsi="仿宋_GB2312" w:eastAsia="仿宋_GB2312" w:cs="仿宋_GB2312"/>
          <w:bCs/>
          <w:sz w:val="24"/>
          <w:szCs w:val="24"/>
          <w:u w:val="single"/>
        </w:rPr>
        <w:t xml:space="preserve">               </w:t>
      </w:r>
    </w:p>
    <w:p>
      <w:pPr>
        <w:overflowPunct w:val="0"/>
        <w:spacing w:line="500" w:lineRule="exact"/>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系 </w:t>
      </w:r>
      <w:r>
        <w:rPr>
          <w:rFonts w:ascii="仿宋_GB2312" w:hAnsi="仿宋_GB2312" w:eastAsia="仿宋_GB2312" w:cs="仿宋_GB2312"/>
          <w:bCs/>
          <w:sz w:val="24"/>
          <w:szCs w:val="24"/>
          <w:u w:val="single"/>
        </w:rPr>
        <w:t xml:space="preserve">         （投标人名称）               </w:t>
      </w:r>
      <w:r>
        <w:rPr>
          <w:rFonts w:ascii="仿宋_GB2312" w:hAnsi="仿宋_GB2312" w:eastAsia="仿宋_GB2312" w:cs="仿宋_GB2312"/>
          <w:bCs/>
          <w:sz w:val="24"/>
          <w:szCs w:val="24"/>
        </w:rPr>
        <w:t>的法定代表人。</w:t>
      </w:r>
    </w:p>
    <w:p>
      <w:pPr>
        <w:overflowPunct w:val="0"/>
        <w:spacing w:line="500" w:lineRule="exact"/>
        <w:rPr>
          <w:rFonts w:ascii="仿宋_GB2312" w:hAnsi="仿宋_GB2312" w:eastAsia="仿宋_GB2312" w:cs="仿宋_GB2312"/>
          <w:bCs/>
          <w:sz w:val="24"/>
          <w:szCs w:val="24"/>
        </w:rPr>
      </w:pPr>
    </w:p>
    <w:p>
      <w:pPr>
        <w:overflowPunct w:val="0"/>
        <w:spacing w:line="500" w:lineRule="exact"/>
        <w:rPr>
          <w:rFonts w:ascii="仿宋_GB2312" w:hAnsi="仿宋_GB2312" w:eastAsia="仿宋_GB2312" w:cs="仿宋_GB2312"/>
          <w:bCs/>
          <w:sz w:val="24"/>
          <w:szCs w:val="24"/>
        </w:rPr>
      </w:pPr>
      <w:r>
        <w:rPr>
          <w:rFonts w:ascii="仿宋_GB2312" w:hAnsi="仿宋_GB2312" w:eastAsia="仿宋_GB2312" w:cs="仿宋_GB2312"/>
          <w:bCs/>
          <w:sz w:val="24"/>
          <w:szCs w:val="24"/>
        </w:rPr>
        <w:t>特此证明。</w:t>
      </w:r>
    </w:p>
    <w:p>
      <w:pPr>
        <w:overflowPunct w:val="0"/>
        <w:spacing w:line="500" w:lineRule="exact"/>
        <w:rPr>
          <w:rFonts w:ascii="仿宋_GB2312" w:hAnsi="仿宋_GB2312" w:eastAsia="仿宋_GB2312" w:cs="仿宋_GB2312"/>
          <w:bCs/>
          <w:sz w:val="28"/>
          <w:szCs w:val="28"/>
        </w:rPr>
      </w:pPr>
    </w:p>
    <w:p>
      <w:pPr>
        <w:overflowPunct w:val="0"/>
        <w:spacing w:line="500" w:lineRule="exact"/>
        <w:rPr>
          <w:rFonts w:hint="eastAsia" w:ascii="仿宋_GB2312" w:hAnsi="仿宋_GB2312" w:eastAsia="仿宋_GB2312" w:cs="仿宋_GB2312"/>
          <w:bCs/>
          <w:sz w:val="28"/>
          <w:szCs w:val="28"/>
        </w:rPr>
      </w:pPr>
    </w:p>
    <w:p>
      <w:pPr>
        <w:overflowPunct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4"/>
          <w:szCs w:val="24"/>
          <w:lang w:eastAsia="zh-CN"/>
        </w:rPr>
        <w:t>法</w:t>
      </w:r>
      <w:r>
        <w:rPr>
          <w:rFonts w:ascii="仿宋_GB2312" w:hAnsi="仿宋_GB2312" w:eastAsia="仿宋_GB2312" w:cs="仿宋_GB2312"/>
          <w:bCs/>
          <w:sz w:val="24"/>
          <w:szCs w:val="24"/>
        </w:rPr>
        <w:t>人身份证黏贴处</w:t>
      </w:r>
    </w:p>
    <w:p>
      <w:pPr>
        <w:overflowPunct w:val="0"/>
        <w:spacing w:line="500" w:lineRule="exact"/>
        <w:rPr>
          <w:rFonts w:hint="eastAsia" w:ascii="仿宋_GB2312" w:hAnsi="仿宋_GB2312" w:eastAsia="仿宋_GB2312" w:cs="仿宋_GB2312"/>
          <w:bCs/>
          <w:sz w:val="28"/>
          <w:szCs w:val="28"/>
        </w:rPr>
      </w:pPr>
    </w:p>
    <w:p>
      <w:pPr>
        <w:overflowPunct w:val="0"/>
        <w:spacing w:line="500" w:lineRule="exact"/>
        <w:rPr>
          <w:rFonts w:hint="eastAsia" w:ascii="仿宋_GB2312" w:hAnsi="仿宋_GB2312" w:eastAsia="仿宋_GB2312" w:cs="仿宋_GB2312"/>
          <w:bCs/>
          <w:sz w:val="28"/>
          <w:szCs w:val="28"/>
        </w:rPr>
      </w:pPr>
    </w:p>
    <w:p>
      <w:pPr>
        <w:overflowPunct w:val="0"/>
        <w:spacing w:line="500" w:lineRule="exact"/>
        <w:jc w:val="right"/>
        <w:rPr>
          <w:rFonts w:ascii="仿宋_GB2312" w:hAnsi="仿宋_GB2312" w:eastAsia="仿宋_GB2312" w:cs="仿宋_GB2312"/>
          <w:sz w:val="24"/>
          <w:szCs w:val="24"/>
        </w:rPr>
      </w:pP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日</w:t>
      </w:r>
    </w:p>
    <w:p>
      <w:pPr>
        <w:pStyle w:val="77"/>
        <w:spacing w:line="360" w:lineRule="auto"/>
        <w:ind w:left="-19" w:leftChars="-9" w:firstLine="625" w:firstLineChars="298"/>
        <w:jc w:val="left"/>
        <w:outlineLvl w:val="1"/>
        <w:rPr>
          <w:rFonts w:ascii="仿宋_GB2312" w:hAnsi="仿宋_GB2312" w:eastAsia="仿宋_GB2312" w:cs="仿宋_GB2312"/>
          <w:szCs w:val="24"/>
        </w:rPr>
        <w:sectPr>
          <w:pgSz w:w="11906" w:h="16838"/>
          <w:pgMar w:top="1440" w:right="1287" w:bottom="1440" w:left="1440" w:header="851" w:footer="992" w:gutter="0"/>
          <w:pgNumType w:fmt="decimal"/>
          <w:cols w:space="720" w:num="1"/>
          <w:docGrid w:type="lines" w:linePitch="312" w:charSpace="0"/>
        </w:sectPr>
      </w:pPr>
    </w:p>
    <w:p>
      <w:pPr>
        <w:overflowPunct w:val="0"/>
        <w:spacing w:line="500" w:lineRule="exact"/>
        <w:outlineLvl w:val="0"/>
        <w:rPr>
          <w:rFonts w:ascii="仿宋_GB2312" w:hAnsi="仿宋_GB2312" w:eastAsia="仿宋_GB2312" w:cs="仿宋_GB2312"/>
          <w:sz w:val="24"/>
          <w:szCs w:val="24"/>
        </w:rPr>
      </w:pPr>
      <w:bookmarkStart w:id="515" w:name="_Toc15997"/>
      <w:bookmarkStart w:id="516" w:name="_Toc24806"/>
      <w:bookmarkStart w:id="517" w:name="_Toc24968"/>
      <w:bookmarkStart w:id="518" w:name="_Toc8527"/>
      <w:r>
        <w:rPr>
          <w:rFonts w:ascii="仿宋_GB2312" w:hAnsi="仿宋_GB2312" w:eastAsia="仿宋_GB2312" w:cs="仿宋_GB2312"/>
          <w:b/>
          <w:bCs/>
          <w:sz w:val="24"/>
          <w:szCs w:val="24"/>
        </w:rPr>
        <w:t>附件五</w:t>
      </w:r>
      <w:r>
        <w:rPr>
          <w:rFonts w:ascii="仿宋_GB2312" w:hAnsi="仿宋_GB2312" w:eastAsia="仿宋_GB2312" w:cs="仿宋_GB2312"/>
          <w:sz w:val="24"/>
          <w:szCs w:val="24"/>
        </w:rPr>
        <w:t>:  投标报价文件</w:t>
      </w:r>
      <w:bookmarkEnd w:id="515"/>
      <w:bookmarkEnd w:id="516"/>
      <w:bookmarkEnd w:id="517"/>
      <w:bookmarkEnd w:id="518"/>
    </w:p>
    <w:p>
      <w:pPr>
        <w:overflowPunct w:val="0"/>
        <w:spacing w:line="500" w:lineRule="exact"/>
        <w:jc w:val="left"/>
        <w:rPr>
          <w:rFonts w:ascii="仿宋_GB2312" w:hAnsi="仿宋_GB2312" w:eastAsia="仿宋_GB2312" w:cs="仿宋_GB2312"/>
          <w:sz w:val="24"/>
          <w:szCs w:val="24"/>
        </w:rPr>
      </w:pPr>
      <w:r>
        <w:rPr>
          <w:rFonts w:ascii="仿宋_GB2312" w:hAnsi="仿宋_GB2312" w:eastAsia="仿宋_GB2312" w:cs="仿宋_GB2312"/>
          <w:sz w:val="24"/>
          <w:szCs w:val="24"/>
        </w:rPr>
        <w:t>5.1</w:t>
      </w:r>
      <w:r>
        <w:rPr>
          <w:rFonts w:ascii="仿宋_GB2312" w:hAnsi="仿宋_GB2312" w:eastAsia="仿宋_GB2312" w:cs="仿宋_GB2312"/>
          <w:b/>
          <w:sz w:val="24"/>
          <w:szCs w:val="24"/>
        </w:rPr>
        <w:t>投标报价一览表</w:t>
      </w:r>
    </w:p>
    <w:p>
      <w:pPr>
        <w:overflowPunct w:val="0"/>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项目</w:t>
      </w:r>
      <w:r>
        <w:rPr>
          <w:rFonts w:ascii="仿宋_GB2312" w:hAnsi="仿宋_GB2312" w:eastAsia="仿宋_GB2312" w:cs="仿宋_GB2312"/>
          <w:sz w:val="24"/>
          <w:szCs w:val="24"/>
        </w:rPr>
        <w:t>名称</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xml:space="preserve">                           文件编号：</w:t>
      </w:r>
    </w:p>
    <w:tbl>
      <w:tblPr>
        <w:tblStyle w:val="26"/>
        <w:tblW w:w="0" w:type="auto"/>
        <w:jc w:val="center"/>
        <w:tblLayout w:type="fixed"/>
        <w:tblCellMar>
          <w:top w:w="0" w:type="dxa"/>
          <w:left w:w="0" w:type="dxa"/>
          <w:bottom w:w="0" w:type="dxa"/>
          <w:right w:w="0" w:type="dxa"/>
        </w:tblCellMar>
      </w:tblPr>
      <w:tblGrid>
        <w:gridCol w:w="1802"/>
        <w:gridCol w:w="7271"/>
      </w:tblGrid>
      <w:tr>
        <w:tblPrEx>
          <w:tblCellMar>
            <w:top w:w="0" w:type="dxa"/>
            <w:left w:w="0" w:type="dxa"/>
            <w:bottom w:w="0" w:type="dxa"/>
            <w:right w:w="0" w:type="dxa"/>
          </w:tblCellMar>
        </w:tblPrEx>
        <w:trPr>
          <w:cantSplit/>
          <w:trHeight w:val="1071" w:hRule="atLeast"/>
          <w:jc w:val="center"/>
        </w:trPr>
        <w:tc>
          <w:tcPr>
            <w:tcW w:w="1802" w:type="dxa"/>
            <w:vMerge w:val="restart"/>
            <w:tcBorders>
              <w:top w:val="single" w:color="auto" w:sz="4" w:space="0"/>
              <w:left w:val="single" w:color="auto" w:sz="4" w:space="0"/>
              <w:right w:val="single" w:color="auto" w:sz="4" w:space="0"/>
            </w:tcBorders>
            <w:noWrap w:val="0"/>
            <w:vAlign w:val="center"/>
          </w:tcPr>
          <w:p>
            <w:pPr>
              <w:overflowPunct w:val="0"/>
              <w:spacing w:line="5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投标总报价</w:t>
            </w:r>
          </w:p>
          <w:p>
            <w:pPr>
              <w:overflowPunct w:val="0"/>
              <w:spacing w:line="5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(万元)</w:t>
            </w:r>
          </w:p>
        </w:tc>
        <w:tc>
          <w:tcPr>
            <w:tcW w:w="727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（小写）：</w:t>
            </w:r>
          </w:p>
        </w:tc>
      </w:tr>
      <w:tr>
        <w:tblPrEx>
          <w:tblCellMar>
            <w:top w:w="0" w:type="dxa"/>
            <w:left w:w="0" w:type="dxa"/>
            <w:bottom w:w="0" w:type="dxa"/>
            <w:right w:w="0" w:type="dxa"/>
          </w:tblCellMar>
        </w:tblPrEx>
        <w:trPr>
          <w:cantSplit/>
          <w:trHeight w:val="1066" w:hRule="atLeast"/>
          <w:jc w:val="center"/>
        </w:trPr>
        <w:tc>
          <w:tcPr>
            <w:tcW w:w="1802" w:type="dxa"/>
            <w:vMerge w:val="continue"/>
            <w:tcBorders>
              <w:left w:val="single" w:color="auto" w:sz="4" w:space="0"/>
              <w:bottom w:val="single" w:color="auto" w:sz="4" w:space="0"/>
              <w:right w:val="single" w:color="auto" w:sz="4" w:space="0"/>
            </w:tcBorders>
            <w:noWrap w:val="0"/>
            <w:vAlign w:val="center"/>
          </w:tcPr>
          <w:p>
            <w:pPr>
              <w:overflowPunct w:val="0"/>
              <w:spacing w:line="500" w:lineRule="exact"/>
              <w:jc w:val="center"/>
              <w:rPr>
                <w:rFonts w:ascii="仿宋_GB2312" w:hAnsi="仿宋_GB2312" w:eastAsia="仿宋_GB2312" w:cs="仿宋_GB2312"/>
                <w:sz w:val="24"/>
                <w:szCs w:val="24"/>
              </w:rPr>
            </w:pPr>
          </w:p>
        </w:tc>
        <w:tc>
          <w:tcPr>
            <w:tcW w:w="727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（大写）：</w:t>
            </w:r>
          </w:p>
        </w:tc>
      </w:tr>
      <w:tr>
        <w:tblPrEx>
          <w:tblCellMar>
            <w:top w:w="0" w:type="dxa"/>
            <w:left w:w="0" w:type="dxa"/>
            <w:bottom w:w="0" w:type="dxa"/>
            <w:right w:w="0" w:type="dxa"/>
          </w:tblCellMar>
        </w:tblPrEx>
        <w:trPr>
          <w:cantSplit/>
          <w:trHeight w:val="1249"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供货周期</w:t>
            </w:r>
          </w:p>
        </w:tc>
        <w:tc>
          <w:tcPr>
            <w:tcW w:w="727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rPr>
                <w:rFonts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1249"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报价说明</w:t>
            </w:r>
          </w:p>
        </w:tc>
        <w:tc>
          <w:tcPr>
            <w:tcW w:w="727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500" w:lineRule="exact"/>
              <w:rPr>
                <w:rFonts w:ascii="仿宋_GB2312" w:hAnsi="仿宋_GB2312" w:eastAsia="仿宋_GB2312" w:cs="仿宋_GB2312"/>
                <w:sz w:val="24"/>
                <w:szCs w:val="24"/>
              </w:rPr>
            </w:pPr>
          </w:p>
        </w:tc>
      </w:tr>
    </w:tbl>
    <w:p>
      <w:pPr>
        <w:pStyle w:val="94"/>
        <w:spacing w:line="500" w:lineRule="exact"/>
        <w:jc w:val="both"/>
        <w:rPr>
          <w:rFonts w:ascii="仿宋_GB2312" w:hAnsi="仿宋_GB2312" w:eastAsia="仿宋_GB2312" w:cs="仿宋_GB2312"/>
          <w:kern w:val="2"/>
          <w:szCs w:val="24"/>
          <w:lang w:val="en-US" w:eastAsia="zh-CN"/>
        </w:rPr>
      </w:pPr>
    </w:p>
    <w:p>
      <w:pPr>
        <w:pStyle w:val="94"/>
        <w:spacing w:line="500" w:lineRule="exact"/>
        <w:jc w:val="both"/>
        <w:rPr>
          <w:rFonts w:ascii="仿宋_GB2312" w:hAnsi="仿宋_GB2312" w:eastAsia="仿宋_GB2312" w:cs="仿宋_GB2312"/>
          <w:kern w:val="2"/>
          <w:szCs w:val="24"/>
          <w:lang w:val="en-US" w:eastAsia="zh-CN"/>
        </w:rPr>
      </w:pPr>
    </w:p>
    <w:p>
      <w:pPr>
        <w:pStyle w:val="94"/>
        <w:spacing w:line="500" w:lineRule="exact"/>
        <w:jc w:val="both"/>
        <w:rPr>
          <w:rFonts w:ascii="仿宋_GB2312" w:hAnsi="仿宋_GB2312" w:eastAsia="仿宋_GB2312" w:cs="仿宋_GB2312"/>
          <w:kern w:val="2"/>
          <w:szCs w:val="24"/>
          <w:lang w:val="en-US" w:eastAsia="zh-CN"/>
        </w:rPr>
      </w:pPr>
    </w:p>
    <w:p>
      <w:pPr>
        <w:pStyle w:val="94"/>
        <w:spacing w:line="500" w:lineRule="exact"/>
        <w:jc w:val="both"/>
        <w:rPr>
          <w:rFonts w:ascii="仿宋_GB2312" w:hAnsi="仿宋_GB2312" w:eastAsia="仿宋_GB2312" w:cs="仿宋_GB2312"/>
          <w:kern w:val="2"/>
          <w:szCs w:val="24"/>
          <w:lang w:val="en-US" w:eastAsia="zh-CN"/>
        </w:rPr>
      </w:pPr>
      <w:r>
        <w:rPr>
          <w:rFonts w:ascii="仿宋_GB2312" w:hAnsi="仿宋_GB2312" w:eastAsia="仿宋_GB2312" w:cs="仿宋_GB2312"/>
          <w:kern w:val="2"/>
          <w:szCs w:val="24"/>
          <w:lang w:val="en-US" w:eastAsia="zh-CN"/>
        </w:rPr>
        <w:t xml:space="preserve">投标人法人或授权代表签字：         </w:t>
      </w:r>
      <w:r>
        <w:rPr>
          <w:rFonts w:hint="eastAsia" w:ascii="仿宋_GB2312" w:hAnsi="仿宋_GB2312" w:eastAsia="仿宋_GB2312" w:cs="仿宋_GB2312"/>
          <w:kern w:val="2"/>
          <w:szCs w:val="24"/>
          <w:lang w:val="en-US" w:eastAsia="zh-CN"/>
        </w:rPr>
        <w:t xml:space="preserve">            </w:t>
      </w:r>
      <w:r>
        <w:rPr>
          <w:rFonts w:ascii="仿宋_GB2312" w:hAnsi="仿宋_GB2312" w:eastAsia="仿宋_GB2312" w:cs="仿宋_GB2312"/>
          <w:kern w:val="2"/>
          <w:szCs w:val="24"/>
          <w:lang w:val="en-US" w:eastAsia="zh-CN"/>
        </w:rPr>
        <w:t>投标人盖章：</w:t>
      </w:r>
    </w:p>
    <w:p>
      <w:pPr>
        <w:pStyle w:val="94"/>
        <w:spacing w:line="500" w:lineRule="exact"/>
        <w:rPr>
          <w:rFonts w:ascii="仿宋_GB2312" w:hAnsi="仿宋_GB2312" w:eastAsia="仿宋_GB2312" w:cs="仿宋_GB2312"/>
          <w:kern w:val="2"/>
          <w:szCs w:val="24"/>
          <w:lang w:val="en-US" w:eastAsia="zh-CN"/>
        </w:rPr>
      </w:pPr>
    </w:p>
    <w:p>
      <w:pPr>
        <w:pStyle w:val="94"/>
        <w:spacing w:line="500" w:lineRule="exact"/>
        <w:ind w:firstLine="5880" w:firstLineChars="2450"/>
        <w:rPr>
          <w:rFonts w:ascii="仿宋_GB2312" w:hAnsi="仿宋_GB2312" w:eastAsia="仿宋_GB2312" w:cs="仿宋_GB2312"/>
          <w:kern w:val="2"/>
          <w:szCs w:val="24"/>
          <w:lang w:val="en-US" w:eastAsia="zh-CN"/>
        </w:rPr>
      </w:pPr>
      <w:r>
        <w:rPr>
          <w:rFonts w:ascii="仿宋_GB2312" w:hAnsi="仿宋_GB2312" w:eastAsia="仿宋_GB2312" w:cs="仿宋_GB2312"/>
          <w:kern w:val="2"/>
          <w:szCs w:val="24"/>
          <w:lang w:val="en-US" w:eastAsia="zh-CN"/>
        </w:rPr>
        <w:t>年  月  日</w:t>
      </w:r>
    </w:p>
    <w:p>
      <w:pPr>
        <w:pStyle w:val="94"/>
        <w:spacing w:line="500" w:lineRule="exact"/>
        <w:rPr>
          <w:rFonts w:ascii="仿宋_GB2312" w:hAnsi="仿宋_GB2312" w:eastAsia="仿宋_GB2312" w:cs="仿宋_GB2312"/>
          <w:kern w:val="2"/>
          <w:szCs w:val="24"/>
          <w:lang w:val="en-US" w:eastAsia="zh-CN"/>
        </w:rPr>
      </w:pPr>
    </w:p>
    <w:p>
      <w:pPr>
        <w:pStyle w:val="94"/>
        <w:spacing w:line="500" w:lineRule="exact"/>
        <w:rPr>
          <w:rFonts w:ascii="仿宋_GB2312" w:hAnsi="仿宋_GB2312" w:eastAsia="仿宋_GB2312" w:cs="仿宋_GB2312"/>
          <w:b/>
          <w:i/>
          <w:kern w:val="2"/>
          <w:szCs w:val="24"/>
          <w:lang w:val="en-US" w:eastAsia="zh-CN"/>
        </w:rPr>
      </w:pPr>
      <w:r>
        <w:rPr>
          <w:rFonts w:ascii="仿宋_GB2312" w:hAnsi="仿宋_GB2312" w:eastAsia="仿宋_GB2312" w:cs="仿宋_GB2312"/>
          <w:b/>
          <w:i/>
          <w:kern w:val="2"/>
          <w:szCs w:val="24"/>
          <w:lang w:val="en-US" w:eastAsia="zh-CN"/>
        </w:rPr>
        <w:t>注：1、请将本开标一览表另密封在一单独信封内（投标文件内同样装有），随同投标文件一起递交。</w:t>
      </w:r>
    </w:p>
    <w:p>
      <w:pPr>
        <w:pStyle w:val="77"/>
        <w:spacing w:line="360" w:lineRule="auto"/>
        <w:ind w:left="-19" w:leftChars="-9" w:firstLine="625" w:firstLineChars="298"/>
        <w:jc w:val="left"/>
        <w:outlineLvl w:val="1"/>
        <w:rPr>
          <w:rFonts w:ascii="仿宋_GB2312" w:hAnsi="仿宋_GB2312" w:eastAsia="仿宋_GB2312" w:cs="仿宋_GB2312"/>
          <w:szCs w:val="24"/>
        </w:rPr>
        <w:sectPr>
          <w:pgSz w:w="11906" w:h="16838"/>
          <w:pgMar w:top="1440" w:right="1287" w:bottom="1440" w:left="1440" w:header="851" w:footer="992" w:gutter="0"/>
          <w:pgNumType w:fmt="decimal"/>
          <w:cols w:space="720" w:num="1"/>
          <w:docGrid w:type="lines" w:linePitch="312" w:charSpace="0"/>
        </w:sectPr>
      </w:pPr>
    </w:p>
    <w:p>
      <w:pPr>
        <w:overflowPunct w:val="0"/>
        <w:spacing w:line="50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投标</w:t>
      </w:r>
      <w:r>
        <w:rPr>
          <w:rFonts w:hint="eastAsia" w:ascii="仿宋_GB2312" w:hAnsi="仿宋_GB2312" w:eastAsia="仿宋_GB2312" w:cs="仿宋_GB2312"/>
          <w:sz w:val="24"/>
          <w:szCs w:val="24"/>
          <w:lang w:eastAsia="zh-CN"/>
        </w:rPr>
        <w:t>内容</w:t>
      </w:r>
      <w:r>
        <w:rPr>
          <w:rFonts w:ascii="仿宋_GB2312" w:hAnsi="仿宋_GB2312" w:eastAsia="仿宋_GB2312" w:cs="仿宋_GB2312"/>
          <w:sz w:val="24"/>
          <w:szCs w:val="24"/>
        </w:rPr>
        <w:t>名称、报价明细表</w:t>
      </w:r>
    </w:p>
    <w:p>
      <w:pPr>
        <w:pStyle w:val="39"/>
        <w:spacing w:line="500" w:lineRule="exact"/>
        <w:ind w:firstLine="3840" w:firstLineChars="1600"/>
        <w:jc w:val="both"/>
        <w:rPr>
          <w:rFonts w:ascii="仿宋_GB2312" w:hAnsi="仿宋_GB2312" w:eastAsia="仿宋_GB2312" w:cs="仿宋_GB2312"/>
          <w:szCs w:val="24"/>
          <w:lang w:val="en-US"/>
        </w:rPr>
      </w:pPr>
      <w:r>
        <w:rPr>
          <w:rFonts w:hint="eastAsia" w:ascii="仿宋_GB2312" w:hAnsi="仿宋_GB2312" w:eastAsia="仿宋_GB2312" w:cs="仿宋_GB2312"/>
          <w:sz w:val="24"/>
          <w:szCs w:val="24"/>
          <w:lang w:eastAsia="zh-CN"/>
        </w:rPr>
        <w:t>（格式自拟）</w:t>
      </w:r>
    </w:p>
    <w:p>
      <w:pPr>
        <w:overflowPunct w:val="0"/>
        <w:spacing w:line="360" w:lineRule="exact"/>
        <w:rPr>
          <w:rFonts w:ascii="仿宋_GB2312" w:hAnsi="仿宋_GB2312" w:eastAsia="仿宋_GB2312" w:cs="仿宋_GB2312"/>
          <w:b/>
          <w:bCs/>
          <w:sz w:val="28"/>
          <w:szCs w:val="28"/>
        </w:rPr>
      </w:pPr>
      <w:r>
        <w:rPr>
          <w:rFonts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eastAsia="zh-CN"/>
        </w:rPr>
        <w:t>六</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投标人</w:t>
      </w:r>
      <w:r>
        <w:rPr>
          <w:rFonts w:ascii="仿宋_GB2312" w:hAnsi="仿宋_GB2312" w:eastAsia="仿宋_GB2312" w:cs="仿宋_GB2312"/>
          <w:bCs/>
          <w:sz w:val="28"/>
          <w:szCs w:val="28"/>
        </w:rPr>
        <w:t>资格报告</w:t>
      </w:r>
    </w:p>
    <w:p>
      <w:pPr>
        <w:pStyle w:val="14"/>
        <w:overflowPunct w:val="0"/>
        <w:spacing w:line="360" w:lineRule="exact"/>
        <w:ind w:left="560" w:right="-15"/>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投标</w:t>
      </w:r>
      <w:r>
        <w:rPr>
          <w:rFonts w:ascii="仿宋_GB2312" w:hAnsi="仿宋_GB2312" w:eastAsia="仿宋_GB2312" w:cs="仿宋_GB2312"/>
          <w:sz w:val="24"/>
          <w:szCs w:val="24"/>
        </w:rPr>
        <w:t>简况。</w:t>
      </w:r>
    </w:p>
    <w:p>
      <w:pPr>
        <w:pStyle w:val="14"/>
        <w:overflowPunct w:val="0"/>
        <w:spacing w:line="360" w:lineRule="exact"/>
        <w:ind w:left="560" w:right="-15"/>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投标</w:t>
      </w:r>
      <w:r>
        <w:rPr>
          <w:rFonts w:ascii="仿宋_GB2312" w:hAnsi="仿宋_GB2312" w:eastAsia="仿宋_GB2312" w:cs="仿宋_GB2312"/>
          <w:sz w:val="24"/>
          <w:szCs w:val="24"/>
        </w:rPr>
        <w:t>的信誉状况。</w:t>
      </w:r>
    </w:p>
    <w:p>
      <w:pPr>
        <w:pStyle w:val="14"/>
        <w:overflowPunct w:val="0"/>
        <w:spacing w:line="360" w:lineRule="exact"/>
        <w:ind w:right="-15" w:firstLine="600" w:firstLineChars="250"/>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投标</w:t>
      </w:r>
      <w:r>
        <w:rPr>
          <w:rFonts w:ascii="仿宋_GB2312" w:hAnsi="仿宋_GB2312" w:eastAsia="仿宋_GB2312" w:cs="仿宋_GB2312"/>
          <w:sz w:val="24"/>
          <w:szCs w:val="24"/>
        </w:rPr>
        <w:t>的主要业绩。</w:t>
      </w:r>
    </w:p>
    <w:p>
      <w:pPr>
        <w:pStyle w:val="14"/>
        <w:overflowPunct w:val="0"/>
        <w:spacing w:line="360" w:lineRule="exact"/>
        <w:ind w:right="-15" w:firstLine="600" w:firstLineChars="250"/>
        <w:rPr>
          <w:rFonts w:ascii="仿宋_GB2312" w:hAnsi="仿宋_GB2312" w:eastAsia="仿宋_GB2312" w:cs="仿宋_GB2312"/>
          <w:sz w:val="24"/>
          <w:szCs w:val="24"/>
        </w:rPr>
      </w:pPr>
      <w:r>
        <w:rPr>
          <w:rFonts w:ascii="仿宋_GB2312" w:hAnsi="仿宋_GB2312" w:eastAsia="仿宋_GB2312" w:cs="仿宋_GB2312"/>
          <w:sz w:val="24"/>
          <w:szCs w:val="24"/>
        </w:rPr>
        <w:t>4、企业的财务状况（附近两年财务审计报告）。</w:t>
      </w:r>
    </w:p>
    <w:p>
      <w:pPr>
        <w:pStyle w:val="14"/>
        <w:overflowPunct w:val="0"/>
        <w:spacing w:line="360" w:lineRule="exact"/>
        <w:ind w:right="-15" w:firstLine="600" w:firstLineChars="250"/>
        <w:rPr>
          <w:rFonts w:ascii="仿宋_GB2312" w:hAnsi="仿宋_GB2312" w:eastAsia="仿宋_GB2312" w:cs="仿宋_GB2312"/>
          <w:sz w:val="24"/>
          <w:szCs w:val="24"/>
        </w:rPr>
      </w:pPr>
      <w:r>
        <w:rPr>
          <w:rFonts w:ascii="仿宋_GB2312" w:hAnsi="仿宋_GB2312" w:eastAsia="仿宋_GB2312" w:cs="仿宋_GB2312"/>
          <w:sz w:val="24"/>
          <w:szCs w:val="24"/>
        </w:rPr>
        <w:t>5、投标人自述</w:t>
      </w:r>
    </w:p>
    <w:p>
      <w:pPr>
        <w:pStyle w:val="14"/>
        <w:overflowPunct w:val="0"/>
        <w:spacing w:line="360" w:lineRule="exact"/>
        <w:ind w:right="-15" w:firstLine="600" w:firstLineChars="250"/>
        <w:rPr>
          <w:rFonts w:ascii="仿宋_GB2312" w:hAnsi="仿宋_GB2312" w:eastAsia="仿宋_GB2312" w:cs="仿宋_GB2312"/>
          <w:sz w:val="24"/>
          <w:szCs w:val="24"/>
        </w:rPr>
      </w:pPr>
    </w:p>
    <w:p>
      <w:pPr>
        <w:overflowPunct w:val="0"/>
        <w:spacing w:line="360" w:lineRule="exact"/>
        <w:rPr>
          <w:rFonts w:ascii="仿宋_GB2312" w:hAnsi="仿宋_GB2312" w:eastAsia="仿宋_GB2312" w:cs="仿宋_GB2312"/>
          <w:b/>
          <w:bCs/>
          <w:sz w:val="28"/>
          <w:szCs w:val="28"/>
        </w:rPr>
      </w:pPr>
      <w:r>
        <w:rPr>
          <w:rFonts w:ascii="仿宋_GB2312" w:hAnsi="仿宋_GB2312" w:eastAsia="仿宋_GB2312" w:cs="仿宋_GB2312"/>
          <w:b/>
          <w:bCs/>
          <w:sz w:val="28"/>
          <w:szCs w:val="28"/>
        </w:rPr>
        <w:br w:type="page"/>
      </w:r>
      <w:r>
        <w:rPr>
          <w:rFonts w:ascii="仿宋_GB2312" w:hAnsi="仿宋_GB2312" w:eastAsia="仿宋_GB2312" w:cs="仿宋_GB2312"/>
          <w:b/>
          <w:bCs/>
          <w:sz w:val="28"/>
          <w:szCs w:val="28"/>
        </w:rPr>
        <w:t>附件七</w:t>
      </w:r>
      <w:r>
        <w:rPr>
          <w:rFonts w:ascii="仿宋_GB2312" w:hAnsi="仿宋_GB2312" w:eastAsia="仿宋_GB2312" w:cs="仿宋_GB2312"/>
          <w:bCs/>
          <w:sz w:val="28"/>
          <w:szCs w:val="28"/>
        </w:rPr>
        <w:t xml:space="preserve"> 技术负责人的配备 </w:t>
      </w:r>
    </w:p>
    <w:p>
      <w:pPr>
        <w:spacing w:line="360" w:lineRule="exact"/>
        <w:ind w:right="560"/>
        <w:jc w:val="center"/>
        <w:rPr>
          <w:rFonts w:ascii="仿宋_GB2312" w:hAnsi="仿宋_GB2312" w:eastAsia="仿宋_GB2312" w:cs="仿宋_GB2312"/>
          <w:b/>
          <w:sz w:val="28"/>
          <w:szCs w:val="28"/>
        </w:rPr>
      </w:pPr>
    </w:p>
    <w:p>
      <w:pPr>
        <w:spacing w:line="360" w:lineRule="exact"/>
        <w:ind w:right="560"/>
        <w:jc w:val="center"/>
        <w:rPr>
          <w:rFonts w:ascii="仿宋_GB2312" w:hAnsi="仿宋_GB2312" w:eastAsia="仿宋_GB2312" w:cs="仿宋_GB2312"/>
          <w:b/>
          <w:sz w:val="28"/>
          <w:szCs w:val="28"/>
        </w:rPr>
      </w:pPr>
      <w:r>
        <w:rPr>
          <w:rFonts w:ascii="仿宋_GB2312" w:hAnsi="仿宋_GB2312" w:eastAsia="仿宋_GB2312" w:cs="仿宋_GB2312"/>
          <w:b/>
          <w:sz w:val="28"/>
          <w:szCs w:val="28"/>
        </w:rPr>
        <w:t>投标人基本情况表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28"/>
        <w:gridCol w:w="974"/>
        <w:gridCol w:w="926"/>
        <w:gridCol w:w="244"/>
        <w:gridCol w:w="68"/>
        <w:gridCol w:w="1102"/>
        <w:gridCol w:w="214"/>
        <w:gridCol w:w="96"/>
        <w:gridCol w:w="861"/>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投标人名称</w:t>
            </w:r>
          </w:p>
        </w:tc>
        <w:tc>
          <w:tcPr>
            <w:tcW w:w="6670" w:type="dxa"/>
            <w:gridSpan w:val="10"/>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注册地址</w:t>
            </w:r>
          </w:p>
        </w:tc>
        <w:tc>
          <w:tcPr>
            <w:tcW w:w="3172" w:type="dxa"/>
            <w:gridSpan w:val="4"/>
            <w:noWrap w:val="0"/>
            <w:vAlign w:val="center"/>
          </w:tcPr>
          <w:p>
            <w:pPr>
              <w:spacing w:line="360" w:lineRule="exact"/>
              <w:jc w:val="center"/>
              <w:rPr>
                <w:rFonts w:ascii="仿宋_GB2312" w:hAnsi="仿宋_GB2312" w:eastAsia="仿宋_GB2312" w:cs="仿宋_GB2312"/>
                <w:kern w:val="0"/>
                <w:sz w:val="24"/>
                <w:szCs w:val="24"/>
              </w:rPr>
            </w:pPr>
          </w:p>
        </w:tc>
        <w:tc>
          <w:tcPr>
            <w:tcW w:w="1384"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邮政编码</w:t>
            </w:r>
          </w:p>
        </w:tc>
        <w:tc>
          <w:tcPr>
            <w:tcW w:w="2114" w:type="dxa"/>
            <w:gridSpan w:val="3"/>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Merge w:val="restart"/>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联系方式</w:t>
            </w:r>
          </w:p>
        </w:tc>
        <w:tc>
          <w:tcPr>
            <w:tcW w:w="10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联系人</w:t>
            </w:r>
          </w:p>
        </w:tc>
        <w:tc>
          <w:tcPr>
            <w:tcW w:w="2144" w:type="dxa"/>
            <w:gridSpan w:val="3"/>
            <w:noWrap w:val="0"/>
            <w:vAlign w:val="center"/>
          </w:tcPr>
          <w:p>
            <w:pPr>
              <w:spacing w:line="360" w:lineRule="exact"/>
              <w:jc w:val="center"/>
              <w:rPr>
                <w:rFonts w:ascii="仿宋_GB2312" w:hAnsi="仿宋_GB2312" w:eastAsia="仿宋_GB2312" w:cs="仿宋_GB2312"/>
                <w:kern w:val="0"/>
                <w:sz w:val="24"/>
                <w:szCs w:val="24"/>
              </w:rPr>
            </w:pPr>
          </w:p>
        </w:tc>
        <w:tc>
          <w:tcPr>
            <w:tcW w:w="1384"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电话</w:t>
            </w:r>
          </w:p>
        </w:tc>
        <w:tc>
          <w:tcPr>
            <w:tcW w:w="2114" w:type="dxa"/>
            <w:gridSpan w:val="3"/>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28" w:type="dxa"/>
            <w:vMerge w:val="continue"/>
            <w:noWrap w:val="0"/>
            <w:vAlign w:val="center"/>
          </w:tcPr>
          <w:p>
            <w:pPr>
              <w:spacing w:line="360" w:lineRule="exact"/>
              <w:jc w:val="center"/>
              <w:rPr>
                <w:rFonts w:ascii="仿宋_GB2312" w:hAnsi="仿宋_GB2312" w:eastAsia="仿宋_GB2312" w:cs="仿宋_GB2312"/>
                <w:kern w:val="0"/>
                <w:sz w:val="24"/>
                <w:szCs w:val="24"/>
              </w:rPr>
            </w:pPr>
          </w:p>
        </w:tc>
        <w:tc>
          <w:tcPr>
            <w:tcW w:w="10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传真</w:t>
            </w:r>
          </w:p>
        </w:tc>
        <w:tc>
          <w:tcPr>
            <w:tcW w:w="2144" w:type="dxa"/>
            <w:gridSpan w:val="3"/>
            <w:noWrap w:val="0"/>
            <w:vAlign w:val="center"/>
          </w:tcPr>
          <w:p>
            <w:pPr>
              <w:spacing w:line="360" w:lineRule="exact"/>
              <w:jc w:val="center"/>
              <w:rPr>
                <w:rFonts w:ascii="仿宋_GB2312" w:hAnsi="仿宋_GB2312" w:eastAsia="仿宋_GB2312" w:cs="仿宋_GB2312"/>
                <w:kern w:val="0"/>
                <w:sz w:val="24"/>
                <w:szCs w:val="24"/>
              </w:rPr>
            </w:pPr>
          </w:p>
        </w:tc>
        <w:tc>
          <w:tcPr>
            <w:tcW w:w="1384"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网址</w:t>
            </w:r>
          </w:p>
        </w:tc>
        <w:tc>
          <w:tcPr>
            <w:tcW w:w="2114" w:type="dxa"/>
            <w:gridSpan w:val="3"/>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组织结构</w:t>
            </w:r>
          </w:p>
        </w:tc>
        <w:tc>
          <w:tcPr>
            <w:tcW w:w="6670" w:type="dxa"/>
            <w:gridSpan w:val="10"/>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法定代表</w:t>
            </w:r>
          </w:p>
        </w:tc>
        <w:tc>
          <w:tcPr>
            <w:tcW w:w="10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姓名</w:t>
            </w: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1238"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技术职称</w:t>
            </w:r>
          </w:p>
        </w:tc>
        <w:tc>
          <w:tcPr>
            <w:tcW w:w="1102" w:type="dxa"/>
            <w:noWrap w:val="0"/>
            <w:vAlign w:val="center"/>
          </w:tcPr>
          <w:p>
            <w:pPr>
              <w:spacing w:line="360" w:lineRule="exact"/>
              <w:jc w:val="center"/>
              <w:rPr>
                <w:rFonts w:ascii="仿宋_GB2312" w:hAnsi="仿宋_GB2312" w:eastAsia="仿宋_GB2312" w:cs="仿宋_GB2312"/>
                <w:kern w:val="0"/>
                <w:sz w:val="24"/>
                <w:szCs w:val="24"/>
              </w:rPr>
            </w:pPr>
          </w:p>
        </w:tc>
        <w:tc>
          <w:tcPr>
            <w:tcW w:w="1171"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电话</w:t>
            </w:r>
          </w:p>
        </w:tc>
        <w:tc>
          <w:tcPr>
            <w:tcW w:w="1157" w:type="dxa"/>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技术负责人</w:t>
            </w:r>
          </w:p>
        </w:tc>
        <w:tc>
          <w:tcPr>
            <w:tcW w:w="10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姓名</w:t>
            </w: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1238"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技术职称</w:t>
            </w:r>
          </w:p>
        </w:tc>
        <w:tc>
          <w:tcPr>
            <w:tcW w:w="1102" w:type="dxa"/>
            <w:noWrap w:val="0"/>
            <w:vAlign w:val="center"/>
          </w:tcPr>
          <w:p>
            <w:pPr>
              <w:spacing w:line="360" w:lineRule="exact"/>
              <w:jc w:val="center"/>
              <w:rPr>
                <w:rFonts w:ascii="仿宋_GB2312" w:hAnsi="仿宋_GB2312" w:eastAsia="仿宋_GB2312" w:cs="仿宋_GB2312"/>
                <w:kern w:val="0"/>
                <w:sz w:val="24"/>
                <w:szCs w:val="24"/>
              </w:rPr>
            </w:pPr>
          </w:p>
        </w:tc>
        <w:tc>
          <w:tcPr>
            <w:tcW w:w="1171" w:type="dxa"/>
            <w:gridSpan w:val="3"/>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电话</w:t>
            </w:r>
          </w:p>
        </w:tc>
        <w:tc>
          <w:tcPr>
            <w:tcW w:w="1157" w:type="dxa"/>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成立时间</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4668" w:type="dxa"/>
            <w:gridSpan w:val="8"/>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企业资质等级</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926"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其中</w:t>
            </w:r>
          </w:p>
        </w:tc>
        <w:tc>
          <w:tcPr>
            <w:tcW w:w="1724" w:type="dxa"/>
            <w:gridSpan w:val="5"/>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项目经理</w:t>
            </w:r>
          </w:p>
        </w:tc>
        <w:tc>
          <w:tcPr>
            <w:tcW w:w="2018" w:type="dxa"/>
            <w:gridSpan w:val="2"/>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营业执照号</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926" w:type="dxa"/>
            <w:vMerge w:val="continue"/>
            <w:noWrap w:val="0"/>
            <w:vAlign w:val="center"/>
          </w:tcPr>
          <w:p>
            <w:pPr>
              <w:spacing w:line="360" w:lineRule="exact"/>
              <w:jc w:val="center"/>
              <w:rPr>
                <w:rFonts w:ascii="仿宋_GB2312" w:hAnsi="仿宋_GB2312" w:eastAsia="仿宋_GB2312" w:cs="仿宋_GB2312"/>
                <w:kern w:val="0"/>
                <w:sz w:val="24"/>
                <w:szCs w:val="24"/>
              </w:rPr>
            </w:pPr>
          </w:p>
        </w:tc>
        <w:tc>
          <w:tcPr>
            <w:tcW w:w="1724" w:type="dxa"/>
            <w:gridSpan w:val="5"/>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高级职称人员</w:t>
            </w:r>
          </w:p>
        </w:tc>
        <w:tc>
          <w:tcPr>
            <w:tcW w:w="2018" w:type="dxa"/>
            <w:gridSpan w:val="2"/>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注册资金</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926" w:type="dxa"/>
            <w:vMerge w:val="continue"/>
            <w:noWrap w:val="0"/>
            <w:vAlign w:val="center"/>
          </w:tcPr>
          <w:p>
            <w:pPr>
              <w:spacing w:line="360" w:lineRule="exact"/>
              <w:jc w:val="center"/>
              <w:rPr>
                <w:rFonts w:ascii="仿宋_GB2312" w:hAnsi="仿宋_GB2312" w:eastAsia="仿宋_GB2312" w:cs="仿宋_GB2312"/>
                <w:kern w:val="0"/>
                <w:sz w:val="24"/>
                <w:szCs w:val="24"/>
              </w:rPr>
            </w:pPr>
          </w:p>
        </w:tc>
        <w:tc>
          <w:tcPr>
            <w:tcW w:w="1724" w:type="dxa"/>
            <w:gridSpan w:val="5"/>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中级职称人员</w:t>
            </w:r>
          </w:p>
        </w:tc>
        <w:tc>
          <w:tcPr>
            <w:tcW w:w="2018" w:type="dxa"/>
            <w:gridSpan w:val="2"/>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开户银行</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926" w:type="dxa"/>
            <w:vMerge w:val="continue"/>
            <w:noWrap w:val="0"/>
            <w:vAlign w:val="center"/>
          </w:tcPr>
          <w:p>
            <w:pPr>
              <w:spacing w:line="360" w:lineRule="exact"/>
              <w:jc w:val="center"/>
              <w:rPr>
                <w:rFonts w:ascii="仿宋_GB2312" w:hAnsi="仿宋_GB2312" w:eastAsia="仿宋_GB2312" w:cs="仿宋_GB2312"/>
                <w:kern w:val="0"/>
                <w:sz w:val="24"/>
                <w:szCs w:val="24"/>
              </w:rPr>
            </w:pPr>
          </w:p>
        </w:tc>
        <w:tc>
          <w:tcPr>
            <w:tcW w:w="1724" w:type="dxa"/>
            <w:gridSpan w:val="5"/>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初级职称人员</w:t>
            </w:r>
          </w:p>
        </w:tc>
        <w:tc>
          <w:tcPr>
            <w:tcW w:w="2018" w:type="dxa"/>
            <w:gridSpan w:val="2"/>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账号</w:t>
            </w:r>
          </w:p>
        </w:tc>
        <w:tc>
          <w:tcPr>
            <w:tcW w:w="1028" w:type="dxa"/>
            <w:noWrap w:val="0"/>
            <w:vAlign w:val="center"/>
          </w:tcPr>
          <w:p>
            <w:pPr>
              <w:spacing w:line="360" w:lineRule="exact"/>
              <w:jc w:val="center"/>
              <w:rPr>
                <w:rFonts w:ascii="仿宋_GB2312" w:hAnsi="仿宋_GB2312" w:eastAsia="仿宋_GB2312" w:cs="仿宋_GB2312"/>
                <w:kern w:val="0"/>
                <w:sz w:val="24"/>
                <w:szCs w:val="24"/>
              </w:rPr>
            </w:pPr>
          </w:p>
        </w:tc>
        <w:tc>
          <w:tcPr>
            <w:tcW w:w="974" w:type="dxa"/>
            <w:noWrap w:val="0"/>
            <w:vAlign w:val="center"/>
          </w:tcPr>
          <w:p>
            <w:pPr>
              <w:spacing w:line="360" w:lineRule="exact"/>
              <w:jc w:val="center"/>
              <w:rPr>
                <w:rFonts w:ascii="仿宋_GB2312" w:hAnsi="仿宋_GB2312" w:eastAsia="仿宋_GB2312" w:cs="仿宋_GB2312"/>
                <w:kern w:val="0"/>
                <w:sz w:val="24"/>
                <w:szCs w:val="24"/>
              </w:rPr>
            </w:pPr>
          </w:p>
        </w:tc>
        <w:tc>
          <w:tcPr>
            <w:tcW w:w="926" w:type="dxa"/>
            <w:vMerge w:val="continue"/>
            <w:noWrap w:val="0"/>
            <w:vAlign w:val="center"/>
          </w:tcPr>
          <w:p>
            <w:pPr>
              <w:spacing w:line="360" w:lineRule="exact"/>
              <w:jc w:val="center"/>
              <w:rPr>
                <w:rFonts w:ascii="仿宋_GB2312" w:hAnsi="仿宋_GB2312" w:eastAsia="仿宋_GB2312" w:cs="仿宋_GB2312"/>
                <w:kern w:val="0"/>
                <w:sz w:val="24"/>
                <w:szCs w:val="24"/>
              </w:rPr>
            </w:pPr>
          </w:p>
        </w:tc>
        <w:tc>
          <w:tcPr>
            <w:tcW w:w="1724" w:type="dxa"/>
            <w:gridSpan w:val="5"/>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技工</w:t>
            </w:r>
          </w:p>
        </w:tc>
        <w:tc>
          <w:tcPr>
            <w:tcW w:w="2018" w:type="dxa"/>
            <w:gridSpan w:val="2"/>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经营范围</w:t>
            </w:r>
          </w:p>
        </w:tc>
        <w:tc>
          <w:tcPr>
            <w:tcW w:w="6670" w:type="dxa"/>
            <w:gridSpan w:val="10"/>
            <w:noWrap w:val="0"/>
            <w:vAlign w:val="center"/>
          </w:tcPr>
          <w:p>
            <w:pPr>
              <w:spacing w:line="360" w:lineRule="exact"/>
              <w:jc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28" w:type="dxa"/>
            <w:noWrap w:val="0"/>
            <w:vAlign w:val="center"/>
          </w:tcPr>
          <w:p>
            <w:pPr>
              <w:spacing w:line="3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备注</w:t>
            </w:r>
          </w:p>
        </w:tc>
        <w:tc>
          <w:tcPr>
            <w:tcW w:w="6670" w:type="dxa"/>
            <w:gridSpan w:val="10"/>
            <w:noWrap w:val="0"/>
            <w:vAlign w:val="center"/>
          </w:tcPr>
          <w:p>
            <w:pPr>
              <w:spacing w:line="360" w:lineRule="exact"/>
              <w:jc w:val="center"/>
              <w:rPr>
                <w:rFonts w:ascii="仿宋_GB2312" w:hAnsi="仿宋_GB2312" w:eastAsia="仿宋_GB2312" w:cs="仿宋_GB2312"/>
                <w:kern w:val="0"/>
                <w:sz w:val="24"/>
                <w:szCs w:val="24"/>
              </w:rPr>
            </w:pPr>
          </w:p>
        </w:tc>
      </w:tr>
    </w:tbl>
    <w:p>
      <w:pPr>
        <w:spacing w:before="624" w:beforeLines="200" w:line="320" w:lineRule="exact"/>
        <w:rPr>
          <w:rFonts w:ascii="仿宋_GB2312" w:hAnsi="仿宋_GB2312" w:eastAsia="仿宋_GB2312" w:cs="仿宋_GB2312"/>
          <w:sz w:val="24"/>
          <w:szCs w:val="24"/>
        </w:rPr>
      </w:pPr>
      <w:r>
        <w:rPr>
          <w:rFonts w:ascii="仿宋_GB2312" w:hAnsi="仿宋_GB2312" w:eastAsia="仿宋_GB2312" w:cs="仿宋_GB2312"/>
          <w:sz w:val="24"/>
          <w:szCs w:val="24"/>
        </w:rPr>
        <w:t>备注：后附投标人相应资质证明文件、项目经理资格证书等。</w:t>
      </w: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投 标 人：</w:t>
      </w:r>
      <w:r>
        <w:rPr>
          <w:rFonts w:ascii="仿宋_GB2312" w:hAnsi="仿宋_GB2312" w:eastAsia="仿宋_GB2312" w:cs="仿宋_GB2312"/>
          <w:sz w:val="24"/>
          <w:szCs w:val="24"/>
          <w:u w:val="single"/>
        </w:rPr>
        <w:t xml:space="preserve">              （盖公章）                       </w:t>
      </w: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法定代表人（或委托代理人）（签字）：</w:t>
      </w:r>
      <w:r>
        <w:rPr>
          <w:rFonts w:ascii="仿宋_GB2312" w:hAnsi="仿宋_GB2312" w:eastAsia="仿宋_GB2312" w:cs="仿宋_GB2312"/>
          <w:sz w:val="24"/>
          <w:szCs w:val="24"/>
          <w:u w:val="single"/>
        </w:rPr>
        <w:t xml:space="preserve">                </w:t>
      </w: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日期：_____年____月____日</w:t>
      </w:r>
    </w:p>
    <w:p>
      <w:pPr>
        <w:overflowPunct w:val="0"/>
        <w:spacing w:line="360" w:lineRule="auto"/>
        <w:jc w:val="left"/>
        <w:rPr>
          <w:rFonts w:ascii="仿宋_GB2312" w:hAnsi="仿宋_GB2312" w:eastAsia="仿宋_GB2312" w:cs="仿宋_GB2312"/>
          <w:b/>
          <w:bCs/>
          <w:sz w:val="24"/>
          <w:szCs w:val="24"/>
        </w:rPr>
      </w:pPr>
    </w:p>
    <w:p>
      <w:pPr>
        <w:overflowPunct w:val="0"/>
        <w:spacing w:line="360" w:lineRule="auto"/>
        <w:jc w:val="left"/>
        <w:rPr>
          <w:rFonts w:hint="eastAsia" w:ascii="仿宋_GB2312" w:hAnsi="仿宋_GB2312" w:eastAsia="仿宋_GB2312" w:cs="仿宋_GB2312"/>
          <w:b/>
          <w:bCs/>
          <w:sz w:val="28"/>
          <w:szCs w:val="28"/>
        </w:rPr>
      </w:pPr>
      <w:r>
        <w:rPr>
          <w:rFonts w:ascii="仿宋_GB2312" w:hAnsi="仿宋_GB2312" w:eastAsia="仿宋_GB2312" w:cs="仿宋_GB2312"/>
          <w:b/>
          <w:bCs/>
          <w:sz w:val="28"/>
          <w:szCs w:val="28"/>
        </w:rPr>
        <w:br w:type="page"/>
      </w:r>
      <w:r>
        <w:rPr>
          <w:rFonts w:ascii="仿宋_GB2312" w:hAnsi="仿宋_GB2312" w:eastAsia="仿宋_GB2312" w:cs="仿宋_GB2312"/>
          <w:b/>
          <w:bCs/>
          <w:sz w:val="28"/>
          <w:szCs w:val="28"/>
        </w:rPr>
        <w:t xml:space="preserve">附件八：                </w:t>
      </w:r>
    </w:p>
    <w:p>
      <w:pPr>
        <w:overflowPunct w:val="0"/>
        <w:spacing w:line="360" w:lineRule="auto"/>
        <w:jc w:val="center"/>
        <w:rPr>
          <w:rFonts w:hint="eastAsia" w:ascii="仿宋_GB2312" w:hAnsi="仿宋_GB2312" w:eastAsia="仿宋_GB2312" w:cs="仿宋_GB2312"/>
          <w:b/>
          <w:sz w:val="28"/>
          <w:szCs w:val="28"/>
        </w:rPr>
      </w:pPr>
      <w:r>
        <w:rPr>
          <w:rFonts w:ascii="仿宋_GB2312" w:hAnsi="仿宋_GB2312" w:eastAsia="仿宋_GB2312" w:cs="仿宋_GB2312"/>
          <w:b/>
          <w:sz w:val="28"/>
          <w:szCs w:val="28"/>
        </w:rPr>
        <w:t>投标设备报告</w:t>
      </w:r>
    </w:p>
    <w:p>
      <w:pPr>
        <w:overflowPunct w:val="0"/>
        <w:spacing w:line="360" w:lineRule="auto"/>
        <w:jc w:val="center"/>
        <w:rPr>
          <w:rFonts w:hint="eastAsia" w:ascii="仿宋_GB2312" w:hAnsi="仿宋_GB2312" w:eastAsia="仿宋_GB2312" w:cs="仿宋_GB2312"/>
          <w:b/>
          <w:bCs/>
          <w:sz w:val="28"/>
          <w:szCs w:val="28"/>
        </w:rPr>
      </w:pP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1、投标设备型号，规格，全套设备总重量，最大单件重量，技术参数和说明。</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2、投标设备的质量标准,检验监测标准、方法,测试手段及产品检验报告或鉴定、合格证书。</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3、投标产品技术偏离表</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4、维保计划；</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5、其他</w:t>
      </w:r>
    </w:p>
    <w:p>
      <w:pPr>
        <w:overflowPunct w:val="0"/>
        <w:spacing w:line="500" w:lineRule="exact"/>
        <w:rPr>
          <w:rFonts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ascii="仿宋_GB2312" w:hAnsi="仿宋_GB2312" w:eastAsia="仿宋_GB2312" w:cs="仿宋_GB2312"/>
          <w:b/>
          <w:bCs/>
          <w:sz w:val="28"/>
          <w:szCs w:val="28"/>
        </w:rPr>
      </w:pPr>
    </w:p>
    <w:p>
      <w:pPr>
        <w:tabs>
          <w:tab w:val="left" w:pos="842"/>
        </w:tabs>
        <w:overflowPunct w:val="0"/>
        <w:spacing w:line="360" w:lineRule="auto"/>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附件九:</w:t>
      </w:r>
    </w:p>
    <w:p>
      <w:pPr>
        <w:overflowPunct w:val="0"/>
        <w:spacing w:line="360" w:lineRule="auto"/>
        <w:jc w:val="center"/>
        <w:rPr>
          <w:rFonts w:ascii="仿宋_GB2312" w:hAnsi="仿宋_GB2312" w:eastAsia="仿宋_GB2312" w:cs="仿宋_GB2312"/>
          <w:b/>
          <w:sz w:val="28"/>
          <w:szCs w:val="28"/>
        </w:rPr>
      </w:pPr>
      <w:r>
        <w:rPr>
          <w:rFonts w:ascii="仿宋_GB2312" w:hAnsi="仿宋_GB2312" w:eastAsia="仿宋_GB2312" w:cs="仿宋_GB2312"/>
          <w:b/>
          <w:sz w:val="28"/>
          <w:szCs w:val="28"/>
        </w:rPr>
        <w:t>商 务 条 款 偏 离 表</w:t>
      </w:r>
    </w:p>
    <w:p>
      <w:pPr>
        <w:overflowPunct w:val="0"/>
        <w:spacing w:line="360" w:lineRule="auto"/>
        <w:ind w:firstLine="600" w:firstLineChars="25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项目</w:t>
      </w:r>
      <w:r>
        <w:rPr>
          <w:rFonts w:ascii="仿宋_GB2312" w:hAnsi="仿宋_GB2312" w:eastAsia="仿宋_GB2312" w:cs="仿宋_GB2312"/>
          <w:sz w:val="24"/>
          <w:szCs w:val="24"/>
        </w:rPr>
        <w:t>名称：                               文件编号：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800"/>
        <w:gridCol w:w="1980"/>
        <w:gridCol w:w="18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7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44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招标文件条目号</w:t>
            </w: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招标文件的商务条款</w:t>
            </w:r>
          </w:p>
        </w:tc>
        <w:tc>
          <w:tcPr>
            <w:tcW w:w="198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投标文件的</w:t>
            </w:r>
          </w:p>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商务条款</w:t>
            </w: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偏离</w:t>
            </w:r>
          </w:p>
        </w:tc>
        <w:tc>
          <w:tcPr>
            <w:tcW w:w="1080" w:type="dxa"/>
            <w:noWrap w:val="0"/>
            <w:vAlign w:val="center"/>
          </w:tcPr>
          <w:p>
            <w:pPr>
              <w:overflowPunct w:val="0"/>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noWrap w:val="0"/>
            <w:vAlign w:val="center"/>
          </w:tcPr>
          <w:p>
            <w:pPr>
              <w:overflowPunct w:val="0"/>
              <w:spacing w:line="360" w:lineRule="auto"/>
              <w:jc w:val="center"/>
              <w:rPr>
                <w:rFonts w:ascii="仿宋_GB2312" w:hAnsi="仿宋_GB2312" w:eastAsia="仿宋_GB2312" w:cs="仿宋_GB2312"/>
                <w:sz w:val="24"/>
                <w:szCs w:val="24"/>
              </w:rPr>
            </w:pPr>
          </w:p>
        </w:tc>
        <w:tc>
          <w:tcPr>
            <w:tcW w:w="1440" w:type="dxa"/>
            <w:noWrap w:val="0"/>
            <w:vAlign w:val="center"/>
          </w:tcPr>
          <w:p>
            <w:pPr>
              <w:overflowPunct w:val="0"/>
              <w:spacing w:line="360" w:lineRule="auto"/>
              <w:jc w:val="center"/>
              <w:rPr>
                <w:rFonts w:ascii="仿宋_GB2312" w:hAnsi="仿宋_GB2312" w:eastAsia="仿宋_GB2312" w:cs="仿宋_GB2312"/>
                <w:sz w:val="24"/>
                <w:szCs w:val="24"/>
              </w:rPr>
            </w:pP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p>
        </w:tc>
        <w:tc>
          <w:tcPr>
            <w:tcW w:w="1980" w:type="dxa"/>
            <w:noWrap w:val="0"/>
            <w:vAlign w:val="center"/>
          </w:tcPr>
          <w:p>
            <w:pPr>
              <w:overflowPunct w:val="0"/>
              <w:spacing w:line="360" w:lineRule="auto"/>
              <w:jc w:val="center"/>
              <w:rPr>
                <w:rFonts w:ascii="仿宋_GB2312" w:hAnsi="仿宋_GB2312" w:eastAsia="仿宋_GB2312" w:cs="仿宋_GB2312"/>
                <w:sz w:val="24"/>
                <w:szCs w:val="24"/>
              </w:rPr>
            </w:pP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p>
        </w:tc>
        <w:tc>
          <w:tcPr>
            <w:tcW w:w="1080" w:type="dxa"/>
            <w:noWrap w:val="0"/>
            <w:vAlign w:val="center"/>
          </w:tcPr>
          <w:p>
            <w:pPr>
              <w:overflowPunct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0" w:type="dxa"/>
            <w:noWrap w:val="0"/>
            <w:vAlign w:val="center"/>
          </w:tcPr>
          <w:p>
            <w:pPr>
              <w:overflowPunct w:val="0"/>
              <w:spacing w:line="360" w:lineRule="auto"/>
              <w:jc w:val="center"/>
              <w:rPr>
                <w:rFonts w:ascii="仿宋_GB2312" w:hAnsi="仿宋_GB2312" w:eastAsia="仿宋_GB2312" w:cs="仿宋_GB2312"/>
                <w:sz w:val="24"/>
                <w:szCs w:val="24"/>
              </w:rPr>
            </w:pPr>
          </w:p>
        </w:tc>
        <w:tc>
          <w:tcPr>
            <w:tcW w:w="1440" w:type="dxa"/>
            <w:noWrap w:val="0"/>
            <w:vAlign w:val="center"/>
          </w:tcPr>
          <w:p>
            <w:pPr>
              <w:overflowPunct w:val="0"/>
              <w:spacing w:line="360" w:lineRule="auto"/>
              <w:jc w:val="center"/>
              <w:rPr>
                <w:rFonts w:ascii="仿宋_GB2312" w:hAnsi="仿宋_GB2312" w:eastAsia="仿宋_GB2312" w:cs="仿宋_GB2312"/>
                <w:sz w:val="24"/>
                <w:szCs w:val="24"/>
              </w:rPr>
            </w:pP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p>
        </w:tc>
        <w:tc>
          <w:tcPr>
            <w:tcW w:w="1980" w:type="dxa"/>
            <w:noWrap w:val="0"/>
            <w:vAlign w:val="center"/>
          </w:tcPr>
          <w:p>
            <w:pPr>
              <w:overflowPunct w:val="0"/>
              <w:spacing w:line="360" w:lineRule="auto"/>
              <w:jc w:val="center"/>
              <w:rPr>
                <w:rFonts w:ascii="仿宋_GB2312" w:hAnsi="仿宋_GB2312" w:eastAsia="仿宋_GB2312" w:cs="仿宋_GB2312"/>
                <w:sz w:val="24"/>
                <w:szCs w:val="24"/>
              </w:rPr>
            </w:pPr>
          </w:p>
        </w:tc>
        <w:tc>
          <w:tcPr>
            <w:tcW w:w="1800" w:type="dxa"/>
            <w:noWrap w:val="0"/>
            <w:vAlign w:val="center"/>
          </w:tcPr>
          <w:p>
            <w:pPr>
              <w:overflowPunct w:val="0"/>
              <w:spacing w:line="360" w:lineRule="auto"/>
              <w:jc w:val="center"/>
              <w:rPr>
                <w:rFonts w:ascii="仿宋_GB2312" w:hAnsi="仿宋_GB2312" w:eastAsia="仿宋_GB2312" w:cs="仿宋_GB2312"/>
                <w:sz w:val="24"/>
                <w:szCs w:val="24"/>
              </w:rPr>
            </w:pPr>
          </w:p>
        </w:tc>
        <w:tc>
          <w:tcPr>
            <w:tcW w:w="1080" w:type="dxa"/>
            <w:noWrap w:val="0"/>
            <w:vAlign w:val="center"/>
          </w:tcPr>
          <w:p>
            <w:pPr>
              <w:overflowPunct w:val="0"/>
              <w:spacing w:line="360" w:lineRule="auto"/>
              <w:jc w:val="center"/>
              <w:rPr>
                <w:rFonts w:ascii="仿宋_GB2312" w:hAnsi="仿宋_GB2312" w:eastAsia="仿宋_GB2312" w:cs="仿宋_GB2312"/>
                <w:sz w:val="24"/>
                <w:szCs w:val="24"/>
              </w:rPr>
            </w:pPr>
          </w:p>
        </w:tc>
      </w:tr>
    </w:tbl>
    <w:p>
      <w:pPr>
        <w:overflowPunct w:val="0"/>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注:若有偏离,请将具体偏离条款在“偏离”一栏中详细说明；若无偏离,请在“偏离”一栏中标注“无”字样。</w:t>
      </w:r>
    </w:p>
    <w:p>
      <w:pPr>
        <w:overflowPunct w:val="0"/>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投标人法人或授权代表签字：</w:t>
      </w:r>
    </w:p>
    <w:p>
      <w:pPr>
        <w:overflowPunct w:val="0"/>
        <w:spacing w:line="360" w:lineRule="auto"/>
        <w:jc w:val="left"/>
        <w:rPr>
          <w:rFonts w:ascii="仿宋_GB2312" w:hAnsi="仿宋_GB2312" w:eastAsia="仿宋_GB2312" w:cs="仿宋_GB2312"/>
          <w:sz w:val="24"/>
          <w:szCs w:val="24"/>
        </w:rPr>
      </w:pPr>
    </w:p>
    <w:p>
      <w:pPr>
        <w:overflowPunct w:val="0"/>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投标人（公章）：</w:t>
      </w:r>
    </w:p>
    <w:p>
      <w:pPr>
        <w:overflowPunct w:val="0"/>
        <w:spacing w:line="360" w:lineRule="auto"/>
        <w:jc w:val="left"/>
        <w:rPr>
          <w:rFonts w:ascii="仿宋_GB2312" w:hAnsi="仿宋_GB2312" w:eastAsia="仿宋_GB2312" w:cs="仿宋_GB2312"/>
          <w:sz w:val="24"/>
          <w:szCs w:val="24"/>
        </w:rPr>
      </w:pPr>
    </w:p>
    <w:p>
      <w:pPr>
        <w:overflowPunct w:val="0"/>
        <w:spacing w:line="360" w:lineRule="auto"/>
        <w:ind w:firstLine="5760" w:firstLineChars="2400"/>
        <w:jc w:val="left"/>
        <w:rPr>
          <w:rFonts w:ascii="仿宋_GB2312" w:hAnsi="仿宋_GB2312" w:eastAsia="仿宋_GB2312" w:cs="仿宋_GB2312"/>
          <w:sz w:val="24"/>
          <w:szCs w:val="24"/>
        </w:rPr>
      </w:pPr>
      <w:r>
        <w:rPr>
          <w:rFonts w:ascii="仿宋_GB2312" w:hAnsi="仿宋_GB2312" w:eastAsia="仿宋_GB2312" w:cs="仿宋_GB2312"/>
          <w:sz w:val="24"/>
          <w:szCs w:val="24"/>
        </w:rPr>
        <w:t>年  月  日</w:t>
      </w:r>
    </w:p>
    <w:p>
      <w:pPr>
        <w:pStyle w:val="77"/>
        <w:spacing w:line="360" w:lineRule="auto"/>
        <w:ind w:left="-19" w:leftChars="-9" w:firstLine="625" w:firstLineChars="298"/>
        <w:jc w:val="left"/>
        <w:outlineLvl w:val="1"/>
        <w:rPr>
          <w:rFonts w:ascii="仿宋_GB2312" w:hAnsi="仿宋_GB2312" w:eastAsia="仿宋_GB2312" w:cs="仿宋_GB2312"/>
          <w:szCs w:val="24"/>
        </w:rPr>
        <w:sectPr>
          <w:pgSz w:w="11906" w:h="16838"/>
          <w:pgMar w:top="1440" w:right="1287" w:bottom="1440" w:left="1440" w:header="851" w:footer="992" w:gutter="0"/>
          <w:pgNumType w:fmt="decimal"/>
          <w:cols w:space="720" w:num="1"/>
          <w:docGrid w:type="lines" w:linePitch="312" w:charSpace="0"/>
        </w:sectPr>
      </w:pPr>
    </w:p>
    <w:p>
      <w:pPr>
        <w:overflowPunct w:val="0"/>
        <w:spacing w:line="360" w:lineRule="auto"/>
        <w:rPr>
          <w:rFonts w:hint="eastAsia" w:ascii="仿宋_GB2312" w:hAnsi="仿宋_GB2312" w:eastAsia="仿宋_GB2312" w:cs="仿宋_GB2312"/>
          <w:b/>
          <w:bCs/>
          <w:sz w:val="28"/>
          <w:szCs w:val="28"/>
        </w:rPr>
      </w:pPr>
      <w:r>
        <w:rPr>
          <w:rFonts w:ascii="仿宋_GB2312" w:hAnsi="仿宋_GB2312" w:eastAsia="仿宋_GB2312" w:cs="仿宋_GB2312"/>
          <w:b/>
          <w:bCs/>
          <w:sz w:val="28"/>
          <w:szCs w:val="28"/>
        </w:rPr>
        <w:t xml:space="preserve">附件十:                </w:t>
      </w:r>
    </w:p>
    <w:p>
      <w:pPr>
        <w:overflowPunct w:val="0"/>
        <w:spacing w:line="360" w:lineRule="auto"/>
        <w:jc w:val="center"/>
        <w:rPr>
          <w:rFonts w:ascii="仿宋_GB2312" w:hAnsi="仿宋_GB2312" w:eastAsia="仿宋_GB2312" w:cs="仿宋_GB2312"/>
          <w:b/>
          <w:bCs/>
          <w:sz w:val="28"/>
          <w:szCs w:val="28"/>
        </w:rPr>
      </w:pPr>
      <w:r>
        <w:rPr>
          <w:rFonts w:ascii="仿宋_GB2312" w:hAnsi="仿宋_GB2312" w:eastAsia="仿宋_GB2312" w:cs="仿宋_GB2312"/>
          <w:b/>
          <w:sz w:val="28"/>
          <w:szCs w:val="28"/>
        </w:rPr>
        <w:t>技 术 规 格 偏 离 表</w:t>
      </w:r>
    </w:p>
    <w:p>
      <w:pPr>
        <w:overflowPunct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项目</w:t>
      </w:r>
      <w:r>
        <w:rPr>
          <w:rFonts w:ascii="仿宋_GB2312" w:hAnsi="仿宋_GB2312" w:eastAsia="仿宋_GB2312" w:cs="仿宋_GB2312"/>
          <w:sz w:val="24"/>
          <w:szCs w:val="24"/>
        </w:rPr>
        <w:t>名称：                           文件编号：</w:t>
      </w:r>
    </w:p>
    <w:tbl>
      <w:tblPr>
        <w:tblStyle w:val="26"/>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28"/>
        <w:gridCol w:w="2094"/>
        <w:gridCol w:w="1476"/>
        <w:gridCol w:w="17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25"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628"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货物名称</w:t>
            </w:r>
          </w:p>
        </w:tc>
        <w:tc>
          <w:tcPr>
            <w:tcW w:w="2094"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招标文件条目号</w:t>
            </w:r>
          </w:p>
        </w:tc>
        <w:tc>
          <w:tcPr>
            <w:tcW w:w="1476"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规格</w:t>
            </w:r>
          </w:p>
        </w:tc>
        <w:tc>
          <w:tcPr>
            <w:tcW w:w="1752"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偏离</w:t>
            </w:r>
          </w:p>
        </w:tc>
        <w:tc>
          <w:tcPr>
            <w:tcW w:w="1440"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5" w:type="dxa"/>
            <w:noWrap w:val="0"/>
            <w:vAlign w:val="top"/>
          </w:tcPr>
          <w:p>
            <w:pPr>
              <w:overflowPunct w:val="0"/>
              <w:rPr>
                <w:rFonts w:ascii="仿宋_GB2312" w:hAnsi="仿宋_GB2312" w:eastAsia="仿宋_GB2312" w:cs="仿宋_GB2312"/>
                <w:sz w:val="24"/>
                <w:szCs w:val="24"/>
              </w:rPr>
            </w:pPr>
          </w:p>
        </w:tc>
        <w:tc>
          <w:tcPr>
            <w:tcW w:w="1628" w:type="dxa"/>
            <w:noWrap w:val="0"/>
            <w:vAlign w:val="top"/>
          </w:tcPr>
          <w:p>
            <w:pPr>
              <w:overflowPunct w:val="0"/>
              <w:rPr>
                <w:rFonts w:ascii="仿宋_GB2312" w:hAnsi="仿宋_GB2312" w:eastAsia="仿宋_GB2312" w:cs="仿宋_GB2312"/>
                <w:sz w:val="24"/>
                <w:szCs w:val="24"/>
              </w:rPr>
            </w:pPr>
          </w:p>
        </w:tc>
        <w:tc>
          <w:tcPr>
            <w:tcW w:w="2094" w:type="dxa"/>
            <w:noWrap w:val="0"/>
            <w:vAlign w:val="center"/>
          </w:tcPr>
          <w:p>
            <w:pPr>
              <w:overflowPunct w:val="0"/>
              <w:jc w:val="center"/>
              <w:rPr>
                <w:rFonts w:ascii="仿宋_GB2312" w:hAnsi="仿宋_GB2312" w:eastAsia="仿宋_GB2312" w:cs="仿宋_GB2312"/>
                <w:sz w:val="24"/>
                <w:szCs w:val="24"/>
              </w:rPr>
            </w:pPr>
          </w:p>
        </w:tc>
        <w:tc>
          <w:tcPr>
            <w:tcW w:w="1476" w:type="dxa"/>
            <w:noWrap w:val="0"/>
            <w:vAlign w:val="top"/>
          </w:tcPr>
          <w:p>
            <w:pPr>
              <w:overflowPunct w:val="0"/>
              <w:rPr>
                <w:rFonts w:ascii="仿宋_GB2312" w:hAnsi="仿宋_GB2312" w:eastAsia="仿宋_GB2312" w:cs="仿宋_GB2312"/>
                <w:sz w:val="24"/>
                <w:szCs w:val="24"/>
              </w:rPr>
            </w:pPr>
          </w:p>
        </w:tc>
        <w:tc>
          <w:tcPr>
            <w:tcW w:w="1752" w:type="dxa"/>
            <w:noWrap w:val="0"/>
            <w:vAlign w:val="top"/>
          </w:tcPr>
          <w:p>
            <w:pPr>
              <w:overflowPunct w:val="0"/>
              <w:rPr>
                <w:rFonts w:ascii="仿宋_GB2312" w:hAnsi="仿宋_GB2312" w:eastAsia="仿宋_GB2312" w:cs="仿宋_GB2312"/>
                <w:sz w:val="24"/>
                <w:szCs w:val="24"/>
              </w:rPr>
            </w:pPr>
          </w:p>
        </w:tc>
        <w:tc>
          <w:tcPr>
            <w:tcW w:w="1440" w:type="dxa"/>
            <w:noWrap w:val="0"/>
            <w:vAlign w:val="top"/>
          </w:tcPr>
          <w:p>
            <w:pPr>
              <w:overflowPunct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5" w:type="dxa"/>
            <w:noWrap w:val="0"/>
            <w:vAlign w:val="top"/>
          </w:tcPr>
          <w:p>
            <w:pPr>
              <w:overflowPunct w:val="0"/>
              <w:rPr>
                <w:rFonts w:ascii="仿宋_GB2312" w:hAnsi="仿宋_GB2312" w:eastAsia="仿宋_GB2312" w:cs="仿宋_GB2312"/>
                <w:sz w:val="24"/>
                <w:szCs w:val="24"/>
              </w:rPr>
            </w:pPr>
          </w:p>
        </w:tc>
        <w:tc>
          <w:tcPr>
            <w:tcW w:w="1628" w:type="dxa"/>
            <w:noWrap w:val="0"/>
            <w:vAlign w:val="top"/>
          </w:tcPr>
          <w:p>
            <w:pPr>
              <w:overflowPunct w:val="0"/>
              <w:rPr>
                <w:rFonts w:ascii="仿宋_GB2312" w:hAnsi="仿宋_GB2312" w:eastAsia="仿宋_GB2312" w:cs="仿宋_GB2312"/>
                <w:sz w:val="24"/>
                <w:szCs w:val="24"/>
              </w:rPr>
            </w:pPr>
          </w:p>
        </w:tc>
        <w:tc>
          <w:tcPr>
            <w:tcW w:w="2094" w:type="dxa"/>
            <w:noWrap w:val="0"/>
            <w:vAlign w:val="top"/>
          </w:tcPr>
          <w:p>
            <w:pPr>
              <w:overflowPunct w:val="0"/>
              <w:rPr>
                <w:rFonts w:ascii="仿宋_GB2312" w:hAnsi="仿宋_GB2312" w:eastAsia="仿宋_GB2312" w:cs="仿宋_GB2312"/>
                <w:sz w:val="24"/>
                <w:szCs w:val="24"/>
              </w:rPr>
            </w:pPr>
          </w:p>
        </w:tc>
        <w:tc>
          <w:tcPr>
            <w:tcW w:w="1476" w:type="dxa"/>
            <w:noWrap w:val="0"/>
            <w:vAlign w:val="top"/>
          </w:tcPr>
          <w:p>
            <w:pPr>
              <w:overflowPunct w:val="0"/>
              <w:rPr>
                <w:rFonts w:ascii="仿宋_GB2312" w:hAnsi="仿宋_GB2312" w:eastAsia="仿宋_GB2312" w:cs="仿宋_GB2312"/>
                <w:sz w:val="24"/>
                <w:szCs w:val="24"/>
              </w:rPr>
            </w:pPr>
          </w:p>
        </w:tc>
        <w:tc>
          <w:tcPr>
            <w:tcW w:w="1752" w:type="dxa"/>
            <w:noWrap w:val="0"/>
            <w:vAlign w:val="top"/>
          </w:tcPr>
          <w:p>
            <w:pPr>
              <w:overflowPunct w:val="0"/>
              <w:rPr>
                <w:rFonts w:ascii="仿宋_GB2312" w:hAnsi="仿宋_GB2312" w:eastAsia="仿宋_GB2312" w:cs="仿宋_GB2312"/>
                <w:sz w:val="24"/>
                <w:szCs w:val="24"/>
              </w:rPr>
            </w:pPr>
          </w:p>
        </w:tc>
        <w:tc>
          <w:tcPr>
            <w:tcW w:w="1440" w:type="dxa"/>
            <w:noWrap w:val="0"/>
            <w:vAlign w:val="top"/>
          </w:tcPr>
          <w:p>
            <w:pPr>
              <w:overflowPunct w:val="0"/>
              <w:rPr>
                <w:rFonts w:ascii="仿宋_GB2312" w:hAnsi="仿宋_GB2312" w:eastAsia="仿宋_GB2312" w:cs="仿宋_GB2312"/>
                <w:sz w:val="24"/>
                <w:szCs w:val="24"/>
              </w:rPr>
            </w:pPr>
          </w:p>
        </w:tc>
      </w:tr>
    </w:tbl>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注:若有偏离,请将具体偏离条款在“偏离”一栏中详细说明；若无偏离,请在“偏离”一栏中标注“无”字样.</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p>
    <w:p>
      <w:pPr>
        <w:overflowPunct w:val="0"/>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投标人法人或授权代表签字：</w:t>
      </w:r>
    </w:p>
    <w:p>
      <w:pPr>
        <w:overflowPunct w:val="0"/>
        <w:spacing w:line="360" w:lineRule="auto"/>
        <w:ind w:firstLine="600" w:firstLineChars="250"/>
        <w:rPr>
          <w:rFonts w:ascii="仿宋_GB2312" w:hAnsi="仿宋_GB2312" w:eastAsia="仿宋_GB2312" w:cs="仿宋_GB2312"/>
          <w:sz w:val="24"/>
          <w:szCs w:val="24"/>
        </w:rPr>
      </w:pPr>
      <w:r>
        <w:rPr>
          <w:rFonts w:ascii="仿宋_GB2312" w:hAnsi="仿宋_GB2312" w:eastAsia="仿宋_GB2312" w:cs="仿宋_GB2312"/>
          <w:sz w:val="24"/>
          <w:szCs w:val="24"/>
        </w:rPr>
        <w:t>投标人（公章）：</w:t>
      </w:r>
    </w:p>
    <w:p>
      <w:pPr>
        <w:overflowPunct w:val="0"/>
        <w:spacing w:line="360" w:lineRule="auto"/>
        <w:ind w:firstLine="6840" w:firstLineChars="2850"/>
        <w:rPr>
          <w:rFonts w:ascii="仿宋_GB2312" w:hAnsi="仿宋_GB2312" w:eastAsia="仿宋_GB2312" w:cs="仿宋_GB2312"/>
          <w:sz w:val="24"/>
          <w:szCs w:val="24"/>
        </w:rPr>
      </w:pPr>
      <w:r>
        <w:rPr>
          <w:rFonts w:ascii="仿宋_GB2312" w:hAnsi="仿宋_GB2312" w:eastAsia="仿宋_GB2312" w:cs="仿宋_GB2312"/>
          <w:sz w:val="24"/>
          <w:szCs w:val="24"/>
        </w:rPr>
        <w:t>年  月  日</w:t>
      </w: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r>
        <w:rPr>
          <w:rFonts w:ascii="仿宋_GB2312" w:hAnsi="仿宋_GB2312" w:eastAsia="仿宋_GB2312" w:cs="仿宋_GB2312"/>
          <w:b/>
          <w:bCs/>
          <w:sz w:val="28"/>
          <w:szCs w:val="28"/>
        </w:rPr>
        <w:t xml:space="preserve">附件十一:                     </w:t>
      </w:r>
    </w:p>
    <w:p>
      <w:pPr>
        <w:overflowPunct w:val="0"/>
        <w:spacing w:line="500" w:lineRule="exact"/>
        <w:jc w:val="center"/>
        <w:rPr>
          <w:rFonts w:ascii="仿宋_GB2312" w:hAnsi="仿宋_GB2312" w:eastAsia="仿宋_GB2312" w:cs="仿宋_GB2312"/>
          <w:b/>
          <w:bCs/>
          <w:sz w:val="28"/>
          <w:szCs w:val="28"/>
        </w:rPr>
      </w:pPr>
      <w:r>
        <w:rPr>
          <w:rFonts w:ascii="仿宋_GB2312" w:hAnsi="仿宋_GB2312" w:eastAsia="仿宋_GB2312" w:cs="仿宋_GB2312"/>
          <w:b/>
          <w:sz w:val="28"/>
          <w:szCs w:val="28"/>
        </w:rPr>
        <w:t>公司近三年业绩表</w:t>
      </w:r>
    </w:p>
    <w:p>
      <w:pPr>
        <w:overflowPunct w:val="0"/>
        <w:spacing w:line="500" w:lineRule="exact"/>
        <w:jc w:val="center"/>
        <w:rPr>
          <w:rFonts w:ascii="仿宋_GB2312" w:hAnsi="仿宋_GB2312" w:eastAsia="仿宋_GB2312" w:cs="仿宋_GB2312"/>
          <w:b/>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56"/>
        <w:gridCol w:w="1568"/>
        <w:gridCol w:w="1568"/>
        <w:gridCol w:w="980"/>
        <w:gridCol w:w="1568"/>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11"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序号</w:t>
            </w:r>
          </w:p>
        </w:tc>
        <w:tc>
          <w:tcPr>
            <w:tcW w:w="1556"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项目名称</w:t>
            </w:r>
          </w:p>
        </w:tc>
        <w:tc>
          <w:tcPr>
            <w:tcW w:w="1568"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所在地区</w:t>
            </w:r>
          </w:p>
        </w:tc>
        <w:tc>
          <w:tcPr>
            <w:tcW w:w="1568"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设备型号</w:t>
            </w:r>
          </w:p>
        </w:tc>
        <w:tc>
          <w:tcPr>
            <w:tcW w:w="980"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数量</w:t>
            </w:r>
          </w:p>
        </w:tc>
        <w:tc>
          <w:tcPr>
            <w:tcW w:w="1568"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交货时间</w:t>
            </w:r>
          </w:p>
        </w:tc>
        <w:tc>
          <w:tcPr>
            <w:tcW w:w="1663" w:type="dxa"/>
            <w:noWrap w:val="0"/>
            <w:vAlign w:val="center"/>
          </w:tcPr>
          <w:p>
            <w:pPr>
              <w:overflowPunct w:val="0"/>
              <w:jc w:val="center"/>
              <w:rPr>
                <w:rFonts w:ascii="仿宋_GB2312" w:hAnsi="仿宋_GB2312" w:eastAsia="仿宋_GB2312" w:cs="仿宋_GB2312"/>
                <w:sz w:val="24"/>
                <w:szCs w:val="24"/>
              </w:rPr>
            </w:pPr>
            <w:r>
              <w:rPr>
                <w:rFonts w:ascii="仿宋_GB2312" w:hAnsi="仿宋_GB2312" w:eastAsia="仿宋_GB2312" w:cs="仿宋_GB2312"/>
                <w:sz w:val="24"/>
                <w:szCs w:val="24"/>
              </w:rPr>
              <w:t>中标价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1" w:type="dxa"/>
            <w:noWrap w:val="0"/>
            <w:vAlign w:val="center"/>
          </w:tcPr>
          <w:p>
            <w:pPr>
              <w:overflowPunct w:val="0"/>
              <w:jc w:val="center"/>
              <w:rPr>
                <w:rFonts w:ascii="仿宋_GB2312" w:hAnsi="仿宋_GB2312" w:eastAsia="仿宋_GB2312" w:cs="仿宋_GB2312"/>
                <w:sz w:val="24"/>
                <w:szCs w:val="24"/>
              </w:rPr>
            </w:pPr>
          </w:p>
        </w:tc>
        <w:tc>
          <w:tcPr>
            <w:tcW w:w="1556"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980"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663" w:type="dxa"/>
            <w:noWrap w:val="0"/>
            <w:vAlign w:val="center"/>
          </w:tcPr>
          <w:p>
            <w:pPr>
              <w:overflowPunct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1" w:type="dxa"/>
            <w:noWrap w:val="0"/>
            <w:vAlign w:val="center"/>
          </w:tcPr>
          <w:p>
            <w:pPr>
              <w:overflowPunct w:val="0"/>
              <w:jc w:val="center"/>
              <w:rPr>
                <w:rFonts w:ascii="仿宋_GB2312" w:hAnsi="仿宋_GB2312" w:eastAsia="仿宋_GB2312" w:cs="仿宋_GB2312"/>
                <w:sz w:val="24"/>
                <w:szCs w:val="24"/>
              </w:rPr>
            </w:pPr>
          </w:p>
        </w:tc>
        <w:tc>
          <w:tcPr>
            <w:tcW w:w="1556"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980"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663" w:type="dxa"/>
            <w:noWrap w:val="0"/>
            <w:vAlign w:val="center"/>
          </w:tcPr>
          <w:p>
            <w:pPr>
              <w:overflowPunct w:val="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11" w:type="dxa"/>
            <w:noWrap w:val="0"/>
            <w:vAlign w:val="center"/>
          </w:tcPr>
          <w:p>
            <w:pPr>
              <w:overflowPunct w:val="0"/>
              <w:jc w:val="center"/>
              <w:rPr>
                <w:rFonts w:ascii="仿宋_GB2312" w:hAnsi="仿宋_GB2312" w:eastAsia="仿宋_GB2312" w:cs="仿宋_GB2312"/>
                <w:sz w:val="24"/>
                <w:szCs w:val="24"/>
              </w:rPr>
            </w:pPr>
          </w:p>
        </w:tc>
        <w:tc>
          <w:tcPr>
            <w:tcW w:w="1556"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980" w:type="dxa"/>
            <w:noWrap w:val="0"/>
            <w:vAlign w:val="center"/>
          </w:tcPr>
          <w:p>
            <w:pPr>
              <w:overflowPunct w:val="0"/>
              <w:jc w:val="center"/>
              <w:rPr>
                <w:rFonts w:ascii="仿宋_GB2312" w:hAnsi="仿宋_GB2312" w:eastAsia="仿宋_GB2312" w:cs="仿宋_GB2312"/>
                <w:sz w:val="24"/>
                <w:szCs w:val="24"/>
              </w:rPr>
            </w:pPr>
          </w:p>
        </w:tc>
        <w:tc>
          <w:tcPr>
            <w:tcW w:w="1568" w:type="dxa"/>
            <w:noWrap w:val="0"/>
            <w:vAlign w:val="center"/>
          </w:tcPr>
          <w:p>
            <w:pPr>
              <w:overflowPunct w:val="0"/>
              <w:jc w:val="center"/>
              <w:rPr>
                <w:rFonts w:ascii="仿宋_GB2312" w:hAnsi="仿宋_GB2312" w:eastAsia="仿宋_GB2312" w:cs="仿宋_GB2312"/>
                <w:sz w:val="24"/>
                <w:szCs w:val="24"/>
              </w:rPr>
            </w:pPr>
          </w:p>
        </w:tc>
        <w:tc>
          <w:tcPr>
            <w:tcW w:w="1663" w:type="dxa"/>
            <w:noWrap w:val="0"/>
            <w:vAlign w:val="center"/>
          </w:tcPr>
          <w:p>
            <w:pPr>
              <w:overflowPunct w:val="0"/>
              <w:jc w:val="center"/>
              <w:rPr>
                <w:rFonts w:ascii="仿宋_GB2312" w:hAnsi="仿宋_GB2312" w:eastAsia="仿宋_GB2312" w:cs="仿宋_GB2312"/>
                <w:sz w:val="24"/>
                <w:szCs w:val="24"/>
              </w:rPr>
            </w:pPr>
          </w:p>
        </w:tc>
      </w:tr>
    </w:tbl>
    <w:p>
      <w:pPr>
        <w:overflowPunct w:val="0"/>
        <w:spacing w:line="500" w:lineRule="exact"/>
        <w:rPr>
          <w:rFonts w:ascii="仿宋_GB2312" w:hAnsi="仿宋_GB2312" w:eastAsia="仿宋_GB2312" w:cs="仿宋_GB2312"/>
          <w:sz w:val="24"/>
          <w:szCs w:val="24"/>
        </w:rPr>
      </w:pPr>
    </w:p>
    <w:p>
      <w:pPr>
        <w:overflowPunct w:val="0"/>
        <w:spacing w:line="500" w:lineRule="exact"/>
        <w:rPr>
          <w:rFonts w:ascii="仿宋_GB2312" w:hAnsi="仿宋_GB2312" w:eastAsia="仿宋_GB2312" w:cs="仿宋_GB2312"/>
          <w:sz w:val="24"/>
          <w:szCs w:val="24"/>
        </w:rPr>
      </w:pPr>
      <w:r>
        <w:rPr>
          <w:rFonts w:ascii="仿宋_GB2312" w:hAnsi="仿宋_GB2312" w:eastAsia="仿宋_GB2312" w:cs="仿宋_GB2312"/>
          <w:sz w:val="24"/>
          <w:szCs w:val="24"/>
        </w:rPr>
        <w:t xml:space="preserve">        投标人法人或授权代表签字：</w:t>
      </w:r>
    </w:p>
    <w:p>
      <w:pPr>
        <w:overflowPunct w:val="0"/>
        <w:spacing w:line="500" w:lineRule="exact"/>
        <w:ind w:firstLine="960" w:firstLineChars="400"/>
        <w:rPr>
          <w:rFonts w:ascii="仿宋_GB2312" w:hAnsi="仿宋_GB2312" w:eastAsia="仿宋_GB2312" w:cs="仿宋_GB2312"/>
          <w:sz w:val="24"/>
          <w:szCs w:val="24"/>
        </w:rPr>
      </w:pPr>
      <w:r>
        <w:rPr>
          <w:rFonts w:ascii="仿宋_GB2312" w:hAnsi="仿宋_GB2312" w:eastAsia="仿宋_GB2312" w:cs="仿宋_GB2312"/>
          <w:sz w:val="24"/>
          <w:szCs w:val="24"/>
        </w:rPr>
        <w:t>投标人（公章）：</w:t>
      </w:r>
    </w:p>
    <w:p>
      <w:pPr>
        <w:overflowPunct w:val="0"/>
        <w:spacing w:line="500" w:lineRule="exact"/>
        <w:ind w:firstLine="5760" w:firstLineChars="2400"/>
        <w:rPr>
          <w:rFonts w:ascii="仿宋_GB2312" w:hAnsi="仿宋_GB2312" w:eastAsia="仿宋_GB2312" w:cs="仿宋_GB2312"/>
          <w:sz w:val="24"/>
          <w:szCs w:val="24"/>
        </w:rPr>
      </w:pPr>
      <w:r>
        <w:rPr>
          <w:rFonts w:ascii="仿宋_GB2312" w:hAnsi="仿宋_GB2312" w:eastAsia="仿宋_GB2312" w:cs="仿宋_GB2312"/>
          <w:sz w:val="24"/>
          <w:szCs w:val="24"/>
        </w:rPr>
        <w:t>年  月  日</w:t>
      </w: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p>
    <w:p>
      <w:pPr>
        <w:overflowPunct w:val="0"/>
        <w:spacing w:line="500" w:lineRule="exact"/>
        <w:rPr>
          <w:rFonts w:hint="eastAsia" w:ascii="仿宋_GB2312" w:hAnsi="仿宋_GB2312" w:eastAsia="仿宋_GB2312" w:cs="仿宋_GB2312"/>
          <w:b/>
          <w:bCs/>
          <w:sz w:val="28"/>
          <w:szCs w:val="28"/>
        </w:rPr>
      </w:pPr>
      <w:r>
        <w:rPr>
          <w:rFonts w:ascii="仿宋_GB2312" w:hAnsi="仿宋_GB2312" w:eastAsia="仿宋_GB2312" w:cs="仿宋_GB2312"/>
          <w:b/>
          <w:bCs/>
          <w:sz w:val="28"/>
          <w:szCs w:val="28"/>
        </w:rPr>
        <w:t xml:space="preserve">附件十二:             </w:t>
      </w:r>
    </w:p>
    <w:p>
      <w:pPr>
        <w:overflowPunct w:val="0"/>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服务</w:t>
      </w:r>
      <w:r>
        <w:rPr>
          <w:rFonts w:ascii="仿宋_GB2312" w:hAnsi="仿宋_GB2312" w:eastAsia="仿宋_GB2312" w:cs="仿宋_GB2312"/>
          <w:b/>
          <w:sz w:val="28"/>
          <w:szCs w:val="28"/>
        </w:rPr>
        <w:t>质量及售后服务承诺书</w:t>
      </w:r>
    </w:p>
    <w:p>
      <w:pPr>
        <w:overflowPunct w:val="0"/>
        <w:spacing w:line="360" w:lineRule="auto"/>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（格式自拟）</w:t>
      </w:r>
    </w:p>
    <w:p>
      <w:pPr>
        <w:overflowPunct w:val="0"/>
        <w:spacing w:line="360" w:lineRule="auto"/>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投标人盖章：</w:t>
      </w:r>
    </w:p>
    <w:p>
      <w:pPr>
        <w:overflowPunct w:val="0"/>
        <w:spacing w:line="360" w:lineRule="auto"/>
        <w:ind w:firstLine="480" w:firstLineChars="200"/>
        <w:rPr>
          <w:rFonts w:ascii="仿宋_GB2312" w:hAnsi="仿宋_GB2312" w:eastAsia="仿宋_GB2312" w:cs="仿宋_GB2312"/>
          <w:sz w:val="24"/>
          <w:szCs w:val="24"/>
        </w:rPr>
      </w:pPr>
    </w:p>
    <w:p>
      <w:pPr>
        <w:overflowPunct w:val="0"/>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投标人法人或授权代表签字：</w:t>
      </w:r>
    </w:p>
    <w:p>
      <w:pPr>
        <w:overflowPunct w:val="0"/>
        <w:spacing w:line="360" w:lineRule="auto"/>
        <w:rPr>
          <w:rFonts w:ascii="仿宋_GB2312" w:hAnsi="仿宋_GB2312" w:eastAsia="仿宋_GB2312" w:cs="仿宋_GB2312"/>
          <w:sz w:val="24"/>
          <w:szCs w:val="24"/>
        </w:rPr>
      </w:pPr>
    </w:p>
    <w:p>
      <w:pPr>
        <w:overflowPunct w:val="0"/>
        <w:spacing w:line="360" w:lineRule="auto"/>
        <w:rPr>
          <w:rFonts w:ascii="仿宋_GB2312" w:hAnsi="仿宋_GB2312" w:eastAsia="仿宋_GB2312" w:cs="仿宋_GB2312"/>
          <w:sz w:val="24"/>
          <w:szCs w:val="24"/>
        </w:rPr>
      </w:pPr>
    </w:p>
    <w:p>
      <w:pPr>
        <w:overflowPunct w:val="0"/>
        <w:spacing w:line="360" w:lineRule="auto"/>
        <w:ind w:firstLine="5760" w:firstLineChars="2400"/>
        <w:rPr>
          <w:rFonts w:hint="default" w:ascii="仿宋_GB2312" w:hAnsi="仿宋_GB2312" w:eastAsia="仿宋_GB2312" w:cs="仿宋_GB2312"/>
          <w:szCs w:val="24"/>
          <w:lang w:val="en-US" w:eastAsia="zh-CN"/>
        </w:rPr>
      </w:pPr>
      <w:r>
        <w:rPr>
          <w:rFonts w:ascii="仿宋_GB2312" w:hAnsi="仿宋_GB2312" w:eastAsia="仿宋_GB2312" w:cs="仿宋_GB2312"/>
          <w:sz w:val="24"/>
          <w:szCs w:val="24"/>
        </w:rPr>
        <w:t xml:space="preserve">年   月  </w:t>
      </w:r>
      <w:r>
        <w:rPr>
          <w:rFonts w:hint="eastAsia" w:ascii="仿宋_GB2312" w:hAnsi="仿宋_GB2312" w:eastAsia="仿宋_GB2312" w:cs="仿宋_GB2312"/>
          <w:sz w:val="24"/>
          <w:szCs w:val="24"/>
          <w:lang w:val="en-US" w:eastAsia="zh-CN"/>
        </w:rPr>
        <w:t>日</w:t>
      </w:r>
    </w:p>
    <w:p>
      <w:pPr>
        <w:pStyle w:val="77"/>
        <w:spacing w:line="360" w:lineRule="auto"/>
        <w:ind w:left="-19" w:leftChars="-9" w:firstLine="473" w:firstLineChars="157"/>
        <w:jc w:val="left"/>
        <w:outlineLvl w:val="1"/>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 w:val="30"/>
          <w:szCs w:val="30"/>
          <w:lang w:val="en-US" w:eastAsia="zh-CN"/>
        </w:rPr>
        <w:br w:type="page"/>
      </w:r>
      <w:r>
        <w:rPr>
          <w:rFonts w:hint="eastAsia" w:ascii="仿宋_GB2312" w:hAnsi="仿宋_GB2312" w:eastAsia="仿宋_GB2312" w:cs="仿宋_GB2312"/>
          <w:b/>
          <w:bCs/>
          <w:sz w:val="30"/>
          <w:szCs w:val="30"/>
          <w:lang w:val="en-US" w:eastAsia="zh-CN"/>
        </w:rPr>
        <w:t>附件十三</w:t>
      </w:r>
    </w:p>
    <w:p>
      <w:pPr>
        <w:pStyle w:val="11"/>
        <w:spacing w:before="0" w:line="480" w:lineRule="exact"/>
        <w:ind w:left="0"/>
        <w:jc w:val="center"/>
        <w:rPr>
          <w:b/>
          <w:bCs/>
          <w:color w:val="000000"/>
          <w:sz w:val="28"/>
          <w:szCs w:val="28"/>
        </w:rPr>
      </w:pPr>
      <w:r>
        <w:rPr>
          <w:rFonts w:hint="eastAsia"/>
          <w:b/>
          <w:bCs/>
          <w:color w:val="000000"/>
          <w:sz w:val="28"/>
          <w:szCs w:val="28"/>
        </w:rPr>
        <w:t>投标保证金缴纳凭证</w:t>
      </w:r>
    </w:p>
    <w:p>
      <w:pPr>
        <w:pStyle w:val="11"/>
        <w:spacing w:line="480" w:lineRule="exact"/>
        <w:rPr>
          <w:rFonts w:hint="eastAsia" w:ascii="仿宋" w:hAnsi="仿宋" w:eastAsia="仿宋" w:cs="仿宋"/>
          <w:b w:val="0"/>
          <w:bCs/>
          <w:color w:val="000000"/>
        </w:rPr>
      </w:pPr>
      <w:r>
        <w:rPr>
          <w:rFonts w:hint="eastAsia" w:ascii="仿宋" w:hAnsi="仿宋" w:eastAsia="仿宋" w:cs="仿宋"/>
          <w:b w:val="0"/>
          <w:bCs/>
          <w:color w:val="000000"/>
        </w:rPr>
        <w:t>致：（采购人）</w:t>
      </w:r>
    </w:p>
    <w:p>
      <w:pPr>
        <w:pStyle w:val="11"/>
        <w:spacing w:before="0" w:line="480" w:lineRule="exact"/>
        <w:ind w:left="0" w:firstLine="560" w:firstLineChars="200"/>
        <w:rPr>
          <w:rFonts w:hint="eastAsia" w:ascii="仿宋" w:hAnsi="仿宋" w:eastAsia="仿宋" w:cs="仿宋"/>
          <w:b w:val="0"/>
          <w:bCs/>
          <w:color w:val="000000"/>
        </w:rPr>
      </w:pPr>
      <w:r>
        <w:rPr>
          <w:rFonts w:hint="eastAsia" w:ascii="仿宋" w:hAnsi="仿宋" w:eastAsia="仿宋" w:cs="仿宋"/>
          <w:b w:val="0"/>
          <w:bCs/>
          <w:color w:val="000000"/>
        </w:rPr>
        <w:t>我方于</w:t>
      </w:r>
      <w:r>
        <w:rPr>
          <w:rFonts w:hint="eastAsia" w:ascii="仿宋" w:hAnsi="仿宋" w:eastAsia="仿宋" w:cs="仿宋"/>
          <w:b w:val="0"/>
          <w:bCs/>
          <w:color w:val="000000"/>
        </w:rPr>
        <w:tab/>
      </w:r>
      <w:r>
        <w:rPr>
          <w:rFonts w:hint="eastAsia" w:ascii="仿宋" w:hAnsi="仿宋" w:eastAsia="仿宋" w:cs="仿宋"/>
          <w:b w:val="0"/>
          <w:bCs/>
          <w:color w:val="000000"/>
          <w:u w:val="single"/>
        </w:rPr>
        <w:t xml:space="preserve">   </w:t>
      </w:r>
      <w:r>
        <w:rPr>
          <w:rFonts w:hint="eastAsia" w:ascii="仿宋" w:hAnsi="仿宋" w:eastAsia="仿宋" w:cs="仿宋"/>
          <w:b w:val="0"/>
          <w:bCs/>
          <w:color w:val="000000"/>
        </w:rPr>
        <w:t>年</w:t>
      </w:r>
      <w:r>
        <w:rPr>
          <w:rFonts w:hint="eastAsia" w:ascii="仿宋" w:hAnsi="仿宋" w:eastAsia="仿宋" w:cs="仿宋"/>
          <w:b w:val="0"/>
          <w:bCs/>
          <w:color w:val="000000"/>
          <w:u w:val="single"/>
        </w:rPr>
        <w:tab/>
      </w:r>
      <w:r>
        <w:rPr>
          <w:rFonts w:hint="eastAsia" w:ascii="仿宋" w:hAnsi="仿宋" w:eastAsia="仿宋" w:cs="仿宋"/>
          <w:b w:val="0"/>
          <w:bCs/>
          <w:color w:val="000000"/>
        </w:rPr>
        <w:t>月</w:t>
      </w:r>
      <w:r>
        <w:rPr>
          <w:rFonts w:hint="eastAsia" w:ascii="仿宋" w:hAnsi="仿宋" w:eastAsia="仿宋" w:cs="仿宋"/>
          <w:b w:val="0"/>
          <w:bCs/>
          <w:color w:val="000000"/>
          <w:u w:val="single"/>
        </w:rPr>
        <w:tab/>
      </w:r>
      <w:r>
        <w:rPr>
          <w:rFonts w:hint="eastAsia" w:ascii="仿宋" w:hAnsi="仿宋" w:eastAsia="仿宋" w:cs="仿宋"/>
          <w:b w:val="0"/>
          <w:bCs/>
          <w:color w:val="000000"/>
        </w:rPr>
        <w:t xml:space="preserve"> 日参加</w:t>
      </w:r>
      <w:r>
        <w:rPr>
          <w:rFonts w:hint="eastAsia" w:ascii="仿宋" w:hAnsi="仿宋" w:eastAsia="仿宋" w:cs="仿宋"/>
          <w:b w:val="0"/>
          <w:bCs/>
          <w:color w:val="000000"/>
          <w:u w:val="single"/>
        </w:rPr>
        <w:tab/>
      </w:r>
      <w:r>
        <w:rPr>
          <w:rFonts w:hint="eastAsia" w:ascii="仿宋" w:hAnsi="仿宋" w:eastAsia="仿宋" w:cs="仿宋"/>
          <w:b w:val="0"/>
          <w:bCs/>
          <w:color w:val="000000"/>
          <w:u w:val="single"/>
        </w:rPr>
        <w:t xml:space="preserve">（项目名称）   </w:t>
      </w:r>
      <w:r>
        <w:rPr>
          <w:rFonts w:hint="eastAsia" w:ascii="仿宋" w:hAnsi="仿宋" w:eastAsia="仿宋" w:cs="仿宋"/>
          <w:b w:val="0"/>
          <w:bCs/>
          <w:color w:val="000000"/>
        </w:rPr>
        <w:t>的投标，现保证：我方在规定的</w:t>
      </w:r>
      <w:r>
        <w:rPr>
          <w:rFonts w:hint="eastAsia" w:ascii="仿宋" w:hAnsi="仿宋" w:eastAsia="仿宋" w:cs="仿宋"/>
          <w:b w:val="0"/>
          <w:bCs/>
          <w:color w:val="000000"/>
          <w:lang w:val="en-US" w:eastAsia="zh-CN"/>
        </w:rPr>
        <w:t>投标</w:t>
      </w:r>
      <w:r>
        <w:rPr>
          <w:rFonts w:hint="eastAsia" w:ascii="仿宋" w:hAnsi="仿宋" w:eastAsia="仿宋" w:cs="仿宋"/>
          <w:b w:val="0"/>
          <w:bCs/>
          <w:color w:val="000000"/>
        </w:rPr>
        <w:t>有效期内撤销或修改</w:t>
      </w:r>
      <w:r>
        <w:rPr>
          <w:rFonts w:hint="eastAsia" w:ascii="仿宋" w:hAnsi="仿宋" w:eastAsia="仿宋" w:cs="仿宋"/>
          <w:b w:val="0"/>
          <w:bCs/>
          <w:color w:val="000000"/>
          <w:lang w:val="en-US" w:eastAsia="zh-CN"/>
        </w:rPr>
        <w:t>投标</w:t>
      </w:r>
      <w:r>
        <w:rPr>
          <w:rFonts w:hint="eastAsia" w:ascii="仿宋" w:hAnsi="仿宋" w:eastAsia="仿宋" w:cs="仿宋"/>
          <w:b w:val="0"/>
          <w:bCs/>
          <w:color w:val="000000"/>
        </w:rPr>
        <w:t>文件的，或者在收到成交通知书后无正当理由拒签合同或拒交规定履约担保的，投标保证金不予退还。</w:t>
      </w:r>
    </w:p>
    <w:p>
      <w:pPr>
        <w:pStyle w:val="11"/>
        <w:spacing w:before="0" w:line="480" w:lineRule="exact"/>
        <w:ind w:left="0" w:firstLine="560" w:firstLineChars="200"/>
        <w:rPr>
          <w:rFonts w:hint="eastAsia" w:ascii="仿宋" w:hAnsi="仿宋" w:eastAsia="仿宋" w:cs="仿宋"/>
          <w:b w:val="0"/>
          <w:bCs/>
          <w:color w:val="000000"/>
        </w:rPr>
      </w:pPr>
    </w:p>
    <w:p>
      <w:pPr>
        <w:pStyle w:val="11"/>
        <w:spacing w:before="0" w:line="480" w:lineRule="exact"/>
        <w:ind w:left="0" w:firstLine="560" w:firstLineChars="200"/>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line="480" w:lineRule="exact"/>
        <w:ind w:left="0"/>
        <w:jc w:val="center"/>
        <w:rPr>
          <w:rFonts w:hint="eastAsia" w:ascii="仿宋" w:hAnsi="仿宋" w:eastAsia="仿宋" w:cs="仿宋"/>
          <w:b w:val="0"/>
          <w:bCs/>
          <w:color w:val="000000"/>
        </w:rPr>
      </w:pPr>
      <w:r>
        <w:rPr>
          <w:rFonts w:hint="eastAsia" w:ascii="仿宋" w:hAnsi="仿宋" w:eastAsia="仿宋" w:cs="仿宋"/>
          <w:b w:val="0"/>
          <w:bCs/>
          <w:color w:val="000000"/>
        </w:rPr>
        <w:t>缴费回单（复印件应附在投标文件中）</w:t>
      </w: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r>
        <w:rPr>
          <w:rFonts w:hint="eastAsia" w:ascii="仿宋" w:hAnsi="仿宋" w:eastAsia="仿宋" w:cs="仿宋"/>
          <w:b w:val="0"/>
          <w:bCs/>
          <w:color w:val="000000"/>
        </w:rPr>
        <mc:AlternateContent>
          <mc:Choice Requires="wpg">
            <w:drawing>
              <wp:inline distT="0" distB="0" distL="114300" distR="114300">
                <wp:extent cx="5753100" cy="2279650"/>
                <wp:effectExtent l="0" t="0" r="0" b="6350"/>
                <wp:docPr id="335" name="组合 335"/>
                <wp:cNvGraphicFramePr/>
                <a:graphic xmlns:a="http://schemas.openxmlformats.org/drawingml/2006/main">
                  <a:graphicData uri="http://schemas.microsoft.com/office/word/2010/wordprocessingGroup">
                    <wpg:wgp>
                      <wpg:cNvGrpSpPr>
                        <a:grpSpLocks noRot="1"/>
                      </wpg:cNvGrpSpPr>
                      <wpg:grpSpPr>
                        <a:xfrm>
                          <a:off x="0" y="0"/>
                          <a:ext cx="5753100" cy="2279650"/>
                          <a:chOff x="0" y="0"/>
                          <a:chExt cx="7425" cy="5060"/>
                        </a:xfrm>
                      </wpg:grpSpPr>
                      <wpg:grpSp>
                        <wpg:cNvPr id="334" name="组合 334"/>
                        <wpg:cNvGrpSpPr/>
                        <wpg:grpSpPr>
                          <a:xfrm>
                            <a:off x="0" y="0"/>
                            <a:ext cx="7425" cy="5060"/>
                            <a:chOff x="0" y="0"/>
                            <a:chExt cx="7425" cy="5060"/>
                          </a:xfrm>
                        </wpg:grpSpPr>
                        <wps:wsp>
                          <wps:cNvPr id="255" name="任意多边形 255"/>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56" name="任意多边形 256"/>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257" name="任意多边形 257"/>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258" name="任意多边形 258"/>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259" name="任意多边形 259"/>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260" name="任意多边形 260"/>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261" name="任意多边形 261"/>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262" name="任意多边形 262"/>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263" name="任意多边形 263"/>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264" name="任意多边形 264"/>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265" name="任意多边形 265"/>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266" name="任意多边形 266"/>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267" name="任意多边形 267"/>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268" name="任意多边形 268"/>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269" name="任意多边形 269"/>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270" name="任意多边形 270"/>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271" name="任意多边形 271"/>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272" name="任意多边形 272"/>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273" name="任意多边形 273"/>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74" name="任意多边形 274"/>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75" name="任意多边形 275"/>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76" name="任意多边形 276"/>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77" name="任意多边形 277"/>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78" name="任意多边形 278"/>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79" name="任意多边形 279"/>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80" name="任意多边形 280"/>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81" name="任意多边形 281"/>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2" name="任意多边形 282"/>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83" name="任意多边形 283"/>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284" name="任意多边形 284"/>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285" name="任意多边形 285"/>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286" name="任意多边形 286"/>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287" name="任意多边形 287"/>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288" name="任意多边形 288"/>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289" name="任意多边形 289"/>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290" name="任意多边形 290"/>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291" name="任意多边形 291"/>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292" name="任意多边形 292"/>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293" name="任意多边形 293"/>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294" name="任意多边形 294"/>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295" name="任意多边形 295"/>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296" name="任意多边形 296"/>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297" name="任意多边形 297"/>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298" name="任意多边形 298"/>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299" name="任意多边形 299"/>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300" name="任意多边形 300"/>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301" name="任意多边形 301"/>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302" name="任意多边形 302"/>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303" name="任意多边形 303"/>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304" name="任意多边形 304"/>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305" name="任意多边形 305"/>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306" name="任意多边形 306"/>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307" name="任意多边形 307"/>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308" name="任意多边形 308"/>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309" name="任意多边形 309"/>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310" name="任意多边形 310"/>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311" name="任意多边形 311"/>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312" name="任意多边形 312"/>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313" name="任意多边形 313"/>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314" name="任意多边形 314"/>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315" name="任意多边形 315"/>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316" name="任意多边形 316"/>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317" name="任意多边形 317"/>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318" name="任意多边形 318"/>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319" name="任意多边形 319"/>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320" name="任意多边形 320"/>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321" name="任意多边形 321"/>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322" name="任意多边形 322"/>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323" name="任意多边形 323"/>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324" name="任意多边形 324"/>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325" name="任意多边形 325"/>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326" name="任意多边形 326"/>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327" name="任意多边形 327"/>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328" name="任意多边形 328"/>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329" name="任意多边形 329"/>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330" name="任意多边形 330"/>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331" name="任意多边形 331"/>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332" name="任意多边形 332"/>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333" name="任意多边形 333"/>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179.5pt;width:453pt;" coordsize="7425,5060" o:gfxdata="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">
                <o:lock v:ext="edit" rotation="t" aspectratio="f"/>
                <v:group id="_x0000_s1026" o:spid="_x0000_s1026" o:spt="203" style="position:absolute;left:0;top:0;height:5060;width:7425;" coordsize="7425,5060" o:gfxdata="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JP46+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5nOirL4AAADc&#10;AAAADwAAAGRycy9kb3ducmV2LnhtbEWPwWrDMBBE74X+g9hCLqWRbbAJbpQQAoYcXEqd5L5YW9vU&#10;WglLSZx+fVUo9DjMzBtmvZ3NKK40+cGygnSZgCBurR64U3A6Vi8rED4gaxwtk4I7edhuHh/WWGp7&#10;4w+6NqETEcK+RAV9CK6U0rc9GfRL64ij92kngyHKqZN6wluEm1FmSVJIgwPHhR4d7Xtqv5qLUXBu&#10;6vrbVc/u8Pae+eDrXZHTTqnFU5q8ggg0h//wX/ugFWR5Dr9n4hGQm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OirL4A&#10;AADcAAAADwAAAAAAAAABACAAAAAiAAAAZHJzL2Rvd25yZXYueG1sUEsBAhQAFAAAAAgAh07iQDMv&#10;BZ47AAAAOQAAABAAAAAAAAAAAQAgAAAADQEAAGRycy9zaGFwZXhtbC54bWxQSwUGAAAAAAYABgBb&#10;AQAAtwM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qE8270AAADc&#10;AAAADwAAAGRycy9kb3ducmV2LnhtbEWPT4vCMBTE7wt+h/AEL8uaWrBI1ygiCB4qslXvj+ZtW7Z5&#10;CU38++mNIOxxmJnfMPPlzXTiQr1vLSuYjBMQxJXVLdcKjofN1wyED8gaO8uk4E4elovBxxxzba/8&#10;Q5cy1CJC2OeooAnB5VL6qiGDfmwdcfR+bW8wRNnXUvd4jXDTyTRJMmmw5bjQoKN1Q9VfeTYKTmVR&#10;PNzm0213+9QHX6yyKa2UGg0nyTeIQLfwH363t1pBOs3gdSYe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oTzbvQAA&#10;ANw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e2ZQL0AAADc&#10;AAAADwAAAGRycy9kb3ducmV2LnhtbEWPT4vCMBTE78J+h/AWvIimFnSXahRZEDxUxLp7fzTPtti8&#10;hCbrv09vBMHjMDO/YebLq2nFmTrfWFYwHiUgiEurG64U/B7Ww28QPiBrbC2Tght5WC4+enPMtL3w&#10;ns5FqESEsM9QQR2Cy6T0ZU0G/cg64ugdbWcwRNlVUnd4iXDTyjRJptJgw3GhRkc/NZWn4t8o+Cvy&#10;/O7WA7fZ7lIffL6aTmilVP9znMxABLqGd/jV3mgF6eQL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7ZlAvQAA&#10;ANwAAAAPAAAAAAAAAAEAIAAAACIAAABkcnMvZG93bnJldi54bWxQSwECFAAUAAAACACHTuJAMy8F&#10;njsAAAA5AAAAEAAAAAAAAAABACAAAAAMAQAAZHJzL3NoYXBleG1sLnhtbFBLBQYAAAAABgAGAFsB&#10;AAC2Aw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HINMrkAAADc&#10;AAAADwAAAGRycy9kb3ducmV2LnhtbEVPy4rCMBTdD/gP4QpuBk0tKFKNIoLgooNYdX9prm2xuQlN&#10;fH79ZCG4PJz3YvU0rbhT5xvLCsajBARxaXXDlYLTcTucgfABWWNrmRS8yMNq2ftZYKbtgw90L0Il&#10;Ygj7DBXUIbhMSl/WZNCPrCOO3MV2BkOEXSV1h48YblqZJslUGmw4NtToaFNTeS1uRsG5yPO32/66&#10;3d8+9cHn6+mE1koN+uNkDiLQM3zFH/dOK0gncW08E4+AX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yDTK5AAAA3AAA&#10;AA8AAAAAAAAAAQAgAAAAIgAAAGRycy9kb3ducmV2LnhtbFBLAQIUABQAAAAIAIdO4kAzLwWeOwAA&#10;ADkAAAAQAAAAAAAAAAEAIAAAAAgBAABkcnMvc2hhcGV4bWwueG1sUEsFBgAAAAAGAAYAWwEAALID&#10;A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z6oqb0AAADc&#10;AAAADwAAAGRycy9kb3ducmV2LnhtbEWPT4vCMBTE78J+h/AWvIimFpTdahRZEDxUxLp7fzTPtti8&#10;hCbrv09vBMHjMDO/YebLq2nFmTrfWFYwHiUgiEurG64U/B7Wwy8QPiBrbC2Tght5WC4+enPMtL3w&#10;ns5FqESEsM9QQR2Cy6T0ZU0G/cg64ugdbWcwRNlVUnd4iXDTyjRJptJgw3GhRkc/NZWn4t8o+Cvy&#10;/O7WA7fZ7lIffL6aTmilVP9znMxABLqGd/jV3mgF6eQb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PqipvQAA&#10;ANwAAAAPAAAAAAAAAAEAIAAAACIAAABkcnMvZG93bnJldi54bWxQSwECFAAUAAAACACHTuJAMy8F&#10;njsAAAA5AAAAEAAAAAAAAAABACAAAAAMAQAAZHJzL3NoYXBleG1sLnhtbFBLBQYAAAAABgAGAFsB&#10;AAC2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GjLiboAAADc&#10;AAAADwAAAGRycy9kb3ducmV2LnhtbEVPy4rCMBTdD/gP4QqzGTS1MEWqUUQQXFTEqvtLc22LzU1o&#10;4mP8erMYcHk47/nyaTpxp963lhVMxgkI4srqlmsFp+NmNAXhA7LGzjIp+CMPy8Xga465tg8+0L0M&#10;tYgh7HNU0ITgcil91ZBBP7aOOHIX2xsMEfa11D0+YrjpZJokmTTYcmxo0NG6oepa3oyCc1kUL7f5&#10;cdvdPvXBF6vsl1ZKfQ8nyQxEoGf4iP/dW60gzeL8eCYeAb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aMuJugAAANwA&#10;AAAPAAAAAAAAAAEAIAAAACIAAABkcnMvZG93bnJldi54bWxQSwECFAAUAAAACACHTuJAMy8FnjsA&#10;AAA5AAAAEAAAAAAAAAABACAAAAAJAQAAZHJzL3NoYXBleG1sLnhtbFBLBQYAAAAABgAGAFsBAACz&#10;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yRuEr4AAADc&#10;AAAADwAAAGRycy9kb3ducmV2LnhtbEWPzWrDMBCE74G+g9hCL6GRbagJjpUQCoEcHEqc9L5YG9vU&#10;WglLzd/TR4VCjsPMfMOUq6sZxJlG31tWkM4SEMSN1T23Co6HzfschA/IGgfLpOBGHlbLl0mJhbYX&#10;3tO5Dq2IEPYFKuhCcIWUvunIoJ9ZRxy9kx0NhijHVuoRLxFuBpklSS4N9hwXOnT02VHzU/8aBd91&#10;Vd3dZuq2u6/MB1+t8w9aK/X2miYLEIGu4Rn+b2+1gixP4e9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RuEr4A&#10;AADcAAAADwAAAAAAAAABACAAAAAiAAAAZHJzL2Rvd25yZXYueG1sUEsBAhQAFAAAAAgAh07iQDMv&#10;BZ47AAAAOQAAABAAAAAAAAAAAQAgAAAADQEAAGRycy9zaGFwZXhtbC54bWxQSwUGAAAAAAYABgBb&#10;AQAAtw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bwZb0AAADc&#10;AAAADwAAAGRycy9kb3ducmV2LnhtbEWPT4vCMBTE7wt+h/CEvSyaWrBI1ygiCB66iFXvj+ZtW2xe&#10;QpP136ffCILHYWZ+w8yXN9OJC/W+taxgMk5AEFdWt1wrOB42oxkIH5A1dpZJwZ08LBeDjznm2l55&#10;T5cy1CJC2OeooAnB5VL6qiGDfmwdcfR+bW8wRNnXUvd4jXDTyTRJMmmw5bjQoKN1Q9W5/DMKTmVR&#10;PNzmy21/dqkPvlhlU1op9TmcJN8gAt3CO/xqb7WCNEvheSYe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9vBlvQAA&#10;ANwAAAAPAAAAAAAAAAEAIAAAACIAAABkcnMvZG93bnJldi54bWxQSwECFAAUAAAACACHTuJAMy8F&#10;njsAAAA5AAAAEAAAAAAAAAABACAAAAAMAQAAZHJzL3NoYXBleG1sLnhtbFBLBQYAAAAABgAGAFsB&#10;AAC2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LpV/r4AAADc&#10;AAAADwAAAGRycy9kb3ducmV2LnhtbEWPT2vCQBTE74V+h+UVeilmY6ShRFcRQfAQkUZ7f2SfSTD7&#10;dsmuf9pP3xUEj8PM/IaZLW6mFxcafGdZwThJQRDXVnfcKDjs16MvED4ga+wtk4Jf8rCYv77MsND2&#10;yt90qUIjIoR9gQraEFwhpa9bMugT64ijd7SDwRDl0Eg94DXCTS+zNM2lwY7jQouOVi3Vp+psFPxU&#10;Zfnn1h9us91lPvhymX/SUqn3t3E6BRHoFp7hR3ujFWT5B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pV/r4A&#10;AADcAAAADwAAAAAAAAABACAAAAAiAAAAZHJzL2Rvd25yZXYueG1sUEsBAhQAFAAAAAgAh07iQDMv&#10;BZ47AAAAOQAAABAAAAAAAAAAAQAgAAAADQEAAGRycy9zaGFwZXhtbC54bWxQSwUGAAAAAAYABgBb&#10;AQAAtw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1PNir4AAADc&#10;AAAADwAAAGRycy9kb3ducmV2LnhtbEWPT2vCQBTE74V+h+UVeilmY7ChRFcRQfAQkUZ7f2SfSTD7&#10;dsmuf9pP3xUEj8PM/IaZLW6mFxcafGdZwThJQRDXVnfcKDjs16MvED4ga+wtk4Jf8rCYv77MsND2&#10;yt90qUIjIoR9gQraEFwhpa9bMugT64ijd7SDwRDl0Eg94DXCTS+zNM2lwY7jQouOVi3Vp+psFPxU&#10;Zfnn1h9us91lPvhymX/SUqn3t3E6BRHoFp7hR3ujFWT5B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1PNir4A&#10;AADc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B9oEb0AAADc&#10;AAAADwAAAGRycy9kb3ducmV2LnhtbEWPT4vCMBTE7wt+h/AEL8uaWrBI1ygiCB4qslXvj+ZtW7Z5&#10;CU38++mNIOxxmJnfMPPlzXTiQr1vLSuYjBMQxJXVLdcKjofN1wyED8gaO8uk4E4elovBxxxzba/8&#10;Q5cy1CJC2OeooAnB5VL6qiGDfmwdcfR+bW8wRNnXUvd4jXDTyTRJMmmw5bjQoKN1Q9VfeTYKTmVR&#10;PNzm0213+9QHX6yyKa2UGg0nyTeIQLfwH363t1pBmk3hdSYe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H2gRvQAA&#10;ANwAAAAPAAAAAAAAAAEAIAAAACIAAABkcnMvZG93bnJldi54bWxQSwECFAAUAAAACACHTuJAMy8F&#10;njsAAAA5AAAAEAAAAAAAAAABACAAAAAMAQAAZHJzL3NoYXBleG1sLnhtbFBLBQYAAAAABgAGAFsB&#10;AAC2Aw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2M32Zr0AAADc&#10;AAAADwAAAGRycy9kb3ducmV2LnhtbEWPT4vCMBTE7wt+h/AEL4umFrZINYoIgocuy1a9P5pnW2xe&#10;QhP/fvqNIOxxmJnfMIvV3XTiSr1vLSuYThIQxJXVLdcKDvvteAbCB2SNnWVS8CAPq+XgY4G5tjf+&#10;pWsZahEh7HNU0ITgcil91ZBBP7GOOHon2xsMUfa11D3eItx0Mk2STBpsOS406GjTUHUuL0bBsSyK&#10;p9t+ut33T+qDL9bZF62VGg2nyRxEoHv4D7/bO60gzTJ4nY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fZmvQAA&#10;ANwAAAAPAAAAAAAAAAEAIAAAACIAAABkcnMvZG93bnJldi54bWxQSwECFAAUAAAACACHTuJAMy8F&#10;njsAAAA5AAAAEAAAAAAAAAABACAAAAAMAQAAZHJzL3NoYXBleG1sLnhtbFBLBQYAAAAABgAGAFsB&#10;AAC2Aw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4FT/b4AAADc&#10;AAAADwAAAGRycy9kb3ducmV2LnhtbEWPT2vCQBTE70K/w/IEL2I2BppK6ipSEDxExLS9P7KvSTD7&#10;dsmuf9pP7xYEj8PM/IZZrm+mFxcafGdZwTxJQRDXVnfcKPj63M4WIHxA1thbJgW/5GG9ehktsdD2&#10;yke6VKEREcK+QAVtCK6Q0tctGfSJdcTR+7GDwRDl0Eg94DXCTS+zNM2lwY7jQouOPlqqT9XZKPiu&#10;yvLPbadutz9kPvhyk7/SRqnJeJ6+gwh0C8/wo73TCrL8Df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FT/b4A&#10;AADcAAAADwAAAAAAAAABACAAAAAiAAAAZHJzL2Rvd25yZXYueG1sUEsBAhQAFAAAAAgAh07iQDMv&#10;BZ47AAAAOQAAABAAAAAAAAAAAQAgAAAADQEAAGRycy9zaGFwZXhtbC54bWxQSwUGAAAAAAYABgBb&#10;AQAAtwM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h7Hj7oAAADc&#10;AAAADwAAAGRycy9kb3ducmV2LnhtbEVPy4rCMBTdD/gP4QqzGTS1MEWqUUQQXFTEqvtLc22LzU1o&#10;4mP8erMYcHk47/nyaTpxp963lhVMxgkI4srqlmsFp+NmNAXhA7LGzjIp+CMPy8Xga465tg8+0L0M&#10;tYgh7HNU0ITgcil91ZBBP7aOOHIX2xsMEfa11D0+YrjpZJokmTTYcmxo0NG6oepa3oyCc1kUL7f5&#10;cdvdPvXBF6vsl1ZKfQ8nyQxEoGf4iP/dW60gzeLaeCYeAb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HsePugAAANwA&#10;AAAPAAAAAAAAAAEAIAAAACIAAABkcnMvZG93bnJldi54bWxQSwECFAAUAAAACACHTuJAMy8FnjsA&#10;AAA5AAAAEAAAAAAAAAABACAAAAAJAQAAZHJzL3NoYXBleG1sLnhtbFBLBQYAAAAABgAGAFsBAACz&#10;Aw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VJiFL4AAADc&#10;AAAADwAAAGRycy9kb3ducmV2LnhtbEWPT2vCQBTE70K/w/IEL2I2Bhpq6ipSEDxExLS9P7KvSTD7&#10;dsmuf9pP7xYEj8PM/IZZrm+mFxcafGdZwTxJQRDXVnfcKPj63M7eQPiArLG3TAp+ycN69TJaYqHt&#10;lY90qUIjIoR9gQraEFwhpa9bMugT64ij92MHgyHKoZF6wGuEm15maZpLgx3HhRYdfbRUn6qzUfBd&#10;leWf207dbn/IfPDlJn+ljVKT8Tx9BxHoFp7hR3unFWT5Av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VJiFL4A&#10;AADcAAAADwAAAAAAAAABACAAAAAiAAAAZHJzL2Rvd25yZXYueG1sUEsBAhQAFAAAAAgAh07iQDMv&#10;BZ47AAAAOQAAABAAAAAAAAAAAQAgAAAADQEAAGRycy9zaGFwZXhtbC54bWxQSwUGAAAAAAYABgBb&#10;AQAAtw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bFdVLoAAADc&#10;AAAADwAAAGRycy9kb3ducmV2LnhtbEVPy4rCMBTdD/gP4QpuBk0t+KAaRQTBRWWYqvtLc22LzU1o&#10;4vPrzWJglofzXq6fphV36nxjWcF4lIAgLq1uuFJwOu6GcxA+IGtsLZOCF3lYr3pfS8y0ffAv3YtQ&#10;iRjCPkMFdQguk9KXNRn0I+uII3exncEQYVdJ3eEjhptWpkkylQYbjg01OtrWVF6Lm1FwLvL87Xbf&#10;bn/4SX3w+WY6oY1Sg/44WYAI9Az/4j/3XitIZ3F+PBOP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sV1UugAAANwA&#10;AAAPAAAAAAAAAAEAIAAAACIAAABkcnMvZG93bnJldi54bWxQSwECFAAUAAAACACHTuJAMy8FnjsA&#10;AAA5AAAAEAAAAAAAAAABACAAAAAJAQAAZHJzL3NoYXBleG1sLnhtbFBLBQYAAAAABgAGAFsBAACz&#10;Aw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v34z74AAADc&#10;AAAADwAAAGRycy9kb3ducmV2LnhtbEWPT2vCQBTE74V+h+UJvRSzScA/pK4iBcFDRIzt/ZF9TYLZ&#10;t0t2q7af3hUEj8PM/IZZrK6mF2cafGdZQZakIIhrqztuFHwdN+M5CB+QNfaWScEfeVgtX18WWGh7&#10;4QOdq9CICGFfoII2BFdI6euWDPrEOuLo/djBYIhyaKQe8BLhppd5mk6lwY7jQouOPluqT9WvUfBd&#10;leW/27y77W6f++DL9XRCa6XeRln6ASLQNTzDj/ZWK8hn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v34z74A&#10;AADcAAAADwAAAAAAAAABACAAAAAiAAAAZHJzL2Rvd25yZXYueG1sUEsBAhQAFAAAAAgAh07iQDMv&#10;BZ47AAAAOQAAABAAAAAAAAAAAQAgAAAADQEAAGRycy9zaGFwZXhtbC54bWxQSwUGAAAAAAYABgBb&#10;AQAAtwM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i9muL0AAADc&#10;AAAADwAAAGRycy9kb3ducmV2LnhtbEWPT4vCMBTE78J+h/AEL6KphVWpRpEFwUNFrLv3R/Nsi81L&#10;aOKf3U9vFgSPw8z8hlmuH6YVN+p8Y1nBZJyAIC6tbrhS8H3ajuYgfEDW2FomBb/kYb366C0x0/bO&#10;R7oVoRIRwj5DBXUILpPSlzUZ9GPriKN3tp3BEGVXSd3hPcJNK9MkmUqDDceFGh191VReiqtR8FPk&#10;+Z/bDt1uf0h98Plm+kkbpQb9SbIAEegR3uFXe6cVpLMU/s/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2a4vQAA&#10;ANwAAAAPAAAAAAAAAAEAIAAAACIAAABkcnMvZG93bnJldi54bWxQSwECFAAUAAAACACHTuJAMy8F&#10;njsAAAA5AAAAEAAAAAAAAAABACAAAAAMAQAAZHJzL3NoYXBleG1sLnhtbFBLBQYAAAAABgAGAFsB&#10;AAC2Aw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WPDI74AAADc&#10;AAAADwAAAGRycy9kb3ducmV2LnhtbEWPT4vCMBTE7wv7HcJb8LJoakVXukYRQfDQRazr/dE827LN&#10;S2ji30+/EQSPw8z8hpktrqYVZ+p8Y1nBcJCAIC6tbrhS8Ltf96cgfEDW2FomBTfysJi/v80w0/bC&#10;OzoXoRIRwj5DBXUILpPSlzUZ9APriKN3tJ3BEGVXSd3hJcJNK9MkmUiDDceFGh2tair/ipNRcCjy&#10;/O7Wn27zs0198PlyMqalUr2PYfINItA1vMLP9kYrSL9G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PDI74A&#10;AADcAAAADwAAAAAAAAABACAAAAAiAAAAZHJzL2Rvd25yZXYueG1sUEsBAhQAFAAAAAgAh07iQDMv&#10;BZ47AAAAOQAAABAAAAAAAAAAAQAgAAAADQEAAGRycy9zaGFwZXhtbC54bWxQSwUGAAAAAAYABgBb&#10;AQAAtwM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opbV74AAADc&#10;AAAADwAAAGRycy9kb3ducmV2LnhtbEWPT4vCMBTE7wv7HcJb8LJoalFXukYRQfDQRazr/dE827LN&#10;S2ji30+/EQSPw8z8hpktrqYVZ+p8Y1nBcJCAIC6tbrhS8Ltf96cgfEDW2FomBTfysJi/v80w0/bC&#10;OzoXoRIRwj5DBXUILpPSlzUZ9APriKN3tJ3BEGVXSd3hJcJNK9MkmUiDDceFGh2tair/ipNRcCjy&#10;/O7Wn27zs0198PlyMqalUr2PYfINItA1vMLP9kYrSL9G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pbV74A&#10;AADcAAAADwAAAAAAAAABACAAAAAiAAAAZHJzL2Rvd25yZXYueG1sUEsBAhQAFAAAAAgAh07iQDMv&#10;BZ47AAAAOQAAABAAAAAAAAAAAQAgAAAADQEAAGRycy9zaGFwZXhtbC54bWxQSwUGAAAAAAYABgBb&#10;AQAAtwM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cb+zL0AAADc&#10;AAAADwAAAGRycy9kb3ducmV2LnhtbEWPT4vCMBTE78J+h/AWvIimFnSXahRZEDxUxLp7fzTPtti8&#10;hCbrv09vBMHjMDO/YebLq2nFmTrfWFYwHiUgiEurG64U/B7Ww28QPiBrbC2Tght5WC4+enPMtL3w&#10;ns5FqESEsM9QQR2Cy6T0ZU0G/cg64ugdbWcwRNlVUnd4iXDTyjRJptJgw3GhRkc/NZWn4t8o+Cvy&#10;/O7WA7fZ7lIffL6aTmilVP9znMxABLqGd/jV3mgF6dcE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xv7MvQAA&#10;ANw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RRgu74AAADc&#10;AAAADwAAAGRycy9kb3ducmV2LnhtbEWPT2vCQBTE70K/w/IEL2I2BppK6ipSEDxExLS9P7KvSTD7&#10;dsmuf9pP7xYEj8PM/IZZrm+mFxcafGdZwTxJQRDXVnfcKPj63M4WIHxA1thbJgW/5GG9ehktsdD2&#10;yke6VKEREcK+QAVtCK6Q0tctGfSJdcTR+7GDwRDl0Eg94DXCTS+zNM2lwY7jQouOPlqqT9XZKPiu&#10;yvLPbadutz9kPvhyk7/SRqnJeJ6+gwh0C8/wo73TCrK3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Rgu74A&#10;AADcAAAADwAAAAAAAAABACAAAAAiAAAAZHJzL2Rvd25yZXYueG1sUEsBAhQAFAAAAAgAh07iQDMv&#10;BZ47AAAAOQAAABAAAAAAAAAAAQAgAAAADQEAAGRycy9zaGFwZXhtbC54bWxQSwUGAAAAAAYABgBb&#10;AQAAtwM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ljFIL4AAADc&#10;AAAADwAAAGRycy9kb3ducmV2LnhtbEWPW4vCMBSE34X9D+EIvoimFrzQNYosCD5UxLr7fmjOtsXm&#10;JDTxsvvrjSD4OMzMN8xyfTetuFLnG8sKJuMEBHFpdcOVgu/TdrQA4QOyxtYyKfgjD+vVR2+JmbY3&#10;PtK1CJWIEPYZKqhDcJmUvqzJoB9bRxy9X9sZDFF2ldQd3iLctDJNkpk02HBcqNHRV03lubgYBT9F&#10;nv+77dDt9ofUB59vZlPaKDXoT5JPEIHu4R1+tXdaQTqfw/NMPA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jFIL4A&#10;AADcAAAADwAAAAAAAAABACAAAAAiAAAAZHJzL2Rvd25yZXYueG1sUEsBAhQAFAAAAAgAh07iQDMv&#10;BZ47AAAAOQAAABAAAAAAAAAAAQAgAAAADQEAAGRycy9zaGFwZXhtbC54bWxQSwUGAAAAAAYABgBb&#10;AQAAtwM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8dRUroAAADc&#10;AAAADwAAAGRycy9kb3ducmV2LnhtbEVPy4rCMBTdD/gP4QpuBk0t+KAaRQTBRWWYqvtLc22LzU1o&#10;4vPrzWJglofzXq6fphV36nxjWcF4lIAgLq1uuFJwOu6GcxA+IGtsLZOCF3lYr3pfS8y0ffAv3YtQ&#10;iRjCPkMFdQguk9KXNRn0I+uII3exncEQYVdJ3eEjhptWpkkylQYbjg01OtrWVF6Lm1FwLvL87Xbf&#10;bn/4SX3w+WY6oY1Sg/44WYAI9Az/4j/3XitIZ3FtPBOPgF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x1FSugAAANwA&#10;AAAPAAAAAAAAAAEAIAAAACIAAABkcnMvZG93bnJldi54bWxQSwECFAAUAAAACACHTuJAMy8FnjsA&#10;AAA5AAAAEAAAAAAAAAABACAAAAAJAQAAZHJzL3NoYXBleG1sLnhtbFBLBQYAAAAABgAGAFsBAACz&#10;Aw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Iv0yb4AAADc&#10;AAAADwAAAGRycy9kb3ducmV2LnhtbEWPT4vCMBTE7wv7HcJb8CKaWlDXrlFEEDx0Eet6fzTPtmzz&#10;Epr499NvBGGPw8z8hpkvb6YVF+p8Y1nBaJiAIC6tbrhS8HPYDD5B+ICssbVMCu7kYbl4f5tjpu2V&#10;93QpQiUihH2GCuoQXCalL2sy6IfWEUfvZDuDIcqukrrDa4SbVqZJMpEGG44LNTpa11T+Fmej4Fjk&#10;+cNt+m77vUt98PlqMqaVUr2PUfIFItAt/Idf7a1WkE5n8DwTj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v0yb4A&#10;AADcAAAADwAAAAAAAAABACAAAAAiAAAAZHJzL2Rvd25yZXYueG1sUEsBAhQAFAAAAAgAh07iQDMv&#10;BZ47AAAAOQAAABAAAAAAAAAAAQAgAAAADQEAAGRycy9zaGFwZXhtbC54bWxQSwUGAAAAAAYABgBb&#10;AQAAtwM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GQtc7wAAADc&#10;AAAADwAAAGRycy9kb3ducmV2LnhtbEVPz2vCMBS+D/Y/hDfYZczUgiKdaZFBwUPHsG73R/Nsis1L&#10;aLLq9tcvB8Hjx/d7W13tKGaawuBYwXKRgSDunB64V/B1rF83IEJE1jg6JgW/FKAqHx+2WGh34QPN&#10;bexFCuFQoAIToy+kDJ0hi2HhPHHiTm6yGBOceqknvKRwO8o8y9bS4sCpwaCnd0Pduf2xCr7bpvnz&#10;9Yvff3zmIYZmt17RTqnnp2X2BiLSNd7FN/deK8g3aX46k46A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kLXO8AAAA&#10;3A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yiI6L0AAADc&#10;AAAADwAAAGRycy9kb3ducmV2LnhtbEWPT4vCMBTE78J+h/AEL7KmLShSjSILgoeK2N29P5pnW2xe&#10;QhP/7H56Iwgeh5n5DbNc300nrtT71rKCdJKAIK6sbrlW8PO9/ZyD8AFZY2eZFPyRh/XqY7DEXNsb&#10;H+lahlpECPscFTQhuFxKXzVk0E+sI47eyfYGQ5R9LXWPtwg3ncySZCYNthwXGnT01VB1Li9GwW9Z&#10;FP9uO3a7/SHzwReb2ZQ2So2GabIAEege3uFXe6cVZPMUnmfiEZ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IjovQAA&#10;ANwAAAAPAAAAAAAAAAEAIAAAACIAAABkcnMvZG93bnJldi54bWxQSwECFAAUAAAACACHTuJAMy8F&#10;njsAAAA5AAAAEAAAAAAAAAABACAAAAAMAQAAZHJzL3NoYXBleG1sLnhtbFBLBQYAAAAABgAGAFsB&#10;AAC2Aw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oWn74AAADc&#10;AAAADwAAAGRycy9kb3ducmV2LnhtbEWPQWvCQBSE7wX/w/KEXopuDDRIzCoiCDmklKb1/sg+k2D2&#10;7ZLdavTXdwuFHoeZ+YYpdpMZxJVG31tWsFomIIgbq3tuFXx9HhdrED4gaxwsk4I7edhtZ08F5tre&#10;+IOudWhFhLDPUUEXgsul9E1HBv3SOuLone1oMEQ5tlKPeItwM8g0STJpsOe40KGjQ0fNpf42Ck51&#10;VT3c8cWVb++pD77aZ6+0V+p5vko2IAJN4T/81y61gnSdwu+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Wn74A&#10;AADc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LazBL0AAADc&#10;AAAADwAAAGRycy9kb3ducmV2LnhtbEWPT4vCMBTE7wt+h/CEvSyaWlGkGkUEwUNFrHp/NG/bss1L&#10;aOKf9dMbYWGPw8z8hlmsHqYVN+p8Y1nBaJiAIC6tbrhScD5tBzMQPiBrbC2Tgl/ysFr2PhaYaXvn&#10;I92KUIkIYZ+hgjoEl0npy5oM+qF1xNH7tp3BEGVXSd3hPcJNK9MkmUqDDceFGh1taip/iqtRcCny&#10;/Om2X263P6Q++Hw9ndBaqc/+KJmDCPQI/+G/9k4rSGdj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trMEvQAA&#10;ANwAAAAPAAAAAAAAAAEAIAAAACIAAABkcnMvZG93bnJldi54bWxQSwECFAAUAAAACACHTuJAMy8F&#10;njsAAAA5AAAAEAAAAAAAAAABACAAAAAMAQAAZHJzL3NoYXBleG1sLnhtbFBLBQYAAAAABgAGAFsB&#10;AAC2Aw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18rcL0AAADc&#10;AAAADwAAAGRycy9kb3ducmV2LnhtbEWPT4vCMBTE7wt+h/CEvSyaWlSkGkUEwUNFrHp/NG/bss1L&#10;aOKf9dMbYWGPw8z8hlmsHqYVN+p8Y1nBaJiAIC6tbrhScD5tBzMQPiBrbC2Tgl/ysFr2PhaYaXvn&#10;I92KUIkIYZ+hgjoEl0npy5oM+qF1xNH7tp3BEGVXSd3hPcJNK9MkmUqDDceFGh1taip/iqtRcCny&#10;/Om2X263P6Q++Hw9ndBaqc/+KJmDCPQI/+G/9k4rSGdj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XytwvQAA&#10;ANw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BOO674AAADc&#10;AAAADwAAAGRycy9kb3ducmV2LnhtbEWPwWrDMBBE74X+g9hCLyWRbUgwTpQQCoYcXEqc9r5YG9vE&#10;WglLtdN+fVUo5DjMzBtmu7+ZQUw0+t6ygnSZgCBurO65VfBxLhc5CB+QNQ6WScE3edjvHh+2WGg7&#10;84mmOrQiQtgXqKALwRVS+qYjg35pHXH0LnY0GKIcW6lHnCPcDDJLkrU02HNc6NDRa0fNtf4yCj7r&#10;qvpx5Ys7vr1nPvjqsF7RQannpzTZgAh0C/fwf/uoFWT5Cv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OO674A&#10;AADc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MEQnL0AAADc&#10;AAAADwAAAGRycy9kb3ducmV2LnhtbEWPT4vCMBTE78J+h/AWvMiaWrBINYosCB4qYnXvj+bZlm1e&#10;QhP/7H56Iwgeh5n5DbNY3U0nrtT71rKCyTgBQVxZ3XKt4HTcfM1A+ICssbNMCv7Iw2r5MVhgru2N&#10;D3QtQy0ihH2OCpoQXC6lrxoy6MfWEUfvbHuDIcq+lrrHW4SbTqZJkkmDLceFBh19N1T9lhej4Kcs&#10;in+3Gbntbp/64It1NqW1UsPPSTIHEege3uFXe6sVpLMM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RCcvQAA&#10;ANwAAAAPAAAAAAAAAAEAIAAAACIAAABkcnMvZG93bnJldi54bWxQSwECFAAUAAAACACHTuJAMy8F&#10;njsAAAA5AAAAEAAAAAAAAAABACAAAAAMAQAAZHJzL3NoYXBleG1sLnhtbFBLBQYAAAAABgAGAFsB&#10;AAC2Aw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421B70AAADc&#10;AAAADwAAAGRycy9kb3ducmV2LnhtbEWPT4vCMBTE78J+h/AEL7KmFnSlGkUWBA8Vse7eH82zLTYv&#10;oYl/dj+9EQSPw8z8hlms7qYVV+p8Y1nBeJSAIC6tbrhS8HPcfM5A+ICssbVMCv7Iw2r50Vtgpu2N&#10;D3QtQiUihH2GCuoQXCalL2sy6EfWEUfvZDuDIcqukrrDW4SbVqZJMpUGG44LNTr6rqk8Fxej4LfI&#10;83+3Gbrtbp/64PP1dEJrpQb9cTIHEege3uFXe6sVpLMv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jbUHvQAA&#10;ANwAAAAPAAAAAAAAAAEAIAAAACIAAABkcnMvZG93bnJldi54bWxQSwECFAAUAAAACACHTuJAMy8F&#10;njsAAAA5AAAAEAAAAAAAAAABACAAAAAMAQAAZHJzL3NoYXBleG1sLnhtbFBLBQYAAAAABgAGAFsB&#10;AAC2Aw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hIhdbwAAADc&#10;AAAADwAAAGRycy9kb3ducmV2LnhtbEVPz2vCMBS+D/Y/hDfYZczUgiKdaZFBwUPHsG73R/Nsis1L&#10;aLLq9tcvB8Hjx/d7W13tKGaawuBYwXKRgSDunB64V/B1rF83IEJE1jg6JgW/FKAqHx+2WGh34QPN&#10;bexFCuFQoAIToy+kDJ0hi2HhPHHiTm6yGBOceqknvKRwO8o8y9bS4sCpwaCnd0Pduf2xCr7bpvnz&#10;9Yvff3zmIYZmt17RTqnnp2X2BiLSNd7FN/deK8g3aW06k46A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SIXW8AAAA&#10;3AAAAA8AAAAAAAAAAQAgAAAAIgAAAGRycy9kb3ducmV2LnhtbFBLAQIUABQAAAAIAIdO4kAzLwWe&#10;OwAAADkAAAAQAAAAAAAAAAEAIAAAAAsBAABkcnMvc2hhcGV4bWwueG1sUEsFBgAAAAAGAAYAWwEA&#10;ALUDA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V6E7r0AAADc&#10;AAAADwAAAGRycy9kb3ducmV2LnhtbEWPT4vCMBTE78J+h/AEL6KpBUW7RpEFwUNFrLv3R/O2LTYv&#10;oYl/dj+9EQSPw8z8hlmu76YVV+p8Y1nBZJyAIC6tbrhS8H3ajuYgfEDW2FomBX/kYb366C0x0/bG&#10;R7oWoRIRwj5DBXUILpPSlzUZ9GPriKP3azuDIcqukrrDW4SbVqZJMpMGG44LNTr6qqk8Fxej4KfI&#10;83+3Hbrd/pD64PPNbEobpQb9SfIJItA9vMOv9k4rSOcL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oTuvQAA&#10;ANwAAAAPAAAAAAAAAAEAIAAAACIAAABkcnMvZG93bnJldi54bWxQSwECFAAUAAAACACHTuJAMy8F&#10;njsAAAA5AAAAEAAAAAAAAAABACAAAAAMAQAAZHJzL3NoYXBleG1sLnhtbFBLBQYAAAAABgAGAFsB&#10;AAC2Aw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b27rrkAAADc&#10;AAAADwAAAGRycy9kb3ducmV2LnhtbEVPy4rCMBTdD/gP4QpuBk0tKFqNIoLgojJM1f2lubbF5iY0&#10;8fn1ZjEwy8N5L9dP04o7db6xrGA8SkAQl1Y3XCk4HXfDGQgfkDW2lknBizysV72vJWbaPviX7kWo&#10;RAxhn6GCOgSXSenLmgz6kXXEkbvYzmCIsKuk7vARw00r0ySZSoMNx4YaHW1rKq/FzSg4F3n+drtv&#10;tz/8pD74fDOd0EapQX+cLEAEeoZ/8Z97rxWk8zg/no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29u665AAAA3AAA&#10;AA8AAAAAAAAAAQAgAAAAIgAAAGRycy9kb3ducmV2LnhtbFBLAQIUABQAAAAIAIdO4kAzLwWeOwAA&#10;ADkAAAAQAAAAAAAAAAEAIAAAAAgBAABkcnMvc2hhcGV4bWwueG1sUEsFBgAAAAAGAAYAWwEAALID&#10;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vEeNb4AAADc&#10;AAAADwAAAGRycy9kb3ducmV2LnhtbEWPQWvCQBSE74X+h+UJvRSzSUDR1FWkIHiIiLG9P7KvSTD7&#10;dslu1fbXu4LgcZiZb5jF6mp6cabBd5YVZEkKgri2uuNGwddxM56B8AFZY2+ZFPyRh9Xy9WWBhbYX&#10;PtC5Co2IEPYFKmhDcIWUvm7JoE+sI47ejx0MhiiHRuoBLxFuepmn6VQa7DgutOjos6X6VP0aBd9V&#10;Wf67zbvb7va5D75cTye0VuptlKUfIAJdwzP8aG+1gnyewf1MPAJ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EeNb4A&#10;AADc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iOAQr0AAADc&#10;AAAADwAAAGRycy9kb3ducmV2LnhtbEWPT4vCMBTE78J+h/AEL6KphRWtRpEFwUNFrLv3R/Nsi81L&#10;aOKf3U9vFgSPw8z8hlmuH6YVN+p8Y1nBZJyAIC6tbrhS8H3ajmYgfEDW2FomBb/kYb366C0x0/bO&#10;R7oVoRIRwj5DBXUILpPSlzUZ9GPriKN3tp3BEGVXSd3hPcJNK9MkmUqDDceFGh191VReiqtR8FPk&#10;+Z/bDt1uf0h98Plm+kkbpQb9SbIAEegR3uFXe6cVpPMU/s/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I4BCvQAA&#10;ANwAAAAPAAAAAAAAAAEAIAAAACIAAABkcnMvZG93bnJldi54bWxQSwECFAAUAAAACACHTuJAMy8F&#10;njsAAAA5AAAAEAAAAAAAAAABACAAAAAMAQAAZHJzL3NoYXBleG1sLnhtbFBLBQYAAAAABgAGAFsB&#10;AAC2Aw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8l2b4AAADc&#10;AAAADwAAAGRycy9kb3ducmV2LnhtbEWPT4vCMBTE7wv7HcJb8LJoakVZu0YRQfDQRazr/dE827LN&#10;S2ji30+/EQSPw8z8hpktrqYVZ+p8Y1nBcJCAIC6tbrhS8Ltf979A+ICssbVMCm7kYTF/f5thpu2F&#10;d3QuQiUihH2GCuoQXCalL2sy6AfWEUfvaDuDIcqukrrDS4SbVqZJMpEGG44LNTpa1VT+FSej4FDk&#10;+d2tP93mZ5v64PPlZExLpXofw+QbRKBreIWf7Y1WkE5H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l2b4A&#10;AADc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oa9rb4AAADc&#10;AAAADwAAAGRycy9kb3ducmV2LnhtbEWPT4vCMBTE7wv7HcJb8LJoalFZu0YRQfDQRazr/dE827LN&#10;S2ji30+/EQSPw8z8hpktrqYVZ+p8Y1nBcJCAIC6tbrhS8Ltf979A+ICssbVMCm7kYTF/f5thpu2F&#10;d3QuQiUihH2GCuoQXCalL2sy6AfWEUfvaDuDIcqukrrDS4SbVqZJMpEGG44LNTpa1VT+FSej4FDk&#10;+d2tP93mZ5v64PPlZExLpXofw+QbRKBreIWf7Y1WkE5H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a9rb4A&#10;AADcAAAADwAAAAAAAAABACAAAAAiAAAAZHJzL2Rvd25yZXYueG1sUEsBAhQAFAAAAAgAh07iQDMv&#10;BZ47AAAAOQAAABAAAAAAAAAAAQAgAAAADQEAAGRycy9zaGFwZXhtbC54bWxQSwUGAAAAAAYABgBb&#10;AQAAtwM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coYNr0AAADc&#10;AAAADwAAAGRycy9kb3ducmV2LnhtbEWPT4vCMBTE78J+h/AWvIimFpTdahRZEDxUxLp7fzTPtti8&#10;hCbrv09vBMHjMDO/YebLq2nFmTrfWFYwHiUgiEurG64U/B7Wwy8QPiBrbC2Tght5WC4+enPMtL3w&#10;ns5FqESEsM9QQR2Cy6T0ZU0G/cg64ugdbWcwRNlVUnd4iXDTyjRJptJgw3GhRkc/NZWn4t8o+Cvy&#10;/O7WA7fZ7lIffL6aTmilVP9znMxABLqGd/jV3mgF6fcE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yhg2vQAA&#10;ANw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7RiGQb4AAADc&#10;AAAADwAAAGRycy9kb3ducmV2LnhtbEWPT2vCQBTE70K/w/IEL2I2Bhpq6ipSEDxExLS9P7KvSTD7&#10;dsmuf9pP7xYEj8PM/IZZrm+mFxcafGdZwTxJQRDXVnfcKPj63M7eQPiArLG3TAp+ycN69TJaYqHt&#10;lY90qUIjIoR9gQraEFwhpa9bMugT64ij92MHgyHKoZF6wGuEm15maZpLgx3HhRYdfbRUn6qzUfBd&#10;leWf207dbn/IfPDlJn+ljVKT8Tx9BxHoFp7hR3unFWSL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iGQb4A&#10;AADcAAAADwAAAAAAAAABACAAAAAiAAAAZHJzL2Rvd25yZXYueG1sUEsBAhQAFAAAAAgAh07iQDMv&#10;BZ47AAAAOQAAABAAAAAAAAAAAQAgAAAADQEAAGRycy9zaGFwZXhtbC54bWxQSwUGAAAAAAYABgBb&#10;AQAAtwM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lQj2r4AAADc&#10;AAAADwAAAGRycy9kb3ducmV2LnhtbEWPT4vCMBTE7wv7HcJb8CKaWlDXrlFEEDx0Eet6fzTPtmzz&#10;Epr499NvBGGPw8z8hpkvb6YVF+p8Y1nBaJiAIC6tbrhS8HPYDD5B+ICssbVMCu7kYbl4f5tjpu2V&#10;93QpQiUihH2GCuoQXCalL2sy6IfWEUfvZDuDIcqukrrDa4SbVqZJMpEGG44LNTpa11T+Fmej4Fjk&#10;+cNt+m77vUt98PlqMqaVUr2PUfIFItAt/Idf7a1WkM6m8DwTj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Qj2r4A&#10;AADc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8u3qLkAAADc&#10;AAAADwAAAGRycy9kb3ducmV2LnhtbEVPy4rCMBTdD/gP4QpuBk0tKFqNIoLgojJM1f2lubbF5iY0&#10;8fn1ZjEwy8N5L9dP04o7db6xrGA8SkAQl1Y3XCk4HXfDGQgfkDW2lknBizysV72vJWbaPviX7kWo&#10;RAxhn6GCOgSXSenLmgz6kXXEkbvYzmCIsKuk7vARw00r0ySZSoMNx4YaHW1rKq/FzSg4F3n+drtv&#10;tz/8pD74fDOd0EapQX+cLEAEeoZ/8Z97rxWk87g2no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PLt6i5AAAA3AAA&#10;AA8AAAAAAAAAAQAgAAAAIgAAAGRycy9kb3ducmV2LnhtbFBLAQIUABQAAAAIAIdO4kAzLwWeOwAA&#10;ADkAAAAQAAAAAAAAAAEAIAAAAAgBAABkcnMvc2hhcGV4bWwueG1sUEsFBgAAAAAGAAYAWwEAALID&#10;A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IcSM70AAADc&#10;AAAADwAAAGRycy9kb3ducmV2LnhtbEWPT4vCMBTE78J+h/AEL7KmFpS1GkUWBA8Vse7eH82zLTYv&#10;oYl/dj+9EQSPw8z8hlms7qYVV+p8Y1nBeJSAIC6tbrhS8HPcfH6B8AFZY2uZFPyRh9Xyo7fATNsb&#10;H+hahEpECPsMFdQhuExKX9Zk0I+sI47eyXYGQ5RdJXWHtwg3rUyTZCoNNhwXanT0XVN5Li5GwW+R&#10;5/9uM3Tb3T71wefr6YTWSg3642QOItA9vMOv9lYrSGcz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xIzvQAA&#10;ANwAAAAPAAAAAAAAAAEAIAAAACIAAABkcnMvZG93bnJldi54bWxQSwECFAAUAAAACACHTuJAMy8F&#10;njsAAAA5AAAAEAAAAAAAAAABACAAAAAMAQAAZHJzL3NoYXBleG1sLnhtbFBLBQYAAAAABgAGAFsB&#10;AAC2Aw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1YhtLoAAADc&#10;AAAADwAAAGRycy9kb3ducmV2LnhtbEVPy4rCMBTdC/MP4QpuZExUlKEaRQYEFxWxzuwvzbUtNjeh&#10;iY+ZrzcLweXhvJfrh23FjbrQONYwHikQxKUzDVcafk7bzy8QISIbbB2Thj8KsF599JaYGXfnI92K&#10;WIkUwiFDDXWMPpMylDVZDCPniRN3dp3FmGBXSdPhPYXbVk6UmkuLDaeGGj1911ReiqvV8Fvk+b/f&#10;Dv1uf5iEGPLNfEYbrQf9sVqAiPSIb/HLvTMapirNT2fS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ViG0ugAAANwA&#10;AAAPAAAAAAAAAAEAIAAAACIAAABkcnMvZG93bnJldi54bWxQSwECFAAUAAAACACHTuJAMy8FnjsA&#10;AAA5AAAAEAAAAAAAAAABACAAAAAJAQAAZHJzL3NoYXBleG1sLnhtbFBLBQYAAAAABgAGAFsBAACz&#10;Aw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qEL70AAADc&#10;AAAADwAAAGRycy9kb3ducmV2LnhtbEWPQWsCMRSE74X+h/AKvRRNVlFkNYoUBA8r4qr3x+Z1d+nm&#10;JWxStf56IxR6HGbmG2axutlOXKgPrWMN2VCBIK6cabnWcDpuBjMQISIb7ByThl8KsFq+viwwN+7K&#10;B7qUsRYJwiFHDU2MPpcyVA1ZDEPniZP35XqLMcm+lqbHa4LbTo6UmkqLLaeFBj19NlR9lz9Ww7ks&#10;irvffPjtbj8KMRTr6YTWWr+/ZWoOItIt/of/2lujYawyeJ5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oQvvQAA&#10;ANwAAAAPAAAAAAAAAAEAIAAAACIAAABkcnMvZG93bnJldi54bWxQSwECFAAUAAAACACHTuJAMy8F&#10;njsAAAA5AAAAEAAAAAAAAAABACAAAAAMAQAAZHJzL3NoYXBleG1sLnhtbFBLBQYAAAAABgAGAFsB&#10;AAC2Aw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MgaWL4AAADc&#10;AAAADwAAAGRycy9kb3ducmV2LnhtbEWPT2sCMRTE7wW/Q3hCL0UTV5SyGkUEwcOKuNr7Y/O6u3Tz&#10;EjbxT/vpG6HQ4zAzv2GW64ftxI360DrWMBkrEMSVMy3XGi7n3egdRIjIBjvHpOGbAqxXg5cl5sbd&#10;+US3MtYiQTjkqKGJ0edShqohi2HsPHHyPl1vMSbZ19L0eE9w28lMqbm02HJaaNDTtqHqq7xaDR9l&#10;Ufz43ZvfH45ZiKHYzGe00fp1OFELEJEe8T/8194bDVOVwfNMOg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gaWL4A&#10;AADc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4S/w70AAADc&#10;AAAADwAAAGRycy9kb3ducmV2LnhtbEWPT2sCMRTE7wW/Q3hCL0UTlYqsRhFB8LBFuur9sXnuLm5e&#10;wib136dvhEKPw8z8hlms7rYVV+pC41jDaKhAEJfONFxpOB62gxmIEJENto5Jw4MCrJa9twVmxt34&#10;m65FrESCcMhQQx2jz6QMZU0Ww9B54uSdXWcxJtlV0nR4S3DbyrFSU2mx4bRQo6dNTeWl+LEaTkWe&#10;P/32w+++9uMQQ76eftJa6/f+SM1BRLrH//Bfe2c0TNQEXmfS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hL/DvQAA&#10;ANwAAAAPAAAAAAAAAAEAIAAAACIAAABkcnMvZG93bnJldi54bWxQSwECFAAUAAAACACHTuJAMy8F&#10;njsAAAA5AAAAEAAAAAAAAAABACAAAAAMAQAAZHJzL3NoYXBleG1sLnhtbFBLBQYAAAAABgAGAFsB&#10;AAC2Aw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7G0nt74AAADc&#10;AAAADwAAAGRycy9kb3ducmV2LnhtbEWPT2sCMRTE7wW/Q3iFXkQTrRVZjSKC4GGluNX7Y/PcXbp5&#10;CZvUf5++EQo9DjPzG2axutlWXKgLjWMNo6ECQVw603Cl4fi1HcxAhIhssHVMGu4UYLXsvSwwM+7K&#10;B7oUsRIJwiFDDXWMPpMylDVZDEPniZN3dp3FmGRXSdPhNcFtK8dKTaXFhtNCjZ42NZXfxY/VcCry&#10;/OG3fb/bf45DDPl6+kFrrd9eR2oOItIt/of/2juj4V1N4HkmHQ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0nt74A&#10;AADcAAAADwAAAAAAAAABACAAAAAiAAAAZHJzL2Rvd25yZXYueG1sUEsBAhQAFAAAAAgAh07iQDMv&#10;BZ47AAAAOQAAABAAAAAAAAAAAQAgAAAADQEAAGRycy9zaGFwZXhtbC54bWxQSwUGAAAAAAYABgBb&#10;AQAAtwM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yGCLL4AAADc&#10;AAAADwAAAGRycy9kb3ducmV2LnhtbEWPQWsCMRSE74L/IbxCL6KJFkW2mxURBA9biqveH5vX3aWb&#10;l7BJ1fbXN4WCx2FmvmHyzd324kpD6BxrmM8UCOLamY4bDefTfroGESKywd4xafimAJtiPMoxM+7G&#10;R7pWsREJwiFDDW2MPpMy1C1ZDDPniZP34QaLMcmhkWbAW4LbXi6UWkmLHaeFFj3tWqo/qy+r4VKV&#10;5Y/fT/zh7X0RYii3qyVttX5+mqtXEJHu8RH+bx+Mhhe1hL8z6Qj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GCLL4A&#10;AADcAAAADwAAAAAAAAABACAAAAAiAAAAZHJzL2Rvd25yZXYueG1sUEsBAhQAFAAAAAgAh07iQDMv&#10;BZ47AAAAOQAAABAAAAAAAAAAAQAgAAAADQEAAGRycy9zaGFwZXhtbC54bWxQSwUGAAAAAAYABgBb&#10;AQAAtwM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McW70AAADc&#10;AAAADwAAAGRycy9kb3ducmV2LnhtbEWPQWsCMRSE74X+h/AKvRRNVFxkNYoUBA8r4qr3x+Z1d+nm&#10;JWxStf56IxR6HGbmG2axutlOXKgPrWMNo6ECQVw503Kt4XTcDGYgQkQ22DkmDb8UYLV8fVlgbtyV&#10;D3QpYy0ShEOOGpoYfS5lqBqyGIbOEyfvy/UWY5J9LU2P1wS3nRwrlUmLLaeFBj19NlR9lz9Ww7ks&#10;irvffPjtbj8OMRTrbEprrd/fRmoOItIt/of/2lujYaIyeJ5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8xxbvQAA&#10;ANwAAAAPAAAAAAAAAAEAIAAAACIAAABkcnMvZG93bnJldi54bWxQSwECFAAUAAAACACHTuJAMy8F&#10;njsAAAA5AAAAEAAAAAAAAAABACAAAAAMAQAAZHJzL3NoYXBleG1sLnhtbFBLBQYAAAAABgAGAFsB&#10;AAC2Aw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L+5wL4AAADc&#10;AAAADwAAAGRycy9kb3ducmV2LnhtbEWPT2sCMRTE7wW/Q3iCl6KJllrZGkUEwcNKca33x+a5u3Tz&#10;EjbxXz+9KRQ8DjPzG2a+vNlWXKgLjWMN45ECQVw603Cl4fuwGc5AhIhssHVMGu4UYLnovcwxM+7K&#10;e7oUsRIJwiFDDXWMPpMylDVZDCPniZN3cp3FmGRXSdPhNcFtKydKTaXFhtNCjZ7WNZU/xdlqOBZ5&#10;/us3r367+5qEGPLV9J1WWg/6Y/UJItItPsP/7a3R8KY+4O9MOgJ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5wL4A&#10;AADcAAAADwAAAAAAAAABACAAAAAiAAAAZHJzL2Rvd25yZXYueG1sUEsBAhQAFAAAAAgAh07iQDMv&#10;BZ47AAAAOQAAABAAAAAAAAAAAQAgAAAADQEAAGRycy9zaGFwZXhtbC54bWxQSwUGAAAAAAYABgBb&#10;AQAAtwM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SAtsroAAADc&#10;AAAADwAAAGRycy9kb3ducmV2LnhtbEVPy4rCMBTdC/MP4QpuZExUlKEaRQYEFxWxzuwvzbUtNjeh&#10;iY+ZrzcLweXhvJfrh23FjbrQONYwHikQxKUzDVcafk7bzy8QISIbbB2Thj8KsF599JaYGXfnI92K&#10;WIkUwiFDDXWMPpMylDVZDCPniRN3dp3FmGBXSdPhPYXbVk6UmkuLDaeGGj1911ReiqvV8Fvk+b/f&#10;Dv1uf5iEGPLNfEYbrQf9sVqAiPSIb/HLvTMapiqtTWfSEZ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IC2yugAAANwA&#10;AAAPAAAAAAAAAAEAIAAAACIAAABkcnMvZG93bnJldi54bWxQSwECFAAUAAAACACHTuJAMy8FnjsA&#10;AAA5AAAAEAAAAAAAAAABACAAAAAJAQAAZHJzL3NoYXBleG1sLnhtbFBLBQYAAAAABgAGAFsBAACz&#10;Aw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myIKb4AAADc&#10;AAAADwAAAGRycy9kb3ducmV2LnhtbEWPT2sCMRTE7wW/Q3iCl6KJlkrdGkUEwcNKca33x+a5u3Tz&#10;EjbxXz+9KRQ8DjPzG2a+vNlWXKgLjWMN45ECQVw603Cl4fuwGX6ACBHZYOuYNNwpwHLRe5ljZtyV&#10;93QpYiUShEOGGuoYfSZlKGuyGEbOEyfv5DqLMcmukqbDa4LbVk6UmkqLDaeFGj2tayp/irPVcCzy&#10;/NdvXv129zUJMeSr6TuttB70x+oTRKRbfIb/21uj4U3N4O9MOgJ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yIKb4A&#10;AADcAAAADwAAAAAAAAABACAAAAAiAAAAZHJzL2Rvd25yZXYueG1sUEsBAhQAFAAAAAgAh07iQDMv&#10;BZ47AAAAOQAAABAAAAAAAAAAAQAgAAAADQEAAGRycy9zaGFwZXhtbC54bWxQSwUGAAAAAAYABgBb&#10;AQAAtwM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o+3abwAAADc&#10;AAAADwAAAGRycy9kb3ducmV2LnhtbEVPz2vCMBS+C/sfwht4kZm2wzKqUWQg9NAxrNv90TzbsuYl&#10;NLF1++uXw2DHj+/37nA3g5ho9L1lBek6AUHcWN1zq+Djcnp6AeEDssbBMin4Jg+H/cNih4W2M59p&#10;qkMrYgj7AhV0IbhCSt90ZNCvrSOO3NWOBkOEYyv1iHMMN4PMkiSXBnuODR06eu2o+apvRsFnXVU/&#10;7rRy5dt75oOvjvmGjkotH9NkCyLQPfyL/9ylVvCcxvnxTDwCc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t2m8AAAA&#10;3AAAAA8AAAAAAAAAAQAgAAAAIgAAAGRycy9kb3ducmV2LnhtbFBLAQIUABQAAAAIAIdO4kAzLwWe&#10;OwAAADkAAAAQAAAAAAAAAAEAIAAAAAsBAABkcnMvc2hhcGV4bWwueG1sUEsFBgAAAAAGAAYAWwEA&#10;ALU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cMS8r0AAADc&#10;AAAADwAAAGRycy9kb3ducmV2LnhtbEWPT4vCMBTE78J+h/AWvIimVZSlGkUWBA8Vsbr3R/Nsi81L&#10;aLL+2U+/EQSPw8z8hlms7qYVV+p8Y1lBOkpAEJdWN1wpOB03wy8QPiBrbC2Tggd5WC0/egvMtL3x&#10;ga5FqESEsM9QQR2Cy6T0ZU0G/cg64uidbWcwRNlVUnd4i3DTynGSzKTBhuNCjY6+ayovxa9R8FPk&#10;+Z/bDNx2tx/74PP1bEprpfqfaTIHEege3uFXe6sVT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xLyvQAA&#10;ANwAAAAPAAAAAAAAAAEAIAAAACIAAABkcnMvZG93bnJldi54bWxQSwECFAAUAAAACACHTuJAMy8F&#10;njsAAAA5AAAAEAAAAAAAAAABACAAAAAMAQAAZHJzL3NoYXBleG1sLnhtbFBLBQYAAAAABgAGAFsB&#10;AAC2Aw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RGMhb8AAADc&#10;AAAADwAAAGRycy9kb3ducmV2LnhtbEWPQWvCQBSE70L/w/IKvYhukmIo0U2QguAhpZi290f2mQSz&#10;b5fsVm1/fbcgeBxm5htmU13NKM40+cGygnSZgCBurR64U/D5sVu8gPABWeNomRT8kIeqfJhtsND2&#10;wgc6N6ETEcK+QAV9CK6Q0rc9GfRL64ijd7STwRDl1Ek94SXCzSizJMmlwYHjQo+OXntqT823UfDV&#10;1PWv283d/u0988HX23xFW6WeHtNkDSLQNdzDt/ZeK3hOM/g/E4+AL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RjIW/&#10;AAAA3AAAAA8AAAAAAAAAAQAgAAAAIgAAAGRycy9kb3ducmV2LnhtbFBLAQIUABQAAAAIAIdO4kAz&#10;LwWeOwAAADkAAAAQAAAAAAAAAAEAIAAAAA4BAABkcnMvc2hhcGV4bWwueG1sUEsFBgAAAAAGAAYA&#10;WwEAALgD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l0pHr0AAADc&#10;AAAADwAAAGRycy9kb3ducmV2LnhtbEWPT4vCMBTE7wt+h/AWvCxrWmVlqUYRQfBQka16fzTPtmzz&#10;Epr499MbQfA4zMxvmOn8alpxps43lhWkgwQEcWl1w5WC/W71/QvCB2SNrWVScCMP81nvY4qZthf+&#10;o3MRKhEh7DNUUIfgMil9WZNBP7COOHpH2xkMUXaV1B1eIty0cpgkY2mw4bhQo6NlTeV/cTIKDkWe&#10;393qy60326EPPl+Mf2ihVP8zTSYgAl3DO/xqr7WCUTqC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SkevQAA&#10;ANwAAAAPAAAAAAAAAAEAIAAAACIAAABkcnMvZG93bnJldi54bWxQSwECFAAUAAAACACHTuJAMy8F&#10;njsAAAA5AAAAEAAAAAAAAAABACAAAAAMAQAAZHJzL3NoYXBleG1sLnhtbFBLBQYAAAAABgAGAFsB&#10;AAC2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bSxar8AAADc&#10;AAAADwAAAGRycy9kb3ducmV2LnhtbEWPT2vCQBTE74V+h+UJXkrdxNYg0VWkIHiIiLHeH9lnEsy+&#10;XbLrn/bTdwWhx2FmfsPMl3fTiSv1vrWsIB0lIIgrq1uuFXwf1u9TED4ga+wsk4If8rBcvL7MMdf2&#10;xnu6lqEWEcI+RwVNCC6X0lcNGfQj64ijd7K9wRBlX0vd4y3CTSfHSZJJgy3HhQYdfTVUncuLUXAs&#10;i+LXrd/cZrsb++CLVTahlVLDQZrMQAS6h//ws73RCj7ST3ic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0sWq/&#10;AAAA3AAAAA8AAAAAAAAAAQAgAAAAIgAAAGRycy9kb3ducmV2LnhtbFBLAQIUABQAAAAIAIdO4kAz&#10;LwWeOwAAADkAAAAQAAAAAAAAAAEAIAAAAA4BAABkcnMvc2hhcGV4bWwueG1sUEsFBgAAAAAGAAYA&#10;WwEAALg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vgU8b8AAADc&#10;AAAADwAAAGRycy9kb3ducmV2LnhtbEWPQWvCQBSE7wX/w/IKvZS6SYpSoqsEQfCQUhr1/sg+k9Ds&#10;2yW7TdRf3y0Uehxm5htmvb2aXow0+M6ygnSegCCure64UXA67l/eQPiArLG3TApu5GG7mT2sMdd2&#10;4k8aq9CICGGfo4I2BJdL6euWDPq5dcTRu9jBYIhyaKQecIpw08ssSZbSYMdxoUVHu5bqr+rbKDhX&#10;ZXl3+2d3eP/IfPBlsVxQodTTY5qsQAS6hv/wX/ugFbym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4FPG/&#10;AAAA3AAAAA8AAAAAAAAAAQAgAAAAIgAAAGRycy9kb3ducmV2LnhtbFBLAQIUABQAAAAIAIdO4kAz&#10;LwWeOwAAADkAAAAQAAAAAAAAAAEAIAAAAA4BAABkcnMvc2hhcGV4bWwueG1sUEsFBgAAAAAGAAYA&#10;WwEAALg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iqKhr8AAADc&#10;AAAADwAAAGRycy9kb3ducmV2LnhtbEWPQWvCQBSE70L/w/IKvYhuYjGU6CZIIeAhpZi290f2mQSz&#10;b5fsVm1/fbcgeBxm5htmW17NKM40+cGygnSZgCBurR64U/D5US1eQPiArHG0TAp+yENZPMy2mGt7&#10;4QOdm9CJCGGfo4I+BJdL6dueDPqldcTRO9rJYIhy6qSe8BLhZpSrJMmkwYHjQo+OXntqT823UfDV&#10;1PWvq+Zu//a+8sHXu2xNO6WeHtNkAyLQNdzDt/ZeK3hOM/g/E4+AL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ioa/&#10;AAAA3AAAAA8AAAAAAAAAAQAgAAAAIgAAAGRycy9kb3ducmV2LnhtbFBLAQIUABQAAAAIAIdO4kAz&#10;LwWeOwAAADkAAAAQAAAAAAAAAAEAIAAAAA4BAABkcnMvc2hhcGV4bWwueG1sUEsFBgAAAAAGAAYA&#10;WwEAALg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WYvHb4AAADc&#10;AAAADwAAAGRycy9kb3ducmV2LnhtbEWPQWvCQBSE7wX/w/KEXopuYqmVmI1IQfAQKcZ6f2SfSTD7&#10;dslu1fbXu4WCx2FmvmHy1c304kKD7ywrSKcJCOLa6o4bBV+HzWQBwgdkjb1lUvBDHlbF6CnHTNsr&#10;7+lShUZECPsMFbQhuExKX7dk0E+tI47eyQ4GQ5RDI/WA1wg3vZwlyVwa7DgutOjoo6X6XH0bBceq&#10;LH/d5sVtd58zH3y5nr/RWqnncZosQQS6hUf4v73VCl7Td/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YvHb4A&#10;AADcAAAADwAAAAAAAAABACAAAAAiAAAAZHJzL2Rvd25yZXYueG1sUEsBAhQAFAAAAAgAh07iQDMv&#10;BZ47AAAAOQAAABAAAAAAAAAAAQAgAAAADQEAAGRycy9zaGFwZXhtbC54bWxQSwUGAAAAAAYABgBb&#10;AQAAtwM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Pm7b7wAAADc&#10;AAAADwAAAGRycy9kb3ducmV2LnhtbEVPz2vCMBS+C/sfwht4kZm2wzKqUWQg9NAxrNv90TzbsuYl&#10;NLF1++uXw2DHj+/37nA3g5ho9L1lBek6AUHcWN1zq+Djcnp6AeEDssbBMin4Jg+H/cNih4W2M59p&#10;qkMrYgj7AhV0IbhCSt90ZNCvrSOO3NWOBkOEYyv1iHMMN4PMkiSXBnuODR06eu2o+apvRsFnXVU/&#10;7rRy5dt75oOvjvmGjkotH9NkCyLQPfyL/9ylVvCcxrXxTDwCc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5u2+8AAAA&#10;3A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7Ue9L4AAADc&#10;AAAADwAAAGRycy9kb3ducmV2LnhtbEWPQWvCQBSE7wX/w/KEXopuYqnUmI1IQfAQKcZ6f2SfSTD7&#10;dslu1fbXu4WCx2FmvmHy1c304kKD7ywrSKcJCOLa6o4bBV+HzeQdhA/IGnvLpOCHPKyK0VOOmbZX&#10;3tOlCo2IEPYZKmhDcJmUvm7JoJ9aRxy9kx0MhiiHRuoBrxFuejlLkrk02HFcaNHRR0v1ufo2Co5V&#10;Wf66zYvb7j5nPvhyPX+jtVLP4zRZggh0C4/wf3urFbymC/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7Ue9L4A&#10;AADc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2ON91LsAAADc&#10;AAAADwAAAGRycy9kb3ducmV2LnhtbEVPy4rCMBTdC/MP4QpuRFM7WKQaRQYEFxWxzuwvzbUtNjeh&#10;iY+ZrzeLAZeH815tnqYTd+p9a1nBbJqAIK6sbrlW8H3eTRYgfEDW2FkmBb/kYbP+GKww1/bBJ7qX&#10;oRYxhH2OCpoQXC6lrxoy6KfWEUfuYnuDIcK+lrrHRww3nUyTJJMGW44NDTr6aqi6ljej4Kcsij+3&#10;G7v94Zj64IttNqetUqPhLFmCCPQMb/G/e68VfKZxfjw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ON91LsAAADc&#10;AAAADwAAAAAAAAABACAAAAAiAAAAZHJzL2Rvd25yZXYueG1sUEsBAhQAFAAAAAgAh07iQDMvBZ47&#10;AAAAOQAAABAAAAAAAAAAAQAgAAAACgEAAGRycy9zaGFwZXhtbC54bWxQSwUGAAAAAAYABgBbAQAA&#10;tAM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6/YT78AAADc&#10;AAAADwAAAGRycy9kb3ducmV2LnhtbEWPQWvCQBSE70L/w/IKvYhukmIo0U2QguAhpZi290f2mQSz&#10;b5fsVm1/fbcgeBxm5htmU13NKM40+cGygnSZgCBurR64U/D5sVu8gPABWeNomRT8kIeqfJhtsND2&#10;wgc6N6ETEcK+QAV9CK6Q0rc9GfRL64ijd7STwRDl1Ek94SXCzSizJMmlwYHjQo+OXntqT823UfDV&#10;1PWv283d/u0988HX23xFW6WeHtNkDSLQNdzDt/ZeK3jOUvg/E4+AL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v2E+/&#10;AAAA3AAAAA8AAAAAAAAAAQAgAAAAIgAAAGRycy9kb3ducmV2LnhtbFBLAQIUABQAAAAIAIdO4kAz&#10;LwWeOwAAADkAAAAQAAAAAAAAAAEAIAAAAA4BAABkcnMvc2hhcGV4bWwueG1sUEsFBgAAAAAGAAYA&#10;WwEAALg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31GOL0AAADc&#10;AAAADwAAAGRycy9kb3ducmV2LnhtbEWPT4vCMBTE7wt+h/AEL4umVlakGkUEwUNl2ar3R/Nsi81L&#10;aOLfT28WFvY4zMxvmMXqYVpxo843lhWMRwkI4tLqhisFx8N2OAPhA7LG1jIpeJKH1bL3scBM2zv/&#10;0K0IlYgQ9hkqqENwmZS+rMmgH1lHHL2z7QyGKLtK6g7vEW5amSbJVBpsOC7U6GhTU3kprkbBqcjz&#10;l9t+ut3+O/XB5+vpF62VGvTHyRxEoEf4D/+1d1rBJE3h90w8AnL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fUY4vQAA&#10;ANwAAAAPAAAAAAAAAAEAIAAAACIAAABkcnMvZG93bnJldi54bWxQSwECFAAUAAAACACHTuJAMy8F&#10;njsAAAA5AAAAEAAAAAAAAAABACAAAAAMAQAAZHJzL3NoYXBleG1sLnhtbFBLBQYAAAAABgAGAFsB&#10;AAC2Aw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DHjo70AAADc&#10;AAAADwAAAGRycy9kb3ducmV2LnhtbEWPT4vCMBTE78J+h/AEL6KpFUW6RpEFwUNlse7eH83btti8&#10;hCb+/fRmQfA4zMxvmOX6Zlpxoc43lhVMxgkI4tLqhisFP8ftaAHCB2SNrWVScCcP69VHb4mZtlc+&#10;0KUIlYgQ9hkqqENwmZS+rMmgH1tHHL0/2xkMUXaV1B1eI9y0Mk2SuTTYcFyo0dFXTeWpOBsFv0We&#10;P9x26Hb779QHn2/mM9ooNehPkk8QgW7hHX61d1rBNJ3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eOjvQAA&#10;ANwAAAAPAAAAAAAAAAEAIAAAACIAAABkcnMvZG93bnJldi54bWxQSwECFAAUAAAACACHTuJAMy8F&#10;njsAAAA5AAAAEAAAAAAAAAABACAAAAAMAQAAZHJzL3NoYXBleG1sLnhtbFBLBQYAAAAABgAGAFsB&#10;AAC2Aw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9h7178AAADc&#10;AAAADwAAAGRycy9kb3ducmV2LnhtbEWPT2vCQBTE74LfYXmFXkQ3xj+U1E0QQfCQUoz2/si+JqHZ&#10;t0t2q7af3i0UPA4z8xtmU9xMLy40+M6ygvksAUFcW91xo+B82k9fQPiArLG3TAp+yEORj0cbzLS9&#10;8pEuVWhEhLDPUEEbgsuk9HVLBv3MOuLofdrBYIhyaKQe8BrhppdpkqylwY7jQouOdi3VX9W3UfBR&#10;leWv20/c4e099cGX2/WKtko9P82TVxCBbuER/m8ftIJFuoS/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Ye9e/&#10;AAAA3AAAAA8AAAAAAAAAAQAgAAAAIgAAAGRycy9kb3ducmV2LnhtbFBLAQIUABQAAAAIAIdO4kAz&#10;LwWeOwAAADkAAAAQAAAAAAAAAAEAIAAAAA4BAABkcnMvc2hhcGV4bWwueG1sUEsFBgAAAAAGAAYA&#10;WwEAALgDA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JTeTL0AAADc&#10;AAAADwAAAGRycy9kb3ducmV2LnhtbEWPT4vCMBTE78J+h/AEL6KpFUW6RpEFwUNFrLv3R/O2LTYv&#10;oYl/dj+9EQSPw8z8hlmu76YVV+p8Y1nBZJyAIC6tbrhS8H3ajhYgfEDW2FomBX/kYb366C0x0/bG&#10;R7oWoRIRwj5DBXUILpPSlzUZ9GPriKP3azuDIcqukrrDW4SbVqZJMpcGG44LNTr6qqk8Fxej4KfI&#10;83+3Hbrd/pD64PPNfEYbpQb9SfIJItA9vMOv9k4rmKY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lN5MvQAA&#10;ANwAAAAPAAAAAAAAAAEAIAAAACIAAABkcnMvZG93bnJldi54bWxQSwECFAAUAAAACACHTuJAMy8F&#10;njsAAAA5AAAAEAAAAAAAAAABACAAAAAMAQAAZHJzL3NoYXBleG1sLnhtbFBLBQYAAAAABgAGAFsB&#10;AAC2Aw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EZAO74AAADc&#10;AAAADwAAAGRycy9kb3ducmV2LnhtbEWPT2vCQBTE74V+h+UVeilmY6ShRFcRQfAQkUZ7f2SfSTD7&#10;dsmuf9pP3xUEj8PM/IaZLW6mFxcafGdZwThJQRDXVnfcKDjs16MvED4ga+wtk4Jf8rCYv77MsND2&#10;yt90qUIjIoR9gQraEFwhpa9bMugT64ijd7SDwRDl0Eg94DXCTS+zNM2lwY7jQouOVi3Vp+psFPxU&#10;Zfnn1h9us91lPvhymX/SUqn3t3E6BRHoFp7hR3ujFUyyH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EZAO74A&#10;AADc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wrloL4AAADc&#10;AAAADwAAAGRycy9kb3ducmV2LnhtbEWPT4vCMBTE7wv7HcJb8LJoakVXukYRQfDQRazr/dE827LN&#10;S2ji30+/EQSPw8z8hpktrqYVZ+p8Y1nBcJCAIC6tbrhS8Ltf96cgfEDW2FomBTfysJi/v80w0/bC&#10;OzoXoRIRwj5DBXUILpPSlzUZ9APriKN3tJ3BEGVXSd3hJcJNK9MkmUiDDceFGh2tair/ipNRcCjy&#10;/O7Wn27zs0198PlyMqalUr2PYfINItA1vMLP9kYrGKVf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rloL4A&#10;AADcAAAADwAAAAAAAAABACAAAAAiAAAAZHJzL2Rvd25yZXYueG1sUEsBAhQAFAAAAAgAh07iQDMv&#10;BZ47AAAAOQAAABAAAAAAAAAAAQAgAAAADQEAAGRycy9zaGFwZXhtbC54bWxQSwUGAAAAAAYABgBb&#10;AQAAtwM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pVx0rsAAADc&#10;AAAADwAAAGRycy9kb3ducmV2LnhtbEVPy4rCMBTdC/MP4QpuRFM7WKQaRQYEFxWxzuwvzbUtNjeh&#10;iY+ZrzeLAZeH815tnqYTd+p9a1nBbJqAIK6sbrlW8H3eTRYgfEDW2FkmBb/kYbP+GKww1/bBJ7qX&#10;oRYxhH2OCpoQXC6lrxoy6KfWEUfuYnuDIcK+lrrHRww3nUyTJJMGW44NDTr6aqi6ljej4Kcsij+3&#10;G7v94Zj64IttNqetUqPhLFmCCPQMb/G/e68VfKZxbTw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Vx0rsAAADc&#10;AAAADwAAAAAAAAABACAAAAAiAAAAZHJzL2Rvd25yZXYueG1sUEsBAhQAFAAAAAgAh07iQDMvBZ47&#10;AAAAOQAAABAAAAAAAAAAAQAgAAAACgEAAGRycy9zaGFwZXhtbC54bWxQSwUGAAAAAAYABgBbAQAA&#10;tAM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dnUSb4AAADc&#10;AAAADwAAAGRycy9kb3ducmV2LnhtbEWPT4vCMBTE7wv7HcJb8LJoakVZu0YRQfDQRazr/dE827LN&#10;S2ji30+/EQSPw8z8hpktrqYVZ+p8Y1nBcJCAIC6tbrhS8Ltf979A+ICssbVMCm7kYTF/f5thpu2F&#10;d3QuQiUihH2GCuoQXCalL2sy6AfWEUfvaDuDIcqukrrDS4SbVqZJMpEGG44LNTpa1VT+FSej4FDk&#10;+d2tP93mZ5v64PPlZExLpXofw+QbRKBreIWf7Y1WMEqn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nUSb4A&#10;AADc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TrrCbkAAADc&#10;AAAADwAAAGRycy9kb3ducmV2LnhtbEVPy4rCMBTdC/5DuIIbGVMVRTpGEUFwURGr7i/NnbZMcxOa&#10;+Px6sxBcHs57sXqYRtyo9bVlBaNhAoK4sLrmUsH5tP2Zg/ABWWNjmRQ8ycNq2e0sMNX2zke65aEU&#10;MYR9igqqEFwqpS8qMuiH1hFH7s+2BkOEbSl1i/cYbho5TpKZNFhzbKjQ0aai4j+/GgWXPMtebjtw&#10;u/1h7IPP1rMprZXq90bJL4hAj/AVf9w7rWAyifP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66wm5AAAA3AAA&#10;AA8AAAAAAAAAAQAgAAAAIgAAAGRycy9kb3ducmV2LnhtbFBLAQIUABQAAAAIAIdO4kAzLwWeOwAA&#10;ADkAAAAQAAAAAAAAAAEAIAAAAAgBAABkcnMvc2hhcGV4bWwueG1sUEsFBgAAAAAGAAYAWwEAALID&#10;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nZOkr0AAADc&#10;AAAADwAAAGRycy9kb3ducmV2LnhtbEWPT4vCMBTE7wt+h/AWvCxrWmVlqUYRQfBQka16fzTPtmzz&#10;Epr499MbQfA4zMxvmOn8alpxps43lhWkgwQEcWl1w5WC/W71/QvCB2SNrWVScCMP81nvY4qZthf+&#10;o3MRKhEh7DNUUIfgMil9WZNBP7COOHpH2xkMUXaV1B1eIty0cpgkY2mw4bhQo6NlTeV/cTIKDkWe&#10;393qy60326EPPl+Mf2ihVP8zTSYgAl3DO/xqr7WC0SiF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k6SvQAA&#10;ANwAAAAPAAAAAAAAAAEAIAAAACIAAABkcnMvZG93bnJldi54bWxQSwECFAAUAAAACACHTuJAMy8F&#10;njsAAAA5AAAAEAAAAAAAAAABACAAAAAMAQAAZHJzL3NoYXBleG1sLnhtbFBLBQYAAAAABgAGAFsB&#10;AAC2Aw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qTQ5b0AAADc&#10;AAAADwAAAGRycy9kb3ducmV2LnhtbEWPT4vCMBTE78J+h/AEL6KpFUW6RpEFwUNlse7eH83btti8&#10;hCb+/fRmQfA4zMxvmOX6Zlpxoc43lhVMxgkI4tLqhisFP8ftaAHCB2SNrWVScCcP69VHb4mZtlc+&#10;0KUIlYgQ9hkqqENwmZS+rMmgH1tHHL0/2xkMUXaV1B1eI9y0Mk2SuTTYcFyo0dFXTeWpOBsFv0We&#10;P9x26Hb779QHn2/mM9ooNehPkk8QgW7hHX61d1rBdJr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pNDlvQAA&#10;ANwAAAAPAAAAAAAAAAEAIAAAACIAAABkcnMvZG93bnJldi54bWxQSwECFAAUAAAACACHTuJAMy8F&#10;njsAAAA5AAAAEAAAAAAAAAABACAAAAAMAQAAZHJzL3NoYXBleG1sLnhtbFBLBQYAAAAABgAGAFsB&#10;AAC2Aw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eh1fr0AAADc&#10;AAAADwAAAGRycy9kb3ducmV2LnhtbEWPT4vCMBTE78J+h/AEL6KpFkW6RpEFwUNFrLv3R/O2LTYv&#10;oYl/dj+9EQSPw8z8hlmu76YVV+p8Y1nBZJyAIC6tbrhS8H3ajhYgfEDW2FomBX/kYb366C0x0/bG&#10;R7oWoRIRwj5DBXUILpPSlzUZ9GPriKP3azuDIcqukrrDW4SbVk6TZC4NNhwXanT0VVN5Li5GwU+R&#10;5/9uO3S7/WHqg8838xltlBr0J8kniED38A6/2jutIE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6HV+vQAA&#10;ANwAAAAPAAAAAAAAAAEAIAAAACIAAABkcnMvZG93bnJldi54bWxQSwECFAAUAAAACACHTuJAMy8F&#10;njsAAAA5AAAAEAAAAAAAAAABACAAAAAMAQAAZHJzL3NoYXBleG1sLnhtbFBLBQYAAAAABgAGAFsB&#10;AAC2AwAAAAA=&#10;" path="m6956,5059l467,5059,453,5039,6970,5039,6956,5059xe">
                    <v:fill on="t" focussize="0,0"/>
                    <v:stroke on="f"/>
                    <v:imagedata o:title=""/>
                    <o:lock v:ext="edit" aspectratio="f"/>
                  </v:shape>
                </v:group>
                <w10:wrap type="none"/>
                <w10:anchorlock/>
              </v:group>
            </w:pict>
          </mc:Fallback>
        </mc:AlternateContent>
      </w: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spacing w:before="0" w:line="480" w:lineRule="exact"/>
        <w:rPr>
          <w:rFonts w:hint="eastAsia" w:ascii="仿宋" w:hAnsi="仿宋" w:eastAsia="仿宋" w:cs="仿宋"/>
          <w:b w:val="0"/>
          <w:bCs/>
          <w:color w:val="000000"/>
        </w:rPr>
      </w:pPr>
    </w:p>
    <w:p>
      <w:pPr>
        <w:pStyle w:val="11"/>
        <w:wordWrap w:val="0"/>
        <w:spacing w:line="480" w:lineRule="exact"/>
        <w:ind w:left="0"/>
        <w:jc w:val="right"/>
        <w:rPr>
          <w:rFonts w:hint="eastAsia" w:ascii="仿宋" w:hAnsi="仿宋" w:eastAsia="仿宋" w:cs="仿宋"/>
          <w:b w:val="0"/>
          <w:bCs/>
          <w:color w:val="000000"/>
        </w:rPr>
      </w:pPr>
      <w:r>
        <w:rPr>
          <w:rFonts w:hint="eastAsia" w:ascii="仿宋" w:hAnsi="仿宋" w:eastAsia="仿宋" w:cs="仿宋"/>
          <w:b w:val="0"/>
          <w:bCs/>
          <w:color w:val="000000"/>
        </w:rPr>
        <w:t>供应商：</w:t>
      </w:r>
      <w:r>
        <w:rPr>
          <w:rFonts w:hint="eastAsia" w:ascii="仿宋" w:hAnsi="仿宋" w:eastAsia="仿宋" w:cs="仿宋"/>
          <w:b w:val="0"/>
          <w:bCs/>
          <w:color w:val="000000"/>
          <w:u w:val="single"/>
        </w:rPr>
        <w:tab/>
      </w:r>
      <w:r>
        <w:rPr>
          <w:rFonts w:hint="eastAsia" w:ascii="仿宋" w:hAnsi="仿宋" w:eastAsia="仿宋" w:cs="仿宋"/>
          <w:b w:val="0"/>
          <w:bCs/>
          <w:color w:val="000000"/>
          <w:u w:val="single"/>
        </w:rPr>
        <w:t xml:space="preserve">        </w:t>
      </w:r>
      <w:r>
        <w:rPr>
          <w:rFonts w:hint="eastAsia" w:ascii="仿宋" w:hAnsi="仿宋" w:eastAsia="仿宋" w:cs="仿宋"/>
          <w:b w:val="0"/>
          <w:bCs/>
          <w:color w:val="000000"/>
        </w:rPr>
        <w:t xml:space="preserve">（盖章） </w:t>
      </w:r>
    </w:p>
    <w:p>
      <w:pPr>
        <w:pStyle w:val="11"/>
        <w:wordWrap w:val="0"/>
        <w:spacing w:line="480" w:lineRule="exact"/>
        <w:ind w:left="0"/>
        <w:jc w:val="right"/>
        <w:rPr>
          <w:rFonts w:hint="eastAsia" w:ascii="仿宋" w:hAnsi="仿宋" w:eastAsia="仿宋" w:cs="仿宋"/>
          <w:b w:val="0"/>
          <w:bCs/>
          <w:color w:val="000000"/>
        </w:rPr>
      </w:pPr>
      <w:r>
        <w:rPr>
          <w:rFonts w:hint="eastAsia" w:ascii="仿宋" w:hAnsi="仿宋" w:eastAsia="仿宋" w:cs="仿宋"/>
          <w:b w:val="0"/>
          <w:bCs/>
          <w:color w:val="000000"/>
        </w:rPr>
        <w:t>法定代表人或被授权人：</w:t>
      </w:r>
      <w:r>
        <w:rPr>
          <w:rFonts w:hint="eastAsia" w:ascii="仿宋" w:hAnsi="仿宋" w:eastAsia="仿宋" w:cs="仿宋"/>
          <w:b w:val="0"/>
          <w:bCs/>
          <w:color w:val="000000"/>
          <w:u w:val="single"/>
        </w:rPr>
        <w:tab/>
      </w:r>
      <w:r>
        <w:rPr>
          <w:rFonts w:hint="eastAsia" w:ascii="仿宋" w:hAnsi="仿宋" w:eastAsia="仿宋" w:cs="仿宋"/>
          <w:b w:val="0"/>
          <w:bCs/>
          <w:color w:val="000000"/>
          <w:u w:val="single"/>
        </w:rPr>
        <w:t xml:space="preserve">         </w:t>
      </w:r>
      <w:r>
        <w:rPr>
          <w:rFonts w:hint="eastAsia" w:ascii="仿宋" w:hAnsi="仿宋" w:eastAsia="仿宋" w:cs="仿宋"/>
          <w:b w:val="0"/>
          <w:bCs/>
          <w:color w:val="000000"/>
        </w:rPr>
        <w:t>（签字）</w:t>
      </w:r>
    </w:p>
    <w:p>
      <w:pPr>
        <w:pStyle w:val="11"/>
        <w:spacing w:before="0" w:line="480" w:lineRule="exact"/>
        <w:ind w:left="0"/>
        <w:jc w:val="right"/>
        <w:rPr>
          <w:rFonts w:hint="eastAsia" w:ascii="仿宋" w:hAnsi="仿宋" w:eastAsia="仿宋" w:cs="仿宋"/>
          <w:b w:val="0"/>
          <w:bCs/>
          <w:color w:val="000000"/>
        </w:rPr>
      </w:pPr>
      <w:r>
        <w:rPr>
          <w:rFonts w:hint="eastAsia" w:ascii="仿宋" w:hAnsi="仿宋" w:eastAsia="仿宋" w:cs="仿宋"/>
          <w:b w:val="0"/>
          <w:bCs/>
          <w:color w:val="000000"/>
        </w:rPr>
        <w:t>日</w:t>
      </w:r>
      <w:r>
        <w:rPr>
          <w:rFonts w:hint="eastAsia" w:ascii="仿宋" w:hAnsi="仿宋" w:eastAsia="仿宋" w:cs="仿宋"/>
          <w:b w:val="0"/>
          <w:bCs/>
          <w:color w:val="000000"/>
        </w:rPr>
        <w:tab/>
      </w:r>
      <w:r>
        <w:rPr>
          <w:rFonts w:hint="eastAsia" w:ascii="仿宋" w:hAnsi="仿宋" w:eastAsia="仿宋" w:cs="仿宋"/>
          <w:b w:val="0"/>
          <w:bCs/>
          <w:color w:val="000000"/>
        </w:rPr>
        <w:t>期：</w:t>
      </w:r>
      <w:r>
        <w:rPr>
          <w:rFonts w:hint="eastAsia" w:ascii="仿宋" w:hAnsi="仿宋" w:eastAsia="仿宋" w:cs="仿宋"/>
          <w:b w:val="0"/>
          <w:bCs/>
          <w:color w:val="000000"/>
          <w:u w:val="single"/>
        </w:rPr>
        <w:tab/>
      </w:r>
      <w:r>
        <w:rPr>
          <w:rFonts w:hint="eastAsia" w:ascii="仿宋" w:hAnsi="仿宋" w:eastAsia="仿宋" w:cs="仿宋"/>
          <w:b w:val="0"/>
          <w:bCs/>
          <w:color w:val="000000"/>
        </w:rPr>
        <w:t>年</w:t>
      </w:r>
      <w:r>
        <w:rPr>
          <w:rFonts w:hint="eastAsia" w:ascii="仿宋" w:hAnsi="仿宋" w:eastAsia="仿宋" w:cs="仿宋"/>
          <w:b w:val="0"/>
          <w:bCs/>
          <w:color w:val="000000"/>
          <w:u w:val="single"/>
        </w:rPr>
        <w:tab/>
      </w:r>
      <w:r>
        <w:rPr>
          <w:rFonts w:hint="eastAsia" w:ascii="仿宋" w:hAnsi="仿宋" w:eastAsia="仿宋" w:cs="仿宋"/>
          <w:b w:val="0"/>
          <w:bCs/>
          <w:color w:val="000000"/>
        </w:rPr>
        <w:t>月</w:t>
      </w:r>
      <w:r>
        <w:rPr>
          <w:rFonts w:hint="eastAsia" w:ascii="仿宋" w:hAnsi="仿宋" w:eastAsia="仿宋" w:cs="仿宋"/>
          <w:b w:val="0"/>
          <w:bCs/>
          <w:color w:val="000000"/>
          <w:u w:val="single"/>
        </w:rPr>
        <w:tab/>
      </w:r>
      <w:r>
        <w:rPr>
          <w:rFonts w:hint="eastAsia" w:ascii="仿宋" w:hAnsi="仿宋" w:eastAsia="仿宋" w:cs="仿宋"/>
          <w:b w:val="0"/>
          <w:bCs/>
          <w:color w:val="000000"/>
        </w:rPr>
        <w:t>日</w:t>
      </w:r>
    </w:p>
    <w:p>
      <w:pPr>
        <w:pStyle w:val="11"/>
        <w:spacing w:line="480" w:lineRule="exact"/>
        <w:ind w:left="0"/>
        <w:rPr>
          <w:rFonts w:hint="eastAsia" w:ascii="仿宋" w:hAnsi="仿宋" w:eastAsia="仿宋" w:cs="仿宋"/>
          <w:b w:val="0"/>
          <w:bCs/>
          <w:color w:val="000000"/>
        </w:rPr>
      </w:pPr>
    </w:p>
    <w:p>
      <w:pPr>
        <w:pStyle w:val="11"/>
        <w:spacing w:before="0" w:line="480" w:lineRule="exact"/>
        <w:ind w:left="0"/>
        <w:rPr>
          <w:rFonts w:hint="eastAsia" w:ascii="仿宋" w:hAnsi="仿宋" w:eastAsia="仿宋" w:cs="仿宋"/>
          <w:b w:val="0"/>
          <w:bCs/>
          <w:color w:val="000000"/>
        </w:rPr>
      </w:pPr>
    </w:p>
    <w:p>
      <w:pPr>
        <w:pStyle w:val="11"/>
        <w:spacing w:before="0" w:line="480" w:lineRule="exact"/>
        <w:ind w:left="0"/>
        <w:rPr>
          <w:rFonts w:hint="eastAsia" w:ascii="仿宋" w:hAnsi="仿宋" w:eastAsia="仿宋" w:cs="仿宋"/>
          <w:b w:val="0"/>
          <w:bCs/>
          <w:color w:val="000000"/>
        </w:rPr>
      </w:pPr>
    </w:p>
    <w:p>
      <w:pPr>
        <w:pStyle w:val="11"/>
        <w:spacing w:before="0" w:line="480" w:lineRule="exact"/>
        <w:ind w:left="0"/>
        <w:rPr>
          <w:rFonts w:hint="eastAsia" w:ascii="仿宋" w:hAnsi="仿宋" w:eastAsia="仿宋" w:cs="仿宋"/>
          <w:b w:val="0"/>
          <w:bCs/>
          <w:color w:val="000000"/>
        </w:rPr>
      </w:pPr>
    </w:p>
    <w:p>
      <w:pPr>
        <w:pStyle w:val="11"/>
        <w:spacing w:before="0" w:line="480" w:lineRule="exact"/>
        <w:ind w:left="0"/>
        <w:rPr>
          <w:rFonts w:hint="eastAsia" w:ascii="仿宋" w:hAnsi="仿宋" w:eastAsia="仿宋" w:cs="仿宋"/>
          <w:b w:val="0"/>
          <w:bCs/>
          <w:color w:val="000000"/>
        </w:rPr>
      </w:pPr>
      <w:r>
        <w:rPr>
          <w:rFonts w:hint="eastAsia" w:ascii="仿宋" w:hAnsi="仿宋" w:eastAsia="仿宋" w:cs="仿宋"/>
          <w:b w:val="0"/>
          <w:bCs/>
          <w:color w:val="000000"/>
        </w:rPr>
        <w:t>★备注：投标保证金缴费回单复印件加盖公章</w:t>
      </w:r>
    </w:p>
    <w:p>
      <w:pPr>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br w:type="page"/>
      </w:r>
    </w:p>
    <w:p>
      <w:pPr>
        <w:pStyle w:val="77"/>
        <w:spacing w:line="360" w:lineRule="auto"/>
        <w:ind w:left="-19" w:leftChars="-9" w:firstLine="473" w:firstLineChars="157"/>
        <w:jc w:val="left"/>
        <w:outlineLvl w:val="1"/>
        <w:rPr>
          <w:rFonts w:hint="default"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附表十四：</w:t>
      </w:r>
    </w:p>
    <w:p>
      <w:pPr>
        <w:pStyle w:val="11"/>
        <w:spacing w:before="0" w:line="480" w:lineRule="exact"/>
        <w:jc w:val="center"/>
        <w:rPr>
          <w:b/>
          <w:color w:val="000000"/>
          <w:sz w:val="28"/>
          <w:szCs w:val="28"/>
        </w:rPr>
      </w:pPr>
      <w:r>
        <w:rPr>
          <w:rFonts w:hint="eastAsia"/>
          <w:b/>
          <w:bCs/>
          <w:color w:val="000000"/>
          <w:sz w:val="28"/>
          <w:szCs w:val="28"/>
        </w:rPr>
        <w:t>退还保证金说明函</w:t>
      </w:r>
    </w:p>
    <w:p>
      <w:pPr>
        <w:pStyle w:val="11"/>
        <w:spacing w:before="0" w:line="480" w:lineRule="exact"/>
        <w:rPr>
          <w:rFonts w:hint="eastAsia" w:ascii="仿宋" w:hAnsi="仿宋" w:eastAsia="仿宋" w:cs="仿宋"/>
          <w:b w:val="0"/>
          <w:bCs w:val="0"/>
          <w:color w:val="000000"/>
        </w:rPr>
      </w:pPr>
      <w:r>
        <w:rPr>
          <w:rFonts w:hint="eastAsia" w:ascii="仿宋" w:hAnsi="仿宋" w:eastAsia="仿宋" w:cs="仿宋"/>
          <w:b w:val="0"/>
          <w:bCs w:val="0"/>
          <w:color w:val="000000"/>
        </w:rPr>
        <w:t>致：</w:t>
      </w:r>
      <w:r>
        <w:rPr>
          <w:rFonts w:hint="eastAsia" w:ascii="仿宋" w:hAnsi="仿宋" w:eastAsia="仿宋" w:cs="仿宋"/>
          <w:b w:val="0"/>
          <w:bCs w:val="0"/>
          <w:color w:val="000000"/>
          <w:u w:val="single"/>
        </w:rPr>
        <w:t xml:space="preserve">      （</w:t>
      </w:r>
      <w:r>
        <w:rPr>
          <w:rFonts w:hint="eastAsia" w:ascii="仿宋" w:hAnsi="仿宋" w:eastAsia="仿宋" w:cs="仿宋"/>
          <w:b w:val="0"/>
          <w:bCs w:val="0"/>
          <w:color w:val="000000"/>
          <w:u w:val="single"/>
          <w:lang w:val="en-US" w:eastAsia="zh-CN"/>
        </w:rPr>
        <w:t>招标</w:t>
      </w:r>
      <w:r>
        <w:rPr>
          <w:rFonts w:hint="eastAsia" w:ascii="仿宋" w:hAnsi="仿宋" w:eastAsia="仿宋" w:cs="仿宋"/>
          <w:b w:val="0"/>
          <w:bCs w:val="0"/>
          <w:color w:val="000000"/>
          <w:u w:val="single"/>
        </w:rPr>
        <w:t xml:space="preserve">代理公司） </w:t>
      </w:r>
      <w:r>
        <w:rPr>
          <w:rFonts w:hint="eastAsia" w:ascii="仿宋" w:hAnsi="仿宋" w:eastAsia="仿宋" w:cs="仿宋"/>
          <w:b w:val="0"/>
          <w:bCs w:val="0"/>
          <w:color w:val="000000"/>
        </w:rPr>
        <w:t xml:space="preserve">           </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我单位已按</w:t>
      </w:r>
      <w:r>
        <w:rPr>
          <w:rFonts w:hint="eastAsia" w:ascii="仿宋" w:hAnsi="仿宋" w:eastAsia="仿宋" w:cs="仿宋"/>
          <w:b w:val="0"/>
          <w:bCs w:val="0"/>
          <w:color w:val="000000"/>
          <w:u w:val="single"/>
        </w:rPr>
        <w:t xml:space="preserve">                                </w:t>
      </w:r>
      <w:r>
        <w:rPr>
          <w:rFonts w:hint="eastAsia" w:ascii="仿宋" w:hAnsi="仿宋" w:eastAsia="仿宋" w:cs="仿宋"/>
          <w:b w:val="0"/>
          <w:bCs w:val="0"/>
          <w:color w:val="000000"/>
        </w:rPr>
        <w:t>项目（项目号：</w:t>
      </w:r>
      <w:r>
        <w:rPr>
          <w:rFonts w:hint="eastAsia" w:ascii="仿宋" w:hAnsi="仿宋" w:eastAsia="仿宋" w:cs="仿宋"/>
          <w:b w:val="0"/>
          <w:bCs w:val="0"/>
          <w:color w:val="000000"/>
          <w:u w:val="single"/>
        </w:rPr>
        <w:t xml:space="preserve">         </w:t>
      </w:r>
      <w:r>
        <w:rPr>
          <w:rFonts w:hint="eastAsia" w:ascii="仿宋" w:hAnsi="仿宋" w:eastAsia="仿宋" w:cs="仿宋"/>
          <w:b w:val="0"/>
          <w:bCs w:val="0"/>
          <w:color w:val="000000"/>
        </w:rPr>
        <w:t>）的招标文件要求，提交的报价保证金</w:t>
      </w:r>
      <w:r>
        <w:rPr>
          <w:rFonts w:hint="eastAsia" w:ascii="仿宋" w:hAnsi="仿宋" w:eastAsia="仿宋" w:cs="仿宋"/>
          <w:b w:val="0"/>
          <w:bCs w:val="0"/>
          <w:color w:val="000000"/>
          <w:u w:val="single"/>
        </w:rPr>
        <w:t xml:space="preserve">            </w:t>
      </w:r>
      <w:r>
        <w:rPr>
          <w:rFonts w:hint="eastAsia" w:ascii="仿宋" w:hAnsi="仿宋" w:eastAsia="仿宋" w:cs="仿宋"/>
          <w:b w:val="0"/>
          <w:bCs w:val="0"/>
          <w:color w:val="000000"/>
        </w:rPr>
        <w:t>（</w:t>
      </w:r>
      <w:r>
        <w:rPr>
          <w:rFonts w:hint="eastAsia" w:ascii="仿宋" w:hAnsi="仿宋" w:eastAsia="仿宋" w:cs="仿宋"/>
          <w:b w:val="0"/>
          <w:bCs w:val="0"/>
          <w:color w:val="000000"/>
          <w:u w:val="single"/>
        </w:rPr>
        <w:t>大写金额</w:t>
      </w:r>
      <w:r>
        <w:rPr>
          <w:rFonts w:hint="eastAsia" w:ascii="仿宋" w:hAnsi="仿宋" w:eastAsia="仿宋" w:cs="仿宋"/>
          <w:b w:val="0"/>
          <w:bCs w:val="0"/>
          <w:color w:val="000000"/>
        </w:rPr>
        <w:t>）元，请贵公司退还时划到以下帐户：</w:t>
      </w:r>
    </w:p>
    <w:p>
      <w:pPr>
        <w:pStyle w:val="11"/>
        <w:spacing w:before="0" w:line="480" w:lineRule="exact"/>
        <w:ind w:left="0" w:firstLine="560" w:firstLineChars="200"/>
        <w:rPr>
          <w:rFonts w:hint="eastAsia" w:ascii="仿宋" w:hAnsi="仿宋" w:eastAsia="仿宋" w:cs="仿宋"/>
          <w:b w:val="0"/>
          <w:bCs w:val="0"/>
          <w:color w:val="000000"/>
        </w:rPr>
      </w:pP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收 款 单 位：</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收款单位地址：</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开 户 银 行：</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帐       号：</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行       号：</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联   系  人：</w:t>
      </w: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联 系 电 话：</w:t>
      </w:r>
    </w:p>
    <w:p>
      <w:pPr>
        <w:pStyle w:val="11"/>
        <w:spacing w:before="0" w:line="480" w:lineRule="exact"/>
        <w:ind w:left="0" w:firstLine="560" w:firstLineChars="200"/>
        <w:rPr>
          <w:rFonts w:hint="eastAsia" w:ascii="仿宋" w:hAnsi="仿宋" w:eastAsia="仿宋" w:cs="仿宋"/>
          <w:b w:val="0"/>
          <w:bCs w:val="0"/>
          <w:color w:val="000000"/>
        </w:rPr>
      </w:pPr>
    </w:p>
    <w:p>
      <w:pPr>
        <w:pStyle w:val="11"/>
        <w:spacing w:before="0" w:line="480" w:lineRule="exact"/>
        <w:ind w:left="0" w:firstLine="560" w:firstLineChars="200"/>
        <w:rPr>
          <w:rFonts w:hint="eastAsia" w:ascii="仿宋" w:hAnsi="仿宋" w:eastAsia="仿宋" w:cs="仿宋"/>
          <w:b w:val="0"/>
          <w:bCs w:val="0"/>
          <w:color w:val="000000"/>
        </w:rPr>
      </w:pPr>
      <w:r>
        <w:rPr>
          <w:rFonts w:hint="eastAsia" w:ascii="仿宋" w:hAnsi="仿宋" w:eastAsia="仿宋" w:cs="仿宋"/>
          <w:b w:val="0"/>
          <w:bCs w:val="0"/>
          <w:color w:val="000000"/>
        </w:rPr>
        <w:t>（联系人和电话请填写财务人员，以便我公司财务人员核实退还保证金账户正确性）</w:t>
      </w:r>
    </w:p>
    <w:p>
      <w:pPr>
        <w:pStyle w:val="11"/>
        <w:spacing w:before="0" w:line="480" w:lineRule="exact"/>
        <w:ind w:left="0" w:firstLine="560" w:firstLineChars="200"/>
        <w:rPr>
          <w:rFonts w:hint="eastAsia" w:ascii="仿宋" w:hAnsi="仿宋" w:eastAsia="仿宋" w:cs="仿宋"/>
          <w:b w:val="0"/>
          <w:bCs w:val="0"/>
          <w:color w:val="000000"/>
        </w:rPr>
      </w:pPr>
    </w:p>
    <w:p>
      <w:pPr>
        <w:pStyle w:val="11"/>
        <w:spacing w:before="0" w:line="480" w:lineRule="exact"/>
        <w:ind w:left="0" w:firstLine="560" w:firstLineChars="200"/>
        <w:jc w:val="right"/>
        <w:rPr>
          <w:rFonts w:hint="eastAsia" w:ascii="仿宋" w:hAnsi="仿宋" w:eastAsia="仿宋" w:cs="仿宋"/>
          <w:b w:val="0"/>
          <w:bCs w:val="0"/>
          <w:color w:val="000000"/>
        </w:rPr>
      </w:pPr>
      <w:r>
        <w:rPr>
          <w:rFonts w:hint="eastAsia" w:ascii="仿宋" w:hAnsi="仿宋" w:eastAsia="仿宋" w:cs="仿宋"/>
          <w:b w:val="0"/>
          <w:bCs w:val="0"/>
          <w:color w:val="000000"/>
          <w:lang w:val="en-US" w:eastAsia="zh-CN"/>
        </w:rPr>
        <w:t>投标</w:t>
      </w:r>
      <w:r>
        <w:rPr>
          <w:rFonts w:hint="eastAsia" w:ascii="仿宋" w:hAnsi="仿宋" w:eastAsia="仿宋" w:cs="仿宋"/>
          <w:b w:val="0"/>
          <w:bCs w:val="0"/>
          <w:color w:val="000000"/>
        </w:rPr>
        <w:t>单位：</w:t>
      </w:r>
      <w:r>
        <w:rPr>
          <w:rFonts w:hint="eastAsia" w:ascii="仿宋" w:hAnsi="仿宋" w:eastAsia="仿宋" w:cs="仿宋"/>
          <w:b w:val="0"/>
          <w:bCs w:val="0"/>
          <w:color w:val="000000"/>
          <w:u w:val="single"/>
        </w:rPr>
        <w:tab/>
      </w:r>
      <w:r>
        <w:rPr>
          <w:rFonts w:hint="eastAsia" w:ascii="仿宋" w:hAnsi="仿宋" w:eastAsia="仿宋" w:cs="仿宋"/>
          <w:b w:val="0"/>
          <w:bCs w:val="0"/>
          <w:color w:val="000000"/>
        </w:rPr>
        <w:t xml:space="preserve">（盖章） </w:t>
      </w:r>
    </w:p>
    <w:p>
      <w:pPr>
        <w:pStyle w:val="11"/>
        <w:spacing w:before="0" w:line="480" w:lineRule="exact"/>
        <w:ind w:left="0" w:firstLine="560" w:firstLineChars="200"/>
        <w:jc w:val="right"/>
        <w:rPr>
          <w:rFonts w:hint="eastAsia" w:ascii="仿宋" w:hAnsi="仿宋" w:eastAsia="仿宋" w:cs="仿宋"/>
          <w:b w:val="0"/>
          <w:bCs w:val="0"/>
          <w:color w:val="000000"/>
        </w:rPr>
      </w:pPr>
      <w:r>
        <w:rPr>
          <w:rFonts w:hint="eastAsia" w:ascii="仿宋" w:hAnsi="仿宋" w:eastAsia="仿宋" w:cs="仿宋"/>
          <w:b w:val="0"/>
          <w:bCs w:val="0"/>
          <w:color w:val="000000"/>
        </w:rPr>
        <w:t>法定代表人或被授权人：</w:t>
      </w:r>
      <w:r>
        <w:rPr>
          <w:rFonts w:hint="eastAsia" w:ascii="仿宋" w:hAnsi="仿宋" w:eastAsia="仿宋" w:cs="仿宋"/>
          <w:b w:val="0"/>
          <w:bCs w:val="0"/>
          <w:color w:val="000000"/>
          <w:u w:val="single"/>
        </w:rPr>
        <w:tab/>
      </w:r>
      <w:r>
        <w:rPr>
          <w:rFonts w:hint="eastAsia" w:ascii="仿宋" w:hAnsi="仿宋" w:eastAsia="仿宋" w:cs="仿宋"/>
          <w:b w:val="0"/>
          <w:bCs w:val="0"/>
          <w:color w:val="000000"/>
          <w:u w:val="single"/>
        </w:rPr>
        <w:tab/>
      </w:r>
      <w:r>
        <w:rPr>
          <w:rFonts w:hint="eastAsia" w:ascii="仿宋" w:hAnsi="仿宋" w:eastAsia="仿宋" w:cs="仿宋"/>
          <w:b w:val="0"/>
          <w:bCs w:val="0"/>
          <w:color w:val="000000"/>
        </w:rPr>
        <w:t>（签字）</w:t>
      </w:r>
    </w:p>
    <w:p>
      <w:pPr>
        <w:pStyle w:val="11"/>
        <w:spacing w:before="0" w:line="480" w:lineRule="exact"/>
        <w:ind w:left="0" w:firstLine="560" w:firstLineChars="200"/>
        <w:jc w:val="right"/>
        <w:rPr>
          <w:b w:val="0"/>
          <w:bCs w:val="0"/>
          <w:color w:val="000000"/>
          <w:sz w:val="28"/>
          <w:szCs w:val="28"/>
        </w:rPr>
      </w:pPr>
      <w:r>
        <w:rPr>
          <w:rFonts w:hint="eastAsia" w:ascii="仿宋" w:hAnsi="仿宋" w:eastAsia="仿宋" w:cs="仿宋"/>
          <w:b w:val="0"/>
          <w:bCs w:val="0"/>
          <w:color w:val="000000"/>
        </w:rPr>
        <w:t>日</w:t>
      </w:r>
      <w:r>
        <w:rPr>
          <w:rFonts w:hint="eastAsia" w:ascii="仿宋" w:hAnsi="仿宋" w:eastAsia="仿宋" w:cs="仿宋"/>
          <w:b w:val="0"/>
          <w:bCs w:val="0"/>
          <w:color w:val="000000"/>
        </w:rPr>
        <w:tab/>
      </w:r>
      <w:r>
        <w:rPr>
          <w:rFonts w:hint="eastAsia" w:ascii="仿宋" w:hAnsi="仿宋" w:eastAsia="仿宋" w:cs="仿宋"/>
          <w:b w:val="0"/>
          <w:bCs w:val="0"/>
          <w:color w:val="000000"/>
        </w:rPr>
        <w:t>期：</w:t>
      </w:r>
      <w:r>
        <w:rPr>
          <w:rFonts w:hint="eastAsia" w:ascii="仿宋" w:hAnsi="仿宋" w:eastAsia="仿宋" w:cs="仿宋"/>
          <w:b w:val="0"/>
          <w:bCs w:val="0"/>
          <w:color w:val="000000"/>
          <w:u w:val="single"/>
        </w:rPr>
        <w:tab/>
      </w:r>
      <w:r>
        <w:rPr>
          <w:rFonts w:hint="eastAsia" w:ascii="仿宋" w:hAnsi="仿宋" w:eastAsia="仿宋" w:cs="仿宋"/>
          <w:b w:val="0"/>
          <w:bCs w:val="0"/>
          <w:color w:val="000000"/>
        </w:rPr>
        <w:t>年</w:t>
      </w:r>
      <w:r>
        <w:rPr>
          <w:rFonts w:hint="eastAsia" w:ascii="仿宋" w:hAnsi="仿宋" w:eastAsia="仿宋" w:cs="仿宋"/>
          <w:b w:val="0"/>
          <w:bCs w:val="0"/>
          <w:color w:val="000000"/>
          <w:u w:val="single"/>
        </w:rPr>
        <w:tab/>
      </w:r>
      <w:r>
        <w:rPr>
          <w:rFonts w:hint="eastAsia" w:ascii="仿宋" w:hAnsi="仿宋" w:eastAsia="仿宋" w:cs="仿宋"/>
          <w:b w:val="0"/>
          <w:bCs w:val="0"/>
          <w:color w:val="000000"/>
        </w:rPr>
        <w:t>月</w:t>
      </w:r>
      <w:r>
        <w:rPr>
          <w:rFonts w:hint="eastAsia" w:ascii="仿宋" w:hAnsi="仿宋" w:eastAsia="仿宋" w:cs="仿宋"/>
          <w:b w:val="0"/>
          <w:bCs w:val="0"/>
          <w:color w:val="000000"/>
          <w:u w:val="single"/>
        </w:rPr>
        <w:tab/>
      </w:r>
      <w:r>
        <w:rPr>
          <w:rFonts w:hint="eastAsia" w:ascii="仿宋" w:hAnsi="仿宋" w:eastAsia="仿宋" w:cs="仿宋"/>
          <w:b w:val="0"/>
          <w:bCs w:val="0"/>
          <w:color w:val="000000"/>
        </w:rPr>
        <w:t xml:space="preserve">日 </w:t>
      </w:r>
      <w:r>
        <w:rPr>
          <w:rFonts w:hint="eastAsia"/>
          <w:b w:val="0"/>
          <w:bCs w:val="0"/>
          <w:color w:val="000000"/>
        </w:rPr>
        <w:t xml:space="preserve"> </w:t>
      </w:r>
    </w:p>
    <w:p>
      <w:pPr>
        <w:pStyle w:val="77"/>
        <w:spacing w:line="360" w:lineRule="auto"/>
        <w:ind w:left="0" w:leftChars="0" w:firstLine="0" w:firstLineChars="0"/>
        <w:jc w:val="left"/>
        <w:outlineLvl w:val="1"/>
        <w:rPr>
          <w:rFonts w:hint="default" w:eastAsia="宋体"/>
          <w:b/>
          <w:bCs/>
          <w:color w:val="000000"/>
          <w:sz w:val="28"/>
          <w:szCs w:val="28"/>
          <w:lang w:val="en-US" w:eastAsia="zh-CN"/>
        </w:rPr>
      </w:pPr>
      <w:r>
        <w:rPr>
          <w:rFonts w:hint="eastAsia"/>
          <w:b/>
          <w:bCs/>
          <w:color w:val="000000"/>
          <w:sz w:val="28"/>
          <w:szCs w:val="28"/>
          <w:lang w:val="en-US" w:eastAsia="zh-CN"/>
        </w:rPr>
        <w:br w:type="page"/>
      </w:r>
      <w:r>
        <w:rPr>
          <w:rFonts w:hint="eastAsia"/>
          <w:b/>
          <w:bCs/>
          <w:color w:val="000000"/>
          <w:sz w:val="28"/>
          <w:szCs w:val="28"/>
          <w:lang w:val="en-US" w:eastAsia="zh-CN"/>
        </w:rPr>
        <w:t xml:space="preserve"> 附件十五：</w:t>
      </w:r>
    </w:p>
    <w:p>
      <w:pPr>
        <w:pStyle w:val="11"/>
        <w:spacing w:before="0" w:line="480" w:lineRule="exact"/>
        <w:jc w:val="center"/>
        <w:rPr>
          <w:b/>
          <w:bCs/>
          <w:color w:val="000000"/>
          <w:sz w:val="30"/>
          <w:szCs w:val="30"/>
        </w:rPr>
      </w:pPr>
      <w:r>
        <w:rPr>
          <w:rFonts w:hint="eastAsia"/>
          <w:b/>
          <w:bCs/>
          <w:color w:val="000000"/>
          <w:sz w:val="30"/>
          <w:szCs w:val="30"/>
        </w:rPr>
        <w:t>中小企业声明函（符合本声明函填写）</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本公司郑重声明，根据《政府采购促进中小企业发展暂行办法》（财库[2011]181 号）的规定，本公司为</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（请填写：中型、小型、微型）企业。即，本公司 同时满足以下条件：</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1.根据《工业和信息化部、国家统计局、国家发展和改革委员会、财政部关于印发 中小企业划型标准规定的通知》（工信部联企业[2011]300 号）规定的划分标准，本公 司为</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（请填写：中型、小型、微型）企业。</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2.本公司参加</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单位的</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项目采购活动提供本企业制 造的货物，由本企业承担工程、提供服务，或者提供其他</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（请填写：中型、 小型、微型）企业制造的货物。本条所称货物不包括使用大型企业注册商标的货物。</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3.提交本声明函的投标人必须在谈判响应性文件中提供相应的证明材料并对材料 的真实性负法律责任。证明材料包括：上一年度及上一月的财务报表；从业人员名单及 工资发放明细表。</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本公司对上述声明的真实性负责。如有虚假，将依法承担相应责任。</w:t>
      </w:r>
    </w:p>
    <w:p>
      <w:pPr>
        <w:pStyle w:val="11"/>
        <w:spacing w:before="0" w:line="480" w:lineRule="exact"/>
        <w:rPr>
          <w:rFonts w:hint="eastAsia" w:ascii="仿宋" w:hAnsi="仿宋" w:eastAsia="仿宋" w:cs="仿宋"/>
          <w:b w:val="0"/>
          <w:bCs/>
          <w:color w:val="000000"/>
          <w:sz w:val="24"/>
          <w:szCs w:val="24"/>
        </w:rPr>
      </w:pPr>
    </w:p>
    <w:p>
      <w:pPr>
        <w:pStyle w:val="11"/>
        <w:spacing w:before="0" w:line="480" w:lineRule="exact"/>
        <w:ind w:left="0" w:firstLine="480" w:firstLineChars="200"/>
        <w:jc w:val="righ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响应单位：</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 xml:space="preserve">（盖章） </w:t>
      </w:r>
    </w:p>
    <w:p>
      <w:pPr>
        <w:pStyle w:val="11"/>
        <w:spacing w:before="0" w:line="480" w:lineRule="exact"/>
        <w:ind w:left="0" w:firstLine="480" w:firstLineChars="200"/>
        <w:jc w:val="righ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法定代表人或被授权人：</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（签字）</w:t>
      </w:r>
    </w:p>
    <w:p>
      <w:pPr>
        <w:pStyle w:val="11"/>
        <w:spacing w:before="0" w:line="480" w:lineRule="exact"/>
        <w:ind w:left="0" w:firstLine="480" w:firstLineChars="20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rPr>
        <w:tab/>
      </w:r>
      <w:r>
        <w:rPr>
          <w:rFonts w:hint="eastAsia" w:ascii="仿宋" w:hAnsi="仿宋" w:eastAsia="仿宋" w:cs="仿宋"/>
          <w:b w:val="0"/>
          <w:bCs/>
          <w:color w:val="000000"/>
          <w:sz w:val="24"/>
          <w:szCs w:val="24"/>
        </w:rPr>
        <w:t>期：</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年</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u w:val="none"/>
          <w:lang w:val="en-US" w:eastAsia="zh-CN"/>
        </w:rPr>
        <w:t>日</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说明：1、填写前请认真阅读《工业和信息化部、国家统计局、国家发展和改革委员会、财政部关 于印发中小企业划型标准规定的通知》（工信部联企业[2011]300 号）和《财政部工业和信息化部关于印发＜政府采购促进中小企业发展暂行办法＞的通知》(财库[2011]181号)相关规定。</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2、中小企业部分提供其他中小企业制造货物的应另附说明，并与开标一览表保持一致。</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3、如属于小型、微型企业的，须提供工商注册地的工业和信息化部门出具的相关证明材料。</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4、未按上述要求提供、填写的，评审时不予以考虑。</w:t>
      </w:r>
    </w:p>
    <w:p>
      <w:pPr>
        <w:pStyle w:val="11"/>
        <w:spacing w:before="0" w:line="480" w:lineRule="exact"/>
        <w:jc w:val="both"/>
        <w:rPr>
          <w:rFonts w:hint="default"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附件十六：</w:t>
      </w:r>
    </w:p>
    <w:p>
      <w:pPr>
        <w:pStyle w:val="11"/>
        <w:spacing w:before="0" w:line="480" w:lineRule="exact"/>
        <w:jc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八、残疾人福利性单位声明函（符合本声明函填写）</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单位的</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jc w:val="righ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响应单位：</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 xml:space="preserve">（盖章） </w:t>
      </w:r>
    </w:p>
    <w:p>
      <w:pPr>
        <w:pStyle w:val="11"/>
        <w:spacing w:before="0" w:line="480" w:lineRule="exact"/>
        <w:ind w:left="0" w:firstLine="480" w:firstLineChars="200"/>
        <w:jc w:val="righ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法定代表人或被授权人：</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（签字）</w:t>
      </w:r>
    </w:p>
    <w:p>
      <w:pPr>
        <w:pStyle w:val="11"/>
        <w:spacing w:before="0" w:line="480" w:lineRule="exact"/>
        <w:ind w:left="0" w:firstLine="480" w:firstLineChars="200"/>
        <w:jc w:val="righ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rPr>
        <w:tab/>
      </w:r>
      <w:r>
        <w:rPr>
          <w:rFonts w:hint="eastAsia" w:ascii="仿宋" w:hAnsi="仿宋" w:eastAsia="仿宋" w:cs="仿宋"/>
          <w:b w:val="0"/>
          <w:bCs/>
          <w:color w:val="000000"/>
          <w:sz w:val="24"/>
          <w:szCs w:val="24"/>
        </w:rPr>
        <w:t>期：</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年</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u w:val="single"/>
        </w:rPr>
        <w:tab/>
      </w:r>
      <w:r>
        <w:rPr>
          <w:rFonts w:hint="eastAsia" w:ascii="仿宋" w:hAnsi="仿宋" w:eastAsia="仿宋" w:cs="仿宋"/>
          <w:b w:val="0"/>
          <w:bCs/>
          <w:color w:val="000000"/>
          <w:sz w:val="24"/>
          <w:szCs w:val="24"/>
        </w:rPr>
        <w:t>日</w:t>
      </w: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rPr>
          <w:rFonts w:hint="eastAsia" w:ascii="仿宋" w:hAnsi="仿宋" w:eastAsia="仿宋" w:cs="仿宋"/>
          <w:b w:val="0"/>
          <w:bCs/>
          <w:color w:val="000000"/>
          <w:sz w:val="24"/>
          <w:szCs w:val="24"/>
        </w:rPr>
      </w:pP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说明：1.填写前请认真阅读《财政部 民政部 中国残疾人联合会关于促进残疾人就业政府采购 政策的通知》（财库〔2017〕141 号）相关规定。 2.残疾人福利性单位应在本声明函后提供相关证明材料。</w:t>
      </w:r>
    </w:p>
    <w:p>
      <w:pPr>
        <w:pStyle w:val="11"/>
        <w:spacing w:before="0" w:line="480" w:lineRule="exact"/>
        <w:ind w:left="0"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3.未按上述要求提供、填写的，评审时不予以考虑。</w:t>
      </w:r>
    </w:p>
    <w:p>
      <w:pPr>
        <w:pStyle w:val="77"/>
        <w:spacing w:line="360" w:lineRule="auto"/>
        <w:ind w:left="0" w:leftChars="0" w:firstLine="0" w:firstLineChars="0"/>
        <w:jc w:val="left"/>
        <w:outlineLvl w:val="1"/>
        <w:rPr>
          <w:rFonts w:ascii="仿宋_GB2312" w:hAnsi="仿宋_GB2312" w:eastAsia="仿宋_GB2312" w:cs="仿宋_GB2312"/>
          <w:bCs/>
          <w:sz w:val="28"/>
          <w:szCs w:val="28"/>
        </w:rPr>
      </w:pPr>
      <w:r>
        <w:rPr>
          <w:b w:val="0"/>
          <w:bCs w:val="0"/>
          <w:color w:val="000000"/>
          <w:sz w:val="28"/>
          <w:szCs w:val="28"/>
        </w:rPr>
        <w:br w:type="page"/>
      </w:r>
      <w:bookmarkStart w:id="519" w:name="_Toc359189485"/>
      <w:bookmarkStart w:id="520" w:name="_Toc230669173"/>
      <w:bookmarkStart w:id="521" w:name="_Toc199991576"/>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技术</w:t>
      </w:r>
      <w:r>
        <w:rPr>
          <w:rFonts w:ascii="仿宋_GB2312" w:hAnsi="仿宋_GB2312" w:eastAsia="仿宋_GB2312" w:cs="仿宋_GB2312"/>
          <w:bCs/>
          <w:sz w:val="28"/>
          <w:szCs w:val="28"/>
        </w:rPr>
        <w:t>部分投标格式</w:t>
      </w:r>
    </w:p>
    <w:p>
      <w:pPr>
        <w:spacing w:line="320" w:lineRule="exact"/>
        <w:outlineLvl w:val="0"/>
        <w:rPr>
          <w:rFonts w:ascii="仿宋_GB2312" w:hAnsi="仿宋_GB2312" w:eastAsia="仿宋_GB2312" w:cs="仿宋_GB2312"/>
          <w:b/>
          <w:sz w:val="24"/>
          <w:szCs w:val="24"/>
        </w:rPr>
      </w:pPr>
      <w:bookmarkStart w:id="522" w:name="_Toc15737"/>
      <w:bookmarkStart w:id="523" w:name="_Toc8599"/>
      <w:bookmarkStart w:id="524" w:name="_Toc29088"/>
      <w:bookmarkStart w:id="525" w:name="_Toc4415"/>
      <w:r>
        <w:rPr>
          <w:rFonts w:ascii="仿宋_GB2312" w:hAnsi="仿宋_GB2312" w:eastAsia="仿宋_GB2312" w:cs="仿宋_GB2312"/>
          <w:b/>
          <w:sz w:val="24"/>
          <w:szCs w:val="24"/>
        </w:rPr>
        <w:t>1、技术方案</w:t>
      </w:r>
      <w:bookmarkEnd w:id="519"/>
      <w:bookmarkEnd w:id="520"/>
      <w:bookmarkEnd w:id="521"/>
      <w:bookmarkEnd w:id="522"/>
      <w:bookmarkEnd w:id="523"/>
      <w:bookmarkEnd w:id="524"/>
      <w:bookmarkEnd w:id="525"/>
    </w:p>
    <w:p>
      <w:pPr>
        <w:spacing w:line="320" w:lineRule="exact"/>
        <w:outlineLvl w:val="0"/>
        <w:rPr>
          <w:rFonts w:ascii="仿宋_GB2312" w:hAnsi="仿宋_GB2312" w:eastAsia="仿宋_GB2312" w:cs="仿宋_GB2312"/>
          <w:b/>
          <w:sz w:val="24"/>
          <w:szCs w:val="24"/>
        </w:rPr>
      </w:pPr>
      <w:bookmarkStart w:id="526" w:name="_Toc359189486"/>
      <w:bookmarkStart w:id="527" w:name="_Toc4713"/>
      <w:bookmarkStart w:id="528" w:name="_Toc199991580"/>
      <w:bookmarkStart w:id="529" w:name="_Toc230669175"/>
      <w:bookmarkStart w:id="530" w:name="_Toc12456"/>
      <w:bookmarkStart w:id="531" w:name="_Toc23041"/>
      <w:bookmarkStart w:id="532" w:name="_Toc17233"/>
      <w:r>
        <w:rPr>
          <w:rFonts w:ascii="仿宋_GB2312" w:hAnsi="仿宋_GB2312" w:eastAsia="仿宋_GB2312" w:cs="仿宋_GB2312"/>
          <w:b/>
          <w:sz w:val="24"/>
          <w:szCs w:val="24"/>
        </w:rPr>
        <w:t>2、实施方案</w:t>
      </w:r>
      <w:bookmarkEnd w:id="526"/>
      <w:bookmarkEnd w:id="527"/>
      <w:bookmarkEnd w:id="528"/>
      <w:bookmarkEnd w:id="529"/>
      <w:bookmarkEnd w:id="530"/>
      <w:bookmarkEnd w:id="531"/>
      <w:bookmarkEnd w:id="532"/>
    </w:p>
    <w:p>
      <w:pPr>
        <w:spacing w:line="32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投标人应根据招标文件技术条款要求提供实施方案（包括管理、进度、质量、测试、人员、安全等内容），内容及格式自拟。</w:t>
      </w:r>
    </w:p>
    <w:p>
      <w:pPr>
        <w:spacing w:line="320" w:lineRule="exact"/>
        <w:outlineLvl w:val="0"/>
        <w:rPr>
          <w:rFonts w:ascii="仿宋_GB2312" w:hAnsi="仿宋_GB2312" w:eastAsia="仿宋_GB2312" w:cs="仿宋_GB2312"/>
          <w:b/>
          <w:sz w:val="24"/>
          <w:szCs w:val="24"/>
        </w:rPr>
      </w:pPr>
      <w:bookmarkStart w:id="533" w:name="_Toc19597"/>
      <w:bookmarkStart w:id="534" w:name="_Toc359189487"/>
      <w:bookmarkStart w:id="535" w:name="_Toc199991581"/>
      <w:bookmarkStart w:id="536" w:name="_Toc230669176"/>
      <w:bookmarkStart w:id="537" w:name="_Toc11028"/>
      <w:bookmarkStart w:id="538" w:name="_Toc30481"/>
      <w:bookmarkStart w:id="539" w:name="_Toc29542"/>
      <w:r>
        <w:rPr>
          <w:rFonts w:ascii="仿宋_GB2312" w:hAnsi="仿宋_GB2312" w:eastAsia="仿宋_GB2312" w:cs="仿宋_GB2312"/>
          <w:b/>
          <w:sz w:val="24"/>
          <w:szCs w:val="24"/>
        </w:rPr>
        <w:t>3、培训方案</w:t>
      </w:r>
      <w:bookmarkEnd w:id="533"/>
      <w:bookmarkEnd w:id="534"/>
      <w:bookmarkEnd w:id="535"/>
      <w:bookmarkEnd w:id="536"/>
      <w:bookmarkEnd w:id="537"/>
      <w:bookmarkEnd w:id="538"/>
      <w:bookmarkEnd w:id="539"/>
    </w:p>
    <w:p>
      <w:pPr>
        <w:spacing w:line="32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投标人应根据招标文件技术条款的要求提供培训方案，内容及格式自拟。</w:t>
      </w:r>
    </w:p>
    <w:p>
      <w:pPr>
        <w:spacing w:line="320" w:lineRule="exact"/>
        <w:outlineLvl w:val="0"/>
        <w:rPr>
          <w:rFonts w:ascii="仿宋_GB2312" w:hAnsi="仿宋_GB2312" w:eastAsia="仿宋_GB2312" w:cs="仿宋_GB2312"/>
          <w:b/>
          <w:sz w:val="24"/>
          <w:szCs w:val="24"/>
        </w:rPr>
      </w:pPr>
      <w:bookmarkStart w:id="540" w:name="_Toc359189488"/>
      <w:bookmarkStart w:id="541" w:name="_Toc199991582"/>
      <w:bookmarkStart w:id="542" w:name="_Toc18549"/>
      <w:bookmarkStart w:id="543" w:name="_Toc230669177"/>
      <w:bookmarkStart w:id="544" w:name="_Toc1675"/>
      <w:bookmarkStart w:id="545" w:name="_Toc31933"/>
      <w:bookmarkStart w:id="546" w:name="_Toc27772"/>
      <w:r>
        <w:rPr>
          <w:rFonts w:ascii="仿宋_GB2312" w:hAnsi="仿宋_GB2312" w:eastAsia="仿宋_GB2312" w:cs="仿宋_GB2312"/>
          <w:b/>
          <w:sz w:val="24"/>
          <w:szCs w:val="24"/>
        </w:rPr>
        <w:t>4、售后服务方案</w:t>
      </w:r>
      <w:bookmarkEnd w:id="540"/>
      <w:bookmarkEnd w:id="541"/>
      <w:bookmarkEnd w:id="542"/>
      <w:bookmarkEnd w:id="543"/>
      <w:bookmarkEnd w:id="544"/>
      <w:bookmarkEnd w:id="545"/>
      <w:bookmarkEnd w:id="546"/>
    </w:p>
    <w:p>
      <w:pPr>
        <w:spacing w:line="320" w:lineRule="exact"/>
        <w:ind w:firstLine="360" w:firstLineChars="150"/>
        <w:rPr>
          <w:rFonts w:ascii="仿宋_GB2312" w:hAnsi="仿宋_GB2312" w:eastAsia="仿宋_GB2312" w:cs="仿宋_GB2312"/>
          <w:sz w:val="24"/>
          <w:szCs w:val="24"/>
        </w:rPr>
      </w:pPr>
      <w:r>
        <w:rPr>
          <w:rFonts w:ascii="仿宋_GB2312" w:hAnsi="仿宋_GB2312" w:eastAsia="仿宋_GB2312" w:cs="仿宋_GB2312"/>
          <w:sz w:val="24"/>
          <w:szCs w:val="24"/>
        </w:rPr>
        <w:t>投标人应根据招标文件技术条款的要求提供售后服务方案，内容及格式自拟。</w:t>
      </w:r>
    </w:p>
    <w:p>
      <w:pPr>
        <w:spacing w:line="320" w:lineRule="exact"/>
        <w:outlineLvl w:val="0"/>
        <w:rPr>
          <w:rFonts w:ascii="仿宋_GB2312" w:hAnsi="仿宋_GB2312" w:eastAsia="仿宋_GB2312" w:cs="仿宋_GB2312"/>
          <w:b/>
          <w:sz w:val="24"/>
          <w:szCs w:val="24"/>
        </w:rPr>
      </w:pPr>
      <w:bookmarkStart w:id="547" w:name="_Toc230669174"/>
      <w:bookmarkStart w:id="548" w:name="_Toc199991577"/>
      <w:bookmarkStart w:id="549" w:name="_Toc5678"/>
      <w:bookmarkStart w:id="550" w:name="_Toc359189489"/>
      <w:bookmarkStart w:id="551" w:name="_Toc32419"/>
      <w:bookmarkStart w:id="552" w:name="_Toc30420"/>
      <w:bookmarkStart w:id="553" w:name="_Toc4269"/>
      <w:r>
        <w:rPr>
          <w:rFonts w:ascii="仿宋_GB2312" w:hAnsi="仿宋_GB2312" w:eastAsia="仿宋_GB2312" w:cs="仿宋_GB2312"/>
          <w:b/>
          <w:sz w:val="24"/>
          <w:szCs w:val="24"/>
        </w:rPr>
        <w:t>5、技术条款响应表</w:t>
      </w:r>
      <w:bookmarkEnd w:id="547"/>
      <w:bookmarkEnd w:id="548"/>
      <w:bookmarkEnd w:id="549"/>
      <w:bookmarkEnd w:id="550"/>
      <w:bookmarkEnd w:id="551"/>
      <w:bookmarkEnd w:id="552"/>
      <w:bookmarkEnd w:id="55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745"/>
        <w:gridCol w:w="222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4"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招标文件技术条款序号</w:t>
            </w:r>
          </w:p>
        </w:tc>
        <w:tc>
          <w:tcPr>
            <w:tcW w:w="3745"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技术条款要求和指标</w:t>
            </w:r>
          </w:p>
        </w:tc>
        <w:tc>
          <w:tcPr>
            <w:tcW w:w="2229"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响应情况</w:t>
            </w:r>
          </w:p>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（响应/不满足）</w:t>
            </w:r>
          </w:p>
        </w:tc>
        <w:tc>
          <w:tcPr>
            <w:tcW w:w="1710"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实际技术数据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4" w:type="dxa"/>
            <w:noWrap w:val="0"/>
            <w:vAlign w:val="center"/>
          </w:tcPr>
          <w:p>
            <w:pPr>
              <w:spacing w:line="320" w:lineRule="atLeast"/>
              <w:jc w:val="center"/>
              <w:rPr>
                <w:rFonts w:ascii="仿宋_GB2312" w:hAnsi="仿宋_GB2312" w:eastAsia="仿宋_GB2312" w:cs="仿宋_GB2312"/>
                <w:sz w:val="24"/>
                <w:szCs w:val="24"/>
              </w:rPr>
            </w:pPr>
          </w:p>
        </w:tc>
        <w:tc>
          <w:tcPr>
            <w:tcW w:w="3745" w:type="dxa"/>
            <w:noWrap w:val="0"/>
            <w:vAlign w:val="center"/>
          </w:tcPr>
          <w:p>
            <w:pPr>
              <w:spacing w:line="320" w:lineRule="atLeast"/>
              <w:jc w:val="center"/>
              <w:rPr>
                <w:rFonts w:ascii="仿宋_GB2312" w:hAnsi="仿宋_GB2312" w:eastAsia="仿宋_GB2312" w:cs="仿宋_GB2312"/>
                <w:sz w:val="24"/>
                <w:szCs w:val="24"/>
              </w:rPr>
            </w:pPr>
          </w:p>
        </w:tc>
        <w:tc>
          <w:tcPr>
            <w:tcW w:w="2229" w:type="dxa"/>
            <w:noWrap w:val="0"/>
            <w:vAlign w:val="center"/>
          </w:tcPr>
          <w:p>
            <w:pPr>
              <w:spacing w:line="320" w:lineRule="atLeast"/>
              <w:jc w:val="center"/>
              <w:rPr>
                <w:rFonts w:ascii="仿宋_GB2312" w:hAnsi="仿宋_GB2312" w:eastAsia="仿宋_GB2312" w:cs="仿宋_GB2312"/>
                <w:sz w:val="24"/>
                <w:szCs w:val="24"/>
              </w:rPr>
            </w:pPr>
          </w:p>
        </w:tc>
        <w:tc>
          <w:tcPr>
            <w:tcW w:w="1710" w:type="dxa"/>
            <w:noWrap w:val="0"/>
            <w:vAlign w:val="center"/>
          </w:tcPr>
          <w:p>
            <w:pPr>
              <w:spacing w:line="320" w:lineRule="atLeas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14"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w:t>
            </w:r>
          </w:p>
        </w:tc>
        <w:tc>
          <w:tcPr>
            <w:tcW w:w="3745" w:type="dxa"/>
            <w:noWrap w:val="0"/>
            <w:vAlign w:val="center"/>
          </w:tcPr>
          <w:p>
            <w:pPr>
              <w:spacing w:line="320" w:lineRule="atLeast"/>
              <w:jc w:val="center"/>
              <w:rPr>
                <w:rFonts w:ascii="仿宋_GB2312" w:hAnsi="仿宋_GB2312" w:eastAsia="仿宋_GB2312" w:cs="仿宋_GB2312"/>
                <w:sz w:val="24"/>
                <w:szCs w:val="24"/>
              </w:rPr>
            </w:pPr>
            <w:r>
              <w:rPr>
                <w:rFonts w:ascii="仿宋_GB2312" w:hAnsi="仿宋_GB2312" w:eastAsia="仿宋_GB2312" w:cs="仿宋_GB2312"/>
                <w:sz w:val="24"/>
                <w:szCs w:val="24"/>
              </w:rPr>
              <w:t>……</w:t>
            </w:r>
          </w:p>
        </w:tc>
        <w:tc>
          <w:tcPr>
            <w:tcW w:w="2229" w:type="dxa"/>
            <w:noWrap w:val="0"/>
            <w:vAlign w:val="center"/>
          </w:tcPr>
          <w:p>
            <w:pPr>
              <w:spacing w:line="320" w:lineRule="atLeast"/>
              <w:jc w:val="center"/>
              <w:rPr>
                <w:rFonts w:ascii="仿宋_GB2312" w:hAnsi="仿宋_GB2312" w:eastAsia="仿宋_GB2312" w:cs="仿宋_GB2312"/>
                <w:sz w:val="24"/>
                <w:szCs w:val="24"/>
              </w:rPr>
            </w:pPr>
          </w:p>
        </w:tc>
        <w:tc>
          <w:tcPr>
            <w:tcW w:w="1710" w:type="dxa"/>
            <w:noWrap w:val="0"/>
            <w:vAlign w:val="center"/>
          </w:tcPr>
          <w:p>
            <w:pPr>
              <w:spacing w:line="320" w:lineRule="atLeast"/>
              <w:jc w:val="center"/>
              <w:rPr>
                <w:rFonts w:ascii="仿宋_GB2312" w:hAnsi="仿宋_GB2312" w:eastAsia="仿宋_GB2312" w:cs="仿宋_GB2312"/>
                <w:sz w:val="24"/>
                <w:szCs w:val="24"/>
              </w:rPr>
            </w:pPr>
          </w:p>
        </w:tc>
      </w:tr>
    </w:tbl>
    <w:p>
      <w:pPr>
        <w:spacing w:line="400" w:lineRule="exact"/>
        <w:ind w:right="31" w:rightChars="15"/>
        <w:rPr>
          <w:rFonts w:ascii="仿宋_GB2312" w:hAnsi="仿宋_GB2312" w:eastAsia="仿宋_GB2312" w:cs="仿宋_GB2312"/>
          <w:sz w:val="24"/>
          <w:szCs w:val="24"/>
        </w:rPr>
      </w:pPr>
      <w:r>
        <w:rPr>
          <w:rFonts w:ascii="仿宋_GB2312" w:hAnsi="仿宋_GB2312" w:eastAsia="仿宋_GB2312" w:cs="仿宋_GB2312"/>
          <w:sz w:val="24"/>
          <w:szCs w:val="24"/>
        </w:rPr>
        <w:t>注： 招标文件技术条款中的每条（以招标文件中编排的条款序号为准）技术要求和指标均需填表应答；</w:t>
      </w:r>
    </w:p>
    <w:p>
      <w:pPr>
        <w:spacing w:line="400" w:lineRule="exact"/>
        <w:rPr>
          <w:rFonts w:ascii="仿宋_GB2312" w:hAnsi="仿宋_GB2312" w:eastAsia="仿宋_GB2312" w:cs="仿宋_GB2312"/>
          <w:sz w:val="24"/>
          <w:szCs w:val="24"/>
        </w:rPr>
      </w:pPr>
      <w:r>
        <w:rPr>
          <w:rFonts w:ascii="仿宋_GB2312" w:hAnsi="仿宋_GB2312" w:eastAsia="仿宋_GB2312" w:cs="仿宋_GB2312"/>
          <w:sz w:val="24"/>
          <w:szCs w:val="24"/>
        </w:rPr>
        <w:t>该表页面可以设置为横向，每页均需加盖投标人公章，并由法定代表人或其委托代理人进行签字。</w:t>
      </w:r>
    </w:p>
    <w:p>
      <w:pPr>
        <w:spacing w:line="400" w:lineRule="exact"/>
        <w:ind w:firstLine="420"/>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r>
        <w:rPr>
          <w:rFonts w:ascii="仿宋_GB2312" w:hAnsi="仿宋_GB2312" w:eastAsia="仿宋_GB2312" w:cs="仿宋_GB2312"/>
          <w:sz w:val="24"/>
          <w:szCs w:val="24"/>
        </w:rPr>
        <w:t>投标人名称（盖公章）：</w:t>
      </w:r>
      <w:r>
        <w:rPr>
          <w:rFonts w:ascii="仿宋_GB2312" w:hAnsi="仿宋_GB2312" w:eastAsia="仿宋_GB2312" w:cs="仿宋_GB2312"/>
          <w:sz w:val="24"/>
          <w:szCs w:val="24"/>
          <w:u w:val="single"/>
        </w:rPr>
        <w:t xml:space="preserve">                                        </w:t>
      </w:r>
    </w:p>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r>
        <w:rPr>
          <w:rFonts w:ascii="仿宋_GB2312" w:hAnsi="仿宋_GB2312" w:eastAsia="仿宋_GB2312" w:cs="仿宋_GB2312"/>
          <w:sz w:val="24"/>
          <w:szCs w:val="24"/>
        </w:rPr>
        <w:t>法定代表人（或委托代理人）（签字）：</w:t>
      </w:r>
      <w:r>
        <w:rPr>
          <w:rFonts w:ascii="仿宋_GB2312" w:hAnsi="仿宋_GB2312" w:eastAsia="仿宋_GB2312" w:cs="仿宋_GB2312"/>
          <w:sz w:val="24"/>
          <w:szCs w:val="24"/>
          <w:u w:val="single"/>
        </w:rPr>
        <w:t xml:space="preserve">                     </w:t>
      </w:r>
    </w:p>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r>
        <w:rPr>
          <w:rFonts w:ascii="仿宋_GB2312" w:hAnsi="仿宋_GB2312" w:eastAsia="仿宋_GB2312" w:cs="仿宋_GB2312"/>
          <w:sz w:val="24"/>
          <w:szCs w:val="24"/>
        </w:rPr>
        <w:t>日期</w:t>
      </w:r>
      <w:bookmarkStart w:id="554" w:name="_Toc359189490"/>
      <w:bookmarkStart w:id="555" w:name="_Toc199991584"/>
      <w:bookmarkStart w:id="556" w:name="_Toc230669179"/>
      <w:r>
        <w:rPr>
          <w:rFonts w:ascii="仿宋_GB2312" w:hAnsi="仿宋_GB2312" w:eastAsia="仿宋_GB2312" w:cs="仿宋_GB2312"/>
          <w:sz w:val="24"/>
          <w:szCs w:val="24"/>
        </w:rPr>
        <w:t>：</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xml:space="preserve"> 年</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xml:space="preserve"> 月</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日</w:t>
      </w:r>
    </w:p>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r>
        <w:rPr>
          <w:rFonts w:ascii="仿宋_GB2312" w:hAnsi="仿宋_GB2312" w:eastAsia="仿宋_GB2312" w:cs="仿宋_GB2312"/>
          <w:b/>
          <w:sz w:val="24"/>
          <w:szCs w:val="24"/>
        </w:rPr>
        <w:t>6、其它补充文件</w:t>
      </w:r>
      <w:bookmarkEnd w:id="554"/>
      <w:bookmarkEnd w:id="555"/>
      <w:bookmarkEnd w:id="556"/>
    </w:p>
    <w:p>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投标人应当仔细核对招标文件中有关废标条款和评标标准，提供投标人认为应当附加的其它内容，以充分证明其投标符合招标文件规定，并为评标打分提供充分依据。</w:t>
      </w:r>
    </w:p>
    <w:p>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如果投标人未能提供相关证明文件，将有可能导致废标或者无法得分。</w:t>
      </w:r>
    </w:p>
    <w:p>
      <w:pPr>
        <w:spacing w:line="360" w:lineRule="auto"/>
        <w:jc w:val="center"/>
        <w:outlineLvl w:val="0"/>
        <w:rPr>
          <w:rFonts w:ascii="仿宋_GB2312" w:hAnsi="仿宋_GB2312" w:eastAsia="仿宋_GB2312" w:cs="仿宋_GB2312"/>
          <w:sz w:val="44"/>
          <w:szCs w:val="44"/>
        </w:rPr>
      </w:pPr>
      <w:r>
        <w:rPr>
          <w:rFonts w:ascii="仿宋_GB2312" w:hAnsi="仿宋_GB2312" w:eastAsia="仿宋_GB2312" w:cs="仿宋_GB2312"/>
          <w:sz w:val="24"/>
          <w:szCs w:val="24"/>
        </w:rPr>
        <w:br w:type="page"/>
      </w:r>
      <w:bookmarkStart w:id="557" w:name="_Toc30414"/>
      <w:bookmarkStart w:id="558" w:name="_Toc13166"/>
      <w:bookmarkStart w:id="559" w:name="_Toc16945"/>
      <w:r>
        <w:rPr>
          <w:rFonts w:ascii="仿宋_GB2312" w:hAnsi="仿宋_GB2312" w:eastAsia="仿宋_GB2312" w:cs="仿宋_GB2312"/>
          <w:sz w:val="44"/>
          <w:szCs w:val="44"/>
        </w:rPr>
        <w:t>第六章  评标标准及评标办法</w:t>
      </w:r>
      <w:bookmarkEnd w:id="557"/>
      <w:bookmarkEnd w:id="558"/>
      <w:bookmarkEnd w:id="559"/>
    </w:p>
    <w:p>
      <w:pPr>
        <w:spacing w:line="360" w:lineRule="exact"/>
        <w:outlineLvl w:val="0"/>
        <w:rPr>
          <w:rFonts w:ascii="仿宋_GB2312" w:hAnsi="仿宋_GB2312" w:eastAsia="仿宋_GB2312" w:cs="仿宋_GB2312"/>
          <w:b/>
          <w:bCs/>
          <w:sz w:val="24"/>
          <w:szCs w:val="24"/>
        </w:rPr>
      </w:pPr>
      <w:bookmarkStart w:id="560" w:name="_Toc2190"/>
      <w:bookmarkStart w:id="561" w:name="_Toc11560"/>
      <w:bookmarkStart w:id="562" w:name="_Toc25188"/>
      <w:bookmarkStart w:id="563" w:name="_Toc9245"/>
      <w:r>
        <w:rPr>
          <w:rFonts w:ascii="仿宋_GB2312" w:hAnsi="仿宋_GB2312" w:eastAsia="仿宋_GB2312" w:cs="仿宋_GB2312"/>
          <w:b/>
          <w:bCs/>
          <w:sz w:val="24"/>
          <w:szCs w:val="24"/>
        </w:rPr>
        <w:t>一.前言</w:t>
      </w:r>
      <w:bookmarkEnd w:id="560"/>
      <w:bookmarkEnd w:id="561"/>
      <w:bookmarkEnd w:id="562"/>
      <w:bookmarkEnd w:id="563"/>
    </w:p>
    <w:p>
      <w:pPr>
        <w:spacing w:line="360" w:lineRule="exact"/>
        <w:ind w:left="1" w:firstLine="2"/>
        <w:rPr>
          <w:rFonts w:ascii="仿宋_GB2312" w:hAnsi="仿宋_GB2312" w:eastAsia="仿宋_GB2312" w:cs="仿宋_GB2312"/>
          <w:sz w:val="24"/>
        </w:rPr>
      </w:pPr>
      <w:r>
        <w:rPr>
          <w:rFonts w:ascii="仿宋_GB2312" w:hAnsi="仿宋_GB2312" w:eastAsia="仿宋_GB2312" w:cs="仿宋_GB2312"/>
          <w:sz w:val="24"/>
        </w:rPr>
        <w:t>1.1 本项目采取公开招标方式选择中标人。为保证招标“公开、公平、公正”，根据国家有关设备采购招标投标的法律、法规及有关方针、政策，结合本项目特点，制定本评标办法，实行评标的规范化、标准化、科学化。</w:t>
      </w:r>
    </w:p>
    <w:p>
      <w:pPr>
        <w:spacing w:line="360" w:lineRule="exact"/>
        <w:rPr>
          <w:rFonts w:ascii="仿宋_GB2312" w:hAnsi="仿宋_GB2312" w:eastAsia="仿宋_GB2312" w:cs="仿宋_GB2312"/>
          <w:sz w:val="24"/>
        </w:rPr>
      </w:pPr>
      <w:r>
        <w:rPr>
          <w:rFonts w:ascii="仿宋_GB2312" w:hAnsi="仿宋_GB2312" w:eastAsia="仿宋_GB2312" w:cs="仿宋_GB2312"/>
          <w:sz w:val="24"/>
        </w:rPr>
        <w:t>1.2 本评标办法仅适用于本次招标。</w:t>
      </w:r>
    </w:p>
    <w:p>
      <w:pPr>
        <w:spacing w:line="360" w:lineRule="exact"/>
        <w:rPr>
          <w:rFonts w:ascii="仿宋_GB2312" w:hAnsi="仿宋_GB2312" w:eastAsia="仿宋_GB2312" w:cs="仿宋_GB2312"/>
          <w:sz w:val="24"/>
        </w:rPr>
      </w:pPr>
      <w:r>
        <w:rPr>
          <w:rFonts w:ascii="仿宋_GB2312" w:hAnsi="仿宋_GB2312" w:eastAsia="仿宋_GB2312" w:cs="仿宋_GB2312"/>
          <w:sz w:val="24"/>
        </w:rPr>
        <w:t>1.3本评标办法的解释和修订权</w:t>
      </w:r>
      <w:r>
        <w:rPr>
          <w:rFonts w:ascii="仿宋_GB2312" w:hAnsi="仿宋_GB2312" w:eastAsia="仿宋_GB2312" w:cs="仿宋_GB2312"/>
          <w:sz w:val="24"/>
          <w:szCs w:val="22"/>
        </w:rPr>
        <w:t>属</w:t>
      </w:r>
      <w:r>
        <w:rPr>
          <w:rFonts w:hint="eastAsia" w:ascii="仿宋_GB2312" w:hAnsi="仿宋_GB2312" w:eastAsia="仿宋_GB2312" w:cs="仿宋_GB2312"/>
          <w:b/>
          <w:bCs/>
          <w:sz w:val="24"/>
          <w:szCs w:val="22"/>
        </w:rPr>
        <w:t>中建鼎正项目管理有限公司</w:t>
      </w:r>
      <w:r>
        <w:rPr>
          <w:rFonts w:ascii="仿宋_GB2312" w:hAnsi="仿宋_GB2312" w:eastAsia="仿宋_GB2312" w:cs="仿宋_GB2312"/>
          <w:sz w:val="24"/>
        </w:rPr>
        <w:t>。</w:t>
      </w:r>
    </w:p>
    <w:p>
      <w:pPr>
        <w:spacing w:line="360" w:lineRule="exact"/>
        <w:rPr>
          <w:rFonts w:ascii="仿宋_GB2312" w:hAnsi="仿宋_GB2312" w:eastAsia="仿宋_GB2312" w:cs="仿宋_GB2312"/>
          <w:b/>
          <w:sz w:val="24"/>
          <w:szCs w:val="24"/>
        </w:rPr>
      </w:pPr>
      <w:r>
        <w:rPr>
          <w:rFonts w:ascii="仿宋_GB2312" w:hAnsi="仿宋_GB2312" w:eastAsia="仿宋_GB2312" w:cs="仿宋_GB2312"/>
          <w:b/>
          <w:sz w:val="24"/>
          <w:szCs w:val="24"/>
        </w:rPr>
        <w:t>二.评标依据</w:t>
      </w:r>
    </w:p>
    <w:p>
      <w:pPr>
        <w:spacing w:line="360" w:lineRule="exact"/>
        <w:ind w:left="1" w:firstLine="2"/>
        <w:rPr>
          <w:rFonts w:ascii="仿宋_GB2312" w:hAnsi="仿宋_GB2312" w:eastAsia="仿宋_GB2312" w:cs="仿宋_GB2312"/>
          <w:sz w:val="24"/>
        </w:rPr>
      </w:pPr>
      <w:r>
        <w:rPr>
          <w:rFonts w:ascii="仿宋_GB2312" w:hAnsi="仿宋_GB2312" w:eastAsia="仿宋_GB2312" w:cs="仿宋_GB2312"/>
          <w:sz w:val="24"/>
        </w:rPr>
        <w:t>2.1 评标工作严格执行《中华人民共和国</w:t>
      </w:r>
      <w:r>
        <w:rPr>
          <w:rFonts w:hint="eastAsia" w:ascii="仿宋_GB2312" w:hAnsi="仿宋_GB2312" w:eastAsia="仿宋_GB2312" w:cs="仿宋_GB2312"/>
          <w:sz w:val="24"/>
        </w:rPr>
        <w:t>政府采购法</w:t>
      </w:r>
      <w:r>
        <w:rPr>
          <w:rFonts w:ascii="仿宋_GB2312" w:hAnsi="仿宋_GB2312" w:eastAsia="仿宋_GB2312" w:cs="仿宋_GB2312"/>
          <w:sz w:val="24"/>
        </w:rPr>
        <w:t>》以及国家和地方颁布的有关法令、法规。</w:t>
      </w:r>
    </w:p>
    <w:p>
      <w:pPr>
        <w:spacing w:line="360" w:lineRule="exact"/>
        <w:ind w:left="2" w:leftChars="1"/>
        <w:rPr>
          <w:rFonts w:ascii="仿宋_GB2312" w:hAnsi="仿宋_GB2312" w:eastAsia="仿宋_GB2312" w:cs="仿宋_GB2312"/>
          <w:sz w:val="24"/>
        </w:rPr>
      </w:pPr>
      <w:r>
        <w:rPr>
          <w:rFonts w:ascii="仿宋_GB2312" w:hAnsi="仿宋_GB2312" w:eastAsia="仿宋_GB2312" w:cs="仿宋_GB2312"/>
          <w:sz w:val="24"/>
        </w:rPr>
        <w:t>2.2 评标依据是招标文件及其补充通知、投标商的投标文件及其澄清文件及本评标办法。</w:t>
      </w:r>
    </w:p>
    <w:p>
      <w:pPr>
        <w:spacing w:line="360" w:lineRule="exact"/>
        <w:rPr>
          <w:rFonts w:ascii="仿宋_GB2312" w:hAnsi="仿宋_GB2312" w:eastAsia="仿宋_GB2312" w:cs="仿宋_GB2312"/>
          <w:sz w:val="24"/>
        </w:rPr>
      </w:pPr>
      <w:r>
        <w:rPr>
          <w:rFonts w:ascii="仿宋_GB2312" w:hAnsi="仿宋_GB2312" w:eastAsia="仿宋_GB2312" w:cs="仿宋_GB2312"/>
          <w:sz w:val="24"/>
        </w:rPr>
        <w:t>2.3 本次评标采用综合评分法。</w:t>
      </w:r>
    </w:p>
    <w:p>
      <w:pPr>
        <w:spacing w:line="360" w:lineRule="exact"/>
        <w:rPr>
          <w:rFonts w:ascii="仿宋_GB2312" w:hAnsi="仿宋_GB2312" w:eastAsia="仿宋_GB2312" w:cs="仿宋_GB2312"/>
          <w:b/>
          <w:sz w:val="24"/>
          <w:szCs w:val="24"/>
        </w:rPr>
      </w:pPr>
      <w:r>
        <w:rPr>
          <w:rFonts w:ascii="仿宋_GB2312" w:hAnsi="仿宋_GB2312" w:eastAsia="仿宋_GB2312" w:cs="仿宋_GB2312"/>
          <w:b/>
          <w:sz w:val="24"/>
          <w:szCs w:val="24"/>
        </w:rPr>
        <w:t>三.评标机构</w:t>
      </w:r>
    </w:p>
    <w:p>
      <w:pPr>
        <w:spacing w:line="360" w:lineRule="exact"/>
        <w:rPr>
          <w:rFonts w:ascii="仿宋_GB2312" w:hAnsi="仿宋_GB2312" w:eastAsia="仿宋_GB2312" w:cs="仿宋_GB2312"/>
          <w:sz w:val="24"/>
        </w:rPr>
      </w:pPr>
      <w:r>
        <w:rPr>
          <w:rFonts w:ascii="仿宋_GB2312" w:hAnsi="仿宋_GB2312" w:eastAsia="仿宋_GB2312" w:cs="仿宋_GB2312"/>
          <w:sz w:val="24"/>
        </w:rPr>
        <w:t>3.1 评标委员会</w:t>
      </w:r>
    </w:p>
    <w:p>
      <w:pPr>
        <w:tabs>
          <w:tab w:val="left" w:pos="1080"/>
        </w:tabs>
        <w:spacing w:line="36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由招标代理机构负责组建评标委员会，负责本项目招标的评标工作，向采购人推荐中标候选人。评标委员会人数为5人以上单数，其成员由技术、经济等方面的专家</w:t>
      </w:r>
      <w:r>
        <w:rPr>
          <w:rFonts w:hint="eastAsia" w:ascii="仿宋_GB2312" w:hAnsi="仿宋_GB2312" w:eastAsia="仿宋_GB2312" w:cs="仿宋_GB2312"/>
          <w:sz w:val="24"/>
          <w:lang w:val="en-US" w:eastAsia="zh-CN"/>
        </w:rPr>
        <w:t>及业主代表</w:t>
      </w:r>
      <w:r>
        <w:rPr>
          <w:rFonts w:hint="eastAsia" w:ascii="仿宋_GB2312" w:hAnsi="仿宋_GB2312" w:eastAsia="仿宋_GB2312" w:cs="仿宋_GB2312"/>
          <w:sz w:val="24"/>
          <w:lang w:eastAsia="zh-CN"/>
        </w:rPr>
        <w:t>组成</w:t>
      </w:r>
      <w:r>
        <w:rPr>
          <w:rFonts w:ascii="仿宋_GB2312" w:hAnsi="仿宋_GB2312" w:eastAsia="仿宋_GB2312" w:cs="仿宋_GB2312"/>
          <w:sz w:val="24"/>
        </w:rPr>
        <w:t>。</w:t>
      </w:r>
    </w:p>
    <w:p>
      <w:pPr>
        <w:spacing w:line="36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评标委员会的职责主要是：（l）根据评标标准和办法及招标文件要求，对投标文件进行认真评审和比较，并对评标结果签字确认。</w:t>
      </w:r>
    </w:p>
    <w:p>
      <w:pPr>
        <w:spacing w:line="36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（2）向采购人提交书面评标报告，推荐排序的中标候选人1－3名。</w:t>
      </w:r>
    </w:p>
    <w:p>
      <w:pPr>
        <w:spacing w:line="360" w:lineRule="exact"/>
        <w:outlineLvl w:val="0"/>
        <w:rPr>
          <w:rFonts w:ascii="仿宋_GB2312" w:hAnsi="仿宋_GB2312" w:eastAsia="仿宋_GB2312" w:cs="仿宋_GB2312"/>
          <w:b/>
          <w:sz w:val="24"/>
          <w:szCs w:val="24"/>
        </w:rPr>
      </w:pPr>
      <w:bookmarkStart w:id="564" w:name="_Toc23253"/>
      <w:bookmarkStart w:id="565" w:name="_Toc11518"/>
      <w:bookmarkStart w:id="566" w:name="_Toc11613"/>
      <w:bookmarkStart w:id="567" w:name="_Toc29292"/>
      <w:r>
        <w:rPr>
          <w:rFonts w:ascii="仿宋_GB2312" w:hAnsi="仿宋_GB2312" w:eastAsia="仿宋_GB2312" w:cs="仿宋_GB2312"/>
          <w:b/>
          <w:sz w:val="24"/>
          <w:szCs w:val="24"/>
        </w:rPr>
        <w:t>四.评标人员应遵守的原则和纪律</w:t>
      </w:r>
      <w:bookmarkEnd w:id="564"/>
      <w:bookmarkEnd w:id="565"/>
      <w:bookmarkEnd w:id="566"/>
      <w:bookmarkEnd w:id="567"/>
    </w:p>
    <w:p>
      <w:pPr>
        <w:autoSpaceDE w:val="0"/>
        <w:autoSpaceDN w:val="0"/>
        <w:adjustRightInd w:val="0"/>
        <w:spacing w:line="360" w:lineRule="exact"/>
        <w:jc w:val="left"/>
        <w:rPr>
          <w:rFonts w:ascii="仿宋_GB2312" w:hAnsi="仿宋_GB2312" w:eastAsia="仿宋_GB2312" w:cs="仿宋_GB2312"/>
          <w:bCs/>
          <w:sz w:val="24"/>
        </w:rPr>
      </w:pPr>
      <w:r>
        <w:rPr>
          <w:rFonts w:ascii="仿宋_GB2312" w:hAnsi="仿宋_GB2312" w:eastAsia="仿宋_GB2312" w:cs="仿宋_GB2312"/>
          <w:bCs/>
          <w:sz w:val="24"/>
        </w:rPr>
        <w:t>4.1 评标原则</w:t>
      </w:r>
    </w:p>
    <w:p>
      <w:pPr>
        <w:autoSpaceDE w:val="0"/>
        <w:autoSpaceDN w:val="0"/>
        <w:adjustRightInd w:val="0"/>
        <w:spacing w:line="360" w:lineRule="exact"/>
        <w:ind w:firstLine="480" w:firstLineChars="200"/>
        <w:jc w:val="left"/>
        <w:rPr>
          <w:rFonts w:ascii="仿宋_GB2312" w:hAnsi="仿宋_GB2312" w:eastAsia="仿宋_GB2312" w:cs="仿宋_GB2312"/>
          <w:bCs/>
          <w:sz w:val="24"/>
        </w:rPr>
      </w:pPr>
      <w:r>
        <w:rPr>
          <w:rFonts w:ascii="仿宋_GB2312" w:hAnsi="仿宋_GB2312" w:eastAsia="仿宋_GB2312" w:cs="仿宋_GB2312"/>
          <w:bCs/>
          <w:sz w:val="24"/>
        </w:rPr>
        <w:t>4.1.1评标遵循公平、公正、科学、择优的原则。</w:t>
      </w:r>
    </w:p>
    <w:p>
      <w:pPr>
        <w:autoSpaceDE w:val="0"/>
        <w:autoSpaceDN w:val="0"/>
        <w:adjustRightInd w:val="0"/>
        <w:spacing w:line="360" w:lineRule="exact"/>
        <w:ind w:firstLine="480" w:firstLineChars="200"/>
        <w:jc w:val="left"/>
        <w:rPr>
          <w:rFonts w:ascii="仿宋_GB2312" w:hAnsi="仿宋_GB2312" w:eastAsia="仿宋_GB2312" w:cs="仿宋_GB2312"/>
          <w:bCs/>
          <w:sz w:val="24"/>
        </w:rPr>
      </w:pPr>
      <w:r>
        <w:rPr>
          <w:rFonts w:ascii="仿宋_GB2312" w:hAnsi="仿宋_GB2312" w:eastAsia="仿宋_GB2312" w:cs="仿宋_GB2312"/>
          <w:bCs/>
          <w:sz w:val="24"/>
        </w:rPr>
        <w:t>4.1.2对所有投标人的投标评估，都采用相同的程序和标准。</w:t>
      </w:r>
    </w:p>
    <w:p>
      <w:pPr>
        <w:autoSpaceDE w:val="0"/>
        <w:autoSpaceDN w:val="0"/>
        <w:adjustRightInd w:val="0"/>
        <w:spacing w:line="360" w:lineRule="exact"/>
        <w:ind w:firstLine="480" w:firstLineChars="200"/>
        <w:jc w:val="left"/>
        <w:rPr>
          <w:rFonts w:ascii="仿宋_GB2312" w:hAnsi="仿宋_GB2312" w:eastAsia="仿宋_GB2312" w:cs="仿宋_GB2312"/>
          <w:bCs/>
          <w:sz w:val="24"/>
        </w:rPr>
      </w:pPr>
      <w:r>
        <w:rPr>
          <w:rFonts w:ascii="仿宋_GB2312" w:hAnsi="仿宋_GB2312" w:eastAsia="仿宋_GB2312" w:cs="仿宋_GB2312"/>
          <w:bCs/>
          <w:sz w:val="24"/>
        </w:rPr>
        <w:t>4.1.3评标将采用综合评分法，严格按照招标文件的要求和评标标准及办法进行。</w:t>
      </w:r>
    </w:p>
    <w:p>
      <w:pPr>
        <w:autoSpaceDE w:val="0"/>
        <w:autoSpaceDN w:val="0"/>
        <w:adjustRightInd w:val="0"/>
        <w:spacing w:line="360" w:lineRule="exact"/>
        <w:ind w:firstLine="480" w:firstLineChars="200"/>
        <w:jc w:val="left"/>
        <w:rPr>
          <w:rFonts w:ascii="仿宋_GB2312" w:hAnsi="仿宋_GB2312" w:eastAsia="仿宋_GB2312" w:cs="仿宋_GB2312"/>
          <w:bCs/>
          <w:sz w:val="24"/>
        </w:rPr>
      </w:pPr>
      <w:r>
        <w:rPr>
          <w:rFonts w:ascii="仿宋_GB2312" w:hAnsi="仿宋_GB2312" w:eastAsia="仿宋_GB2312" w:cs="仿宋_GB2312"/>
          <w:bCs/>
          <w:sz w:val="24"/>
        </w:rPr>
        <w:t>4.1.4根据招标文件规定的各项评价标准通过评审打分排序推荐出1-3名中标候选人。</w:t>
      </w:r>
    </w:p>
    <w:p>
      <w:pPr>
        <w:autoSpaceDE w:val="0"/>
        <w:autoSpaceDN w:val="0"/>
        <w:adjustRightInd w:val="0"/>
        <w:spacing w:line="360" w:lineRule="exact"/>
        <w:ind w:firstLine="480" w:firstLineChars="200"/>
        <w:jc w:val="left"/>
        <w:rPr>
          <w:rFonts w:ascii="仿宋_GB2312" w:hAnsi="仿宋_GB2312" w:eastAsia="仿宋_GB2312" w:cs="仿宋_GB2312"/>
          <w:bCs/>
          <w:sz w:val="24"/>
        </w:rPr>
      </w:pPr>
      <w:r>
        <w:rPr>
          <w:rFonts w:ascii="仿宋_GB2312" w:hAnsi="仿宋_GB2312" w:eastAsia="仿宋_GB2312" w:cs="仿宋_GB2312"/>
          <w:bCs/>
          <w:sz w:val="24"/>
        </w:rPr>
        <w:t>4.1.5评标委员会判断投标文件的响应性仅基于投标文件本身而不靠外部证据。</w:t>
      </w:r>
    </w:p>
    <w:p>
      <w:pPr>
        <w:autoSpaceDE w:val="0"/>
        <w:autoSpaceDN w:val="0"/>
        <w:adjustRightInd w:val="0"/>
        <w:spacing w:line="360" w:lineRule="exact"/>
        <w:ind w:firstLine="480" w:firstLineChars="200"/>
        <w:jc w:val="left"/>
        <w:rPr>
          <w:rFonts w:ascii="仿宋_GB2312" w:hAnsi="仿宋_GB2312" w:eastAsia="仿宋_GB2312" w:cs="仿宋_GB2312"/>
          <w:sz w:val="24"/>
        </w:rPr>
      </w:pPr>
      <w:r>
        <w:rPr>
          <w:rFonts w:ascii="仿宋_GB2312" w:hAnsi="仿宋_GB2312" w:eastAsia="仿宋_GB2312" w:cs="仿宋_GB2312"/>
          <w:bCs/>
          <w:sz w:val="24"/>
        </w:rPr>
        <w:t>4.1.6评标委员会拒绝被确定为非实质性响应的投标，投标人不能通过修正或撤销不符之处而使其投标成为实质性响应的投标。</w:t>
      </w:r>
    </w:p>
    <w:p>
      <w:pPr>
        <w:autoSpaceDE w:val="0"/>
        <w:autoSpaceDN w:val="0"/>
        <w:adjustRightInd w:val="0"/>
        <w:spacing w:line="360" w:lineRule="exact"/>
        <w:jc w:val="left"/>
        <w:rPr>
          <w:rFonts w:ascii="仿宋_GB2312" w:hAnsi="仿宋_GB2312" w:eastAsia="仿宋_GB2312" w:cs="仿宋_GB2312"/>
          <w:sz w:val="24"/>
        </w:rPr>
      </w:pPr>
      <w:r>
        <w:rPr>
          <w:rFonts w:ascii="仿宋_GB2312" w:hAnsi="仿宋_GB2312" w:eastAsia="仿宋_GB2312" w:cs="仿宋_GB2312"/>
          <w:bCs/>
          <w:sz w:val="24"/>
        </w:rPr>
        <w:t>4.</w:t>
      </w:r>
      <w:r>
        <w:rPr>
          <w:rFonts w:ascii="仿宋_GB2312" w:hAnsi="仿宋_GB2312" w:eastAsia="仿宋_GB2312" w:cs="仿宋_GB2312"/>
          <w:sz w:val="24"/>
        </w:rPr>
        <w:t>2. 评标纪律</w:t>
      </w:r>
    </w:p>
    <w:p>
      <w:pPr>
        <w:autoSpaceDE w:val="0"/>
        <w:autoSpaceDN w:val="0"/>
        <w:adjustRightInd w:val="0"/>
        <w:spacing w:line="360" w:lineRule="exact"/>
        <w:ind w:firstLine="480" w:firstLineChars="200"/>
        <w:jc w:val="left"/>
        <w:rPr>
          <w:rFonts w:ascii="仿宋_GB2312" w:hAnsi="仿宋_GB2312" w:eastAsia="仿宋_GB2312" w:cs="仿宋_GB2312"/>
          <w:sz w:val="24"/>
        </w:rPr>
      </w:pPr>
      <w:r>
        <w:rPr>
          <w:rFonts w:ascii="仿宋_GB2312" w:hAnsi="仿宋_GB2312" w:eastAsia="仿宋_GB2312" w:cs="仿宋_GB2312"/>
          <w:bCs/>
          <w:sz w:val="24"/>
        </w:rPr>
        <w:t>4.</w:t>
      </w:r>
      <w:r>
        <w:rPr>
          <w:rFonts w:ascii="仿宋_GB2312" w:hAnsi="仿宋_GB2312" w:eastAsia="仿宋_GB2312" w:cs="仿宋_GB2312"/>
          <w:sz w:val="24"/>
        </w:rPr>
        <w:t xml:space="preserve">2.1评标委员会成员应当客观、公正地履行职责，遵守职业道德，对所提出的评审意见承担个人责任； </w:t>
      </w:r>
    </w:p>
    <w:p>
      <w:pPr>
        <w:autoSpaceDE w:val="0"/>
        <w:autoSpaceDN w:val="0"/>
        <w:adjustRightInd w:val="0"/>
        <w:spacing w:line="360" w:lineRule="exact"/>
        <w:ind w:firstLine="480" w:firstLineChars="200"/>
        <w:jc w:val="left"/>
        <w:rPr>
          <w:rFonts w:ascii="仿宋_GB2312" w:hAnsi="仿宋_GB2312" w:eastAsia="仿宋_GB2312" w:cs="仿宋_GB2312"/>
          <w:sz w:val="24"/>
        </w:rPr>
      </w:pPr>
      <w:r>
        <w:rPr>
          <w:rFonts w:ascii="仿宋_GB2312" w:hAnsi="仿宋_GB2312" w:eastAsia="仿宋_GB2312" w:cs="仿宋_GB2312"/>
          <w:bCs/>
          <w:sz w:val="24"/>
        </w:rPr>
        <w:t>4.</w:t>
      </w:r>
      <w:r>
        <w:rPr>
          <w:rFonts w:ascii="仿宋_GB2312" w:hAnsi="仿宋_GB2312" w:eastAsia="仿宋_GB2312" w:cs="仿宋_GB2312"/>
          <w:sz w:val="24"/>
        </w:rPr>
        <w:t>2.2评标委员会成员和与评标活动有关的工作人员不得向任何投标人或与评标工作无关的人员透露与评标有关的任何情况；</w:t>
      </w:r>
    </w:p>
    <w:p>
      <w:pPr>
        <w:autoSpaceDE w:val="0"/>
        <w:autoSpaceDN w:val="0"/>
        <w:adjustRightInd w:val="0"/>
        <w:spacing w:line="360" w:lineRule="exact"/>
        <w:ind w:firstLine="480" w:firstLineChars="200"/>
        <w:jc w:val="left"/>
        <w:rPr>
          <w:rFonts w:ascii="仿宋_GB2312" w:hAnsi="仿宋_GB2312" w:eastAsia="仿宋_GB2312" w:cs="仿宋_GB2312"/>
          <w:sz w:val="24"/>
        </w:rPr>
      </w:pPr>
      <w:r>
        <w:rPr>
          <w:rFonts w:ascii="仿宋_GB2312" w:hAnsi="仿宋_GB2312" w:eastAsia="仿宋_GB2312" w:cs="仿宋_GB2312"/>
          <w:bCs/>
          <w:sz w:val="24"/>
        </w:rPr>
        <w:t>4.</w:t>
      </w:r>
      <w:r>
        <w:rPr>
          <w:rFonts w:ascii="仿宋_GB2312" w:hAnsi="仿宋_GB2312" w:eastAsia="仿宋_GB2312" w:cs="仿宋_GB2312"/>
          <w:sz w:val="24"/>
        </w:rPr>
        <w:t>2.3封闭评标期间，评委不得独自与外界接触，个人的通讯工具均应交由招标监督人员集中保管。需要和外部联系应通过招标监督人员联系。</w:t>
      </w:r>
    </w:p>
    <w:p>
      <w:pPr>
        <w:autoSpaceDE w:val="0"/>
        <w:autoSpaceDN w:val="0"/>
        <w:adjustRightInd w:val="0"/>
        <w:spacing w:line="360" w:lineRule="exact"/>
        <w:ind w:firstLine="480" w:firstLineChars="200"/>
        <w:jc w:val="left"/>
        <w:rPr>
          <w:rFonts w:ascii="仿宋_GB2312" w:hAnsi="仿宋_GB2312" w:eastAsia="仿宋_GB2312" w:cs="仿宋_GB2312"/>
        </w:rPr>
      </w:pPr>
      <w:r>
        <w:rPr>
          <w:rFonts w:ascii="仿宋_GB2312" w:hAnsi="仿宋_GB2312" w:eastAsia="仿宋_GB2312" w:cs="仿宋_GB2312"/>
          <w:bCs/>
          <w:sz w:val="24"/>
        </w:rPr>
        <w:t>4.</w:t>
      </w:r>
      <w:r>
        <w:rPr>
          <w:rFonts w:ascii="仿宋_GB2312" w:hAnsi="仿宋_GB2312" w:eastAsia="仿宋_GB2312" w:cs="仿宋_GB2312"/>
          <w:sz w:val="24"/>
        </w:rPr>
        <w:t>2.4评标期间，投标人应服从工作人员的指挥，不得出现干扰评标工作的正常进行或影响评标公正性的现象，否则，将视为废标。</w:t>
      </w:r>
    </w:p>
    <w:p>
      <w:pPr>
        <w:pStyle w:val="3"/>
      </w:pPr>
      <w:bookmarkStart w:id="568" w:name="_Toc9769"/>
      <w:bookmarkStart w:id="569" w:name="_Toc1662"/>
      <w:bookmarkStart w:id="570" w:name="_Toc29290"/>
      <w:bookmarkStart w:id="571" w:name="_Toc25817"/>
      <w:r>
        <w:rPr>
          <w:rFonts w:ascii="仿宋_GB2312" w:hAnsi="仿宋_GB2312" w:eastAsia="仿宋_GB2312" w:cs="仿宋_GB2312"/>
          <w:b/>
          <w:sz w:val="24"/>
          <w:szCs w:val="24"/>
        </w:rPr>
        <w:t>五</w:t>
      </w:r>
      <w:bookmarkEnd w:id="568"/>
      <w:r>
        <w:rPr>
          <w:rFonts w:hint="eastAsia"/>
        </w:rPr>
        <w:t>评标办法</w:t>
      </w:r>
      <w:bookmarkEnd w:id="569"/>
      <w:bookmarkEnd w:id="570"/>
      <w:bookmarkEnd w:id="571"/>
    </w:p>
    <w:tbl>
      <w:tblPr>
        <w:tblStyle w:val="26"/>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7584"/>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7" w:type="pc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评审内容</w:t>
            </w:r>
          </w:p>
        </w:tc>
        <w:tc>
          <w:tcPr>
            <w:tcW w:w="4036" w:type="pc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评分细则</w:t>
            </w:r>
          </w:p>
        </w:tc>
        <w:tc>
          <w:tcPr>
            <w:tcW w:w="386" w:type="pct"/>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分值（100分）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00" w:type="pct"/>
            <w:gridSpan w:val="3"/>
            <w:shd w:val="clear" w:color="auto" w:fill="auto"/>
            <w:vAlign w:val="center"/>
          </w:tcPr>
          <w:p>
            <w:pPr>
              <w:spacing w:line="360" w:lineRule="auto"/>
              <w:rPr>
                <w:rFonts w:ascii="宋体" w:hAnsi="宋体" w:cs="宋体"/>
                <w:sz w:val="24"/>
                <w:szCs w:val="24"/>
              </w:rPr>
            </w:pPr>
            <w:r>
              <w:rPr>
                <w:rFonts w:hint="eastAsia" w:ascii="宋体" w:hAnsi="宋体" w:cs="宋体"/>
                <w:b/>
                <w:bCs/>
                <w:sz w:val="28"/>
                <w:szCs w:val="28"/>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报价</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满足招标文件全部实质性要求且采购价格最低的最后报价为评审基准价，其价格分为满分。其他供应商的价格分统一按照下列公式计算：投标报价得分=(评审基准价／投标报价)×20%×100。（价格分得分以四舍五入方法整合到小数点后二位）</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3"/>
            <w:shd w:val="clear" w:color="auto" w:fill="auto"/>
            <w:vAlign w:val="center"/>
          </w:tcPr>
          <w:p>
            <w:pPr>
              <w:spacing w:line="360" w:lineRule="auto"/>
              <w:rPr>
                <w:rFonts w:ascii="宋体" w:hAnsi="宋体" w:cs="宋体"/>
                <w:sz w:val="24"/>
                <w:szCs w:val="24"/>
              </w:rPr>
            </w:pPr>
            <w:r>
              <w:rPr>
                <w:rFonts w:hint="eastAsia" w:ascii="宋体" w:hAnsi="宋体" w:cs="宋体"/>
                <w:b/>
                <w:bCs/>
                <w:sz w:val="28"/>
                <w:szCs w:val="28"/>
              </w:rPr>
              <w:t>二、商务部分（25分）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业绩</w:t>
            </w:r>
          </w:p>
        </w:tc>
        <w:tc>
          <w:tcPr>
            <w:tcW w:w="4036" w:type="pct"/>
            <w:shd w:val="clear" w:color="auto" w:fill="auto"/>
            <w:vAlign w:val="center"/>
          </w:tcPr>
          <w:p>
            <w:pPr>
              <w:spacing w:line="360" w:lineRule="auto"/>
              <w:rPr>
                <w:rFonts w:hint="default" w:ascii="宋体" w:hAnsi="宋体" w:cs="宋体" w:eastAsiaTheme="minorEastAsia"/>
                <w:sz w:val="24"/>
                <w:szCs w:val="24"/>
                <w:lang w:val="en-US" w:eastAsia="zh-CN"/>
              </w:rPr>
            </w:pPr>
            <w:r>
              <w:rPr>
                <w:rFonts w:hint="eastAsia" w:ascii="宋体" w:hAnsi="宋体" w:cs="宋体"/>
                <w:sz w:val="24"/>
                <w:szCs w:val="24"/>
              </w:rPr>
              <w:t>投标人须提供近三年（2019年1月至本项目开标之日）类似相关业绩（需提供合同复印件加盖投标人公章）；每提供一项业绩得</w:t>
            </w:r>
            <w:r>
              <w:rPr>
                <w:rFonts w:hint="eastAsia" w:ascii="宋体" w:hAnsi="宋体" w:cs="宋体"/>
                <w:sz w:val="24"/>
                <w:szCs w:val="24"/>
                <w:lang w:val="en-US" w:eastAsia="zh-CN"/>
              </w:rPr>
              <w:t>1</w:t>
            </w:r>
            <w:r>
              <w:rPr>
                <w:rFonts w:hint="eastAsia" w:ascii="宋体" w:hAnsi="宋体" w:cs="宋体"/>
                <w:sz w:val="24"/>
                <w:szCs w:val="24"/>
              </w:rPr>
              <w:t>分，最多得</w:t>
            </w:r>
            <w:r>
              <w:rPr>
                <w:rFonts w:hint="eastAsia" w:ascii="宋体" w:hAnsi="宋体" w:cs="宋体"/>
                <w:sz w:val="24"/>
                <w:szCs w:val="24"/>
                <w:lang w:val="en-US" w:eastAsia="zh-CN"/>
              </w:rPr>
              <w:t>4</w:t>
            </w:r>
            <w:r>
              <w:rPr>
                <w:rFonts w:hint="eastAsia" w:ascii="宋体" w:hAnsi="宋体" w:cs="宋体"/>
                <w:sz w:val="24"/>
                <w:szCs w:val="24"/>
              </w:rPr>
              <w:t>分</w:t>
            </w:r>
            <w:r>
              <w:rPr>
                <w:rFonts w:hint="eastAsia" w:ascii="宋体" w:hAnsi="宋体" w:cs="宋体"/>
                <w:sz w:val="24"/>
                <w:szCs w:val="24"/>
                <w:lang w:val="en-US" w:eastAsia="zh-CN"/>
              </w:rPr>
              <w:t>，无有效业绩不得分。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资质</w:t>
            </w:r>
          </w:p>
        </w:tc>
        <w:tc>
          <w:tcPr>
            <w:tcW w:w="4036" w:type="pct"/>
            <w:shd w:val="clear" w:color="auto" w:fill="auto"/>
            <w:vAlign w:val="center"/>
          </w:tcPr>
          <w:p>
            <w:pPr>
              <w:spacing w:line="360" w:lineRule="auto"/>
              <w:rPr>
                <w:rFonts w:ascii="宋体" w:hAnsi="宋体" w:cs="宋体"/>
                <w:b/>
                <w:bCs/>
                <w:sz w:val="24"/>
                <w:szCs w:val="24"/>
              </w:rPr>
            </w:pPr>
            <w:r>
              <w:rPr>
                <w:rFonts w:hint="eastAsia" w:ascii="宋体" w:hAnsi="宋体" w:cs="宋体"/>
                <w:b/>
                <w:bCs/>
                <w:sz w:val="24"/>
                <w:szCs w:val="24"/>
              </w:rPr>
              <w:t>1.本项目投标人须提供以下人员资质：</w:t>
            </w:r>
          </w:p>
          <w:p>
            <w:pPr>
              <w:spacing w:line="360" w:lineRule="auto"/>
              <w:rPr>
                <w:rFonts w:ascii="宋体" w:hAnsi="宋体" w:cs="宋体"/>
                <w:sz w:val="24"/>
                <w:szCs w:val="24"/>
              </w:rPr>
            </w:pPr>
            <w:r>
              <w:rPr>
                <w:rFonts w:hint="eastAsia" w:ascii="宋体" w:hAnsi="宋体" w:cs="宋体"/>
                <w:sz w:val="24"/>
                <w:szCs w:val="24"/>
              </w:rPr>
              <w:t>A、具备相关部门颁发的信息系统项目管理师；</w:t>
            </w:r>
          </w:p>
          <w:p>
            <w:pPr>
              <w:spacing w:line="360" w:lineRule="auto"/>
              <w:rPr>
                <w:rFonts w:ascii="宋体" w:hAnsi="宋体" w:cs="宋体"/>
                <w:sz w:val="24"/>
                <w:szCs w:val="24"/>
              </w:rPr>
            </w:pPr>
            <w:r>
              <w:rPr>
                <w:rFonts w:hint="eastAsia" w:ascii="宋体" w:hAnsi="宋体" w:cs="宋体"/>
                <w:sz w:val="24"/>
                <w:szCs w:val="24"/>
              </w:rPr>
              <w:t>B、具备相关部门颁发的PMP证书；</w:t>
            </w:r>
          </w:p>
          <w:p>
            <w:pPr>
              <w:spacing w:line="360" w:lineRule="auto"/>
              <w:rPr>
                <w:rFonts w:ascii="宋体" w:hAnsi="宋体" w:cs="宋体"/>
                <w:sz w:val="24"/>
                <w:szCs w:val="24"/>
              </w:rPr>
            </w:pPr>
            <w:r>
              <w:rPr>
                <w:rFonts w:hint="eastAsia" w:ascii="宋体" w:hAnsi="宋体" w:cs="宋体"/>
                <w:sz w:val="24"/>
                <w:szCs w:val="24"/>
              </w:rPr>
              <w:t>C、具备相关部门颁发的信息安全保障人员认证证书；</w:t>
            </w:r>
          </w:p>
          <w:p>
            <w:pPr>
              <w:spacing w:line="360" w:lineRule="auto"/>
              <w:rPr>
                <w:rFonts w:ascii="宋体" w:hAnsi="宋体" w:cs="宋体"/>
                <w:sz w:val="24"/>
                <w:szCs w:val="24"/>
              </w:rPr>
            </w:pPr>
            <w:r>
              <w:rPr>
                <w:rFonts w:hint="eastAsia" w:ascii="宋体" w:hAnsi="宋体" w:cs="宋体"/>
                <w:sz w:val="24"/>
                <w:szCs w:val="24"/>
              </w:rPr>
              <w:t>D、具备相关部门颁发的IT服务项目经理证书；上述人员须提供在职近半年内任意一个月社保文件证明材料</w:t>
            </w:r>
            <w:r>
              <w:rPr>
                <w:rFonts w:hint="eastAsia" w:ascii="宋体" w:hAnsi="宋体" w:cs="宋体"/>
                <w:sz w:val="24"/>
                <w:szCs w:val="24"/>
                <w:lang w:eastAsia="zh-CN"/>
              </w:rPr>
              <w:t>，</w:t>
            </w:r>
            <w:r>
              <w:rPr>
                <w:rFonts w:hint="eastAsia" w:ascii="宋体" w:hAnsi="宋体" w:cs="宋体"/>
                <w:sz w:val="24"/>
                <w:szCs w:val="24"/>
              </w:rPr>
              <w:t>全部</w:t>
            </w:r>
            <w:r>
              <w:rPr>
                <w:rFonts w:hint="eastAsia" w:ascii="宋体" w:hAnsi="宋体" w:cs="宋体"/>
                <w:sz w:val="24"/>
                <w:szCs w:val="24"/>
                <w:lang w:eastAsia="zh-CN"/>
              </w:rPr>
              <w:t>资质</w:t>
            </w:r>
            <w:r>
              <w:rPr>
                <w:rFonts w:hint="eastAsia" w:ascii="宋体" w:hAnsi="宋体" w:cs="宋体"/>
                <w:sz w:val="24"/>
                <w:szCs w:val="24"/>
              </w:rPr>
              <w:t>提供齐全</w:t>
            </w:r>
            <w:r>
              <w:rPr>
                <w:rFonts w:hint="eastAsia" w:ascii="宋体" w:hAnsi="宋体" w:cs="宋体"/>
                <w:sz w:val="24"/>
                <w:szCs w:val="24"/>
                <w:lang w:eastAsia="zh-CN"/>
              </w:rPr>
              <w:t>的</w:t>
            </w:r>
            <w:r>
              <w:rPr>
                <w:rFonts w:hint="eastAsia" w:ascii="宋体" w:hAnsi="宋体" w:cs="宋体"/>
                <w:sz w:val="24"/>
                <w:szCs w:val="24"/>
              </w:rPr>
              <w:t>得4分</w:t>
            </w:r>
            <w:r>
              <w:rPr>
                <w:rFonts w:hint="eastAsia" w:ascii="宋体" w:hAnsi="宋体" w:cs="宋体"/>
                <w:sz w:val="24"/>
                <w:szCs w:val="24"/>
                <w:lang w:eastAsia="zh-CN"/>
              </w:rPr>
              <w:t>，少</w:t>
            </w:r>
            <w:r>
              <w:rPr>
                <w:rFonts w:hint="eastAsia" w:ascii="宋体" w:hAnsi="宋体" w:cs="宋体"/>
                <w:sz w:val="24"/>
                <w:szCs w:val="24"/>
              </w:rPr>
              <w:t>一项扣</w:t>
            </w:r>
            <w:r>
              <w:rPr>
                <w:rFonts w:hint="eastAsia" w:ascii="宋体" w:hAnsi="宋体" w:cs="宋体"/>
                <w:sz w:val="24"/>
                <w:szCs w:val="24"/>
                <w:lang w:val="en-US" w:eastAsia="zh-CN"/>
              </w:rPr>
              <w:t>1</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人员资质</w:t>
            </w:r>
            <w:r>
              <w:rPr>
                <w:rFonts w:hint="eastAsia" w:ascii="宋体" w:hAnsi="宋体" w:cs="宋体"/>
                <w:sz w:val="24"/>
                <w:szCs w:val="24"/>
                <w:lang w:eastAsia="zh-CN"/>
              </w:rPr>
              <w:t>和</w:t>
            </w:r>
            <w:r>
              <w:rPr>
                <w:rFonts w:hint="eastAsia" w:ascii="宋体" w:hAnsi="宋体" w:cs="宋体"/>
                <w:sz w:val="24"/>
                <w:szCs w:val="24"/>
              </w:rPr>
              <w:t>社保证明无法同时提供的，</w:t>
            </w:r>
            <w:r>
              <w:rPr>
                <w:rFonts w:hint="eastAsia" w:ascii="宋体" w:hAnsi="宋体" w:cs="宋体"/>
                <w:sz w:val="24"/>
                <w:szCs w:val="24"/>
                <w:lang w:eastAsia="zh-CN"/>
              </w:rPr>
              <w:t>均</w:t>
            </w:r>
            <w:r>
              <w:rPr>
                <w:rFonts w:hint="eastAsia" w:ascii="宋体" w:hAnsi="宋体" w:cs="宋体"/>
                <w:sz w:val="24"/>
                <w:szCs w:val="24"/>
              </w:rPr>
              <w:t>不得分。</w:t>
            </w:r>
          </w:p>
          <w:p>
            <w:pPr>
              <w:spacing w:line="360" w:lineRule="auto"/>
              <w:rPr>
                <w:rFonts w:ascii="宋体" w:hAnsi="宋体" w:cs="宋体"/>
                <w:b/>
                <w:bCs/>
                <w:sz w:val="24"/>
                <w:szCs w:val="24"/>
              </w:rPr>
            </w:pPr>
            <w:r>
              <w:rPr>
                <w:rFonts w:hint="eastAsia" w:ascii="宋体" w:hAnsi="宋体" w:cs="宋体"/>
                <w:b/>
                <w:bCs/>
                <w:sz w:val="24"/>
                <w:szCs w:val="24"/>
              </w:rPr>
              <w:t>2.本项目投标人须提供以下资质：</w:t>
            </w:r>
          </w:p>
          <w:p>
            <w:pPr>
              <w:spacing w:line="360" w:lineRule="auto"/>
              <w:rPr>
                <w:rFonts w:ascii="宋体" w:hAnsi="宋体" w:cs="宋体"/>
                <w:sz w:val="24"/>
                <w:szCs w:val="24"/>
              </w:rPr>
            </w:pPr>
            <w:r>
              <w:rPr>
                <w:rFonts w:hint="eastAsia" w:ascii="宋体" w:hAnsi="宋体" w:cs="宋体"/>
                <w:sz w:val="24"/>
                <w:szCs w:val="24"/>
              </w:rPr>
              <w:t xml:space="preserve">A、投标人具有信息技术服务运行维护标准符合性证书三级及以上； </w:t>
            </w:r>
          </w:p>
          <w:p>
            <w:pPr>
              <w:spacing w:line="360" w:lineRule="auto"/>
              <w:rPr>
                <w:rFonts w:ascii="宋体" w:hAnsi="宋体" w:cs="宋体"/>
                <w:sz w:val="24"/>
                <w:szCs w:val="24"/>
              </w:rPr>
            </w:pPr>
            <w:r>
              <w:rPr>
                <w:rFonts w:hint="eastAsia" w:ascii="宋体" w:hAnsi="宋体" w:cs="宋体"/>
                <w:sz w:val="24"/>
                <w:szCs w:val="24"/>
              </w:rPr>
              <w:t xml:space="preserve">B、投标人具有信息系统业务安全服务资质（CCRC）证书； </w:t>
            </w:r>
          </w:p>
          <w:p>
            <w:pPr>
              <w:spacing w:line="360" w:lineRule="auto"/>
              <w:rPr>
                <w:rFonts w:ascii="宋体" w:hAnsi="宋体" w:cs="宋体"/>
                <w:sz w:val="24"/>
                <w:szCs w:val="24"/>
              </w:rPr>
            </w:pPr>
            <w:r>
              <w:rPr>
                <w:rFonts w:hint="eastAsia" w:ascii="宋体" w:hAnsi="宋体" w:cs="宋体"/>
                <w:sz w:val="24"/>
                <w:szCs w:val="24"/>
              </w:rPr>
              <w:t>C、提供ISO9001质量管理体系认证证书、ISO27001信息安全管理体系认证证书、ISO20000信息技术服务管理体系、ISO14001环境管理体系证书、ISO22301业务连续性管理体系证书、信息系统服务交付能力等级证书（五星级）、企业诚信管理体系认证证书;</w:t>
            </w:r>
          </w:p>
          <w:p>
            <w:pPr>
              <w:spacing w:line="360" w:lineRule="auto"/>
              <w:rPr>
                <w:rFonts w:ascii="宋体" w:hAnsi="宋体" w:cs="宋体"/>
                <w:sz w:val="24"/>
                <w:szCs w:val="24"/>
              </w:rPr>
            </w:pPr>
            <w:r>
              <w:rPr>
                <w:rFonts w:hint="eastAsia" w:ascii="宋体" w:hAnsi="宋体" w:cs="宋体"/>
                <w:sz w:val="24"/>
                <w:szCs w:val="24"/>
              </w:rPr>
              <w:t>D、投标人提供有效的CMMI5证书；</w:t>
            </w:r>
          </w:p>
          <w:p>
            <w:pPr>
              <w:spacing w:line="360" w:lineRule="auto"/>
            </w:pPr>
            <w:r>
              <w:rPr>
                <w:rFonts w:hint="eastAsia" w:ascii="宋体" w:hAnsi="宋体" w:cs="宋体"/>
                <w:sz w:val="24"/>
                <w:szCs w:val="24"/>
              </w:rPr>
              <w:t>以上证书均需提供复印件加盖公章，一项不响应扣2分，满分8分。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财务状况</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A.投标人或投标企业所投软件开发厂商提供2020年度经具备审计资格的第三方出具的审计报告；（财务报表：主要包括资产负债表、损益表、现金流量表等报表）</w:t>
            </w:r>
            <w:r>
              <w:rPr>
                <w:rFonts w:hint="eastAsia" w:ascii="宋体" w:hAnsi="宋体" w:cs="宋体"/>
                <w:sz w:val="24"/>
                <w:szCs w:val="24"/>
                <w:lang w:eastAsia="zh-CN"/>
              </w:rPr>
              <w:t>提供齐全的</w:t>
            </w:r>
            <w:r>
              <w:rPr>
                <w:rFonts w:hint="eastAsia" w:ascii="宋体" w:hAnsi="宋体" w:cs="宋体"/>
                <w:sz w:val="24"/>
                <w:szCs w:val="24"/>
              </w:rPr>
              <w:t>得2分，</w:t>
            </w:r>
            <w:r>
              <w:rPr>
                <w:rFonts w:hint="eastAsia" w:ascii="宋体" w:hAnsi="宋体" w:cs="宋体"/>
                <w:sz w:val="24"/>
                <w:szCs w:val="24"/>
                <w:lang w:eastAsia="zh-CN"/>
              </w:rPr>
              <w:t>提供不齐全的</w:t>
            </w:r>
            <w:r>
              <w:rPr>
                <w:rFonts w:hint="eastAsia" w:ascii="宋体" w:hAnsi="宋体" w:cs="宋体"/>
                <w:sz w:val="24"/>
                <w:szCs w:val="24"/>
              </w:rPr>
              <w:t>不得分。</w:t>
            </w:r>
          </w:p>
          <w:p>
            <w:pPr>
              <w:spacing w:line="360" w:lineRule="auto"/>
              <w:rPr>
                <w:rFonts w:ascii="宋体" w:hAnsi="宋体" w:cs="宋体"/>
                <w:sz w:val="24"/>
                <w:szCs w:val="24"/>
              </w:rPr>
            </w:pPr>
            <w:r>
              <w:rPr>
                <w:rFonts w:hint="eastAsia" w:ascii="宋体" w:hAnsi="宋体" w:cs="宋体"/>
                <w:sz w:val="24"/>
                <w:szCs w:val="24"/>
              </w:rPr>
              <w:t>B. 投标人提供近三个月（投标截止前6个月内的任意三个月）缴纳的国税或地税凭证、社保金的凭证的复印件。提供的得2分，不提供或提供的相应凭证不符合要求的不得分；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投标文件响应程度</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根据投标人制作的标书的美观情况、提供资料的齐全性、编排的合理性等综合评分。(优秀的得5分、良好的得3分、一般的1分。)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000" w:type="pct"/>
            <w:gridSpan w:val="3"/>
            <w:shd w:val="clear" w:color="auto" w:fill="auto"/>
            <w:vAlign w:val="center"/>
          </w:tcPr>
          <w:p>
            <w:pPr>
              <w:spacing w:line="360" w:lineRule="auto"/>
              <w:rPr>
                <w:rFonts w:ascii="宋体" w:hAnsi="宋体" w:cs="宋体"/>
                <w:sz w:val="24"/>
                <w:szCs w:val="24"/>
              </w:rPr>
            </w:pPr>
            <w:r>
              <w:rPr>
                <w:rFonts w:hint="eastAsia" w:ascii="宋体" w:hAnsi="宋体" w:cs="宋体"/>
                <w:b/>
                <w:bCs/>
                <w:sz w:val="28"/>
                <w:szCs w:val="28"/>
              </w:rPr>
              <w:t>三、技术部分（55分）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总体设计方案</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lang w:val="en-US" w:eastAsia="zh-CN"/>
              </w:rPr>
              <w:t>按照招标文件，严格遵循行业标准规范和技术架构体系，对业务需求分析透彻、理解到位；(优5分、良3分、一般1分)。</w:t>
            </w:r>
          </w:p>
          <w:p>
            <w:pPr>
              <w:spacing w:line="360" w:lineRule="auto"/>
              <w:rPr>
                <w:rFonts w:ascii="宋体" w:hAnsi="宋体" w:cs="宋体"/>
                <w:sz w:val="24"/>
                <w:szCs w:val="24"/>
              </w:rPr>
            </w:pPr>
            <w:r>
              <w:rPr>
                <w:rFonts w:hint="eastAsia" w:ascii="宋体" w:hAnsi="宋体" w:cs="宋体"/>
                <w:sz w:val="24"/>
                <w:szCs w:val="24"/>
                <w:lang w:val="en-US" w:eastAsia="zh-CN"/>
              </w:rPr>
              <w:t>在用户需求分析的基础上，给出总体设计方案，提出合理的、完整的软件系统总体构架及软件功能设计；(优5分、良3分、一般1分)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pct"/>
            <w:shd w:val="clear" w:color="auto" w:fill="auto"/>
            <w:vAlign w:val="center"/>
          </w:tcPr>
          <w:p>
            <w:pPr>
              <w:spacing w:line="360" w:lineRule="auto"/>
              <w:rPr>
                <w:rFonts w:hint="eastAsia" w:ascii="宋体" w:hAnsi="宋体" w:cs="宋体"/>
                <w:sz w:val="24"/>
                <w:szCs w:val="24"/>
              </w:rPr>
            </w:pPr>
            <w:r>
              <w:rPr>
                <w:rFonts w:hint="eastAsia" w:ascii="宋体" w:hAnsi="宋体" w:cs="宋体"/>
                <w:sz w:val="24"/>
                <w:szCs w:val="24"/>
              </w:rPr>
              <w:t>技术响应</w:t>
            </w:r>
          </w:p>
        </w:tc>
        <w:tc>
          <w:tcPr>
            <w:tcW w:w="4036" w:type="pct"/>
            <w:shd w:val="clear" w:color="auto" w:fill="auto"/>
            <w:vAlign w:val="center"/>
          </w:tcPr>
          <w:p>
            <w:pPr>
              <w:spacing w:line="360" w:lineRule="auto"/>
              <w:rPr>
                <w:rFonts w:hint="eastAsia" w:ascii="宋体" w:hAnsi="宋体" w:cs="宋体"/>
                <w:sz w:val="24"/>
                <w:szCs w:val="24"/>
              </w:rPr>
            </w:pPr>
            <w:r>
              <w:rPr>
                <w:rFonts w:hint="eastAsia" w:ascii="宋体" w:hAnsi="宋体" w:cs="宋体"/>
                <w:sz w:val="24"/>
                <w:szCs w:val="24"/>
              </w:rPr>
              <w:t>1、投标人须提供完整的信息安全保障策略方案，同时系统满足可信安全网络平台技术部署，提供可信网络安全平台部署详细技术说明函复印件（具有原厂盖章），并提供可信网络安全平台著作权证书复印件。提供得</w:t>
            </w:r>
            <w:r>
              <w:rPr>
                <w:rFonts w:hint="eastAsia" w:ascii="宋体" w:hAnsi="宋体" w:cs="宋体"/>
                <w:sz w:val="24"/>
                <w:szCs w:val="24"/>
                <w:lang w:val="en-US" w:eastAsia="zh-CN"/>
              </w:rPr>
              <w:t>2</w:t>
            </w:r>
            <w:r>
              <w:rPr>
                <w:rFonts w:hint="eastAsia" w:ascii="宋体" w:hAnsi="宋体" w:cs="宋体"/>
                <w:sz w:val="24"/>
                <w:szCs w:val="24"/>
              </w:rPr>
              <w:t>分，否则不得分；</w:t>
            </w:r>
          </w:p>
          <w:p>
            <w:pPr>
              <w:spacing w:line="360" w:lineRule="auto"/>
              <w:rPr>
                <w:rFonts w:hint="eastAsia" w:ascii="宋体" w:hAnsi="宋体" w:cs="宋体"/>
                <w:sz w:val="24"/>
                <w:szCs w:val="24"/>
              </w:rPr>
            </w:pPr>
            <w:r>
              <w:rPr>
                <w:rFonts w:hint="eastAsia" w:ascii="宋体" w:hAnsi="宋体" w:cs="宋体"/>
                <w:sz w:val="24"/>
                <w:szCs w:val="24"/>
              </w:rPr>
              <w:t>2、所投产品须基于文件安全管理技术并支持加密管理；以透明强制文档安全管理为关键技术，提供关键技术说明方案，要求国内自主研发产品，投标人须提供电子文档安全管理软件著作权证明；全部提供得</w:t>
            </w:r>
            <w:r>
              <w:rPr>
                <w:rFonts w:hint="eastAsia" w:ascii="宋体" w:hAnsi="宋体" w:cs="宋体"/>
                <w:sz w:val="24"/>
                <w:szCs w:val="24"/>
                <w:lang w:val="en-US" w:eastAsia="zh-CN"/>
              </w:rPr>
              <w:t>2</w:t>
            </w:r>
            <w:r>
              <w:rPr>
                <w:rFonts w:hint="eastAsia" w:ascii="宋体" w:hAnsi="宋体" w:cs="宋体"/>
                <w:sz w:val="24"/>
                <w:szCs w:val="24"/>
              </w:rPr>
              <w:t>分，否则不得分。</w:t>
            </w:r>
          </w:p>
          <w:p>
            <w:pPr>
              <w:spacing w:line="360" w:lineRule="auto"/>
              <w:rPr>
                <w:rFonts w:hint="eastAsia" w:ascii="宋体" w:hAnsi="宋体" w:cs="宋体"/>
                <w:sz w:val="24"/>
                <w:szCs w:val="24"/>
              </w:rPr>
            </w:pPr>
            <w:r>
              <w:rPr>
                <w:rFonts w:hint="eastAsia" w:ascii="宋体" w:hAnsi="宋体" w:cs="宋体"/>
                <w:sz w:val="24"/>
                <w:szCs w:val="24"/>
              </w:rPr>
              <w:t>3、投标人须提供所投产品具有自主知识产权的计算机软件著作权证书（提供证书复印件并加盖投标人鲜章）；提供得1分，否则不得分。</w:t>
            </w:r>
          </w:p>
          <w:p>
            <w:pPr>
              <w:spacing w:line="360" w:lineRule="auto"/>
              <w:rPr>
                <w:rFonts w:hint="eastAsia" w:ascii="宋体" w:hAnsi="宋体" w:cs="宋体"/>
                <w:sz w:val="24"/>
                <w:szCs w:val="24"/>
              </w:rPr>
            </w:pPr>
            <w:r>
              <w:rPr>
                <w:rFonts w:hint="eastAsia" w:ascii="宋体" w:hAnsi="宋体" w:cs="宋体"/>
                <w:sz w:val="24"/>
                <w:szCs w:val="24"/>
              </w:rPr>
              <w:t>4、系统基于微服务架构体系设计，能够实现平台的开放式结构；能够基于容器平台监控及分析微服务运行状况。投标人须提供容器管理平台相关自主知识产权证明；提供得</w:t>
            </w:r>
            <w:r>
              <w:rPr>
                <w:rFonts w:hint="eastAsia" w:ascii="宋体" w:hAnsi="宋体" w:cs="宋体"/>
                <w:sz w:val="24"/>
                <w:szCs w:val="24"/>
                <w:lang w:val="en-US" w:eastAsia="zh-CN"/>
              </w:rPr>
              <w:t>2</w:t>
            </w:r>
            <w:r>
              <w:rPr>
                <w:rFonts w:hint="eastAsia" w:ascii="宋体" w:hAnsi="宋体" w:cs="宋体"/>
                <w:sz w:val="24"/>
                <w:szCs w:val="24"/>
              </w:rPr>
              <w:t>分，否则不得分；</w:t>
            </w:r>
          </w:p>
          <w:p>
            <w:pPr>
              <w:spacing w:line="360" w:lineRule="auto"/>
              <w:rPr>
                <w:rFonts w:hint="eastAsia" w:ascii="宋体" w:hAnsi="宋体" w:cs="宋体"/>
                <w:sz w:val="24"/>
                <w:szCs w:val="24"/>
              </w:rPr>
            </w:pPr>
            <w:r>
              <w:rPr>
                <w:rFonts w:hint="eastAsia" w:ascii="宋体" w:hAnsi="宋体" w:cs="宋体"/>
                <w:sz w:val="24"/>
                <w:szCs w:val="24"/>
              </w:rPr>
              <w:t>5、系统基本满足GB/T22239-2019《信息安全技术网络安全等级保护基本要求》第三级“安全通用要求”中的“安全计算环境（应用系统）”的测评要求，测试内容应至少包含身份鉴别、访问控制、安全审计、入侵防范、数据完整性、数据保密性、数据备份恢复、个人信息保护。投标人须提供第三方信息安全评测机构出具的等级保护测评报告复印件加盖原厂公章。提供得</w:t>
            </w:r>
            <w:r>
              <w:rPr>
                <w:rFonts w:hint="eastAsia" w:ascii="宋体" w:hAnsi="宋体" w:cs="宋体"/>
                <w:sz w:val="24"/>
                <w:szCs w:val="24"/>
                <w:lang w:val="en-US" w:eastAsia="zh-CN"/>
              </w:rPr>
              <w:t>1</w:t>
            </w:r>
            <w:r>
              <w:rPr>
                <w:rFonts w:hint="eastAsia" w:ascii="宋体" w:hAnsi="宋体" w:cs="宋体"/>
                <w:sz w:val="24"/>
                <w:szCs w:val="24"/>
              </w:rPr>
              <w:t>分，否则不得分。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6、针对超融合云平台和安全感知管理平台需要提供以下证明，满分</w:t>
            </w:r>
            <w:r>
              <w:rPr>
                <w:rFonts w:hint="eastAsia" w:ascii="宋体" w:hAnsi="宋体" w:cs="宋体"/>
                <w:sz w:val="24"/>
                <w:szCs w:val="24"/>
                <w:lang w:val="en-US" w:eastAsia="zh-CN"/>
              </w:rPr>
              <w:t>5</w:t>
            </w:r>
            <w:r>
              <w:rPr>
                <w:rFonts w:hint="eastAsia" w:ascii="宋体" w:hAnsi="宋体" w:cs="宋体"/>
                <w:sz w:val="24"/>
                <w:szCs w:val="24"/>
              </w:rPr>
              <w:t>分。</w:t>
            </w:r>
          </w:p>
          <w:p>
            <w:pPr>
              <w:spacing w:line="360" w:lineRule="auto"/>
              <w:rPr>
                <w:rFonts w:hint="eastAsia" w:ascii="宋体" w:hAnsi="宋体" w:cs="宋体"/>
                <w:sz w:val="24"/>
                <w:szCs w:val="24"/>
              </w:rPr>
            </w:pPr>
            <w:r>
              <w:rPr>
                <w:rFonts w:hint="eastAsia" w:ascii="宋体" w:hAnsi="宋体" w:cs="宋体"/>
                <w:sz w:val="24"/>
                <w:szCs w:val="24"/>
              </w:rPr>
              <w:t>6.1为了学校业务的连续性保障，超融合业务平台要具备故障时的可管理性，超融合平台采用分布式管理架构，去中心化，管理平台不依赖于某一个虚拟机或物理机部署，采用分布式架构保障平台更可靠（需提供具有CNAS、CMA资质的第三方测试机构的证明材料，至少包含报告首页，对应功能测试页和报告尾页，并加盖厂商公章）满足得</w:t>
            </w:r>
            <w:r>
              <w:rPr>
                <w:rFonts w:hint="eastAsia" w:ascii="宋体" w:hAnsi="宋体" w:cs="宋体"/>
                <w:sz w:val="24"/>
                <w:szCs w:val="24"/>
                <w:lang w:val="en-US" w:eastAsia="zh-CN"/>
              </w:rPr>
              <w:t>1</w:t>
            </w:r>
            <w:r>
              <w:rPr>
                <w:rFonts w:hint="eastAsia" w:ascii="宋体" w:hAnsi="宋体" w:cs="宋体"/>
                <w:sz w:val="24"/>
                <w:szCs w:val="24"/>
              </w:rPr>
              <w:t>分，不满足不得分。</w:t>
            </w:r>
          </w:p>
          <w:p>
            <w:pPr>
              <w:spacing w:line="360" w:lineRule="auto"/>
              <w:rPr>
                <w:rFonts w:hint="eastAsia" w:ascii="宋体" w:hAnsi="宋体" w:cs="宋体"/>
                <w:sz w:val="24"/>
                <w:szCs w:val="24"/>
              </w:rPr>
            </w:pPr>
            <w:r>
              <w:rPr>
                <w:rFonts w:hint="eastAsia" w:ascii="宋体" w:hAnsi="宋体" w:cs="宋体"/>
                <w:sz w:val="24"/>
                <w:szCs w:val="24"/>
              </w:rPr>
              <w:t>6.2为充分提高超融合分布式存储的性能效果，超融合平台需支持条带化功能，并支持以虚拟磁盘为单位设置不同的条带数（需提供产品功能截图，并加盖厂商公章）满足得</w:t>
            </w:r>
            <w:r>
              <w:rPr>
                <w:rFonts w:hint="eastAsia" w:ascii="宋体" w:hAnsi="宋体" w:cs="宋体"/>
                <w:sz w:val="24"/>
                <w:szCs w:val="24"/>
                <w:lang w:val="en-US" w:eastAsia="zh-CN"/>
              </w:rPr>
              <w:t>1</w:t>
            </w:r>
            <w:r>
              <w:rPr>
                <w:rFonts w:hint="eastAsia" w:ascii="宋体" w:hAnsi="宋体" w:cs="宋体"/>
                <w:sz w:val="24"/>
                <w:szCs w:val="24"/>
              </w:rPr>
              <w:t>分，不满足不得分。</w:t>
            </w:r>
          </w:p>
          <w:p>
            <w:pPr>
              <w:spacing w:line="360" w:lineRule="auto"/>
              <w:rPr>
                <w:rFonts w:hint="eastAsia" w:ascii="宋体" w:hAnsi="宋体" w:cs="宋体"/>
                <w:sz w:val="24"/>
                <w:szCs w:val="24"/>
              </w:rPr>
            </w:pPr>
            <w:r>
              <w:rPr>
                <w:rFonts w:hint="eastAsia" w:ascii="宋体" w:hAnsi="宋体" w:cs="宋体"/>
                <w:sz w:val="24"/>
                <w:szCs w:val="24"/>
              </w:rPr>
              <w:t>6.3为了充分发挥安全态势感知产品网络安全大脑的定位，要求安全态势感知能与学校现有的出口防火墙以及业务区防火墙进行联动响应，支持平台下发安全策略到防火墙上，阻断攻击流量。（需提供厂商承诺函，并加盖厂商公章）满足得</w:t>
            </w:r>
            <w:r>
              <w:rPr>
                <w:rFonts w:hint="eastAsia" w:ascii="宋体" w:hAnsi="宋体" w:cs="宋体"/>
                <w:sz w:val="24"/>
                <w:szCs w:val="24"/>
                <w:lang w:val="en-US" w:eastAsia="zh-CN"/>
              </w:rPr>
              <w:t>2</w:t>
            </w:r>
            <w:r>
              <w:rPr>
                <w:rFonts w:hint="eastAsia" w:ascii="宋体" w:hAnsi="宋体" w:cs="宋体"/>
                <w:sz w:val="24"/>
                <w:szCs w:val="24"/>
              </w:rPr>
              <w:t>分，不满足不得分。</w:t>
            </w:r>
          </w:p>
          <w:p>
            <w:pPr>
              <w:spacing w:line="360" w:lineRule="auto"/>
              <w:rPr>
                <w:rFonts w:hint="eastAsia" w:ascii="宋体" w:hAnsi="宋体" w:cs="宋体"/>
                <w:sz w:val="24"/>
                <w:szCs w:val="24"/>
              </w:rPr>
            </w:pPr>
            <w:r>
              <w:rPr>
                <w:rFonts w:hint="eastAsia" w:ascii="宋体" w:hAnsi="宋体" w:cs="宋体"/>
                <w:sz w:val="24"/>
                <w:szCs w:val="24"/>
              </w:rPr>
              <w:t>6.4为充分满足虚拟机的各种便捷操作，应在超融合管理平台管理界面上提供虚拟机克隆、迁移、模板导出、以及标签管理等功能，并支持批量操作。（需提供产品功能截图，并加盖厂商公章） 满足得1分，不满足不得分。</w:t>
            </w:r>
          </w:p>
          <w:p>
            <w:pPr>
              <w:spacing w:line="360" w:lineRule="auto"/>
              <w:rPr>
                <w:rFonts w:hint="eastAsia" w:ascii="宋体" w:hAnsi="宋体" w:cs="宋体"/>
                <w:sz w:val="24"/>
                <w:szCs w:val="24"/>
              </w:rPr>
            </w:pPr>
            <w:r>
              <w:rPr>
                <w:rFonts w:hint="eastAsia" w:ascii="宋体" w:hAnsi="宋体" w:cs="宋体"/>
                <w:sz w:val="24"/>
                <w:szCs w:val="24"/>
              </w:rPr>
              <w:t>投标人须具备所有产品原厂授权书；</w:t>
            </w:r>
          </w:p>
          <w:p>
            <w:pPr>
              <w:spacing w:line="360" w:lineRule="auto"/>
              <w:rPr>
                <w:rFonts w:hint="eastAsia" w:ascii="宋体" w:hAnsi="宋体" w:cs="宋体"/>
                <w:sz w:val="24"/>
                <w:szCs w:val="24"/>
              </w:rPr>
            </w:pPr>
            <w:r>
              <w:rPr>
                <w:rFonts w:hint="eastAsia" w:ascii="宋体" w:hAnsi="宋体" w:cs="宋体"/>
                <w:sz w:val="24"/>
                <w:szCs w:val="24"/>
              </w:rPr>
              <w:t>投标人完全满足招标文件需求参数中标注有带“▲”“★”的重要技术参数指标，全部满足得7分。每负偏离一项“▲”“★”项扣0.5分，直到扣完为止。</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现场演示</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演示环境必须基于真实案例系统演示，演示时间不超过25分钟；若采用录屏、原型或PPT演示，不得分。全部演示得16分。演示内容包括：</w:t>
            </w:r>
          </w:p>
          <w:p>
            <w:pPr>
              <w:spacing w:line="360" w:lineRule="auto"/>
              <w:rPr>
                <w:rFonts w:ascii="宋体" w:hAnsi="宋体" w:cs="宋体"/>
                <w:b/>
                <w:bCs/>
                <w:sz w:val="24"/>
                <w:szCs w:val="24"/>
              </w:rPr>
            </w:pPr>
            <w:r>
              <w:rPr>
                <w:rFonts w:hint="eastAsia" w:ascii="宋体" w:hAnsi="宋体" w:cs="宋体"/>
                <w:b/>
                <w:bCs/>
                <w:sz w:val="24"/>
                <w:szCs w:val="24"/>
              </w:rPr>
              <w:t>A、基础支撑平台演示:</w:t>
            </w:r>
          </w:p>
          <w:p>
            <w:pPr>
              <w:spacing w:line="360" w:lineRule="auto"/>
              <w:rPr>
                <w:rFonts w:ascii="宋体" w:hAnsi="宋体" w:cs="宋体"/>
                <w:sz w:val="24"/>
                <w:szCs w:val="24"/>
              </w:rPr>
            </w:pPr>
            <w:r>
              <w:rPr>
                <w:rFonts w:hint="eastAsia" w:ascii="宋体" w:hAnsi="宋体" w:cs="宋体"/>
                <w:sz w:val="24"/>
                <w:szCs w:val="24"/>
              </w:rPr>
              <w:t>① 排课系统要求可以单独使用，可以灵活设置周一至周日每天的上课节数和时间段，可选择单周、单双周、时间段三种课表，可设置多班级上课的合班课，排课时能看到各班实时排课进度图。排完课后能查询并打印班级课表、教师课表，教室课表。（以上功能全部满足得 1 分， 否则不得分）</w:t>
            </w:r>
          </w:p>
          <w:p>
            <w:pPr>
              <w:spacing w:line="360" w:lineRule="auto"/>
              <w:rPr>
                <w:rFonts w:ascii="宋体" w:hAnsi="宋体" w:cs="宋体"/>
                <w:sz w:val="24"/>
                <w:szCs w:val="24"/>
              </w:rPr>
            </w:pPr>
            <w:r>
              <w:rPr>
                <w:rFonts w:hint="eastAsia" w:ascii="宋体" w:hAnsi="宋体" w:cs="宋体"/>
                <w:sz w:val="24"/>
                <w:szCs w:val="24"/>
              </w:rPr>
              <w:t>②统一门户桌面需要实现自定义配置，可按用户自主要求配置多桌面，每个桌面的名称和桌面内容以及桌面内容的顺序都可以自己进行拖拽式的配置，门户桌面还需要支持切换皮肤，按照用户喜欢的风格进行选择，门户需要支持办事大厅模式、效率优先模式、管理驾驶舱模式的切换，每个模式展示的主要内容和顺序均有不同，管理驾驶舱模式要能够展示学校的基础信息统计（以上功能全部满足得 1 分， 否则不得分）</w:t>
            </w:r>
          </w:p>
          <w:p>
            <w:pPr>
              <w:spacing w:line="360" w:lineRule="auto"/>
              <w:rPr>
                <w:rFonts w:ascii="宋体" w:hAnsi="宋体" w:cs="宋体"/>
                <w:sz w:val="24"/>
                <w:szCs w:val="24"/>
              </w:rPr>
            </w:pPr>
            <w:r>
              <w:rPr>
                <w:rFonts w:hint="eastAsia" w:ascii="宋体" w:hAnsi="宋体" w:cs="宋体"/>
                <w:sz w:val="24"/>
                <w:szCs w:val="24"/>
              </w:rPr>
              <w:t>③ 通过和QQ类似的即时通讯系统进行单点登陆，可以实现在各个应用系统之间进行漫游使用（无需再输入账号密码），同时发邮件或通知公告的时候可以把消息推送到即时通讯端，演示即时通讯系统实现单点登陆的功能及网盘功能推送功能，可通过智慧校园平台管理推送内容的开启与关闭。（以上功能全部满足得 1 分， 否则不得分）</w:t>
            </w:r>
          </w:p>
          <w:p>
            <w:pPr>
              <w:spacing w:line="360" w:lineRule="auto"/>
              <w:rPr>
                <w:rFonts w:ascii="宋体" w:hAnsi="宋体" w:cs="宋体"/>
                <w:sz w:val="24"/>
                <w:szCs w:val="24"/>
              </w:rPr>
            </w:pPr>
            <w:r>
              <w:rPr>
                <w:rFonts w:hint="eastAsia" w:ascii="宋体" w:hAnsi="宋体" w:cs="宋体"/>
                <w:sz w:val="24"/>
                <w:szCs w:val="24"/>
              </w:rPr>
              <w:t>④ 对角色的用户信息授权可分为系统功能、系统按钮、系统视图等三种方式进行授权，系统功能可配置系统菜单权限，系统按钮可配置每个功能下的按钮权限、系统视图可配置每个页面中显示的数据信息（如：可配置A用户能看A、B、C列的信息，B用户能看A、C列的信息。）。（以上功能全部满足得 1 分， 否则不得分）</w:t>
            </w:r>
          </w:p>
          <w:p>
            <w:pPr>
              <w:spacing w:line="360" w:lineRule="auto"/>
              <w:rPr>
                <w:rFonts w:ascii="宋体" w:hAnsi="宋体" w:cs="宋体"/>
                <w:sz w:val="24"/>
                <w:szCs w:val="24"/>
              </w:rPr>
            </w:pPr>
            <w:r>
              <w:rPr>
                <w:rFonts w:hint="eastAsia" w:ascii="宋体" w:hAnsi="宋体" w:cs="宋体"/>
                <w:sz w:val="24"/>
                <w:szCs w:val="24"/>
              </w:rPr>
              <w:t>⑤ 可对应的数据源数据表进行查看和查询操作，可查看数据表中的字段信息以及数据表中的数据条数、数据表大小、索引使用大小。可对单张数据表中的数据进行筛选，可视化的查询界面中需要包含该数据表中所有字段，显示出数据表中所有数据；可在对应数据库中可视化的新建数据表，可设置列名、数据类型、数据长度、允许为空、主键、说明等信息，可对表进行复制，对字段信息进行复制，可将新建数据表存入草稿，也可导入草稿，发布后即可直接使用该数据表。（以上功能全部满足得 1 分， 否则不得分）</w:t>
            </w:r>
          </w:p>
          <w:p>
            <w:pPr>
              <w:spacing w:line="360" w:lineRule="auto"/>
              <w:rPr>
                <w:rFonts w:ascii="宋体" w:hAnsi="宋体" w:cs="宋体"/>
                <w:sz w:val="24"/>
                <w:szCs w:val="24"/>
              </w:rPr>
            </w:pPr>
            <w:r>
              <w:rPr>
                <w:rFonts w:hint="eastAsia" w:ascii="宋体" w:hAnsi="宋体" w:cs="宋体"/>
                <w:sz w:val="24"/>
                <w:szCs w:val="24"/>
              </w:rPr>
              <w:t>⑥系统需要支持电子签章管理和使用，要对电子签章进行分类管理，可设置使用密码。可以在流程设计中配置是否使用签章，在流程审批过程中直接使用电子签章。电子签章记录将直接保存在流程记录中，系统需要支持手写签字，可以在流程设计中配置是否使用手写签字，在流程审批过程中使用手写签字，签字记录将直接保存在流程记录中。（以上功能全部满足得 1 分， 否则不得分）</w:t>
            </w:r>
          </w:p>
          <w:p>
            <w:pPr>
              <w:pStyle w:val="14"/>
            </w:pPr>
          </w:p>
          <w:p>
            <w:pPr>
              <w:pStyle w:val="14"/>
              <w:rPr>
                <w:b/>
                <w:bCs/>
              </w:rPr>
            </w:pPr>
            <w:r>
              <w:rPr>
                <w:rFonts w:hint="eastAsia" w:hAnsi="宋体" w:cs="宋体"/>
                <w:b/>
                <w:bCs/>
                <w:sz w:val="24"/>
                <w:szCs w:val="24"/>
              </w:rPr>
              <w:t>B、教育诊断改进演示：</w:t>
            </w:r>
          </w:p>
          <w:p>
            <w:pPr>
              <w:spacing w:line="360" w:lineRule="auto"/>
              <w:rPr>
                <w:rFonts w:ascii="宋体" w:hAnsi="宋体" w:cs="宋体"/>
                <w:sz w:val="24"/>
                <w:szCs w:val="24"/>
              </w:rPr>
            </w:pPr>
            <w:r>
              <w:rPr>
                <w:rFonts w:hint="eastAsia" w:ascii="宋体" w:hAnsi="宋体" w:cs="宋体"/>
                <w:sz w:val="24"/>
                <w:szCs w:val="24"/>
              </w:rPr>
              <w:t>1、演示个人中心效果，需包含且不限于预警待办、诊改待办、预警分析、已关注指标、预警指标、未达标指标明细、诊改任务进度、系统消息。支持个人一键跳转诊改报告、诊改仪表盘、发布诊改任务，以实现个人诊改工作高效易达。（以上功能全部满足得 1 分， 否则不得分）</w:t>
            </w:r>
          </w:p>
          <w:p>
            <w:pPr>
              <w:spacing w:line="360" w:lineRule="auto"/>
              <w:rPr>
                <w:rFonts w:ascii="宋体" w:hAnsi="宋体" w:cs="宋体"/>
                <w:sz w:val="24"/>
                <w:szCs w:val="24"/>
              </w:rPr>
            </w:pPr>
            <w:r>
              <w:rPr>
                <w:rFonts w:hint="eastAsia" w:ascii="宋体" w:hAnsi="宋体" w:cs="宋体"/>
                <w:sz w:val="24"/>
                <w:szCs w:val="24"/>
              </w:rPr>
              <w:t>2、演示目标标准配置功能，支持多层指标库设置，包括上级指标库（父指标库）与下级指标库（子指标库）。</w:t>
            </w:r>
          </w:p>
          <w:p>
            <w:pPr>
              <w:spacing w:line="360" w:lineRule="auto"/>
              <w:rPr>
                <w:rFonts w:ascii="宋体" w:hAnsi="宋体" w:cs="宋体"/>
                <w:sz w:val="24"/>
                <w:szCs w:val="24"/>
              </w:rPr>
            </w:pPr>
            <w:r>
              <w:rPr>
                <w:rFonts w:hint="eastAsia" w:ascii="宋体" w:hAnsi="宋体" w:cs="宋体"/>
                <w:sz w:val="24"/>
                <w:szCs w:val="24"/>
              </w:rPr>
              <w:t>3、演示父指标库新增参数配置，包括且不限于指标库名称、指标库层面、指标周期类型、指标周期值、指标库维度、指标库类型、指标库权限设置。（以上功能全部满足得 1 分， 否则不得分）</w:t>
            </w:r>
          </w:p>
          <w:p>
            <w:pPr>
              <w:spacing w:line="360" w:lineRule="auto"/>
              <w:rPr>
                <w:rFonts w:ascii="宋体" w:hAnsi="宋体" w:cs="宋体"/>
                <w:sz w:val="24"/>
                <w:szCs w:val="24"/>
              </w:rPr>
            </w:pPr>
            <w:r>
              <w:rPr>
                <w:rFonts w:hint="eastAsia" w:ascii="宋体" w:hAnsi="宋体" w:cs="宋体"/>
                <w:sz w:val="24"/>
                <w:szCs w:val="24"/>
              </w:rPr>
              <w:t>4、演示子指标库配置，可以一键关联与继承父指标库，快速配置通用指标。子指标库支持内部多级指标配置，支持表格视图、树状视图。（以上功能全部满足得 1 分， 否则不得分）</w:t>
            </w:r>
          </w:p>
          <w:p>
            <w:pPr>
              <w:spacing w:line="360" w:lineRule="auto"/>
              <w:rPr>
                <w:rFonts w:ascii="宋体" w:hAnsi="宋体" w:cs="宋体"/>
                <w:sz w:val="24"/>
                <w:szCs w:val="24"/>
              </w:rPr>
            </w:pPr>
            <w:r>
              <w:rPr>
                <w:rFonts w:hint="eastAsia" w:ascii="宋体" w:hAnsi="宋体" w:cs="宋体"/>
                <w:sz w:val="24"/>
                <w:szCs w:val="24"/>
              </w:rPr>
              <w:t>5、演示子指标库复制、继承父库、编辑、删除四个功能，复制功能可直接复制生成另一个子指标库；继承父库功能可清空子指标库数据，并用父指标库的数据进行覆盖；编辑功能可对指标库配置情况修改；删除功能可直接删除此子指标库。（以上功能全部满足得 1 分， 否则不得分）</w:t>
            </w:r>
          </w:p>
          <w:p>
            <w:pPr>
              <w:spacing w:line="360" w:lineRule="auto"/>
              <w:rPr>
                <w:rFonts w:ascii="宋体" w:hAnsi="宋体" w:cs="宋体"/>
                <w:sz w:val="24"/>
                <w:szCs w:val="24"/>
              </w:rPr>
            </w:pPr>
            <w:r>
              <w:rPr>
                <w:rFonts w:hint="eastAsia" w:ascii="宋体" w:hAnsi="宋体" w:cs="宋体"/>
                <w:sz w:val="24"/>
                <w:szCs w:val="24"/>
              </w:rPr>
              <w:t>6、演示质控点配置，需支持基本属性配置标准值与目标值，支持算法预设与引用，支持自定义调整质控点修正策略。支持填报、算法、SQL、接口四种方式配置质控点数据来源。支持值比较预警、等级比较预警两类预警策略，预警周期支持每月、每周、每天。支持预警推送设置，包括推送时间点范围（需精确到分钟），推送对象，接收方式（接收方式需支持短信、微信、邮件、内部消息几类的不定项选择）（以上功能全部满足得 1 分， 否则不得分）</w:t>
            </w:r>
          </w:p>
          <w:p>
            <w:pPr>
              <w:spacing w:line="360" w:lineRule="auto"/>
              <w:rPr>
                <w:rFonts w:ascii="宋体" w:hAnsi="宋体" w:cs="宋体"/>
                <w:sz w:val="24"/>
                <w:szCs w:val="24"/>
              </w:rPr>
            </w:pPr>
            <w:r>
              <w:rPr>
                <w:rFonts w:hint="eastAsia" w:ascii="宋体" w:hAnsi="宋体" w:cs="宋体"/>
                <w:sz w:val="24"/>
                <w:szCs w:val="24"/>
              </w:rPr>
              <w:t>7、演示任务下发到具体诊改对象过程。新建完一个诊改任务时，需添加具体的任务执行对象，通过选择父指标库筛选出此任务下的所有诊改对象，需将不同的诊改对象绑定具体的负责人和审核人，下发具体对象时需选择对应子指标库，从而实现同一个任务下发时，可对不同的诊改对象进行个性化目标制定，使目标制定更灵活、更合理。（以上功能全部满足得 1 分， 否则不得分）</w:t>
            </w:r>
          </w:p>
          <w:p>
            <w:pPr>
              <w:spacing w:line="360" w:lineRule="auto"/>
              <w:rPr>
                <w:rFonts w:ascii="宋体" w:hAnsi="宋体" w:cs="宋体"/>
                <w:sz w:val="24"/>
                <w:szCs w:val="24"/>
              </w:rPr>
            </w:pPr>
            <w:r>
              <w:rPr>
                <w:rFonts w:hint="eastAsia" w:ascii="宋体" w:hAnsi="宋体" w:cs="宋体"/>
                <w:sz w:val="24"/>
                <w:szCs w:val="24"/>
              </w:rPr>
              <w:t>8、演示诊断改进过程，支持每项诊改任务在目标标准、组织实施、诊断改进、诊改报告四个阶段的完成进度，支持一键跳转前后阶段任务、支持批量任务往下推进。（以上功能全部满足得 1 分， 否则不得分）</w:t>
            </w:r>
          </w:p>
          <w:p>
            <w:pPr>
              <w:spacing w:line="360" w:lineRule="auto"/>
              <w:rPr>
                <w:rFonts w:ascii="宋体" w:hAnsi="宋体" w:cs="宋体"/>
                <w:sz w:val="24"/>
                <w:szCs w:val="24"/>
              </w:rPr>
            </w:pPr>
            <w:r>
              <w:rPr>
                <w:rFonts w:hint="eastAsia" w:ascii="宋体" w:hAnsi="宋体" w:cs="宋体"/>
                <w:sz w:val="24"/>
                <w:szCs w:val="24"/>
              </w:rPr>
              <w:t>9、演示诊改画像；要求系统根据集成的数据形成学校画像、专业画像、课程画像、教师画像和学生画像。（以上功能全部满足得 1 分， 否则不得分）</w:t>
            </w:r>
          </w:p>
          <w:p>
            <w:pPr>
              <w:spacing w:line="360" w:lineRule="auto"/>
              <w:rPr>
                <w:rFonts w:ascii="宋体" w:hAnsi="宋体" w:cs="宋体"/>
                <w:sz w:val="24"/>
                <w:szCs w:val="24"/>
              </w:rPr>
            </w:pPr>
            <w:r>
              <w:rPr>
                <w:rFonts w:hint="eastAsia" w:ascii="宋体" w:hAnsi="宋体" w:cs="宋体"/>
                <w:sz w:val="24"/>
                <w:szCs w:val="24"/>
              </w:rPr>
              <w:t>10、演示诊改大屏主题一键切换，切换内容包括且不限于诊改运行监控大屏、质量年报数据大屏、学生异常情况分析大屏、学生预警情况分析大屏、图书馆借阅情况分析大屏、学生就业情况大屏、师资队伍分析大屏、学生发展大屏、招生情况大屏。并且支持大屏主题无限扩展。（以上功能全部满足得 1 分， 否则不得分）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项目实施</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1、投标人须提供具体的实施方案，包括项目实施、工期计划、安装测试和试运行、项目验收、培训等；方案按照科学性、完整性、合理性、可操作性来综合评审打分，优得</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sz w:val="24"/>
                <w:szCs w:val="24"/>
              </w:rPr>
              <w:t>分，</w:t>
            </w:r>
            <w:r>
              <w:rPr>
                <w:rFonts w:hint="eastAsia" w:ascii="宋体" w:hAnsi="宋体" w:cs="宋体"/>
                <w:sz w:val="24"/>
                <w:szCs w:val="24"/>
                <w:lang w:eastAsia="zh-CN"/>
              </w:rPr>
              <w:t>良</w:t>
            </w:r>
            <w:r>
              <w:rPr>
                <w:rFonts w:hint="eastAsia" w:ascii="宋体" w:hAnsi="宋体" w:cs="宋体"/>
                <w:sz w:val="24"/>
                <w:szCs w:val="24"/>
                <w:lang w:val="en-US" w:eastAsia="zh-CN"/>
              </w:rPr>
              <w:t>3，</w:t>
            </w:r>
            <w:r>
              <w:rPr>
                <w:rFonts w:hint="eastAsia" w:ascii="宋体" w:hAnsi="宋体" w:cs="宋体"/>
                <w:sz w:val="24"/>
                <w:szCs w:val="24"/>
              </w:rPr>
              <w:t>一般得1分。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highlight w:val="none"/>
              </w:rPr>
              <w:t>4</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77"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售后服务</w:t>
            </w:r>
          </w:p>
        </w:tc>
        <w:tc>
          <w:tcPr>
            <w:tcW w:w="403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1、投标人须提供售后服务方案，包括保障措施、技术支持、应急方案、服务响应、本地化售后服务等；内容完整且对本项目的实施具有实效性和可操作性，优得3分、</w:t>
            </w:r>
            <w:r>
              <w:rPr>
                <w:rFonts w:hint="eastAsia" w:ascii="宋体" w:hAnsi="宋体" w:cs="宋体"/>
                <w:sz w:val="24"/>
                <w:szCs w:val="24"/>
                <w:lang w:eastAsia="zh-CN"/>
              </w:rPr>
              <w:t>良得</w:t>
            </w:r>
            <w:r>
              <w:rPr>
                <w:rFonts w:hint="eastAsia" w:ascii="宋体" w:hAnsi="宋体" w:cs="宋体"/>
                <w:sz w:val="24"/>
                <w:szCs w:val="24"/>
                <w:lang w:val="en-US" w:eastAsia="zh-CN"/>
              </w:rPr>
              <w:t>2分，</w:t>
            </w:r>
            <w:r>
              <w:rPr>
                <w:rFonts w:hint="eastAsia" w:ascii="宋体" w:hAnsi="宋体" w:cs="宋体"/>
                <w:sz w:val="24"/>
                <w:szCs w:val="24"/>
              </w:rPr>
              <w:t>一般得1分。</w:t>
            </w:r>
          </w:p>
          <w:p>
            <w:pPr>
              <w:spacing w:line="360" w:lineRule="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、投标人在项目终验后，须提供三年维护期；在维护期内，提供软件免费升级及对项目整体进行维护维修，投标人提供售后承诺函，并加盖投标人公章，得1分；</w:t>
            </w:r>
          </w:p>
          <w:p>
            <w:pPr>
              <w:spacing w:line="360" w:lineRule="auto"/>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、投标人全天候24小时电话响应，维护工程师应在接到报障后2个小时内到达现场处理故障；得1分。</w:t>
            </w:r>
          </w:p>
        </w:tc>
        <w:tc>
          <w:tcPr>
            <w:tcW w:w="386" w:type="pct"/>
            <w:shd w:val="clear" w:color="auto" w:fill="auto"/>
            <w:vAlign w:val="center"/>
          </w:tcPr>
          <w:p>
            <w:pPr>
              <w:spacing w:line="360" w:lineRule="auto"/>
              <w:rPr>
                <w:rFonts w:ascii="宋体" w:hAnsi="宋体" w:cs="宋体"/>
                <w:sz w:val="24"/>
                <w:szCs w:val="24"/>
              </w:rPr>
            </w:pPr>
            <w:r>
              <w:rPr>
                <w:rFonts w:hint="eastAsia" w:ascii="宋体" w:hAnsi="宋体" w:cs="宋体"/>
                <w:sz w:val="24"/>
                <w:szCs w:val="24"/>
              </w:rPr>
              <w:t>5分</w:t>
            </w:r>
          </w:p>
        </w:tc>
      </w:tr>
    </w:tbl>
    <w:p>
      <w:pPr>
        <w:spacing w:line="360" w:lineRule="auto"/>
        <w:rPr>
          <w:rFonts w:ascii="宋体" w:hAnsi="宋体" w:cs="宋体"/>
          <w:sz w:val="24"/>
          <w:szCs w:val="24"/>
        </w:rPr>
      </w:pPr>
    </w:p>
    <w:p>
      <w:pPr>
        <w:pStyle w:val="10"/>
      </w:pPr>
    </w:p>
    <w:sectPr>
      <w:footerReference r:id="rId8" w:type="default"/>
      <w:pgSz w:w="11906" w:h="16838"/>
      <w:pgMar w:top="1440" w:right="1287"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375E5B-70D2-46EC-BD09-252A85D87A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2B4917-DD49-4479-A317-43B8DB210B8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0" w:usb1="00000000" w:usb2="00000000" w:usb3="00000000" w:csb0="00000000" w:csb1="00000000"/>
    <w:embedRegular r:id="rId3" w:fontKey="{77782E14-9730-45B7-8271-2B552B14438C}"/>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41720845-C2EC-4C83-ADBD-0F3964EB8E07}"/>
  </w:font>
  <w:font w:name="Cambria">
    <w:panose1 w:val="02040503050406030204"/>
    <w:charset w:val="00"/>
    <w:family w:val="roman"/>
    <w:pitch w:val="default"/>
    <w:sig w:usb0="E00002FF" w:usb1="400004FF" w:usb2="00000000" w:usb3="00000000" w:csb0="2000019F" w:csb1="00000000"/>
    <w:embedRegular r:id="rId5" w:fontKey="{A7A042E7-E89B-419A-8DE2-81B99B564CD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thinThickSmallGap" w:color="622423" w:sz="24" w:space="1"/>
      </w:pBdr>
      <w:tabs>
        <w:tab w:val="right" w:pos="8820"/>
        <w:tab w:val="clear" w:pos="4153"/>
        <w:tab w:val="clear" w:pos="8306"/>
      </w:tabs>
      <w:jc w:val="center"/>
      <w:rPr>
        <w:rFonts w:ascii="Cambria" w:hAnsi="Cambria"/>
      </w:rPr>
    </w:pPr>
    <w:r>
      <w:rPr>
        <w:rFonts w:hint="eastAsia" w:ascii="Cambria" w:hAnsi="Cambria"/>
      </w:rPr>
      <w:t>第</w:t>
    </w:r>
    <w:r>
      <w:rPr>
        <w:rFonts w:ascii="Cambria" w:hAnsi="Cambria"/>
      </w:rPr>
      <w:t xml:space="preserve"> </w:t>
    </w:r>
    <w:r>
      <w:rPr>
        <w:rFonts w:ascii="Calibri" w:hAnsi="Calibri"/>
      </w:rPr>
      <w:fldChar w:fldCharType="begin"/>
    </w:r>
    <w:r>
      <w:instrText xml:space="preserve"> PAGE   \* MERGEFORMAT </w:instrText>
    </w:r>
    <w:r>
      <w:rPr>
        <w:rFonts w:ascii="Calibri" w:hAnsi="Calibri"/>
      </w:rPr>
      <w:fldChar w:fldCharType="separate"/>
    </w:r>
    <w:r>
      <w:rPr>
        <w:rFonts w:ascii="Cambria" w:hAnsi="Cambria"/>
      </w:rPr>
      <w:t>8</w:t>
    </w:r>
    <w:r>
      <w:rPr>
        <w:rFonts w:ascii="Cambria" w:hAnsi="Cambria"/>
      </w:rPr>
      <w:fldChar w:fldCharType="end"/>
    </w:r>
    <w:r>
      <w:rPr>
        <w:rFonts w:hint="eastAsia" w:ascii="Cambria" w:hAnsi="Cambr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eastAsia"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rPr>
        <w:rFonts w:hint="eastAsia" w:ascii="仿宋_GB2312" w:hAnsi="仿宋"/>
        <w:b w:val="0"/>
        <w:color w:val="00000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rPr>
      <w:drawing>
        <wp:anchor distT="0" distB="0" distL="114300" distR="114300" simplePos="0" relativeHeight="251660288" behindDoc="0" locked="0" layoutInCell="1" allowOverlap="1">
          <wp:simplePos x="0" y="0"/>
          <wp:positionH relativeFrom="column">
            <wp:posOffset>-133350</wp:posOffset>
          </wp:positionH>
          <wp:positionV relativeFrom="paragraph">
            <wp:posOffset>-121285</wp:posOffset>
          </wp:positionV>
          <wp:extent cx="1257300" cy="438150"/>
          <wp:effectExtent l="0" t="0" r="0" b="0"/>
          <wp:wrapNone/>
          <wp:docPr id="25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6"/>
                  <pic:cNvPicPr>
                    <a:picLocks noChangeAspect="1"/>
                  </pic:cNvPicPr>
                </pic:nvPicPr>
                <pic:blipFill>
                  <a:blip r:embed="rId1"/>
                  <a:stretch>
                    <a:fillRect/>
                  </a:stretch>
                </pic:blipFill>
                <pic:spPr>
                  <a:xfrm>
                    <a:off x="0" y="0"/>
                    <a:ext cx="1257300" cy="438150"/>
                  </a:xfrm>
                  <a:prstGeom prst="rect">
                    <a:avLst/>
                  </a:prstGeom>
                  <a:noFill/>
                  <a:ln>
                    <a:noFill/>
                  </a:ln>
                </pic:spPr>
              </pic:pic>
            </a:graphicData>
          </a:graphic>
        </wp:anchor>
      </w:drawing>
    </w:r>
    <w:r>
      <w:rPr>
        <w:rFonts w:hint="eastAsia"/>
      </w:rPr>
      <w:t>和布克塞尔蒙古自治县区域医疗卫生信息化平台规划建设方案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4E58"/>
    <w:multiLevelType w:val="singleLevel"/>
    <w:tmpl w:val="04174E58"/>
    <w:lvl w:ilvl="0" w:tentative="0">
      <w:start w:val="12"/>
      <w:numFmt w:val="decimal"/>
      <w:suff w:val="nothing"/>
      <w:lvlText w:val="%1、"/>
      <w:lvlJc w:val="left"/>
    </w:lvl>
  </w:abstractNum>
  <w:abstractNum w:abstractNumId="1">
    <w:nsid w:val="22583F99"/>
    <w:multiLevelType w:val="multilevel"/>
    <w:tmpl w:val="22583F9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81724EC"/>
    <w:multiLevelType w:val="multilevel"/>
    <w:tmpl w:val="281724E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D694DD9"/>
    <w:multiLevelType w:val="multilevel"/>
    <w:tmpl w:val="2D694DD9"/>
    <w:lvl w:ilvl="0" w:tentative="0">
      <w:start w:val="1"/>
      <w:numFmt w:val="decimal"/>
      <w:lvlText w:val="%1、"/>
      <w:lvlJc w:val="left"/>
      <w:pPr>
        <w:ind w:left="900" w:hanging="420"/>
      </w:pPr>
      <w:rPr>
        <w:rFonts w:hint="default" w:cs="Times New Roman"/>
      </w:rPr>
    </w:lvl>
    <w:lvl w:ilvl="1" w:tentative="0">
      <w:start w:val="1"/>
      <w:numFmt w:val="decimal"/>
      <w:lvlText w:val="（%2）"/>
      <w:lvlJc w:val="left"/>
      <w:pPr>
        <w:ind w:left="1620" w:hanging="720"/>
      </w:pPr>
      <w:rPr>
        <w:rFonts w:hint="eastAsia"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2EB169D3"/>
    <w:multiLevelType w:val="multilevel"/>
    <w:tmpl w:val="2EB169D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1BE19BD"/>
    <w:multiLevelType w:val="multilevel"/>
    <w:tmpl w:val="51BE19B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0C52"/>
    <w:rsid w:val="0000148D"/>
    <w:rsid w:val="00006737"/>
    <w:rsid w:val="000160EA"/>
    <w:rsid w:val="00020FBB"/>
    <w:rsid w:val="0002405E"/>
    <w:rsid w:val="00025FEF"/>
    <w:rsid w:val="0005548B"/>
    <w:rsid w:val="00064FD4"/>
    <w:rsid w:val="00074AA8"/>
    <w:rsid w:val="00075761"/>
    <w:rsid w:val="00081076"/>
    <w:rsid w:val="000B0EED"/>
    <w:rsid w:val="000B5CD0"/>
    <w:rsid w:val="000E5415"/>
    <w:rsid w:val="000F0429"/>
    <w:rsid w:val="0015176A"/>
    <w:rsid w:val="00154503"/>
    <w:rsid w:val="00165F76"/>
    <w:rsid w:val="00187894"/>
    <w:rsid w:val="001A73AF"/>
    <w:rsid w:val="001E6A42"/>
    <w:rsid w:val="001F6D9E"/>
    <w:rsid w:val="00201872"/>
    <w:rsid w:val="002147AF"/>
    <w:rsid w:val="00227CDE"/>
    <w:rsid w:val="00243338"/>
    <w:rsid w:val="00244541"/>
    <w:rsid w:val="00267EF7"/>
    <w:rsid w:val="00271239"/>
    <w:rsid w:val="002A063D"/>
    <w:rsid w:val="002A75BF"/>
    <w:rsid w:val="002C0E15"/>
    <w:rsid w:val="003365DD"/>
    <w:rsid w:val="00345623"/>
    <w:rsid w:val="00393F13"/>
    <w:rsid w:val="00394FF1"/>
    <w:rsid w:val="003A2943"/>
    <w:rsid w:val="003A31C0"/>
    <w:rsid w:val="003B3816"/>
    <w:rsid w:val="003F4A89"/>
    <w:rsid w:val="0040336D"/>
    <w:rsid w:val="004056EA"/>
    <w:rsid w:val="00472AE5"/>
    <w:rsid w:val="004732FF"/>
    <w:rsid w:val="004750DA"/>
    <w:rsid w:val="004911A2"/>
    <w:rsid w:val="0049170B"/>
    <w:rsid w:val="0049228F"/>
    <w:rsid w:val="004927F7"/>
    <w:rsid w:val="004A2CBE"/>
    <w:rsid w:val="004B172F"/>
    <w:rsid w:val="004C4773"/>
    <w:rsid w:val="004D6A54"/>
    <w:rsid w:val="004E37BE"/>
    <w:rsid w:val="00505724"/>
    <w:rsid w:val="00505F92"/>
    <w:rsid w:val="00532533"/>
    <w:rsid w:val="00535892"/>
    <w:rsid w:val="0053747F"/>
    <w:rsid w:val="00551A4A"/>
    <w:rsid w:val="00554235"/>
    <w:rsid w:val="005551C5"/>
    <w:rsid w:val="00563962"/>
    <w:rsid w:val="0056548B"/>
    <w:rsid w:val="00567701"/>
    <w:rsid w:val="00586247"/>
    <w:rsid w:val="00593ECD"/>
    <w:rsid w:val="00596CBD"/>
    <w:rsid w:val="005B51C3"/>
    <w:rsid w:val="005C70A4"/>
    <w:rsid w:val="005D1B1B"/>
    <w:rsid w:val="00616111"/>
    <w:rsid w:val="006236AD"/>
    <w:rsid w:val="00635D1C"/>
    <w:rsid w:val="00660919"/>
    <w:rsid w:val="00661B22"/>
    <w:rsid w:val="00664983"/>
    <w:rsid w:val="00681681"/>
    <w:rsid w:val="0068582E"/>
    <w:rsid w:val="006E417A"/>
    <w:rsid w:val="006E5B4F"/>
    <w:rsid w:val="00710488"/>
    <w:rsid w:val="00742FA5"/>
    <w:rsid w:val="00750974"/>
    <w:rsid w:val="00757771"/>
    <w:rsid w:val="00764066"/>
    <w:rsid w:val="00783489"/>
    <w:rsid w:val="007A225A"/>
    <w:rsid w:val="007A3E56"/>
    <w:rsid w:val="007D7837"/>
    <w:rsid w:val="007F433A"/>
    <w:rsid w:val="0080467C"/>
    <w:rsid w:val="00831DB8"/>
    <w:rsid w:val="00846CD2"/>
    <w:rsid w:val="00853394"/>
    <w:rsid w:val="00853E72"/>
    <w:rsid w:val="00862C79"/>
    <w:rsid w:val="0086405F"/>
    <w:rsid w:val="00866920"/>
    <w:rsid w:val="008714F0"/>
    <w:rsid w:val="00877075"/>
    <w:rsid w:val="008D751B"/>
    <w:rsid w:val="008F43CF"/>
    <w:rsid w:val="00902B57"/>
    <w:rsid w:val="00906E02"/>
    <w:rsid w:val="00910412"/>
    <w:rsid w:val="00921CCC"/>
    <w:rsid w:val="00940C9B"/>
    <w:rsid w:val="009807B1"/>
    <w:rsid w:val="00997DE0"/>
    <w:rsid w:val="009A4273"/>
    <w:rsid w:val="009C46E3"/>
    <w:rsid w:val="009D0149"/>
    <w:rsid w:val="009D1986"/>
    <w:rsid w:val="009E001D"/>
    <w:rsid w:val="00A35D47"/>
    <w:rsid w:val="00A432E4"/>
    <w:rsid w:val="00A43566"/>
    <w:rsid w:val="00A435A9"/>
    <w:rsid w:val="00A4685D"/>
    <w:rsid w:val="00A71D67"/>
    <w:rsid w:val="00A95102"/>
    <w:rsid w:val="00AB71F2"/>
    <w:rsid w:val="00AE1502"/>
    <w:rsid w:val="00B050FF"/>
    <w:rsid w:val="00B10F5D"/>
    <w:rsid w:val="00B42A2F"/>
    <w:rsid w:val="00B52615"/>
    <w:rsid w:val="00B92D9D"/>
    <w:rsid w:val="00B95674"/>
    <w:rsid w:val="00B960A8"/>
    <w:rsid w:val="00BB39BD"/>
    <w:rsid w:val="00BB3F95"/>
    <w:rsid w:val="00BC13C1"/>
    <w:rsid w:val="00BC28A3"/>
    <w:rsid w:val="00BF68B9"/>
    <w:rsid w:val="00C040B0"/>
    <w:rsid w:val="00C22CB6"/>
    <w:rsid w:val="00C55349"/>
    <w:rsid w:val="00C5569D"/>
    <w:rsid w:val="00C81536"/>
    <w:rsid w:val="00C87496"/>
    <w:rsid w:val="00C9464D"/>
    <w:rsid w:val="00CA1A4B"/>
    <w:rsid w:val="00CA394B"/>
    <w:rsid w:val="00D2274E"/>
    <w:rsid w:val="00D3410B"/>
    <w:rsid w:val="00D53FB8"/>
    <w:rsid w:val="00D67734"/>
    <w:rsid w:val="00D76B85"/>
    <w:rsid w:val="00D9107C"/>
    <w:rsid w:val="00D970BA"/>
    <w:rsid w:val="00DA5713"/>
    <w:rsid w:val="00DA687F"/>
    <w:rsid w:val="00DB7798"/>
    <w:rsid w:val="00DC32E2"/>
    <w:rsid w:val="00DD6732"/>
    <w:rsid w:val="00DE17BD"/>
    <w:rsid w:val="00DE6C6A"/>
    <w:rsid w:val="00E0089C"/>
    <w:rsid w:val="00E1192B"/>
    <w:rsid w:val="00E228DE"/>
    <w:rsid w:val="00E40560"/>
    <w:rsid w:val="00E45AC8"/>
    <w:rsid w:val="00E46C55"/>
    <w:rsid w:val="00E5399F"/>
    <w:rsid w:val="00E54716"/>
    <w:rsid w:val="00E80F8C"/>
    <w:rsid w:val="00E85A38"/>
    <w:rsid w:val="00EA480E"/>
    <w:rsid w:val="00EB0FB5"/>
    <w:rsid w:val="00EC68FA"/>
    <w:rsid w:val="00EE0B35"/>
    <w:rsid w:val="00F349B6"/>
    <w:rsid w:val="00F52FBB"/>
    <w:rsid w:val="00F53851"/>
    <w:rsid w:val="00F638F2"/>
    <w:rsid w:val="00F67FD0"/>
    <w:rsid w:val="00F91C9C"/>
    <w:rsid w:val="00FA27FC"/>
    <w:rsid w:val="00FA41FD"/>
    <w:rsid w:val="00FC2F81"/>
    <w:rsid w:val="00FD063F"/>
    <w:rsid w:val="014C4A0B"/>
    <w:rsid w:val="01784D4D"/>
    <w:rsid w:val="034C63E0"/>
    <w:rsid w:val="03AE5448"/>
    <w:rsid w:val="044930E8"/>
    <w:rsid w:val="0457371B"/>
    <w:rsid w:val="0473644B"/>
    <w:rsid w:val="04F25C61"/>
    <w:rsid w:val="062F5B36"/>
    <w:rsid w:val="06DA5ECF"/>
    <w:rsid w:val="070E347A"/>
    <w:rsid w:val="072464AC"/>
    <w:rsid w:val="075B653C"/>
    <w:rsid w:val="07D40E0F"/>
    <w:rsid w:val="09CF5931"/>
    <w:rsid w:val="0A2C37A9"/>
    <w:rsid w:val="0A93371B"/>
    <w:rsid w:val="0AA17915"/>
    <w:rsid w:val="0B341E7D"/>
    <w:rsid w:val="0B7849E6"/>
    <w:rsid w:val="0C48660B"/>
    <w:rsid w:val="0C7F0C52"/>
    <w:rsid w:val="0C9040AE"/>
    <w:rsid w:val="0D895336"/>
    <w:rsid w:val="0E53039D"/>
    <w:rsid w:val="0EAF3183"/>
    <w:rsid w:val="0EF12AE6"/>
    <w:rsid w:val="103467C4"/>
    <w:rsid w:val="106226C4"/>
    <w:rsid w:val="115D26B4"/>
    <w:rsid w:val="11C82ED7"/>
    <w:rsid w:val="11FE5CFF"/>
    <w:rsid w:val="126D3161"/>
    <w:rsid w:val="128F3BE8"/>
    <w:rsid w:val="12DC585B"/>
    <w:rsid w:val="1342784D"/>
    <w:rsid w:val="138275B2"/>
    <w:rsid w:val="139D4BA3"/>
    <w:rsid w:val="1405766B"/>
    <w:rsid w:val="14161CAA"/>
    <w:rsid w:val="14704894"/>
    <w:rsid w:val="14F965FA"/>
    <w:rsid w:val="151E44EA"/>
    <w:rsid w:val="15251E74"/>
    <w:rsid w:val="152F7EF2"/>
    <w:rsid w:val="15E16690"/>
    <w:rsid w:val="165D37A2"/>
    <w:rsid w:val="166F6EF9"/>
    <w:rsid w:val="1693627F"/>
    <w:rsid w:val="1752114D"/>
    <w:rsid w:val="177F5156"/>
    <w:rsid w:val="17AE6DC0"/>
    <w:rsid w:val="18496006"/>
    <w:rsid w:val="18EE4D7F"/>
    <w:rsid w:val="191E07B4"/>
    <w:rsid w:val="193777F2"/>
    <w:rsid w:val="1948558E"/>
    <w:rsid w:val="19880C61"/>
    <w:rsid w:val="1A5373B8"/>
    <w:rsid w:val="1A965894"/>
    <w:rsid w:val="1B59399B"/>
    <w:rsid w:val="1B792D4C"/>
    <w:rsid w:val="1B7A109B"/>
    <w:rsid w:val="1DAD2F8B"/>
    <w:rsid w:val="1E6551C3"/>
    <w:rsid w:val="1E9B2A6E"/>
    <w:rsid w:val="1EF450F5"/>
    <w:rsid w:val="1F490DE1"/>
    <w:rsid w:val="1F804E75"/>
    <w:rsid w:val="20166FCD"/>
    <w:rsid w:val="20287438"/>
    <w:rsid w:val="20500685"/>
    <w:rsid w:val="209B7630"/>
    <w:rsid w:val="20C5502D"/>
    <w:rsid w:val="20F70C10"/>
    <w:rsid w:val="22261005"/>
    <w:rsid w:val="22944A0B"/>
    <w:rsid w:val="229B025A"/>
    <w:rsid w:val="22D24FA7"/>
    <w:rsid w:val="23087227"/>
    <w:rsid w:val="23FE621D"/>
    <w:rsid w:val="24156532"/>
    <w:rsid w:val="255A571A"/>
    <w:rsid w:val="25CB2012"/>
    <w:rsid w:val="267D19C1"/>
    <w:rsid w:val="26966190"/>
    <w:rsid w:val="26C4297C"/>
    <w:rsid w:val="26EA32C9"/>
    <w:rsid w:val="27202A0F"/>
    <w:rsid w:val="276404A6"/>
    <w:rsid w:val="27C40223"/>
    <w:rsid w:val="283F5662"/>
    <w:rsid w:val="29180F1B"/>
    <w:rsid w:val="297563D4"/>
    <w:rsid w:val="29BB2D22"/>
    <w:rsid w:val="29ED4BA5"/>
    <w:rsid w:val="2A0D3C3D"/>
    <w:rsid w:val="2A31645D"/>
    <w:rsid w:val="2AD00736"/>
    <w:rsid w:val="2AEF4E84"/>
    <w:rsid w:val="2B2713D8"/>
    <w:rsid w:val="2B946428"/>
    <w:rsid w:val="2BA342AA"/>
    <w:rsid w:val="2BC72275"/>
    <w:rsid w:val="2C3D019A"/>
    <w:rsid w:val="2CEB78FC"/>
    <w:rsid w:val="2D1B79F5"/>
    <w:rsid w:val="2DEA3057"/>
    <w:rsid w:val="2EC14EAA"/>
    <w:rsid w:val="2EED2B6F"/>
    <w:rsid w:val="2F182E11"/>
    <w:rsid w:val="2F1C7C53"/>
    <w:rsid w:val="2F785EBC"/>
    <w:rsid w:val="2FB866FB"/>
    <w:rsid w:val="2FBA79E5"/>
    <w:rsid w:val="30333E31"/>
    <w:rsid w:val="30397FDC"/>
    <w:rsid w:val="30CC7007"/>
    <w:rsid w:val="30E40C59"/>
    <w:rsid w:val="31246E25"/>
    <w:rsid w:val="31271528"/>
    <w:rsid w:val="32886D67"/>
    <w:rsid w:val="32991104"/>
    <w:rsid w:val="32C35DE7"/>
    <w:rsid w:val="32F60A61"/>
    <w:rsid w:val="336653E2"/>
    <w:rsid w:val="33721B98"/>
    <w:rsid w:val="338E3E5C"/>
    <w:rsid w:val="339F6558"/>
    <w:rsid w:val="33C309D4"/>
    <w:rsid w:val="33EC6330"/>
    <w:rsid w:val="34386674"/>
    <w:rsid w:val="349B2740"/>
    <w:rsid w:val="350C1045"/>
    <w:rsid w:val="35420304"/>
    <w:rsid w:val="35A93FCE"/>
    <w:rsid w:val="362A0508"/>
    <w:rsid w:val="363E5B63"/>
    <w:rsid w:val="365C0EC3"/>
    <w:rsid w:val="3668183D"/>
    <w:rsid w:val="36682A4C"/>
    <w:rsid w:val="367A43F3"/>
    <w:rsid w:val="368E1380"/>
    <w:rsid w:val="36C06138"/>
    <w:rsid w:val="395A44A6"/>
    <w:rsid w:val="39D66C24"/>
    <w:rsid w:val="39D92594"/>
    <w:rsid w:val="3A2E5C02"/>
    <w:rsid w:val="3B1B55C8"/>
    <w:rsid w:val="3C1F4887"/>
    <w:rsid w:val="3C236125"/>
    <w:rsid w:val="3C9446FC"/>
    <w:rsid w:val="3CBC2AB4"/>
    <w:rsid w:val="3D1F7846"/>
    <w:rsid w:val="3D526A3C"/>
    <w:rsid w:val="3D897EB3"/>
    <w:rsid w:val="3DAB7E5F"/>
    <w:rsid w:val="3E412892"/>
    <w:rsid w:val="3F3D7AA4"/>
    <w:rsid w:val="3F793158"/>
    <w:rsid w:val="40F67A6D"/>
    <w:rsid w:val="41F90398"/>
    <w:rsid w:val="43B27D8E"/>
    <w:rsid w:val="43F43D65"/>
    <w:rsid w:val="446175AE"/>
    <w:rsid w:val="449F47B6"/>
    <w:rsid w:val="45645662"/>
    <w:rsid w:val="45BA627A"/>
    <w:rsid w:val="460C4037"/>
    <w:rsid w:val="460F16F1"/>
    <w:rsid w:val="46377010"/>
    <w:rsid w:val="467F3C97"/>
    <w:rsid w:val="46BD2F51"/>
    <w:rsid w:val="46BD7176"/>
    <w:rsid w:val="46C61E36"/>
    <w:rsid w:val="471A7053"/>
    <w:rsid w:val="47940517"/>
    <w:rsid w:val="47DC6013"/>
    <w:rsid w:val="4849578C"/>
    <w:rsid w:val="48D52555"/>
    <w:rsid w:val="4A113A92"/>
    <w:rsid w:val="4A3434BE"/>
    <w:rsid w:val="4AA92577"/>
    <w:rsid w:val="4AF13892"/>
    <w:rsid w:val="4D8508F4"/>
    <w:rsid w:val="4DB840B3"/>
    <w:rsid w:val="4E0A70DD"/>
    <w:rsid w:val="4E6E4D83"/>
    <w:rsid w:val="4E7965FC"/>
    <w:rsid w:val="4EBD37DA"/>
    <w:rsid w:val="4F014B7C"/>
    <w:rsid w:val="4F0F1A1F"/>
    <w:rsid w:val="4FDB3DC2"/>
    <w:rsid w:val="4FF0573A"/>
    <w:rsid w:val="502A0DDB"/>
    <w:rsid w:val="50D22EE7"/>
    <w:rsid w:val="51A06798"/>
    <w:rsid w:val="52966256"/>
    <w:rsid w:val="52DE17C3"/>
    <w:rsid w:val="53033D3B"/>
    <w:rsid w:val="533D665C"/>
    <w:rsid w:val="53BB403F"/>
    <w:rsid w:val="554C0D69"/>
    <w:rsid w:val="55B24CE5"/>
    <w:rsid w:val="585D4AA2"/>
    <w:rsid w:val="59C54BB7"/>
    <w:rsid w:val="59F95D3F"/>
    <w:rsid w:val="5A666C3F"/>
    <w:rsid w:val="5A9539F9"/>
    <w:rsid w:val="5AD4651E"/>
    <w:rsid w:val="5BDB0AF8"/>
    <w:rsid w:val="5C1504C3"/>
    <w:rsid w:val="5C7F5D98"/>
    <w:rsid w:val="5CA76BF4"/>
    <w:rsid w:val="5CE812D7"/>
    <w:rsid w:val="5DED2FC0"/>
    <w:rsid w:val="5E2A2ECA"/>
    <w:rsid w:val="5E8312D0"/>
    <w:rsid w:val="5EFF1C82"/>
    <w:rsid w:val="60CF737B"/>
    <w:rsid w:val="60D26A2D"/>
    <w:rsid w:val="613E2A61"/>
    <w:rsid w:val="61851E16"/>
    <w:rsid w:val="618C5267"/>
    <w:rsid w:val="623A3258"/>
    <w:rsid w:val="62FE1109"/>
    <w:rsid w:val="63CF15B8"/>
    <w:rsid w:val="650D4E5C"/>
    <w:rsid w:val="650E46B5"/>
    <w:rsid w:val="65243262"/>
    <w:rsid w:val="65B004F1"/>
    <w:rsid w:val="67AC7F59"/>
    <w:rsid w:val="67BE16F4"/>
    <w:rsid w:val="68D95311"/>
    <w:rsid w:val="692935A3"/>
    <w:rsid w:val="696E442D"/>
    <w:rsid w:val="6A1E7999"/>
    <w:rsid w:val="6AD077C6"/>
    <w:rsid w:val="6B2D5DC9"/>
    <w:rsid w:val="6C177BBC"/>
    <w:rsid w:val="6D1148EA"/>
    <w:rsid w:val="6E264194"/>
    <w:rsid w:val="6E7F2165"/>
    <w:rsid w:val="6EDB5D4F"/>
    <w:rsid w:val="6F320051"/>
    <w:rsid w:val="6F424376"/>
    <w:rsid w:val="6FE51C41"/>
    <w:rsid w:val="70716035"/>
    <w:rsid w:val="70B97280"/>
    <w:rsid w:val="71C01308"/>
    <w:rsid w:val="73063866"/>
    <w:rsid w:val="745E6C01"/>
    <w:rsid w:val="74D923B0"/>
    <w:rsid w:val="75C7545B"/>
    <w:rsid w:val="75FB299D"/>
    <w:rsid w:val="763021DF"/>
    <w:rsid w:val="77263892"/>
    <w:rsid w:val="7729743F"/>
    <w:rsid w:val="77A52A08"/>
    <w:rsid w:val="78046621"/>
    <w:rsid w:val="78CE2E36"/>
    <w:rsid w:val="78F83A42"/>
    <w:rsid w:val="796C769A"/>
    <w:rsid w:val="79D52690"/>
    <w:rsid w:val="79F527DF"/>
    <w:rsid w:val="7AE755C6"/>
    <w:rsid w:val="7B3017AC"/>
    <w:rsid w:val="7B3950AF"/>
    <w:rsid w:val="7B52629B"/>
    <w:rsid w:val="7C11382C"/>
    <w:rsid w:val="7C845629"/>
    <w:rsid w:val="7CC668AD"/>
    <w:rsid w:val="7D99791D"/>
    <w:rsid w:val="7DA3093C"/>
    <w:rsid w:val="7E7D0F83"/>
    <w:rsid w:val="7F426707"/>
    <w:rsid w:val="7FD4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8"/>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35"/>
    <w:unhideWhenUsed/>
    <w:qFormat/>
    <w:uiPriority w:val="0"/>
    <w:pPr>
      <w:keepNext/>
      <w:keepLines/>
      <w:spacing w:line="360" w:lineRule="auto"/>
      <w:outlineLvl w:val="1"/>
    </w:pPr>
    <w:rPr>
      <w:rFonts w:asciiTheme="majorHAnsi" w:hAnsiTheme="majorHAnsi" w:eastAsiaTheme="majorEastAsia" w:cstheme="majorBidi"/>
      <w:bCs/>
      <w:sz w:val="28"/>
      <w:szCs w:val="32"/>
    </w:rPr>
  </w:style>
  <w:style w:type="paragraph" w:styleId="5">
    <w:name w:val="heading 3"/>
    <w:basedOn w:val="1"/>
    <w:next w:val="1"/>
    <w:link w:val="79"/>
    <w:qFormat/>
    <w:uiPriority w:val="0"/>
    <w:pPr>
      <w:keepNext/>
      <w:keepLines/>
      <w:spacing w:before="260" w:after="260" w:line="415" w:lineRule="auto"/>
      <w:outlineLvl w:val="2"/>
    </w:pPr>
    <w:rPr>
      <w:rFonts w:ascii="Times New Roman" w:hAnsi="Times New Roman" w:eastAsia="宋体" w:cs="Times New Roman"/>
      <w:b/>
      <w:sz w:val="32"/>
      <w:szCs w:val="20"/>
    </w:rPr>
  </w:style>
  <w:style w:type="paragraph" w:styleId="6">
    <w:name w:val="heading 4"/>
    <w:basedOn w:val="1"/>
    <w:next w:val="1"/>
    <w:unhideWhenUsed/>
    <w:qFormat/>
    <w:uiPriority w:val="0"/>
    <w:pPr>
      <w:ind w:left="681"/>
      <w:outlineLvl w:val="3"/>
    </w:pPr>
    <w:rPr>
      <w:rFonts w:hint="eastAsia" w:ascii="宋体" w:hAnsi="宋体" w:eastAsia="宋体"/>
      <w:b/>
      <w:sz w:val="28"/>
    </w:rPr>
  </w:style>
  <w:style w:type="paragraph" w:styleId="7">
    <w:name w:val="heading 5"/>
    <w:basedOn w:val="1"/>
    <w:next w:val="1"/>
    <w:qFormat/>
    <w:uiPriority w:val="0"/>
    <w:pPr>
      <w:keepNext/>
      <w:adjustRightInd w:val="0"/>
      <w:snapToGrid w:val="0"/>
      <w:outlineLvl w:val="4"/>
    </w:pPr>
    <w:rPr>
      <w:rFonts w:ascii="宋体" w:hAnsi="宋体"/>
      <w:kern w:val="0"/>
      <w:sz w:val="28"/>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8">
    <w:name w:val="Normal Indent"/>
    <w:basedOn w:val="1"/>
    <w:qFormat/>
    <w:uiPriority w:val="0"/>
    <w:pPr>
      <w:ind w:firstLine="420"/>
    </w:pPr>
    <w:rPr>
      <w:szCs w:val="20"/>
    </w:rPr>
  </w:style>
  <w:style w:type="paragraph" w:styleId="9">
    <w:name w:val="index 5"/>
    <w:basedOn w:val="1"/>
    <w:next w:val="1"/>
    <w:qFormat/>
    <w:uiPriority w:val="0"/>
    <w:pPr>
      <w:ind w:left="1680"/>
    </w:pPr>
    <w:rPr>
      <w:rFonts w:ascii="Times New Roman" w:hAnsi="Times New Roman" w:eastAsia="宋体" w:cs="Times New Roman"/>
      <w:szCs w:val="20"/>
    </w:rPr>
  </w:style>
  <w:style w:type="paragraph" w:styleId="10">
    <w:name w:val="toa heading"/>
    <w:basedOn w:val="1"/>
    <w:next w:val="1"/>
    <w:semiHidden/>
    <w:unhideWhenUsed/>
    <w:qFormat/>
    <w:uiPriority w:val="99"/>
    <w:pPr>
      <w:spacing w:before="120"/>
    </w:pPr>
    <w:rPr>
      <w:rFonts w:asciiTheme="majorHAnsi" w:hAnsiTheme="majorHAnsi" w:cstheme="majorBidi"/>
      <w:sz w:val="24"/>
    </w:rPr>
  </w:style>
  <w:style w:type="paragraph" w:styleId="11">
    <w:name w:val="Body Text"/>
    <w:basedOn w:val="1"/>
    <w:next w:val="12"/>
    <w:qFormat/>
    <w:uiPriority w:val="0"/>
    <w:pPr>
      <w:ind w:left="120"/>
    </w:pPr>
    <w:rPr>
      <w:rFonts w:hint="eastAsia" w:ascii="宋体" w:hAnsi="宋体" w:eastAsia="宋体"/>
      <w:sz w:val="28"/>
    </w:r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Body Text Indent"/>
    <w:basedOn w:val="1"/>
    <w:qFormat/>
    <w:uiPriority w:val="0"/>
    <w:pPr>
      <w:ind w:firstLine="720" w:firstLineChars="225"/>
    </w:pPr>
    <w:rPr>
      <w:rFonts w:ascii="仿宋_GB2312" w:eastAsia="仿宋_GB2312"/>
      <w:sz w:val="32"/>
    </w:r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spacing w:line="540" w:lineRule="exact"/>
      <w:ind w:firstLine="720" w:firstLineChars="225"/>
      <w:jc w:val="left"/>
    </w:pPr>
    <w:rPr>
      <w:rFonts w:ascii="仿宋_GB2312" w:eastAsia="仿宋_GB2312"/>
      <w:sz w:val="32"/>
    </w:rPr>
  </w:style>
  <w:style w:type="paragraph" w:styleId="16">
    <w:name w:val="Balloon Text"/>
    <w:basedOn w:val="1"/>
    <w:link w:val="36"/>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rPr>
  </w:style>
  <w:style w:type="paragraph" w:styleId="21">
    <w:name w:val="Body Text Indent 3"/>
    <w:basedOn w:val="1"/>
    <w:qFormat/>
    <w:uiPriority w:val="0"/>
    <w:pPr>
      <w:ind w:left="471" w:hanging="471" w:hangingChars="200"/>
    </w:pPr>
    <w:rPr>
      <w:rFonts w:ascii="Arial" w:hAnsi="Arial" w:cs="Arial"/>
      <w:b/>
      <w:bCs/>
      <w:sz w:val="24"/>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Autospacing="1" w:afterAutospacing="1"/>
      <w:jc w:val="left"/>
    </w:pPr>
    <w:rPr>
      <w:rFonts w:ascii="宋体" w:hAnsi="宋体" w:cs="宋体"/>
      <w:kern w:val="0"/>
      <w:sz w:val="24"/>
    </w:rPr>
  </w:style>
  <w:style w:type="paragraph" w:styleId="24">
    <w:name w:val="Body Text First Indent"/>
    <w:basedOn w:val="11"/>
    <w:qFormat/>
    <w:uiPriority w:val="0"/>
    <w:pPr>
      <w:spacing w:after="120" w:afterLines="0"/>
      <w:ind w:firstLine="420" w:firstLineChars="100"/>
      <w:jc w:val="both"/>
    </w:pPr>
    <w:rPr>
      <w:rFonts w:eastAsia="宋体"/>
      <w:sz w:val="21"/>
    </w:rPr>
  </w:style>
  <w:style w:type="paragraph" w:styleId="25">
    <w:name w:val="Body Text First Indent 2"/>
    <w:basedOn w:val="13"/>
    <w:qFormat/>
    <w:uiPriority w:val="99"/>
    <w:pPr>
      <w:spacing w:after="0"/>
      <w:ind w:left="0" w:leftChars="0" w:firstLine="200" w:firstLineChars="200"/>
    </w:pPr>
    <w:rPr>
      <w:sz w:val="28"/>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rPr>
      <w:rFonts w:eastAsia="宋体" w:cs="Times New Roman"/>
      <w:kern w:val="2"/>
      <w:sz w:val="24"/>
      <w:szCs w:val="24"/>
      <w:lang w:val="en-US" w:eastAsia="zh-CN" w:bidi="ar-SA"/>
    </w:rPr>
  </w:style>
  <w:style w:type="character" w:styleId="31">
    <w:name w:val="FollowedHyperlink"/>
    <w:basedOn w:val="28"/>
    <w:unhideWhenUsed/>
    <w:qFormat/>
    <w:uiPriority w:val="99"/>
    <w:rPr>
      <w:color w:val="800080"/>
      <w:u w:val="single"/>
    </w:rPr>
  </w:style>
  <w:style w:type="character" w:styleId="32">
    <w:name w:val="Hyperlink"/>
    <w:basedOn w:val="28"/>
    <w:unhideWhenUsed/>
    <w:qFormat/>
    <w:uiPriority w:val="99"/>
    <w:rPr>
      <w:color w:val="0000FF"/>
      <w:u w:val="single"/>
    </w:rPr>
  </w:style>
  <w:style w:type="character" w:styleId="33">
    <w:name w:val="annotation reference"/>
    <w:basedOn w:val="28"/>
    <w:qFormat/>
    <w:uiPriority w:val="0"/>
    <w:rPr>
      <w:rFonts w:eastAsia="宋体"/>
      <w:sz w:val="21"/>
      <w:szCs w:val="21"/>
      <w:lang w:val="en-US" w:eastAsia="zh-CN" w:bidi="ar-SA"/>
    </w:rPr>
  </w:style>
  <w:style w:type="character" w:styleId="34">
    <w:name w:val="HTML Sample"/>
    <w:basedOn w:val="28"/>
    <w:semiHidden/>
    <w:unhideWhenUsed/>
    <w:qFormat/>
    <w:uiPriority w:val="0"/>
    <w:rPr>
      <w:rFonts w:ascii="Courier New" w:hAnsi="Courier New"/>
    </w:rPr>
  </w:style>
  <w:style w:type="character" w:customStyle="1" w:styleId="35">
    <w:name w:val="标题 2 Char"/>
    <w:basedOn w:val="28"/>
    <w:link w:val="4"/>
    <w:qFormat/>
    <w:uiPriority w:val="0"/>
    <w:rPr>
      <w:rFonts w:asciiTheme="majorHAnsi" w:hAnsiTheme="majorHAnsi" w:eastAsiaTheme="majorEastAsia" w:cstheme="majorBidi"/>
      <w:b/>
      <w:bCs/>
      <w:sz w:val="28"/>
      <w:szCs w:val="32"/>
    </w:rPr>
  </w:style>
  <w:style w:type="character" w:customStyle="1" w:styleId="36">
    <w:name w:val="批注框文本 Char"/>
    <w:basedOn w:val="28"/>
    <w:link w:val="16"/>
    <w:qFormat/>
    <w:uiPriority w:val="0"/>
    <w:rPr>
      <w:kern w:val="2"/>
      <w:sz w:val="18"/>
      <w:szCs w:val="18"/>
    </w:rPr>
  </w:style>
  <w:style w:type="paragraph" w:customStyle="1" w:styleId="37">
    <w:name w:val="Bid_正文"/>
    <w:basedOn w:val="8"/>
    <w:qFormat/>
    <w:uiPriority w:val="0"/>
    <w:pPr>
      <w:spacing w:afterLines="50" w:line="360" w:lineRule="auto"/>
      <w:ind w:firstLine="480" w:firstLineChars="200"/>
    </w:pPr>
    <w:rPr>
      <w:sz w:val="24"/>
    </w:rPr>
  </w:style>
  <w:style w:type="paragraph" w:customStyle="1" w:styleId="38">
    <w:name w:val="_Style 9"/>
    <w:basedOn w:val="1"/>
    <w:qFormat/>
    <w:uiPriority w:val="0"/>
    <w:pPr>
      <w:ind w:firstLine="420" w:firstLineChars="200"/>
    </w:pPr>
  </w:style>
  <w:style w:type="paragraph" w:customStyle="1" w:styleId="39">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0">
    <w:name w:val="font01"/>
    <w:basedOn w:val="28"/>
    <w:qFormat/>
    <w:uiPriority w:val="0"/>
    <w:rPr>
      <w:rFonts w:ascii="Calibri" w:hAnsi="Calibri" w:cs="Calibri"/>
      <w:color w:val="000000"/>
      <w:sz w:val="18"/>
      <w:szCs w:val="18"/>
      <w:u w:val="none"/>
    </w:rPr>
  </w:style>
  <w:style w:type="character" w:customStyle="1" w:styleId="41">
    <w:name w:val="font11"/>
    <w:basedOn w:val="28"/>
    <w:qFormat/>
    <w:uiPriority w:val="0"/>
    <w:rPr>
      <w:rFonts w:hint="eastAsia" w:ascii="宋体" w:hAnsi="宋体" w:eastAsia="宋体" w:cs="宋体"/>
      <w:color w:val="000000"/>
      <w:sz w:val="18"/>
      <w:szCs w:val="18"/>
      <w:u w:val="none"/>
    </w:rPr>
  </w:style>
  <w:style w:type="paragraph" w:customStyle="1" w:styleId="42">
    <w:name w:val="Table Paragraph"/>
    <w:basedOn w:val="1"/>
    <w:unhideWhenUsed/>
    <w:qFormat/>
    <w:uiPriority w:val="1"/>
    <w:rPr>
      <w:sz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333333"/>
      <w:kern w:val="0"/>
      <w:sz w:val="20"/>
      <w:szCs w:val="20"/>
    </w:rPr>
  </w:style>
  <w:style w:type="paragraph" w:customStyle="1" w:styleId="5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6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color w:val="000000"/>
      <w:kern w:val="0"/>
      <w:sz w:val="20"/>
      <w:szCs w:val="20"/>
    </w:rPr>
  </w:style>
  <w:style w:type="paragraph" w:customStyle="1" w:styleId="6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6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6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color w:val="000000"/>
      <w:kern w:val="0"/>
      <w:sz w:val="20"/>
      <w:szCs w:val="20"/>
    </w:rPr>
  </w:style>
  <w:style w:type="paragraph" w:customStyle="1" w:styleId="6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6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color w:val="333333"/>
      <w:kern w:val="0"/>
      <w:sz w:val="20"/>
      <w:szCs w:val="20"/>
    </w:rPr>
  </w:style>
  <w:style w:type="paragraph" w:customStyle="1" w:styleId="6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9">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7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2">
    <w:name w:val="xl1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3">
    <w:name w:val="xl14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4">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
    <w:name w:val="xl14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styleId="77">
    <w:name w:val="List Paragraph"/>
    <w:basedOn w:val="1"/>
    <w:unhideWhenUsed/>
    <w:qFormat/>
    <w:uiPriority w:val="34"/>
    <w:pPr>
      <w:ind w:firstLine="420" w:firstLineChars="200"/>
    </w:pPr>
  </w:style>
  <w:style w:type="character" w:customStyle="1" w:styleId="78">
    <w:name w:val="标题 1 Char"/>
    <w:basedOn w:val="28"/>
    <w:link w:val="3"/>
    <w:qFormat/>
    <w:uiPriority w:val="0"/>
    <w:rPr>
      <w:rFonts w:ascii="Times New Roman" w:hAnsi="Times New Roman" w:eastAsia="宋体" w:cs="Times New Roman"/>
      <w:b/>
      <w:kern w:val="44"/>
      <w:sz w:val="44"/>
    </w:rPr>
  </w:style>
  <w:style w:type="character" w:customStyle="1" w:styleId="79">
    <w:name w:val="标题 3 Char"/>
    <w:basedOn w:val="28"/>
    <w:link w:val="5"/>
    <w:qFormat/>
    <w:uiPriority w:val="0"/>
    <w:rPr>
      <w:rFonts w:ascii="Times New Roman" w:hAnsi="Times New Roman" w:eastAsia="宋体" w:cs="Times New Roman"/>
      <w:b/>
      <w:kern w:val="2"/>
      <w:sz w:val="32"/>
    </w:rPr>
  </w:style>
  <w:style w:type="paragraph" w:customStyle="1" w:styleId="80">
    <w:name w:val="列出段落1"/>
    <w:next w:val="9"/>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81">
    <w:name w:val="列出段落2"/>
    <w:next w:val="80"/>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82">
    <w:name w:val="无间隔1"/>
    <w:next w:val="80"/>
    <w:qFormat/>
    <w:uiPriority w:val="0"/>
    <w:rPr>
      <w:rFonts w:ascii="Calibri" w:hAnsi="Calibri" w:eastAsia="宋体" w:cs="Times New Roman"/>
      <w:sz w:val="22"/>
      <w:lang w:val="en-US" w:eastAsia="en-US" w:bidi="en-US"/>
    </w:rPr>
  </w:style>
  <w:style w:type="paragraph" w:customStyle="1" w:styleId="83">
    <w:name w:val="中等深浅底纹 1 - 着色 11"/>
    <w:next w:val="17"/>
    <w:qFormat/>
    <w:uiPriority w:val="0"/>
    <w:rPr>
      <w:rFonts w:ascii="Calibri" w:hAnsi="Calibri" w:eastAsia="宋体" w:cs="Times New Roman"/>
      <w:sz w:val="22"/>
      <w:szCs w:val="22"/>
      <w:lang w:val="en-US" w:eastAsia="zh-CN" w:bidi="ar-SA"/>
    </w:rPr>
  </w:style>
  <w:style w:type="paragraph" w:customStyle="1" w:styleId="84">
    <w:name w:val="List Paragraph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85">
    <w:name w:val="bookmark-item"/>
    <w:basedOn w:val="28"/>
    <w:qFormat/>
    <w:uiPriority w:val="0"/>
  </w:style>
  <w:style w:type="character" w:customStyle="1" w:styleId="86">
    <w:name w:val="font51"/>
    <w:basedOn w:val="28"/>
    <w:qFormat/>
    <w:uiPriority w:val="0"/>
    <w:rPr>
      <w:rFonts w:hint="eastAsia" w:ascii="宋体" w:hAnsi="宋体" w:eastAsia="宋体" w:cs="宋体"/>
      <w:b/>
      <w:color w:val="000000"/>
      <w:sz w:val="22"/>
      <w:szCs w:val="22"/>
      <w:u w:val="none"/>
    </w:rPr>
  </w:style>
  <w:style w:type="character" w:customStyle="1" w:styleId="87">
    <w:name w:val="font41"/>
    <w:basedOn w:val="28"/>
    <w:qFormat/>
    <w:uiPriority w:val="0"/>
    <w:rPr>
      <w:rFonts w:hint="eastAsia" w:ascii="宋体" w:hAnsi="宋体" w:eastAsia="宋体" w:cs="宋体"/>
      <w:color w:val="000000"/>
      <w:sz w:val="24"/>
      <w:szCs w:val="24"/>
      <w:u w:val="none"/>
    </w:rPr>
  </w:style>
  <w:style w:type="character" w:customStyle="1" w:styleId="88">
    <w:name w:val="font21"/>
    <w:basedOn w:val="28"/>
    <w:qFormat/>
    <w:uiPriority w:val="0"/>
    <w:rPr>
      <w:rFonts w:hint="default" w:ascii="Calibri" w:hAnsi="Calibri" w:cs="Calibri"/>
      <w:color w:val="000000"/>
      <w:sz w:val="24"/>
      <w:szCs w:val="24"/>
      <w:u w:val="none"/>
    </w:rPr>
  </w:style>
  <w:style w:type="paragraph" w:customStyle="1" w:styleId="89">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90">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91">
    <w:name w:val="正文1"/>
    <w:basedOn w:val="1"/>
    <w:qFormat/>
    <w:uiPriority w:val="0"/>
    <w:pPr>
      <w:spacing w:line="480" w:lineRule="exact"/>
      <w:ind w:firstLine="480" w:firstLineChars="200"/>
    </w:pPr>
    <w:rPr>
      <w:rFonts w:ascii="宋体"/>
      <w:sz w:val="24"/>
    </w:rPr>
  </w:style>
  <w:style w:type="paragraph" w:customStyle="1" w:styleId="92">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93">
    <w:name w:val="表格内容"/>
    <w:basedOn w:val="1"/>
    <w:qFormat/>
    <w:uiPriority w:val="0"/>
    <w:pPr>
      <w:jc w:val="center"/>
    </w:pPr>
    <w:rPr>
      <w:rFonts w:eastAsia="宋体"/>
      <w:sz w:val="24"/>
      <w:szCs w:val="22"/>
      <w:lang w:val="zh-CN" w:eastAsia="zh-CN"/>
    </w:rPr>
  </w:style>
  <w:style w:type="paragraph" w:customStyle="1" w:styleId="9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95">
    <w:name w:val="detail-info"/>
    <w:basedOn w:val="1"/>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E4564-B813-4B4E-B2C3-C1366EE5605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112</Pages>
  <Words>63487</Words>
  <Characters>66307</Characters>
  <Lines>175</Lines>
  <Paragraphs>49</Paragraphs>
  <TotalTime>8</TotalTime>
  <ScaleCrop>false</ScaleCrop>
  <LinksUpToDate>false</LinksUpToDate>
  <CharactersWithSpaces>68142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2018-10-30T07:55:00Z</dcterms:created>
  <dc:creator>Administrator</dc:creator>
  <cp:lastModifiedBy>杨小静</cp:lastModifiedBy>
  <cp:lastPrinted>2021-04-21T05:07:00Z</cp:lastPrinted>
  <dcterms:modified xsi:type="dcterms:W3CDTF">2022-04-24T10:40:36Z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F1D901168F75446AA6532B17C4BB2F45</vt:lpwstr>
  </property>
  <property fmtid="{D5CDD505-2E9C-101B-9397-08002B2CF9AE}" pid="4" name="commondata">
    <vt:lpwstr>eyJoZGlkIjoiNGJjMzRkYmJjNjg3YWM3ZGExMTk4MWNlNDJkN2I0ZWYifQ==</vt:lpwstr>
  </property>
</Properties>
</file>