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kern w:val="0"/>
          <w:sz w:val="28"/>
          <w:szCs w:val="28"/>
          <w:highlight w:val="none"/>
        </w:rPr>
      </w:pPr>
      <w:r>
        <w:rPr>
          <w:rFonts w:hint="eastAsia" w:ascii="宋体" w:hAnsi="宋体" w:cs="宋体"/>
          <w:b/>
          <w:kern w:val="0"/>
          <w:sz w:val="28"/>
          <w:szCs w:val="28"/>
          <w:highlight w:val="none"/>
          <w:lang w:eastAsia="zh-CN"/>
        </w:rPr>
        <w:t>塔城地区住房公积金管理中心2022年度资金存放竞争性磋商项目</w:t>
      </w:r>
    </w:p>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highlight w:val="none"/>
        </w:rPr>
      </w:pPr>
      <w:r>
        <w:rPr>
          <w:rFonts w:hint="eastAsia" w:ascii="宋体" w:hAnsi="宋体" w:cs="宋体"/>
          <w:b/>
          <w:kern w:val="0"/>
          <w:sz w:val="24"/>
          <w:szCs w:val="24"/>
          <w:highlight w:val="none"/>
          <w:lang w:eastAsia="zh-CN"/>
        </w:rPr>
        <w:t>塔城地区住房公积金管理中心2022年度资金存放竞争性磋商项目</w:t>
      </w:r>
      <w:r>
        <w:rPr>
          <w:rFonts w:hint="eastAsia" w:ascii="宋体" w:hAnsi="宋体"/>
          <w:sz w:val="24"/>
          <w:szCs w:val="24"/>
          <w:highlight w:val="none"/>
        </w:rPr>
        <w:t>的潜在投标人应在塔城市和平区新华路营盘巷1幢2-30</w:t>
      </w:r>
      <w:r>
        <w:rPr>
          <w:rFonts w:hint="eastAsia" w:ascii="宋体" w:hAnsi="宋体"/>
          <w:sz w:val="24"/>
          <w:szCs w:val="24"/>
          <w:highlight w:val="none"/>
          <w:lang w:val="en-US" w:eastAsia="zh-CN"/>
        </w:rPr>
        <w:t>1</w:t>
      </w:r>
      <w:r>
        <w:rPr>
          <w:rFonts w:hint="eastAsia" w:ascii="宋体" w:hAnsi="宋体"/>
          <w:sz w:val="24"/>
          <w:szCs w:val="24"/>
          <w:highlight w:val="none"/>
        </w:rPr>
        <w:t>获取招标文件，并于</w:t>
      </w:r>
      <w:r>
        <w:rPr>
          <w:rFonts w:hint="eastAsia" w:ascii="宋体" w:hAnsi="宋体"/>
          <w:sz w:val="24"/>
          <w:szCs w:val="24"/>
          <w:highlight w:val="none"/>
          <w:u w:val="single"/>
        </w:rPr>
        <w:t>2022</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5</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16</w:t>
      </w:r>
      <w:r>
        <w:rPr>
          <w:rFonts w:hint="eastAsia" w:ascii="宋体" w:hAnsi="宋体"/>
          <w:bCs/>
          <w:sz w:val="24"/>
          <w:szCs w:val="24"/>
          <w:highlight w:val="none"/>
          <w:u w:val="single"/>
        </w:rPr>
        <w:t>日 11 点 00 分（</w:t>
      </w:r>
      <w:r>
        <w:rPr>
          <w:rFonts w:hint="eastAsia" w:ascii="宋体" w:hAnsi="宋体"/>
          <w:bCs/>
          <w:sz w:val="24"/>
          <w:szCs w:val="24"/>
          <w:highlight w:val="none"/>
        </w:rPr>
        <w:t>北京时间）前递交投标</w:t>
      </w:r>
      <w:r>
        <w:rPr>
          <w:rFonts w:ascii="宋体" w:hAnsi="宋体"/>
          <w:bCs/>
          <w:sz w:val="24"/>
          <w:szCs w:val="24"/>
          <w:highlight w:val="none"/>
        </w:rPr>
        <w:t>文件</w:t>
      </w:r>
      <w:r>
        <w:rPr>
          <w:rFonts w:hint="eastAsia" w:ascii="宋体" w:hAnsi="宋体"/>
          <w:sz w:val="24"/>
          <w:szCs w:val="24"/>
          <w:highlight w:val="none"/>
        </w:rPr>
        <w:t>。</w:t>
      </w:r>
    </w:p>
    <w:p>
      <w:pPr>
        <w:widowControl/>
        <w:spacing w:before="213" w:after="213" w:line="300" w:lineRule="exact"/>
        <w:rPr>
          <w:rFonts w:ascii="黑体" w:hAnsi="黑体" w:eastAsia="黑体" w:cs="宋体"/>
          <w:b/>
          <w:bCs/>
          <w:color w:val="000000"/>
          <w:kern w:val="0"/>
          <w:sz w:val="23"/>
          <w:szCs w:val="23"/>
          <w:highlight w:val="none"/>
        </w:rPr>
      </w:pPr>
      <w:r>
        <w:rPr>
          <w:rFonts w:hint="eastAsia" w:ascii="黑体" w:hAnsi="黑体" w:eastAsia="黑体" w:cs="宋体"/>
          <w:b/>
          <w:bCs/>
          <w:color w:val="000000"/>
          <w:kern w:val="0"/>
          <w:sz w:val="23"/>
          <w:szCs w:val="23"/>
          <w:highlight w:val="none"/>
        </w:rPr>
        <w:t xml:space="preserve">一、项目基本情况  </w:t>
      </w:r>
    </w:p>
    <w:p>
      <w:pPr>
        <w:widowControl/>
        <w:spacing w:before="63" w:after="63" w:line="300" w:lineRule="exact"/>
        <w:ind w:firstLine="460" w:firstLineChars="200"/>
        <w:jc w:val="left"/>
        <w:rPr>
          <w:rFonts w:hint="eastAsia" w:ascii="仿宋" w:hAnsi="仿宋" w:eastAsia="微软雅黑" w:cs="宋体"/>
          <w:color w:val="000000"/>
          <w:kern w:val="0"/>
          <w:sz w:val="20"/>
          <w:szCs w:val="20"/>
          <w:highlight w:val="none"/>
          <w:lang w:eastAsia="zh-CN"/>
        </w:rPr>
      </w:pPr>
      <w:r>
        <w:rPr>
          <w:rFonts w:ascii="仿宋" w:hAnsi="仿宋" w:cs="宋体"/>
          <w:color w:val="000000"/>
          <w:kern w:val="0"/>
          <w:sz w:val="23"/>
          <w:szCs w:val="23"/>
          <w:highlight w:val="none"/>
        </w:rPr>
        <w:t>项目编号：</w:t>
      </w:r>
      <w:r>
        <w:rPr>
          <w:rFonts w:hint="eastAsia" w:ascii="仿宋" w:hAnsi="仿宋" w:cs="宋体"/>
          <w:color w:val="000000"/>
          <w:kern w:val="0"/>
          <w:sz w:val="23"/>
          <w:szCs w:val="23"/>
          <w:highlight w:val="none"/>
        </w:rPr>
        <w:t>TCDQ</w:t>
      </w:r>
      <w:r>
        <w:rPr>
          <w:rFonts w:hint="eastAsia" w:ascii="仿宋" w:hAnsi="仿宋" w:cs="宋体"/>
          <w:color w:val="000000"/>
          <w:kern w:val="0"/>
          <w:sz w:val="23"/>
          <w:szCs w:val="23"/>
          <w:highlight w:val="none"/>
          <w:lang w:val="en-US" w:eastAsia="zh-CN"/>
        </w:rPr>
        <w:t>ZFGJJ</w:t>
      </w:r>
      <w:r>
        <w:rPr>
          <w:rFonts w:hint="eastAsia" w:ascii="仿宋" w:hAnsi="仿宋" w:cs="宋体"/>
          <w:color w:val="000000"/>
          <w:kern w:val="0"/>
          <w:sz w:val="23"/>
          <w:szCs w:val="23"/>
          <w:highlight w:val="none"/>
        </w:rPr>
        <w:t>-[202</w:t>
      </w:r>
      <w:r>
        <w:rPr>
          <w:rFonts w:hint="eastAsia" w:ascii="仿宋" w:hAnsi="仿宋" w:cs="宋体"/>
          <w:color w:val="000000"/>
          <w:kern w:val="0"/>
          <w:sz w:val="23"/>
          <w:szCs w:val="23"/>
          <w:highlight w:val="none"/>
          <w:lang w:val="en-US" w:eastAsia="zh-CN"/>
        </w:rPr>
        <w:t>2</w:t>
      </w:r>
      <w:r>
        <w:rPr>
          <w:rFonts w:hint="eastAsia" w:ascii="仿宋" w:hAnsi="仿宋" w:cs="宋体"/>
          <w:color w:val="000000"/>
          <w:kern w:val="0"/>
          <w:sz w:val="23"/>
          <w:szCs w:val="23"/>
          <w:highlight w:val="none"/>
        </w:rPr>
        <w:t>]</w:t>
      </w:r>
      <w:r>
        <w:rPr>
          <w:rFonts w:hint="eastAsia" w:ascii="仿宋" w:hAnsi="仿宋" w:cs="宋体"/>
          <w:color w:val="000000"/>
          <w:kern w:val="0"/>
          <w:sz w:val="23"/>
          <w:szCs w:val="23"/>
          <w:highlight w:val="none"/>
          <w:lang w:val="en-US" w:eastAsia="zh-CN"/>
        </w:rPr>
        <w:t>258</w:t>
      </w:r>
      <w:bookmarkStart w:id="0" w:name="_GoBack"/>
      <w:bookmarkEnd w:id="0"/>
    </w:p>
    <w:p>
      <w:pPr>
        <w:widowControl/>
        <w:spacing w:before="63" w:after="63" w:line="300" w:lineRule="exact"/>
        <w:ind w:firstLine="460" w:firstLineChars="200"/>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项目名称：</w:t>
      </w:r>
      <w:r>
        <w:rPr>
          <w:rFonts w:hint="eastAsia" w:ascii="仿宋" w:hAnsi="仿宋" w:cs="宋体"/>
          <w:color w:val="000000"/>
          <w:kern w:val="0"/>
          <w:sz w:val="23"/>
          <w:szCs w:val="23"/>
          <w:highlight w:val="none"/>
          <w:lang w:eastAsia="zh-CN"/>
        </w:rPr>
        <w:t>塔城地区住房公积金管理中心2022年度资金存放竞争性磋商项目</w:t>
      </w:r>
    </w:p>
    <w:p>
      <w:pPr>
        <w:widowControl/>
        <w:spacing w:before="63" w:after="63" w:line="300" w:lineRule="exact"/>
        <w:ind w:firstLine="460" w:firstLineChars="200"/>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采购方式：竞争性</w:t>
      </w:r>
      <w:r>
        <w:rPr>
          <w:rFonts w:hint="eastAsia" w:ascii="仿宋" w:hAnsi="仿宋" w:cs="宋体"/>
          <w:color w:val="000000"/>
          <w:kern w:val="0"/>
          <w:sz w:val="23"/>
          <w:szCs w:val="23"/>
          <w:highlight w:val="none"/>
        </w:rPr>
        <w:t>磋商</w:t>
      </w:r>
    </w:p>
    <w:p>
      <w:pPr>
        <w:widowControl/>
        <w:spacing w:before="63" w:after="63" w:line="300" w:lineRule="exact"/>
        <w:ind w:firstLine="460" w:firstLineChars="200"/>
        <w:jc w:val="left"/>
        <w:rPr>
          <w:rFonts w:ascii="仿宋" w:hAnsi="仿宋" w:eastAsia="宋体" w:cs="宋体"/>
          <w:color w:val="000000"/>
          <w:kern w:val="0"/>
          <w:sz w:val="20"/>
          <w:szCs w:val="20"/>
          <w:highlight w:val="none"/>
        </w:rPr>
      </w:pPr>
      <w:r>
        <w:rPr>
          <w:rFonts w:ascii="仿宋" w:hAnsi="仿宋" w:cs="宋体"/>
          <w:color w:val="000000"/>
          <w:kern w:val="0"/>
          <w:sz w:val="23"/>
          <w:szCs w:val="23"/>
          <w:highlight w:val="none"/>
        </w:rPr>
        <w:t>预算金额（元）：</w:t>
      </w:r>
      <w:r>
        <w:rPr>
          <w:rFonts w:hint="eastAsia" w:ascii="仿宋" w:hAnsi="仿宋" w:cs="宋体"/>
          <w:color w:val="000000"/>
          <w:kern w:val="0"/>
          <w:sz w:val="23"/>
          <w:szCs w:val="23"/>
          <w:highlight w:val="none"/>
        </w:rPr>
        <w:t>1</w:t>
      </w:r>
    </w:p>
    <w:p>
      <w:pPr>
        <w:widowControl/>
        <w:spacing w:before="63" w:after="63" w:line="300" w:lineRule="exact"/>
        <w:ind w:firstLine="460" w:firstLineChars="200"/>
        <w:jc w:val="left"/>
        <w:rPr>
          <w:rFonts w:hint="eastAsia" w:ascii="仿宋" w:hAnsi="仿宋" w:eastAsia="宋体" w:cs="宋体"/>
          <w:color w:val="000000"/>
          <w:kern w:val="0"/>
          <w:sz w:val="23"/>
          <w:szCs w:val="23"/>
          <w:highlight w:val="none"/>
        </w:rPr>
      </w:pPr>
      <w:r>
        <w:rPr>
          <w:rFonts w:ascii="仿宋" w:hAnsi="仿宋" w:cs="宋体"/>
          <w:color w:val="000000"/>
          <w:kern w:val="0"/>
          <w:sz w:val="23"/>
          <w:szCs w:val="23"/>
          <w:highlight w:val="none"/>
        </w:rPr>
        <w:t>最高限价（元）：</w:t>
      </w:r>
      <w:r>
        <w:rPr>
          <w:rFonts w:hint="eastAsia" w:ascii="仿宋" w:hAnsi="仿宋" w:cs="宋体"/>
          <w:color w:val="000000"/>
          <w:kern w:val="0"/>
          <w:sz w:val="23"/>
          <w:szCs w:val="23"/>
          <w:highlight w:val="none"/>
        </w:rPr>
        <w:t>/</w:t>
      </w:r>
    </w:p>
    <w:p>
      <w:pPr>
        <w:widowControl/>
        <w:spacing w:before="63" w:after="63" w:line="300" w:lineRule="exact"/>
        <w:ind w:firstLine="460" w:firstLineChars="20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采购需求：</w:t>
      </w:r>
      <w:r>
        <w:rPr>
          <w:rFonts w:hint="eastAsia" w:ascii="仿宋" w:hAnsi="仿宋" w:cs="宋体"/>
          <w:color w:val="000000"/>
          <w:kern w:val="0"/>
          <w:sz w:val="23"/>
          <w:szCs w:val="23"/>
          <w:highlight w:val="none"/>
        </w:rPr>
        <w:t>采取综合评分的方式从合格的投标人中择优选择五家银行作为本项目的中标单位。</w:t>
      </w:r>
    </w:p>
    <w:p>
      <w:pPr>
        <w:widowControl/>
        <w:spacing w:line="300" w:lineRule="exact"/>
        <w:ind w:firstLine="460" w:firstLineChars="20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标项名称：</w:t>
      </w:r>
      <w:r>
        <w:rPr>
          <w:rFonts w:hint="eastAsia" w:ascii="仿宋" w:hAnsi="仿宋" w:cs="宋体"/>
          <w:color w:val="000000"/>
          <w:kern w:val="0"/>
          <w:sz w:val="23"/>
          <w:szCs w:val="23"/>
          <w:highlight w:val="none"/>
          <w:lang w:eastAsia="zh-CN"/>
        </w:rPr>
        <w:t>塔城地区住房公积金管理中心2022年度资金存放竞争性磋商项目</w:t>
      </w:r>
    </w:p>
    <w:p>
      <w:pPr>
        <w:widowControl/>
        <w:spacing w:line="300" w:lineRule="exact"/>
        <w:ind w:firstLine="460" w:firstLineChars="20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数量：</w:t>
      </w:r>
      <w:r>
        <w:rPr>
          <w:rFonts w:hint="eastAsia" w:ascii="仿宋" w:hAnsi="仿宋" w:cs="宋体"/>
          <w:color w:val="000000"/>
          <w:kern w:val="0"/>
          <w:sz w:val="23"/>
          <w:szCs w:val="23"/>
          <w:highlight w:val="none"/>
        </w:rPr>
        <w:t>1</w:t>
      </w:r>
    </w:p>
    <w:p>
      <w:pPr>
        <w:widowControl/>
        <w:spacing w:line="300" w:lineRule="exact"/>
        <w:ind w:firstLine="460" w:firstLineChars="20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预算金额（元）：</w:t>
      </w:r>
      <w:r>
        <w:rPr>
          <w:rFonts w:hint="eastAsia" w:ascii="仿宋" w:hAnsi="仿宋" w:cs="宋体"/>
          <w:color w:val="000000"/>
          <w:kern w:val="0"/>
          <w:sz w:val="23"/>
          <w:szCs w:val="23"/>
          <w:highlight w:val="none"/>
        </w:rPr>
        <w:t>1</w:t>
      </w:r>
    </w:p>
    <w:p>
      <w:pPr>
        <w:widowControl/>
        <w:spacing w:line="300" w:lineRule="exact"/>
        <w:ind w:firstLine="460" w:firstLineChars="200"/>
        <w:jc w:val="left"/>
        <w:rPr>
          <w:rFonts w:ascii="仿宋" w:hAnsi="仿宋" w:cs="宋体"/>
          <w:color w:val="000000"/>
          <w:kern w:val="0"/>
          <w:sz w:val="23"/>
          <w:szCs w:val="23"/>
          <w:highlight w:val="none"/>
        </w:rPr>
      </w:pPr>
      <w:r>
        <w:rPr>
          <w:rFonts w:ascii="仿宋" w:hAnsi="仿宋" w:cs="宋体"/>
          <w:color w:val="000000"/>
          <w:kern w:val="0"/>
          <w:sz w:val="23"/>
          <w:szCs w:val="23"/>
          <w:highlight w:val="none"/>
        </w:rPr>
        <w:t>单位：</w:t>
      </w:r>
      <w:r>
        <w:rPr>
          <w:rFonts w:hint="eastAsia" w:ascii="仿宋" w:hAnsi="仿宋" w:cs="宋体"/>
          <w:color w:val="000000"/>
          <w:kern w:val="0"/>
          <w:sz w:val="23"/>
          <w:szCs w:val="23"/>
          <w:highlight w:val="none"/>
        </w:rPr>
        <w:t>批</w:t>
      </w:r>
    </w:p>
    <w:p>
      <w:pPr>
        <w:widowControl/>
        <w:spacing w:line="300" w:lineRule="exact"/>
        <w:ind w:firstLine="460" w:firstLineChars="20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简要规格描述：</w:t>
      </w:r>
      <w:r>
        <w:rPr>
          <w:rFonts w:hint="eastAsia" w:ascii="仿宋" w:hAnsi="仿宋" w:cs="宋体"/>
          <w:color w:val="000000"/>
          <w:kern w:val="0"/>
          <w:sz w:val="23"/>
          <w:szCs w:val="23"/>
          <w:highlight w:val="none"/>
        </w:rPr>
        <w:t>采取综合评分的方式从合格的投标人中择优选择五家银行作为本项目的中标单位。</w:t>
      </w:r>
    </w:p>
    <w:p>
      <w:pPr>
        <w:widowControl/>
        <w:spacing w:line="300" w:lineRule="exact"/>
        <w:ind w:firstLine="460" w:firstLineChars="200"/>
        <w:jc w:val="left"/>
        <w:rPr>
          <w:rFonts w:ascii="仿宋" w:hAnsi="仿宋" w:cs="宋体"/>
          <w:color w:val="000000"/>
          <w:kern w:val="0"/>
          <w:sz w:val="23"/>
          <w:szCs w:val="23"/>
          <w:highlight w:val="none"/>
        </w:rPr>
      </w:pPr>
      <w:r>
        <w:rPr>
          <w:rFonts w:ascii="仿宋" w:hAnsi="仿宋" w:cs="宋体"/>
          <w:color w:val="000000"/>
          <w:kern w:val="0"/>
          <w:sz w:val="23"/>
          <w:szCs w:val="23"/>
          <w:highlight w:val="none"/>
        </w:rPr>
        <w:t>备注：</w:t>
      </w:r>
    </w:p>
    <w:p>
      <w:pPr>
        <w:widowControl/>
        <w:spacing w:line="300" w:lineRule="exact"/>
        <w:ind w:firstLine="460" w:firstLineChars="200"/>
        <w:jc w:val="left"/>
        <w:rPr>
          <w:rFonts w:hint="eastAsia" w:ascii="仿宋" w:hAnsi="仿宋" w:eastAsia="宋体" w:cs="宋体"/>
          <w:color w:val="000000"/>
          <w:kern w:val="0"/>
          <w:sz w:val="20"/>
          <w:szCs w:val="20"/>
          <w:highlight w:val="none"/>
        </w:rPr>
      </w:pPr>
      <w:r>
        <w:rPr>
          <w:rFonts w:ascii="仿宋" w:hAnsi="仿宋" w:cs="宋体"/>
          <w:color w:val="000000"/>
          <w:kern w:val="0"/>
          <w:sz w:val="23"/>
          <w:szCs w:val="23"/>
          <w:highlight w:val="none"/>
        </w:rPr>
        <w:t>合同履约期限：</w:t>
      </w:r>
      <w:r>
        <w:rPr>
          <w:rFonts w:hint="eastAsia" w:ascii="仿宋" w:hAnsi="仿宋" w:cs="宋体"/>
          <w:color w:val="000000"/>
          <w:kern w:val="0"/>
          <w:sz w:val="23"/>
          <w:szCs w:val="23"/>
          <w:highlight w:val="none"/>
        </w:rPr>
        <w:t>一年</w:t>
      </w:r>
    </w:p>
    <w:p>
      <w:pPr>
        <w:widowControl/>
        <w:spacing w:before="213" w:after="213" w:line="300" w:lineRule="exact"/>
        <w:ind w:firstLine="460" w:firstLineChars="200"/>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本项目（否）接受联合体投标。</w:t>
      </w:r>
    </w:p>
    <w:p>
      <w:pPr>
        <w:widowControl/>
        <w:spacing w:before="213" w:after="213" w:line="300" w:lineRule="exact"/>
        <w:rPr>
          <w:rFonts w:ascii="黑体" w:hAnsi="黑体" w:eastAsia="黑体" w:cs="宋体"/>
          <w:color w:val="000000"/>
          <w:kern w:val="0"/>
          <w:sz w:val="23"/>
          <w:szCs w:val="23"/>
          <w:highlight w:val="none"/>
        </w:rPr>
      </w:pPr>
      <w:r>
        <w:rPr>
          <w:rFonts w:hint="eastAsia" w:ascii="黑体" w:hAnsi="黑体" w:eastAsia="黑体" w:cs="宋体"/>
          <w:b/>
          <w:bCs/>
          <w:color w:val="000000"/>
          <w:kern w:val="0"/>
          <w:sz w:val="23"/>
          <w:szCs w:val="23"/>
          <w:highlight w:val="none"/>
        </w:rPr>
        <w:t>二、申请人的资格要求：</w:t>
      </w:r>
    </w:p>
    <w:p>
      <w:pPr>
        <w:widowControl/>
        <w:spacing w:before="63" w:after="63" w:line="300" w:lineRule="exact"/>
        <w:ind w:firstLine="460" w:firstLineChars="200"/>
        <w:jc w:val="left"/>
        <w:rPr>
          <w:rFonts w:ascii="仿宋" w:hAnsi="仿宋" w:cs="宋体"/>
          <w:color w:val="000000"/>
          <w:kern w:val="0"/>
          <w:sz w:val="23"/>
          <w:szCs w:val="23"/>
          <w:highlight w:val="none"/>
        </w:rPr>
      </w:pPr>
      <w:r>
        <w:rPr>
          <w:rFonts w:hint="eastAsia" w:ascii="仿宋" w:hAnsi="仿宋" w:cs="宋体"/>
          <w:color w:val="000000"/>
          <w:kern w:val="0"/>
          <w:sz w:val="23"/>
          <w:szCs w:val="23"/>
          <w:highlight w:val="none"/>
        </w:rPr>
        <w:t>1.满足《中华人民共和国政府采购法》第二十二条规定；</w:t>
      </w:r>
    </w:p>
    <w:p>
      <w:pPr>
        <w:widowControl/>
        <w:spacing w:before="63" w:after="63" w:line="300" w:lineRule="exact"/>
        <w:ind w:firstLine="460" w:firstLineChars="200"/>
        <w:jc w:val="left"/>
        <w:rPr>
          <w:rFonts w:hint="eastAsia" w:ascii="仿宋" w:hAnsi="仿宋" w:cs="宋体"/>
          <w:color w:val="000000"/>
          <w:kern w:val="0"/>
          <w:sz w:val="23"/>
          <w:szCs w:val="23"/>
          <w:highlight w:val="none"/>
        </w:rPr>
      </w:pPr>
      <w:r>
        <w:rPr>
          <w:rFonts w:hint="eastAsia" w:ascii="仿宋" w:hAnsi="仿宋" w:cs="宋体"/>
          <w:color w:val="000000"/>
          <w:kern w:val="0"/>
          <w:sz w:val="23"/>
          <w:szCs w:val="23"/>
          <w:highlight w:val="none"/>
        </w:rPr>
        <w:t>2.落实政府采购政策需满足的资格要求：无。</w:t>
      </w:r>
    </w:p>
    <w:p>
      <w:pPr>
        <w:widowControl/>
        <w:spacing w:before="63" w:after="63" w:line="300" w:lineRule="exact"/>
        <w:ind w:firstLine="460" w:firstLineChars="200"/>
        <w:jc w:val="left"/>
        <w:rPr>
          <w:rFonts w:hint="eastAsia" w:ascii="仿宋" w:hAnsi="仿宋" w:cs="宋体"/>
          <w:color w:val="000000"/>
          <w:kern w:val="0"/>
          <w:sz w:val="23"/>
          <w:szCs w:val="23"/>
          <w:highlight w:val="none"/>
        </w:rPr>
      </w:pPr>
      <w:r>
        <w:rPr>
          <w:rFonts w:hint="eastAsia" w:ascii="仿宋" w:hAnsi="仿宋" w:cs="宋体"/>
          <w:color w:val="000000"/>
          <w:kern w:val="0"/>
          <w:sz w:val="23"/>
          <w:szCs w:val="23"/>
          <w:highlight w:val="none"/>
        </w:rPr>
        <w:t>3.本项目的特定资格要求：标项一:(1)持有《金融机构法人许可证》或《金融机构营业许可证》，且在中心所在地新疆塔城市设有分支机构。</w:t>
      </w:r>
    </w:p>
    <w:p>
      <w:pPr>
        <w:widowControl/>
        <w:spacing w:before="63" w:after="63" w:line="300" w:lineRule="exact"/>
        <w:ind w:firstLine="460" w:firstLineChars="200"/>
        <w:jc w:val="left"/>
        <w:rPr>
          <w:rFonts w:hint="eastAsia" w:ascii="仿宋" w:hAnsi="仿宋" w:cs="宋体"/>
          <w:color w:val="000000"/>
          <w:kern w:val="0"/>
          <w:sz w:val="23"/>
          <w:szCs w:val="23"/>
          <w:highlight w:val="none"/>
        </w:rPr>
      </w:pPr>
      <w:r>
        <w:rPr>
          <w:rFonts w:hint="eastAsia" w:ascii="仿宋" w:hAnsi="仿宋" w:cs="宋体"/>
          <w:color w:val="000000"/>
          <w:kern w:val="0"/>
          <w:sz w:val="23"/>
          <w:szCs w:val="23"/>
          <w:highlight w:val="none"/>
        </w:rPr>
        <w:t>(2)依法开展经营活动，近3年内在经营活动中无重大违法违纪记录。</w:t>
      </w:r>
    </w:p>
    <w:p>
      <w:pPr>
        <w:widowControl/>
        <w:spacing w:before="63" w:after="63" w:line="300" w:lineRule="exact"/>
        <w:ind w:firstLine="460" w:firstLineChars="200"/>
        <w:jc w:val="left"/>
        <w:rPr>
          <w:rFonts w:hint="eastAsia" w:ascii="仿宋" w:hAnsi="仿宋" w:cs="宋体"/>
          <w:color w:val="000000"/>
          <w:kern w:val="0"/>
          <w:sz w:val="23"/>
          <w:szCs w:val="23"/>
          <w:highlight w:val="none"/>
        </w:rPr>
      </w:pPr>
      <w:r>
        <w:rPr>
          <w:rFonts w:hint="eastAsia" w:ascii="仿宋" w:hAnsi="仿宋" w:cs="宋体"/>
          <w:color w:val="000000"/>
          <w:kern w:val="0"/>
          <w:sz w:val="23"/>
          <w:szCs w:val="23"/>
          <w:highlight w:val="none"/>
        </w:rPr>
        <w:t>(3)纳入监管评级的银行，人民银行上年度综合评价应达B级以上。不纳入人民银行监管评级范围的银行不受此限制。</w:t>
      </w:r>
    </w:p>
    <w:p>
      <w:pPr>
        <w:widowControl/>
        <w:spacing w:before="63" w:after="63" w:line="300" w:lineRule="exact"/>
        <w:ind w:firstLine="460" w:firstLineChars="200"/>
        <w:jc w:val="left"/>
        <w:rPr>
          <w:rFonts w:hint="eastAsia" w:ascii="仿宋" w:hAnsi="仿宋" w:cs="宋体"/>
          <w:color w:val="000000"/>
          <w:kern w:val="0"/>
          <w:sz w:val="23"/>
          <w:szCs w:val="23"/>
          <w:highlight w:val="none"/>
        </w:rPr>
      </w:pPr>
      <w:r>
        <w:rPr>
          <w:rFonts w:hint="eastAsia" w:ascii="仿宋" w:hAnsi="仿宋" w:cs="宋体"/>
          <w:color w:val="000000"/>
          <w:kern w:val="0"/>
          <w:sz w:val="23"/>
          <w:szCs w:val="23"/>
          <w:highlight w:val="none"/>
        </w:rPr>
        <w:t>(4)内部管理机制健全，具有较强的风险控制能力，近三年内未发生重大违约事件。</w:t>
      </w:r>
    </w:p>
    <w:p>
      <w:pPr>
        <w:widowControl/>
        <w:spacing w:before="63" w:after="63" w:line="300" w:lineRule="exact"/>
        <w:ind w:firstLine="460" w:firstLineChars="200"/>
        <w:jc w:val="left"/>
        <w:rPr>
          <w:rFonts w:hint="eastAsia" w:ascii="仿宋" w:hAnsi="仿宋" w:cs="宋体"/>
          <w:color w:val="000000"/>
          <w:kern w:val="0"/>
          <w:sz w:val="23"/>
          <w:szCs w:val="23"/>
          <w:highlight w:val="none"/>
        </w:rPr>
      </w:pPr>
      <w:r>
        <w:rPr>
          <w:rFonts w:hint="eastAsia" w:ascii="仿宋" w:hAnsi="仿宋" w:cs="宋体"/>
          <w:color w:val="000000"/>
          <w:kern w:val="0"/>
          <w:sz w:val="23"/>
          <w:szCs w:val="23"/>
          <w:highlight w:val="none"/>
        </w:rPr>
        <w:t>(5)经塔城地区住房公积金管理委员会批准开有资金结算专户，受委托承办相关住房公积金业务的银行。</w:t>
      </w:r>
    </w:p>
    <w:p>
      <w:pPr>
        <w:widowControl/>
        <w:spacing w:before="213" w:after="213" w:line="300" w:lineRule="exact"/>
        <w:rPr>
          <w:rFonts w:ascii="黑体" w:hAnsi="黑体" w:eastAsia="黑体" w:cs="宋体"/>
          <w:color w:val="000000"/>
          <w:kern w:val="0"/>
          <w:sz w:val="23"/>
          <w:szCs w:val="23"/>
          <w:highlight w:val="none"/>
        </w:rPr>
      </w:pPr>
      <w:r>
        <w:rPr>
          <w:rFonts w:hint="eastAsia" w:ascii="黑体" w:hAnsi="黑体" w:eastAsia="黑体" w:cs="宋体"/>
          <w:b/>
          <w:bCs/>
          <w:color w:val="000000"/>
          <w:kern w:val="0"/>
          <w:sz w:val="23"/>
          <w:szCs w:val="23"/>
          <w:highlight w:val="none"/>
        </w:rPr>
        <w:t>三、获取采购文件</w:t>
      </w:r>
    </w:p>
    <w:p>
      <w:pPr>
        <w:widowControl/>
        <w:spacing w:before="63" w:after="63" w:line="300" w:lineRule="exact"/>
        <w:ind w:firstLine="460" w:firstLineChars="200"/>
        <w:jc w:val="left"/>
        <w:rPr>
          <w:rFonts w:ascii="仿宋" w:hAnsi="仿宋" w:cs="宋体"/>
          <w:color w:val="000000"/>
          <w:kern w:val="0"/>
          <w:sz w:val="23"/>
          <w:szCs w:val="23"/>
          <w:highlight w:val="none"/>
        </w:rPr>
      </w:pPr>
      <w:r>
        <w:rPr>
          <w:rFonts w:ascii="仿宋" w:hAnsi="仿宋" w:cs="宋体"/>
          <w:color w:val="000000"/>
          <w:kern w:val="0"/>
          <w:sz w:val="23"/>
          <w:szCs w:val="23"/>
          <w:highlight w:val="none"/>
        </w:rPr>
        <w:t>时间：202</w:t>
      </w:r>
      <w:r>
        <w:rPr>
          <w:rFonts w:hint="eastAsia" w:ascii="仿宋" w:hAnsi="仿宋" w:cs="宋体"/>
          <w:color w:val="000000"/>
          <w:kern w:val="0"/>
          <w:sz w:val="23"/>
          <w:szCs w:val="23"/>
          <w:highlight w:val="none"/>
        </w:rPr>
        <w:t>2</w:t>
      </w:r>
      <w:r>
        <w:rPr>
          <w:rFonts w:ascii="仿宋" w:hAnsi="仿宋" w:cs="宋体"/>
          <w:color w:val="000000"/>
          <w:kern w:val="0"/>
          <w:sz w:val="23"/>
          <w:szCs w:val="23"/>
          <w:highlight w:val="none"/>
        </w:rPr>
        <w:t>年</w:t>
      </w:r>
      <w:r>
        <w:rPr>
          <w:rFonts w:hint="eastAsia" w:ascii="仿宋" w:hAnsi="仿宋" w:cs="宋体"/>
          <w:color w:val="000000"/>
          <w:kern w:val="0"/>
          <w:sz w:val="23"/>
          <w:szCs w:val="23"/>
          <w:highlight w:val="none"/>
          <w:lang w:val="en-US" w:eastAsia="zh-CN"/>
        </w:rPr>
        <w:t>5</w:t>
      </w:r>
      <w:r>
        <w:rPr>
          <w:rFonts w:ascii="仿宋" w:hAnsi="仿宋" w:cs="宋体"/>
          <w:color w:val="000000"/>
          <w:kern w:val="0"/>
          <w:sz w:val="23"/>
          <w:szCs w:val="23"/>
          <w:highlight w:val="none"/>
        </w:rPr>
        <w:t>月</w:t>
      </w:r>
      <w:r>
        <w:rPr>
          <w:rFonts w:hint="eastAsia" w:ascii="仿宋" w:hAnsi="仿宋" w:cs="宋体"/>
          <w:color w:val="000000"/>
          <w:kern w:val="0"/>
          <w:sz w:val="23"/>
          <w:szCs w:val="23"/>
          <w:highlight w:val="none"/>
          <w:lang w:val="en-US" w:eastAsia="zh-CN"/>
        </w:rPr>
        <w:t>6</w:t>
      </w:r>
      <w:r>
        <w:rPr>
          <w:rFonts w:hint="eastAsia" w:ascii="仿宋" w:hAnsi="仿宋" w:cs="宋体"/>
          <w:color w:val="000000"/>
          <w:kern w:val="0"/>
          <w:sz w:val="23"/>
          <w:szCs w:val="23"/>
          <w:highlight w:val="none"/>
        </w:rPr>
        <w:t>日</w:t>
      </w:r>
      <w:r>
        <w:rPr>
          <w:rFonts w:ascii="仿宋" w:hAnsi="仿宋" w:cs="宋体"/>
          <w:color w:val="000000"/>
          <w:kern w:val="0"/>
          <w:sz w:val="23"/>
          <w:szCs w:val="23"/>
          <w:highlight w:val="none"/>
        </w:rPr>
        <w:t>至202</w:t>
      </w:r>
      <w:r>
        <w:rPr>
          <w:rFonts w:hint="eastAsia" w:ascii="仿宋" w:hAnsi="仿宋" w:cs="宋体"/>
          <w:color w:val="000000"/>
          <w:kern w:val="0"/>
          <w:sz w:val="23"/>
          <w:szCs w:val="23"/>
          <w:highlight w:val="none"/>
        </w:rPr>
        <w:t>2</w:t>
      </w:r>
      <w:r>
        <w:rPr>
          <w:rFonts w:ascii="仿宋" w:hAnsi="仿宋" w:cs="宋体"/>
          <w:color w:val="000000"/>
          <w:kern w:val="0"/>
          <w:sz w:val="23"/>
          <w:szCs w:val="23"/>
          <w:highlight w:val="none"/>
        </w:rPr>
        <w:t>年</w:t>
      </w:r>
      <w:r>
        <w:rPr>
          <w:rFonts w:hint="eastAsia" w:ascii="仿宋" w:hAnsi="仿宋" w:cs="宋体"/>
          <w:color w:val="000000"/>
          <w:kern w:val="0"/>
          <w:sz w:val="23"/>
          <w:szCs w:val="23"/>
          <w:highlight w:val="none"/>
          <w:lang w:val="en-US" w:eastAsia="zh-CN"/>
        </w:rPr>
        <w:t>5</w:t>
      </w:r>
      <w:r>
        <w:rPr>
          <w:rFonts w:ascii="仿宋" w:hAnsi="仿宋" w:cs="宋体"/>
          <w:color w:val="000000"/>
          <w:kern w:val="0"/>
          <w:sz w:val="23"/>
          <w:szCs w:val="23"/>
          <w:highlight w:val="none"/>
        </w:rPr>
        <w:t>月</w:t>
      </w:r>
      <w:r>
        <w:rPr>
          <w:rFonts w:hint="eastAsia" w:ascii="仿宋" w:hAnsi="仿宋" w:cs="宋体"/>
          <w:color w:val="000000"/>
          <w:kern w:val="0"/>
          <w:sz w:val="23"/>
          <w:szCs w:val="23"/>
          <w:highlight w:val="none"/>
          <w:lang w:val="en-US" w:eastAsia="zh-CN"/>
        </w:rPr>
        <w:t>12</w:t>
      </w:r>
      <w:r>
        <w:rPr>
          <w:rFonts w:ascii="仿宋" w:hAnsi="仿宋" w:cs="宋体"/>
          <w:color w:val="000000"/>
          <w:kern w:val="0"/>
          <w:sz w:val="23"/>
          <w:szCs w:val="23"/>
          <w:highlight w:val="none"/>
        </w:rPr>
        <w:t>日，每天上午10:00至1</w:t>
      </w:r>
      <w:r>
        <w:rPr>
          <w:rFonts w:hint="eastAsia" w:ascii="仿宋" w:hAnsi="仿宋" w:cs="宋体"/>
          <w:color w:val="000000"/>
          <w:kern w:val="0"/>
          <w:sz w:val="23"/>
          <w:szCs w:val="23"/>
          <w:highlight w:val="none"/>
        </w:rPr>
        <w:t>3</w:t>
      </w:r>
      <w:r>
        <w:rPr>
          <w:rFonts w:ascii="仿宋" w:hAnsi="仿宋" w:cs="宋体"/>
          <w:color w:val="000000"/>
          <w:kern w:val="0"/>
          <w:sz w:val="23"/>
          <w:szCs w:val="23"/>
          <w:highlight w:val="none"/>
        </w:rPr>
        <w:t>:</w:t>
      </w:r>
      <w:r>
        <w:rPr>
          <w:rFonts w:hint="eastAsia" w:ascii="仿宋" w:hAnsi="仿宋" w:cs="宋体"/>
          <w:color w:val="000000"/>
          <w:kern w:val="0"/>
          <w:sz w:val="23"/>
          <w:szCs w:val="23"/>
          <w:highlight w:val="none"/>
        </w:rPr>
        <w:t>3</w:t>
      </w:r>
      <w:r>
        <w:rPr>
          <w:rFonts w:ascii="仿宋" w:hAnsi="仿宋" w:cs="宋体"/>
          <w:color w:val="000000"/>
          <w:kern w:val="0"/>
          <w:sz w:val="23"/>
          <w:szCs w:val="23"/>
          <w:highlight w:val="none"/>
        </w:rPr>
        <w:t>0，下午1</w:t>
      </w:r>
      <w:r>
        <w:rPr>
          <w:rFonts w:hint="eastAsia" w:ascii="仿宋" w:hAnsi="仿宋" w:cs="宋体"/>
          <w:color w:val="000000"/>
          <w:kern w:val="0"/>
          <w:sz w:val="23"/>
          <w:szCs w:val="23"/>
          <w:highlight w:val="none"/>
        </w:rPr>
        <w:t>6</w:t>
      </w:r>
      <w:r>
        <w:rPr>
          <w:rFonts w:ascii="仿宋" w:hAnsi="仿宋" w:cs="宋体"/>
          <w:color w:val="000000"/>
          <w:kern w:val="0"/>
          <w:sz w:val="23"/>
          <w:szCs w:val="23"/>
          <w:highlight w:val="none"/>
        </w:rPr>
        <w:t>:</w:t>
      </w:r>
      <w:r>
        <w:rPr>
          <w:rFonts w:hint="eastAsia" w:ascii="仿宋" w:hAnsi="仿宋" w:cs="宋体"/>
          <w:color w:val="000000"/>
          <w:kern w:val="0"/>
          <w:sz w:val="23"/>
          <w:szCs w:val="23"/>
          <w:highlight w:val="none"/>
        </w:rPr>
        <w:t>0</w:t>
      </w:r>
      <w:r>
        <w:rPr>
          <w:rFonts w:ascii="仿宋" w:hAnsi="仿宋" w:cs="宋体"/>
          <w:color w:val="000000"/>
          <w:kern w:val="0"/>
          <w:sz w:val="23"/>
          <w:szCs w:val="23"/>
          <w:highlight w:val="none"/>
        </w:rPr>
        <w:t>0至19:30（北京时间，法定节假日除外）</w:t>
      </w:r>
    </w:p>
    <w:p>
      <w:pPr>
        <w:widowControl/>
        <w:spacing w:before="63" w:after="63" w:line="300" w:lineRule="exact"/>
        <w:ind w:firstLine="460" w:firstLineChars="200"/>
        <w:jc w:val="left"/>
        <w:rPr>
          <w:rFonts w:hint="eastAsia" w:ascii="仿宋" w:hAnsi="仿宋" w:eastAsia="微软雅黑" w:cs="宋体"/>
          <w:color w:val="000000"/>
          <w:kern w:val="0"/>
          <w:sz w:val="20"/>
          <w:szCs w:val="20"/>
          <w:highlight w:val="none"/>
          <w:lang w:eastAsia="zh-CN"/>
        </w:rPr>
      </w:pPr>
      <w:r>
        <w:rPr>
          <w:rFonts w:ascii="仿宋" w:hAnsi="仿宋" w:cs="宋体"/>
          <w:color w:val="000000"/>
          <w:kern w:val="0"/>
          <w:sz w:val="23"/>
          <w:szCs w:val="23"/>
          <w:highlight w:val="none"/>
        </w:rPr>
        <w:t>地点：</w:t>
      </w:r>
      <w:r>
        <w:rPr>
          <w:rFonts w:hint="eastAsia" w:ascii="仿宋" w:hAnsi="仿宋" w:cs="宋体"/>
          <w:color w:val="000000"/>
          <w:kern w:val="0"/>
          <w:sz w:val="23"/>
          <w:szCs w:val="23"/>
          <w:highlight w:val="none"/>
        </w:rPr>
        <w:t>塔城市和平区新华路营盘巷1幢2-30</w:t>
      </w:r>
      <w:r>
        <w:rPr>
          <w:rFonts w:hint="eastAsia" w:ascii="仿宋" w:hAnsi="仿宋" w:cs="宋体"/>
          <w:color w:val="000000"/>
          <w:kern w:val="0"/>
          <w:sz w:val="23"/>
          <w:szCs w:val="23"/>
          <w:highlight w:val="none"/>
          <w:lang w:val="en-US" w:eastAsia="zh-CN"/>
        </w:rPr>
        <w:t>1</w:t>
      </w:r>
    </w:p>
    <w:p>
      <w:pPr>
        <w:widowControl/>
        <w:spacing w:before="63" w:after="63" w:line="300" w:lineRule="exact"/>
        <w:ind w:firstLine="460" w:firstLineChars="200"/>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方式：报名现场购买（线下获取）</w:t>
      </w:r>
      <w:r>
        <w:rPr>
          <w:rFonts w:hint="eastAsia" w:ascii="仿宋" w:hAnsi="仿宋" w:cs="宋体"/>
          <w:color w:val="000000"/>
          <w:kern w:val="0"/>
          <w:sz w:val="23"/>
          <w:szCs w:val="23"/>
          <w:highlight w:val="none"/>
        </w:rPr>
        <w:t>。</w:t>
      </w:r>
      <w:r>
        <w:rPr>
          <w:rFonts w:ascii="仿宋" w:hAnsi="仿宋" w:cs="宋体"/>
          <w:color w:val="000000"/>
          <w:kern w:val="0"/>
          <w:sz w:val="23"/>
          <w:szCs w:val="23"/>
          <w:highlight w:val="none"/>
        </w:rPr>
        <w:t>报名及</w:t>
      </w:r>
      <w:r>
        <w:rPr>
          <w:rFonts w:hint="eastAsia" w:ascii="仿宋" w:hAnsi="仿宋" w:cs="宋体"/>
          <w:color w:val="000000"/>
          <w:kern w:val="0"/>
          <w:sz w:val="23"/>
          <w:szCs w:val="23"/>
          <w:highlight w:val="none"/>
        </w:rPr>
        <w:t>购买磋商文件时需携带：</w:t>
      </w:r>
      <w:r>
        <w:rPr>
          <w:rFonts w:hint="eastAsia" w:ascii="微软雅黑" w:hAnsi="微软雅黑" w:cs="微软雅黑"/>
          <w:sz w:val="24"/>
          <w:highlight w:val="none"/>
          <w:lang w:val="en-US" w:eastAsia="zh-CN"/>
        </w:rPr>
        <w:t>1、</w:t>
      </w:r>
      <w:r>
        <w:rPr>
          <w:rFonts w:hint="eastAsia" w:ascii="微软雅黑" w:hAnsi="微软雅黑" w:cs="微软雅黑"/>
          <w:sz w:val="24"/>
          <w:highlight w:val="none"/>
        </w:rPr>
        <w:t>法定代表人或法定代表人授权委托书；</w:t>
      </w:r>
      <w:r>
        <w:rPr>
          <w:rFonts w:hint="eastAsia" w:ascii="微软雅黑" w:hAnsi="微软雅黑" w:cs="微软雅黑"/>
          <w:sz w:val="24"/>
          <w:highlight w:val="none"/>
          <w:lang w:val="en-US" w:eastAsia="zh-CN"/>
        </w:rPr>
        <w:t>2、</w:t>
      </w:r>
      <w:r>
        <w:rPr>
          <w:rFonts w:hint="eastAsia" w:ascii="微软雅黑" w:hAnsi="微软雅黑" w:cs="微软雅黑"/>
          <w:sz w:val="24"/>
          <w:highlight w:val="none"/>
        </w:rPr>
        <w:t>法定代表人身份证或被委托人身份证；</w:t>
      </w:r>
      <w:r>
        <w:rPr>
          <w:rFonts w:hint="eastAsia" w:ascii="微软雅黑" w:hAnsi="微软雅黑" w:cs="微软雅黑"/>
          <w:sz w:val="24"/>
          <w:highlight w:val="none"/>
          <w:lang w:val="en-US" w:eastAsia="zh-CN"/>
        </w:rPr>
        <w:t>3、</w:t>
      </w:r>
      <w:r>
        <w:rPr>
          <w:rFonts w:hint="eastAsia" w:ascii="微软雅黑" w:hAnsi="微软雅黑" w:cs="微软雅黑"/>
          <w:sz w:val="24"/>
          <w:highlight w:val="none"/>
        </w:rPr>
        <w:t>营业执照副本；</w:t>
      </w:r>
      <w:r>
        <w:rPr>
          <w:rFonts w:hint="eastAsia" w:ascii="微软雅黑" w:hAnsi="微软雅黑" w:cs="微软雅黑"/>
          <w:sz w:val="24"/>
          <w:highlight w:val="none"/>
          <w:lang w:val="en-US" w:eastAsia="zh-CN"/>
        </w:rPr>
        <w:t>4、</w:t>
      </w:r>
      <w:r>
        <w:rPr>
          <w:rFonts w:hint="eastAsia" w:ascii="微软雅黑" w:hAnsi="微软雅黑" w:cs="微软雅黑"/>
          <w:sz w:val="24"/>
          <w:highlight w:val="none"/>
        </w:rPr>
        <w:t>《金融机构法人许可证》或《金融机构营业许可证》。</w:t>
      </w:r>
      <w:r>
        <w:rPr>
          <w:rFonts w:hint="eastAsia" w:ascii="微软雅黑" w:hAnsi="微软雅黑" w:cs="微软雅黑"/>
          <w:sz w:val="24"/>
          <w:highlight w:val="none"/>
          <w:lang w:val="en-US" w:eastAsia="zh-CN"/>
        </w:rPr>
        <w:t>5、</w:t>
      </w:r>
      <w:r>
        <w:rPr>
          <w:rFonts w:hint="eastAsia" w:ascii="仿宋" w:hAnsi="仿宋" w:cs="宋体"/>
          <w:color w:val="000000"/>
          <w:kern w:val="0"/>
          <w:sz w:val="23"/>
          <w:szCs w:val="23"/>
          <w:highlight w:val="none"/>
        </w:rPr>
        <w:t>信用证明：提供“信用中国”网站(www. credi tchina. gov. cn)查询结果页面截图（加盖公章）、国家企业信用信息公示系统(ttp://ww. gsxt. gov. cn)失信被执行人、重大税收违法案件当事人名单的投标人，“中国政府采购网”网站(www. ccgp. gov. cn)政府采购严重违法失信行为记录名单中网站查询结果页面截图（加盖公章）。</w:t>
      </w:r>
    </w:p>
    <w:p>
      <w:pPr>
        <w:widowControl/>
        <w:spacing w:before="63" w:after="63" w:line="300" w:lineRule="exact"/>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    售价（元）：</w:t>
      </w:r>
      <w:r>
        <w:rPr>
          <w:rFonts w:hint="eastAsia" w:ascii="仿宋" w:hAnsi="仿宋" w:cs="宋体"/>
          <w:color w:val="000000"/>
          <w:kern w:val="0"/>
          <w:sz w:val="23"/>
          <w:szCs w:val="23"/>
          <w:highlight w:val="none"/>
        </w:rPr>
        <w:t>2</w:t>
      </w:r>
      <w:r>
        <w:rPr>
          <w:rFonts w:ascii="仿宋" w:hAnsi="仿宋" w:cs="宋体"/>
          <w:color w:val="000000"/>
          <w:kern w:val="0"/>
          <w:sz w:val="23"/>
          <w:szCs w:val="23"/>
          <w:highlight w:val="none"/>
        </w:rPr>
        <w:t>00 </w:t>
      </w:r>
    </w:p>
    <w:p>
      <w:pPr>
        <w:widowControl/>
        <w:spacing w:before="213" w:after="213" w:line="300" w:lineRule="exact"/>
        <w:rPr>
          <w:rFonts w:ascii="黑体" w:hAnsi="黑体" w:eastAsia="黑体" w:cs="宋体"/>
          <w:color w:val="000000"/>
          <w:kern w:val="0"/>
          <w:sz w:val="23"/>
          <w:szCs w:val="23"/>
          <w:highlight w:val="none"/>
        </w:rPr>
      </w:pPr>
      <w:r>
        <w:rPr>
          <w:rFonts w:hint="eastAsia" w:ascii="黑体" w:hAnsi="黑体" w:eastAsia="黑体" w:cs="宋体"/>
          <w:b/>
          <w:bCs/>
          <w:color w:val="000000"/>
          <w:kern w:val="0"/>
          <w:sz w:val="23"/>
          <w:szCs w:val="23"/>
          <w:highlight w:val="none"/>
        </w:rPr>
        <w:t>四、响应文件提交</w:t>
      </w:r>
    </w:p>
    <w:p>
      <w:pPr>
        <w:widowControl/>
        <w:spacing w:before="63" w:after="63" w:line="300" w:lineRule="exact"/>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 xml:space="preserve">    </w:t>
      </w:r>
      <w:r>
        <w:rPr>
          <w:rFonts w:ascii="仿宋" w:hAnsi="仿宋" w:cs="宋体"/>
          <w:color w:val="000000"/>
          <w:kern w:val="0"/>
          <w:sz w:val="23"/>
          <w:szCs w:val="23"/>
          <w:highlight w:val="none"/>
        </w:rPr>
        <w:t>截止时间：20</w:t>
      </w:r>
      <w:r>
        <w:rPr>
          <w:rFonts w:hint="eastAsia" w:ascii="仿宋" w:hAnsi="仿宋" w:cs="宋体"/>
          <w:color w:val="000000"/>
          <w:kern w:val="0"/>
          <w:sz w:val="23"/>
          <w:szCs w:val="23"/>
          <w:highlight w:val="none"/>
        </w:rPr>
        <w:t>22</w:t>
      </w:r>
      <w:r>
        <w:rPr>
          <w:rFonts w:ascii="仿宋" w:hAnsi="仿宋" w:cs="宋体"/>
          <w:color w:val="000000"/>
          <w:kern w:val="0"/>
          <w:sz w:val="23"/>
          <w:szCs w:val="23"/>
          <w:highlight w:val="none"/>
        </w:rPr>
        <w:t>年</w:t>
      </w:r>
      <w:r>
        <w:rPr>
          <w:rFonts w:hint="eastAsia" w:ascii="仿宋" w:hAnsi="仿宋" w:cs="宋体"/>
          <w:color w:val="000000"/>
          <w:kern w:val="0"/>
          <w:sz w:val="23"/>
          <w:szCs w:val="23"/>
          <w:highlight w:val="none"/>
          <w:lang w:val="en-US" w:eastAsia="zh-CN"/>
        </w:rPr>
        <w:t>5</w:t>
      </w:r>
      <w:r>
        <w:rPr>
          <w:rFonts w:ascii="仿宋" w:hAnsi="仿宋" w:cs="宋体"/>
          <w:color w:val="000000"/>
          <w:kern w:val="0"/>
          <w:sz w:val="23"/>
          <w:szCs w:val="23"/>
          <w:highlight w:val="none"/>
        </w:rPr>
        <w:t>月</w:t>
      </w:r>
      <w:r>
        <w:rPr>
          <w:rFonts w:hint="eastAsia" w:ascii="仿宋" w:hAnsi="仿宋" w:cs="宋体"/>
          <w:color w:val="000000"/>
          <w:kern w:val="0"/>
          <w:sz w:val="23"/>
          <w:szCs w:val="23"/>
          <w:highlight w:val="none"/>
          <w:lang w:val="en-US" w:eastAsia="zh-CN"/>
        </w:rPr>
        <w:t>16</w:t>
      </w:r>
      <w:r>
        <w:rPr>
          <w:rFonts w:ascii="仿宋" w:hAnsi="仿宋" w:cs="宋体"/>
          <w:color w:val="000000"/>
          <w:kern w:val="0"/>
          <w:sz w:val="23"/>
          <w:szCs w:val="23"/>
          <w:highlight w:val="none"/>
        </w:rPr>
        <w:t>日</w:t>
      </w:r>
      <w:r>
        <w:rPr>
          <w:rFonts w:hint="eastAsia" w:ascii="仿宋" w:hAnsi="仿宋" w:cs="宋体"/>
          <w:color w:val="000000"/>
          <w:kern w:val="0"/>
          <w:sz w:val="23"/>
          <w:szCs w:val="23"/>
          <w:highlight w:val="none"/>
        </w:rPr>
        <w:t>11</w:t>
      </w:r>
      <w:r>
        <w:rPr>
          <w:rFonts w:ascii="仿宋" w:hAnsi="仿宋" w:cs="宋体"/>
          <w:color w:val="000000"/>
          <w:kern w:val="0"/>
          <w:sz w:val="23"/>
          <w:szCs w:val="23"/>
          <w:highlight w:val="none"/>
        </w:rPr>
        <w:t>:</w:t>
      </w:r>
      <w:r>
        <w:rPr>
          <w:rFonts w:hint="eastAsia" w:ascii="仿宋" w:hAnsi="仿宋" w:cs="宋体"/>
          <w:color w:val="000000"/>
          <w:kern w:val="0"/>
          <w:sz w:val="23"/>
          <w:szCs w:val="23"/>
          <w:highlight w:val="none"/>
        </w:rPr>
        <w:t>00</w:t>
      </w:r>
      <w:r>
        <w:rPr>
          <w:rFonts w:ascii="仿宋" w:hAnsi="仿宋" w:cs="宋体"/>
          <w:color w:val="000000"/>
          <w:kern w:val="0"/>
          <w:sz w:val="23"/>
          <w:szCs w:val="23"/>
          <w:highlight w:val="none"/>
        </w:rPr>
        <w:t>北京时间）</w:t>
      </w:r>
    </w:p>
    <w:p>
      <w:pPr>
        <w:widowControl/>
        <w:spacing w:before="63" w:after="63" w:line="300" w:lineRule="exact"/>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    地点：</w:t>
      </w:r>
      <w:r>
        <w:rPr>
          <w:rFonts w:hint="eastAsia" w:ascii="仿宋" w:hAnsi="仿宋" w:cs="宋体"/>
          <w:color w:val="000000"/>
          <w:kern w:val="0"/>
          <w:sz w:val="23"/>
          <w:szCs w:val="23"/>
          <w:highlight w:val="none"/>
        </w:rPr>
        <w:t>塔城市华悦旅游宾馆二楼会议室（如有变更另行通知）</w:t>
      </w:r>
    </w:p>
    <w:p>
      <w:pPr>
        <w:widowControl/>
        <w:spacing w:before="213" w:after="213" w:line="300" w:lineRule="exact"/>
        <w:rPr>
          <w:rFonts w:ascii="黑体" w:hAnsi="黑体" w:eastAsia="黑体" w:cs="宋体"/>
          <w:color w:val="000000"/>
          <w:kern w:val="0"/>
          <w:sz w:val="23"/>
          <w:szCs w:val="23"/>
          <w:highlight w:val="none"/>
        </w:rPr>
      </w:pPr>
      <w:r>
        <w:rPr>
          <w:rFonts w:hint="eastAsia" w:ascii="黑体" w:hAnsi="黑体" w:eastAsia="黑体" w:cs="宋体"/>
          <w:b/>
          <w:bCs/>
          <w:color w:val="000000"/>
          <w:kern w:val="0"/>
          <w:sz w:val="23"/>
          <w:szCs w:val="23"/>
          <w:highlight w:val="none"/>
        </w:rPr>
        <w:t>五、响应文件开启</w:t>
      </w:r>
      <w:r>
        <w:rPr>
          <w:rFonts w:hint="eastAsia" w:ascii="宋体" w:hAnsi="宋体" w:cs="宋体"/>
          <w:color w:val="000000"/>
          <w:kern w:val="0"/>
          <w:sz w:val="23"/>
          <w:szCs w:val="23"/>
          <w:highlight w:val="none"/>
        </w:rPr>
        <w:t> </w:t>
      </w:r>
    </w:p>
    <w:p>
      <w:pPr>
        <w:widowControl/>
        <w:spacing w:before="63" w:after="63" w:line="300" w:lineRule="exact"/>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 xml:space="preserve">    </w:t>
      </w:r>
      <w:r>
        <w:rPr>
          <w:rFonts w:ascii="仿宋" w:hAnsi="仿宋" w:cs="宋体"/>
          <w:color w:val="000000"/>
          <w:kern w:val="0"/>
          <w:sz w:val="23"/>
          <w:szCs w:val="23"/>
          <w:highlight w:val="none"/>
        </w:rPr>
        <w:t>开启时间：20</w:t>
      </w:r>
      <w:r>
        <w:rPr>
          <w:rFonts w:hint="eastAsia" w:ascii="仿宋" w:hAnsi="仿宋" w:cs="宋体"/>
          <w:color w:val="000000"/>
          <w:kern w:val="0"/>
          <w:sz w:val="23"/>
          <w:szCs w:val="23"/>
          <w:highlight w:val="none"/>
        </w:rPr>
        <w:t>22</w:t>
      </w:r>
      <w:r>
        <w:rPr>
          <w:rFonts w:ascii="仿宋" w:hAnsi="仿宋" w:cs="宋体"/>
          <w:color w:val="000000"/>
          <w:kern w:val="0"/>
          <w:sz w:val="23"/>
          <w:szCs w:val="23"/>
          <w:highlight w:val="none"/>
        </w:rPr>
        <w:t>年</w:t>
      </w:r>
      <w:r>
        <w:rPr>
          <w:rFonts w:hint="eastAsia" w:ascii="仿宋" w:hAnsi="仿宋" w:cs="宋体"/>
          <w:color w:val="000000"/>
          <w:kern w:val="0"/>
          <w:sz w:val="23"/>
          <w:szCs w:val="23"/>
          <w:highlight w:val="none"/>
          <w:lang w:val="en-US" w:eastAsia="zh-CN"/>
        </w:rPr>
        <w:t>5</w:t>
      </w:r>
      <w:r>
        <w:rPr>
          <w:rFonts w:ascii="仿宋" w:hAnsi="仿宋" w:cs="宋体"/>
          <w:color w:val="000000"/>
          <w:kern w:val="0"/>
          <w:sz w:val="23"/>
          <w:szCs w:val="23"/>
          <w:highlight w:val="none"/>
        </w:rPr>
        <w:t>月</w:t>
      </w:r>
      <w:r>
        <w:rPr>
          <w:rFonts w:hint="eastAsia" w:ascii="仿宋" w:hAnsi="仿宋" w:cs="宋体"/>
          <w:color w:val="000000"/>
          <w:kern w:val="0"/>
          <w:sz w:val="23"/>
          <w:szCs w:val="23"/>
          <w:highlight w:val="none"/>
          <w:lang w:val="en-US" w:eastAsia="zh-CN"/>
        </w:rPr>
        <w:t>16</w:t>
      </w:r>
      <w:r>
        <w:rPr>
          <w:rFonts w:ascii="仿宋" w:hAnsi="仿宋" w:cs="宋体"/>
          <w:color w:val="000000"/>
          <w:kern w:val="0"/>
          <w:sz w:val="23"/>
          <w:szCs w:val="23"/>
          <w:highlight w:val="none"/>
        </w:rPr>
        <w:t>日</w:t>
      </w:r>
      <w:r>
        <w:rPr>
          <w:rFonts w:hint="eastAsia" w:ascii="仿宋" w:hAnsi="仿宋" w:cs="宋体"/>
          <w:color w:val="000000"/>
          <w:kern w:val="0"/>
          <w:sz w:val="23"/>
          <w:szCs w:val="23"/>
          <w:highlight w:val="none"/>
        </w:rPr>
        <w:t>11</w:t>
      </w:r>
      <w:r>
        <w:rPr>
          <w:rFonts w:ascii="仿宋" w:hAnsi="仿宋" w:cs="宋体"/>
          <w:color w:val="000000"/>
          <w:kern w:val="0"/>
          <w:sz w:val="23"/>
          <w:szCs w:val="23"/>
          <w:highlight w:val="none"/>
        </w:rPr>
        <w:t>:</w:t>
      </w:r>
      <w:r>
        <w:rPr>
          <w:rFonts w:hint="eastAsia" w:ascii="仿宋" w:hAnsi="仿宋" w:cs="宋体"/>
          <w:color w:val="000000"/>
          <w:kern w:val="0"/>
          <w:sz w:val="23"/>
          <w:szCs w:val="23"/>
          <w:highlight w:val="none"/>
        </w:rPr>
        <w:t>00</w:t>
      </w:r>
      <w:r>
        <w:rPr>
          <w:rFonts w:ascii="仿宋" w:hAnsi="仿宋" w:cs="宋体"/>
          <w:color w:val="000000"/>
          <w:kern w:val="0"/>
          <w:sz w:val="23"/>
          <w:szCs w:val="23"/>
          <w:highlight w:val="none"/>
        </w:rPr>
        <w:t>（北京时间）</w:t>
      </w:r>
    </w:p>
    <w:p>
      <w:pPr>
        <w:widowControl/>
        <w:spacing w:before="63" w:after="63" w:line="300" w:lineRule="exact"/>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    地点：</w:t>
      </w:r>
      <w:r>
        <w:rPr>
          <w:rFonts w:hint="eastAsia" w:ascii="仿宋" w:hAnsi="仿宋" w:cs="宋体"/>
          <w:color w:val="000000"/>
          <w:kern w:val="0"/>
          <w:sz w:val="23"/>
          <w:szCs w:val="23"/>
          <w:highlight w:val="none"/>
        </w:rPr>
        <w:t>塔城市华悦旅游宾馆二楼会议室（如有变更另行通知）</w:t>
      </w:r>
    </w:p>
    <w:p>
      <w:pPr>
        <w:widowControl/>
        <w:spacing w:before="213" w:after="213" w:line="300" w:lineRule="exact"/>
        <w:rPr>
          <w:rFonts w:ascii="黑体" w:hAnsi="黑体" w:eastAsia="黑体" w:cs="宋体"/>
          <w:color w:val="000000"/>
          <w:kern w:val="0"/>
          <w:sz w:val="26"/>
          <w:szCs w:val="26"/>
          <w:highlight w:val="none"/>
        </w:rPr>
      </w:pPr>
      <w:r>
        <w:rPr>
          <w:rFonts w:hint="eastAsia" w:ascii="黑体" w:hAnsi="黑体" w:eastAsia="黑体" w:cs="宋体"/>
          <w:b/>
          <w:bCs/>
          <w:color w:val="000000"/>
          <w:kern w:val="0"/>
          <w:sz w:val="23"/>
          <w:szCs w:val="23"/>
          <w:highlight w:val="none"/>
        </w:rPr>
        <w:t>六、公告期限</w:t>
      </w:r>
      <w:r>
        <w:rPr>
          <w:rFonts w:hint="eastAsia" w:ascii="宋体" w:hAnsi="宋体" w:cs="宋体"/>
          <w:color w:val="000000"/>
          <w:kern w:val="0"/>
          <w:sz w:val="26"/>
          <w:szCs w:val="26"/>
          <w:highlight w:val="none"/>
        </w:rPr>
        <w:t> </w:t>
      </w:r>
    </w:p>
    <w:p>
      <w:pPr>
        <w:widowControl/>
        <w:spacing w:before="63" w:after="63" w:line="300" w:lineRule="exact"/>
        <w:jc w:val="left"/>
        <w:rPr>
          <w:rFonts w:ascii="Arial" w:hAnsi="Arial" w:cs="Arial"/>
          <w:color w:val="000000"/>
          <w:kern w:val="0"/>
          <w:sz w:val="20"/>
          <w:szCs w:val="20"/>
          <w:highlight w:val="none"/>
        </w:rPr>
      </w:pPr>
      <w:r>
        <w:rPr>
          <w:rFonts w:ascii="仿宋" w:hAnsi="仿宋" w:cs="Arial"/>
          <w:color w:val="000000"/>
          <w:kern w:val="0"/>
          <w:sz w:val="23"/>
          <w:szCs w:val="23"/>
          <w:highlight w:val="none"/>
        </w:rPr>
        <w:t>    自本公告发布之日起</w:t>
      </w:r>
      <w:r>
        <w:rPr>
          <w:rFonts w:hint="eastAsia" w:ascii="仿宋" w:hAnsi="仿宋" w:cs="Arial"/>
          <w:color w:val="000000"/>
          <w:kern w:val="0"/>
          <w:sz w:val="23"/>
          <w:szCs w:val="23"/>
          <w:highlight w:val="none"/>
        </w:rPr>
        <w:t>3</w:t>
      </w:r>
      <w:r>
        <w:rPr>
          <w:rFonts w:ascii="仿宋" w:hAnsi="仿宋" w:cs="Arial"/>
          <w:color w:val="000000"/>
          <w:kern w:val="0"/>
          <w:sz w:val="23"/>
          <w:szCs w:val="23"/>
          <w:highlight w:val="none"/>
        </w:rPr>
        <w:t>个工作日。</w:t>
      </w:r>
    </w:p>
    <w:p>
      <w:pPr>
        <w:widowControl/>
        <w:spacing w:before="213" w:after="213" w:line="300" w:lineRule="exact"/>
        <w:rPr>
          <w:rFonts w:ascii="黑体" w:hAnsi="黑体" w:eastAsia="黑体" w:cs="宋体"/>
          <w:color w:val="000000"/>
          <w:kern w:val="0"/>
          <w:sz w:val="23"/>
          <w:szCs w:val="23"/>
          <w:highlight w:val="none"/>
        </w:rPr>
      </w:pPr>
      <w:r>
        <w:rPr>
          <w:rFonts w:hint="eastAsia" w:ascii="黑体" w:hAnsi="黑体" w:eastAsia="黑体" w:cs="宋体"/>
          <w:b/>
          <w:bCs/>
          <w:color w:val="000000"/>
          <w:kern w:val="0"/>
          <w:sz w:val="23"/>
          <w:szCs w:val="23"/>
          <w:highlight w:val="none"/>
        </w:rPr>
        <w:t>七、其他补充事宜</w:t>
      </w:r>
      <w:r>
        <w:rPr>
          <w:rFonts w:hint="eastAsia" w:ascii="宋体" w:hAnsi="宋体" w:cs="宋体"/>
          <w:color w:val="000000"/>
          <w:kern w:val="0"/>
          <w:sz w:val="23"/>
          <w:szCs w:val="23"/>
          <w:highlight w:val="none"/>
        </w:rPr>
        <w:t> </w:t>
      </w:r>
    </w:p>
    <w:p>
      <w:pPr>
        <w:widowControl/>
        <w:spacing w:before="63" w:after="63" w:line="300" w:lineRule="exact"/>
        <w:jc w:val="left"/>
        <w:rPr>
          <w:rFonts w:ascii="Arial" w:hAnsi="Arial" w:cs="Arial"/>
          <w:color w:val="000000"/>
          <w:kern w:val="0"/>
          <w:sz w:val="20"/>
          <w:szCs w:val="20"/>
          <w:highlight w:val="none"/>
        </w:rPr>
      </w:pPr>
      <w:r>
        <w:rPr>
          <w:rFonts w:ascii="仿宋" w:hAnsi="仿宋" w:cs="Arial"/>
          <w:color w:val="000000"/>
          <w:kern w:val="0"/>
          <w:sz w:val="23"/>
          <w:szCs w:val="23"/>
          <w:highlight w:val="none"/>
        </w:rPr>
        <w:t>   /  </w:t>
      </w:r>
    </w:p>
    <w:p>
      <w:pPr>
        <w:widowControl/>
        <w:spacing w:before="213" w:after="213" w:line="300" w:lineRule="exact"/>
        <w:rPr>
          <w:rFonts w:ascii="黑体" w:hAnsi="黑体" w:eastAsia="黑体" w:cs="宋体"/>
          <w:color w:val="000000"/>
          <w:kern w:val="0"/>
          <w:sz w:val="26"/>
          <w:szCs w:val="26"/>
          <w:highlight w:val="none"/>
        </w:rPr>
      </w:pPr>
      <w:r>
        <w:rPr>
          <w:rFonts w:hint="eastAsia" w:ascii="黑体" w:hAnsi="黑体" w:eastAsia="黑体" w:cs="宋体"/>
          <w:b/>
          <w:bCs/>
          <w:color w:val="000000"/>
          <w:kern w:val="0"/>
          <w:sz w:val="23"/>
          <w:szCs w:val="23"/>
          <w:highlight w:val="none"/>
        </w:rPr>
        <w:t>八、凡对本次招标提出询问，请按以下方式联系</w:t>
      </w:r>
    </w:p>
    <w:p>
      <w:pPr>
        <w:widowControl/>
        <w:spacing w:before="63" w:after="63" w:line="300" w:lineRule="exact"/>
        <w:ind w:firstLine="480"/>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1.采购人信息</w:t>
      </w:r>
    </w:p>
    <w:p>
      <w:pPr>
        <w:widowControl/>
        <w:spacing w:before="63" w:after="63" w:line="300" w:lineRule="exact"/>
        <w:ind w:firstLine="480"/>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名 称：</w:t>
      </w:r>
      <w:r>
        <w:rPr>
          <w:rFonts w:hint="eastAsia" w:ascii="仿宋" w:hAnsi="仿宋" w:cs="宋体"/>
          <w:color w:val="000000"/>
          <w:kern w:val="0"/>
          <w:sz w:val="23"/>
          <w:szCs w:val="23"/>
          <w:highlight w:val="none"/>
        </w:rPr>
        <w:t>城地区住房公积金管理中心</w:t>
      </w:r>
    </w:p>
    <w:p>
      <w:pPr>
        <w:widowControl/>
        <w:spacing w:before="63" w:after="63" w:line="300" w:lineRule="exact"/>
        <w:ind w:firstLine="480"/>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地 址：</w:t>
      </w:r>
      <w:r>
        <w:rPr>
          <w:rFonts w:ascii="仿宋" w:hAnsi="仿宋" w:cs="宋体"/>
          <w:color w:val="000000"/>
          <w:kern w:val="0"/>
          <w:sz w:val="23"/>
          <w:highlight w:val="none"/>
        </w:rPr>
        <w:t>塔城市六合创业大厦</w:t>
      </w:r>
      <w:r>
        <w:rPr>
          <w:rFonts w:hint="eastAsia" w:ascii="仿宋" w:hAnsi="仿宋" w:cs="宋体"/>
          <w:color w:val="000000"/>
          <w:kern w:val="0"/>
          <w:sz w:val="23"/>
          <w:highlight w:val="none"/>
          <w:lang w:val="en-US" w:eastAsia="zh-CN"/>
        </w:rPr>
        <w:t>B</w:t>
      </w:r>
      <w:r>
        <w:rPr>
          <w:rFonts w:ascii="仿宋" w:hAnsi="仿宋" w:cs="宋体"/>
          <w:color w:val="000000"/>
          <w:kern w:val="0"/>
          <w:sz w:val="23"/>
          <w:highlight w:val="none"/>
        </w:rPr>
        <w:t>区2楼</w:t>
      </w:r>
    </w:p>
    <w:p>
      <w:pPr>
        <w:widowControl/>
        <w:spacing w:before="63" w:after="63" w:line="300" w:lineRule="exact"/>
        <w:ind w:firstLine="480"/>
        <w:jc w:val="left"/>
        <w:rPr>
          <w:rFonts w:ascii="仿宋" w:hAnsi="仿宋" w:cs="宋体"/>
          <w:color w:val="000000"/>
          <w:kern w:val="0"/>
          <w:sz w:val="23"/>
          <w:highlight w:val="none"/>
        </w:rPr>
      </w:pPr>
      <w:r>
        <w:rPr>
          <w:rFonts w:ascii="仿宋" w:hAnsi="仿宋" w:cs="宋体"/>
          <w:color w:val="000000"/>
          <w:kern w:val="0"/>
          <w:sz w:val="23"/>
          <w:szCs w:val="23"/>
          <w:highlight w:val="none"/>
        </w:rPr>
        <w:t>联系方式：</w:t>
      </w:r>
      <w:r>
        <w:rPr>
          <w:rFonts w:hint="eastAsia" w:ascii="仿宋" w:hAnsi="仿宋" w:cs="宋体"/>
          <w:color w:val="000000"/>
          <w:kern w:val="0"/>
          <w:sz w:val="23"/>
          <w:highlight w:val="none"/>
        </w:rPr>
        <w:t>13399734585</w:t>
      </w:r>
    </w:p>
    <w:p>
      <w:pPr>
        <w:widowControl/>
        <w:spacing w:before="63" w:after="63" w:line="300" w:lineRule="exact"/>
        <w:ind w:firstLine="48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2.采购代理机构信息</w:t>
      </w:r>
    </w:p>
    <w:p>
      <w:pPr>
        <w:widowControl/>
        <w:spacing w:before="63" w:after="63" w:line="300" w:lineRule="exact"/>
        <w:ind w:firstLine="48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名 称：新疆绿翔工程招标有限公司</w:t>
      </w:r>
    </w:p>
    <w:p>
      <w:pPr>
        <w:widowControl/>
        <w:spacing w:before="63" w:after="63" w:line="300" w:lineRule="exact"/>
        <w:ind w:firstLine="48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地 址：</w:t>
      </w:r>
      <w:r>
        <w:rPr>
          <w:rFonts w:hint="eastAsia" w:ascii="仿宋" w:hAnsi="仿宋" w:cs="宋体"/>
          <w:color w:val="000000"/>
          <w:kern w:val="0"/>
          <w:sz w:val="23"/>
          <w:szCs w:val="23"/>
          <w:highlight w:val="none"/>
        </w:rPr>
        <w:t>新疆塔城地区额敏县第九师绿翔大厦10楼K-F轴</w:t>
      </w:r>
    </w:p>
    <w:p>
      <w:pPr>
        <w:widowControl/>
        <w:spacing w:before="63" w:after="63" w:line="300" w:lineRule="exact"/>
        <w:ind w:firstLine="480"/>
        <w:jc w:val="left"/>
        <w:rPr>
          <w:rFonts w:hint="eastAsia" w:ascii="仿宋" w:hAnsi="仿宋" w:cs="宋体"/>
          <w:color w:val="000000"/>
          <w:kern w:val="0"/>
          <w:sz w:val="23"/>
          <w:szCs w:val="23"/>
          <w:highlight w:val="none"/>
        </w:rPr>
      </w:pPr>
      <w:r>
        <w:rPr>
          <w:rFonts w:ascii="仿宋" w:hAnsi="仿宋" w:cs="宋体"/>
          <w:color w:val="000000"/>
          <w:kern w:val="0"/>
          <w:sz w:val="23"/>
          <w:szCs w:val="23"/>
          <w:highlight w:val="none"/>
        </w:rPr>
        <w:t>联系方式：</w:t>
      </w:r>
      <w:r>
        <w:rPr>
          <w:rFonts w:hint="eastAsia" w:ascii="仿宋" w:hAnsi="仿宋" w:cs="宋体"/>
          <w:color w:val="000000"/>
          <w:kern w:val="0"/>
          <w:sz w:val="23"/>
          <w:szCs w:val="23"/>
          <w:highlight w:val="none"/>
        </w:rPr>
        <w:t>0901-3386467</w:t>
      </w:r>
    </w:p>
    <w:p>
      <w:pPr>
        <w:widowControl/>
        <w:spacing w:before="63" w:after="63" w:line="300" w:lineRule="exact"/>
        <w:ind w:firstLine="480"/>
        <w:jc w:val="left"/>
        <w:rPr>
          <w:rFonts w:hint="eastAsia" w:ascii="仿宋" w:hAnsi="仿宋" w:cs="宋体"/>
          <w:color w:val="000000"/>
          <w:kern w:val="0"/>
          <w:sz w:val="20"/>
          <w:szCs w:val="20"/>
          <w:highlight w:val="none"/>
        </w:rPr>
      </w:pPr>
      <w:r>
        <w:rPr>
          <w:rFonts w:ascii="仿宋" w:hAnsi="仿宋" w:cs="宋体"/>
          <w:color w:val="000000"/>
          <w:kern w:val="0"/>
          <w:sz w:val="23"/>
          <w:szCs w:val="23"/>
          <w:highlight w:val="none"/>
        </w:rPr>
        <w:t>3.项目联系方式</w:t>
      </w:r>
    </w:p>
    <w:p>
      <w:pPr>
        <w:widowControl/>
        <w:spacing w:before="63" w:after="63" w:line="300" w:lineRule="exact"/>
        <w:ind w:firstLine="480"/>
        <w:jc w:val="left"/>
        <w:rPr>
          <w:rFonts w:hint="eastAsia" w:ascii="inherit" w:hAnsi="inherit" w:cs="宋体"/>
          <w:color w:val="000000"/>
          <w:kern w:val="0"/>
          <w:sz w:val="23"/>
          <w:szCs w:val="23"/>
          <w:highlight w:val="none"/>
        </w:rPr>
      </w:pPr>
      <w:r>
        <w:rPr>
          <w:rFonts w:ascii="仿宋" w:hAnsi="仿宋" w:cs="宋体"/>
          <w:color w:val="000000"/>
          <w:kern w:val="0"/>
          <w:sz w:val="23"/>
          <w:szCs w:val="23"/>
          <w:highlight w:val="none"/>
        </w:rPr>
        <w:t>项目联系人：</w:t>
      </w:r>
      <w:r>
        <w:rPr>
          <w:rFonts w:ascii="inherit" w:hAnsi="inherit" w:cs="宋体"/>
          <w:color w:val="000000"/>
          <w:kern w:val="0"/>
          <w:sz w:val="23"/>
          <w:szCs w:val="23"/>
          <w:highlight w:val="none"/>
        </w:rPr>
        <w:t>张馨匀</w:t>
      </w:r>
    </w:p>
    <w:p>
      <w:pPr>
        <w:ind w:firstLine="460" w:firstLineChars="200"/>
        <w:rPr>
          <w:highlight w:val="none"/>
        </w:rPr>
      </w:pPr>
      <w:r>
        <w:rPr>
          <w:rFonts w:ascii="仿宋" w:hAnsi="仿宋" w:cs="宋体"/>
          <w:color w:val="000000"/>
          <w:kern w:val="0"/>
          <w:sz w:val="23"/>
          <w:szCs w:val="23"/>
          <w:highlight w:val="none"/>
        </w:rPr>
        <w:t>电 话：</w:t>
      </w:r>
      <w:r>
        <w:rPr>
          <w:rFonts w:hint="eastAsia" w:ascii="仿宋" w:hAnsi="仿宋" w:cs="宋体"/>
          <w:color w:val="000000"/>
          <w:kern w:val="0"/>
          <w:sz w:val="23"/>
          <w:szCs w:val="23"/>
          <w:highlight w:val="none"/>
        </w:rPr>
        <w:t>0901-3386467</w:t>
      </w:r>
    </w:p>
    <w:p>
      <w:pPr>
        <w:rPr>
          <w:highlight w:val="none"/>
        </w:rPr>
      </w:pPr>
    </w:p>
    <w:sectPr>
      <w:footerReference r:id="rId3" w:type="default"/>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NGU3NjE5YjlkYjkzYjgwN2FlYjJhZjczYjQxMGEifQ=="/>
  </w:docVars>
  <w:rsids>
    <w:rsidRoot w:val="03BD389A"/>
    <w:rsid w:val="03BD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2"/>
    <w:basedOn w:val="1"/>
    <w:qFormat/>
    <w:uiPriority w:val="0"/>
    <w:pPr>
      <w:spacing w:line="480" w:lineRule="auto"/>
      <w:textAlignment w:val="baseline"/>
    </w:pPr>
  </w:style>
  <w:style w:type="paragraph" w:styleId="3">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2022-04-29T05:17:00Z</dcterms:created>
  <dc:creator>陪你纯真青涩到沉稳笃定i1423233931</dc:creator>
  <cp:lastModifiedBy>陪你纯真青涩到沉稳笃定i1423233931</cp:lastModifiedBy>
  <dcterms:modified xsi:type="dcterms:W3CDTF">2022-04-29T05:19:22Z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7091DDC6E0FF4279A16330084967D090</vt:lpwstr>
  </property>
</Properties>
</file>