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line="1300" w:lineRule="exact"/>
        <w:rPr>
          <w:rFonts w:ascii="微软雅黑" w:hAnsi="微软雅黑"/>
          <w:b/>
          <w:bCs/>
          <w:sz w:val="30"/>
          <w:szCs w:val="30"/>
        </w:rPr>
      </w:pPr>
      <w:bookmarkStart w:id="0" w:name="_Toc20618"/>
      <w:bookmarkStart w:id="1" w:name="_Toc23376"/>
      <w:bookmarkStart w:id="2" w:name="_Toc10163"/>
    </w:p>
    <w:p>
      <w:pPr>
        <w:pStyle w:val="18"/>
        <w:spacing w:line="1300" w:lineRule="exact"/>
        <w:rPr>
          <w:rFonts w:ascii="微软雅黑" w:hAnsi="微软雅黑"/>
          <w:b/>
          <w:bCs/>
          <w:sz w:val="30"/>
          <w:szCs w:val="30"/>
        </w:rPr>
      </w:pPr>
    </w:p>
    <w:p>
      <w:pPr>
        <w:spacing w:line="360" w:lineRule="auto"/>
        <w:jc w:val="center"/>
        <w:rPr>
          <w:rFonts w:hAnsi="宋体" w:cs="宋体"/>
          <w:b/>
          <w:bCs/>
          <w:sz w:val="44"/>
        </w:rPr>
      </w:pPr>
      <w:r>
        <w:rPr>
          <w:rFonts w:hint="eastAsia" w:hAnsi="宋体" w:cs="宋体"/>
          <w:b/>
          <w:bCs/>
          <w:sz w:val="96"/>
          <w:szCs w:val="96"/>
        </w:rPr>
        <w:t>竞争性磋商采购文件</w:t>
      </w:r>
    </w:p>
    <w:p>
      <w:pPr>
        <w:spacing w:line="600" w:lineRule="auto"/>
        <w:rPr>
          <w:rFonts w:ascii="微软雅黑" w:hAnsi="微软雅黑"/>
          <w:b/>
          <w:bCs/>
          <w:sz w:val="36"/>
          <w:szCs w:val="22"/>
        </w:rPr>
      </w:pPr>
    </w:p>
    <w:p>
      <w:pPr>
        <w:pStyle w:val="15"/>
      </w:pPr>
    </w:p>
    <w:p>
      <w:pPr>
        <w:overflowPunct w:val="0"/>
        <w:spacing w:line="720" w:lineRule="auto"/>
        <w:jc w:val="left"/>
        <w:rPr>
          <w:rFonts w:ascii="微软雅黑" w:hAnsi="微软雅黑"/>
          <w:b/>
          <w:bCs/>
          <w:sz w:val="36"/>
          <w:szCs w:val="22"/>
        </w:rPr>
      </w:pPr>
      <w:r>
        <w:rPr>
          <w:rFonts w:hint="eastAsia" w:ascii="微软雅黑" w:hAnsi="微软雅黑"/>
          <w:b/>
          <w:bCs/>
          <w:sz w:val="36"/>
          <w:szCs w:val="22"/>
        </w:rPr>
        <w:t>项目名称：阜康市人民医院设备采购项目</w:t>
      </w:r>
    </w:p>
    <w:p>
      <w:pPr>
        <w:pStyle w:val="42"/>
        <w:ind w:firstLine="723"/>
        <w:rPr>
          <w:rFonts w:ascii="微软雅黑" w:hAnsi="微软雅黑"/>
          <w:b/>
          <w:bCs/>
          <w:sz w:val="36"/>
          <w:szCs w:val="22"/>
        </w:rPr>
      </w:pPr>
    </w:p>
    <w:p>
      <w:pPr>
        <w:pStyle w:val="18"/>
        <w:spacing w:line="1300" w:lineRule="exact"/>
        <w:rPr>
          <w:rFonts w:ascii="微软雅黑" w:hAnsi="微软雅黑"/>
          <w:b/>
          <w:bCs/>
          <w:sz w:val="36"/>
          <w:szCs w:val="22"/>
        </w:rPr>
      </w:pPr>
      <w:r>
        <w:rPr>
          <w:rFonts w:hint="eastAsia" w:ascii="微软雅黑" w:hAnsi="微软雅黑"/>
          <w:b/>
          <w:bCs/>
          <w:sz w:val="36"/>
          <w:szCs w:val="22"/>
        </w:rPr>
        <w:t>项目编号：</w:t>
      </w:r>
      <w:r>
        <w:rPr>
          <w:rFonts w:hint="eastAsia" w:ascii="微软雅黑" w:hAnsi="微软雅黑"/>
          <w:b/>
          <w:bCs/>
          <w:sz w:val="30"/>
          <w:szCs w:val="30"/>
        </w:rPr>
        <w:t>ZCGW【2022】-0124X</w:t>
      </w:r>
    </w:p>
    <w:p>
      <w:pPr>
        <w:spacing w:line="720" w:lineRule="auto"/>
        <w:rPr>
          <w:rFonts w:ascii="微软雅黑" w:hAnsi="微软雅黑"/>
          <w:b/>
          <w:bCs/>
          <w:sz w:val="36"/>
          <w:szCs w:val="22"/>
        </w:rPr>
      </w:pPr>
    </w:p>
    <w:p>
      <w:pPr>
        <w:spacing w:line="720" w:lineRule="auto"/>
        <w:rPr>
          <w:rFonts w:ascii="微软雅黑" w:hAnsi="微软雅黑"/>
          <w:b/>
          <w:bCs/>
          <w:sz w:val="36"/>
          <w:szCs w:val="22"/>
        </w:rPr>
      </w:pPr>
      <w:r>
        <w:rPr>
          <w:rFonts w:hint="eastAsia" w:ascii="微软雅黑" w:hAnsi="微软雅黑"/>
          <w:b/>
          <w:bCs/>
          <w:sz w:val="36"/>
          <w:szCs w:val="22"/>
        </w:rPr>
        <w:t>采 购 人：阜康市人民医院</w:t>
      </w:r>
    </w:p>
    <w:p>
      <w:pPr>
        <w:pStyle w:val="24"/>
        <w:rPr>
          <w:rFonts w:ascii="微软雅黑" w:hAnsi="微软雅黑"/>
          <w:b/>
          <w:bCs/>
          <w:sz w:val="36"/>
          <w:szCs w:val="22"/>
        </w:rPr>
      </w:pPr>
    </w:p>
    <w:p>
      <w:pPr>
        <w:pStyle w:val="24"/>
        <w:rPr>
          <w:rFonts w:ascii="微软雅黑" w:hAnsi="微软雅黑"/>
          <w:b/>
          <w:bCs/>
          <w:sz w:val="36"/>
          <w:szCs w:val="22"/>
        </w:rPr>
      </w:pPr>
    </w:p>
    <w:p>
      <w:pPr>
        <w:spacing w:line="720" w:lineRule="auto"/>
        <w:rPr>
          <w:rFonts w:hAnsi="宋体" w:cs="宋体"/>
          <w:b/>
          <w:bCs/>
          <w:sz w:val="44"/>
          <w:szCs w:val="44"/>
        </w:rPr>
      </w:pPr>
      <w:r>
        <w:rPr>
          <w:rFonts w:hint="eastAsia" w:ascii="微软雅黑" w:hAnsi="微软雅黑"/>
          <w:b/>
          <w:bCs/>
          <w:sz w:val="36"/>
          <w:szCs w:val="22"/>
        </w:rPr>
        <w:t>采购代理机构：新疆国文弘业招标有限公司</w:t>
      </w:r>
    </w:p>
    <w:p>
      <w:pPr>
        <w:pStyle w:val="15"/>
      </w:pPr>
    </w:p>
    <w:p>
      <w:pPr>
        <w:pStyle w:val="15"/>
      </w:pPr>
    </w:p>
    <w:p>
      <w:pPr>
        <w:spacing w:line="540" w:lineRule="exact"/>
        <w:jc w:val="center"/>
      </w:pPr>
      <w:r>
        <w:rPr>
          <w:rFonts w:hint="eastAsia" w:hAnsi="宋体" w:cs="宋体"/>
          <w:b/>
          <w:bCs/>
          <w:sz w:val="44"/>
          <w:szCs w:val="44"/>
        </w:rPr>
        <w:t>2022年4月</w:t>
      </w:r>
    </w:p>
    <w:p>
      <w:pPr>
        <w:spacing w:line="400" w:lineRule="exact"/>
        <w:jc w:val="center"/>
        <w:rPr>
          <w:b/>
          <w:bCs/>
          <w:sz w:val="28"/>
          <w:szCs w:val="24"/>
        </w:rPr>
      </w:pPr>
      <w:r>
        <w:rPr>
          <w:b/>
          <w:bCs/>
          <w:sz w:val="28"/>
          <w:szCs w:val="24"/>
        </w:rPr>
        <w:t>目    录</w:t>
      </w:r>
    </w:p>
    <w:p>
      <w:pPr>
        <w:pStyle w:val="31"/>
        <w:tabs>
          <w:tab w:val="right" w:leader="dot" w:pos="9070"/>
        </w:tabs>
      </w:pPr>
      <w:bookmarkStart w:id="3" w:name="_Toc10963"/>
      <w:bookmarkStart w:id="4" w:name="_Toc4627"/>
      <w:r>
        <w:rPr>
          <w:rFonts w:hint="eastAsia" w:ascii="宋体" w:hAnsi="宋体" w:cs="宋体"/>
          <w:sz w:val="24"/>
          <w:szCs w:val="24"/>
        </w:rPr>
        <w:fldChar w:fldCharType="begin"/>
      </w:r>
      <w:r>
        <w:rPr>
          <w:rFonts w:hint="eastAsia" w:ascii="宋体" w:hAnsi="宋体" w:cs="宋体"/>
          <w:sz w:val="24"/>
          <w:szCs w:val="24"/>
        </w:rPr>
        <w:instrText xml:space="preserve">TOC \o "1-3" \h \u </w:instrText>
      </w:r>
      <w:r>
        <w:rPr>
          <w:rFonts w:hint="eastAsia" w:ascii="宋体" w:hAnsi="宋体" w:cs="宋体"/>
          <w:sz w:val="24"/>
          <w:szCs w:val="24"/>
        </w:rPr>
        <w:fldChar w:fldCharType="separate"/>
      </w:r>
      <w:r>
        <w:fldChar w:fldCharType="begin"/>
      </w:r>
      <w:r>
        <w:instrText xml:space="preserve"> HYPERLINK \l "_Toc18292" </w:instrText>
      </w:r>
      <w:r>
        <w:fldChar w:fldCharType="separate"/>
      </w:r>
      <w:r>
        <w:rPr>
          <w:rFonts w:hint="eastAsia" w:ascii="宋体" w:hAnsi="宋体" w:cs="宋体"/>
          <w:szCs w:val="32"/>
        </w:rPr>
        <w:t>供应商须知前附表</w:t>
      </w:r>
      <w:r>
        <w:tab/>
      </w:r>
      <w:r>
        <w:fldChar w:fldCharType="begin"/>
      </w:r>
      <w:r>
        <w:instrText xml:space="preserve"> PAGEREF _Toc18292 \h </w:instrText>
      </w:r>
      <w:r>
        <w:fldChar w:fldCharType="separate"/>
      </w:r>
      <w:r>
        <w:t>1</w:t>
      </w:r>
      <w:r>
        <w:fldChar w:fldCharType="end"/>
      </w:r>
      <w:r>
        <w:fldChar w:fldCharType="end"/>
      </w:r>
    </w:p>
    <w:p>
      <w:pPr>
        <w:pStyle w:val="31"/>
        <w:tabs>
          <w:tab w:val="right" w:leader="dot" w:pos="9070"/>
        </w:tabs>
      </w:pPr>
      <w:r>
        <w:fldChar w:fldCharType="begin"/>
      </w:r>
      <w:r>
        <w:instrText xml:space="preserve"> HYPERLINK \l "_Toc24711" </w:instrText>
      </w:r>
      <w:r>
        <w:fldChar w:fldCharType="separate"/>
      </w:r>
      <w:r>
        <w:rPr>
          <w:rFonts w:hint="eastAsia" w:ascii="宋体" w:hAnsi="宋体" w:cs="宋体"/>
          <w:szCs w:val="32"/>
        </w:rPr>
        <w:t>第一章 采 购 公 告</w:t>
      </w:r>
      <w:r>
        <w:tab/>
      </w:r>
      <w:r>
        <w:fldChar w:fldCharType="begin"/>
      </w:r>
      <w:r>
        <w:instrText xml:space="preserve"> PAGEREF _Toc24711 \h </w:instrText>
      </w:r>
      <w:r>
        <w:fldChar w:fldCharType="separate"/>
      </w:r>
      <w:r>
        <w:t>5</w:t>
      </w:r>
      <w:r>
        <w:fldChar w:fldCharType="end"/>
      </w:r>
      <w:r>
        <w:fldChar w:fldCharType="end"/>
      </w:r>
    </w:p>
    <w:p>
      <w:pPr>
        <w:pStyle w:val="31"/>
        <w:tabs>
          <w:tab w:val="right" w:leader="dot" w:pos="9070"/>
        </w:tabs>
      </w:pPr>
      <w:r>
        <w:fldChar w:fldCharType="begin"/>
      </w:r>
      <w:r>
        <w:instrText xml:space="preserve"> HYPERLINK \l "_Toc11308" </w:instrText>
      </w:r>
      <w:r>
        <w:fldChar w:fldCharType="separate"/>
      </w:r>
      <w:r>
        <w:rPr>
          <w:rFonts w:hint="eastAsia" w:ascii="宋体" w:hAnsi="宋体" w:cs="宋体"/>
          <w:szCs w:val="32"/>
        </w:rPr>
        <w:t>第二章 采购须知</w:t>
      </w:r>
      <w:r>
        <w:tab/>
      </w:r>
      <w:r>
        <w:fldChar w:fldCharType="begin"/>
      </w:r>
      <w:r>
        <w:instrText xml:space="preserve"> PAGEREF _Toc11308 \h </w:instrText>
      </w:r>
      <w:r>
        <w:fldChar w:fldCharType="separate"/>
      </w:r>
      <w:r>
        <w:t>6</w:t>
      </w:r>
      <w:r>
        <w:fldChar w:fldCharType="end"/>
      </w:r>
      <w:r>
        <w:fldChar w:fldCharType="end"/>
      </w:r>
    </w:p>
    <w:p>
      <w:pPr>
        <w:pStyle w:val="31"/>
        <w:tabs>
          <w:tab w:val="right" w:leader="dot" w:pos="9070"/>
        </w:tabs>
      </w:pPr>
      <w:r>
        <w:fldChar w:fldCharType="begin"/>
      </w:r>
      <w:r>
        <w:instrText xml:space="preserve"> HYPERLINK \l "_Toc8527" </w:instrText>
      </w:r>
      <w:r>
        <w:fldChar w:fldCharType="separate"/>
      </w:r>
      <w:r>
        <w:rPr>
          <w:rFonts w:hint="eastAsia" w:ascii="宋体" w:hAnsi="宋体" w:cs="宋体"/>
          <w:szCs w:val="30"/>
        </w:rPr>
        <w:t>一、总则</w:t>
      </w:r>
      <w:r>
        <w:tab/>
      </w:r>
      <w:r>
        <w:fldChar w:fldCharType="begin"/>
      </w:r>
      <w:r>
        <w:instrText xml:space="preserve"> PAGEREF _Toc8527 \h </w:instrText>
      </w:r>
      <w:r>
        <w:fldChar w:fldCharType="separate"/>
      </w:r>
      <w:r>
        <w:t>6</w:t>
      </w:r>
      <w:r>
        <w:fldChar w:fldCharType="end"/>
      </w:r>
      <w:r>
        <w:fldChar w:fldCharType="end"/>
      </w:r>
    </w:p>
    <w:p>
      <w:pPr>
        <w:pStyle w:val="31"/>
        <w:tabs>
          <w:tab w:val="right" w:leader="dot" w:pos="9070"/>
        </w:tabs>
      </w:pPr>
      <w:r>
        <w:fldChar w:fldCharType="begin"/>
      </w:r>
      <w:r>
        <w:instrText xml:space="preserve"> HYPERLINK \l "_Toc9121" </w:instrText>
      </w:r>
      <w:r>
        <w:fldChar w:fldCharType="separate"/>
      </w:r>
      <w:r>
        <w:rPr>
          <w:rFonts w:hint="eastAsia" w:ascii="宋体" w:hAnsi="宋体" w:cs="宋体"/>
          <w:szCs w:val="30"/>
        </w:rPr>
        <w:t>二、采购文件</w:t>
      </w:r>
      <w:r>
        <w:tab/>
      </w:r>
      <w:r>
        <w:fldChar w:fldCharType="begin"/>
      </w:r>
      <w:r>
        <w:instrText xml:space="preserve"> PAGEREF _Toc9121 \h </w:instrText>
      </w:r>
      <w:r>
        <w:fldChar w:fldCharType="separate"/>
      </w:r>
      <w:r>
        <w:t>7</w:t>
      </w:r>
      <w:r>
        <w:fldChar w:fldCharType="end"/>
      </w:r>
      <w:r>
        <w:fldChar w:fldCharType="end"/>
      </w:r>
    </w:p>
    <w:p>
      <w:pPr>
        <w:pStyle w:val="31"/>
        <w:tabs>
          <w:tab w:val="right" w:leader="dot" w:pos="9070"/>
        </w:tabs>
      </w:pPr>
      <w:r>
        <w:fldChar w:fldCharType="begin"/>
      </w:r>
      <w:r>
        <w:instrText xml:space="preserve"> HYPERLINK \l "_Toc31145" </w:instrText>
      </w:r>
      <w:r>
        <w:fldChar w:fldCharType="separate"/>
      </w:r>
      <w:r>
        <w:rPr>
          <w:rFonts w:hint="eastAsia" w:ascii="宋体" w:hAnsi="宋体" w:cs="宋体"/>
          <w:szCs w:val="30"/>
        </w:rPr>
        <w:t>三、响应文件的编制</w:t>
      </w:r>
      <w:r>
        <w:tab/>
      </w:r>
      <w:r>
        <w:fldChar w:fldCharType="begin"/>
      </w:r>
      <w:r>
        <w:instrText xml:space="preserve"> PAGEREF _Toc31145 \h </w:instrText>
      </w:r>
      <w:r>
        <w:fldChar w:fldCharType="separate"/>
      </w:r>
      <w:r>
        <w:t>9</w:t>
      </w:r>
      <w:r>
        <w:fldChar w:fldCharType="end"/>
      </w:r>
      <w:r>
        <w:fldChar w:fldCharType="end"/>
      </w:r>
    </w:p>
    <w:p>
      <w:pPr>
        <w:pStyle w:val="31"/>
        <w:tabs>
          <w:tab w:val="right" w:leader="dot" w:pos="9070"/>
        </w:tabs>
      </w:pPr>
      <w:r>
        <w:fldChar w:fldCharType="begin"/>
      </w:r>
      <w:r>
        <w:instrText xml:space="preserve"> HYPERLINK \l "_Toc6659" </w:instrText>
      </w:r>
      <w:r>
        <w:fldChar w:fldCharType="separate"/>
      </w:r>
      <w:r>
        <w:rPr>
          <w:rFonts w:hint="eastAsia" w:ascii="宋体" w:hAnsi="宋体" w:cs="宋体"/>
          <w:szCs w:val="30"/>
        </w:rPr>
        <w:t>四、响应文件的递交</w:t>
      </w:r>
      <w:r>
        <w:tab/>
      </w:r>
      <w:r>
        <w:fldChar w:fldCharType="begin"/>
      </w:r>
      <w:r>
        <w:instrText xml:space="preserve"> PAGEREF _Toc6659 \h </w:instrText>
      </w:r>
      <w:r>
        <w:fldChar w:fldCharType="separate"/>
      </w:r>
      <w:r>
        <w:t>13</w:t>
      </w:r>
      <w:r>
        <w:fldChar w:fldCharType="end"/>
      </w:r>
      <w:r>
        <w:fldChar w:fldCharType="end"/>
      </w:r>
    </w:p>
    <w:p>
      <w:pPr>
        <w:pStyle w:val="31"/>
        <w:tabs>
          <w:tab w:val="right" w:leader="dot" w:pos="9070"/>
        </w:tabs>
      </w:pPr>
      <w:r>
        <w:fldChar w:fldCharType="begin"/>
      </w:r>
      <w:r>
        <w:instrText xml:space="preserve"> HYPERLINK \l "_Toc25937" </w:instrText>
      </w:r>
      <w:r>
        <w:fldChar w:fldCharType="separate"/>
      </w:r>
      <w:r>
        <w:rPr>
          <w:rFonts w:hint="eastAsia" w:ascii="宋体" w:hAnsi="宋体" w:cs="宋体"/>
          <w:szCs w:val="30"/>
        </w:rPr>
        <w:t>五、磋商</w:t>
      </w:r>
      <w:r>
        <w:tab/>
      </w:r>
      <w:r>
        <w:fldChar w:fldCharType="begin"/>
      </w:r>
      <w:r>
        <w:instrText xml:space="preserve"> PAGEREF _Toc25937 \h </w:instrText>
      </w:r>
      <w:r>
        <w:fldChar w:fldCharType="separate"/>
      </w:r>
      <w:r>
        <w:t>14</w:t>
      </w:r>
      <w:r>
        <w:fldChar w:fldCharType="end"/>
      </w:r>
      <w:r>
        <w:fldChar w:fldCharType="end"/>
      </w:r>
    </w:p>
    <w:p>
      <w:pPr>
        <w:pStyle w:val="31"/>
        <w:tabs>
          <w:tab w:val="right" w:leader="dot" w:pos="9070"/>
        </w:tabs>
      </w:pPr>
      <w:r>
        <w:fldChar w:fldCharType="begin"/>
      </w:r>
      <w:r>
        <w:instrText xml:space="preserve"> HYPERLINK \l "_Toc833" </w:instrText>
      </w:r>
      <w:r>
        <w:fldChar w:fldCharType="separate"/>
      </w:r>
      <w:r>
        <w:rPr>
          <w:rFonts w:hint="eastAsia" w:ascii="宋体" w:hAnsi="宋体" w:cs="宋体"/>
          <w:szCs w:val="30"/>
        </w:rPr>
        <w:t>六、评审</w:t>
      </w:r>
      <w:r>
        <w:tab/>
      </w:r>
      <w:r>
        <w:fldChar w:fldCharType="begin"/>
      </w:r>
      <w:r>
        <w:instrText xml:space="preserve"> PAGEREF _Toc833 \h </w:instrText>
      </w:r>
      <w:r>
        <w:fldChar w:fldCharType="separate"/>
      </w:r>
      <w:r>
        <w:t>14</w:t>
      </w:r>
      <w:r>
        <w:fldChar w:fldCharType="end"/>
      </w:r>
      <w:r>
        <w:fldChar w:fldCharType="end"/>
      </w:r>
    </w:p>
    <w:p>
      <w:pPr>
        <w:pStyle w:val="31"/>
        <w:tabs>
          <w:tab w:val="right" w:leader="dot" w:pos="9070"/>
        </w:tabs>
      </w:pPr>
      <w:r>
        <w:fldChar w:fldCharType="begin"/>
      </w:r>
      <w:r>
        <w:instrText xml:space="preserve"> HYPERLINK \l "_Toc23314" </w:instrText>
      </w:r>
      <w:r>
        <w:fldChar w:fldCharType="separate"/>
      </w:r>
      <w:r>
        <w:rPr>
          <w:rFonts w:hint="eastAsia" w:ascii="宋体" w:hAnsi="宋体" w:cs="宋体"/>
          <w:szCs w:val="30"/>
        </w:rPr>
        <w:t>七、授予合同</w:t>
      </w:r>
      <w:r>
        <w:tab/>
      </w:r>
      <w:r>
        <w:fldChar w:fldCharType="begin"/>
      </w:r>
      <w:r>
        <w:instrText xml:space="preserve"> PAGEREF _Toc23314 \h </w:instrText>
      </w:r>
      <w:r>
        <w:fldChar w:fldCharType="separate"/>
      </w:r>
      <w:r>
        <w:t>23</w:t>
      </w:r>
      <w:r>
        <w:fldChar w:fldCharType="end"/>
      </w:r>
      <w:r>
        <w:fldChar w:fldCharType="end"/>
      </w:r>
    </w:p>
    <w:p>
      <w:pPr>
        <w:pStyle w:val="31"/>
        <w:tabs>
          <w:tab w:val="right" w:leader="dot" w:pos="9070"/>
        </w:tabs>
      </w:pPr>
      <w:r>
        <w:fldChar w:fldCharType="begin"/>
      </w:r>
      <w:r>
        <w:instrText xml:space="preserve"> HYPERLINK \l "_Toc27438" </w:instrText>
      </w:r>
      <w:r>
        <w:fldChar w:fldCharType="separate"/>
      </w:r>
      <w:r>
        <w:rPr>
          <w:rFonts w:hint="eastAsia" w:ascii="宋体" w:hAnsi="宋体" w:cs="宋体"/>
          <w:szCs w:val="30"/>
        </w:rPr>
        <w:t>八、买方更改采购货物数量的权利</w:t>
      </w:r>
      <w:r>
        <w:tab/>
      </w:r>
      <w:r>
        <w:fldChar w:fldCharType="begin"/>
      </w:r>
      <w:r>
        <w:instrText xml:space="preserve"> PAGEREF _Toc27438 \h </w:instrText>
      </w:r>
      <w:r>
        <w:fldChar w:fldCharType="separate"/>
      </w:r>
      <w:r>
        <w:t>24</w:t>
      </w:r>
      <w:r>
        <w:fldChar w:fldCharType="end"/>
      </w:r>
      <w:r>
        <w:fldChar w:fldCharType="end"/>
      </w:r>
    </w:p>
    <w:p>
      <w:pPr>
        <w:pStyle w:val="31"/>
        <w:tabs>
          <w:tab w:val="right" w:leader="dot" w:pos="9070"/>
        </w:tabs>
      </w:pPr>
      <w:r>
        <w:fldChar w:fldCharType="begin"/>
      </w:r>
      <w:r>
        <w:instrText xml:space="preserve"> HYPERLINK \l "_Toc11997" </w:instrText>
      </w:r>
      <w:r>
        <w:fldChar w:fldCharType="separate"/>
      </w:r>
      <w:r>
        <w:rPr>
          <w:rFonts w:hint="eastAsia" w:ascii="宋体" w:hAnsi="宋体" w:cs="宋体"/>
          <w:szCs w:val="30"/>
        </w:rPr>
        <w:t>九、质疑投诉</w:t>
      </w:r>
      <w:r>
        <w:tab/>
      </w:r>
      <w:r>
        <w:fldChar w:fldCharType="begin"/>
      </w:r>
      <w:r>
        <w:instrText xml:space="preserve"> PAGEREF _Toc11997 \h </w:instrText>
      </w:r>
      <w:r>
        <w:fldChar w:fldCharType="separate"/>
      </w:r>
      <w:r>
        <w:t>24</w:t>
      </w:r>
      <w:r>
        <w:fldChar w:fldCharType="end"/>
      </w:r>
      <w:r>
        <w:fldChar w:fldCharType="end"/>
      </w:r>
    </w:p>
    <w:p>
      <w:pPr>
        <w:pStyle w:val="31"/>
        <w:tabs>
          <w:tab w:val="right" w:leader="dot" w:pos="9070"/>
        </w:tabs>
      </w:pPr>
      <w:r>
        <w:fldChar w:fldCharType="begin"/>
      </w:r>
      <w:r>
        <w:instrText xml:space="preserve"> HYPERLINK \l "_Toc6072" </w:instrText>
      </w:r>
      <w:r>
        <w:fldChar w:fldCharType="separate"/>
      </w:r>
      <w:r>
        <w:rPr>
          <w:rFonts w:hint="eastAsia" w:ascii="宋体" w:hAnsi="宋体" w:cs="宋体"/>
          <w:szCs w:val="30"/>
        </w:rPr>
        <w:t>十、其他事项</w:t>
      </w:r>
      <w:r>
        <w:tab/>
      </w:r>
      <w:r>
        <w:fldChar w:fldCharType="begin"/>
      </w:r>
      <w:r>
        <w:instrText xml:space="preserve"> PAGEREF _Toc6072 \h </w:instrText>
      </w:r>
      <w:r>
        <w:fldChar w:fldCharType="separate"/>
      </w:r>
      <w:r>
        <w:t>24</w:t>
      </w:r>
      <w:r>
        <w:fldChar w:fldCharType="end"/>
      </w:r>
      <w:r>
        <w:fldChar w:fldCharType="end"/>
      </w:r>
    </w:p>
    <w:p>
      <w:pPr>
        <w:pStyle w:val="31"/>
        <w:tabs>
          <w:tab w:val="right" w:leader="dot" w:pos="9070"/>
        </w:tabs>
      </w:pPr>
      <w:r>
        <w:fldChar w:fldCharType="begin"/>
      </w:r>
      <w:r>
        <w:instrText xml:space="preserve"> HYPERLINK \l "_Toc20899" </w:instrText>
      </w:r>
      <w:r>
        <w:fldChar w:fldCharType="separate"/>
      </w:r>
      <w:r>
        <w:rPr>
          <w:rFonts w:hint="eastAsia" w:ascii="宋体" w:hAnsi="宋体" w:cs="宋体"/>
          <w:szCs w:val="32"/>
        </w:rPr>
        <w:t>第三章  采购需求</w:t>
      </w:r>
      <w:r>
        <w:tab/>
      </w:r>
      <w:r>
        <w:fldChar w:fldCharType="begin"/>
      </w:r>
      <w:r>
        <w:instrText xml:space="preserve"> PAGEREF _Toc20899 \h </w:instrText>
      </w:r>
      <w:r>
        <w:fldChar w:fldCharType="separate"/>
      </w:r>
      <w:r>
        <w:t>25</w:t>
      </w:r>
      <w:r>
        <w:fldChar w:fldCharType="end"/>
      </w:r>
      <w:r>
        <w:fldChar w:fldCharType="end"/>
      </w:r>
    </w:p>
    <w:p>
      <w:pPr>
        <w:pStyle w:val="31"/>
        <w:tabs>
          <w:tab w:val="right" w:leader="dot" w:pos="9070"/>
        </w:tabs>
      </w:pPr>
      <w:r>
        <w:fldChar w:fldCharType="begin"/>
      </w:r>
      <w:r>
        <w:instrText xml:space="preserve"> HYPERLINK \l "_Toc21979" </w:instrText>
      </w:r>
      <w:r>
        <w:fldChar w:fldCharType="separate"/>
      </w:r>
      <w:r>
        <w:rPr>
          <w:rFonts w:hint="eastAsia" w:ascii="宋体" w:hAnsi="宋体" w:cs="宋体"/>
          <w:szCs w:val="32"/>
        </w:rPr>
        <w:t>第四章  采购合同格式</w:t>
      </w:r>
      <w:r>
        <w:tab/>
      </w:r>
      <w:r>
        <w:fldChar w:fldCharType="begin"/>
      </w:r>
      <w:r>
        <w:instrText xml:space="preserve"> PAGEREF _Toc21979 \h </w:instrText>
      </w:r>
      <w:r>
        <w:fldChar w:fldCharType="separate"/>
      </w:r>
      <w:r>
        <w:t>31</w:t>
      </w:r>
      <w:r>
        <w:fldChar w:fldCharType="end"/>
      </w:r>
      <w:r>
        <w:fldChar w:fldCharType="end"/>
      </w:r>
    </w:p>
    <w:p>
      <w:pPr>
        <w:pStyle w:val="31"/>
        <w:tabs>
          <w:tab w:val="right" w:leader="dot" w:pos="9070"/>
        </w:tabs>
      </w:pPr>
      <w:r>
        <w:fldChar w:fldCharType="begin"/>
      </w:r>
      <w:r>
        <w:instrText xml:space="preserve"> HYPERLINK \l "_Toc17657" </w:instrText>
      </w:r>
      <w:r>
        <w:fldChar w:fldCharType="separate"/>
      </w:r>
      <w:r>
        <w:rPr>
          <w:rFonts w:hint="eastAsia" w:ascii="宋体" w:hAnsi="宋体" w:cs="宋体"/>
          <w:szCs w:val="32"/>
        </w:rPr>
        <w:t>第五章 合同条款</w:t>
      </w:r>
      <w:r>
        <w:tab/>
      </w:r>
      <w:r>
        <w:fldChar w:fldCharType="begin"/>
      </w:r>
      <w:r>
        <w:instrText xml:space="preserve"> PAGEREF _Toc17657 \h </w:instrText>
      </w:r>
      <w:r>
        <w:fldChar w:fldCharType="separate"/>
      </w:r>
      <w:r>
        <w:t>32</w:t>
      </w:r>
      <w:r>
        <w:fldChar w:fldCharType="end"/>
      </w:r>
      <w:r>
        <w:fldChar w:fldCharType="end"/>
      </w:r>
    </w:p>
    <w:p>
      <w:pPr>
        <w:pStyle w:val="31"/>
        <w:tabs>
          <w:tab w:val="right" w:leader="dot" w:pos="9070"/>
        </w:tabs>
      </w:pPr>
      <w:r>
        <w:fldChar w:fldCharType="begin"/>
      </w:r>
      <w:r>
        <w:instrText xml:space="preserve"> HYPERLINK \l "_Toc3900" </w:instrText>
      </w:r>
      <w:r>
        <w:fldChar w:fldCharType="separate"/>
      </w:r>
      <w:r>
        <w:rPr>
          <w:rFonts w:hint="eastAsia" w:ascii="宋体" w:hAnsi="宋体" w:cs="宋体"/>
          <w:szCs w:val="24"/>
        </w:rPr>
        <w:t>(附件：主要响应文件的格式)</w:t>
      </w:r>
      <w:r>
        <w:tab/>
      </w:r>
      <w:r>
        <w:fldChar w:fldCharType="begin"/>
      </w:r>
      <w:r>
        <w:instrText xml:space="preserve"> PAGEREF _Toc3900 \h </w:instrText>
      </w:r>
      <w:r>
        <w:fldChar w:fldCharType="separate"/>
      </w:r>
      <w:r>
        <w:t>40</w:t>
      </w:r>
      <w:r>
        <w:fldChar w:fldCharType="end"/>
      </w:r>
      <w:r>
        <w:fldChar w:fldCharType="end"/>
      </w:r>
    </w:p>
    <w:p>
      <w:pPr>
        <w:pStyle w:val="31"/>
        <w:tabs>
          <w:tab w:val="right" w:leader="dot" w:pos="9070"/>
        </w:tabs>
      </w:pPr>
      <w:r>
        <w:fldChar w:fldCharType="begin"/>
      </w:r>
      <w:r>
        <w:instrText xml:space="preserve"> HYPERLINK \l "_Toc2249" </w:instrText>
      </w:r>
      <w:r>
        <w:fldChar w:fldCharType="separate"/>
      </w:r>
      <w:r>
        <w:rPr>
          <w:rFonts w:hint="eastAsia" w:ascii="宋体" w:hAnsi="宋体" w:cs="宋体"/>
          <w:szCs w:val="32"/>
        </w:rPr>
        <w:t>（附件一）</w:t>
      </w:r>
      <w:r>
        <w:tab/>
      </w:r>
      <w:r>
        <w:fldChar w:fldCharType="begin"/>
      </w:r>
      <w:r>
        <w:instrText xml:space="preserve"> PAGEREF _Toc2249 \h </w:instrText>
      </w:r>
      <w:r>
        <w:fldChar w:fldCharType="separate"/>
      </w:r>
      <w:r>
        <w:t>42</w:t>
      </w:r>
      <w:r>
        <w:fldChar w:fldCharType="end"/>
      </w:r>
      <w:r>
        <w:fldChar w:fldCharType="end"/>
      </w:r>
    </w:p>
    <w:p>
      <w:pPr>
        <w:pStyle w:val="31"/>
        <w:tabs>
          <w:tab w:val="right" w:leader="dot" w:pos="9070"/>
        </w:tabs>
      </w:pPr>
      <w:r>
        <w:fldChar w:fldCharType="begin"/>
      </w:r>
      <w:r>
        <w:instrText xml:space="preserve"> HYPERLINK \l "_Toc30097" </w:instrText>
      </w:r>
      <w:r>
        <w:fldChar w:fldCharType="separate"/>
      </w:r>
      <w:r>
        <w:rPr>
          <w:rFonts w:hint="eastAsia" w:ascii="宋体" w:hAnsi="宋体" w:cs="宋体"/>
          <w:szCs w:val="32"/>
        </w:rPr>
        <w:t>（附件二）</w:t>
      </w:r>
      <w:r>
        <w:tab/>
      </w:r>
      <w:r>
        <w:fldChar w:fldCharType="begin"/>
      </w:r>
      <w:r>
        <w:instrText xml:space="preserve"> PAGEREF _Toc30097 \h </w:instrText>
      </w:r>
      <w:r>
        <w:fldChar w:fldCharType="separate"/>
      </w:r>
      <w:r>
        <w:t>43</w:t>
      </w:r>
      <w:r>
        <w:fldChar w:fldCharType="end"/>
      </w:r>
      <w:r>
        <w:fldChar w:fldCharType="end"/>
      </w:r>
    </w:p>
    <w:p>
      <w:pPr>
        <w:pStyle w:val="31"/>
        <w:tabs>
          <w:tab w:val="right" w:leader="dot" w:pos="9070"/>
        </w:tabs>
      </w:pPr>
      <w:r>
        <w:fldChar w:fldCharType="begin"/>
      </w:r>
      <w:r>
        <w:instrText xml:space="preserve"> HYPERLINK \l "_Toc15262" </w:instrText>
      </w:r>
      <w:r>
        <w:fldChar w:fldCharType="separate"/>
      </w:r>
      <w:r>
        <w:rPr>
          <w:rFonts w:hint="eastAsia" w:ascii="宋体" w:hAnsi="宋体" w:cs="宋体"/>
          <w:szCs w:val="32"/>
        </w:rPr>
        <w:t>（附件三）</w:t>
      </w:r>
      <w:r>
        <w:tab/>
      </w:r>
      <w:r>
        <w:fldChar w:fldCharType="begin"/>
      </w:r>
      <w:r>
        <w:instrText xml:space="preserve"> PAGEREF _Toc15262 \h </w:instrText>
      </w:r>
      <w:r>
        <w:fldChar w:fldCharType="separate"/>
      </w:r>
      <w:r>
        <w:t>45</w:t>
      </w:r>
      <w:r>
        <w:fldChar w:fldCharType="end"/>
      </w:r>
      <w:r>
        <w:fldChar w:fldCharType="end"/>
      </w:r>
    </w:p>
    <w:p>
      <w:pPr>
        <w:pStyle w:val="31"/>
        <w:tabs>
          <w:tab w:val="right" w:leader="dot" w:pos="9070"/>
        </w:tabs>
      </w:pPr>
      <w:r>
        <w:fldChar w:fldCharType="begin"/>
      </w:r>
      <w:r>
        <w:instrText xml:space="preserve"> HYPERLINK \l "_Toc14905" </w:instrText>
      </w:r>
      <w:r>
        <w:fldChar w:fldCharType="separate"/>
      </w:r>
      <w:r>
        <w:rPr>
          <w:rFonts w:hint="eastAsia" w:ascii="宋体" w:hAnsi="宋体" w:cs="宋体"/>
          <w:szCs w:val="32"/>
        </w:rPr>
        <w:t>（附件四）</w:t>
      </w:r>
      <w:r>
        <w:tab/>
      </w:r>
      <w:r>
        <w:fldChar w:fldCharType="begin"/>
      </w:r>
      <w:r>
        <w:instrText xml:space="preserve"> PAGEREF _Toc14905 \h </w:instrText>
      </w:r>
      <w:r>
        <w:fldChar w:fldCharType="separate"/>
      </w:r>
      <w:r>
        <w:t>46</w:t>
      </w:r>
      <w:r>
        <w:fldChar w:fldCharType="end"/>
      </w:r>
      <w:r>
        <w:fldChar w:fldCharType="end"/>
      </w:r>
    </w:p>
    <w:p>
      <w:pPr>
        <w:pStyle w:val="31"/>
        <w:tabs>
          <w:tab w:val="right" w:leader="dot" w:pos="9070"/>
        </w:tabs>
      </w:pPr>
      <w:r>
        <w:fldChar w:fldCharType="begin"/>
      </w:r>
      <w:r>
        <w:instrText xml:space="preserve"> HYPERLINK \l "_Toc10834" </w:instrText>
      </w:r>
      <w:r>
        <w:fldChar w:fldCharType="separate"/>
      </w:r>
      <w:r>
        <w:rPr>
          <w:rFonts w:hint="eastAsia" w:ascii="宋体" w:hAnsi="宋体" w:cs="宋体"/>
          <w:szCs w:val="32"/>
        </w:rPr>
        <w:t>（附件五）</w:t>
      </w:r>
      <w:r>
        <w:tab/>
      </w:r>
      <w:r>
        <w:fldChar w:fldCharType="begin"/>
      </w:r>
      <w:r>
        <w:instrText xml:space="preserve"> PAGEREF _Toc10834 \h </w:instrText>
      </w:r>
      <w:r>
        <w:fldChar w:fldCharType="separate"/>
      </w:r>
      <w:r>
        <w:t>47</w:t>
      </w:r>
      <w:r>
        <w:fldChar w:fldCharType="end"/>
      </w:r>
      <w:r>
        <w:fldChar w:fldCharType="end"/>
      </w:r>
    </w:p>
    <w:p>
      <w:pPr>
        <w:pStyle w:val="31"/>
        <w:tabs>
          <w:tab w:val="right" w:leader="dot" w:pos="9070"/>
        </w:tabs>
      </w:pPr>
      <w:r>
        <w:fldChar w:fldCharType="begin"/>
      </w:r>
      <w:r>
        <w:instrText xml:space="preserve"> HYPERLINK \l "_Toc15289" </w:instrText>
      </w:r>
      <w:r>
        <w:fldChar w:fldCharType="separate"/>
      </w:r>
      <w:r>
        <w:rPr>
          <w:rFonts w:hint="eastAsia" w:ascii="宋体" w:hAnsi="宋体" w:cs="宋体"/>
          <w:szCs w:val="32"/>
        </w:rPr>
        <w:t>（附件六）</w:t>
      </w:r>
      <w:r>
        <w:tab/>
      </w:r>
      <w:r>
        <w:fldChar w:fldCharType="begin"/>
      </w:r>
      <w:r>
        <w:instrText xml:space="preserve"> PAGEREF _Toc15289 \h </w:instrText>
      </w:r>
      <w:r>
        <w:fldChar w:fldCharType="separate"/>
      </w:r>
      <w:r>
        <w:t>48</w:t>
      </w:r>
      <w:r>
        <w:fldChar w:fldCharType="end"/>
      </w:r>
      <w:r>
        <w:fldChar w:fldCharType="end"/>
      </w:r>
    </w:p>
    <w:p>
      <w:pPr>
        <w:pStyle w:val="31"/>
        <w:tabs>
          <w:tab w:val="right" w:leader="dot" w:pos="9070"/>
        </w:tabs>
      </w:pPr>
      <w:r>
        <w:fldChar w:fldCharType="begin"/>
      </w:r>
      <w:r>
        <w:instrText xml:space="preserve"> HYPERLINK \l "_Toc12836" </w:instrText>
      </w:r>
      <w:r>
        <w:fldChar w:fldCharType="separate"/>
      </w:r>
      <w:r>
        <w:rPr>
          <w:rFonts w:hint="eastAsia" w:ascii="宋体" w:hAnsi="宋体" w:cs="宋体"/>
          <w:szCs w:val="32"/>
        </w:rPr>
        <w:t>（附件七）</w:t>
      </w:r>
      <w:r>
        <w:tab/>
      </w:r>
      <w:r>
        <w:fldChar w:fldCharType="begin"/>
      </w:r>
      <w:r>
        <w:instrText xml:space="preserve"> PAGEREF _Toc12836 \h </w:instrText>
      </w:r>
      <w:r>
        <w:fldChar w:fldCharType="separate"/>
      </w:r>
      <w:r>
        <w:t>49</w:t>
      </w:r>
      <w:r>
        <w:fldChar w:fldCharType="end"/>
      </w:r>
      <w:r>
        <w:fldChar w:fldCharType="end"/>
      </w:r>
    </w:p>
    <w:p>
      <w:pPr>
        <w:pStyle w:val="31"/>
        <w:tabs>
          <w:tab w:val="right" w:leader="dot" w:pos="9070"/>
        </w:tabs>
      </w:pPr>
      <w:r>
        <w:fldChar w:fldCharType="begin"/>
      </w:r>
      <w:r>
        <w:instrText xml:space="preserve"> HYPERLINK \l "_Toc8180" </w:instrText>
      </w:r>
      <w:r>
        <w:fldChar w:fldCharType="separate"/>
      </w:r>
      <w:r>
        <w:rPr>
          <w:rFonts w:hint="eastAsia" w:ascii="宋体" w:hAnsi="宋体" w:cs="宋体"/>
          <w:szCs w:val="32"/>
        </w:rPr>
        <w:t>（附件八）</w:t>
      </w:r>
      <w:r>
        <w:tab/>
      </w:r>
      <w:r>
        <w:fldChar w:fldCharType="begin"/>
      </w:r>
      <w:r>
        <w:instrText xml:space="preserve"> PAGEREF _Toc8180 \h </w:instrText>
      </w:r>
      <w:r>
        <w:fldChar w:fldCharType="separate"/>
      </w:r>
      <w:r>
        <w:t>50</w:t>
      </w:r>
      <w:r>
        <w:fldChar w:fldCharType="end"/>
      </w:r>
      <w:r>
        <w:fldChar w:fldCharType="end"/>
      </w:r>
    </w:p>
    <w:p>
      <w:pPr>
        <w:pStyle w:val="31"/>
        <w:tabs>
          <w:tab w:val="right" w:leader="dot" w:pos="9070"/>
        </w:tabs>
      </w:pPr>
      <w:r>
        <w:fldChar w:fldCharType="begin"/>
      </w:r>
      <w:r>
        <w:instrText xml:space="preserve"> HYPERLINK \l "_Toc12415" </w:instrText>
      </w:r>
      <w:r>
        <w:fldChar w:fldCharType="separate"/>
      </w:r>
      <w:r>
        <w:rPr>
          <w:rFonts w:hint="eastAsia" w:ascii="宋体" w:hAnsi="宋体" w:cs="宋体"/>
          <w:szCs w:val="32"/>
        </w:rPr>
        <w:t>（附件九）</w:t>
      </w:r>
      <w:r>
        <w:tab/>
      </w:r>
      <w:r>
        <w:fldChar w:fldCharType="begin"/>
      </w:r>
      <w:r>
        <w:instrText xml:space="preserve"> PAGEREF _Toc12415 \h </w:instrText>
      </w:r>
      <w:r>
        <w:fldChar w:fldCharType="separate"/>
      </w:r>
      <w:r>
        <w:t>51</w:t>
      </w:r>
      <w:r>
        <w:fldChar w:fldCharType="end"/>
      </w:r>
      <w:r>
        <w:fldChar w:fldCharType="end"/>
      </w:r>
    </w:p>
    <w:p>
      <w:pPr>
        <w:pStyle w:val="31"/>
        <w:tabs>
          <w:tab w:val="right" w:leader="dot" w:pos="9070"/>
        </w:tabs>
      </w:pPr>
      <w:r>
        <w:fldChar w:fldCharType="begin"/>
      </w:r>
      <w:r>
        <w:instrText xml:space="preserve"> HYPERLINK \l "_Toc18780" </w:instrText>
      </w:r>
      <w:r>
        <w:fldChar w:fldCharType="separate"/>
      </w:r>
      <w:r>
        <w:rPr>
          <w:rFonts w:hint="eastAsia" w:ascii="宋体" w:hAnsi="宋体" w:cs="宋体"/>
          <w:szCs w:val="32"/>
        </w:rPr>
        <w:t>（附件十)</w:t>
      </w:r>
      <w:r>
        <w:tab/>
      </w:r>
      <w:r>
        <w:fldChar w:fldCharType="begin"/>
      </w:r>
      <w:r>
        <w:instrText xml:space="preserve"> PAGEREF _Toc18780 \h </w:instrText>
      </w:r>
      <w:r>
        <w:fldChar w:fldCharType="separate"/>
      </w:r>
      <w:r>
        <w:t>52</w:t>
      </w:r>
      <w:r>
        <w:fldChar w:fldCharType="end"/>
      </w:r>
      <w:r>
        <w:fldChar w:fldCharType="end"/>
      </w:r>
    </w:p>
    <w:p>
      <w:pPr>
        <w:pStyle w:val="31"/>
        <w:tabs>
          <w:tab w:val="right" w:leader="dot" w:pos="9070"/>
        </w:tabs>
      </w:pPr>
      <w:r>
        <w:fldChar w:fldCharType="begin"/>
      </w:r>
      <w:r>
        <w:instrText xml:space="preserve"> HYPERLINK \l "_Toc22010" </w:instrText>
      </w:r>
      <w:r>
        <w:fldChar w:fldCharType="separate"/>
      </w:r>
      <w:r>
        <w:rPr>
          <w:rFonts w:hint="eastAsia" w:ascii="宋体" w:hAnsi="宋体" w:cs="宋体"/>
          <w:szCs w:val="32"/>
        </w:rPr>
        <w:t>（附件十一)</w:t>
      </w:r>
      <w:r>
        <w:tab/>
      </w:r>
      <w:r>
        <w:fldChar w:fldCharType="begin"/>
      </w:r>
      <w:r>
        <w:instrText xml:space="preserve"> PAGEREF _Toc22010 \h </w:instrText>
      </w:r>
      <w:r>
        <w:fldChar w:fldCharType="separate"/>
      </w:r>
      <w:r>
        <w:t>53</w:t>
      </w:r>
      <w:r>
        <w:fldChar w:fldCharType="end"/>
      </w:r>
      <w:r>
        <w:fldChar w:fldCharType="end"/>
      </w:r>
    </w:p>
    <w:p>
      <w:pPr>
        <w:pStyle w:val="36"/>
        <w:tabs>
          <w:tab w:val="right" w:leader="dot" w:pos="9070"/>
        </w:tabs>
        <w:ind w:left="0"/>
        <w:jc w:val="both"/>
      </w:pPr>
      <w:r>
        <w:fldChar w:fldCharType="begin"/>
      </w:r>
      <w:r>
        <w:instrText xml:space="preserve"> HYPERLINK \l "_Toc18030" </w:instrText>
      </w:r>
      <w:r>
        <w:fldChar w:fldCharType="separate"/>
      </w:r>
      <w:r>
        <w:rPr>
          <w:rFonts w:hint="eastAsia" w:ascii="宋体" w:hAnsi="宋体" w:cs="宋体"/>
          <w:b/>
          <w:bCs/>
          <w:szCs w:val="32"/>
        </w:rPr>
        <w:t>（附件十二）</w:t>
      </w:r>
      <w:r>
        <w:rPr>
          <w:b/>
          <w:bCs/>
        </w:rPr>
        <w:tab/>
      </w:r>
      <w:r>
        <w:rPr>
          <w:b/>
          <w:bCs/>
        </w:rPr>
        <w:fldChar w:fldCharType="begin"/>
      </w:r>
      <w:r>
        <w:rPr>
          <w:b/>
          <w:bCs/>
        </w:rPr>
        <w:instrText xml:space="preserve"> PAGEREF _Toc18030 \h </w:instrText>
      </w:r>
      <w:r>
        <w:rPr>
          <w:b/>
          <w:bCs/>
        </w:rPr>
        <w:fldChar w:fldCharType="separate"/>
      </w:r>
      <w:r>
        <w:rPr>
          <w:b/>
          <w:bCs/>
        </w:rPr>
        <w:t>54</w:t>
      </w:r>
      <w:r>
        <w:rPr>
          <w:b/>
          <w:bCs/>
        </w:rPr>
        <w:fldChar w:fldCharType="end"/>
      </w:r>
      <w:r>
        <w:rPr>
          <w:b/>
          <w:bCs/>
        </w:rPr>
        <w:fldChar w:fldCharType="end"/>
      </w:r>
    </w:p>
    <w:p>
      <w:pPr>
        <w:pStyle w:val="31"/>
        <w:tabs>
          <w:tab w:val="right" w:leader="dot" w:pos="9070"/>
        </w:tabs>
      </w:pPr>
      <w:r>
        <w:fldChar w:fldCharType="begin"/>
      </w:r>
      <w:r>
        <w:instrText xml:space="preserve"> HYPERLINK \l "_Toc7770" </w:instrText>
      </w:r>
      <w:r>
        <w:fldChar w:fldCharType="separate"/>
      </w:r>
      <w:r>
        <w:rPr>
          <w:rFonts w:hint="eastAsia" w:ascii="宋体" w:hAnsi="宋体" w:cs="宋体"/>
          <w:szCs w:val="32"/>
        </w:rPr>
        <w:t>（附件十三）</w:t>
      </w:r>
      <w:r>
        <w:tab/>
      </w:r>
      <w:r>
        <w:fldChar w:fldCharType="begin"/>
      </w:r>
      <w:r>
        <w:instrText xml:space="preserve"> PAGEREF _Toc7770 \h </w:instrText>
      </w:r>
      <w:r>
        <w:fldChar w:fldCharType="separate"/>
      </w:r>
      <w:r>
        <w:t>55</w:t>
      </w:r>
      <w:r>
        <w:fldChar w:fldCharType="end"/>
      </w:r>
      <w:r>
        <w:fldChar w:fldCharType="end"/>
      </w:r>
    </w:p>
    <w:p>
      <w:pPr>
        <w:pStyle w:val="31"/>
        <w:tabs>
          <w:tab w:val="right" w:leader="dot" w:pos="9070"/>
        </w:tabs>
      </w:pPr>
      <w:r>
        <w:fldChar w:fldCharType="begin"/>
      </w:r>
      <w:r>
        <w:instrText xml:space="preserve"> HYPERLINK \l "_Toc5678" </w:instrText>
      </w:r>
      <w:r>
        <w:fldChar w:fldCharType="separate"/>
      </w:r>
      <w:r>
        <w:rPr>
          <w:rFonts w:hint="eastAsia" w:ascii="宋体" w:hAnsi="宋体" w:cs="宋体"/>
          <w:szCs w:val="32"/>
        </w:rPr>
        <w:t>（附件十四）</w:t>
      </w:r>
      <w:r>
        <w:tab/>
      </w:r>
      <w:r>
        <w:fldChar w:fldCharType="begin"/>
      </w:r>
      <w:r>
        <w:instrText xml:space="preserve"> PAGEREF _Toc5678 \h </w:instrText>
      </w:r>
      <w:r>
        <w:fldChar w:fldCharType="separate"/>
      </w:r>
      <w:r>
        <w:t>56</w:t>
      </w:r>
      <w:r>
        <w:fldChar w:fldCharType="end"/>
      </w:r>
      <w:r>
        <w:fldChar w:fldCharType="end"/>
      </w:r>
    </w:p>
    <w:p>
      <w:pPr>
        <w:spacing w:line="440" w:lineRule="exact"/>
        <w:jc w:val="center"/>
        <w:outlineLvl w:val="0"/>
        <w:rPr>
          <w:b/>
          <w:sz w:val="32"/>
          <w:szCs w:val="32"/>
        </w:rPr>
        <w:sectPr>
          <w:pgSz w:w="11906" w:h="16838"/>
          <w:pgMar w:top="1418" w:right="1418" w:bottom="1418" w:left="1418" w:header="851" w:footer="851" w:gutter="0"/>
          <w:cols w:space="720" w:num="1"/>
          <w:docGrid w:type="lines" w:linePitch="312" w:charSpace="0"/>
        </w:sectPr>
      </w:pPr>
      <w:r>
        <w:rPr>
          <w:rFonts w:hint="eastAsia" w:ascii="宋体" w:hAnsi="宋体" w:cs="宋体"/>
          <w:szCs w:val="24"/>
        </w:rPr>
        <w:fldChar w:fldCharType="end"/>
      </w:r>
    </w:p>
    <w:p>
      <w:pPr>
        <w:pStyle w:val="3"/>
        <w:rPr>
          <w:rFonts w:ascii="宋体" w:hAnsi="宋体" w:eastAsia="宋体" w:cs="宋体"/>
          <w:b/>
          <w:bCs/>
          <w:sz w:val="32"/>
          <w:szCs w:val="32"/>
        </w:rPr>
      </w:pPr>
      <w:bookmarkStart w:id="5" w:name="_Toc18292"/>
      <w:r>
        <w:rPr>
          <w:rFonts w:hint="eastAsia" w:ascii="宋体" w:hAnsi="宋体" w:eastAsia="宋体" w:cs="宋体"/>
          <w:b/>
          <w:bCs/>
          <w:sz w:val="32"/>
          <w:szCs w:val="32"/>
        </w:rPr>
        <w:t>供应商须知前附表</w:t>
      </w:r>
      <w:bookmarkEnd w:id="3"/>
      <w:bookmarkEnd w:id="4"/>
      <w:bookmarkEnd w:id="5"/>
    </w:p>
    <w:tbl>
      <w:tblPr>
        <w:tblStyle w:val="43"/>
        <w:tblW w:w="10939" w:type="dxa"/>
        <w:jc w:val="center"/>
        <w:tblLayout w:type="fixed"/>
        <w:tblCellMar>
          <w:top w:w="0" w:type="dxa"/>
          <w:left w:w="108" w:type="dxa"/>
          <w:bottom w:w="0" w:type="dxa"/>
          <w:right w:w="108" w:type="dxa"/>
        </w:tblCellMar>
      </w:tblPr>
      <w:tblGrid>
        <w:gridCol w:w="517"/>
        <w:gridCol w:w="1695"/>
        <w:gridCol w:w="8727"/>
      </w:tblGrid>
      <w:tr>
        <w:tblPrEx>
          <w:tblCellMar>
            <w:top w:w="0" w:type="dxa"/>
            <w:left w:w="108" w:type="dxa"/>
            <w:bottom w:w="0" w:type="dxa"/>
            <w:right w:w="108" w:type="dxa"/>
          </w:tblCellMar>
        </w:tblPrEx>
        <w:trPr>
          <w:trHeight w:val="23" w:hRule="atLeast"/>
          <w:jc w:val="center"/>
        </w:trPr>
        <w:tc>
          <w:tcPr>
            <w:tcW w:w="517" w:type="dxa"/>
            <w:tcBorders>
              <w:top w:val="single" w:color="auto" w:sz="12" w:space="0"/>
              <w:left w:val="single" w:color="auto" w:sz="12" w:space="0"/>
              <w:bottom w:val="single" w:color="auto" w:sz="12" w:space="0"/>
              <w:right w:val="single" w:color="auto" w:sz="12" w:space="0"/>
            </w:tcBorders>
            <w:vAlign w:val="center"/>
          </w:tcPr>
          <w:p>
            <w:pPr>
              <w:pStyle w:val="91"/>
              <w:spacing w:line="360" w:lineRule="auto"/>
              <w:jc w:val="center"/>
              <w:rPr>
                <w:rFonts w:ascii="宋体" w:hAnsi="宋体" w:cs="宋体"/>
                <w:b/>
                <w:bCs/>
                <w:color w:val="auto"/>
              </w:rPr>
            </w:pPr>
            <w:r>
              <w:rPr>
                <w:rFonts w:hint="eastAsia" w:ascii="宋体" w:hAnsi="宋体" w:cs="宋体"/>
                <w:b/>
                <w:bCs/>
                <w:color w:val="auto"/>
              </w:rPr>
              <w:t>序号</w:t>
            </w:r>
          </w:p>
        </w:tc>
        <w:tc>
          <w:tcPr>
            <w:tcW w:w="1695" w:type="dxa"/>
            <w:tcBorders>
              <w:top w:val="single" w:color="auto" w:sz="12" w:space="0"/>
              <w:left w:val="single" w:color="auto" w:sz="12" w:space="0"/>
              <w:bottom w:val="single" w:color="auto" w:sz="12" w:space="0"/>
              <w:right w:val="single" w:color="auto" w:sz="12" w:space="0"/>
            </w:tcBorders>
            <w:vAlign w:val="center"/>
          </w:tcPr>
          <w:p>
            <w:pPr>
              <w:pStyle w:val="91"/>
              <w:spacing w:line="360" w:lineRule="auto"/>
              <w:jc w:val="center"/>
              <w:rPr>
                <w:rFonts w:ascii="宋体" w:hAnsi="宋体" w:cs="宋体"/>
                <w:b/>
                <w:bCs/>
                <w:color w:val="auto"/>
              </w:rPr>
            </w:pPr>
            <w:r>
              <w:rPr>
                <w:rFonts w:hint="eastAsia" w:ascii="宋体" w:hAnsi="宋体" w:cs="宋体"/>
                <w:b/>
                <w:bCs/>
                <w:color w:val="auto"/>
              </w:rPr>
              <w:t>项目</w:t>
            </w:r>
          </w:p>
        </w:tc>
        <w:tc>
          <w:tcPr>
            <w:tcW w:w="8727" w:type="dxa"/>
            <w:tcBorders>
              <w:top w:val="single" w:color="auto" w:sz="12" w:space="0"/>
              <w:left w:val="single" w:color="auto" w:sz="12" w:space="0"/>
              <w:bottom w:val="single" w:color="auto" w:sz="12" w:space="0"/>
              <w:right w:val="single" w:color="auto" w:sz="12" w:space="0"/>
            </w:tcBorders>
            <w:vAlign w:val="center"/>
          </w:tcPr>
          <w:p>
            <w:pPr>
              <w:pStyle w:val="91"/>
              <w:spacing w:line="360" w:lineRule="auto"/>
              <w:jc w:val="center"/>
              <w:rPr>
                <w:rFonts w:ascii="宋体" w:hAnsi="宋体" w:cs="宋体"/>
                <w:b/>
                <w:bCs/>
                <w:color w:val="auto"/>
              </w:rPr>
            </w:pPr>
            <w:r>
              <w:rPr>
                <w:rFonts w:hint="eastAsia" w:ascii="宋体" w:hAnsi="宋体" w:cs="宋体"/>
                <w:b/>
                <w:bCs/>
                <w:color w:val="auto"/>
              </w:rPr>
              <w:t>内     容</w:t>
            </w:r>
          </w:p>
        </w:tc>
      </w:tr>
      <w:tr>
        <w:tblPrEx>
          <w:tblCellMar>
            <w:top w:w="0" w:type="dxa"/>
            <w:left w:w="108" w:type="dxa"/>
            <w:bottom w:w="0" w:type="dxa"/>
            <w:right w:w="108" w:type="dxa"/>
          </w:tblCellMar>
        </w:tblPrEx>
        <w:trPr>
          <w:trHeight w:val="23" w:hRule="atLeast"/>
          <w:jc w:val="center"/>
        </w:trPr>
        <w:tc>
          <w:tcPr>
            <w:tcW w:w="517" w:type="dxa"/>
            <w:tcBorders>
              <w:top w:val="single" w:color="auto" w:sz="12" w:space="0"/>
              <w:left w:val="single" w:color="auto" w:sz="12" w:space="0"/>
              <w:bottom w:val="single" w:color="auto" w:sz="12" w:space="0"/>
              <w:right w:val="single" w:color="auto" w:sz="12" w:space="0"/>
            </w:tcBorders>
            <w:vAlign w:val="center"/>
          </w:tcPr>
          <w:p>
            <w:pPr>
              <w:pStyle w:val="91"/>
              <w:spacing w:line="360" w:lineRule="auto"/>
              <w:jc w:val="center"/>
              <w:rPr>
                <w:rFonts w:ascii="宋体" w:hAnsi="宋体" w:cs="宋体"/>
                <w:color w:val="auto"/>
              </w:rPr>
            </w:pPr>
            <w:r>
              <w:rPr>
                <w:rFonts w:hint="eastAsia" w:ascii="宋体" w:hAnsi="宋体" w:cs="宋体"/>
                <w:color w:val="auto"/>
              </w:rPr>
              <w:t>1</w:t>
            </w:r>
          </w:p>
        </w:tc>
        <w:tc>
          <w:tcPr>
            <w:tcW w:w="1695" w:type="dxa"/>
            <w:tcBorders>
              <w:top w:val="single" w:color="auto" w:sz="12" w:space="0"/>
              <w:left w:val="single" w:color="auto" w:sz="12" w:space="0"/>
              <w:bottom w:val="single" w:color="auto" w:sz="12" w:space="0"/>
              <w:right w:val="single" w:color="auto" w:sz="12" w:space="0"/>
            </w:tcBorders>
            <w:vAlign w:val="center"/>
          </w:tcPr>
          <w:p>
            <w:pPr>
              <w:overflowPunct w:val="0"/>
              <w:spacing w:line="360" w:lineRule="auto"/>
              <w:jc w:val="center"/>
              <w:rPr>
                <w:rFonts w:ascii="宋体" w:hAnsi="宋体" w:cs="宋体"/>
                <w:sz w:val="24"/>
                <w:szCs w:val="24"/>
              </w:rPr>
            </w:pPr>
            <w:r>
              <w:rPr>
                <w:rFonts w:hint="eastAsia" w:ascii="宋体" w:hAnsi="宋体" w:cs="宋体"/>
                <w:b/>
                <w:sz w:val="24"/>
                <w:szCs w:val="24"/>
              </w:rPr>
              <w:t>项目名称</w:t>
            </w:r>
          </w:p>
          <w:p>
            <w:pPr>
              <w:overflowPunct w:val="0"/>
              <w:spacing w:line="360" w:lineRule="auto"/>
              <w:jc w:val="center"/>
              <w:rPr>
                <w:rFonts w:ascii="宋体" w:hAnsi="宋体" w:cs="宋体"/>
                <w:sz w:val="24"/>
                <w:szCs w:val="24"/>
              </w:rPr>
            </w:pPr>
            <w:r>
              <w:rPr>
                <w:rFonts w:hint="eastAsia" w:ascii="宋体" w:hAnsi="宋体" w:cs="宋体"/>
                <w:b/>
                <w:sz w:val="24"/>
                <w:szCs w:val="24"/>
              </w:rPr>
              <w:t>项目编号</w:t>
            </w:r>
          </w:p>
        </w:tc>
        <w:tc>
          <w:tcPr>
            <w:tcW w:w="8727" w:type="dxa"/>
            <w:tcBorders>
              <w:top w:val="single" w:color="auto" w:sz="12" w:space="0"/>
              <w:left w:val="single" w:color="auto" w:sz="12" w:space="0"/>
              <w:bottom w:val="single" w:color="auto" w:sz="12" w:space="0"/>
              <w:right w:val="single" w:color="auto" w:sz="12" w:space="0"/>
            </w:tcBorders>
            <w:vAlign w:val="center"/>
          </w:tcPr>
          <w:p>
            <w:pPr>
              <w:overflowPunct w:val="0"/>
              <w:spacing w:line="360" w:lineRule="auto"/>
              <w:jc w:val="left"/>
              <w:rPr>
                <w:rFonts w:ascii="宋体" w:hAnsi="宋体" w:cs="宋体"/>
                <w:b/>
                <w:sz w:val="24"/>
                <w:szCs w:val="24"/>
              </w:rPr>
            </w:pPr>
            <w:r>
              <w:rPr>
                <w:rFonts w:hint="eastAsia" w:ascii="宋体" w:hAnsi="宋体" w:cs="宋体"/>
                <w:b/>
                <w:sz w:val="24"/>
                <w:szCs w:val="24"/>
              </w:rPr>
              <w:t>项目名称：阜康市人民医院设备采购项目</w:t>
            </w:r>
          </w:p>
          <w:p>
            <w:pPr>
              <w:overflowPunct w:val="0"/>
              <w:spacing w:line="360" w:lineRule="auto"/>
              <w:jc w:val="left"/>
              <w:rPr>
                <w:rFonts w:ascii="宋体" w:hAnsi="宋体" w:cs="宋体"/>
                <w:sz w:val="24"/>
                <w:szCs w:val="24"/>
              </w:rPr>
            </w:pPr>
            <w:r>
              <w:rPr>
                <w:rFonts w:ascii="宋体" w:hAnsi="宋体" w:cs="宋体"/>
                <w:b/>
                <w:sz w:val="24"/>
                <w:szCs w:val="24"/>
              </w:rPr>
              <w:pict>
                <v:line id="Line 15" o:spid="_x0000_s1026" o:spt="20" style="position:absolute;left:0pt;margin-left:18.6pt;margin-top:6.9pt;height:0pt;width:0.05pt;z-index:251660288;mso-width-relative:page;mso-height-relative:page;" coordsize="21600,21600" o:gfxdata="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ObjLuHTAAAABwEA&#10;AA8AAAAAAAAAAQAgAAAAIgAAAGRycy9kb3ducmV2LnhtbFBLAQIUABQAAAAIAIdO4kA0EHpNrQEA&#10;AE8DAAAOAAAAAAAAAAEAIAAAACIBAABkcnMvZTJvRG9jLnhtbFBLBQYAAAAABgAGAFkBAABBBQAA&#10;AAA=&#10;">
                  <v:path arrowok="t"/>
                  <v:fill focussize="0,0"/>
                  <v:stroke/>
                  <v:imagedata o:title=""/>
                  <o:lock v:ext="edit"/>
                </v:line>
              </w:pict>
            </w:r>
            <w:r>
              <w:rPr>
                <w:rFonts w:hint="eastAsia" w:ascii="宋体" w:hAnsi="宋体" w:cs="宋体"/>
                <w:b/>
                <w:sz w:val="24"/>
                <w:szCs w:val="24"/>
              </w:rPr>
              <w:t>项目编号:ZCGW【2022】-0124X</w:t>
            </w:r>
          </w:p>
        </w:tc>
      </w:tr>
      <w:tr>
        <w:tblPrEx>
          <w:tblCellMar>
            <w:top w:w="0" w:type="dxa"/>
            <w:left w:w="108" w:type="dxa"/>
            <w:bottom w:w="0" w:type="dxa"/>
            <w:right w:w="108" w:type="dxa"/>
          </w:tblCellMar>
        </w:tblPrEx>
        <w:trPr>
          <w:trHeight w:val="23" w:hRule="atLeast"/>
          <w:jc w:val="center"/>
        </w:trPr>
        <w:tc>
          <w:tcPr>
            <w:tcW w:w="517" w:type="dxa"/>
            <w:tcBorders>
              <w:top w:val="single" w:color="auto" w:sz="12" w:space="0"/>
              <w:left w:val="single" w:color="auto" w:sz="12" w:space="0"/>
              <w:bottom w:val="single" w:color="auto" w:sz="12" w:space="0"/>
              <w:right w:val="single" w:color="auto" w:sz="12" w:space="0"/>
            </w:tcBorders>
            <w:vAlign w:val="center"/>
          </w:tcPr>
          <w:p>
            <w:pPr>
              <w:pStyle w:val="91"/>
              <w:spacing w:line="360" w:lineRule="auto"/>
              <w:jc w:val="center"/>
              <w:rPr>
                <w:rFonts w:ascii="宋体" w:hAnsi="宋体" w:cs="宋体"/>
                <w:color w:val="auto"/>
              </w:rPr>
            </w:pPr>
            <w:r>
              <w:rPr>
                <w:rFonts w:hint="eastAsia" w:ascii="宋体" w:hAnsi="宋体" w:cs="宋体"/>
                <w:color w:val="auto"/>
              </w:rPr>
              <w:t>2</w:t>
            </w:r>
          </w:p>
        </w:tc>
        <w:tc>
          <w:tcPr>
            <w:tcW w:w="1695" w:type="dxa"/>
            <w:tcBorders>
              <w:top w:val="single" w:color="auto" w:sz="12" w:space="0"/>
              <w:left w:val="single" w:color="auto" w:sz="12" w:space="0"/>
              <w:bottom w:val="single" w:color="auto" w:sz="12" w:space="0"/>
              <w:right w:val="single" w:color="auto" w:sz="12" w:space="0"/>
            </w:tcBorders>
            <w:vAlign w:val="center"/>
          </w:tcPr>
          <w:p>
            <w:pPr>
              <w:overflowPunct w:val="0"/>
              <w:spacing w:line="360" w:lineRule="auto"/>
              <w:jc w:val="center"/>
              <w:rPr>
                <w:rFonts w:ascii="宋体" w:hAnsi="宋体" w:cs="宋体"/>
                <w:sz w:val="24"/>
                <w:szCs w:val="24"/>
              </w:rPr>
            </w:pPr>
            <w:r>
              <w:rPr>
                <w:rFonts w:hint="eastAsia" w:ascii="宋体" w:hAnsi="宋体" w:cs="宋体"/>
                <w:b/>
                <w:sz w:val="24"/>
                <w:szCs w:val="24"/>
              </w:rPr>
              <w:t>采购方</w:t>
            </w:r>
          </w:p>
          <w:p>
            <w:pPr>
              <w:pStyle w:val="91"/>
              <w:spacing w:line="360" w:lineRule="auto"/>
              <w:jc w:val="center"/>
              <w:rPr>
                <w:rFonts w:ascii="宋体" w:hAnsi="宋体" w:cs="宋体"/>
                <w:color w:val="auto"/>
              </w:rPr>
            </w:pPr>
            <w:r>
              <w:rPr>
                <w:rFonts w:hint="eastAsia" w:ascii="宋体" w:hAnsi="宋体" w:cs="宋体"/>
                <w:b/>
                <w:color w:val="auto"/>
              </w:rPr>
              <w:t>代理方</w:t>
            </w:r>
          </w:p>
        </w:tc>
        <w:tc>
          <w:tcPr>
            <w:tcW w:w="8727" w:type="dxa"/>
            <w:tcBorders>
              <w:top w:val="single" w:color="auto" w:sz="12" w:space="0"/>
              <w:left w:val="single" w:color="auto" w:sz="12" w:space="0"/>
              <w:bottom w:val="single" w:color="auto" w:sz="12" w:space="0"/>
              <w:right w:val="single" w:color="auto" w:sz="12" w:space="0"/>
            </w:tcBorders>
            <w:vAlign w:val="center"/>
          </w:tcPr>
          <w:p>
            <w:pPr>
              <w:overflowPunct w:val="0"/>
              <w:spacing w:line="360" w:lineRule="auto"/>
              <w:rPr>
                <w:rFonts w:ascii="宋体" w:hAnsi="宋体" w:cs="宋体"/>
                <w:sz w:val="24"/>
                <w:szCs w:val="24"/>
              </w:rPr>
            </w:pPr>
            <w:r>
              <w:rPr>
                <w:rFonts w:hint="eastAsia" w:ascii="宋体" w:hAnsi="宋体" w:cs="宋体"/>
                <w:sz w:val="24"/>
                <w:szCs w:val="24"/>
              </w:rPr>
              <w:t>采购方名称:阜康市人民医院</w:t>
            </w:r>
          </w:p>
          <w:p>
            <w:pPr>
              <w:overflowPunct w:val="0"/>
              <w:spacing w:line="360" w:lineRule="auto"/>
              <w:rPr>
                <w:rFonts w:ascii="宋体" w:hAnsi="宋体" w:cs="宋体"/>
                <w:sz w:val="24"/>
                <w:szCs w:val="24"/>
              </w:rPr>
            </w:pPr>
            <w:r>
              <w:rPr>
                <w:rFonts w:hint="eastAsia" w:ascii="宋体" w:hAnsi="宋体" w:cs="宋体"/>
                <w:sz w:val="24"/>
                <w:szCs w:val="24"/>
              </w:rPr>
              <w:t>采购代理方名称:新疆国文弘业招标有限公司</w:t>
            </w:r>
          </w:p>
        </w:tc>
      </w:tr>
      <w:tr>
        <w:tblPrEx>
          <w:tblCellMar>
            <w:top w:w="0" w:type="dxa"/>
            <w:left w:w="108" w:type="dxa"/>
            <w:bottom w:w="0" w:type="dxa"/>
            <w:right w:w="108" w:type="dxa"/>
          </w:tblCellMar>
        </w:tblPrEx>
        <w:trPr>
          <w:trHeight w:val="2007" w:hRule="atLeast"/>
          <w:jc w:val="center"/>
        </w:trPr>
        <w:tc>
          <w:tcPr>
            <w:tcW w:w="517" w:type="dxa"/>
            <w:tcBorders>
              <w:top w:val="single" w:color="auto" w:sz="12" w:space="0"/>
              <w:left w:val="single" w:color="auto" w:sz="12" w:space="0"/>
              <w:bottom w:val="single" w:color="auto" w:sz="12" w:space="0"/>
              <w:right w:val="single" w:color="auto" w:sz="12" w:space="0"/>
            </w:tcBorders>
            <w:vAlign w:val="center"/>
          </w:tcPr>
          <w:p>
            <w:pPr>
              <w:pStyle w:val="91"/>
              <w:spacing w:line="360" w:lineRule="auto"/>
              <w:jc w:val="center"/>
              <w:rPr>
                <w:rFonts w:ascii="宋体" w:hAnsi="宋体" w:cs="宋体"/>
                <w:color w:val="auto"/>
              </w:rPr>
            </w:pPr>
            <w:r>
              <w:rPr>
                <w:rFonts w:hint="eastAsia" w:ascii="宋体" w:hAnsi="宋体" w:cs="宋体"/>
                <w:color w:val="auto"/>
              </w:rPr>
              <w:t>3</w:t>
            </w:r>
          </w:p>
        </w:tc>
        <w:tc>
          <w:tcPr>
            <w:tcW w:w="1695" w:type="dxa"/>
            <w:tcBorders>
              <w:top w:val="single" w:color="auto" w:sz="12" w:space="0"/>
              <w:left w:val="single" w:color="auto" w:sz="12" w:space="0"/>
              <w:bottom w:val="single" w:color="auto" w:sz="12" w:space="0"/>
              <w:right w:val="single" w:color="auto" w:sz="12" w:space="0"/>
            </w:tcBorders>
            <w:vAlign w:val="center"/>
          </w:tcPr>
          <w:p>
            <w:pPr>
              <w:pStyle w:val="91"/>
              <w:spacing w:line="360" w:lineRule="auto"/>
              <w:jc w:val="center"/>
              <w:rPr>
                <w:rFonts w:ascii="宋体" w:hAnsi="宋体" w:cs="宋体"/>
                <w:color w:val="auto"/>
              </w:rPr>
            </w:pPr>
            <w:r>
              <w:rPr>
                <w:rFonts w:hint="eastAsia" w:ascii="宋体" w:hAnsi="宋体" w:cs="宋体"/>
                <w:b/>
                <w:color w:val="auto"/>
              </w:rPr>
              <w:t>预算金额</w:t>
            </w:r>
          </w:p>
        </w:tc>
        <w:tc>
          <w:tcPr>
            <w:tcW w:w="8727" w:type="dxa"/>
            <w:tcBorders>
              <w:top w:val="single" w:color="auto" w:sz="12" w:space="0"/>
              <w:left w:val="single" w:color="auto" w:sz="12" w:space="0"/>
              <w:bottom w:val="single" w:color="auto" w:sz="12" w:space="0"/>
              <w:right w:val="single" w:color="auto" w:sz="12" w:space="0"/>
            </w:tcBorders>
            <w:vAlign w:val="center"/>
          </w:tcPr>
          <w:p>
            <w:pPr>
              <w:spacing w:line="360" w:lineRule="auto"/>
              <w:rPr>
                <w:rFonts w:ascii="宋体" w:hAnsi="宋体" w:cs="宋体"/>
                <w:b/>
                <w:bCs/>
                <w:sz w:val="24"/>
                <w:szCs w:val="24"/>
                <w:u w:val="single"/>
              </w:rPr>
            </w:pPr>
            <w:r>
              <w:rPr>
                <w:rFonts w:hint="eastAsia" w:ascii="宋体" w:hAnsi="宋体" w:cs="宋体"/>
                <w:b/>
                <w:bCs/>
                <w:sz w:val="24"/>
                <w:szCs w:val="24"/>
                <w:u w:val="single"/>
              </w:rPr>
              <w:t>预算金额:91万元</w:t>
            </w:r>
          </w:p>
          <w:p>
            <w:pPr>
              <w:spacing w:line="360" w:lineRule="auto"/>
              <w:rPr>
                <w:rFonts w:ascii="宋体" w:hAnsi="宋体" w:cs="宋体"/>
                <w:b/>
                <w:bCs/>
                <w:sz w:val="24"/>
                <w:szCs w:val="24"/>
              </w:rPr>
            </w:pPr>
            <w:r>
              <w:rPr>
                <w:rFonts w:hint="eastAsia" w:ascii="宋体" w:hAnsi="宋体" w:cs="宋体"/>
                <w:b/>
                <w:bCs/>
                <w:sz w:val="24"/>
                <w:szCs w:val="24"/>
              </w:rPr>
              <w:t>报价说明：1、采用竞争性磋商，通过磋商，仅对满足竞争性磋商文件实质性要求的供应商，进行多轮报价，但最终报价不得高于或等于上一轮报价，否则其磋商将被否决。</w:t>
            </w:r>
          </w:p>
          <w:p>
            <w:pPr>
              <w:numPr>
                <w:ilvl w:val="0"/>
                <w:numId w:val="1"/>
              </w:numPr>
              <w:spacing w:line="360" w:lineRule="auto"/>
              <w:rPr>
                <w:rFonts w:ascii="宋体" w:hAnsi="宋体" w:cs="宋体"/>
                <w:b/>
                <w:bCs/>
                <w:sz w:val="24"/>
                <w:szCs w:val="24"/>
              </w:rPr>
            </w:pPr>
            <w:r>
              <w:rPr>
                <w:rFonts w:hint="eastAsia" w:ascii="宋体" w:hAnsi="宋体" w:cs="宋体"/>
                <w:b/>
                <w:bCs/>
                <w:sz w:val="24"/>
                <w:szCs w:val="24"/>
              </w:rPr>
              <w:t>本项目为货物类及服务类采购，为交钥匙项目采购，磋商报价应根据项目的实际需要整体报价，报价应包含合同期限内服务及其他相关工作的所有费用，总价包干方式报价。</w:t>
            </w:r>
          </w:p>
          <w:p>
            <w:pPr>
              <w:numPr>
                <w:ilvl w:val="0"/>
                <w:numId w:val="1"/>
              </w:numPr>
              <w:spacing w:line="360" w:lineRule="auto"/>
              <w:rPr>
                <w:rFonts w:ascii="宋体" w:hAnsi="宋体" w:cs="宋体"/>
                <w:b/>
                <w:kern w:val="0"/>
                <w:sz w:val="24"/>
                <w:szCs w:val="24"/>
              </w:rPr>
            </w:pPr>
            <w:r>
              <w:rPr>
                <w:rFonts w:hint="eastAsia" w:ascii="宋体" w:hAnsi="宋体" w:cs="宋体"/>
                <w:b/>
                <w:kern w:val="0"/>
                <w:sz w:val="24"/>
                <w:szCs w:val="24"/>
              </w:rPr>
              <w:t>报价包含：货物费、设备费、人工费、运费、安装费、保险费、税费、检验费、配合验收、审计费和后续服务费的全部费用等预见不可预见的所有费用，在本项目实施过程中和使用过程中不得以何任理由、名目，增加任何费用。</w:t>
            </w:r>
          </w:p>
        </w:tc>
      </w:tr>
      <w:tr>
        <w:tblPrEx>
          <w:tblCellMar>
            <w:top w:w="0" w:type="dxa"/>
            <w:left w:w="108" w:type="dxa"/>
            <w:bottom w:w="0" w:type="dxa"/>
            <w:right w:w="108" w:type="dxa"/>
          </w:tblCellMar>
        </w:tblPrEx>
        <w:trPr>
          <w:trHeight w:val="23" w:hRule="atLeast"/>
          <w:jc w:val="center"/>
        </w:trPr>
        <w:tc>
          <w:tcPr>
            <w:tcW w:w="517" w:type="dxa"/>
            <w:tcBorders>
              <w:top w:val="single" w:color="auto" w:sz="12" w:space="0"/>
              <w:left w:val="single" w:color="auto" w:sz="12" w:space="0"/>
              <w:bottom w:val="single" w:color="auto" w:sz="12" w:space="0"/>
              <w:right w:val="single" w:color="auto" w:sz="12" w:space="0"/>
            </w:tcBorders>
            <w:vAlign w:val="center"/>
          </w:tcPr>
          <w:p>
            <w:pPr>
              <w:pStyle w:val="91"/>
              <w:spacing w:line="360" w:lineRule="auto"/>
              <w:jc w:val="center"/>
              <w:rPr>
                <w:rFonts w:ascii="宋体" w:hAnsi="宋体" w:cs="宋体"/>
                <w:color w:val="auto"/>
              </w:rPr>
            </w:pPr>
            <w:r>
              <w:rPr>
                <w:rFonts w:hint="eastAsia" w:ascii="宋体" w:hAnsi="宋体" w:cs="宋体"/>
                <w:color w:val="auto"/>
              </w:rPr>
              <w:t>4</w:t>
            </w:r>
          </w:p>
        </w:tc>
        <w:tc>
          <w:tcPr>
            <w:tcW w:w="1695" w:type="dxa"/>
            <w:tcBorders>
              <w:top w:val="single" w:color="auto" w:sz="12" w:space="0"/>
              <w:left w:val="single" w:color="auto" w:sz="12" w:space="0"/>
              <w:bottom w:val="single" w:color="auto" w:sz="12" w:space="0"/>
              <w:right w:val="single" w:color="auto" w:sz="12" w:space="0"/>
            </w:tcBorders>
            <w:vAlign w:val="center"/>
          </w:tcPr>
          <w:p>
            <w:pPr>
              <w:overflowPunct w:val="0"/>
              <w:spacing w:line="360" w:lineRule="auto"/>
              <w:jc w:val="center"/>
              <w:rPr>
                <w:rFonts w:ascii="宋体" w:hAnsi="宋体" w:cs="宋体"/>
                <w:sz w:val="24"/>
                <w:szCs w:val="24"/>
              </w:rPr>
            </w:pPr>
            <w:r>
              <w:rPr>
                <w:rFonts w:hint="eastAsia" w:ascii="宋体" w:hAnsi="宋体" w:cs="宋体"/>
                <w:b/>
                <w:sz w:val="24"/>
                <w:szCs w:val="24"/>
              </w:rPr>
              <w:t>采购方式</w:t>
            </w:r>
          </w:p>
        </w:tc>
        <w:tc>
          <w:tcPr>
            <w:tcW w:w="8727" w:type="dxa"/>
            <w:tcBorders>
              <w:top w:val="single" w:color="auto" w:sz="12" w:space="0"/>
              <w:left w:val="single" w:color="auto" w:sz="12" w:space="0"/>
              <w:bottom w:val="single" w:color="auto" w:sz="12" w:space="0"/>
              <w:right w:val="single" w:color="auto" w:sz="12" w:space="0"/>
            </w:tcBorders>
            <w:vAlign w:val="center"/>
          </w:tcPr>
          <w:p>
            <w:pPr>
              <w:overflowPunct w:val="0"/>
              <w:spacing w:line="360" w:lineRule="auto"/>
              <w:rPr>
                <w:rFonts w:ascii="宋体" w:hAnsi="宋体" w:cs="宋体"/>
                <w:kern w:val="0"/>
                <w:sz w:val="24"/>
                <w:szCs w:val="24"/>
              </w:rPr>
            </w:pPr>
            <w:r>
              <w:rPr>
                <w:rFonts w:hint="eastAsia" w:ascii="宋体" w:hAnsi="宋体" w:cs="宋体"/>
                <w:kern w:val="0"/>
                <w:sz w:val="24"/>
                <w:szCs w:val="24"/>
              </w:rPr>
              <w:t>竞争性磋商采购</w:t>
            </w:r>
          </w:p>
        </w:tc>
      </w:tr>
      <w:tr>
        <w:tblPrEx>
          <w:tblCellMar>
            <w:top w:w="0" w:type="dxa"/>
            <w:left w:w="108" w:type="dxa"/>
            <w:bottom w:w="0" w:type="dxa"/>
            <w:right w:w="108" w:type="dxa"/>
          </w:tblCellMar>
        </w:tblPrEx>
        <w:trPr>
          <w:trHeight w:val="23" w:hRule="atLeast"/>
          <w:jc w:val="center"/>
        </w:trPr>
        <w:tc>
          <w:tcPr>
            <w:tcW w:w="517" w:type="dxa"/>
            <w:tcBorders>
              <w:top w:val="single" w:color="auto" w:sz="12" w:space="0"/>
              <w:left w:val="single" w:color="auto" w:sz="12" w:space="0"/>
              <w:bottom w:val="single" w:color="auto" w:sz="12" w:space="0"/>
              <w:right w:val="single" w:color="auto" w:sz="12" w:space="0"/>
            </w:tcBorders>
            <w:vAlign w:val="center"/>
          </w:tcPr>
          <w:p>
            <w:pPr>
              <w:pStyle w:val="91"/>
              <w:spacing w:line="360" w:lineRule="auto"/>
              <w:jc w:val="center"/>
              <w:rPr>
                <w:rFonts w:ascii="宋体" w:hAnsi="宋体" w:cs="宋体"/>
                <w:color w:val="auto"/>
              </w:rPr>
            </w:pPr>
            <w:r>
              <w:rPr>
                <w:rFonts w:hint="eastAsia" w:ascii="宋体" w:hAnsi="宋体" w:cs="宋体"/>
                <w:color w:val="auto"/>
              </w:rPr>
              <w:t>5</w:t>
            </w:r>
          </w:p>
        </w:tc>
        <w:tc>
          <w:tcPr>
            <w:tcW w:w="1695" w:type="dxa"/>
            <w:tcBorders>
              <w:top w:val="single" w:color="auto" w:sz="12" w:space="0"/>
              <w:left w:val="single" w:color="auto" w:sz="12" w:space="0"/>
              <w:bottom w:val="single" w:color="auto" w:sz="12" w:space="0"/>
              <w:right w:val="single" w:color="auto" w:sz="12" w:space="0"/>
            </w:tcBorders>
            <w:vAlign w:val="center"/>
          </w:tcPr>
          <w:p>
            <w:pPr>
              <w:pStyle w:val="91"/>
              <w:spacing w:line="360" w:lineRule="auto"/>
              <w:jc w:val="center"/>
              <w:rPr>
                <w:rFonts w:ascii="宋体" w:hAnsi="宋体" w:cs="宋体"/>
                <w:color w:val="000000" w:themeColor="text1"/>
              </w:rPr>
            </w:pPr>
            <w:r>
              <w:rPr>
                <w:rFonts w:hint="eastAsia" w:ascii="宋体" w:hAnsi="宋体" w:cs="宋体"/>
                <w:b/>
                <w:color w:val="000000" w:themeColor="text1"/>
              </w:rPr>
              <w:t>采购范围</w:t>
            </w:r>
          </w:p>
        </w:tc>
        <w:tc>
          <w:tcPr>
            <w:tcW w:w="8727" w:type="dxa"/>
            <w:tcBorders>
              <w:top w:val="single" w:color="auto" w:sz="12" w:space="0"/>
              <w:left w:val="single" w:color="auto" w:sz="12" w:space="0"/>
              <w:bottom w:val="single" w:color="auto" w:sz="12" w:space="0"/>
              <w:right w:val="single" w:color="auto" w:sz="12" w:space="0"/>
            </w:tcBorders>
            <w:vAlign w:val="center"/>
          </w:tcPr>
          <w:p>
            <w:pPr>
              <w:pStyle w:val="91"/>
              <w:spacing w:line="360" w:lineRule="auto"/>
              <w:jc w:val="both"/>
              <w:rPr>
                <w:rFonts w:ascii="宋体" w:hAnsi="宋体" w:cs="宋体"/>
              </w:rPr>
            </w:pPr>
            <w:r>
              <w:rPr>
                <w:rFonts w:hint="eastAsia" w:ascii="宋体" w:hAnsi="宋体" w:cs="宋体"/>
                <w:b/>
              </w:rPr>
              <w:t>设备采购</w:t>
            </w:r>
            <w:r>
              <w:rPr>
                <w:rFonts w:hint="eastAsia" w:ascii="宋体" w:hAnsi="宋体" w:cs="宋体"/>
              </w:rPr>
              <w:t>(具体要求详见采购文件设备参数要求，项目包括设备、供货、运输、安装、调试、验收及维护、质保，为交钥匙项目）</w:t>
            </w:r>
          </w:p>
        </w:tc>
      </w:tr>
      <w:tr>
        <w:tblPrEx>
          <w:tblCellMar>
            <w:top w:w="0" w:type="dxa"/>
            <w:left w:w="108" w:type="dxa"/>
            <w:bottom w:w="0" w:type="dxa"/>
            <w:right w:w="108" w:type="dxa"/>
          </w:tblCellMar>
        </w:tblPrEx>
        <w:trPr>
          <w:trHeight w:val="23" w:hRule="atLeast"/>
          <w:jc w:val="center"/>
        </w:trPr>
        <w:tc>
          <w:tcPr>
            <w:tcW w:w="517" w:type="dxa"/>
            <w:tcBorders>
              <w:left w:val="single" w:color="auto" w:sz="12" w:space="0"/>
              <w:bottom w:val="single" w:color="auto" w:sz="12" w:space="0"/>
              <w:right w:val="single" w:color="auto" w:sz="12" w:space="0"/>
            </w:tcBorders>
            <w:vAlign w:val="center"/>
          </w:tcPr>
          <w:p>
            <w:pPr>
              <w:pStyle w:val="91"/>
              <w:spacing w:line="360" w:lineRule="auto"/>
              <w:jc w:val="center"/>
              <w:rPr>
                <w:rFonts w:ascii="宋体" w:hAnsi="宋体" w:cs="宋体"/>
                <w:b/>
                <w:color w:val="000000" w:themeColor="text1"/>
              </w:rPr>
            </w:pPr>
            <w:r>
              <w:rPr>
                <w:rFonts w:hint="eastAsia" w:ascii="宋体" w:hAnsi="宋体" w:cs="宋体"/>
                <w:b/>
                <w:color w:val="000000" w:themeColor="text1"/>
              </w:rPr>
              <w:t>6</w:t>
            </w:r>
          </w:p>
        </w:tc>
        <w:tc>
          <w:tcPr>
            <w:tcW w:w="1695" w:type="dxa"/>
            <w:tcBorders>
              <w:top w:val="single" w:color="auto" w:sz="12" w:space="0"/>
              <w:left w:val="single" w:color="auto" w:sz="12" w:space="0"/>
              <w:bottom w:val="single" w:color="auto" w:sz="12" w:space="0"/>
              <w:right w:val="single" w:color="auto" w:sz="12" w:space="0"/>
            </w:tcBorders>
            <w:vAlign w:val="center"/>
          </w:tcPr>
          <w:p>
            <w:pPr>
              <w:pStyle w:val="91"/>
              <w:spacing w:line="360" w:lineRule="auto"/>
              <w:jc w:val="center"/>
              <w:rPr>
                <w:rFonts w:ascii="宋体" w:hAnsi="宋体" w:cs="宋体"/>
                <w:b/>
                <w:color w:val="000000" w:themeColor="text1"/>
              </w:rPr>
            </w:pPr>
            <w:r>
              <w:rPr>
                <w:rFonts w:hint="eastAsia" w:ascii="宋体" w:hAnsi="宋体" w:cs="宋体"/>
                <w:b/>
                <w:color w:val="000000" w:themeColor="text1"/>
              </w:rPr>
              <w:t>供货地点</w:t>
            </w:r>
          </w:p>
        </w:tc>
        <w:tc>
          <w:tcPr>
            <w:tcW w:w="8727" w:type="dxa"/>
            <w:tcBorders>
              <w:top w:val="single" w:color="auto" w:sz="12" w:space="0"/>
              <w:left w:val="single" w:color="auto" w:sz="12" w:space="0"/>
              <w:bottom w:val="single" w:color="auto" w:sz="12" w:space="0"/>
              <w:right w:val="single" w:color="auto" w:sz="12" w:space="0"/>
            </w:tcBorders>
            <w:vAlign w:val="center"/>
          </w:tcPr>
          <w:p>
            <w:pPr>
              <w:pStyle w:val="91"/>
              <w:spacing w:line="360" w:lineRule="auto"/>
              <w:jc w:val="both"/>
              <w:rPr>
                <w:rFonts w:ascii="宋体" w:hAnsi="宋体" w:cs="宋体"/>
                <w:b/>
                <w:color w:val="000000" w:themeColor="text1"/>
              </w:rPr>
            </w:pPr>
            <w:r>
              <w:rPr>
                <w:rFonts w:hint="eastAsia" w:ascii="宋体" w:hAnsi="宋体" w:cs="宋体"/>
                <w:b/>
                <w:color w:val="000000" w:themeColor="text1"/>
              </w:rPr>
              <w:t>采购方指定地点</w:t>
            </w:r>
          </w:p>
        </w:tc>
      </w:tr>
      <w:tr>
        <w:tblPrEx>
          <w:tblCellMar>
            <w:top w:w="0" w:type="dxa"/>
            <w:left w:w="108" w:type="dxa"/>
            <w:bottom w:w="0" w:type="dxa"/>
            <w:right w:w="108" w:type="dxa"/>
          </w:tblCellMar>
        </w:tblPrEx>
        <w:trPr>
          <w:trHeight w:val="1044" w:hRule="atLeast"/>
          <w:jc w:val="center"/>
        </w:trPr>
        <w:tc>
          <w:tcPr>
            <w:tcW w:w="517" w:type="dxa"/>
            <w:tcBorders>
              <w:top w:val="single" w:color="auto" w:sz="12" w:space="0"/>
              <w:left w:val="single" w:color="auto" w:sz="12" w:space="0"/>
              <w:bottom w:val="single" w:color="auto" w:sz="12" w:space="0"/>
              <w:right w:val="single" w:color="auto" w:sz="12" w:space="0"/>
            </w:tcBorders>
            <w:vAlign w:val="center"/>
          </w:tcPr>
          <w:p>
            <w:pPr>
              <w:pStyle w:val="91"/>
              <w:spacing w:line="360" w:lineRule="auto"/>
              <w:jc w:val="center"/>
              <w:rPr>
                <w:rFonts w:ascii="宋体" w:hAnsi="宋体" w:cs="宋体"/>
                <w:color w:val="auto"/>
              </w:rPr>
            </w:pPr>
            <w:r>
              <w:rPr>
                <w:rFonts w:hint="eastAsia" w:ascii="宋体" w:hAnsi="宋体" w:cs="宋体"/>
                <w:color w:val="auto"/>
              </w:rPr>
              <w:t>7</w:t>
            </w:r>
          </w:p>
        </w:tc>
        <w:tc>
          <w:tcPr>
            <w:tcW w:w="1695" w:type="dxa"/>
            <w:tcBorders>
              <w:top w:val="single" w:color="auto" w:sz="12" w:space="0"/>
              <w:left w:val="single" w:color="auto" w:sz="12" w:space="0"/>
              <w:bottom w:val="single" w:color="auto" w:sz="12" w:space="0"/>
              <w:right w:val="single" w:color="auto" w:sz="12" w:space="0"/>
            </w:tcBorders>
            <w:vAlign w:val="center"/>
          </w:tcPr>
          <w:p>
            <w:pPr>
              <w:pStyle w:val="91"/>
              <w:spacing w:line="360" w:lineRule="auto"/>
              <w:jc w:val="center"/>
              <w:rPr>
                <w:rFonts w:ascii="宋体" w:hAnsi="宋体" w:cs="宋体"/>
                <w:color w:val="auto"/>
              </w:rPr>
            </w:pPr>
            <w:r>
              <w:rPr>
                <w:rFonts w:hint="eastAsia" w:ascii="宋体" w:hAnsi="宋体" w:cs="宋体"/>
                <w:b/>
                <w:color w:val="auto"/>
              </w:rPr>
              <w:t>供应商资格（获取采购文件资格）</w:t>
            </w:r>
          </w:p>
        </w:tc>
        <w:tc>
          <w:tcPr>
            <w:tcW w:w="8727" w:type="dxa"/>
            <w:tcBorders>
              <w:top w:val="single" w:color="auto" w:sz="12" w:space="0"/>
              <w:left w:val="single" w:color="auto" w:sz="12" w:space="0"/>
              <w:bottom w:val="single" w:color="auto" w:sz="12" w:space="0"/>
              <w:right w:val="single" w:color="auto" w:sz="12" w:space="0"/>
            </w:tcBorders>
            <w:vAlign w:val="center"/>
          </w:tcPr>
          <w:p>
            <w:pPr>
              <w:spacing w:line="360" w:lineRule="auto"/>
              <w:rPr>
                <w:rFonts w:ascii="宋体" w:hAnsi="宋体" w:cs="宋体"/>
                <w:sz w:val="24"/>
                <w:szCs w:val="24"/>
              </w:rPr>
            </w:pPr>
            <w:r>
              <w:rPr>
                <w:rFonts w:hint="eastAsia" w:ascii="宋体" w:hAnsi="宋体" w:cs="宋体"/>
                <w:sz w:val="24"/>
                <w:szCs w:val="24"/>
              </w:rPr>
              <w:t>1.符合《中华人民共和国政府采购法》第二十二条：供应商参加政府采购活动应当具备的条件；</w:t>
            </w:r>
          </w:p>
          <w:p>
            <w:pPr>
              <w:spacing w:line="360" w:lineRule="auto"/>
              <w:rPr>
                <w:rFonts w:ascii="宋体" w:hAnsi="宋体" w:cs="宋体"/>
                <w:sz w:val="24"/>
                <w:szCs w:val="24"/>
              </w:rPr>
            </w:pPr>
            <w:r>
              <w:rPr>
                <w:rFonts w:hint="eastAsia" w:ascii="宋体" w:hAnsi="宋体" w:cs="宋体"/>
                <w:sz w:val="24"/>
                <w:szCs w:val="24"/>
              </w:rPr>
              <w:t>2.供应商在中华人民共和国境内注册，具有独立法定代表人资格或其他组织；且具有采购货物相应的经营范围，信誉良好，有提供本次采购需求货物供货、服务能力供应商；</w:t>
            </w:r>
          </w:p>
          <w:p>
            <w:pPr>
              <w:spacing w:line="360" w:lineRule="auto"/>
              <w:rPr>
                <w:rFonts w:ascii="宋体" w:hAnsi="宋体" w:cs="宋体"/>
                <w:sz w:val="24"/>
                <w:szCs w:val="24"/>
              </w:rPr>
            </w:pPr>
            <w:r>
              <w:rPr>
                <w:rFonts w:hint="eastAsia" w:ascii="宋体" w:hAnsi="宋体" w:cs="宋体"/>
                <w:sz w:val="24"/>
                <w:szCs w:val="24"/>
              </w:rPr>
              <w:t>3.供应商必须具有有效的《营业执照》副本原件，如证件处于年审阶段，供应商应提供年审受理回执复印件并承诺成交签订合同时提供通过年审的证件。所有证件不允许采用挂靠等其它方式取得。</w:t>
            </w:r>
          </w:p>
          <w:p>
            <w:pPr>
              <w:adjustRightInd w:val="0"/>
              <w:snapToGrid w:val="0"/>
              <w:spacing w:line="360" w:lineRule="auto"/>
              <w:rPr>
                <w:rFonts w:ascii="宋体" w:hAnsi="宋体" w:cs="宋体"/>
                <w:sz w:val="24"/>
                <w:szCs w:val="24"/>
              </w:rPr>
            </w:pPr>
            <w:r>
              <w:rPr>
                <w:rFonts w:hint="eastAsia" w:ascii="宋体" w:hAnsi="宋体" w:cs="宋体"/>
                <w:sz w:val="24"/>
                <w:szCs w:val="24"/>
              </w:rPr>
              <w:t>4.供应商需具备《医疗器械经营许可证》或《医疗器械生产许可证》原件；</w:t>
            </w:r>
          </w:p>
          <w:p>
            <w:pPr>
              <w:adjustRightInd w:val="0"/>
              <w:snapToGrid w:val="0"/>
              <w:spacing w:line="360" w:lineRule="auto"/>
              <w:rPr>
                <w:rFonts w:ascii="宋体" w:hAnsi="宋体" w:cs="宋体"/>
                <w:sz w:val="24"/>
                <w:szCs w:val="24"/>
              </w:rPr>
            </w:pPr>
            <w:r>
              <w:rPr>
                <w:rFonts w:hint="eastAsia" w:ascii="宋体" w:hAnsi="宋体" w:cs="宋体"/>
                <w:sz w:val="24"/>
                <w:szCs w:val="24"/>
              </w:rPr>
              <w:t>5.政府采购政策：</w:t>
            </w:r>
          </w:p>
          <w:p>
            <w:pPr>
              <w:adjustRightInd w:val="0"/>
              <w:snapToGrid w:val="0"/>
              <w:spacing w:line="360" w:lineRule="auto"/>
              <w:rPr>
                <w:rFonts w:ascii="宋体" w:hAnsi="宋体" w:cs="宋体"/>
                <w:sz w:val="24"/>
                <w:szCs w:val="24"/>
              </w:rPr>
            </w:pPr>
            <w:r>
              <w:rPr>
                <w:rFonts w:hint="eastAsia" w:ascii="宋体" w:hAnsi="宋体" w:cs="宋体"/>
                <w:sz w:val="24"/>
                <w:szCs w:val="24"/>
              </w:rPr>
              <w:t>①《政府采购促进中小企业发展管理办法》（财库〔2020〕46号）；</w:t>
            </w:r>
          </w:p>
          <w:p>
            <w:pPr>
              <w:adjustRightInd w:val="0"/>
              <w:snapToGrid w:val="0"/>
              <w:spacing w:line="360" w:lineRule="auto"/>
              <w:rPr>
                <w:rFonts w:ascii="宋体" w:hAnsi="宋体" w:cs="宋体"/>
                <w:sz w:val="24"/>
                <w:szCs w:val="24"/>
              </w:rPr>
            </w:pPr>
            <w:r>
              <w:rPr>
                <w:rFonts w:hint="eastAsia" w:ascii="宋体" w:hAnsi="宋体" w:cs="宋体"/>
                <w:sz w:val="24"/>
                <w:szCs w:val="24"/>
              </w:rPr>
              <w:t>②《财政部、司法部关于政府采购支撑监狱企业发展有关问题的通知》（财库〔2014〕68号）；</w:t>
            </w:r>
          </w:p>
          <w:p>
            <w:pPr>
              <w:adjustRightInd w:val="0"/>
              <w:snapToGrid w:val="0"/>
              <w:spacing w:line="360" w:lineRule="auto"/>
              <w:rPr>
                <w:rFonts w:ascii="宋体" w:hAnsi="宋体" w:cs="宋体"/>
                <w:sz w:val="24"/>
                <w:szCs w:val="24"/>
              </w:rPr>
            </w:pPr>
            <w:r>
              <w:rPr>
                <w:rFonts w:hint="eastAsia" w:ascii="宋体" w:hAnsi="宋体" w:cs="宋体"/>
                <w:sz w:val="24"/>
                <w:szCs w:val="24"/>
              </w:rPr>
              <w:t>③《财政部、民政部、中国残疾人联合会关于促进残疾人就业政府采购政策的通知》财库〔2017〕141号。</w:t>
            </w:r>
          </w:p>
          <w:p>
            <w:pPr>
              <w:adjustRightInd w:val="0"/>
              <w:snapToGrid w:val="0"/>
              <w:spacing w:line="360" w:lineRule="auto"/>
              <w:rPr>
                <w:rFonts w:ascii="宋体" w:hAnsi="宋体" w:cs="宋体"/>
                <w:b/>
                <w:bCs/>
                <w:sz w:val="24"/>
                <w:szCs w:val="24"/>
                <w:u w:val="single"/>
              </w:rPr>
            </w:pPr>
            <w:r>
              <w:rPr>
                <w:rFonts w:hint="eastAsia" w:ascii="宋体" w:hAnsi="宋体" w:cs="宋体"/>
                <w:sz w:val="24"/>
                <w:szCs w:val="24"/>
              </w:rPr>
              <w:t>6.无任何处罚，供应商企业信用证明，提供打印件加盖公章。（查询渠道：“信用中国”网站（www.creditchina.gov.cn）；（</w:t>
            </w:r>
            <w:r>
              <w:rPr>
                <w:rFonts w:hint="eastAsia" w:ascii="宋体" w:hAnsi="宋体" w:cs="宋体"/>
                <w:b/>
                <w:bCs/>
                <w:sz w:val="24"/>
                <w:szCs w:val="24"/>
                <w:u w:val="single"/>
              </w:rPr>
              <w:t>下载信用信息报告后有“信用中国”水印为准）及中国政府采购网（www.ccgp.gov.cn）信息查询无严重违法失信行为记录名单的打印件</w:t>
            </w:r>
            <w:r>
              <w:rPr>
                <w:rFonts w:hint="eastAsia" w:ascii="宋体" w:hAnsi="宋体" w:cs="宋体"/>
                <w:b/>
                <w:bCs/>
                <w:sz w:val="24"/>
                <w:szCs w:val="24"/>
              </w:rPr>
              <w:t>（“信用中国”下载水印时间、“中国政府采购网”截屏信息时间，需在本次采购公告发布后时间为准并加盖企业公章）</w:t>
            </w:r>
            <w:r>
              <w:rPr>
                <w:rFonts w:hint="eastAsia" w:ascii="宋体" w:hAnsi="宋体" w:cs="宋体"/>
                <w:b/>
                <w:bCs/>
                <w:sz w:val="24"/>
                <w:szCs w:val="24"/>
                <w:u w:val="single"/>
              </w:rPr>
              <w:t>；*否则视为无效磋商资格，请各供应商务必提供。</w:t>
            </w:r>
          </w:p>
          <w:p>
            <w:pPr>
              <w:widowControl/>
              <w:spacing w:line="360" w:lineRule="auto"/>
              <w:jc w:val="left"/>
              <w:rPr>
                <w:rFonts w:ascii="宋体" w:hAnsi="宋体" w:cs="宋体"/>
                <w:b/>
                <w:bCs/>
                <w:sz w:val="24"/>
                <w:szCs w:val="24"/>
              </w:rPr>
            </w:pPr>
            <w:r>
              <w:rPr>
                <w:rFonts w:hint="eastAsia" w:ascii="宋体" w:hAnsi="宋体" w:cs="宋体"/>
                <w:kern w:val="0"/>
                <w:sz w:val="24"/>
                <w:szCs w:val="24"/>
                <w:shd w:val="clear" w:color="auto" w:fill="FFFFFF"/>
              </w:rPr>
              <w:t>7.</w:t>
            </w:r>
            <w:r>
              <w:rPr>
                <w:rFonts w:hint="eastAsia" w:ascii="宋体" w:hAnsi="宋体" w:cs="宋体"/>
                <w:sz w:val="24"/>
                <w:szCs w:val="24"/>
              </w:rPr>
              <w:t>授权委托人需携带《法定代表人授权委托书》原件、授权人身份证原件及复印件、法定代表人身份证复印件，（法定代表人亲自前来的需提供《法定代表人身份证明书》原件及法定代表人身份证原件、复印件）；</w:t>
            </w:r>
          </w:p>
          <w:p>
            <w:pPr>
              <w:spacing w:line="360" w:lineRule="auto"/>
              <w:rPr>
                <w:rFonts w:ascii="宋体" w:hAnsi="宋体" w:cs="宋体"/>
                <w:sz w:val="24"/>
                <w:szCs w:val="24"/>
              </w:rPr>
            </w:pPr>
            <w:r>
              <w:rPr>
                <w:rFonts w:hint="eastAsia" w:ascii="宋体" w:hAnsi="宋体" w:cs="宋体"/>
                <w:sz w:val="24"/>
                <w:szCs w:val="24"/>
              </w:rPr>
              <w:t>8.供应商应遵守国家有关的法律、法规和政策；供应商参加政府采购活动前三年内，在经营活动中没有重大违法记录；</w:t>
            </w:r>
          </w:p>
          <w:p>
            <w:pPr>
              <w:spacing w:line="360" w:lineRule="auto"/>
              <w:rPr>
                <w:rFonts w:ascii="宋体" w:hAnsi="宋体" w:cs="宋体"/>
                <w:sz w:val="24"/>
                <w:szCs w:val="24"/>
              </w:rPr>
            </w:pPr>
            <w:r>
              <w:rPr>
                <w:rFonts w:hint="eastAsia" w:ascii="宋体" w:hAnsi="宋体" w:cs="宋体"/>
                <w:sz w:val="24"/>
                <w:szCs w:val="24"/>
              </w:rPr>
              <w:t>9.供应商未被列入失信被执行人、重大税收违法案件当事人名单、政府采购严重违法失信行为记录名单；</w:t>
            </w:r>
          </w:p>
          <w:p>
            <w:pPr>
              <w:spacing w:line="360" w:lineRule="auto"/>
              <w:rPr>
                <w:rFonts w:ascii="宋体" w:hAnsi="宋体" w:cs="宋体"/>
                <w:sz w:val="24"/>
                <w:szCs w:val="24"/>
              </w:rPr>
            </w:pPr>
            <w:r>
              <w:rPr>
                <w:rFonts w:hint="eastAsia" w:ascii="宋体" w:hAnsi="宋体" w:cs="宋体"/>
                <w:sz w:val="24"/>
                <w:szCs w:val="24"/>
              </w:rPr>
              <w:t>10.具有良好的商业信誉和健全的财务会计制度；</w:t>
            </w:r>
          </w:p>
          <w:p>
            <w:pPr>
              <w:spacing w:line="360" w:lineRule="auto"/>
              <w:rPr>
                <w:rFonts w:ascii="宋体" w:hAnsi="宋体" w:cs="宋体"/>
                <w:sz w:val="24"/>
                <w:szCs w:val="24"/>
              </w:rPr>
            </w:pPr>
            <w:r>
              <w:rPr>
                <w:rFonts w:hint="eastAsia" w:ascii="宋体" w:hAnsi="宋体" w:cs="宋体"/>
                <w:sz w:val="24"/>
                <w:szCs w:val="24"/>
              </w:rPr>
              <w:t>11.本次项目不接受联合体参与磋商。</w:t>
            </w:r>
          </w:p>
        </w:tc>
      </w:tr>
      <w:tr>
        <w:tblPrEx>
          <w:tblCellMar>
            <w:top w:w="0" w:type="dxa"/>
            <w:left w:w="108" w:type="dxa"/>
            <w:bottom w:w="0" w:type="dxa"/>
            <w:right w:w="108" w:type="dxa"/>
          </w:tblCellMar>
        </w:tblPrEx>
        <w:trPr>
          <w:trHeight w:val="23" w:hRule="atLeast"/>
          <w:jc w:val="center"/>
        </w:trPr>
        <w:tc>
          <w:tcPr>
            <w:tcW w:w="517" w:type="dxa"/>
            <w:tcBorders>
              <w:top w:val="single" w:color="auto" w:sz="12" w:space="0"/>
              <w:left w:val="single" w:color="auto" w:sz="12" w:space="0"/>
              <w:bottom w:val="single" w:color="auto" w:sz="12" w:space="0"/>
              <w:right w:val="single" w:color="auto" w:sz="12" w:space="0"/>
            </w:tcBorders>
            <w:vAlign w:val="center"/>
          </w:tcPr>
          <w:p>
            <w:pPr>
              <w:pStyle w:val="91"/>
              <w:spacing w:line="360" w:lineRule="auto"/>
              <w:jc w:val="center"/>
              <w:rPr>
                <w:rFonts w:ascii="宋体" w:hAnsi="宋体" w:cs="宋体"/>
                <w:color w:val="auto"/>
              </w:rPr>
            </w:pPr>
            <w:r>
              <w:rPr>
                <w:rFonts w:hint="eastAsia" w:ascii="宋体" w:hAnsi="宋体" w:cs="宋体"/>
                <w:color w:val="auto"/>
              </w:rPr>
              <w:t>8</w:t>
            </w:r>
          </w:p>
        </w:tc>
        <w:tc>
          <w:tcPr>
            <w:tcW w:w="1695" w:type="dxa"/>
            <w:tcBorders>
              <w:top w:val="single" w:color="auto" w:sz="12" w:space="0"/>
              <w:left w:val="single" w:color="auto" w:sz="12" w:space="0"/>
              <w:bottom w:val="single" w:color="auto" w:sz="12" w:space="0"/>
              <w:right w:val="single" w:color="auto" w:sz="12" w:space="0"/>
            </w:tcBorders>
            <w:vAlign w:val="center"/>
          </w:tcPr>
          <w:p>
            <w:pPr>
              <w:overflowPunct w:val="0"/>
              <w:spacing w:line="360" w:lineRule="auto"/>
              <w:jc w:val="center"/>
              <w:rPr>
                <w:rFonts w:ascii="宋体" w:hAnsi="宋体" w:cs="宋体"/>
                <w:b/>
                <w:sz w:val="24"/>
                <w:szCs w:val="24"/>
              </w:rPr>
            </w:pPr>
            <w:r>
              <w:rPr>
                <w:rFonts w:hint="eastAsia" w:ascii="宋体" w:hAnsi="宋体" w:cs="宋体"/>
                <w:b/>
                <w:sz w:val="24"/>
                <w:szCs w:val="24"/>
              </w:rPr>
              <w:t>磋商有效期</w:t>
            </w:r>
          </w:p>
        </w:tc>
        <w:tc>
          <w:tcPr>
            <w:tcW w:w="8727" w:type="dxa"/>
            <w:tcBorders>
              <w:top w:val="single" w:color="auto" w:sz="12" w:space="0"/>
              <w:left w:val="single" w:color="auto" w:sz="12" w:space="0"/>
              <w:bottom w:val="single" w:color="auto" w:sz="12" w:space="0"/>
              <w:right w:val="single" w:color="auto" w:sz="12" w:space="0"/>
            </w:tcBorders>
            <w:vAlign w:val="center"/>
          </w:tcPr>
          <w:p>
            <w:pPr>
              <w:overflowPunct w:val="0"/>
              <w:spacing w:line="360" w:lineRule="auto"/>
              <w:rPr>
                <w:rFonts w:ascii="宋体" w:hAnsi="宋体" w:cs="宋体"/>
                <w:kern w:val="0"/>
                <w:sz w:val="24"/>
                <w:szCs w:val="24"/>
              </w:rPr>
            </w:pPr>
            <w:r>
              <w:rPr>
                <w:rFonts w:hint="eastAsia" w:ascii="宋体" w:hAnsi="宋体" w:cs="宋体"/>
                <w:color w:val="000000" w:themeColor="text1"/>
                <w:sz w:val="24"/>
                <w:szCs w:val="24"/>
              </w:rPr>
              <w:t>60天</w:t>
            </w:r>
          </w:p>
        </w:tc>
      </w:tr>
      <w:tr>
        <w:tblPrEx>
          <w:tblCellMar>
            <w:top w:w="0" w:type="dxa"/>
            <w:left w:w="108" w:type="dxa"/>
            <w:bottom w:w="0" w:type="dxa"/>
            <w:right w:w="108" w:type="dxa"/>
          </w:tblCellMar>
        </w:tblPrEx>
        <w:trPr>
          <w:trHeight w:val="1293" w:hRule="atLeast"/>
          <w:jc w:val="center"/>
        </w:trPr>
        <w:tc>
          <w:tcPr>
            <w:tcW w:w="517" w:type="dxa"/>
            <w:tcBorders>
              <w:top w:val="single" w:color="auto" w:sz="12" w:space="0"/>
              <w:left w:val="single" w:color="auto" w:sz="12" w:space="0"/>
              <w:bottom w:val="single" w:color="auto" w:sz="12" w:space="0"/>
              <w:right w:val="single" w:color="auto" w:sz="12" w:space="0"/>
            </w:tcBorders>
            <w:vAlign w:val="center"/>
          </w:tcPr>
          <w:p>
            <w:pPr>
              <w:pStyle w:val="91"/>
              <w:spacing w:line="360" w:lineRule="auto"/>
              <w:jc w:val="center"/>
              <w:rPr>
                <w:rFonts w:ascii="宋体" w:hAnsi="宋体" w:cs="宋体"/>
                <w:color w:val="auto"/>
              </w:rPr>
            </w:pPr>
            <w:r>
              <w:rPr>
                <w:rFonts w:hint="eastAsia" w:ascii="宋体" w:hAnsi="宋体" w:cs="宋体"/>
                <w:color w:val="auto"/>
              </w:rPr>
              <w:t>9</w:t>
            </w:r>
          </w:p>
        </w:tc>
        <w:tc>
          <w:tcPr>
            <w:tcW w:w="1695" w:type="dxa"/>
            <w:tcBorders>
              <w:top w:val="single" w:color="auto" w:sz="12" w:space="0"/>
              <w:left w:val="single" w:color="auto" w:sz="12" w:space="0"/>
              <w:bottom w:val="single" w:color="auto" w:sz="12" w:space="0"/>
              <w:right w:val="single" w:color="auto" w:sz="12" w:space="0"/>
            </w:tcBorders>
            <w:vAlign w:val="center"/>
          </w:tcPr>
          <w:p>
            <w:pPr>
              <w:overflowPunct w:val="0"/>
              <w:spacing w:line="360" w:lineRule="auto"/>
              <w:jc w:val="center"/>
              <w:rPr>
                <w:rFonts w:ascii="宋体" w:hAnsi="宋体" w:cs="宋体"/>
                <w:b/>
                <w:sz w:val="24"/>
                <w:szCs w:val="24"/>
              </w:rPr>
            </w:pPr>
            <w:r>
              <w:rPr>
                <w:rFonts w:hint="eastAsia" w:ascii="宋体" w:hAnsi="宋体" w:cs="宋体"/>
                <w:b/>
                <w:sz w:val="24"/>
                <w:szCs w:val="24"/>
              </w:rPr>
              <w:t>响应文件份数</w:t>
            </w:r>
          </w:p>
        </w:tc>
        <w:tc>
          <w:tcPr>
            <w:tcW w:w="8727" w:type="dxa"/>
            <w:tcBorders>
              <w:top w:val="single" w:color="auto" w:sz="12" w:space="0"/>
              <w:left w:val="single" w:color="auto" w:sz="12" w:space="0"/>
              <w:bottom w:val="single" w:color="auto" w:sz="12" w:space="0"/>
              <w:right w:val="single" w:color="auto" w:sz="12" w:space="0"/>
            </w:tcBorders>
            <w:vAlign w:val="center"/>
          </w:tcPr>
          <w:p>
            <w:pPr>
              <w:overflowPunct w:val="0"/>
              <w:spacing w:line="360" w:lineRule="auto"/>
              <w:rPr>
                <w:rFonts w:ascii="宋体" w:hAnsi="宋体" w:cs="宋体"/>
                <w:sz w:val="24"/>
                <w:szCs w:val="24"/>
              </w:rPr>
            </w:pPr>
            <w:r>
              <w:rPr>
                <w:rFonts w:hint="eastAsia" w:ascii="宋体" w:hAnsi="宋体" w:cs="宋体"/>
                <w:sz w:val="24"/>
                <w:szCs w:val="24"/>
              </w:rPr>
              <w:t>正本壹份，单独密封，副本贰份一起密封；</w:t>
            </w:r>
          </w:p>
          <w:p>
            <w:pPr>
              <w:overflowPunct w:val="0"/>
              <w:spacing w:line="360" w:lineRule="auto"/>
              <w:rPr>
                <w:rFonts w:ascii="宋体" w:hAnsi="宋体" w:cs="宋体"/>
                <w:sz w:val="24"/>
                <w:szCs w:val="24"/>
              </w:rPr>
            </w:pPr>
            <w:r>
              <w:rPr>
                <w:rFonts w:hint="eastAsia" w:ascii="宋体" w:hAnsi="宋体" w:cs="宋体"/>
                <w:sz w:val="24"/>
                <w:szCs w:val="24"/>
              </w:rPr>
              <w:t>电子版（正本扫描件）壹份（U盘），单独密封；</w:t>
            </w:r>
          </w:p>
          <w:p>
            <w:pPr>
              <w:overflowPunct w:val="0"/>
              <w:spacing w:line="360" w:lineRule="auto"/>
              <w:rPr>
                <w:rFonts w:ascii="宋体" w:hAnsi="宋体" w:cs="宋体"/>
                <w:sz w:val="24"/>
                <w:szCs w:val="24"/>
              </w:rPr>
            </w:pPr>
            <w:r>
              <w:rPr>
                <w:rFonts w:hint="eastAsia" w:ascii="宋体" w:hAnsi="宋体" w:cs="宋体"/>
                <w:sz w:val="24"/>
                <w:szCs w:val="24"/>
              </w:rPr>
              <w:t>《磋商报价一览表》壹份，单独密封。</w:t>
            </w:r>
          </w:p>
        </w:tc>
      </w:tr>
      <w:tr>
        <w:tblPrEx>
          <w:tblCellMar>
            <w:top w:w="0" w:type="dxa"/>
            <w:left w:w="108" w:type="dxa"/>
            <w:bottom w:w="0" w:type="dxa"/>
            <w:right w:w="108" w:type="dxa"/>
          </w:tblCellMar>
        </w:tblPrEx>
        <w:trPr>
          <w:trHeight w:val="23" w:hRule="atLeast"/>
          <w:jc w:val="center"/>
        </w:trPr>
        <w:tc>
          <w:tcPr>
            <w:tcW w:w="517" w:type="dxa"/>
            <w:tcBorders>
              <w:top w:val="single" w:color="auto" w:sz="12" w:space="0"/>
              <w:left w:val="single" w:color="auto" w:sz="12" w:space="0"/>
              <w:bottom w:val="single" w:color="auto" w:sz="12" w:space="0"/>
              <w:right w:val="single" w:color="auto" w:sz="12" w:space="0"/>
            </w:tcBorders>
            <w:vAlign w:val="center"/>
          </w:tcPr>
          <w:p>
            <w:pPr>
              <w:pStyle w:val="91"/>
              <w:spacing w:line="360" w:lineRule="auto"/>
              <w:jc w:val="center"/>
              <w:rPr>
                <w:rFonts w:ascii="宋体" w:hAnsi="宋体" w:cs="宋体"/>
                <w:color w:val="auto"/>
              </w:rPr>
            </w:pPr>
            <w:r>
              <w:rPr>
                <w:rFonts w:hint="eastAsia" w:ascii="宋体" w:hAnsi="宋体" w:cs="宋体"/>
                <w:color w:val="auto"/>
              </w:rPr>
              <w:t>10</w:t>
            </w:r>
          </w:p>
        </w:tc>
        <w:tc>
          <w:tcPr>
            <w:tcW w:w="1695" w:type="dxa"/>
            <w:tcBorders>
              <w:top w:val="single" w:color="auto" w:sz="12" w:space="0"/>
              <w:left w:val="single" w:color="auto" w:sz="12" w:space="0"/>
              <w:bottom w:val="single" w:color="auto" w:sz="12" w:space="0"/>
              <w:right w:val="single" w:color="auto" w:sz="12" w:space="0"/>
            </w:tcBorders>
            <w:vAlign w:val="center"/>
          </w:tcPr>
          <w:p>
            <w:pPr>
              <w:overflowPunct w:val="0"/>
              <w:spacing w:line="360" w:lineRule="auto"/>
              <w:jc w:val="center"/>
              <w:rPr>
                <w:rFonts w:ascii="宋体" w:hAnsi="宋体" w:cs="宋体"/>
                <w:b/>
                <w:sz w:val="24"/>
                <w:szCs w:val="24"/>
              </w:rPr>
            </w:pPr>
            <w:r>
              <w:rPr>
                <w:rFonts w:hint="eastAsia" w:ascii="宋体" w:hAnsi="宋体" w:cs="宋体"/>
                <w:b/>
                <w:sz w:val="24"/>
                <w:szCs w:val="24"/>
              </w:rPr>
              <w:t>磋商保证金</w:t>
            </w:r>
          </w:p>
        </w:tc>
        <w:tc>
          <w:tcPr>
            <w:tcW w:w="8727" w:type="dxa"/>
            <w:tcBorders>
              <w:top w:val="single" w:color="auto" w:sz="12" w:space="0"/>
              <w:left w:val="single" w:color="auto" w:sz="12" w:space="0"/>
              <w:bottom w:val="single" w:color="auto" w:sz="12" w:space="0"/>
              <w:right w:val="single" w:color="auto" w:sz="12" w:space="0"/>
            </w:tcBorders>
            <w:vAlign w:val="center"/>
          </w:tcPr>
          <w:p>
            <w:pPr>
              <w:spacing w:line="360" w:lineRule="auto"/>
              <w:rPr>
                <w:rFonts w:ascii="宋体" w:hAnsi="宋体" w:cs="宋体"/>
                <w:sz w:val="24"/>
                <w:szCs w:val="24"/>
              </w:rPr>
            </w:pPr>
            <w:r>
              <w:rPr>
                <w:rFonts w:hint="eastAsia" w:ascii="宋体" w:hAnsi="宋体" w:cs="宋体"/>
                <w:sz w:val="24"/>
                <w:szCs w:val="24"/>
              </w:rPr>
              <w:t>磋商保证金金额：18000.00元（壹万捌仟元整）</w:t>
            </w:r>
          </w:p>
          <w:p>
            <w:pPr>
              <w:spacing w:line="360" w:lineRule="auto"/>
              <w:rPr>
                <w:rFonts w:ascii="宋体" w:hAnsi="宋体" w:cs="宋体"/>
                <w:sz w:val="24"/>
                <w:szCs w:val="24"/>
              </w:rPr>
            </w:pPr>
            <w:r>
              <w:rPr>
                <w:rFonts w:hint="eastAsia" w:ascii="宋体" w:hAnsi="宋体" w:cs="宋体"/>
                <w:sz w:val="24"/>
                <w:szCs w:val="24"/>
              </w:rPr>
              <w:t>磋商保证金的形式：转帐、电汇。</w:t>
            </w:r>
          </w:p>
          <w:p>
            <w:pPr>
              <w:spacing w:line="360" w:lineRule="auto"/>
              <w:rPr>
                <w:rFonts w:ascii="宋体" w:hAnsi="宋体" w:cs="宋体"/>
                <w:sz w:val="24"/>
                <w:szCs w:val="24"/>
              </w:rPr>
            </w:pPr>
            <w:r>
              <w:rPr>
                <w:rFonts w:hint="eastAsia" w:ascii="宋体" w:hAnsi="宋体" w:cs="宋体"/>
                <w:sz w:val="24"/>
                <w:szCs w:val="24"/>
              </w:rPr>
              <w:t xml:space="preserve">磋商保证金的递交截止时间：磋商之前缴纳。 </w:t>
            </w:r>
          </w:p>
          <w:p>
            <w:pPr>
              <w:spacing w:line="360" w:lineRule="auto"/>
              <w:jc w:val="left"/>
              <w:rPr>
                <w:rFonts w:ascii="宋体" w:hAnsi="宋体" w:cs="宋体"/>
                <w:sz w:val="24"/>
                <w:szCs w:val="24"/>
              </w:rPr>
            </w:pPr>
            <w:r>
              <w:rPr>
                <w:rFonts w:hint="eastAsia" w:ascii="宋体" w:hAnsi="宋体" w:cs="宋体"/>
                <w:sz w:val="24"/>
                <w:szCs w:val="24"/>
              </w:rPr>
              <w:t>单位名称：新疆国文弘业招标有限公司 </w:t>
            </w:r>
          </w:p>
          <w:p>
            <w:pPr>
              <w:spacing w:line="360" w:lineRule="auto"/>
              <w:jc w:val="left"/>
              <w:rPr>
                <w:rFonts w:ascii="宋体" w:hAnsi="宋体" w:cs="宋体"/>
                <w:sz w:val="24"/>
                <w:szCs w:val="24"/>
              </w:rPr>
            </w:pPr>
            <w:r>
              <w:rPr>
                <w:rFonts w:hint="eastAsia" w:ascii="宋体" w:hAnsi="宋体" w:cs="宋体"/>
                <w:sz w:val="24"/>
                <w:szCs w:val="24"/>
              </w:rPr>
              <w:t>开户银行：招商银行股份有限公司乌鲁木齐新华北路支行</w:t>
            </w:r>
          </w:p>
          <w:p>
            <w:pPr>
              <w:spacing w:line="360" w:lineRule="auto"/>
              <w:jc w:val="left"/>
              <w:rPr>
                <w:rFonts w:ascii="宋体" w:hAnsi="宋体" w:cs="宋体"/>
                <w:sz w:val="24"/>
                <w:szCs w:val="24"/>
              </w:rPr>
            </w:pPr>
            <w:r>
              <w:rPr>
                <w:rFonts w:hint="eastAsia" w:ascii="宋体" w:hAnsi="宋体" w:cs="宋体"/>
                <w:sz w:val="24"/>
                <w:szCs w:val="24"/>
              </w:rPr>
              <w:t>账号：</w:t>
            </w:r>
            <w:bookmarkStart w:id="258" w:name="_GoBack"/>
            <w:r>
              <w:rPr>
                <w:rFonts w:hint="eastAsia" w:ascii="宋体" w:hAnsi="宋体" w:cs="宋体"/>
                <w:sz w:val="24"/>
                <w:szCs w:val="24"/>
              </w:rPr>
              <w:t>991905086010501</w:t>
            </w:r>
            <w:bookmarkEnd w:id="258"/>
          </w:p>
          <w:p>
            <w:pPr>
              <w:spacing w:line="360" w:lineRule="auto"/>
              <w:jc w:val="left"/>
              <w:rPr>
                <w:rFonts w:ascii="宋体" w:hAnsi="宋体" w:cs="宋体"/>
                <w:sz w:val="24"/>
                <w:szCs w:val="24"/>
              </w:rPr>
            </w:pPr>
            <w:r>
              <w:rPr>
                <w:rFonts w:hint="eastAsia" w:ascii="宋体" w:hAnsi="宋体" w:cs="宋体"/>
                <w:sz w:val="24"/>
                <w:szCs w:val="24"/>
              </w:rPr>
              <w:t>行号：308881029026</w:t>
            </w:r>
          </w:p>
          <w:p>
            <w:pPr>
              <w:spacing w:line="360" w:lineRule="auto"/>
              <w:rPr>
                <w:rFonts w:ascii="宋体" w:hAnsi="宋体" w:cs="宋体"/>
                <w:b/>
                <w:bCs/>
                <w:sz w:val="24"/>
                <w:szCs w:val="24"/>
              </w:rPr>
            </w:pPr>
            <w:r>
              <w:rPr>
                <w:rFonts w:hint="eastAsia" w:ascii="宋体" w:hAnsi="宋体" w:cs="宋体"/>
                <w:b/>
                <w:bCs/>
                <w:sz w:val="24"/>
                <w:szCs w:val="24"/>
              </w:rPr>
              <w:t>联系电话</w:t>
            </w:r>
            <w:r>
              <w:rPr>
                <w:rFonts w:hint="eastAsia" w:ascii="宋体" w:hAnsi="宋体" w:cs="宋体"/>
                <w:sz w:val="24"/>
                <w:szCs w:val="24"/>
              </w:rPr>
              <w:t>：</w:t>
            </w:r>
            <w:r>
              <w:rPr>
                <w:rFonts w:hint="eastAsia" w:ascii="宋体" w:hAnsi="宋体" w:cs="宋体"/>
                <w:b/>
                <w:bCs/>
                <w:sz w:val="24"/>
                <w:szCs w:val="24"/>
              </w:rPr>
              <w:t>0991-2203087转3302；财务0991-2203087转8007</w:t>
            </w:r>
          </w:p>
          <w:p>
            <w:pPr>
              <w:spacing w:line="360" w:lineRule="auto"/>
              <w:rPr>
                <w:rFonts w:ascii="宋体" w:hAnsi="宋体" w:cs="宋体"/>
                <w:sz w:val="24"/>
                <w:szCs w:val="24"/>
              </w:rPr>
            </w:pPr>
            <w:r>
              <w:rPr>
                <w:rFonts w:hint="eastAsia" w:ascii="宋体" w:hAnsi="宋体" w:cs="宋体"/>
                <w:b/>
                <w:bCs/>
                <w:sz w:val="24"/>
                <w:szCs w:val="24"/>
              </w:rPr>
              <w:t>注意：磋商保证金于磋商之前缴纳，否则其响应文件将被拒绝评审，供应商提交磋商保证金应充分考虑资金在途时间。</w:t>
            </w:r>
            <w:r>
              <w:rPr>
                <w:rFonts w:hint="eastAsia" w:ascii="宋体" w:hAnsi="宋体" w:cs="宋体"/>
                <w:b/>
                <w:bCs/>
                <w:sz w:val="24"/>
                <w:szCs w:val="24"/>
                <w:u w:val="single"/>
              </w:rPr>
              <w:t>（磋商保证金收据复印件做响应文件内，原件带磋商现场查验，请供应商充分考虑缴纳时间）</w:t>
            </w:r>
          </w:p>
          <w:p>
            <w:pPr>
              <w:spacing w:line="360" w:lineRule="auto"/>
              <w:rPr>
                <w:rFonts w:ascii="宋体" w:hAnsi="宋体" w:cs="宋体"/>
                <w:b/>
                <w:bCs/>
                <w:sz w:val="24"/>
                <w:szCs w:val="24"/>
              </w:rPr>
            </w:pPr>
            <w:r>
              <w:rPr>
                <w:rFonts w:hint="eastAsia" w:ascii="宋体" w:hAnsi="宋体" w:cs="宋体"/>
                <w:sz w:val="24"/>
                <w:szCs w:val="24"/>
              </w:rPr>
              <w:t>供应商按上述要求递交磋商保证金后，</w:t>
            </w:r>
            <w:r>
              <w:rPr>
                <w:rFonts w:hint="eastAsia" w:ascii="宋体" w:hAnsi="宋体" w:cs="宋体"/>
                <w:b/>
                <w:bCs/>
                <w:sz w:val="24"/>
                <w:szCs w:val="24"/>
                <w:u w:val="single"/>
              </w:rPr>
              <w:t>请授权人携</w:t>
            </w:r>
            <w:r>
              <w:rPr>
                <w:rFonts w:hint="eastAsia" w:ascii="宋体" w:hAnsi="宋体" w:cs="宋体"/>
                <w:b/>
                <w:bCs/>
                <w:color w:val="000000"/>
                <w:sz w:val="24"/>
                <w:szCs w:val="24"/>
                <w:u w:val="single"/>
              </w:rPr>
              <w:t>银行转账凭证或其它缴款凭据并加盖公章</w:t>
            </w:r>
            <w:r>
              <w:rPr>
                <w:rFonts w:hint="eastAsia" w:ascii="宋体" w:hAnsi="宋体" w:cs="宋体"/>
                <w:b/>
                <w:bCs/>
                <w:sz w:val="24"/>
                <w:szCs w:val="24"/>
                <w:u w:val="single"/>
              </w:rPr>
              <w:t>到新疆国文弘业招标有限公司领取采购代理机构开具的磋商保证金收款收据。</w:t>
            </w:r>
          </w:p>
          <w:p>
            <w:pPr>
              <w:overflowPunct w:val="0"/>
              <w:spacing w:line="360" w:lineRule="auto"/>
              <w:rPr>
                <w:rFonts w:ascii="宋体" w:hAnsi="宋体" w:cs="宋体"/>
                <w:b/>
                <w:sz w:val="24"/>
                <w:szCs w:val="24"/>
              </w:rPr>
            </w:pPr>
            <w:r>
              <w:rPr>
                <w:rFonts w:hint="eastAsia" w:ascii="宋体" w:hAnsi="宋体" w:cs="宋体"/>
                <w:b/>
                <w:bCs/>
                <w:sz w:val="24"/>
                <w:szCs w:val="24"/>
                <w:u w:val="single"/>
              </w:rPr>
              <w:t>办理磋商保证金退还手续时须出具：1.财务信息；2.采购代理出具此项目的磋商保证金收据原件；3.供应商的财务部门开具给本公司的有关此项目的退还磋商保证金收据原件。(成交单位需提供合同复印件)</w:t>
            </w:r>
            <w:r>
              <w:rPr>
                <w:rFonts w:hint="eastAsia" w:ascii="宋体" w:hAnsi="宋体" w:cs="宋体"/>
                <w:sz w:val="24"/>
                <w:szCs w:val="24"/>
              </w:rPr>
              <w:t>。</w:t>
            </w:r>
          </w:p>
        </w:tc>
      </w:tr>
      <w:tr>
        <w:tblPrEx>
          <w:tblCellMar>
            <w:top w:w="0" w:type="dxa"/>
            <w:left w:w="108" w:type="dxa"/>
            <w:bottom w:w="0" w:type="dxa"/>
            <w:right w:w="108" w:type="dxa"/>
          </w:tblCellMar>
        </w:tblPrEx>
        <w:trPr>
          <w:trHeight w:val="23" w:hRule="atLeast"/>
          <w:jc w:val="center"/>
        </w:trPr>
        <w:tc>
          <w:tcPr>
            <w:tcW w:w="517" w:type="dxa"/>
            <w:tcBorders>
              <w:top w:val="single" w:color="auto" w:sz="12" w:space="0"/>
              <w:left w:val="single" w:color="auto" w:sz="12" w:space="0"/>
              <w:bottom w:val="single" w:color="auto" w:sz="12" w:space="0"/>
              <w:right w:val="single" w:color="auto" w:sz="12" w:space="0"/>
            </w:tcBorders>
            <w:vAlign w:val="center"/>
          </w:tcPr>
          <w:p>
            <w:pPr>
              <w:pStyle w:val="91"/>
              <w:spacing w:line="360" w:lineRule="auto"/>
              <w:jc w:val="center"/>
              <w:rPr>
                <w:rFonts w:ascii="宋体" w:hAnsi="宋体" w:cs="宋体"/>
                <w:bCs/>
                <w:color w:val="auto"/>
                <w:kern w:val="2"/>
              </w:rPr>
            </w:pPr>
            <w:r>
              <w:rPr>
                <w:rFonts w:hint="eastAsia" w:ascii="宋体" w:hAnsi="宋体" w:cs="宋体"/>
                <w:bCs/>
                <w:color w:val="auto"/>
                <w:kern w:val="2"/>
              </w:rPr>
              <w:t>11</w:t>
            </w:r>
          </w:p>
        </w:tc>
        <w:tc>
          <w:tcPr>
            <w:tcW w:w="1695" w:type="dxa"/>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响应文件</w:t>
            </w:r>
          </w:p>
          <w:p>
            <w:pPr>
              <w:spacing w:line="360" w:lineRule="auto"/>
              <w:jc w:val="center"/>
              <w:rPr>
                <w:rFonts w:ascii="宋体" w:hAnsi="宋体" w:cs="宋体"/>
                <w:bCs/>
                <w:sz w:val="24"/>
                <w:szCs w:val="24"/>
              </w:rPr>
            </w:pPr>
            <w:r>
              <w:rPr>
                <w:rFonts w:hint="eastAsia" w:ascii="宋体" w:hAnsi="宋体" w:cs="宋体"/>
                <w:sz w:val="24"/>
                <w:szCs w:val="24"/>
              </w:rPr>
              <w:t>递交</w:t>
            </w:r>
          </w:p>
        </w:tc>
        <w:tc>
          <w:tcPr>
            <w:tcW w:w="8727" w:type="dxa"/>
            <w:tcBorders>
              <w:top w:val="single" w:color="auto" w:sz="12" w:space="0"/>
              <w:left w:val="single" w:color="auto" w:sz="12" w:space="0"/>
              <w:bottom w:val="single" w:color="auto" w:sz="12" w:space="0"/>
              <w:right w:val="single" w:color="auto" w:sz="12" w:space="0"/>
            </w:tcBorders>
            <w:vAlign w:val="center"/>
          </w:tcPr>
          <w:p>
            <w:pPr>
              <w:spacing w:line="360" w:lineRule="auto"/>
              <w:jc w:val="left"/>
              <w:rPr>
                <w:rFonts w:ascii="宋体" w:hAnsi="宋体" w:cs="宋体"/>
                <w:kern w:val="0"/>
                <w:sz w:val="24"/>
                <w:szCs w:val="24"/>
                <w:highlight w:val="yellow"/>
              </w:rPr>
            </w:pPr>
            <w:r>
              <w:rPr>
                <w:rFonts w:hint="eastAsia" w:ascii="宋体" w:hAnsi="宋体" w:cs="宋体"/>
                <w:kern w:val="0"/>
                <w:sz w:val="24"/>
                <w:szCs w:val="24"/>
                <w:highlight w:val="yellow"/>
              </w:rPr>
              <w:t>响应文件递交日期及时间：2022年0</w:t>
            </w:r>
            <w:r>
              <w:rPr>
                <w:rFonts w:hint="eastAsia" w:ascii="宋体" w:hAnsi="宋体" w:cs="宋体"/>
                <w:kern w:val="0"/>
                <w:sz w:val="24"/>
                <w:szCs w:val="24"/>
                <w:highlight w:val="yellow"/>
                <w:lang w:val="en-US" w:eastAsia="zh-CN"/>
              </w:rPr>
              <w:t>5</w:t>
            </w:r>
            <w:r>
              <w:rPr>
                <w:rFonts w:hint="eastAsia" w:ascii="宋体" w:hAnsi="宋体" w:cs="宋体"/>
                <w:kern w:val="0"/>
                <w:sz w:val="24"/>
                <w:szCs w:val="24"/>
                <w:highlight w:val="yellow"/>
              </w:rPr>
              <w:t>月  日16：30（北京时间）</w:t>
            </w:r>
          </w:p>
          <w:p>
            <w:pPr>
              <w:spacing w:line="360" w:lineRule="auto"/>
              <w:jc w:val="left"/>
              <w:rPr>
                <w:rFonts w:ascii="宋体" w:hAnsi="宋体" w:cs="宋体"/>
                <w:bCs/>
                <w:sz w:val="24"/>
                <w:szCs w:val="24"/>
              </w:rPr>
            </w:pPr>
            <w:r>
              <w:rPr>
                <w:rFonts w:hint="eastAsia" w:ascii="宋体" w:hAnsi="宋体" w:cs="宋体"/>
                <w:kern w:val="0"/>
                <w:sz w:val="24"/>
                <w:szCs w:val="24"/>
              </w:rPr>
              <w:t>响应文件递交地点：新疆乌鲁木齐市新华北路8号红山新世纪A座33层3308室</w:t>
            </w:r>
          </w:p>
        </w:tc>
      </w:tr>
      <w:tr>
        <w:tblPrEx>
          <w:tblCellMar>
            <w:top w:w="0" w:type="dxa"/>
            <w:left w:w="108" w:type="dxa"/>
            <w:bottom w:w="0" w:type="dxa"/>
            <w:right w:w="108" w:type="dxa"/>
          </w:tblCellMar>
        </w:tblPrEx>
        <w:trPr>
          <w:trHeight w:val="23" w:hRule="atLeast"/>
          <w:jc w:val="center"/>
        </w:trPr>
        <w:tc>
          <w:tcPr>
            <w:tcW w:w="517" w:type="dxa"/>
            <w:tcBorders>
              <w:top w:val="single" w:color="auto" w:sz="12" w:space="0"/>
              <w:left w:val="single" w:color="auto" w:sz="12" w:space="0"/>
              <w:bottom w:val="single" w:color="auto" w:sz="12" w:space="0"/>
              <w:right w:val="single" w:color="auto" w:sz="12" w:space="0"/>
            </w:tcBorders>
            <w:vAlign w:val="center"/>
          </w:tcPr>
          <w:p>
            <w:pPr>
              <w:overflowPunct w:val="0"/>
              <w:spacing w:line="360" w:lineRule="auto"/>
              <w:rPr>
                <w:rFonts w:ascii="宋体" w:hAnsi="宋体" w:cs="宋体"/>
                <w:bCs/>
                <w:sz w:val="24"/>
                <w:szCs w:val="24"/>
              </w:rPr>
            </w:pPr>
            <w:r>
              <w:rPr>
                <w:rFonts w:hint="eastAsia" w:ascii="宋体" w:hAnsi="宋体" w:cs="宋体"/>
                <w:bCs/>
                <w:sz w:val="24"/>
                <w:szCs w:val="24"/>
              </w:rPr>
              <w:t>12</w:t>
            </w:r>
          </w:p>
        </w:tc>
        <w:tc>
          <w:tcPr>
            <w:tcW w:w="1695" w:type="dxa"/>
            <w:tcBorders>
              <w:top w:val="single" w:color="auto" w:sz="12" w:space="0"/>
              <w:left w:val="single" w:color="auto" w:sz="12" w:space="0"/>
              <w:bottom w:val="single" w:color="auto" w:sz="12" w:space="0"/>
              <w:right w:val="single" w:color="auto" w:sz="12" w:space="0"/>
            </w:tcBorders>
            <w:vAlign w:val="center"/>
          </w:tcPr>
          <w:p>
            <w:pPr>
              <w:overflowPunct w:val="0"/>
              <w:spacing w:line="360" w:lineRule="auto"/>
              <w:jc w:val="center"/>
              <w:rPr>
                <w:rFonts w:ascii="宋体" w:hAnsi="宋体" w:cs="宋体"/>
                <w:bCs/>
                <w:sz w:val="24"/>
                <w:szCs w:val="24"/>
              </w:rPr>
            </w:pPr>
            <w:r>
              <w:rPr>
                <w:rFonts w:hint="eastAsia" w:ascii="宋体" w:hAnsi="宋体" w:cs="宋体"/>
                <w:bCs/>
                <w:sz w:val="24"/>
                <w:szCs w:val="24"/>
              </w:rPr>
              <w:t>磋商时间及地点</w:t>
            </w:r>
          </w:p>
        </w:tc>
        <w:tc>
          <w:tcPr>
            <w:tcW w:w="8727" w:type="dxa"/>
            <w:tcBorders>
              <w:top w:val="single" w:color="auto" w:sz="12" w:space="0"/>
              <w:left w:val="single" w:color="auto" w:sz="12" w:space="0"/>
              <w:bottom w:val="single" w:color="auto" w:sz="12" w:space="0"/>
              <w:right w:val="single" w:color="auto" w:sz="12" w:space="0"/>
            </w:tcBorders>
            <w:vAlign w:val="center"/>
          </w:tcPr>
          <w:p>
            <w:pPr>
              <w:overflowPunct w:val="0"/>
              <w:spacing w:line="360" w:lineRule="auto"/>
              <w:rPr>
                <w:rFonts w:ascii="宋体" w:hAnsi="宋体" w:cs="宋体"/>
                <w:kern w:val="0"/>
                <w:sz w:val="24"/>
                <w:szCs w:val="24"/>
                <w:highlight w:val="yellow"/>
              </w:rPr>
            </w:pPr>
            <w:r>
              <w:rPr>
                <w:rFonts w:hint="eastAsia" w:ascii="宋体" w:hAnsi="宋体" w:cs="宋体"/>
                <w:kern w:val="0"/>
                <w:sz w:val="24"/>
                <w:szCs w:val="24"/>
                <w:highlight w:val="yellow"/>
              </w:rPr>
              <w:t>磋商日期及时间：2022年0</w:t>
            </w:r>
            <w:r>
              <w:rPr>
                <w:rFonts w:hint="eastAsia" w:ascii="宋体" w:hAnsi="宋体" w:cs="宋体"/>
                <w:kern w:val="0"/>
                <w:sz w:val="24"/>
                <w:szCs w:val="24"/>
                <w:highlight w:val="yellow"/>
                <w:lang w:val="en-US" w:eastAsia="zh-CN"/>
              </w:rPr>
              <w:t>5</w:t>
            </w:r>
            <w:r>
              <w:rPr>
                <w:rFonts w:hint="eastAsia" w:ascii="宋体" w:hAnsi="宋体" w:cs="宋体"/>
                <w:kern w:val="0"/>
                <w:sz w:val="24"/>
                <w:szCs w:val="24"/>
                <w:highlight w:val="yellow"/>
              </w:rPr>
              <w:t>月  日16：30（北京时间）</w:t>
            </w:r>
          </w:p>
          <w:p>
            <w:pPr>
              <w:overflowPunct w:val="0"/>
              <w:spacing w:line="360" w:lineRule="auto"/>
              <w:rPr>
                <w:rFonts w:ascii="宋体" w:hAnsi="宋体" w:cs="宋体"/>
                <w:kern w:val="0"/>
                <w:sz w:val="24"/>
                <w:szCs w:val="24"/>
              </w:rPr>
            </w:pPr>
            <w:r>
              <w:rPr>
                <w:rFonts w:hint="eastAsia" w:ascii="宋体" w:hAnsi="宋体" w:cs="宋体"/>
                <w:kern w:val="0"/>
                <w:sz w:val="24"/>
                <w:szCs w:val="24"/>
              </w:rPr>
              <w:t>磋商地点：新疆乌鲁木齐市新华北路8号红山新世纪A座33层3308室</w:t>
            </w:r>
          </w:p>
        </w:tc>
      </w:tr>
      <w:tr>
        <w:tblPrEx>
          <w:tblCellMar>
            <w:top w:w="0" w:type="dxa"/>
            <w:left w:w="108" w:type="dxa"/>
            <w:bottom w:w="0" w:type="dxa"/>
            <w:right w:w="108" w:type="dxa"/>
          </w:tblCellMar>
        </w:tblPrEx>
        <w:trPr>
          <w:trHeight w:val="23" w:hRule="atLeast"/>
          <w:jc w:val="center"/>
        </w:trPr>
        <w:tc>
          <w:tcPr>
            <w:tcW w:w="517" w:type="dxa"/>
            <w:tcBorders>
              <w:top w:val="single" w:color="auto" w:sz="12" w:space="0"/>
              <w:left w:val="single" w:color="auto" w:sz="12" w:space="0"/>
              <w:bottom w:val="single" w:color="auto" w:sz="12" w:space="0"/>
              <w:right w:val="single" w:color="auto" w:sz="12" w:space="0"/>
            </w:tcBorders>
            <w:vAlign w:val="center"/>
          </w:tcPr>
          <w:p>
            <w:pPr>
              <w:pStyle w:val="91"/>
              <w:spacing w:line="360" w:lineRule="auto"/>
              <w:jc w:val="center"/>
              <w:rPr>
                <w:rFonts w:ascii="宋体" w:hAnsi="宋体" w:cs="宋体"/>
                <w:color w:val="auto"/>
              </w:rPr>
            </w:pPr>
            <w:r>
              <w:rPr>
                <w:rFonts w:hint="eastAsia" w:ascii="宋体" w:hAnsi="宋体" w:cs="宋体"/>
                <w:color w:val="auto"/>
              </w:rPr>
              <w:t>13</w:t>
            </w:r>
          </w:p>
        </w:tc>
        <w:tc>
          <w:tcPr>
            <w:tcW w:w="1695" w:type="dxa"/>
            <w:tcBorders>
              <w:top w:val="single" w:color="auto" w:sz="12" w:space="0"/>
              <w:left w:val="single" w:color="auto" w:sz="12" w:space="0"/>
              <w:bottom w:val="single" w:color="auto" w:sz="12" w:space="0"/>
              <w:right w:val="single" w:color="auto" w:sz="12" w:space="0"/>
            </w:tcBorders>
            <w:vAlign w:val="center"/>
          </w:tcPr>
          <w:p>
            <w:pPr>
              <w:overflowPunct w:val="0"/>
              <w:spacing w:line="360" w:lineRule="auto"/>
              <w:jc w:val="center"/>
              <w:rPr>
                <w:rFonts w:ascii="宋体" w:hAnsi="宋体" w:cs="宋体"/>
                <w:b/>
                <w:sz w:val="24"/>
                <w:szCs w:val="24"/>
              </w:rPr>
            </w:pPr>
            <w:r>
              <w:rPr>
                <w:rFonts w:hint="eastAsia" w:ascii="宋体" w:hAnsi="宋体" w:cs="宋体"/>
                <w:b/>
                <w:sz w:val="24"/>
                <w:szCs w:val="24"/>
              </w:rPr>
              <w:t>磋商资格审查（资格后审）</w:t>
            </w:r>
          </w:p>
        </w:tc>
        <w:tc>
          <w:tcPr>
            <w:tcW w:w="8727" w:type="dxa"/>
            <w:tcBorders>
              <w:top w:val="single" w:color="auto" w:sz="12" w:space="0"/>
              <w:left w:val="single" w:color="auto" w:sz="12" w:space="0"/>
              <w:bottom w:val="single" w:color="auto" w:sz="12" w:space="0"/>
              <w:right w:val="single" w:color="auto" w:sz="12" w:space="0"/>
            </w:tcBorders>
            <w:vAlign w:val="center"/>
          </w:tcPr>
          <w:p>
            <w:pPr>
              <w:numPr>
                <w:ilvl w:val="0"/>
                <w:numId w:val="2"/>
              </w:numPr>
              <w:spacing w:line="360" w:lineRule="auto"/>
              <w:rPr>
                <w:rFonts w:ascii="宋体" w:hAnsi="宋体" w:cs="宋体"/>
                <w:sz w:val="24"/>
                <w:szCs w:val="24"/>
              </w:rPr>
            </w:pPr>
            <w:r>
              <w:rPr>
                <w:rFonts w:hint="eastAsia" w:ascii="宋体" w:hAnsi="宋体" w:cs="宋体"/>
                <w:sz w:val="24"/>
                <w:szCs w:val="24"/>
              </w:rPr>
              <w:t>企业营业执照副本原件；</w:t>
            </w:r>
          </w:p>
          <w:p>
            <w:pPr>
              <w:numPr>
                <w:ilvl w:val="0"/>
                <w:numId w:val="2"/>
              </w:numPr>
              <w:spacing w:line="360" w:lineRule="auto"/>
              <w:rPr>
                <w:rFonts w:ascii="宋体" w:hAnsi="宋体" w:cs="宋体"/>
                <w:sz w:val="24"/>
                <w:szCs w:val="24"/>
              </w:rPr>
            </w:pPr>
            <w:r>
              <w:rPr>
                <w:rFonts w:hint="eastAsia" w:ascii="宋体" w:hAnsi="宋体" w:cs="宋体"/>
                <w:sz w:val="24"/>
                <w:szCs w:val="24"/>
              </w:rPr>
              <w:t>供应商需具备《医疗器械经营许可证》或《医疗器械生产许可证》原件；</w:t>
            </w:r>
          </w:p>
          <w:p>
            <w:pPr>
              <w:numPr>
                <w:ilvl w:val="0"/>
                <w:numId w:val="2"/>
              </w:numPr>
              <w:spacing w:line="360" w:lineRule="auto"/>
              <w:rPr>
                <w:rFonts w:ascii="宋体" w:hAnsi="宋体" w:cs="宋体"/>
                <w:sz w:val="24"/>
                <w:szCs w:val="24"/>
              </w:rPr>
            </w:pPr>
            <w:r>
              <w:rPr>
                <w:rFonts w:hint="eastAsia" w:ascii="宋体" w:hAnsi="宋体" w:cs="宋体"/>
                <w:sz w:val="24"/>
                <w:szCs w:val="24"/>
              </w:rPr>
              <w:t>无任何处罚，供应商企业信用证明，提供网站打印件加盖公章。（查询渠道：</w:t>
            </w:r>
            <w:r>
              <w:rPr>
                <w:rFonts w:hint="eastAsia" w:ascii="宋体" w:hAnsi="宋体" w:cs="宋体"/>
                <w:b/>
                <w:bCs/>
                <w:sz w:val="24"/>
                <w:szCs w:val="24"/>
              </w:rPr>
              <w:t>“信用中国”网站（www.creditchina.gov.cn）</w:t>
            </w:r>
            <w:r>
              <w:rPr>
                <w:rFonts w:hint="eastAsia" w:ascii="宋体" w:hAnsi="宋体" w:cs="宋体"/>
                <w:sz w:val="24"/>
                <w:szCs w:val="24"/>
              </w:rPr>
              <w:t>（下载信用信息报告后有“信用中国”水印为准）及</w:t>
            </w:r>
            <w:r>
              <w:rPr>
                <w:rFonts w:hint="eastAsia" w:ascii="宋体" w:hAnsi="宋体" w:cs="宋体"/>
                <w:b/>
                <w:bCs/>
                <w:sz w:val="24"/>
                <w:szCs w:val="24"/>
              </w:rPr>
              <w:t>中国政府采购网（www.ccgp.gov.cn）</w:t>
            </w:r>
            <w:r>
              <w:rPr>
                <w:rFonts w:hint="eastAsia" w:ascii="宋体" w:hAnsi="宋体" w:cs="宋体"/>
                <w:sz w:val="24"/>
                <w:szCs w:val="24"/>
              </w:rPr>
              <w:t>截屏信息查询无严重违法失信行为记录名单的打印件</w:t>
            </w:r>
            <w:r>
              <w:rPr>
                <w:rFonts w:hint="eastAsia" w:ascii="宋体" w:hAnsi="宋体" w:cs="宋体"/>
                <w:b/>
                <w:bCs/>
                <w:sz w:val="24"/>
                <w:szCs w:val="24"/>
              </w:rPr>
              <w:t>（“中国政府采购网”截屏信息时间，需在本次采购公告发布后时间为准并加盖企业公章，否则视为无效磋商资格）；</w:t>
            </w:r>
          </w:p>
          <w:p>
            <w:pPr>
              <w:spacing w:line="360" w:lineRule="auto"/>
              <w:jc w:val="left"/>
              <w:rPr>
                <w:rFonts w:ascii="宋体" w:hAnsi="宋体" w:cs="宋体"/>
                <w:b/>
                <w:bCs/>
                <w:sz w:val="24"/>
                <w:szCs w:val="24"/>
              </w:rPr>
            </w:pPr>
            <w:r>
              <w:rPr>
                <w:rFonts w:hint="eastAsia" w:ascii="宋体" w:hAnsi="宋体" w:cs="宋体"/>
                <w:b/>
                <w:bCs/>
                <w:sz w:val="24"/>
                <w:szCs w:val="24"/>
              </w:rPr>
              <w:t>（磋商现场提供的“信用中国”下载水印时间，请在提交响应文件截止日前48小时内重新查询，打印件加盖公章，于磋商时带至磋商现场查验；）*否则视为无效磋商资格，请各供应商务必提供）</w:t>
            </w:r>
          </w:p>
          <w:p>
            <w:pPr>
              <w:spacing w:line="360" w:lineRule="auto"/>
              <w:jc w:val="left"/>
              <w:rPr>
                <w:rFonts w:ascii="宋体" w:hAnsi="宋体" w:cs="宋体"/>
                <w:sz w:val="24"/>
                <w:szCs w:val="24"/>
              </w:rPr>
            </w:pPr>
            <w:r>
              <w:rPr>
                <w:rFonts w:hint="eastAsia" w:ascii="宋体" w:hAnsi="宋体" w:cs="宋体"/>
                <w:sz w:val="24"/>
                <w:szCs w:val="24"/>
              </w:rPr>
              <w:t>（4）授权委托人需提供《法定代表人授权委托书》原件、法定代表人身份证复印件、被委托人身份证原件及复印件；（其法定代表人前来的请提供《法定代表人身份证明书》原件和法定代表人身份证原件及复印件）；（格式见附件）</w:t>
            </w:r>
          </w:p>
          <w:p>
            <w:pPr>
              <w:pStyle w:val="24"/>
              <w:spacing w:line="360" w:lineRule="auto"/>
              <w:jc w:val="left"/>
              <w:rPr>
                <w:rFonts w:cs="宋体"/>
                <w:sz w:val="24"/>
                <w:szCs w:val="24"/>
              </w:rPr>
            </w:pPr>
            <w:r>
              <w:rPr>
                <w:rFonts w:hint="eastAsia" w:cs="宋体"/>
                <w:sz w:val="24"/>
                <w:szCs w:val="24"/>
              </w:rPr>
              <w:t>（5）采购代理机构出具的磋商保证金收据及汇款凭证加盖公章；</w:t>
            </w:r>
          </w:p>
          <w:p>
            <w:pPr>
              <w:pStyle w:val="24"/>
              <w:spacing w:line="360" w:lineRule="auto"/>
              <w:jc w:val="left"/>
              <w:rPr>
                <w:rFonts w:cs="宋体"/>
                <w:sz w:val="24"/>
                <w:szCs w:val="24"/>
              </w:rPr>
            </w:pPr>
            <w:r>
              <w:rPr>
                <w:rFonts w:hint="eastAsia" w:cs="宋体"/>
                <w:sz w:val="24"/>
                <w:szCs w:val="24"/>
              </w:rPr>
              <w:t>（6）供应商《反商业贿赂承诺书》加盖公章；</w:t>
            </w:r>
          </w:p>
          <w:p>
            <w:pPr>
              <w:pStyle w:val="24"/>
              <w:spacing w:line="360" w:lineRule="auto"/>
              <w:jc w:val="left"/>
              <w:rPr>
                <w:rFonts w:cs="宋体"/>
                <w:b/>
                <w:bCs/>
                <w:sz w:val="24"/>
                <w:szCs w:val="24"/>
              </w:rPr>
            </w:pPr>
            <w:r>
              <w:rPr>
                <w:rFonts w:hint="eastAsia" w:cs="宋体"/>
                <w:sz w:val="24"/>
                <w:szCs w:val="24"/>
              </w:rPr>
              <w:t>（7）提供响应单位2020年度的财务审计报告原件；（第三方财务审计公司出具）或提供有效的银行资信证明原件</w:t>
            </w:r>
            <w:r>
              <w:rPr>
                <w:rFonts w:hint="eastAsia" w:cs="宋体"/>
                <w:b/>
                <w:bCs/>
                <w:kern w:val="0"/>
                <w:sz w:val="24"/>
                <w:szCs w:val="24"/>
                <w:shd w:val="clear" w:color="auto" w:fill="FFFFFF"/>
              </w:rPr>
              <w:t>（银行资信证明时间需是本项目采购公告发布后的时间）</w:t>
            </w:r>
            <w:r>
              <w:rPr>
                <w:rFonts w:hint="eastAsia" w:cs="宋体"/>
                <w:b/>
                <w:bCs/>
                <w:sz w:val="24"/>
                <w:szCs w:val="24"/>
              </w:rPr>
              <w:t>；</w:t>
            </w:r>
          </w:p>
          <w:p>
            <w:pPr>
              <w:pStyle w:val="24"/>
              <w:spacing w:line="360" w:lineRule="auto"/>
              <w:jc w:val="left"/>
              <w:rPr>
                <w:rFonts w:cs="宋体"/>
                <w:sz w:val="24"/>
                <w:szCs w:val="24"/>
              </w:rPr>
            </w:pPr>
            <w:r>
              <w:rPr>
                <w:rFonts w:hint="eastAsia" w:cs="宋体"/>
                <w:b/>
                <w:bCs/>
                <w:sz w:val="24"/>
                <w:szCs w:val="24"/>
              </w:rPr>
              <w:t>*以上证件原件带磋商现场，否则视为无效磋商资格，以上所有证件的公证件不予认可。</w:t>
            </w:r>
          </w:p>
        </w:tc>
      </w:tr>
      <w:tr>
        <w:tblPrEx>
          <w:tblCellMar>
            <w:top w:w="0" w:type="dxa"/>
            <w:left w:w="108" w:type="dxa"/>
            <w:bottom w:w="0" w:type="dxa"/>
            <w:right w:w="108" w:type="dxa"/>
          </w:tblCellMar>
        </w:tblPrEx>
        <w:trPr>
          <w:trHeight w:val="23" w:hRule="atLeast"/>
          <w:jc w:val="center"/>
        </w:trPr>
        <w:tc>
          <w:tcPr>
            <w:tcW w:w="517" w:type="dxa"/>
            <w:tcBorders>
              <w:top w:val="single" w:color="auto" w:sz="12" w:space="0"/>
              <w:left w:val="single" w:color="auto" w:sz="12" w:space="0"/>
              <w:bottom w:val="single" w:color="auto" w:sz="12" w:space="0"/>
              <w:right w:val="single" w:color="auto" w:sz="12" w:space="0"/>
            </w:tcBorders>
            <w:vAlign w:val="center"/>
          </w:tcPr>
          <w:p>
            <w:pPr>
              <w:pStyle w:val="91"/>
              <w:spacing w:line="360" w:lineRule="auto"/>
              <w:jc w:val="center"/>
              <w:rPr>
                <w:rFonts w:ascii="宋体" w:hAnsi="宋体" w:cs="宋体"/>
                <w:color w:val="auto"/>
                <w:kern w:val="2"/>
                <w:highlight w:val="yellow"/>
              </w:rPr>
            </w:pPr>
            <w:r>
              <w:rPr>
                <w:rFonts w:hint="eastAsia" w:ascii="宋体" w:hAnsi="宋体" w:cs="宋体"/>
                <w:color w:val="auto"/>
                <w:kern w:val="2"/>
                <w:highlight w:val="yellow"/>
              </w:rPr>
              <w:t>14</w:t>
            </w:r>
          </w:p>
        </w:tc>
        <w:tc>
          <w:tcPr>
            <w:tcW w:w="1695" w:type="dxa"/>
            <w:tcBorders>
              <w:top w:val="single" w:color="auto" w:sz="12" w:space="0"/>
              <w:left w:val="single" w:color="auto" w:sz="12" w:space="0"/>
              <w:bottom w:val="single" w:color="auto" w:sz="12" w:space="0"/>
              <w:right w:val="single" w:color="auto" w:sz="12" w:space="0"/>
            </w:tcBorders>
            <w:vAlign w:val="center"/>
          </w:tcPr>
          <w:p>
            <w:pPr>
              <w:pStyle w:val="91"/>
              <w:spacing w:line="360" w:lineRule="auto"/>
              <w:jc w:val="center"/>
              <w:rPr>
                <w:rFonts w:ascii="宋体" w:hAnsi="宋体" w:cs="宋体"/>
                <w:color w:val="auto"/>
                <w:kern w:val="2"/>
                <w:highlight w:val="yellow"/>
              </w:rPr>
            </w:pPr>
            <w:r>
              <w:rPr>
                <w:rFonts w:hint="eastAsia" w:ascii="宋体" w:hAnsi="宋体" w:cs="宋体"/>
                <w:color w:val="auto"/>
                <w:kern w:val="2"/>
                <w:highlight w:val="yellow"/>
              </w:rPr>
              <w:t>付款方式</w:t>
            </w:r>
          </w:p>
        </w:tc>
        <w:tc>
          <w:tcPr>
            <w:tcW w:w="8727" w:type="dxa"/>
            <w:tcBorders>
              <w:top w:val="single" w:color="auto" w:sz="12" w:space="0"/>
              <w:left w:val="single" w:color="auto" w:sz="12" w:space="0"/>
              <w:bottom w:val="single" w:color="auto" w:sz="12" w:space="0"/>
              <w:right w:val="single" w:color="auto" w:sz="12" w:space="0"/>
            </w:tcBorders>
            <w:vAlign w:val="center"/>
          </w:tcPr>
          <w:p>
            <w:pPr>
              <w:spacing w:line="360" w:lineRule="auto"/>
              <w:rPr>
                <w:rFonts w:ascii="宋体" w:hAnsi="宋体" w:cs="宋体"/>
                <w:sz w:val="24"/>
                <w:szCs w:val="24"/>
                <w:highlight w:val="yellow"/>
              </w:rPr>
            </w:pPr>
            <w:r>
              <w:rPr>
                <w:rFonts w:hint="eastAsia" w:ascii="宋体" w:hAnsi="宋体" w:cs="宋体"/>
                <w:sz w:val="24"/>
                <w:szCs w:val="24"/>
                <w:highlight w:val="yellow"/>
              </w:rPr>
              <w:t xml:space="preserve">付款币种：本次采购采购所述的项目资金均以人民币支付。 </w:t>
            </w:r>
          </w:p>
          <w:p>
            <w:pPr>
              <w:spacing w:line="360" w:lineRule="auto"/>
              <w:rPr>
                <w:rFonts w:ascii="宋体" w:hAnsi="宋体" w:cs="宋体"/>
                <w:sz w:val="24"/>
                <w:szCs w:val="24"/>
                <w:highlight w:val="yellow"/>
              </w:rPr>
            </w:pPr>
            <w:r>
              <w:rPr>
                <w:rFonts w:hint="eastAsia" w:ascii="宋体" w:hAnsi="宋体" w:cs="宋体"/>
                <w:sz w:val="24"/>
                <w:szCs w:val="24"/>
                <w:highlight w:val="yellow"/>
              </w:rPr>
              <w:t>付款方式：</w:t>
            </w:r>
            <w:r>
              <w:rPr>
                <w:rFonts w:hint="eastAsia" w:ascii="宋体" w:hAnsi="宋体" w:cs="宋体"/>
                <w:sz w:val="24"/>
                <w:szCs w:val="24"/>
                <w:highlight w:val="yellow"/>
                <w:lang w:eastAsia="zh-CN"/>
              </w:rPr>
              <w:t>合同签订后支付合同总金额的</w:t>
            </w:r>
            <w:r>
              <w:rPr>
                <w:rFonts w:hint="eastAsia" w:ascii="宋体" w:hAnsi="宋体" w:cs="宋体"/>
                <w:sz w:val="24"/>
                <w:szCs w:val="24"/>
                <w:highlight w:val="yellow"/>
                <w:lang w:val="en-US" w:eastAsia="zh-CN"/>
              </w:rPr>
              <w:t>30%，货到后支付合同总金额的40%，</w:t>
            </w:r>
            <w:r>
              <w:rPr>
                <w:rFonts w:hint="eastAsia" w:ascii="宋体" w:hAnsi="宋体" w:cs="宋体"/>
                <w:sz w:val="24"/>
                <w:szCs w:val="24"/>
                <w:highlight w:val="yellow"/>
              </w:rPr>
              <w:t>验收合格至正常使用支付合同</w:t>
            </w:r>
            <w:r>
              <w:rPr>
                <w:rFonts w:hint="eastAsia" w:ascii="宋体" w:hAnsi="宋体" w:cs="宋体"/>
                <w:sz w:val="24"/>
                <w:szCs w:val="24"/>
                <w:highlight w:val="yellow"/>
                <w:lang w:eastAsia="zh-CN"/>
              </w:rPr>
              <w:t>总</w:t>
            </w:r>
            <w:r>
              <w:rPr>
                <w:rFonts w:hint="eastAsia" w:ascii="宋体" w:hAnsi="宋体" w:cs="宋体"/>
                <w:sz w:val="24"/>
                <w:szCs w:val="24"/>
                <w:highlight w:val="yellow"/>
              </w:rPr>
              <w:t>金额的</w:t>
            </w:r>
            <w:r>
              <w:rPr>
                <w:rFonts w:hint="eastAsia" w:ascii="宋体" w:hAnsi="宋体" w:cs="宋体"/>
                <w:sz w:val="24"/>
                <w:szCs w:val="24"/>
                <w:highlight w:val="yellow"/>
                <w:lang w:val="en-US" w:eastAsia="zh-CN"/>
              </w:rPr>
              <w:t>27</w:t>
            </w:r>
            <w:r>
              <w:rPr>
                <w:rFonts w:hint="eastAsia" w:ascii="宋体" w:hAnsi="宋体" w:cs="宋体"/>
                <w:sz w:val="24"/>
                <w:szCs w:val="24"/>
                <w:highlight w:val="yellow"/>
              </w:rPr>
              <w:t>%，</w:t>
            </w:r>
            <w:r>
              <w:rPr>
                <w:rFonts w:hint="eastAsia" w:ascii="宋体" w:hAnsi="宋体" w:cs="宋体"/>
                <w:sz w:val="24"/>
                <w:szCs w:val="24"/>
                <w:highlight w:val="yellow"/>
                <w:lang w:eastAsia="zh-CN"/>
              </w:rPr>
              <w:t>剩余</w:t>
            </w:r>
            <w:r>
              <w:rPr>
                <w:rFonts w:hint="eastAsia" w:ascii="宋体" w:hAnsi="宋体" w:cs="宋体"/>
                <w:sz w:val="24"/>
                <w:szCs w:val="24"/>
                <w:highlight w:val="yellow"/>
                <w:lang w:val="en-US" w:eastAsia="zh-CN"/>
              </w:rPr>
              <w:t>3</w:t>
            </w:r>
            <w:r>
              <w:rPr>
                <w:rFonts w:hint="eastAsia" w:ascii="宋体" w:hAnsi="宋体" w:cs="宋体"/>
                <w:sz w:val="24"/>
                <w:szCs w:val="24"/>
                <w:highlight w:val="yellow"/>
              </w:rPr>
              <w:t>%为质保金，无质</w:t>
            </w:r>
            <w:r>
              <w:rPr>
                <w:rFonts w:hint="eastAsia" w:ascii="宋体" w:hAnsi="宋体" w:cs="宋体"/>
                <w:sz w:val="24"/>
                <w:szCs w:val="24"/>
                <w:highlight w:val="yellow"/>
                <w:lang w:eastAsia="zh-CN"/>
              </w:rPr>
              <w:t>量</w:t>
            </w:r>
            <w:r>
              <w:rPr>
                <w:rFonts w:hint="eastAsia" w:ascii="宋体" w:hAnsi="宋体" w:cs="宋体"/>
                <w:sz w:val="24"/>
                <w:szCs w:val="24"/>
                <w:highlight w:val="yellow"/>
              </w:rPr>
              <w:t>问题一年后支付，无利息。（最终付款方式以签订合同为准）。</w:t>
            </w:r>
          </w:p>
        </w:tc>
      </w:tr>
      <w:tr>
        <w:tblPrEx>
          <w:tblCellMar>
            <w:top w:w="0" w:type="dxa"/>
            <w:left w:w="108" w:type="dxa"/>
            <w:bottom w:w="0" w:type="dxa"/>
            <w:right w:w="108" w:type="dxa"/>
          </w:tblCellMar>
        </w:tblPrEx>
        <w:trPr>
          <w:trHeight w:val="23" w:hRule="atLeast"/>
          <w:jc w:val="center"/>
        </w:trPr>
        <w:tc>
          <w:tcPr>
            <w:tcW w:w="517" w:type="dxa"/>
            <w:tcBorders>
              <w:top w:val="single" w:color="auto" w:sz="12" w:space="0"/>
              <w:left w:val="single" w:color="auto" w:sz="12" w:space="0"/>
              <w:bottom w:val="single" w:color="auto" w:sz="12" w:space="0"/>
              <w:right w:val="single" w:color="auto" w:sz="12" w:space="0"/>
            </w:tcBorders>
            <w:vAlign w:val="center"/>
          </w:tcPr>
          <w:p>
            <w:pPr>
              <w:pStyle w:val="91"/>
              <w:spacing w:line="360" w:lineRule="auto"/>
              <w:jc w:val="center"/>
              <w:rPr>
                <w:rFonts w:ascii="宋体" w:hAnsi="宋体" w:cs="宋体"/>
                <w:color w:val="auto"/>
                <w:kern w:val="2"/>
                <w:highlight w:val="yellow"/>
              </w:rPr>
            </w:pPr>
            <w:r>
              <w:rPr>
                <w:rFonts w:hint="eastAsia" w:ascii="宋体" w:hAnsi="宋体" w:cs="宋体"/>
                <w:color w:val="auto"/>
                <w:kern w:val="2"/>
                <w:highlight w:val="yellow"/>
              </w:rPr>
              <w:t>15</w:t>
            </w:r>
          </w:p>
        </w:tc>
        <w:tc>
          <w:tcPr>
            <w:tcW w:w="1695" w:type="dxa"/>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ascii="宋体" w:hAnsi="宋体" w:cs="宋体"/>
                <w:sz w:val="24"/>
                <w:szCs w:val="24"/>
                <w:highlight w:val="yellow"/>
              </w:rPr>
            </w:pPr>
            <w:r>
              <w:rPr>
                <w:rFonts w:hint="eastAsia" w:ascii="宋体" w:hAnsi="宋体" w:cs="宋体"/>
                <w:sz w:val="24"/>
                <w:szCs w:val="24"/>
                <w:highlight w:val="yellow"/>
              </w:rPr>
              <w:t>交货期</w:t>
            </w:r>
          </w:p>
        </w:tc>
        <w:tc>
          <w:tcPr>
            <w:tcW w:w="8727" w:type="dxa"/>
            <w:tcBorders>
              <w:top w:val="single" w:color="auto" w:sz="12" w:space="0"/>
              <w:left w:val="single" w:color="auto" w:sz="12" w:space="0"/>
              <w:bottom w:val="single" w:color="auto" w:sz="12" w:space="0"/>
              <w:right w:val="single" w:color="auto" w:sz="12" w:space="0"/>
            </w:tcBorders>
            <w:vAlign w:val="center"/>
          </w:tcPr>
          <w:p>
            <w:pPr>
              <w:spacing w:line="360" w:lineRule="auto"/>
              <w:rPr>
                <w:rFonts w:ascii="宋体" w:hAnsi="宋体" w:cs="宋体"/>
                <w:sz w:val="24"/>
                <w:szCs w:val="24"/>
                <w:highlight w:val="yellow"/>
              </w:rPr>
            </w:pPr>
            <w:r>
              <w:rPr>
                <w:rFonts w:hint="eastAsia" w:ascii="宋体" w:hAnsi="宋体" w:cs="宋体"/>
                <w:sz w:val="24"/>
                <w:szCs w:val="24"/>
                <w:highlight w:val="yellow"/>
              </w:rPr>
              <w:t>合同签订后</w:t>
            </w:r>
            <w:r>
              <w:rPr>
                <w:rFonts w:hint="eastAsia" w:ascii="宋体" w:hAnsi="宋体" w:cs="宋体"/>
                <w:sz w:val="24"/>
                <w:szCs w:val="24"/>
                <w:highlight w:val="yellow"/>
                <w:lang w:val="en-US" w:eastAsia="zh-CN"/>
              </w:rPr>
              <w:t>30日历日完成</w:t>
            </w:r>
            <w:r>
              <w:rPr>
                <w:rFonts w:hint="eastAsia" w:ascii="宋体" w:hAnsi="宋体" w:cs="宋体"/>
                <w:sz w:val="24"/>
                <w:szCs w:val="24"/>
                <w:highlight w:val="yellow"/>
              </w:rPr>
              <w:t>（最终以签订合同为主）</w:t>
            </w:r>
          </w:p>
        </w:tc>
      </w:tr>
      <w:tr>
        <w:tblPrEx>
          <w:tblCellMar>
            <w:top w:w="0" w:type="dxa"/>
            <w:left w:w="108" w:type="dxa"/>
            <w:bottom w:w="0" w:type="dxa"/>
            <w:right w:w="108" w:type="dxa"/>
          </w:tblCellMar>
        </w:tblPrEx>
        <w:trPr>
          <w:trHeight w:val="23" w:hRule="atLeast"/>
          <w:jc w:val="center"/>
        </w:trPr>
        <w:tc>
          <w:tcPr>
            <w:tcW w:w="517" w:type="dxa"/>
            <w:tcBorders>
              <w:top w:val="single" w:color="auto" w:sz="12" w:space="0"/>
              <w:left w:val="single" w:color="auto" w:sz="12" w:space="0"/>
              <w:bottom w:val="single" w:color="auto" w:sz="12" w:space="0"/>
              <w:right w:val="single" w:color="auto" w:sz="12" w:space="0"/>
            </w:tcBorders>
            <w:vAlign w:val="center"/>
          </w:tcPr>
          <w:p>
            <w:pPr>
              <w:pStyle w:val="91"/>
              <w:spacing w:line="360" w:lineRule="auto"/>
              <w:jc w:val="center"/>
              <w:rPr>
                <w:rFonts w:ascii="宋体" w:hAnsi="宋体" w:cs="宋体"/>
                <w:color w:val="auto"/>
                <w:kern w:val="2"/>
                <w:highlight w:val="yellow"/>
              </w:rPr>
            </w:pPr>
            <w:r>
              <w:rPr>
                <w:rFonts w:hint="eastAsia" w:ascii="宋体" w:hAnsi="宋体" w:cs="宋体"/>
                <w:color w:val="auto"/>
                <w:kern w:val="2"/>
                <w:highlight w:val="yellow"/>
              </w:rPr>
              <w:t>16</w:t>
            </w:r>
          </w:p>
        </w:tc>
        <w:tc>
          <w:tcPr>
            <w:tcW w:w="1695" w:type="dxa"/>
            <w:tcBorders>
              <w:top w:val="single" w:color="auto" w:sz="12" w:space="0"/>
              <w:left w:val="single" w:color="auto" w:sz="12" w:space="0"/>
              <w:bottom w:val="single" w:color="auto" w:sz="12" w:space="0"/>
              <w:right w:val="single" w:color="auto" w:sz="12" w:space="0"/>
            </w:tcBorders>
            <w:vAlign w:val="center"/>
          </w:tcPr>
          <w:p>
            <w:pPr>
              <w:spacing w:line="360" w:lineRule="auto"/>
              <w:jc w:val="center"/>
              <w:rPr>
                <w:rFonts w:ascii="宋体" w:hAnsi="宋体" w:cs="宋体"/>
                <w:sz w:val="24"/>
                <w:szCs w:val="24"/>
                <w:highlight w:val="yellow"/>
              </w:rPr>
            </w:pPr>
            <w:r>
              <w:rPr>
                <w:rFonts w:hint="eastAsia" w:ascii="宋体" w:hAnsi="宋体" w:cs="宋体"/>
                <w:sz w:val="24"/>
                <w:szCs w:val="24"/>
                <w:highlight w:val="yellow"/>
              </w:rPr>
              <w:t>质保期</w:t>
            </w:r>
          </w:p>
        </w:tc>
        <w:tc>
          <w:tcPr>
            <w:tcW w:w="8727"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szCs w:val="24"/>
                <w:highlight w:val="yellow"/>
              </w:rPr>
            </w:pPr>
            <w:r>
              <w:rPr>
                <w:rFonts w:hint="eastAsia" w:ascii="宋体" w:hAnsi="宋体" w:cs="宋体"/>
                <w:kern w:val="0"/>
                <w:sz w:val="24"/>
                <w:szCs w:val="24"/>
                <w:highlight w:val="yellow"/>
                <w:lang w:eastAsia="zh-CN"/>
              </w:rPr>
              <w:t>壹</w:t>
            </w:r>
            <w:r>
              <w:rPr>
                <w:rFonts w:hint="eastAsia" w:ascii="宋体" w:hAnsi="宋体" w:cs="宋体"/>
                <w:kern w:val="0"/>
                <w:sz w:val="24"/>
                <w:szCs w:val="24"/>
                <w:highlight w:val="yellow"/>
              </w:rPr>
              <w:t>年（验收合格至无故障正常使用后算起）</w:t>
            </w:r>
          </w:p>
        </w:tc>
      </w:tr>
      <w:tr>
        <w:tblPrEx>
          <w:tblCellMar>
            <w:top w:w="0" w:type="dxa"/>
            <w:left w:w="108" w:type="dxa"/>
            <w:bottom w:w="0" w:type="dxa"/>
            <w:right w:w="108" w:type="dxa"/>
          </w:tblCellMar>
        </w:tblPrEx>
        <w:trPr>
          <w:trHeight w:val="23" w:hRule="atLeast"/>
          <w:jc w:val="center"/>
        </w:trPr>
        <w:tc>
          <w:tcPr>
            <w:tcW w:w="2212" w:type="dxa"/>
            <w:gridSpan w:val="2"/>
            <w:tcBorders>
              <w:top w:val="single" w:color="auto" w:sz="12" w:space="0"/>
              <w:left w:val="single" w:color="auto" w:sz="12" w:space="0"/>
              <w:bottom w:val="single" w:color="auto" w:sz="12" w:space="0"/>
              <w:right w:val="single" w:color="auto" w:sz="12" w:space="0"/>
            </w:tcBorders>
            <w:vAlign w:val="center"/>
          </w:tcPr>
          <w:p>
            <w:pPr>
              <w:overflowPunct w:val="0"/>
              <w:spacing w:line="360" w:lineRule="auto"/>
              <w:jc w:val="center"/>
              <w:rPr>
                <w:rFonts w:ascii="宋体" w:hAnsi="宋体" w:cs="宋体"/>
                <w:b/>
                <w:kern w:val="0"/>
                <w:sz w:val="24"/>
                <w:szCs w:val="24"/>
              </w:rPr>
            </w:pPr>
            <w:r>
              <w:rPr>
                <w:rFonts w:hint="eastAsia" w:ascii="宋体" w:hAnsi="宋体" w:cs="宋体"/>
                <w:b/>
                <w:kern w:val="0"/>
                <w:sz w:val="24"/>
                <w:szCs w:val="24"/>
              </w:rPr>
              <w:t>备注</w:t>
            </w:r>
          </w:p>
        </w:tc>
        <w:tc>
          <w:tcPr>
            <w:tcW w:w="8727" w:type="dxa"/>
            <w:tcBorders>
              <w:top w:val="single" w:color="auto" w:sz="12" w:space="0"/>
              <w:left w:val="single" w:color="auto" w:sz="12" w:space="0"/>
              <w:bottom w:val="single" w:color="auto" w:sz="12" w:space="0"/>
              <w:right w:val="single" w:color="auto" w:sz="12" w:space="0"/>
            </w:tcBorders>
            <w:vAlign w:val="center"/>
          </w:tcPr>
          <w:p>
            <w:pPr>
              <w:spacing w:line="360" w:lineRule="auto"/>
              <w:rPr>
                <w:rFonts w:ascii="宋体" w:hAnsi="宋体" w:cs="宋体"/>
                <w:b/>
                <w:kern w:val="0"/>
                <w:sz w:val="24"/>
                <w:szCs w:val="24"/>
              </w:rPr>
            </w:pPr>
            <w:r>
              <w:rPr>
                <w:rFonts w:hint="eastAsia" w:ascii="宋体" w:hAnsi="宋体" w:cs="宋体"/>
                <w:b/>
                <w:kern w:val="0"/>
                <w:sz w:val="24"/>
                <w:szCs w:val="24"/>
              </w:rPr>
              <w:t>1.采购文件中部分加“*”、加粗、加下划线、磋商无效内容被拒绝字样的条款，为采购的实质性要求和条件，着重提醒各供应商注意，并认真查看采购文件中的每一个条款及要求，因误读采购文件而造成的后果，采购人概不负责。</w:t>
            </w:r>
          </w:p>
        </w:tc>
      </w:tr>
      <w:tr>
        <w:tblPrEx>
          <w:tblCellMar>
            <w:top w:w="0" w:type="dxa"/>
            <w:left w:w="108" w:type="dxa"/>
            <w:bottom w:w="0" w:type="dxa"/>
            <w:right w:w="108" w:type="dxa"/>
          </w:tblCellMar>
        </w:tblPrEx>
        <w:trPr>
          <w:trHeight w:val="23" w:hRule="atLeast"/>
          <w:jc w:val="center"/>
        </w:trPr>
        <w:tc>
          <w:tcPr>
            <w:tcW w:w="10939" w:type="dxa"/>
            <w:gridSpan w:val="3"/>
            <w:tcBorders>
              <w:top w:val="single" w:color="auto" w:sz="12" w:space="0"/>
              <w:left w:val="single" w:color="auto" w:sz="12" w:space="0"/>
              <w:bottom w:val="single" w:color="auto" w:sz="12" w:space="0"/>
              <w:right w:val="single" w:color="auto" w:sz="12" w:space="0"/>
            </w:tcBorders>
            <w:vAlign w:val="center"/>
          </w:tcPr>
          <w:p>
            <w:pPr>
              <w:spacing w:line="360" w:lineRule="auto"/>
              <w:rPr>
                <w:rFonts w:ascii="宋体" w:hAnsi="宋体" w:cs="宋体"/>
                <w:b/>
                <w:kern w:val="0"/>
                <w:sz w:val="24"/>
                <w:szCs w:val="24"/>
              </w:rPr>
            </w:pPr>
            <w:r>
              <w:rPr>
                <w:rFonts w:hint="eastAsia" w:ascii="宋体" w:hAnsi="宋体" w:cs="宋体"/>
                <w:b/>
                <w:kern w:val="0"/>
                <w:sz w:val="24"/>
                <w:szCs w:val="24"/>
              </w:rPr>
              <w:t>2.供应商应保证在本项目使用的任何产品和货物（包括部分使用）时，不会产生因第三方提出侵犯其专利权、商标权或其它知识产权而引起的法律和经济纠纷，如因专利权、商标权或其它知识产权而引起法律和经济纠纷，由供应商承担所有相关责任的同时不得耽误本项目供货。</w:t>
            </w:r>
          </w:p>
        </w:tc>
      </w:tr>
      <w:tr>
        <w:tblPrEx>
          <w:tblCellMar>
            <w:top w:w="0" w:type="dxa"/>
            <w:left w:w="108" w:type="dxa"/>
            <w:bottom w:w="0" w:type="dxa"/>
            <w:right w:w="108" w:type="dxa"/>
          </w:tblCellMar>
        </w:tblPrEx>
        <w:trPr>
          <w:trHeight w:val="23" w:hRule="atLeast"/>
          <w:jc w:val="center"/>
        </w:trPr>
        <w:tc>
          <w:tcPr>
            <w:tcW w:w="10939" w:type="dxa"/>
            <w:gridSpan w:val="3"/>
            <w:tcBorders>
              <w:top w:val="single" w:color="auto" w:sz="12" w:space="0"/>
              <w:left w:val="single" w:color="auto" w:sz="12" w:space="0"/>
              <w:bottom w:val="single" w:color="auto" w:sz="12" w:space="0"/>
              <w:right w:val="single" w:color="auto" w:sz="12" w:space="0"/>
            </w:tcBorders>
            <w:vAlign w:val="center"/>
          </w:tcPr>
          <w:p>
            <w:pPr>
              <w:spacing w:line="360" w:lineRule="auto"/>
              <w:rPr>
                <w:rFonts w:ascii="宋体" w:hAnsi="宋体" w:cs="宋体"/>
                <w:kern w:val="0"/>
                <w:sz w:val="24"/>
                <w:szCs w:val="24"/>
              </w:rPr>
            </w:pPr>
            <w:r>
              <w:rPr>
                <w:rFonts w:hint="eastAsia" w:ascii="宋体" w:hAnsi="宋体" w:cs="宋体"/>
                <w:b/>
                <w:kern w:val="0"/>
                <w:sz w:val="24"/>
                <w:szCs w:val="24"/>
              </w:rPr>
              <w:t>3.本次竞争性磋商各项事宜执行《政府采购竞争性磋商采购方式管理暂行办法》（财库〔2014〕214号）和财政部关于政府采购竞争性磋商采购方式管理暂行办法有关问题的补充通知财库〔2015〕124号相关规定。</w:t>
            </w:r>
          </w:p>
        </w:tc>
      </w:tr>
      <w:tr>
        <w:tblPrEx>
          <w:tblCellMar>
            <w:top w:w="0" w:type="dxa"/>
            <w:left w:w="108" w:type="dxa"/>
            <w:bottom w:w="0" w:type="dxa"/>
            <w:right w:w="108" w:type="dxa"/>
          </w:tblCellMar>
        </w:tblPrEx>
        <w:trPr>
          <w:trHeight w:val="1077" w:hRule="atLeast"/>
          <w:jc w:val="center"/>
        </w:trPr>
        <w:tc>
          <w:tcPr>
            <w:tcW w:w="10939" w:type="dxa"/>
            <w:gridSpan w:val="3"/>
            <w:tcBorders>
              <w:top w:val="single" w:color="auto" w:sz="12" w:space="0"/>
              <w:left w:val="single" w:color="auto" w:sz="12" w:space="0"/>
              <w:bottom w:val="single" w:color="auto" w:sz="12" w:space="0"/>
              <w:right w:val="single" w:color="auto" w:sz="12" w:space="0"/>
            </w:tcBorders>
            <w:vAlign w:val="center"/>
          </w:tcPr>
          <w:p>
            <w:pPr>
              <w:spacing w:line="360" w:lineRule="auto"/>
              <w:rPr>
                <w:rFonts w:ascii="宋体" w:hAnsi="宋体" w:cs="宋体"/>
                <w:kern w:val="0"/>
                <w:sz w:val="24"/>
                <w:szCs w:val="24"/>
              </w:rPr>
            </w:pPr>
            <w:r>
              <w:rPr>
                <w:rFonts w:hint="eastAsia" w:ascii="宋体" w:hAnsi="宋体" w:cs="宋体"/>
                <w:b/>
                <w:kern w:val="0"/>
                <w:sz w:val="24"/>
                <w:szCs w:val="24"/>
              </w:rPr>
              <w:t>4.供应商应承担其编制，递交响应文件，参加磋商采购活动所涉的一切费用，无论结果如何，采购人和采购代理机构对供应商在磋商过程中发生一切费用都不负任何责任。</w:t>
            </w:r>
          </w:p>
        </w:tc>
      </w:tr>
    </w:tbl>
    <w:p>
      <w:pPr>
        <w:pStyle w:val="3"/>
        <w:keepNext w:val="0"/>
        <w:rPr>
          <w:rFonts w:ascii="宋体" w:hAnsi="宋体" w:eastAsia="宋体" w:cs="宋体"/>
          <w:b/>
          <w:bCs/>
          <w:sz w:val="32"/>
          <w:szCs w:val="32"/>
        </w:rPr>
      </w:pPr>
      <w:bookmarkStart w:id="6" w:name="_Toc8893"/>
      <w:bookmarkStart w:id="7" w:name="_Toc15015"/>
      <w:bookmarkStart w:id="8" w:name="_Toc20192"/>
      <w:bookmarkStart w:id="9" w:name="_Toc19912"/>
      <w:bookmarkStart w:id="10" w:name="_Toc29006"/>
    </w:p>
    <w:p>
      <w:pPr>
        <w:pStyle w:val="3"/>
        <w:keepNext w:val="0"/>
        <w:rPr>
          <w:rFonts w:ascii="宋体" w:hAnsi="宋体" w:eastAsia="宋体" w:cs="宋体"/>
          <w:b/>
          <w:bCs/>
          <w:sz w:val="32"/>
          <w:szCs w:val="32"/>
        </w:rPr>
      </w:pPr>
    </w:p>
    <w:bookmarkEnd w:id="6"/>
    <w:bookmarkEnd w:id="7"/>
    <w:bookmarkEnd w:id="8"/>
    <w:bookmarkEnd w:id="9"/>
    <w:bookmarkEnd w:id="10"/>
    <w:p>
      <w:pPr>
        <w:pStyle w:val="3"/>
        <w:keepNext w:val="0"/>
        <w:numPr>
          <w:ilvl w:val="0"/>
          <w:numId w:val="3"/>
        </w:numPr>
        <w:rPr>
          <w:rFonts w:ascii="宋体" w:hAnsi="宋体" w:eastAsia="宋体" w:cs="宋体"/>
          <w:b/>
          <w:bCs/>
          <w:sz w:val="32"/>
          <w:szCs w:val="32"/>
        </w:rPr>
      </w:pPr>
      <w:bookmarkStart w:id="11" w:name="_Toc29517"/>
      <w:bookmarkStart w:id="12" w:name="_Toc24711"/>
      <w:bookmarkStart w:id="13" w:name="_Toc6162"/>
      <w:bookmarkStart w:id="14" w:name="_Toc13084"/>
      <w:r>
        <w:rPr>
          <w:rFonts w:hint="eastAsia" w:ascii="宋体" w:hAnsi="宋体" w:eastAsia="宋体" w:cs="宋体"/>
          <w:b/>
          <w:bCs/>
          <w:sz w:val="32"/>
          <w:szCs w:val="32"/>
        </w:rPr>
        <w:t>采 购 公 告</w:t>
      </w:r>
      <w:bookmarkEnd w:id="11"/>
      <w:bookmarkEnd w:id="12"/>
    </w:p>
    <w:p/>
    <w:p>
      <w:pPr>
        <w:pStyle w:val="15"/>
      </w:pPr>
    </w:p>
    <w:p/>
    <w:p>
      <w:pPr>
        <w:pStyle w:val="24"/>
      </w:pPr>
    </w:p>
    <w:p/>
    <w:p>
      <w:pPr>
        <w:pStyle w:val="15"/>
      </w:pPr>
    </w:p>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15"/>
      </w:pPr>
    </w:p>
    <w:p/>
    <w:p>
      <w:pPr>
        <w:pStyle w:val="20"/>
        <w:ind w:left="1470" w:right="1470"/>
      </w:pPr>
    </w:p>
    <w:p>
      <w:pPr>
        <w:pStyle w:val="20"/>
        <w:ind w:left="1470" w:right="1470"/>
      </w:pPr>
    </w:p>
    <w:p>
      <w:pPr>
        <w:pStyle w:val="20"/>
        <w:ind w:left="1470" w:right="1470"/>
      </w:pPr>
    </w:p>
    <w:p>
      <w:pPr>
        <w:pStyle w:val="20"/>
        <w:ind w:left="1470" w:right="1470"/>
      </w:pPr>
    </w:p>
    <w:p>
      <w:pPr>
        <w:pStyle w:val="20"/>
        <w:ind w:left="1470" w:right="1470"/>
      </w:pPr>
    </w:p>
    <w:p>
      <w:pPr>
        <w:pStyle w:val="20"/>
        <w:ind w:left="1470" w:right="1470"/>
      </w:pPr>
    </w:p>
    <w:p>
      <w:pPr>
        <w:pStyle w:val="20"/>
        <w:ind w:left="1470" w:right="1470"/>
      </w:pPr>
    </w:p>
    <w:p>
      <w:pPr>
        <w:pStyle w:val="20"/>
        <w:ind w:left="1470" w:right="1470"/>
      </w:pPr>
    </w:p>
    <w:p>
      <w:pPr>
        <w:pStyle w:val="20"/>
        <w:ind w:left="1470" w:right="1470"/>
      </w:pPr>
    </w:p>
    <w:p>
      <w:pPr>
        <w:pStyle w:val="20"/>
        <w:ind w:left="1470" w:right="1470"/>
      </w:pPr>
    </w:p>
    <w:p>
      <w:pPr>
        <w:pStyle w:val="20"/>
        <w:ind w:left="1470" w:right="1470"/>
      </w:pPr>
    </w:p>
    <w:p>
      <w:pPr>
        <w:pStyle w:val="20"/>
        <w:ind w:left="1470" w:right="1470"/>
      </w:pPr>
    </w:p>
    <w:p>
      <w:pPr>
        <w:pStyle w:val="20"/>
        <w:ind w:left="1470" w:right="1470"/>
      </w:pPr>
    </w:p>
    <w:p>
      <w:pPr>
        <w:pStyle w:val="3"/>
        <w:keepNext w:val="0"/>
        <w:spacing w:line="360" w:lineRule="auto"/>
        <w:rPr>
          <w:rFonts w:ascii="宋体" w:hAnsi="宋体" w:eastAsia="宋体" w:cs="宋体"/>
          <w:b/>
          <w:bCs/>
          <w:sz w:val="32"/>
          <w:szCs w:val="32"/>
        </w:rPr>
      </w:pPr>
      <w:bookmarkStart w:id="15" w:name="_Toc11308"/>
      <w:r>
        <w:rPr>
          <w:rFonts w:hint="eastAsia" w:ascii="宋体" w:hAnsi="宋体" w:eastAsia="宋体" w:cs="宋体"/>
          <w:b/>
          <w:bCs/>
          <w:sz w:val="32"/>
          <w:szCs w:val="32"/>
        </w:rPr>
        <w:t>第二章 采购须知</w:t>
      </w:r>
      <w:bookmarkEnd w:id="0"/>
      <w:bookmarkEnd w:id="1"/>
      <w:bookmarkEnd w:id="2"/>
      <w:bookmarkEnd w:id="13"/>
      <w:bookmarkEnd w:id="14"/>
      <w:bookmarkEnd w:id="15"/>
    </w:p>
    <w:p>
      <w:pPr>
        <w:pStyle w:val="3"/>
        <w:spacing w:line="360" w:lineRule="auto"/>
        <w:rPr>
          <w:rFonts w:ascii="宋体" w:hAnsi="宋体" w:eastAsia="宋体" w:cs="宋体"/>
          <w:b/>
          <w:bCs/>
          <w:sz w:val="30"/>
          <w:szCs w:val="30"/>
        </w:rPr>
      </w:pPr>
      <w:bookmarkStart w:id="16" w:name="_Toc16208"/>
      <w:bookmarkStart w:id="17" w:name="_Toc27720"/>
      <w:bookmarkStart w:id="18" w:name="_Toc29480"/>
      <w:bookmarkStart w:id="19" w:name="_Toc8527"/>
      <w:bookmarkStart w:id="20" w:name="_Toc2514"/>
      <w:bookmarkStart w:id="21" w:name="_Toc8694"/>
      <w:bookmarkStart w:id="22" w:name="_Toc12767"/>
      <w:r>
        <w:rPr>
          <w:rFonts w:hint="eastAsia" w:ascii="宋体" w:hAnsi="宋体" w:eastAsia="宋体" w:cs="宋体"/>
          <w:b/>
          <w:bCs/>
          <w:sz w:val="30"/>
          <w:szCs w:val="30"/>
        </w:rPr>
        <w:t>一、总则</w:t>
      </w:r>
      <w:bookmarkEnd w:id="16"/>
      <w:bookmarkEnd w:id="17"/>
      <w:bookmarkEnd w:id="18"/>
      <w:bookmarkEnd w:id="19"/>
      <w:bookmarkEnd w:id="20"/>
      <w:bookmarkEnd w:id="21"/>
      <w:bookmarkEnd w:id="22"/>
    </w:p>
    <w:p>
      <w:pPr>
        <w:pStyle w:val="91"/>
        <w:spacing w:line="360" w:lineRule="auto"/>
        <w:ind w:firstLine="480" w:firstLineChars="200"/>
        <w:jc w:val="both"/>
        <w:rPr>
          <w:rFonts w:ascii="宋体" w:hAnsi="宋体" w:cs="宋体"/>
          <w:color w:val="auto"/>
        </w:rPr>
      </w:pPr>
      <w:bookmarkStart w:id="23" w:name="_Toc4364"/>
      <w:bookmarkStart w:id="24" w:name="_Toc22125"/>
      <w:bookmarkStart w:id="25" w:name="_Toc7319"/>
      <w:bookmarkStart w:id="26" w:name="_Toc790"/>
      <w:bookmarkStart w:id="27" w:name="_Toc12654"/>
      <w:r>
        <w:rPr>
          <w:rFonts w:hint="eastAsia" w:ascii="宋体" w:hAnsi="宋体" w:cs="宋体"/>
          <w:color w:val="auto"/>
        </w:rPr>
        <w:t>1.  合格的供应商（采购文件获取资格）：</w:t>
      </w:r>
    </w:p>
    <w:p>
      <w:pPr>
        <w:pStyle w:val="91"/>
        <w:spacing w:line="360" w:lineRule="auto"/>
        <w:ind w:firstLine="480" w:firstLineChars="200"/>
        <w:jc w:val="both"/>
        <w:rPr>
          <w:rFonts w:ascii="宋体" w:hAnsi="宋体" w:cs="宋体"/>
          <w:color w:val="auto"/>
        </w:rPr>
      </w:pPr>
      <w:r>
        <w:rPr>
          <w:rFonts w:hint="eastAsia" w:ascii="宋体" w:hAnsi="宋体" w:cs="宋体"/>
          <w:color w:val="auto"/>
        </w:rPr>
        <w:t>1.1 符合《政府采购法》第二十二条对供应商资质的相关规定；</w:t>
      </w:r>
    </w:p>
    <w:p>
      <w:pPr>
        <w:pStyle w:val="91"/>
        <w:spacing w:line="360" w:lineRule="auto"/>
        <w:ind w:firstLine="480" w:firstLineChars="200"/>
        <w:jc w:val="both"/>
        <w:rPr>
          <w:rFonts w:ascii="宋体" w:hAnsi="宋体" w:cs="宋体"/>
          <w:color w:val="auto"/>
        </w:rPr>
      </w:pPr>
      <w:r>
        <w:rPr>
          <w:rFonts w:hint="eastAsia" w:ascii="宋体" w:hAnsi="宋体" w:cs="宋体"/>
          <w:color w:val="auto"/>
        </w:rPr>
        <w:t>1.2.1 符合《中华人民共和国政府采购法》第二十二条：供应商参加政府采购活动应当具备的条件；</w:t>
      </w:r>
    </w:p>
    <w:p>
      <w:pPr>
        <w:pStyle w:val="91"/>
        <w:spacing w:line="360" w:lineRule="auto"/>
        <w:ind w:firstLine="480" w:firstLineChars="200"/>
        <w:jc w:val="both"/>
        <w:rPr>
          <w:rFonts w:ascii="宋体" w:hAnsi="宋体" w:cs="宋体"/>
          <w:color w:val="auto"/>
        </w:rPr>
      </w:pPr>
      <w:r>
        <w:rPr>
          <w:rFonts w:hint="eastAsia" w:ascii="宋体" w:hAnsi="宋体" w:cs="宋体"/>
          <w:color w:val="auto"/>
        </w:rPr>
        <w:t>1.2.2 供应商必须具有有效的《营业执照》副本原件，如证件处于年审阶段，供应商应提供年审受理回执复印件，并承诺成交签订合同时提供通过年审的证件。所有证件不允许采用挂靠等其它方式取得。</w:t>
      </w:r>
    </w:p>
    <w:p>
      <w:pPr>
        <w:pStyle w:val="91"/>
        <w:spacing w:line="360" w:lineRule="auto"/>
        <w:ind w:firstLine="480" w:firstLineChars="200"/>
        <w:jc w:val="both"/>
        <w:rPr>
          <w:rFonts w:ascii="宋体" w:hAnsi="宋体" w:cs="宋体"/>
          <w:color w:val="auto"/>
        </w:rPr>
      </w:pPr>
      <w:r>
        <w:rPr>
          <w:rFonts w:hint="eastAsia" w:ascii="宋体" w:hAnsi="宋体" w:cs="宋体"/>
          <w:color w:val="auto"/>
        </w:rPr>
        <w:t>1.2.3 政府采购政策：</w:t>
      </w:r>
    </w:p>
    <w:p>
      <w:pPr>
        <w:pStyle w:val="91"/>
        <w:spacing w:line="360" w:lineRule="auto"/>
        <w:ind w:firstLine="480" w:firstLineChars="200"/>
        <w:jc w:val="both"/>
        <w:rPr>
          <w:rFonts w:ascii="宋体" w:hAnsi="宋体" w:cs="宋体"/>
          <w:color w:val="auto"/>
        </w:rPr>
      </w:pPr>
      <w:r>
        <w:rPr>
          <w:rFonts w:hint="eastAsia" w:ascii="宋体" w:hAnsi="宋体" w:cs="宋体"/>
          <w:color w:val="auto"/>
        </w:rPr>
        <w:t>①《政府采购促进中小企业发展管理办法》（财库〔2020〕46号）；</w:t>
      </w:r>
    </w:p>
    <w:p>
      <w:pPr>
        <w:pStyle w:val="91"/>
        <w:spacing w:line="360" w:lineRule="auto"/>
        <w:ind w:firstLine="480" w:firstLineChars="200"/>
        <w:jc w:val="both"/>
        <w:rPr>
          <w:rFonts w:ascii="宋体" w:hAnsi="宋体" w:cs="宋体"/>
          <w:color w:val="auto"/>
        </w:rPr>
      </w:pPr>
      <w:r>
        <w:rPr>
          <w:rFonts w:hint="eastAsia" w:ascii="宋体" w:hAnsi="宋体" w:cs="宋体"/>
          <w:color w:val="auto"/>
        </w:rPr>
        <w:t>②《财政部、司法部关于政府采购支撑监狱企业发展有关问题的通知》（财库〔2014〕68号）；</w:t>
      </w:r>
    </w:p>
    <w:p>
      <w:pPr>
        <w:pStyle w:val="91"/>
        <w:spacing w:line="360" w:lineRule="auto"/>
        <w:ind w:firstLine="480" w:firstLineChars="200"/>
        <w:jc w:val="both"/>
        <w:rPr>
          <w:rFonts w:ascii="宋体" w:hAnsi="宋体" w:cs="宋体"/>
          <w:color w:val="auto"/>
        </w:rPr>
      </w:pPr>
      <w:r>
        <w:rPr>
          <w:rFonts w:hint="eastAsia" w:ascii="宋体" w:hAnsi="宋体" w:cs="宋体"/>
          <w:color w:val="auto"/>
        </w:rPr>
        <w:t>③《财政部、民政部、中国残疾人联合会关于促进残疾人就业政府采购政策的通知》财库〔2017〕141号。</w:t>
      </w:r>
    </w:p>
    <w:p>
      <w:pPr>
        <w:pStyle w:val="91"/>
        <w:spacing w:line="360" w:lineRule="auto"/>
        <w:ind w:firstLine="480" w:firstLineChars="200"/>
        <w:jc w:val="both"/>
        <w:rPr>
          <w:rFonts w:ascii="宋体" w:hAnsi="宋体" w:cs="宋体"/>
          <w:color w:val="auto"/>
        </w:rPr>
      </w:pPr>
      <w:r>
        <w:rPr>
          <w:rFonts w:hint="eastAsia" w:ascii="宋体" w:hAnsi="宋体" w:cs="宋体"/>
          <w:color w:val="auto"/>
        </w:rPr>
        <w:t>1.2.4 供应商需具备《医疗器械经营许可证》或《医疗器械生产许可证》原件；</w:t>
      </w:r>
    </w:p>
    <w:p>
      <w:pPr>
        <w:pStyle w:val="91"/>
        <w:spacing w:line="360" w:lineRule="auto"/>
        <w:ind w:firstLine="480" w:firstLineChars="200"/>
        <w:jc w:val="both"/>
        <w:rPr>
          <w:rFonts w:ascii="宋体" w:hAnsi="宋体" w:cs="宋体"/>
          <w:color w:val="auto"/>
        </w:rPr>
      </w:pPr>
      <w:r>
        <w:rPr>
          <w:rFonts w:hint="eastAsia" w:ascii="宋体" w:hAnsi="宋体" w:cs="宋体"/>
        </w:rPr>
        <w:t>1.2.5 无任何处罚，供应商企业信用证明，提供网站打印件加盖公章。（查询渠道：“信用中国”网站（www.creditchina.gov.cn）；（</w:t>
      </w:r>
      <w:r>
        <w:rPr>
          <w:rFonts w:hint="eastAsia" w:ascii="宋体" w:hAnsi="宋体" w:cs="宋体"/>
          <w:b/>
          <w:bCs/>
          <w:u w:val="single"/>
        </w:rPr>
        <w:t>下载信用信息报告后有“信用中国”水印为准）及中国政府采购网（www.ccgp.gov.cn）信息查询无严重违法失信行为记录名单的打印件</w:t>
      </w:r>
      <w:r>
        <w:rPr>
          <w:rFonts w:hint="eastAsia" w:ascii="宋体" w:hAnsi="宋体" w:cs="宋体"/>
          <w:b/>
          <w:bCs/>
        </w:rPr>
        <w:t>（“信用中国”下载水印时间、“中国政府采购网”截屏信息时间，需在本次采购公告发布后时间为准并加盖企业公章）</w:t>
      </w:r>
    </w:p>
    <w:p>
      <w:pPr>
        <w:pStyle w:val="91"/>
        <w:spacing w:line="360" w:lineRule="auto"/>
        <w:ind w:firstLine="480" w:firstLineChars="200"/>
        <w:jc w:val="both"/>
        <w:rPr>
          <w:rFonts w:ascii="宋体" w:hAnsi="宋体" w:cs="宋体"/>
        </w:rPr>
      </w:pPr>
      <w:r>
        <w:rPr>
          <w:rFonts w:hint="eastAsia" w:ascii="宋体" w:hAnsi="宋体" w:cs="宋体"/>
          <w:color w:val="auto"/>
        </w:rPr>
        <w:t>1.2.6 授权委托人需提供《法定代表人授权委托书》原件、法定代表人身份证复印件、被委托人身份证原件及复印件；（其法定代表人前来的请提供《法定代表人身份证明书》原件和法定代表人身份证原件及复印件）；</w:t>
      </w:r>
    </w:p>
    <w:p>
      <w:pPr>
        <w:pStyle w:val="91"/>
        <w:spacing w:line="360" w:lineRule="auto"/>
        <w:ind w:firstLine="480" w:firstLineChars="200"/>
        <w:jc w:val="both"/>
        <w:rPr>
          <w:rFonts w:ascii="宋体" w:hAnsi="宋体" w:cs="宋体"/>
          <w:color w:val="auto"/>
        </w:rPr>
      </w:pPr>
      <w:r>
        <w:rPr>
          <w:rFonts w:hint="eastAsia" w:ascii="宋体" w:hAnsi="宋体" w:cs="宋体"/>
          <w:color w:val="auto"/>
        </w:rPr>
        <w:t>1.2.7 具有良好的商业信誉和健全的财务会计制度；</w:t>
      </w:r>
    </w:p>
    <w:p>
      <w:pPr>
        <w:pStyle w:val="91"/>
        <w:spacing w:line="360" w:lineRule="auto"/>
        <w:ind w:firstLine="480" w:firstLineChars="200"/>
        <w:jc w:val="both"/>
        <w:rPr>
          <w:rFonts w:ascii="宋体" w:hAnsi="宋体" w:cs="宋体"/>
          <w:color w:val="auto"/>
        </w:rPr>
      </w:pPr>
      <w:r>
        <w:rPr>
          <w:rFonts w:hint="eastAsia" w:ascii="宋体" w:hAnsi="宋体" w:cs="宋体"/>
          <w:color w:val="auto"/>
        </w:rPr>
        <w:t>1.3 供应商在本次采购活动中，必须遵循《中华人民共和国政府采购法》等相关法令、法规的规定。</w:t>
      </w:r>
    </w:p>
    <w:p>
      <w:pPr>
        <w:pStyle w:val="91"/>
        <w:spacing w:line="360" w:lineRule="auto"/>
        <w:ind w:firstLine="480" w:firstLineChars="200"/>
        <w:jc w:val="both"/>
        <w:rPr>
          <w:rFonts w:ascii="宋体" w:hAnsi="宋体" w:cs="宋体"/>
          <w:color w:val="auto"/>
        </w:rPr>
      </w:pPr>
      <w:r>
        <w:rPr>
          <w:rFonts w:hint="eastAsia" w:ascii="宋体" w:hAnsi="宋体" w:cs="宋体"/>
          <w:color w:val="auto"/>
        </w:rPr>
        <w:t>2. 定义。</w:t>
      </w:r>
    </w:p>
    <w:p>
      <w:pPr>
        <w:pStyle w:val="91"/>
        <w:spacing w:line="360" w:lineRule="auto"/>
        <w:ind w:firstLine="480" w:firstLineChars="200"/>
        <w:jc w:val="both"/>
        <w:rPr>
          <w:rFonts w:ascii="宋体" w:hAnsi="宋体" w:cs="宋体"/>
          <w:b/>
          <w:bCs/>
          <w:color w:val="auto"/>
          <w:u w:val="single"/>
        </w:rPr>
      </w:pPr>
      <w:r>
        <w:rPr>
          <w:rFonts w:hint="eastAsia" w:ascii="宋体" w:hAnsi="宋体" w:cs="宋体"/>
          <w:color w:val="auto"/>
        </w:rPr>
        <w:t>2.1 “采购代理机构”系指</w:t>
      </w:r>
      <w:r>
        <w:rPr>
          <w:rFonts w:hint="eastAsia" w:ascii="宋体" w:hAnsi="宋体" w:cs="宋体"/>
          <w:b/>
          <w:bCs/>
          <w:color w:val="auto"/>
          <w:u w:val="single"/>
        </w:rPr>
        <w:t>新疆国文弘业招标有限公司</w:t>
      </w:r>
    </w:p>
    <w:p>
      <w:pPr>
        <w:pStyle w:val="91"/>
        <w:spacing w:line="360" w:lineRule="auto"/>
        <w:ind w:firstLine="480" w:firstLineChars="200"/>
        <w:jc w:val="both"/>
        <w:rPr>
          <w:rFonts w:ascii="宋体" w:hAnsi="宋体" w:cs="宋体"/>
          <w:color w:val="auto"/>
        </w:rPr>
      </w:pPr>
      <w:r>
        <w:rPr>
          <w:rFonts w:hint="eastAsia" w:ascii="宋体" w:hAnsi="宋体" w:cs="宋体"/>
          <w:color w:val="auto"/>
        </w:rPr>
        <w:t>2.2 “供应商”系指向采购代理机构提交响应文件的供应商。</w:t>
      </w:r>
    </w:p>
    <w:p>
      <w:pPr>
        <w:pStyle w:val="91"/>
        <w:spacing w:line="360" w:lineRule="auto"/>
        <w:ind w:firstLine="480" w:firstLineChars="200"/>
        <w:jc w:val="both"/>
        <w:rPr>
          <w:rFonts w:ascii="宋体" w:hAnsi="宋体" w:cs="宋体"/>
          <w:color w:val="auto"/>
        </w:rPr>
      </w:pPr>
      <w:r>
        <w:rPr>
          <w:rFonts w:hint="eastAsia" w:ascii="宋体" w:hAnsi="宋体" w:cs="宋体"/>
          <w:color w:val="auto"/>
        </w:rPr>
        <w:t>2.3 “货物”系指卖方按合同要求，向买方提供的货物手册及其他技术资料。</w:t>
      </w:r>
    </w:p>
    <w:p>
      <w:pPr>
        <w:pStyle w:val="91"/>
        <w:spacing w:line="360" w:lineRule="auto"/>
        <w:ind w:firstLine="480" w:firstLineChars="200"/>
        <w:jc w:val="both"/>
        <w:rPr>
          <w:rFonts w:ascii="宋体" w:hAnsi="宋体" w:cs="宋体"/>
          <w:color w:val="auto"/>
        </w:rPr>
      </w:pPr>
      <w:r>
        <w:rPr>
          <w:rFonts w:hint="eastAsia" w:ascii="宋体" w:hAnsi="宋体" w:cs="宋体"/>
          <w:color w:val="auto"/>
        </w:rPr>
        <w:t>2.4 “服务”系指按合同规定卖方须承担的运输、装卸、技术协助和交付使用后保修期内应履行的义务及售后服务等其他类似的义务。</w:t>
      </w:r>
    </w:p>
    <w:p>
      <w:pPr>
        <w:pStyle w:val="91"/>
        <w:spacing w:line="360" w:lineRule="auto"/>
        <w:ind w:firstLine="480" w:firstLineChars="200"/>
        <w:jc w:val="both"/>
        <w:rPr>
          <w:rFonts w:ascii="宋体" w:hAnsi="宋体" w:cs="宋体"/>
          <w:color w:val="auto"/>
        </w:rPr>
      </w:pPr>
      <w:r>
        <w:rPr>
          <w:rFonts w:hint="eastAsia" w:ascii="宋体" w:hAnsi="宋体" w:cs="宋体"/>
          <w:color w:val="auto"/>
        </w:rPr>
        <w:t>2.5 “卖方”系指提供合同货物和服务的经济实体。</w:t>
      </w:r>
    </w:p>
    <w:p>
      <w:pPr>
        <w:pStyle w:val="91"/>
        <w:spacing w:line="360" w:lineRule="auto"/>
        <w:ind w:firstLine="480" w:firstLineChars="200"/>
        <w:jc w:val="both"/>
        <w:rPr>
          <w:rFonts w:ascii="宋体" w:hAnsi="宋体" w:cs="宋体"/>
          <w:color w:val="auto"/>
        </w:rPr>
      </w:pPr>
      <w:r>
        <w:rPr>
          <w:rFonts w:hint="eastAsia" w:ascii="宋体" w:hAnsi="宋体" w:cs="宋体"/>
          <w:color w:val="auto"/>
        </w:rPr>
        <w:t>2.6 “买方”系指购买货物和服务的单位。</w:t>
      </w:r>
    </w:p>
    <w:p>
      <w:pPr>
        <w:pStyle w:val="91"/>
        <w:spacing w:line="360" w:lineRule="auto"/>
        <w:ind w:firstLine="480" w:firstLineChars="200"/>
        <w:jc w:val="both"/>
        <w:rPr>
          <w:rFonts w:ascii="宋体" w:hAnsi="宋体" w:cs="宋体"/>
          <w:color w:val="auto"/>
        </w:rPr>
      </w:pPr>
      <w:r>
        <w:rPr>
          <w:rFonts w:hint="eastAsia" w:ascii="宋体" w:hAnsi="宋体" w:cs="宋体"/>
          <w:color w:val="auto"/>
        </w:rPr>
        <w:t>3. 采购费用</w:t>
      </w:r>
    </w:p>
    <w:p>
      <w:pPr>
        <w:pStyle w:val="91"/>
        <w:spacing w:line="360" w:lineRule="auto"/>
        <w:ind w:firstLine="480" w:firstLineChars="200"/>
        <w:jc w:val="both"/>
        <w:rPr>
          <w:rFonts w:ascii="宋体" w:hAnsi="宋体" w:cs="宋体"/>
          <w:color w:val="auto"/>
        </w:rPr>
      </w:pPr>
      <w:r>
        <w:rPr>
          <w:rFonts w:hint="eastAsia" w:ascii="宋体" w:hAnsi="宋体" w:cs="宋体"/>
          <w:color w:val="auto"/>
        </w:rPr>
        <w:t>3.1 供应商在磋商时应自行承担所有与编写和提交响应文件有关的费用。</w:t>
      </w:r>
    </w:p>
    <w:p>
      <w:pPr>
        <w:spacing w:line="360" w:lineRule="auto"/>
        <w:ind w:firstLine="480" w:firstLineChars="200"/>
        <w:jc w:val="left"/>
        <w:rPr>
          <w:rFonts w:ascii="宋体" w:hAnsi="宋体" w:cs="宋体"/>
          <w:b/>
          <w:sz w:val="24"/>
          <w:szCs w:val="24"/>
        </w:rPr>
      </w:pPr>
      <w:r>
        <w:rPr>
          <w:rFonts w:hint="eastAsia" w:ascii="宋体" w:hAnsi="宋体" w:cs="宋体"/>
          <w:kern w:val="0"/>
          <w:sz w:val="24"/>
          <w:szCs w:val="24"/>
        </w:rPr>
        <w:t>4.  本次项目不接受联合体参与磋商。</w:t>
      </w:r>
    </w:p>
    <w:p>
      <w:pPr>
        <w:pStyle w:val="3"/>
        <w:spacing w:line="360" w:lineRule="auto"/>
        <w:rPr>
          <w:rFonts w:ascii="宋体" w:hAnsi="宋体" w:eastAsia="宋体" w:cs="宋体"/>
          <w:b/>
          <w:bCs/>
          <w:sz w:val="30"/>
          <w:szCs w:val="30"/>
        </w:rPr>
      </w:pPr>
      <w:bookmarkStart w:id="28" w:name="_Toc9121"/>
      <w:r>
        <w:rPr>
          <w:rFonts w:hint="eastAsia" w:ascii="宋体" w:hAnsi="宋体" w:eastAsia="宋体" w:cs="宋体"/>
          <w:b/>
          <w:bCs/>
          <w:sz w:val="30"/>
          <w:szCs w:val="30"/>
        </w:rPr>
        <w:t>二、采购文件</w:t>
      </w:r>
      <w:bookmarkEnd w:id="23"/>
      <w:bookmarkEnd w:id="24"/>
      <w:bookmarkEnd w:id="25"/>
      <w:bookmarkEnd w:id="26"/>
      <w:bookmarkEnd w:id="27"/>
      <w:bookmarkEnd w:id="28"/>
    </w:p>
    <w:p>
      <w:pPr>
        <w:spacing w:line="360" w:lineRule="auto"/>
        <w:ind w:firstLine="480" w:firstLineChars="200"/>
        <w:rPr>
          <w:rFonts w:ascii="宋体" w:hAnsi="宋体" w:cs="宋体"/>
          <w:sz w:val="24"/>
          <w:szCs w:val="24"/>
        </w:rPr>
      </w:pPr>
      <w:bookmarkStart w:id="29" w:name="_Toc5540"/>
      <w:bookmarkStart w:id="30" w:name="_Toc11284"/>
      <w:bookmarkStart w:id="31" w:name="_Toc32122"/>
      <w:bookmarkStart w:id="32" w:name="_Toc17831"/>
      <w:bookmarkStart w:id="33" w:name="_Toc15873"/>
      <w:r>
        <w:rPr>
          <w:rFonts w:hint="eastAsia" w:ascii="宋体" w:hAnsi="宋体" w:cs="宋体"/>
          <w:sz w:val="24"/>
          <w:szCs w:val="24"/>
        </w:rPr>
        <w:t>5.  采购文件</w:t>
      </w:r>
    </w:p>
    <w:p>
      <w:pPr>
        <w:spacing w:line="360" w:lineRule="auto"/>
        <w:ind w:firstLine="480" w:firstLineChars="200"/>
        <w:rPr>
          <w:rFonts w:ascii="宋体" w:hAnsi="宋体" w:cs="宋体"/>
          <w:sz w:val="24"/>
          <w:szCs w:val="24"/>
        </w:rPr>
      </w:pPr>
      <w:r>
        <w:rPr>
          <w:rFonts w:hint="eastAsia" w:ascii="宋体" w:hAnsi="宋体" w:cs="宋体"/>
          <w:sz w:val="24"/>
          <w:szCs w:val="24"/>
        </w:rPr>
        <w:t>5.1  采购文件用以阐明所需服务、采购磋商程序和商务合同主要条款，包括：</w:t>
      </w:r>
    </w:p>
    <w:p>
      <w:pPr>
        <w:spacing w:line="360" w:lineRule="auto"/>
        <w:ind w:firstLine="480" w:firstLineChars="200"/>
        <w:rPr>
          <w:rFonts w:ascii="宋体" w:hAnsi="宋体" w:cs="宋体"/>
          <w:sz w:val="24"/>
          <w:szCs w:val="24"/>
        </w:rPr>
      </w:pPr>
      <w:r>
        <w:rPr>
          <w:rFonts w:hint="eastAsia" w:ascii="宋体" w:hAnsi="宋体" w:cs="宋体"/>
          <w:sz w:val="24"/>
          <w:szCs w:val="24"/>
        </w:rPr>
        <w:t>5.1.1  磋商书</w:t>
      </w:r>
    </w:p>
    <w:p>
      <w:pPr>
        <w:spacing w:line="360" w:lineRule="auto"/>
        <w:ind w:firstLine="480" w:firstLineChars="200"/>
        <w:rPr>
          <w:rFonts w:ascii="宋体" w:hAnsi="宋体" w:cs="宋体"/>
          <w:sz w:val="24"/>
          <w:szCs w:val="24"/>
        </w:rPr>
      </w:pPr>
      <w:r>
        <w:rPr>
          <w:rFonts w:hint="eastAsia" w:ascii="宋体" w:hAnsi="宋体" w:cs="宋体"/>
          <w:sz w:val="24"/>
          <w:szCs w:val="24"/>
        </w:rPr>
        <w:t>5.1.2  资格证明文件</w:t>
      </w:r>
    </w:p>
    <w:p>
      <w:pPr>
        <w:spacing w:line="360" w:lineRule="auto"/>
        <w:ind w:firstLine="480" w:firstLineChars="200"/>
        <w:rPr>
          <w:rFonts w:ascii="宋体" w:hAnsi="宋体" w:cs="宋体"/>
          <w:sz w:val="24"/>
          <w:szCs w:val="24"/>
        </w:rPr>
      </w:pPr>
      <w:r>
        <w:rPr>
          <w:rFonts w:hint="eastAsia" w:ascii="宋体" w:hAnsi="宋体" w:cs="宋体"/>
          <w:sz w:val="24"/>
          <w:szCs w:val="24"/>
        </w:rPr>
        <w:t>5.1.3  采购须知</w:t>
      </w:r>
    </w:p>
    <w:p>
      <w:pPr>
        <w:spacing w:line="360" w:lineRule="auto"/>
        <w:ind w:firstLine="480" w:firstLineChars="200"/>
        <w:rPr>
          <w:rFonts w:ascii="宋体" w:hAnsi="宋体" w:cs="宋体"/>
          <w:sz w:val="24"/>
          <w:szCs w:val="24"/>
        </w:rPr>
      </w:pPr>
      <w:r>
        <w:rPr>
          <w:rFonts w:hint="eastAsia" w:ascii="宋体" w:hAnsi="宋体" w:cs="宋体"/>
          <w:sz w:val="24"/>
          <w:szCs w:val="24"/>
        </w:rPr>
        <w:t>5.1.4  采购需求</w:t>
      </w:r>
    </w:p>
    <w:p>
      <w:pPr>
        <w:spacing w:line="360" w:lineRule="auto"/>
        <w:ind w:firstLine="480" w:firstLineChars="200"/>
        <w:rPr>
          <w:rFonts w:ascii="宋体" w:hAnsi="宋体" w:cs="宋体"/>
          <w:sz w:val="24"/>
          <w:szCs w:val="24"/>
        </w:rPr>
      </w:pPr>
      <w:r>
        <w:rPr>
          <w:rFonts w:hint="eastAsia" w:ascii="宋体" w:hAnsi="宋体" w:cs="宋体"/>
          <w:sz w:val="24"/>
          <w:szCs w:val="24"/>
        </w:rPr>
        <w:t>5.1.5  商务合同主要条款</w:t>
      </w:r>
    </w:p>
    <w:p>
      <w:pPr>
        <w:spacing w:line="360" w:lineRule="auto"/>
        <w:ind w:firstLine="480" w:firstLineChars="200"/>
        <w:rPr>
          <w:rFonts w:ascii="宋体" w:hAnsi="宋体" w:cs="宋体"/>
          <w:sz w:val="24"/>
          <w:szCs w:val="24"/>
        </w:rPr>
      </w:pPr>
      <w:r>
        <w:rPr>
          <w:rFonts w:hint="eastAsia" w:ascii="宋体" w:hAnsi="宋体" w:cs="宋体"/>
          <w:sz w:val="24"/>
          <w:szCs w:val="24"/>
        </w:rPr>
        <w:t>附件:主要响应文件格式及其内容</w:t>
      </w:r>
    </w:p>
    <w:p>
      <w:pPr>
        <w:spacing w:line="360" w:lineRule="auto"/>
        <w:ind w:firstLine="480" w:firstLineChars="200"/>
        <w:rPr>
          <w:rFonts w:ascii="宋体" w:hAnsi="宋体" w:cs="宋体"/>
          <w:sz w:val="24"/>
          <w:szCs w:val="24"/>
        </w:rPr>
      </w:pPr>
      <w:r>
        <w:rPr>
          <w:rFonts w:hint="eastAsia" w:ascii="宋体" w:hAnsi="宋体" w:cs="宋体"/>
          <w:sz w:val="24"/>
          <w:szCs w:val="24"/>
        </w:rPr>
        <w:t>（1）响应文件</w:t>
      </w:r>
    </w:p>
    <w:p>
      <w:pPr>
        <w:spacing w:line="360" w:lineRule="auto"/>
        <w:ind w:firstLine="480" w:firstLineChars="200"/>
        <w:rPr>
          <w:rFonts w:ascii="宋体" w:hAnsi="宋体" w:cs="宋体"/>
          <w:sz w:val="24"/>
          <w:szCs w:val="24"/>
        </w:rPr>
      </w:pPr>
      <w:r>
        <w:rPr>
          <w:rFonts w:hint="eastAsia" w:ascii="宋体" w:hAnsi="宋体" w:cs="宋体"/>
          <w:sz w:val="24"/>
          <w:szCs w:val="24"/>
        </w:rPr>
        <w:t>（2）法定代表人证明书及法定代表人授权委托书</w:t>
      </w:r>
    </w:p>
    <w:p>
      <w:pPr>
        <w:spacing w:line="360" w:lineRule="auto"/>
        <w:ind w:firstLine="480" w:firstLineChars="200"/>
        <w:rPr>
          <w:rFonts w:ascii="宋体" w:hAnsi="宋体" w:cs="宋体"/>
          <w:sz w:val="24"/>
          <w:szCs w:val="24"/>
        </w:rPr>
      </w:pPr>
      <w:r>
        <w:rPr>
          <w:rFonts w:hint="eastAsia" w:ascii="宋体" w:hAnsi="宋体" w:cs="宋体"/>
          <w:sz w:val="24"/>
          <w:szCs w:val="24"/>
        </w:rPr>
        <w:t>（3）磋商报价一览表（需法定代表人签字或经法定代表人授权的代表人签字并加盖企业公章）</w:t>
      </w:r>
    </w:p>
    <w:p>
      <w:pPr>
        <w:spacing w:line="360" w:lineRule="auto"/>
        <w:ind w:firstLine="480" w:firstLineChars="200"/>
        <w:rPr>
          <w:rFonts w:ascii="宋体" w:hAnsi="宋体" w:cs="宋体"/>
          <w:sz w:val="24"/>
          <w:szCs w:val="24"/>
        </w:rPr>
      </w:pPr>
      <w:r>
        <w:rPr>
          <w:rFonts w:hint="eastAsia" w:ascii="宋体" w:hAnsi="宋体" w:cs="宋体"/>
          <w:sz w:val="24"/>
          <w:szCs w:val="24"/>
        </w:rPr>
        <w:t>（4）分项报价表（提供产品品牌）</w:t>
      </w:r>
    </w:p>
    <w:p>
      <w:pPr>
        <w:spacing w:line="360" w:lineRule="auto"/>
        <w:ind w:firstLine="480" w:firstLineChars="200"/>
        <w:rPr>
          <w:rFonts w:ascii="宋体" w:hAnsi="宋体" w:cs="宋体"/>
          <w:sz w:val="24"/>
          <w:szCs w:val="24"/>
        </w:rPr>
      </w:pPr>
      <w:r>
        <w:rPr>
          <w:rFonts w:hint="eastAsia" w:ascii="宋体" w:hAnsi="宋体" w:cs="宋体"/>
          <w:sz w:val="24"/>
          <w:szCs w:val="24"/>
        </w:rPr>
        <w:t>（5）商务条款偏离表</w:t>
      </w:r>
    </w:p>
    <w:p>
      <w:pPr>
        <w:spacing w:line="360" w:lineRule="auto"/>
        <w:ind w:firstLine="480" w:firstLineChars="200"/>
        <w:rPr>
          <w:rFonts w:ascii="宋体" w:hAnsi="宋体" w:cs="宋体"/>
          <w:sz w:val="24"/>
          <w:szCs w:val="24"/>
        </w:rPr>
      </w:pPr>
      <w:r>
        <w:rPr>
          <w:rFonts w:hint="eastAsia" w:ascii="宋体" w:hAnsi="宋体" w:cs="宋体"/>
          <w:sz w:val="24"/>
          <w:szCs w:val="24"/>
        </w:rPr>
        <w:t>（6）技术详细参数、规格偏离表</w:t>
      </w:r>
    </w:p>
    <w:p>
      <w:pPr>
        <w:spacing w:line="360" w:lineRule="auto"/>
        <w:ind w:firstLine="480" w:firstLineChars="200"/>
        <w:rPr>
          <w:rFonts w:ascii="宋体" w:hAnsi="宋体" w:cs="宋体"/>
          <w:sz w:val="24"/>
          <w:szCs w:val="24"/>
        </w:rPr>
      </w:pPr>
      <w:r>
        <w:rPr>
          <w:rFonts w:hint="eastAsia" w:ascii="宋体" w:hAnsi="宋体" w:cs="宋体"/>
          <w:sz w:val="24"/>
          <w:szCs w:val="24"/>
        </w:rPr>
        <w:t>（7）提供供应商近三年（2019年1月1日至今）的同类项目业绩表并加盖企业公章同时附项目合同复印件或中标（成交）通知书复印件（加盖企业公章），否则不予认可，为无效业绩；</w:t>
      </w:r>
    </w:p>
    <w:p>
      <w:pPr>
        <w:spacing w:line="360" w:lineRule="auto"/>
        <w:ind w:firstLine="480" w:firstLineChars="200"/>
        <w:rPr>
          <w:rFonts w:ascii="宋体" w:hAnsi="宋体" w:cs="宋体"/>
          <w:sz w:val="24"/>
          <w:szCs w:val="24"/>
        </w:rPr>
      </w:pPr>
      <w:r>
        <w:rPr>
          <w:rFonts w:hint="eastAsia" w:ascii="宋体" w:hAnsi="宋体" w:cs="宋体"/>
          <w:sz w:val="24"/>
          <w:szCs w:val="24"/>
        </w:rPr>
        <w:t>（8）提供供应商2020年度的财务审计报告；（第三方财务审计公司出具）或提供有效的银行资信证明</w:t>
      </w:r>
      <w:r>
        <w:rPr>
          <w:rFonts w:hint="eastAsia" w:ascii="宋体" w:hAnsi="宋体" w:cs="宋体"/>
          <w:b/>
          <w:bCs/>
          <w:kern w:val="0"/>
          <w:sz w:val="24"/>
          <w:szCs w:val="24"/>
          <w:shd w:val="clear" w:color="auto" w:fill="FFFFFF"/>
        </w:rPr>
        <w:t>（银行资信证明时间需是本项目采购公告发布后的时间）</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（9）售后服务承诺书</w:t>
      </w:r>
    </w:p>
    <w:p>
      <w:pPr>
        <w:spacing w:line="360" w:lineRule="auto"/>
        <w:ind w:firstLine="480" w:firstLineChars="200"/>
        <w:rPr>
          <w:rFonts w:ascii="宋体" w:hAnsi="宋体" w:cs="宋体"/>
          <w:sz w:val="24"/>
          <w:szCs w:val="24"/>
        </w:rPr>
      </w:pPr>
      <w:r>
        <w:rPr>
          <w:rFonts w:hint="eastAsia" w:ascii="宋体" w:hAnsi="宋体" w:cs="宋体"/>
          <w:sz w:val="24"/>
          <w:szCs w:val="24"/>
        </w:rPr>
        <w:t>（10）关于资格的声明函</w:t>
      </w:r>
    </w:p>
    <w:p>
      <w:pPr>
        <w:spacing w:line="360" w:lineRule="auto"/>
        <w:ind w:firstLine="480" w:firstLineChars="200"/>
        <w:rPr>
          <w:rFonts w:ascii="宋体" w:hAnsi="宋体" w:cs="宋体"/>
          <w:sz w:val="24"/>
          <w:szCs w:val="24"/>
        </w:rPr>
      </w:pPr>
      <w:r>
        <w:rPr>
          <w:rFonts w:hint="eastAsia" w:ascii="宋体" w:hAnsi="宋体" w:cs="宋体"/>
          <w:sz w:val="24"/>
          <w:szCs w:val="24"/>
        </w:rPr>
        <w:t>（11）拟投入项目人员情况表</w:t>
      </w:r>
    </w:p>
    <w:p>
      <w:pPr>
        <w:spacing w:line="360" w:lineRule="auto"/>
        <w:ind w:firstLine="480" w:firstLineChars="200"/>
        <w:rPr>
          <w:rFonts w:ascii="宋体" w:hAnsi="宋体" w:cs="宋体"/>
          <w:sz w:val="24"/>
          <w:szCs w:val="24"/>
        </w:rPr>
      </w:pPr>
      <w:r>
        <w:rPr>
          <w:rFonts w:hint="eastAsia" w:ascii="宋体" w:hAnsi="宋体" w:cs="宋体"/>
          <w:sz w:val="24"/>
          <w:szCs w:val="24"/>
        </w:rPr>
        <w:t>（12）供应商《反商业贿赂承诺书》</w:t>
      </w:r>
    </w:p>
    <w:p>
      <w:pPr>
        <w:spacing w:line="360" w:lineRule="auto"/>
        <w:ind w:firstLine="480" w:firstLineChars="200"/>
        <w:rPr>
          <w:rFonts w:ascii="宋体" w:hAnsi="宋体" w:cs="宋体"/>
          <w:sz w:val="24"/>
          <w:szCs w:val="24"/>
        </w:rPr>
      </w:pPr>
      <w:r>
        <w:rPr>
          <w:rFonts w:hint="eastAsia" w:ascii="宋体" w:hAnsi="宋体" w:cs="宋体"/>
          <w:sz w:val="24"/>
          <w:szCs w:val="24"/>
        </w:rPr>
        <w:t>（13）售后服务方案及合理化建议</w:t>
      </w:r>
    </w:p>
    <w:p>
      <w:pPr>
        <w:spacing w:line="360" w:lineRule="auto"/>
        <w:ind w:firstLine="480" w:firstLineChars="200"/>
        <w:rPr>
          <w:rFonts w:ascii="宋体" w:hAnsi="宋体" w:cs="宋体"/>
          <w:sz w:val="24"/>
          <w:szCs w:val="24"/>
        </w:rPr>
      </w:pPr>
      <w:r>
        <w:rPr>
          <w:rFonts w:hint="eastAsia" w:ascii="宋体" w:hAnsi="宋体" w:cs="宋体"/>
          <w:sz w:val="24"/>
          <w:szCs w:val="24"/>
        </w:rPr>
        <w:t>（14）中小企业声明函（若无可不提供）</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（15）残疾人福利性单位声明函（若无可不提供）</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（16）需要提供的其他证明材料</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5.2 供应商应认真阅读采购文件中所有的事项、格式、条款和规范等要求。如果没有按照采购文件要求提交全部资料或者响应文件没有对采购文件做出实质性响应，其响应文件可能被拒绝。</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6.  采购文件的澄清</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6.1  采购单位对已发出的采购文件进行必要澄清或者修改的，应当在采购文件要求提交响应文件截止时间5日前，在财政部门指定的政府采购信息发布媒体上发布更正公告，并以书面形式通知所有采购文件收受人。该澄清或者修改的内容为采购文件的组成部分。</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7. 采购文件的澄清与修改</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7.1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次响应文件截止时间。</w:t>
      </w:r>
    </w:p>
    <w:p>
      <w:pPr>
        <w:keepLines/>
        <w:spacing w:line="360" w:lineRule="auto"/>
        <w:ind w:firstLine="480" w:firstLineChars="200"/>
        <w:jc w:val="left"/>
        <w:rPr>
          <w:rFonts w:ascii="宋体" w:hAnsi="宋体" w:cs="宋体"/>
          <w:sz w:val="24"/>
          <w:szCs w:val="24"/>
        </w:rPr>
      </w:pPr>
      <w:r>
        <w:rPr>
          <w:rFonts w:hint="eastAsia" w:ascii="宋体" w:hAnsi="宋体" w:cs="宋体"/>
          <w:sz w:val="24"/>
          <w:szCs w:val="24"/>
        </w:rPr>
        <w:t>7.2 采购文件澄清、答复、修改、补充的内容为采购文件的组成部分。当采购文件与采购文件的答复、澄清、修改、补充通知就同一内容的表述不一致时，以最后发出的书面文件为准。</w:t>
      </w:r>
    </w:p>
    <w:p>
      <w:pPr>
        <w:keepLines/>
        <w:spacing w:line="360" w:lineRule="auto"/>
        <w:ind w:firstLine="480" w:firstLineChars="200"/>
        <w:jc w:val="left"/>
        <w:rPr>
          <w:rFonts w:ascii="宋体" w:hAnsi="宋体" w:cs="宋体"/>
          <w:sz w:val="24"/>
          <w:szCs w:val="24"/>
        </w:rPr>
      </w:pPr>
      <w:r>
        <w:rPr>
          <w:rFonts w:hint="eastAsia" w:ascii="宋体" w:hAnsi="宋体" w:cs="宋体"/>
          <w:sz w:val="24"/>
          <w:szCs w:val="24"/>
        </w:rPr>
        <w:t>7.3 采购文件的澄清、答复、修改或补充都应该通过本代理机构以法定形式发布，采购人非通过本机构，不得擅自澄清、答复、修改或补充采购文件。</w:t>
      </w:r>
    </w:p>
    <w:p>
      <w:pPr>
        <w:pStyle w:val="3"/>
        <w:keepLines/>
        <w:spacing w:line="360" w:lineRule="auto"/>
        <w:rPr>
          <w:rFonts w:ascii="宋体" w:hAnsi="宋体" w:eastAsia="宋体" w:cs="宋体"/>
          <w:b/>
          <w:bCs/>
          <w:sz w:val="30"/>
          <w:szCs w:val="30"/>
        </w:rPr>
      </w:pPr>
      <w:bookmarkStart w:id="34" w:name="_Toc31145"/>
      <w:r>
        <w:rPr>
          <w:rFonts w:hint="eastAsia" w:ascii="宋体" w:hAnsi="宋体" w:eastAsia="宋体" w:cs="宋体"/>
          <w:b/>
          <w:bCs/>
          <w:sz w:val="30"/>
          <w:szCs w:val="30"/>
        </w:rPr>
        <w:t>三、响应文件的编制</w:t>
      </w:r>
      <w:bookmarkEnd w:id="29"/>
      <w:bookmarkEnd w:id="30"/>
      <w:bookmarkEnd w:id="31"/>
      <w:bookmarkEnd w:id="32"/>
      <w:bookmarkEnd w:id="33"/>
      <w:bookmarkEnd w:id="34"/>
    </w:p>
    <w:p>
      <w:pPr>
        <w:keepLines/>
        <w:spacing w:line="360" w:lineRule="auto"/>
        <w:ind w:firstLine="480" w:firstLineChars="200"/>
        <w:rPr>
          <w:rFonts w:ascii="宋体" w:hAnsi="宋体" w:cs="宋体"/>
          <w:sz w:val="24"/>
          <w:szCs w:val="24"/>
        </w:rPr>
      </w:pPr>
      <w:bookmarkStart w:id="35" w:name="_Toc15895"/>
      <w:bookmarkStart w:id="36" w:name="_Toc16560"/>
      <w:bookmarkStart w:id="37" w:name="_Toc6027"/>
      <w:bookmarkStart w:id="38" w:name="_Toc22591"/>
      <w:bookmarkStart w:id="39" w:name="_Toc27109"/>
      <w:r>
        <w:rPr>
          <w:rFonts w:hint="eastAsia" w:ascii="宋体" w:hAnsi="宋体" w:cs="宋体"/>
          <w:sz w:val="24"/>
          <w:szCs w:val="24"/>
        </w:rPr>
        <w:t>8.  响应文件的编写</w:t>
      </w:r>
    </w:p>
    <w:p>
      <w:pPr>
        <w:spacing w:line="360" w:lineRule="auto"/>
        <w:ind w:firstLine="480" w:firstLineChars="200"/>
        <w:rPr>
          <w:rFonts w:ascii="宋体" w:hAnsi="宋体" w:cs="宋体"/>
          <w:sz w:val="24"/>
          <w:szCs w:val="24"/>
        </w:rPr>
      </w:pPr>
      <w:r>
        <w:rPr>
          <w:rFonts w:hint="eastAsia" w:ascii="宋体" w:hAnsi="宋体" w:cs="宋体"/>
          <w:sz w:val="24"/>
          <w:szCs w:val="24"/>
        </w:rPr>
        <w:t>8.1 供应商应仔细阅读采购文件,了解采购文件的要求。在充分理解竞争性磋商采购文件提出的货物规格型号、技术性能、技术参数、服务和商务条件后，制作响应文件。</w:t>
      </w:r>
    </w:p>
    <w:p>
      <w:pPr>
        <w:spacing w:line="360" w:lineRule="auto"/>
        <w:ind w:firstLine="480" w:firstLineChars="200"/>
        <w:rPr>
          <w:rFonts w:ascii="宋体" w:hAnsi="宋体" w:cs="宋体"/>
          <w:sz w:val="24"/>
          <w:szCs w:val="24"/>
        </w:rPr>
      </w:pPr>
      <w:r>
        <w:rPr>
          <w:rFonts w:hint="eastAsia" w:ascii="宋体" w:hAnsi="宋体" w:cs="宋体"/>
          <w:sz w:val="24"/>
          <w:szCs w:val="24"/>
        </w:rPr>
        <w:t>9.  采购的语言及计量单位</w:t>
      </w:r>
    </w:p>
    <w:p>
      <w:pPr>
        <w:spacing w:line="360" w:lineRule="auto"/>
        <w:ind w:firstLine="480" w:firstLineChars="200"/>
        <w:rPr>
          <w:rFonts w:ascii="宋体" w:hAnsi="宋体" w:cs="宋体"/>
          <w:sz w:val="24"/>
          <w:szCs w:val="24"/>
        </w:rPr>
      </w:pPr>
      <w:r>
        <w:rPr>
          <w:rFonts w:hint="eastAsia" w:ascii="宋体" w:hAnsi="宋体" w:cs="宋体"/>
          <w:sz w:val="24"/>
          <w:szCs w:val="24"/>
        </w:rPr>
        <w:t>9.1 供应商的响应文件以及供应商与采购代理机构就有关采购活动的所有来往函电均应使用中文。如果响应文件或与采购有关的其它文件、信件及来往函电以其它语言书写，供应商应将其译成中文。</w:t>
      </w:r>
    </w:p>
    <w:p>
      <w:pPr>
        <w:spacing w:line="360" w:lineRule="auto"/>
        <w:ind w:firstLine="480" w:firstLineChars="200"/>
        <w:rPr>
          <w:rFonts w:ascii="宋体" w:hAnsi="宋体" w:cs="宋体"/>
          <w:sz w:val="24"/>
          <w:szCs w:val="24"/>
        </w:rPr>
      </w:pPr>
      <w:r>
        <w:rPr>
          <w:rFonts w:hint="eastAsia" w:ascii="宋体" w:hAnsi="宋体" w:cs="宋体"/>
          <w:sz w:val="24"/>
          <w:szCs w:val="24"/>
        </w:rPr>
        <w:t>9.2 响应文件中所使用的计量单位除采购文件中有特殊规定外，一律使用法定计量单位。</w:t>
      </w:r>
    </w:p>
    <w:p>
      <w:pPr>
        <w:spacing w:line="360" w:lineRule="auto"/>
        <w:ind w:firstLine="480" w:firstLineChars="200"/>
        <w:rPr>
          <w:rFonts w:ascii="宋体" w:hAnsi="宋体" w:cs="宋体"/>
          <w:sz w:val="24"/>
          <w:szCs w:val="24"/>
        </w:rPr>
      </w:pPr>
      <w:r>
        <w:rPr>
          <w:rFonts w:hint="eastAsia" w:ascii="宋体" w:hAnsi="宋体" w:cs="宋体"/>
          <w:sz w:val="24"/>
          <w:szCs w:val="24"/>
        </w:rPr>
        <w:t>10.  响应文件构成</w:t>
      </w:r>
    </w:p>
    <w:p>
      <w:pPr>
        <w:spacing w:line="360" w:lineRule="auto"/>
        <w:ind w:firstLine="480" w:firstLineChars="200"/>
        <w:rPr>
          <w:rFonts w:ascii="宋体" w:hAnsi="宋体" w:cs="宋体"/>
          <w:sz w:val="24"/>
          <w:szCs w:val="24"/>
        </w:rPr>
      </w:pPr>
      <w:r>
        <w:rPr>
          <w:rFonts w:hint="eastAsia" w:ascii="宋体" w:hAnsi="宋体" w:cs="宋体"/>
          <w:sz w:val="24"/>
          <w:szCs w:val="24"/>
        </w:rPr>
        <w:t>10.1  供应商编写的响应文件应按下列顺序及内容提供:</w:t>
      </w:r>
    </w:p>
    <w:p>
      <w:pPr>
        <w:spacing w:line="360" w:lineRule="auto"/>
        <w:ind w:firstLine="480" w:firstLineChars="200"/>
        <w:rPr>
          <w:rFonts w:ascii="宋体" w:hAnsi="宋体" w:cs="宋体"/>
          <w:sz w:val="24"/>
          <w:szCs w:val="24"/>
        </w:rPr>
      </w:pPr>
      <w:r>
        <w:rPr>
          <w:rFonts w:hint="eastAsia" w:ascii="宋体" w:hAnsi="宋体" w:cs="宋体"/>
          <w:sz w:val="24"/>
          <w:szCs w:val="24"/>
        </w:rPr>
        <w:t>10.1.1  资格证明文件</w:t>
      </w:r>
    </w:p>
    <w:p>
      <w:pPr>
        <w:spacing w:line="360" w:lineRule="auto"/>
        <w:ind w:firstLine="480" w:firstLineChars="200"/>
        <w:rPr>
          <w:rFonts w:ascii="宋体" w:hAnsi="宋体" w:cs="宋体"/>
          <w:sz w:val="24"/>
          <w:szCs w:val="24"/>
        </w:rPr>
      </w:pPr>
      <w:r>
        <w:rPr>
          <w:rFonts w:hint="eastAsia" w:ascii="宋体" w:hAnsi="宋体" w:cs="宋体"/>
          <w:sz w:val="24"/>
          <w:szCs w:val="24"/>
        </w:rPr>
        <w:t>（1）企业营业执照副本原件；</w:t>
      </w:r>
    </w:p>
    <w:p>
      <w:pPr>
        <w:spacing w:line="360" w:lineRule="auto"/>
        <w:ind w:firstLine="480" w:firstLineChars="200"/>
        <w:rPr>
          <w:rFonts w:ascii="宋体" w:hAnsi="宋体" w:cs="宋体"/>
          <w:sz w:val="24"/>
          <w:szCs w:val="24"/>
        </w:rPr>
      </w:pPr>
      <w:r>
        <w:rPr>
          <w:rFonts w:hint="eastAsia" w:ascii="宋体" w:hAnsi="宋体" w:cs="宋体"/>
          <w:sz w:val="24"/>
          <w:szCs w:val="24"/>
        </w:rPr>
        <w:t>（2）《医疗器械经营许可证》或《医疗器械生产许可证》原件；</w:t>
      </w:r>
    </w:p>
    <w:p>
      <w:pPr>
        <w:spacing w:line="360" w:lineRule="auto"/>
        <w:ind w:firstLine="480" w:firstLineChars="200"/>
        <w:rPr>
          <w:rFonts w:ascii="宋体" w:hAnsi="宋体" w:cs="宋体"/>
          <w:sz w:val="24"/>
          <w:szCs w:val="24"/>
        </w:rPr>
      </w:pPr>
      <w:r>
        <w:rPr>
          <w:rFonts w:hint="eastAsia" w:ascii="宋体" w:hAnsi="宋体" w:cs="宋体"/>
          <w:sz w:val="24"/>
          <w:szCs w:val="24"/>
        </w:rPr>
        <w:t>（3）无任何处罚，供应商企业信用证明，提供网站打印件加盖公章。（查询渠道：“信用中国”网站（www.creditchina.gov.cn）；（下载信用信息报告后有“信用中国”水印为准）及中国政府采购网（www.ccgp.gov.cn）截屏信息查询无严重违法失信行为记录名单的打印件（“中国政府采购网”截屏信息时间需在本次采购公告发布后时间为准并加盖企业公章）；</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（磋商现场提供的“信用中国”下载水印时间，请在响应文件截止日前48小时内重新查询，打印件加盖公章，于磋商时带至磋商现场查验；）*否则视为无效磋商资格，请各供应商务必提供）</w:t>
      </w:r>
    </w:p>
    <w:p>
      <w:pPr>
        <w:spacing w:line="360" w:lineRule="auto"/>
        <w:ind w:firstLine="480" w:firstLineChars="200"/>
        <w:rPr>
          <w:rFonts w:ascii="宋体" w:hAnsi="宋体" w:cs="宋体"/>
          <w:sz w:val="24"/>
          <w:szCs w:val="24"/>
        </w:rPr>
      </w:pPr>
      <w:r>
        <w:rPr>
          <w:rFonts w:hint="eastAsia" w:ascii="宋体" w:hAnsi="宋体" w:cs="宋体"/>
          <w:sz w:val="24"/>
          <w:szCs w:val="24"/>
        </w:rPr>
        <w:t>（4）授权委托人需提供《法定代表人授权委托书》原件、法定代表人身份证复印件、被委托人身份证原件及复印件；（其法定代表人前来的请提供《法定代表人身份证明书》原件和法定代表人身份证原件及复印件）；</w:t>
      </w:r>
    </w:p>
    <w:p>
      <w:pPr>
        <w:spacing w:line="360" w:lineRule="auto"/>
        <w:ind w:firstLine="480" w:firstLineChars="200"/>
        <w:rPr>
          <w:rFonts w:ascii="宋体" w:hAnsi="宋体" w:cs="宋体"/>
          <w:sz w:val="24"/>
          <w:szCs w:val="24"/>
        </w:rPr>
      </w:pPr>
      <w:r>
        <w:rPr>
          <w:rFonts w:hint="eastAsia" w:ascii="宋体" w:hAnsi="宋体" w:cs="宋体"/>
          <w:sz w:val="24"/>
          <w:szCs w:val="24"/>
        </w:rPr>
        <w:t>（5）采购代理机构出具的磋商保证金收据及汇款凭证加盖公章；</w:t>
      </w:r>
    </w:p>
    <w:p>
      <w:pPr>
        <w:spacing w:line="360" w:lineRule="auto"/>
        <w:ind w:firstLine="480" w:firstLineChars="200"/>
        <w:rPr>
          <w:rFonts w:ascii="宋体" w:hAnsi="宋体" w:cs="宋体"/>
          <w:sz w:val="24"/>
          <w:szCs w:val="24"/>
        </w:rPr>
      </w:pPr>
      <w:r>
        <w:rPr>
          <w:rFonts w:hint="eastAsia" w:ascii="宋体" w:hAnsi="宋体" w:cs="宋体"/>
          <w:sz w:val="24"/>
          <w:szCs w:val="24"/>
        </w:rPr>
        <w:t>（6）供应商《反商业贿赂承诺书》加盖公章；</w:t>
      </w:r>
    </w:p>
    <w:p>
      <w:pPr>
        <w:spacing w:line="360" w:lineRule="auto"/>
        <w:ind w:firstLine="480" w:firstLineChars="200"/>
        <w:rPr>
          <w:rFonts w:ascii="宋体" w:hAnsi="宋体" w:cs="宋体"/>
          <w:sz w:val="24"/>
          <w:szCs w:val="24"/>
        </w:rPr>
      </w:pPr>
      <w:r>
        <w:rPr>
          <w:rFonts w:hint="eastAsia" w:ascii="宋体" w:hAnsi="宋体" w:cs="宋体"/>
          <w:sz w:val="24"/>
          <w:szCs w:val="24"/>
        </w:rPr>
        <w:t>（7）提供供应商2020年的财务审计报告；（第三方财务审计公司出具）或提供有效的银行资信证明</w:t>
      </w:r>
      <w:r>
        <w:rPr>
          <w:rFonts w:hint="eastAsia" w:ascii="宋体" w:hAnsi="宋体" w:cs="宋体"/>
          <w:b/>
          <w:bCs/>
          <w:kern w:val="0"/>
          <w:sz w:val="24"/>
          <w:szCs w:val="24"/>
          <w:shd w:val="clear" w:color="auto" w:fill="FFFFFF"/>
        </w:rPr>
        <w:t>（银行资信证明时间需是本项目采购公告发布后的时间）</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（8）供应商认为有必要提供的声明及文件资料；</w:t>
      </w:r>
    </w:p>
    <w:p>
      <w:pPr>
        <w:spacing w:line="360" w:lineRule="auto"/>
        <w:ind w:firstLine="480" w:firstLineChars="200"/>
        <w:rPr>
          <w:rFonts w:ascii="宋体" w:hAnsi="宋体" w:cs="宋体"/>
          <w:sz w:val="24"/>
          <w:szCs w:val="24"/>
        </w:rPr>
      </w:pPr>
      <w:r>
        <w:rPr>
          <w:rFonts w:hint="eastAsia" w:ascii="宋体" w:hAnsi="宋体" w:cs="宋体"/>
          <w:sz w:val="24"/>
          <w:szCs w:val="24"/>
        </w:rPr>
        <w:t>10.1.2  商务磋商书；</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（1）响应文件</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（2）法定代表人身份证明书/法定代表人授权委托书</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（3）磋商报价一览表（需法定代表人签字或经法定代表人授权的代表人签字并加盖企业公章）</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（4）分项报价表（提供产品品牌）</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（5）商务条款偏离表  </w:t>
      </w:r>
    </w:p>
    <w:p>
      <w:pPr>
        <w:pStyle w:val="91"/>
        <w:spacing w:line="360" w:lineRule="auto"/>
        <w:ind w:firstLine="480" w:firstLineChars="200"/>
        <w:rPr>
          <w:rFonts w:ascii="宋体" w:hAnsi="宋体" w:cs="宋体"/>
          <w:color w:val="auto"/>
        </w:rPr>
      </w:pPr>
      <w:r>
        <w:rPr>
          <w:rFonts w:hint="eastAsia" w:ascii="宋体" w:hAnsi="宋体" w:cs="宋体"/>
        </w:rPr>
        <w:t>（6）</w:t>
      </w:r>
      <w:r>
        <w:rPr>
          <w:rFonts w:hint="eastAsia" w:ascii="宋体" w:hAnsi="宋体" w:cs="宋体"/>
          <w:color w:val="auto"/>
        </w:rPr>
        <w:t>技术详细参数、规格偏离表</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（7）关于资格的声明函 </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（8）拟投入项目人员情况表</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（9）提供供应商近三年（2019年1月1日至今）的同类项目业绩表并加盖企业公章同时附项目合同复印件或中标（成交）通知书复印件（加盖企业公章），否则不予认可，为无效业绩；</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（10）提供供应商2020年度的财务审计报告；（第三方财务审计公司出具）或提供有效的银行资信证明</w:t>
      </w:r>
      <w:r>
        <w:rPr>
          <w:rFonts w:hint="eastAsia" w:ascii="宋体" w:hAnsi="宋体" w:cs="宋体"/>
          <w:kern w:val="0"/>
          <w:sz w:val="24"/>
          <w:szCs w:val="24"/>
          <w:shd w:val="clear" w:color="auto" w:fill="FFFFFF"/>
        </w:rPr>
        <w:t>（银行资信证明时间需是本项目采购公告发布后的时间）</w:t>
      </w:r>
      <w:r>
        <w:rPr>
          <w:rFonts w:hint="eastAsia" w:ascii="宋体" w:hAnsi="宋体" w:cs="宋体"/>
          <w:sz w:val="24"/>
          <w:szCs w:val="24"/>
        </w:rPr>
        <w:t>；</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（11）供应商《反商业贿赂承诺书》</w:t>
      </w:r>
    </w:p>
    <w:p>
      <w:pPr>
        <w:spacing w:line="360" w:lineRule="auto"/>
        <w:ind w:firstLine="480" w:firstLineChars="200"/>
        <w:rPr>
          <w:rFonts w:ascii="宋体" w:hAnsi="宋体" w:cs="宋体"/>
          <w:sz w:val="24"/>
          <w:szCs w:val="24"/>
        </w:rPr>
      </w:pPr>
      <w:r>
        <w:rPr>
          <w:rFonts w:hint="eastAsia" w:ascii="宋体" w:hAnsi="宋体" w:cs="宋体"/>
          <w:sz w:val="24"/>
          <w:szCs w:val="24"/>
        </w:rPr>
        <w:t>（11）售后服务承诺书</w:t>
      </w:r>
    </w:p>
    <w:p>
      <w:pPr>
        <w:spacing w:line="360" w:lineRule="auto"/>
        <w:ind w:firstLine="480" w:firstLineChars="200"/>
        <w:rPr>
          <w:rFonts w:ascii="宋体" w:hAnsi="宋体" w:cs="宋体"/>
          <w:sz w:val="24"/>
          <w:szCs w:val="24"/>
        </w:rPr>
      </w:pPr>
      <w:r>
        <w:rPr>
          <w:rFonts w:hint="eastAsia" w:ascii="宋体" w:hAnsi="宋体" w:cs="宋体"/>
          <w:sz w:val="24"/>
          <w:szCs w:val="24"/>
        </w:rPr>
        <w:t>（12）售后服务方案及应急预案</w:t>
      </w:r>
    </w:p>
    <w:p>
      <w:pPr>
        <w:spacing w:line="360" w:lineRule="auto"/>
        <w:ind w:firstLine="480" w:firstLineChars="200"/>
        <w:rPr>
          <w:rFonts w:ascii="宋体" w:hAnsi="宋体" w:cs="宋体"/>
          <w:b/>
          <w:sz w:val="24"/>
        </w:rPr>
      </w:pPr>
      <w:r>
        <w:rPr>
          <w:rFonts w:hint="eastAsia" w:ascii="宋体" w:hAnsi="宋体" w:cs="宋体"/>
          <w:sz w:val="24"/>
          <w:szCs w:val="24"/>
        </w:rPr>
        <w:t>（13）实施方案及验收方案</w:t>
      </w:r>
    </w:p>
    <w:p>
      <w:pPr>
        <w:spacing w:line="360" w:lineRule="auto"/>
        <w:ind w:firstLine="480" w:firstLineChars="200"/>
        <w:rPr>
          <w:rFonts w:ascii="宋体" w:hAnsi="宋体" w:cs="宋体"/>
          <w:sz w:val="24"/>
          <w:szCs w:val="24"/>
        </w:rPr>
      </w:pPr>
      <w:r>
        <w:rPr>
          <w:rFonts w:hint="eastAsia" w:ascii="宋体" w:hAnsi="宋体" w:cs="宋体"/>
          <w:sz w:val="24"/>
          <w:szCs w:val="24"/>
        </w:rPr>
        <w:t>（14）残疾人福利性单位声明函（若无可不提供）</w:t>
      </w:r>
    </w:p>
    <w:p>
      <w:pPr>
        <w:spacing w:line="360" w:lineRule="auto"/>
        <w:ind w:firstLine="480" w:firstLineChars="200"/>
        <w:rPr>
          <w:rFonts w:ascii="宋体" w:hAnsi="宋体" w:cs="宋体"/>
          <w:sz w:val="24"/>
          <w:szCs w:val="24"/>
        </w:rPr>
      </w:pPr>
      <w:r>
        <w:rPr>
          <w:rFonts w:hint="eastAsia" w:ascii="宋体" w:hAnsi="宋体" w:cs="宋体"/>
          <w:sz w:val="24"/>
          <w:szCs w:val="24"/>
        </w:rPr>
        <w:t>（15）中小企业声明函（若无可不提供）</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（16）需要提供的其他证明材料</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10.1.3  技术响应文件</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 供应商必须提供详细参数、说明及检测报告；</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 技术详细参数、规格偏离表，提供所有产品的检测报告；（所有技术参数、规格、不允许负偏离，否则视为不响应磋商文件，为无效磋商）</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 供应商认为有必要提供的声明及文件资料</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10.2  第10.1.1条中第(1)-（7）项、第10.1.2条中第(1)-（13）项、第10.1.3条中第(1)(2)项为必备项，供应商响应文件必须提供，否则视为无效磋商资格。</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11. 响应文件的格式</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11.1  采购文件附件及采购文件各章节提供了一部分用于编制响应文件时必要的格式，供应商应按此格式编制响应文件。</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11.2 采购文件中未提供格式的部分由供应商自行编制。</w:t>
      </w:r>
    </w:p>
    <w:p>
      <w:pPr>
        <w:spacing w:line="360" w:lineRule="auto"/>
        <w:ind w:firstLine="480" w:firstLineChars="200"/>
        <w:rPr>
          <w:rFonts w:ascii="宋体" w:hAnsi="宋体" w:cs="宋体"/>
          <w:sz w:val="24"/>
          <w:szCs w:val="24"/>
        </w:rPr>
      </w:pPr>
      <w:r>
        <w:rPr>
          <w:rFonts w:hint="eastAsia" w:ascii="宋体" w:hAnsi="宋体" w:cs="宋体"/>
          <w:sz w:val="24"/>
          <w:szCs w:val="24"/>
        </w:rPr>
        <w:t>12. 磋商报价</w:t>
      </w:r>
    </w:p>
    <w:p>
      <w:pPr>
        <w:spacing w:line="360" w:lineRule="auto"/>
        <w:ind w:firstLine="480" w:firstLineChars="200"/>
        <w:rPr>
          <w:rFonts w:ascii="宋体" w:hAnsi="宋体" w:cs="宋体"/>
          <w:sz w:val="24"/>
          <w:szCs w:val="24"/>
        </w:rPr>
      </w:pPr>
      <w:r>
        <w:rPr>
          <w:rFonts w:hint="eastAsia" w:ascii="宋体" w:hAnsi="宋体" w:cs="宋体"/>
          <w:sz w:val="24"/>
          <w:szCs w:val="24"/>
        </w:rPr>
        <w:t>12.1  除本采购文件另有规定外，供应商应按采购文件所附相应的磋商报价一览表格式标明拟提供货物的单价和总价等内容；（详见附件）。</w:t>
      </w:r>
    </w:p>
    <w:p>
      <w:pPr>
        <w:spacing w:line="360" w:lineRule="auto"/>
        <w:ind w:firstLine="480" w:firstLineChars="200"/>
        <w:rPr>
          <w:rFonts w:ascii="宋体" w:hAnsi="宋体" w:cs="宋体"/>
          <w:sz w:val="24"/>
          <w:szCs w:val="24"/>
        </w:rPr>
      </w:pPr>
      <w:r>
        <w:rPr>
          <w:rFonts w:hint="eastAsia" w:ascii="宋体" w:hAnsi="宋体" w:cs="宋体"/>
          <w:sz w:val="24"/>
          <w:szCs w:val="24"/>
        </w:rPr>
        <w:t>12.2  任何有选择性的报价将不予接受，每种服务项目只允许有一个报价。</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注：如供应商的总报价均超出采购预算价，将被视为无效磋商处理。</w:t>
      </w:r>
    </w:p>
    <w:p>
      <w:pPr>
        <w:spacing w:line="360" w:lineRule="auto"/>
        <w:ind w:firstLine="480" w:firstLineChars="200"/>
        <w:rPr>
          <w:rFonts w:ascii="宋体" w:hAnsi="宋体" w:cs="宋体"/>
          <w:sz w:val="24"/>
          <w:szCs w:val="24"/>
        </w:rPr>
      </w:pPr>
      <w:r>
        <w:rPr>
          <w:rFonts w:hint="eastAsia" w:ascii="宋体" w:hAnsi="宋体" w:cs="宋体"/>
          <w:sz w:val="24"/>
          <w:szCs w:val="24"/>
        </w:rPr>
        <w:t>12.3.1  供应商须充分注意并重视</w:t>
      </w:r>
      <w:r>
        <w:rPr>
          <w:rFonts w:hint="eastAsia" w:ascii="宋体" w:hAnsi="宋体" w:cs="宋体"/>
          <w:b/>
          <w:bCs/>
          <w:sz w:val="24"/>
          <w:szCs w:val="24"/>
        </w:rPr>
        <w:t>第三章“采购需求”</w:t>
      </w:r>
      <w:r>
        <w:rPr>
          <w:rFonts w:hint="eastAsia" w:ascii="宋体" w:hAnsi="宋体" w:cs="宋体"/>
          <w:sz w:val="24"/>
          <w:szCs w:val="24"/>
        </w:rPr>
        <w:t>的内容，并严格按该章的有关内容做出实质性响应。</w:t>
      </w:r>
    </w:p>
    <w:p>
      <w:pPr>
        <w:spacing w:line="360" w:lineRule="auto"/>
        <w:ind w:firstLine="480" w:firstLineChars="200"/>
        <w:rPr>
          <w:rFonts w:ascii="宋体" w:hAnsi="宋体" w:cs="宋体"/>
          <w:sz w:val="24"/>
          <w:szCs w:val="24"/>
        </w:rPr>
      </w:pPr>
      <w:r>
        <w:rPr>
          <w:rFonts w:hint="eastAsia" w:ascii="宋体" w:hAnsi="宋体" w:cs="宋体"/>
          <w:sz w:val="24"/>
          <w:szCs w:val="24"/>
        </w:rPr>
        <w:t>12.4  供应商可按采购文件第三章“采购需求”的内容全部报价，磋商报价应包括：</w:t>
      </w:r>
    </w:p>
    <w:p>
      <w:pPr>
        <w:spacing w:line="360" w:lineRule="auto"/>
        <w:ind w:firstLine="480" w:firstLineChars="200"/>
        <w:rPr>
          <w:rFonts w:ascii="宋体" w:hAnsi="宋体" w:cs="宋体"/>
          <w:sz w:val="24"/>
          <w:szCs w:val="24"/>
        </w:rPr>
      </w:pPr>
      <w:r>
        <w:rPr>
          <w:rFonts w:hint="eastAsia" w:ascii="宋体" w:hAnsi="宋体" w:cs="宋体"/>
          <w:sz w:val="24"/>
          <w:szCs w:val="24"/>
        </w:rPr>
        <w:t>12.4.1  运费保险、税费、调换费等费用。</w:t>
      </w:r>
    </w:p>
    <w:p>
      <w:pPr>
        <w:spacing w:line="360" w:lineRule="auto"/>
        <w:ind w:firstLine="480" w:firstLineChars="200"/>
        <w:rPr>
          <w:rFonts w:ascii="宋体" w:hAnsi="宋体" w:cs="宋体"/>
          <w:sz w:val="24"/>
          <w:szCs w:val="24"/>
        </w:rPr>
      </w:pPr>
      <w:r>
        <w:rPr>
          <w:rFonts w:hint="eastAsia" w:ascii="宋体" w:hAnsi="宋体" w:cs="宋体"/>
          <w:sz w:val="24"/>
          <w:szCs w:val="24"/>
        </w:rPr>
        <w:t>12.4.2  技术规格中特别要求的零、备件、附件费用及售后服务费用。</w:t>
      </w:r>
    </w:p>
    <w:p>
      <w:pPr>
        <w:spacing w:line="360" w:lineRule="auto"/>
        <w:ind w:firstLine="480" w:firstLineChars="200"/>
        <w:rPr>
          <w:rFonts w:ascii="宋体" w:hAnsi="宋体" w:cs="宋体"/>
          <w:sz w:val="24"/>
          <w:szCs w:val="24"/>
        </w:rPr>
      </w:pPr>
      <w:r>
        <w:rPr>
          <w:rFonts w:hint="eastAsia" w:ascii="宋体" w:hAnsi="宋体" w:cs="宋体"/>
          <w:sz w:val="24"/>
          <w:szCs w:val="24"/>
        </w:rPr>
        <w:t>13. 采购货币</w:t>
      </w:r>
    </w:p>
    <w:p>
      <w:pPr>
        <w:spacing w:line="360" w:lineRule="auto"/>
        <w:ind w:firstLine="480" w:firstLineChars="200"/>
        <w:rPr>
          <w:rFonts w:ascii="宋体" w:hAnsi="宋体" w:cs="宋体"/>
          <w:sz w:val="24"/>
          <w:szCs w:val="24"/>
        </w:rPr>
      </w:pPr>
      <w:r>
        <w:rPr>
          <w:rFonts w:hint="eastAsia" w:ascii="宋体" w:hAnsi="宋体" w:cs="宋体"/>
          <w:sz w:val="24"/>
          <w:szCs w:val="24"/>
        </w:rPr>
        <w:t>13.1 采购报价以人民币报价。</w:t>
      </w:r>
    </w:p>
    <w:p>
      <w:pPr>
        <w:spacing w:line="360" w:lineRule="auto"/>
        <w:ind w:firstLine="480" w:firstLineChars="200"/>
        <w:rPr>
          <w:rFonts w:ascii="宋体" w:hAnsi="宋体" w:cs="宋体"/>
          <w:sz w:val="24"/>
          <w:szCs w:val="24"/>
        </w:rPr>
      </w:pPr>
      <w:r>
        <w:rPr>
          <w:rFonts w:hint="eastAsia" w:ascii="宋体" w:hAnsi="宋体" w:cs="宋体"/>
          <w:sz w:val="24"/>
          <w:szCs w:val="24"/>
        </w:rPr>
        <w:t>14. 证明供应商合格和资格的文件。</w:t>
      </w:r>
    </w:p>
    <w:p>
      <w:pPr>
        <w:spacing w:line="360" w:lineRule="auto"/>
        <w:ind w:firstLine="480" w:firstLineChars="200"/>
        <w:rPr>
          <w:rFonts w:ascii="宋体" w:hAnsi="宋体" w:cs="宋体"/>
          <w:sz w:val="24"/>
          <w:szCs w:val="24"/>
        </w:rPr>
      </w:pPr>
      <w:r>
        <w:rPr>
          <w:rFonts w:hint="eastAsia" w:ascii="宋体" w:hAnsi="宋体" w:cs="宋体"/>
          <w:sz w:val="24"/>
          <w:szCs w:val="24"/>
        </w:rPr>
        <w:t>14.1 按照第10条规定，供应商应提交证明其有资格参加和有能力履行合同的文件，并作为其响应文件的一部分。</w:t>
      </w:r>
    </w:p>
    <w:p>
      <w:pPr>
        <w:spacing w:line="360" w:lineRule="auto"/>
        <w:ind w:firstLine="480" w:firstLineChars="200"/>
        <w:rPr>
          <w:rFonts w:ascii="宋体" w:hAnsi="宋体" w:cs="宋体"/>
          <w:sz w:val="24"/>
          <w:szCs w:val="24"/>
        </w:rPr>
      </w:pPr>
      <w:r>
        <w:rPr>
          <w:rFonts w:hint="eastAsia" w:ascii="宋体" w:hAnsi="宋体" w:cs="宋体"/>
          <w:sz w:val="24"/>
          <w:szCs w:val="24"/>
        </w:rPr>
        <w:t>14.2 供应商应填写并提交采购文件所要求的资格证明类文件。</w:t>
      </w:r>
    </w:p>
    <w:p>
      <w:pPr>
        <w:spacing w:line="360" w:lineRule="auto"/>
        <w:ind w:firstLine="480" w:firstLineChars="200"/>
        <w:rPr>
          <w:rFonts w:ascii="宋体" w:hAnsi="宋体" w:cs="宋体"/>
          <w:sz w:val="24"/>
          <w:szCs w:val="24"/>
        </w:rPr>
      </w:pPr>
      <w:r>
        <w:rPr>
          <w:rFonts w:hint="eastAsia" w:ascii="宋体" w:hAnsi="宋体" w:cs="宋体"/>
          <w:sz w:val="24"/>
          <w:szCs w:val="24"/>
        </w:rPr>
        <w:t>15. 证明货物的合格性和符合采购文件规定的文件。</w:t>
      </w:r>
    </w:p>
    <w:p>
      <w:pPr>
        <w:spacing w:line="360" w:lineRule="auto"/>
        <w:ind w:firstLine="480" w:firstLineChars="200"/>
        <w:rPr>
          <w:rFonts w:ascii="宋体" w:hAnsi="宋体" w:cs="宋体"/>
          <w:sz w:val="24"/>
          <w:szCs w:val="24"/>
        </w:rPr>
      </w:pPr>
      <w:r>
        <w:rPr>
          <w:rFonts w:hint="eastAsia" w:ascii="宋体" w:hAnsi="宋体" w:cs="宋体"/>
          <w:sz w:val="24"/>
          <w:szCs w:val="24"/>
        </w:rPr>
        <w:t>15.1 供应商应逐条对采购文件要求的技术规格进行评审，指出自己提供的货物和服务是否对采购文件做出实质性的响应，并认真填写采购文件所附的“</w:t>
      </w:r>
      <w:r>
        <w:rPr>
          <w:rFonts w:hint="eastAsia" w:ascii="宋体" w:hAnsi="宋体" w:cs="宋体"/>
          <w:b/>
          <w:sz w:val="24"/>
          <w:szCs w:val="24"/>
        </w:rPr>
        <w:t>商务条款偏离表（交货期、质保期、付款方式、售后服务等）</w:t>
      </w:r>
      <w:r>
        <w:rPr>
          <w:rFonts w:hint="eastAsia" w:ascii="宋体" w:hAnsi="宋体" w:cs="宋体"/>
          <w:sz w:val="24"/>
          <w:szCs w:val="24"/>
        </w:rPr>
        <w:t>”、“</w:t>
      </w:r>
      <w:r>
        <w:rPr>
          <w:rFonts w:hint="eastAsia" w:ascii="宋体" w:hAnsi="宋体" w:cs="宋体"/>
          <w:b/>
          <w:sz w:val="24"/>
          <w:szCs w:val="24"/>
        </w:rPr>
        <w:t>技术详细参数、规格偏离表”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15.2  证明服务的合格性和符合采购文件规定的文件应包括下列内容：</w:t>
      </w:r>
    </w:p>
    <w:p>
      <w:pPr>
        <w:spacing w:line="360" w:lineRule="auto"/>
        <w:ind w:firstLine="480" w:firstLineChars="200"/>
        <w:rPr>
          <w:rFonts w:ascii="宋体" w:hAnsi="宋体" w:cs="宋体"/>
          <w:sz w:val="24"/>
          <w:szCs w:val="24"/>
        </w:rPr>
      </w:pPr>
      <w:r>
        <w:rPr>
          <w:rFonts w:hint="eastAsia" w:ascii="宋体" w:hAnsi="宋体" w:cs="宋体"/>
          <w:sz w:val="24"/>
          <w:szCs w:val="24"/>
        </w:rPr>
        <w:t>15.2.1  执行的制造、验收标准；</w:t>
      </w:r>
    </w:p>
    <w:p>
      <w:pPr>
        <w:spacing w:line="360" w:lineRule="auto"/>
        <w:ind w:firstLine="480" w:firstLineChars="200"/>
        <w:rPr>
          <w:rFonts w:ascii="宋体" w:hAnsi="宋体" w:cs="宋体"/>
          <w:sz w:val="24"/>
          <w:szCs w:val="24"/>
        </w:rPr>
      </w:pPr>
      <w:r>
        <w:rPr>
          <w:rFonts w:hint="eastAsia" w:ascii="宋体" w:hAnsi="宋体" w:cs="宋体"/>
          <w:sz w:val="24"/>
          <w:szCs w:val="24"/>
        </w:rPr>
        <w:t>15.2.2  荣获国优、部优、省优荣誉证书（复印件）；</w:t>
      </w:r>
    </w:p>
    <w:p>
      <w:pPr>
        <w:spacing w:line="360" w:lineRule="auto"/>
        <w:ind w:firstLine="480" w:firstLineChars="200"/>
        <w:rPr>
          <w:rFonts w:ascii="宋体" w:hAnsi="宋体" w:cs="宋体"/>
          <w:sz w:val="24"/>
          <w:szCs w:val="24"/>
        </w:rPr>
      </w:pPr>
      <w:r>
        <w:rPr>
          <w:rFonts w:hint="eastAsia" w:ascii="宋体" w:hAnsi="宋体" w:cs="宋体"/>
          <w:sz w:val="24"/>
          <w:szCs w:val="24"/>
        </w:rPr>
        <w:t>15.2.3  产品检测报告、样本、手册、图纸等资料；</w:t>
      </w:r>
    </w:p>
    <w:p>
      <w:pPr>
        <w:spacing w:line="360" w:lineRule="auto"/>
        <w:ind w:firstLine="480" w:firstLineChars="200"/>
        <w:rPr>
          <w:rFonts w:ascii="宋体" w:hAnsi="宋体" w:cs="宋体"/>
          <w:sz w:val="24"/>
          <w:szCs w:val="24"/>
        </w:rPr>
      </w:pPr>
      <w:r>
        <w:rPr>
          <w:rFonts w:hint="eastAsia" w:ascii="宋体" w:hAnsi="宋体" w:cs="宋体"/>
          <w:sz w:val="24"/>
          <w:szCs w:val="24"/>
        </w:rPr>
        <w:t>15.2.4  供应商认为有必要提供的其它证明文件。</w:t>
      </w:r>
    </w:p>
    <w:p>
      <w:pPr>
        <w:spacing w:line="360" w:lineRule="auto"/>
        <w:ind w:firstLine="480" w:firstLineChars="200"/>
        <w:rPr>
          <w:rFonts w:ascii="宋体" w:hAnsi="宋体" w:cs="宋体"/>
          <w:sz w:val="24"/>
          <w:szCs w:val="24"/>
        </w:rPr>
      </w:pPr>
      <w:r>
        <w:rPr>
          <w:rFonts w:hint="eastAsia" w:ascii="宋体" w:hAnsi="宋体" w:cs="宋体"/>
          <w:sz w:val="24"/>
          <w:szCs w:val="24"/>
        </w:rPr>
        <w:t>16.  响应文件的有效期</w:t>
      </w:r>
    </w:p>
    <w:p>
      <w:pPr>
        <w:spacing w:line="360" w:lineRule="auto"/>
        <w:ind w:firstLine="480" w:firstLineChars="200"/>
        <w:rPr>
          <w:rFonts w:ascii="宋体" w:hAnsi="宋体" w:cs="宋体"/>
          <w:sz w:val="24"/>
          <w:szCs w:val="24"/>
        </w:rPr>
      </w:pPr>
      <w:r>
        <w:rPr>
          <w:rFonts w:hint="eastAsia" w:ascii="宋体" w:hAnsi="宋体" w:cs="宋体"/>
          <w:sz w:val="24"/>
          <w:szCs w:val="24"/>
        </w:rPr>
        <w:t>16.1  响应文件从实际响应文件递交之日起60天内有效。</w:t>
      </w:r>
    </w:p>
    <w:p>
      <w:pPr>
        <w:spacing w:line="360" w:lineRule="auto"/>
        <w:ind w:firstLine="480" w:firstLineChars="200"/>
        <w:rPr>
          <w:rFonts w:ascii="宋体" w:hAnsi="宋体" w:cs="宋体"/>
          <w:sz w:val="24"/>
          <w:szCs w:val="24"/>
        </w:rPr>
      </w:pPr>
      <w:r>
        <w:rPr>
          <w:rFonts w:hint="eastAsia" w:ascii="宋体" w:hAnsi="宋体" w:cs="宋体"/>
          <w:sz w:val="24"/>
          <w:szCs w:val="24"/>
        </w:rPr>
        <w:t>16.2  在特殊情况下, 在原磋商有效期届满之前，采购代理机构可与供应商协商延长响应文件的有效期，并经供应商确认。</w:t>
      </w:r>
    </w:p>
    <w:p>
      <w:pPr>
        <w:spacing w:line="360" w:lineRule="auto"/>
        <w:ind w:firstLine="480" w:firstLineChars="200"/>
        <w:rPr>
          <w:rFonts w:ascii="宋体" w:hAnsi="宋体" w:cs="宋体"/>
          <w:sz w:val="24"/>
          <w:szCs w:val="24"/>
        </w:rPr>
      </w:pPr>
      <w:r>
        <w:rPr>
          <w:rFonts w:hint="eastAsia" w:ascii="宋体" w:hAnsi="宋体" w:cs="宋体"/>
          <w:sz w:val="24"/>
          <w:szCs w:val="24"/>
        </w:rPr>
        <w:t>17.   响应文件的书写要求、签署、装订及数量。</w:t>
      </w:r>
    </w:p>
    <w:p>
      <w:pPr>
        <w:spacing w:line="360" w:lineRule="auto"/>
        <w:ind w:firstLine="480" w:firstLineChars="200"/>
        <w:rPr>
          <w:rFonts w:ascii="宋体" w:hAnsi="宋体" w:cs="宋体"/>
          <w:sz w:val="24"/>
          <w:szCs w:val="24"/>
        </w:rPr>
      </w:pPr>
      <w:r>
        <w:rPr>
          <w:rFonts w:hint="eastAsia" w:ascii="宋体" w:hAnsi="宋体" w:cs="宋体"/>
          <w:sz w:val="24"/>
          <w:szCs w:val="24"/>
        </w:rPr>
        <w:t>17.1  响应文件正本须用不褪色的墨水笔书写或打印。</w:t>
      </w:r>
    </w:p>
    <w:p>
      <w:pPr>
        <w:spacing w:line="360" w:lineRule="auto"/>
        <w:ind w:firstLine="480" w:firstLineChars="200"/>
        <w:rPr>
          <w:rFonts w:ascii="宋体" w:hAnsi="宋体" w:cs="宋体"/>
          <w:sz w:val="24"/>
          <w:szCs w:val="24"/>
        </w:rPr>
      </w:pPr>
      <w:r>
        <w:rPr>
          <w:rFonts w:hint="eastAsia" w:ascii="宋体" w:hAnsi="宋体" w:cs="宋体"/>
          <w:sz w:val="24"/>
          <w:szCs w:val="24"/>
        </w:rPr>
        <w:t>17.2  响应文件的书写应清楚工整，修改处应由供应商全权代表签字或盖章。</w:t>
      </w:r>
    </w:p>
    <w:p>
      <w:pPr>
        <w:spacing w:line="360" w:lineRule="auto"/>
        <w:ind w:firstLine="480" w:firstLineChars="200"/>
        <w:rPr>
          <w:rFonts w:ascii="宋体" w:hAnsi="宋体" w:cs="宋体"/>
          <w:sz w:val="24"/>
          <w:szCs w:val="24"/>
        </w:rPr>
      </w:pPr>
      <w:r>
        <w:rPr>
          <w:rFonts w:hint="eastAsia" w:ascii="宋体" w:hAnsi="宋体" w:cs="宋体"/>
          <w:sz w:val="24"/>
          <w:szCs w:val="24"/>
        </w:rPr>
        <w:t>17.3  未实质性响应文件、字迹潦草、表达不清、未按要求填写或可能导致非唯一理解的响应文件将被定为无效磋商。</w:t>
      </w:r>
    </w:p>
    <w:p>
      <w:pPr>
        <w:spacing w:line="360" w:lineRule="auto"/>
        <w:ind w:firstLine="480" w:firstLineChars="200"/>
        <w:rPr>
          <w:rFonts w:ascii="宋体" w:hAnsi="宋体" w:cs="宋体"/>
          <w:sz w:val="24"/>
          <w:szCs w:val="24"/>
        </w:rPr>
      </w:pPr>
      <w:r>
        <w:rPr>
          <w:rFonts w:hint="eastAsia" w:ascii="宋体" w:hAnsi="宋体" w:cs="宋体"/>
          <w:sz w:val="24"/>
          <w:szCs w:val="24"/>
        </w:rPr>
        <w:t>17.4  响应文件应由供应商企业法定代表人或法定代表人授权代表在规定签章处逐一签署及加盖单位的公章。</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 xml:space="preserve">17.5 装订要求：响应文件必须胶装。 </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17.6 响应文件的数量：文本响应文件，一式叁份，正本壹份,单独密封；副本贰份一起密封。“电子版”（正本</w:t>
      </w:r>
      <w:r>
        <w:rPr>
          <w:rFonts w:hint="eastAsia" w:ascii="宋体" w:hAnsi="宋体" w:cs="宋体"/>
          <w:b/>
          <w:bCs/>
          <w:sz w:val="24"/>
          <w:szCs w:val="24"/>
          <w:lang w:val="en-US" w:eastAsia="zh-CN"/>
        </w:rPr>
        <w:t>加盖公章的</w:t>
      </w:r>
      <w:r>
        <w:rPr>
          <w:rFonts w:hint="eastAsia" w:ascii="宋体" w:hAnsi="宋体" w:cs="宋体"/>
          <w:b/>
          <w:bCs/>
          <w:sz w:val="24"/>
          <w:szCs w:val="24"/>
        </w:rPr>
        <w:t>扫描件）壹份，单独密封；“磋商报价一览表”壹份，单独密封。文本响应文件封面左上角注明“正本”、“副本”字样，一旦正本和副本不符，以正本为准，参考资料不限量。</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17.7供应商可根据响应文件要求具体需要自行编制其它文件一式叁份纳入响应文件中。</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18.  磋商保证金</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18.1 </w:t>
      </w:r>
      <w:r>
        <w:rPr>
          <w:rFonts w:hint="eastAsia" w:ascii="宋体" w:hAnsi="宋体" w:cs="宋体"/>
          <w:b/>
          <w:bCs/>
          <w:sz w:val="24"/>
          <w:szCs w:val="24"/>
        </w:rPr>
        <w:t>磋商保证金金额为：18000.00元（壹万捌仟元整）</w:t>
      </w:r>
    </w:p>
    <w:p>
      <w:pPr>
        <w:spacing w:line="360" w:lineRule="auto"/>
        <w:ind w:firstLine="480" w:firstLineChars="200"/>
        <w:rPr>
          <w:rFonts w:ascii="宋体" w:hAnsi="宋体" w:cs="宋体"/>
          <w:sz w:val="24"/>
          <w:szCs w:val="24"/>
        </w:rPr>
      </w:pPr>
      <w:r>
        <w:rPr>
          <w:rFonts w:hint="eastAsia" w:ascii="宋体" w:hAnsi="宋体" w:cs="宋体"/>
          <w:sz w:val="24"/>
          <w:szCs w:val="24"/>
        </w:rPr>
        <w:t>18.2 磋商保证金用于保护本次采购免受供应商的违规、违约行为而引起的风险。</w:t>
      </w:r>
    </w:p>
    <w:p>
      <w:pPr>
        <w:spacing w:line="360" w:lineRule="auto"/>
        <w:ind w:firstLine="480" w:firstLineChars="200"/>
        <w:rPr>
          <w:rFonts w:ascii="宋体" w:hAnsi="宋体" w:cs="宋体"/>
          <w:sz w:val="24"/>
          <w:szCs w:val="24"/>
        </w:rPr>
      </w:pPr>
      <w:r>
        <w:rPr>
          <w:rFonts w:hint="eastAsia" w:ascii="宋体" w:hAnsi="宋体" w:cs="宋体"/>
          <w:sz w:val="24"/>
          <w:szCs w:val="24"/>
        </w:rPr>
        <w:t>18.3 磋商保证金以人民币支付，由供应商按《磋商文件》中明确的银行账号，按18.1条要求的数额递交。</w:t>
      </w:r>
    </w:p>
    <w:p>
      <w:pPr>
        <w:spacing w:line="360" w:lineRule="auto"/>
        <w:ind w:firstLine="480" w:firstLineChars="200"/>
        <w:rPr>
          <w:rFonts w:ascii="宋体" w:hAnsi="宋体" w:cs="宋体"/>
          <w:sz w:val="24"/>
          <w:szCs w:val="24"/>
        </w:rPr>
      </w:pPr>
      <w:r>
        <w:rPr>
          <w:rFonts w:hint="eastAsia" w:ascii="宋体" w:hAnsi="宋体" w:cs="宋体"/>
          <w:sz w:val="24"/>
          <w:szCs w:val="24"/>
        </w:rPr>
        <w:t>18.4  磋商保证金以网银或电汇形式提交。</w:t>
      </w:r>
    </w:p>
    <w:p>
      <w:pPr>
        <w:spacing w:line="360" w:lineRule="auto"/>
        <w:ind w:firstLine="480" w:firstLineChars="200"/>
        <w:rPr>
          <w:rFonts w:ascii="宋体" w:hAnsi="宋体" w:cs="宋体"/>
          <w:sz w:val="24"/>
          <w:szCs w:val="24"/>
        </w:rPr>
      </w:pPr>
      <w:r>
        <w:rPr>
          <w:rFonts w:hint="eastAsia" w:ascii="宋体" w:hAnsi="宋体" w:cs="宋体"/>
          <w:sz w:val="24"/>
          <w:szCs w:val="24"/>
        </w:rPr>
        <w:t>18.5  本次项目不接受联合体参与磋商。</w:t>
      </w:r>
    </w:p>
    <w:p>
      <w:pPr>
        <w:spacing w:line="360" w:lineRule="auto"/>
        <w:ind w:firstLine="480" w:firstLineChars="200"/>
        <w:rPr>
          <w:rFonts w:ascii="宋体" w:hAnsi="宋体" w:cs="宋体"/>
          <w:sz w:val="24"/>
          <w:szCs w:val="24"/>
        </w:rPr>
      </w:pPr>
      <w:r>
        <w:rPr>
          <w:rFonts w:hint="eastAsia" w:ascii="宋体" w:hAnsi="宋体" w:cs="宋体"/>
          <w:sz w:val="24"/>
          <w:szCs w:val="24"/>
        </w:rPr>
        <w:t>18.6  未按时缴纳磋商保证金的，将被拒绝。</w:t>
      </w:r>
    </w:p>
    <w:p>
      <w:pPr>
        <w:spacing w:line="360" w:lineRule="auto"/>
        <w:ind w:firstLine="480" w:firstLineChars="200"/>
        <w:rPr>
          <w:rFonts w:ascii="宋体" w:hAnsi="宋体" w:cs="宋体"/>
          <w:sz w:val="24"/>
          <w:szCs w:val="24"/>
        </w:rPr>
      </w:pPr>
      <w:r>
        <w:rPr>
          <w:rFonts w:hint="eastAsia" w:ascii="宋体" w:hAnsi="宋体" w:cs="宋体"/>
          <w:sz w:val="24"/>
          <w:szCs w:val="24"/>
        </w:rPr>
        <w:t>18.7  成交供应商的磋商保证金，将在合同签订后的5个工作日内予以退还；未成交供应商的磋商保证金在成交通知书发出后5个工作日内予以退还。</w:t>
      </w:r>
    </w:p>
    <w:p>
      <w:pPr>
        <w:spacing w:line="360" w:lineRule="auto"/>
        <w:ind w:firstLine="480" w:firstLineChars="200"/>
        <w:rPr>
          <w:rFonts w:ascii="宋体" w:hAnsi="宋体" w:cs="宋体"/>
          <w:sz w:val="24"/>
          <w:szCs w:val="24"/>
        </w:rPr>
      </w:pPr>
      <w:r>
        <w:rPr>
          <w:rFonts w:hint="eastAsia" w:ascii="宋体" w:hAnsi="宋体" w:cs="宋体"/>
          <w:sz w:val="24"/>
          <w:szCs w:val="24"/>
        </w:rPr>
        <w:t>18.8  发生以下情况磋商保证金可能被没收；</w:t>
      </w:r>
    </w:p>
    <w:p>
      <w:pPr>
        <w:spacing w:line="360" w:lineRule="auto"/>
        <w:ind w:firstLine="480" w:firstLineChars="200"/>
        <w:rPr>
          <w:rFonts w:ascii="宋体" w:hAnsi="宋体" w:cs="宋体"/>
          <w:sz w:val="24"/>
          <w:szCs w:val="24"/>
        </w:rPr>
      </w:pPr>
      <w:r>
        <w:rPr>
          <w:rFonts w:hint="eastAsia" w:ascii="宋体" w:hAnsi="宋体" w:cs="宋体"/>
          <w:sz w:val="24"/>
          <w:szCs w:val="24"/>
        </w:rPr>
        <w:t>18.8.1  供应商在磋商有效期内撤回响应文件；</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18.8.2如果成交供应商放弃成交项目的，不与采购人签订合同的，在签订合同时向采购人提出附加条件或者更改合同实质性内容的，或者拒不提交所要求的履约保证金的。</w:t>
      </w:r>
    </w:p>
    <w:p>
      <w:pPr>
        <w:pStyle w:val="3"/>
        <w:spacing w:line="360" w:lineRule="auto"/>
        <w:rPr>
          <w:rFonts w:ascii="宋体" w:hAnsi="宋体" w:eastAsia="宋体" w:cs="宋体"/>
          <w:b/>
          <w:bCs/>
          <w:sz w:val="30"/>
          <w:szCs w:val="30"/>
        </w:rPr>
      </w:pPr>
      <w:bookmarkStart w:id="40" w:name="_Toc6659"/>
      <w:r>
        <w:rPr>
          <w:rFonts w:hint="eastAsia" w:ascii="宋体" w:hAnsi="宋体" w:eastAsia="宋体" w:cs="宋体"/>
          <w:b/>
          <w:bCs/>
          <w:sz w:val="30"/>
          <w:szCs w:val="30"/>
        </w:rPr>
        <w:t>四、响应文件的递交</w:t>
      </w:r>
      <w:bookmarkEnd w:id="35"/>
      <w:bookmarkEnd w:id="36"/>
      <w:bookmarkEnd w:id="37"/>
      <w:bookmarkEnd w:id="38"/>
      <w:bookmarkEnd w:id="39"/>
      <w:bookmarkEnd w:id="40"/>
    </w:p>
    <w:p>
      <w:pPr>
        <w:spacing w:line="360" w:lineRule="auto"/>
        <w:ind w:firstLine="480" w:firstLineChars="200"/>
        <w:jc w:val="left"/>
        <w:rPr>
          <w:rFonts w:ascii="宋体" w:hAnsi="宋体" w:cs="宋体"/>
          <w:sz w:val="24"/>
          <w:szCs w:val="24"/>
        </w:rPr>
      </w:pPr>
      <w:bookmarkStart w:id="41" w:name="_Toc25732"/>
      <w:bookmarkStart w:id="42" w:name="_Toc17189"/>
      <w:bookmarkStart w:id="43" w:name="_Toc26712"/>
      <w:bookmarkStart w:id="44" w:name="_Toc6327"/>
      <w:r>
        <w:rPr>
          <w:rFonts w:hint="eastAsia" w:ascii="宋体" w:hAnsi="宋体" w:cs="宋体"/>
          <w:sz w:val="24"/>
          <w:szCs w:val="24"/>
        </w:rPr>
        <w:t>19. 响应文件的密封与标记</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19.1 供应商将响应文件正本壹份单独密封、副本贰份一起密封、“磋商报价一览表”单独密封，“电子版资料”（正本扫描件）单独密封，在密封件的封面上标明项目编号、项目名称、供应商名称、地址、联系电话、法定代表人、单位公章等。</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格式参考如下：（必须为印刷体）</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u w:val="single"/>
        </w:rPr>
        <w:t xml:space="preserve">             </w:t>
      </w:r>
      <w:r>
        <w:rPr>
          <w:rFonts w:hint="eastAsia" w:ascii="宋体" w:hAnsi="宋体" w:cs="宋体"/>
          <w:b/>
          <w:bCs/>
          <w:sz w:val="24"/>
          <w:szCs w:val="24"/>
        </w:rPr>
        <w:t>项目响应文件；</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(2) 项目编号：</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(3) 供应商名称和详细地址：</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(4) 法定代表人：（签字）</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 xml:space="preserve">(5) 联系人及联系电话： </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(6)</w:t>
      </w:r>
      <w:r>
        <w:rPr>
          <w:rFonts w:hint="eastAsia" w:ascii="宋体" w:hAnsi="宋体" w:cs="宋体"/>
          <w:b/>
          <w:bCs/>
          <w:sz w:val="24"/>
          <w:szCs w:val="24"/>
          <w:u w:val="single"/>
        </w:rPr>
        <w:t xml:space="preserve">         年     月    日     时    分</w:t>
      </w:r>
      <w:r>
        <w:rPr>
          <w:rFonts w:hint="eastAsia" w:ascii="宋体" w:hAnsi="宋体" w:cs="宋体"/>
          <w:b/>
          <w:bCs/>
          <w:sz w:val="24"/>
          <w:szCs w:val="24"/>
        </w:rPr>
        <w:t xml:space="preserve">（即响应文件递交时间）前不得开封。 </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19.2 为方便采购时的磋商，供应商须将响应文件正本中的报价一览表单独密封一份，并在信封上标明“磋商报价一览表”字样（装订在响应文件正本中的报价一览表与单独密封的“磋商报价一览表”必须保持一致）。</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19.3 所有的响应文件应当严格按照要求密封、标记和投递。否则视为无效响应文件，采购代理机构拒绝接受。</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20. 响应文件递交的截止日期</w:t>
      </w:r>
    </w:p>
    <w:p>
      <w:pPr>
        <w:spacing w:line="360" w:lineRule="auto"/>
        <w:ind w:firstLine="480" w:firstLineChars="200"/>
        <w:rPr>
          <w:rFonts w:ascii="宋体" w:hAnsi="宋体" w:cs="宋体"/>
          <w:sz w:val="24"/>
          <w:szCs w:val="24"/>
        </w:rPr>
      </w:pPr>
      <w:r>
        <w:rPr>
          <w:rFonts w:hint="eastAsia" w:ascii="宋体" w:hAnsi="宋体" w:cs="宋体"/>
          <w:sz w:val="24"/>
          <w:szCs w:val="24"/>
        </w:rPr>
        <w:t>20.1  潜在供应商必须在响应文件提交截止时间前将响应文件送达到响应文件递交地点并完成移交和登记工作。否则采购代理机构将拒绝接受。</w:t>
      </w:r>
    </w:p>
    <w:p>
      <w:pPr>
        <w:spacing w:line="360" w:lineRule="auto"/>
        <w:ind w:firstLine="480" w:firstLineChars="200"/>
        <w:rPr>
          <w:rFonts w:ascii="宋体" w:hAnsi="宋体" w:cs="宋体"/>
          <w:sz w:val="24"/>
          <w:szCs w:val="24"/>
        </w:rPr>
      </w:pPr>
      <w:r>
        <w:rPr>
          <w:rFonts w:hint="eastAsia" w:ascii="宋体" w:hAnsi="宋体" w:cs="宋体"/>
          <w:sz w:val="24"/>
          <w:szCs w:val="24"/>
        </w:rPr>
        <w:t>20.2  超过采购文件规定的提交响应文件截止时间送达的响应文件将不予接受。</w:t>
      </w:r>
    </w:p>
    <w:p>
      <w:pPr>
        <w:spacing w:line="360" w:lineRule="auto"/>
        <w:ind w:firstLine="480" w:firstLineChars="200"/>
        <w:rPr>
          <w:rFonts w:ascii="宋体" w:hAnsi="宋体" w:cs="宋体"/>
          <w:sz w:val="24"/>
          <w:szCs w:val="24"/>
        </w:rPr>
      </w:pPr>
      <w:r>
        <w:rPr>
          <w:rFonts w:hint="eastAsia" w:ascii="宋体" w:hAnsi="宋体" w:cs="宋体"/>
          <w:sz w:val="24"/>
          <w:szCs w:val="24"/>
        </w:rPr>
        <w:t>21.  响应文件的修改和撤销</w:t>
      </w:r>
    </w:p>
    <w:p>
      <w:pPr>
        <w:spacing w:line="360" w:lineRule="auto"/>
        <w:ind w:firstLine="480" w:firstLineChars="200"/>
        <w:rPr>
          <w:rFonts w:ascii="宋体" w:hAnsi="宋体" w:cs="宋体"/>
          <w:sz w:val="24"/>
          <w:szCs w:val="24"/>
        </w:rPr>
      </w:pPr>
      <w:r>
        <w:rPr>
          <w:rFonts w:hint="eastAsia" w:ascii="宋体" w:hAnsi="宋体" w:cs="宋体"/>
          <w:sz w:val="24"/>
          <w:szCs w:val="24"/>
        </w:rPr>
        <w:t>21.1  供应商对其响应文件进行的修改或撤销应以书面形式并在采购文件规定的响应文件提交截止时间前送达采购代理机构。</w:t>
      </w:r>
    </w:p>
    <w:p>
      <w:pPr>
        <w:spacing w:line="360" w:lineRule="auto"/>
        <w:ind w:firstLine="480" w:firstLineChars="200"/>
        <w:rPr>
          <w:rFonts w:ascii="宋体" w:hAnsi="宋体" w:cs="宋体"/>
          <w:sz w:val="24"/>
          <w:szCs w:val="24"/>
        </w:rPr>
      </w:pPr>
      <w:r>
        <w:rPr>
          <w:rFonts w:hint="eastAsia" w:ascii="宋体" w:hAnsi="宋体" w:cs="宋体"/>
          <w:sz w:val="24"/>
          <w:szCs w:val="24"/>
        </w:rPr>
        <w:t>21.2  供应商对响应文件的修改或撤销应按第18和19条规定进行准备、密封、标注和递交。</w:t>
      </w:r>
    </w:p>
    <w:p>
      <w:pPr>
        <w:spacing w:line="360" w:lineRule="auto"/>
        <w:ind w:firstLine="480" w:firstLineChars="200"/>
        <w:rPr>
          <w:rFonts w:ascii="宋体" w:hAnsi="宋体" w:cs="宋体"/>
          <w:sz w:val="24"/>
          <w:szCs w:val="24"/>
        </w:rPr>
      </w:pPr>
      <w:r>
        <w:rPr>
          <w:rFonts w:hint="eastAsia" w:ascii="宋体" w:hAnsi="宋体" w:cs="宋体"/>
          <w:sz w:val="24"/>
          <w:szCs w:val="24"/>
        </w:rPr>
        <w:t>21.3  提交响应文件截止时间后不得修改响应文件。</w:t>
      </w:r>
    </w:p>
    <w:p>
      <w:pPr>
        <w:spacing w:line="360" w:lineRule="auto"/>
        <w:ind w:firstLine="480" w:firstLineChars="200"/>
        <w:rPr>
          <w:rFonts w:ascii="宋体" w:hAnsi="宋体" w:cs="宋体"/>
          <w:sz w:val="24"/>
          <w:szCs w:val="24"/>
        </w:rPr>
      </w:pPr>
      <w:r>
        <w:rPr>
          <w:rFonts w:hint="eastAsia" w:ascii="宋体" w:hAnsi="宋体" w:cs="宋体"/>
          <w:sz w:val="24"/>
          <w:szCs w:val="24"/>
        </w:rPr>
        <w:t>21.4  供应商不得在提交响应文件截止时间起至响应文件有效期满前撤销响应文件，否则其磋商保证金将不予退还</w:t>
      </w:r>
      <w:r>
        <w:rPr>
          <w:rFonts w:hint="eastAsia" w:ascii="宋体" w:hAnsi="宋体" w:cs="宋体"/>
          <w:szCs w:val="24"/>
        </w:rPr>
        <w:t>。</w:t>
      </w:r>
    </w:p>
    <w:p>
      <w:pPr>
        <w:pStyle w:val="3"/>
        <w:spacing w:line="360" w:lineRule="auto"/>
        <w:rPr>
          <w:rFonts w:ascii="宋体" w:hAnsi="宋体" w:eastAsia="宋体" w:cs="宋体"/>
          <w:b/>
          <w:bCs/>
          <w:sz w:val="30"/>
          <w:szCs w:val="30"/>
        </w:rPr>
      </w:pPr>
      <w:bookmarkStart w:id="45" w:name="_Toc13840"/>
      <w:bookmarkStart w:id="46" w:name="_Toc25937"/>
      <w:r>
        <w:rPr>
          <w:rFonts w:hint="eastAsia" w:ascii="宋体" w:hAnsi="宋体" w:eastAsia="宋体" w:cs="宋体"/>
          <w:b/>
          <w:bCs/>
          <w:sz w:val="30"/>
          <w:szCs w:val="30"/>
        </w:rPr>
        <w:t>五、</w:t>
      </w:r>
      <w:bookmarkEnd w:id="41"/>
      <w:bookmarkEnd w:id="42"/>
      <w:bookmarkEnd w:id="43"/>
      <w:bookmarkEnd w:id="44"/>
      <w:bookmarkEnd w:id="45"/>
      <w:r>
        <w:rPr>
          <w:rFonts w:hint="eastAsia" w:ascii="宋体" w:hAnsi="宋体" w:eastAsia="宋体" w:cs="宋体"/>
          <w:b/>
          <w:bCs/>
          <w:sz w:val="30"/>
          <w:szCs w:val="30"/>
        </w:rPr>
        <w:t>磋商</w:t>
      </w:r>
      <w:bookmarkEnd w:id="46"/>
    </w:p>
    <w:p>
      <w:pPr>
        <w:spacing w:line="360" w:lineRule="auto"/>
        <w:ind w:firstLine="480" w:firstLineChars="200"/>
        <w:rPr>
          <w:rFonts w:ascii="宋体" w:hAnsi="宋体" w:cs="宋体"/>
          <w:sz w:val="24"/>
          <w:szCs w:val="24"/>
        </w:rPr>
      </w:pPr>
      <w:bookmarkStart w:id="47" w:name="_Toc21617"/>
      <w:bookmarkStart w:id="48" w:name="_Toc1254"/>
      <w:bookmarkStart w:id="49" w:name="_Toc13753"/>
      <w:bookmarkStart w:id="50" w:name="_Toc29438"/>
      <w:bookmarkStart w:id="51" w:name="_Toc1798"/>
      <w:r>
        <w:rPr>
          <w:rFonts w:hint="eastAsia" w:ascii="宋体" w:hAnsi="宋体" w:cs="宋体"/>
          <w:sz w:val="24"/>
          <w:szCs w:val="24"/>
        </w:rPr>
        <w:t>22.   磋商</w:t>
      </w:r>
    </w:p>
    <w:p>
      <w:pPr>
        <w:spacing w:line="360" w:lineRule="auto"/>
        <w:ind w:firstLine="480" w:firstLineChars="200"/>
        <w:rPr>
          <w:rFonts w:ascii="宋体" w:hAnsi="宋体" w:cs="宋体"/>
          <w:sz w:val="24"/>
          <w:szCs w:val="24"/>
        </w:rPr>
      </w:pPr>
      <w:r>
        <w:rPr>
          <w:rFonts w:hint="eastAsia" w:ascii="宋体" w:hAnsi="宋体" w:cs="宋体"/>
          <w:sz w:val="24"/>
          <w:szCs w:val="24"/>
        </w:rPr>
        <w:t>22.1  磋商时应当在采购文件确定的提交响应文件截止时间的同一时间公开进行，响应文件递交地点应当为采购文件中预先确定的地点。</w:t>
      </w:r>
    </w:p>
    <w:p>
      <w:pPr>
        <w:spacing w:line="360" w:lineRule="auto"/>
        <w:ind w:firstLine="480" w:firstLineChars="200"/>
        <w:rPr>
          <w:rFonts w:ascii="宋体" w:hAnsi="宋体" w:cs="宋体"/>
          <w:sz w:val="24"/>
          <w:szCs w:val="24"/>
        </w:rPr>
      </w:pPr>
      <w:r>
        <w:rPr>
          <w:rFonts w:hint="eastAsia" w:ascii="宋体" w:hAnsi="宋体" w:cs="宋体"/>
          <w:sz w:val="24"/>
          <w:szCs w:val="24"/>
        </w:rPr>
        <w:t>22.2  采购代理机构主持，采购人、供应商和有关方面代表参加。</w:t>
      </w:r>
    </w:p>
    <w:p>
      <w:pPr>
        <w:spacing w:line="360" w:lineRule="auto"/>
        <w:ind w:firstLine="480" w:firstLineChars="200"/>
        <w:rPr>
          <w:rFonts w:ascii="宋体" w:hAnsi="宋体" w:cs="宋体"/>
          <w:sz w:val="24"/>
          <w:szCs w:val="24"/>
        </w:rPr>
      </w:pPr>
      <w:r>
        <w:rPr>
          <w:rFonts w:hint="eastAsia" w:ascii="宋体" w:hAnsi="宋体" w:cs="宋体"/>
          <w:sz w:val="24"/>
          <w:szCs w:val="24"/>
        </w:rPr>
        <w:t>22.3  磋商时，应当由供应商或者其推选的代表检查响应文件的密封情况，也可以由采购人委托的监督机构检查并公证；经确认无误后，由采购工作人员当众拆封，宣读供应商名称、价格、价格折扣和响应文件的其他主要内容。</w:t>
      </w:r>
    </w:p>
    <w:p>
      <w:pPr>
        <w:spacing w:line="360" w:lineRule="auto"/>
        <w:ind w:firstLine="480" w:firstLineChars="200"/>
        <w:rPr>
          <w:rFonts w:ascii="宋体" w:hAnsi="宋体" w:cs="宋体"/>
          <w:sz w:val="24"/>
          <w:szCs w:val="24"/>
        </w:rPr>
      </w:pPr>
      <w:r>
        <w:rPr>
          <w:rFonts w:hint="eastAsia" w:ascii="宋体" w:hAnsi="宋体" w:cs="宋体"/>
          <w:sz w:val="24"/>
          <w:szCs w:val="24"/>
        </w:rPr>
        <w:t>22.4  未宣读的价格、价格折扣和响应文件的其他主要内容，评审时不予承认。</w:t>
      </w:r>
    </w:p>
    <w:p>
      <w:pPr>
        <w:spacing w:line="360" w:lineRule="auto"/>
        <w:ind w:firstLine="480" w:firstLineChars="200"/>
        <w:rPr>
          <w:rFonts w:ascii="宋体" w:hAnsi="宋体" w:cs="宋体"/>
          <w:sz w:val="24"/>
          <w:szCs w:val="24"/>
        </w:rPr>
      </w:pPr>
      <w:r>
        <w:rPr>
          <w:rFonts w:hint="eastAsia" w:ascii="宋体" w:hAnsi="宋体" w:cs="宋体"/>
          <w:sz w:val="24"/>
          <w:szCs w:val="24"/>
        </w:rPr>
        <w:t>22.5  磋商时，响应文件中磋商报价一览表(报价表)内容与响应文件中明细表内容不一致的，以磋商报价一览表(报价表)为准。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spacing w:line="360" w:lineRule="auto"/>
        <w:ind w:firstLine="480" w:firstLineChars="200"/>
        <w:rPr>
          <w:rFonts w:ascii="宋体" w:hAnsi="宋体" w:cs="宋体"/>
          <w:sz w:val="24"/>
          <w:szCs w:val="24"/>
        </w:rPr>
      </w:pPr>
      <w:r>
        <w:rPr>
          <w:rFonts w:hint="eastAsia" w:ascii="宋体" w:hAnsi="宋体" w:cs="宋体"/>
          <w:sz w:val="24"/>
          <w:szCs w:val="24"/>
        </w:rPr>
        <w:t>22.6  对按照本采购文件要求进行资格审查，不合格的供应商，其响应文件将被视为无效响应文件。</w:t>
      </w:r>
    </w:p>
    <w:p>
      <w:pPr>
        <w:spacing w:line="360" w:lineRule="auto"/>
        <w:ind w:firstLine="480" w:firstLineChars="200"/>
        <w:rPr>
          <w:rFonts w:ascii="宋体" w:hAnsi="宋体" w:cs="宋体"/>
          <w:sz w:val="24"/>
          <w:szCs w:val="24"/>
        </w:rPr>
      </w:pPr>
      <w:r>
        <w:rPr>
          <w:rFonts w:hint="eastAsia" w:ascii="宋体" w:hAnsi="宋体" w:cs="宋体"/>
          <w:sz w:val="24"/>
          <w:szCs w:val="24"/>
        </w:rPr>
        <w:t>22.7 供应商之间不得相互串通报价，不得妨碍其他供应商的公平竞争，不得损害采购单位或者其他供应商的合法权益。</w:t>
      </w:r>
    </w:p>
    <w:p>
      <w:pPr>
        <w:spacing w:line="360" w:lineRule="auto"/>
        <w:ind w:firstLine="480" w:firstLineChars="200"/>
        <w:rPr>
          <w:rFonts w:ascii="宋体" w:hAnsi="宋体" w:cs="宋体"/>
          <w:sz w:val="24"/>
          <w:szCs w:val="24"/>
        </w:rPr>
      </w:pPr>
      <w:r>
        <w:rPr>
          <w:rFonts w:hint="eastAsia" w:ascii="宋体" w:hAnsi="宋体" w:cs="宋体"/>
          <w:sz w:val="24"/>
          <w:szCs w:val="24"/>
        </w:rPr>
        <w:t>22.8  供应商不得以向采购单位、评审委员会成员行贿或者采取其他不正当手段谋取成交。</w:t>
      </w:r>
    </w:p>
    <w:p>
      <w:pPr>
        <w:pStyle w:val="3"/>
        <w:spacing w:line="360" w:lineRule="auto"/>
        <w:rPr>
          <w:rFonts w:ascii="宋体" w:hAnsi="宋体" w:eastAsia="宋体" w:cs="宋体"/>
          <w:szCs w:val="28"/>
        </w:rPr>
      </w:pPr>
      <w:bookmarkStart w:id="52" w:name="_Toc833"/>
      <w:r>
        <w:rPr>
          <w:rFonts w:hint="eastAsia" w:ascii="宋体" w:hAnsi="宋体" w:eastAsia="宋体" w:cs="宋体"/>
          <w:b/>
          <w:bCs/>
          <w:sz w:val="30"/>
          <w:szCs w:val="30"/>
        </w:rPr>
        <w:t>六、评审</w:t>
      </w:r>
      <w:bookmarkEnd w:id="47"/>
      <w:bookmarkEnd w:id="48"/>
      <w:bookmarkEnd w:id="49"/>
      <w:bookmarkEnd w:id="50"/>
      <w:bookmarkEnd w:id="51"/>
      <w:bookmarkEnd w:id="52"/>
    </w:p>
    <w:p>
      <w:pPr>
        <w:spacing w:line="360" w:lineRule="auto"/>
        <w:ind w:firstLine="480" w:firstLineChars="200"/>
        <w:rPr>
          <w:rFonts w:ascii="宋体" w:hAnsi="宋体" w:cs="宋体"/>
          <w:sz w:val="24"/>
          <w:szCs w:val="24"/>
        </w:rPr>
      </w:pPr>
      <w:bookmarkStart w:id="53" w:name="OLE_LINK1"/>
      <w:r>
        <w:rPr>
          <w:rFonts w:hint="eastAsia" w:ascii="宋体" w:hAnsi="宋体" w:cs="宋体"/>
          <w:sz w:val="24"/>
          <w:szCs w:val="24"/>
        </w:rPr>
        <w:t>23.   评审</w:t>
      </w:r>
    </w:p>
    <w:p>
      <w:pPr>
        <w:spacing w:line="360" w:lineRule="auto"/>
        <w:ind w:firstLine="480" w:firstLineChars="200"/>
        <w:rPr>
          <w:rFonts w:ascii="宋体" w:hAnsi="宋体" w:cs="宋体"/>
          <w:sz w:val="24"/>
          <w:szCs w:val="24"/>
        </w:rPr>
      </w:pPr>
      <w:r>
        <w:rPr>
          <w:rFonts w:hint="eastAsia" w:ascii="宋体" w:hAnsi="宋体" w:cs="宋体"/>
          <w:sz w:val="24"/>
          <w:szCs w:val="24"/>
        </w:rPr>
        <w:t>23.1  评审委员会</w:t>
      </w:r>
    </w:p>
    <w:p>
      <w:pPr>
        <w:spacing w:line="360" w:lineRule="auto"/>
        <w:ind w:firstLine="480" w:firstLineChars="200"/>
        <w:rPr>
          <w:rFonts w:ascii="宋体" w:hAnsi="宋体" w:cs="宋体"/>
          <w:sz w:val="24"/>
          <w:szCs w:val="24"/>
        </w:rPr>
      </w:pPr>
      <w:r>
        <w:rPr>
          <w:rFonts w:hint="eastAsia" w:ascii="宋体" w:hAnsi="宋体" w:cs="宋体"/>
          <w:sz w:val="24"/>
          <w:szCs w:val="24"/>
        </w:rPr>
        <w:t>23.1.1 评审委员会由采购人代表和相关技术、经济等方面的专家组成，成员人数应当为三人；其中，技术、经济等方面的专家占总专家人数三分之二。</w:t>
      </w:r>
    </w:p>
    <w:p>
      <w:pPr>
        <w:spacing w:line="360" w:lineRule="auto"/>
        <w:ind w:firstLine="480" w:firstLineChars="200"/>
        <w:rPr>
          <w:rFonts w:ascii="宋体" w:hAnsi="宋体" w:cs="宋体"/>
          <w:sz w:val="24"/>
          <w:szCs w:val="24"/>
        </w:rPr>
      </w:pPr>
      <w:r>
        <w:rPr>
          <w:rFonts w:hint="eastAsia" w:ascii="宋体" w:hAnsi="宋体" w:cs="宋体"/>
          <w:sz w:val="24"/>
          <w:szCs w:val="24"/>
        </w:rPr>
        <w:t>23.1.2 采购单位就采购文件征询过意见的专家，不得再作为评审专家参加评审。采购单位人员不得以专家身份参与本部门或者本单位采购项目的评审、采购代理机构工作人员不得参加由本机构代理的政府采购项目的评审。</w:t>
      </w:r>
    </w:p>
    <w:p>
      <w:pPr>
        <w:spacing w:line="360" w:lineRule="auto"/>
        <w:ind w:firstLine="480" w:firstLineChars="200"/>
        <w:rPr>
          <w:rFonts w:ascii="宋体" w:hAnsi="宋体" w:cs="宋体"/>
          <w:sz w:val="24"/>
          <w:szCs w:val="24"/>
        </w:rPr>
      </w:pPr>
      <w:r>
        <w:rPr>
          <w:rFonts w:hint="eastAsia" w:ascii="宋体" w:hAnsi="宋体" w:cs="宋体"/>
          <w:sz w:val="24"/>
          <w:szCs w:val="24"/>
        </w:rPr>
        <w:t>23.1.3  评审人员应认真执行《中华人民共和国政府采购法》及相关法规规定，同时维护采购人和供应商的合法权益。</w:t>
      </w:r>
    </w:p>
    <w:p>
      <w:pPr>
        <w:spacing w:line="360" w:lineRule="auto"/>
        <w:ind w:firstLine="480" w:firstLineChars="200"/>
        <w:rPr>
          <w:rFonts w:ascii="宋体" w:hAnsi="宋体" w:cs="宋体"/>
          <w:sz w:val="24"/>
          <w:szCs w:val="24"/>
        </w:rPr>
      </w:pPr>
      <w:r>
        <w:rPr>
          <w:rFonts w:hint="eastAsia" w:ascii="宋体" w:hAnsi="宋体" w:cs="宋体"/>
          <w:sz w:val="24"/>
          <w:szCs w:val="24"/>
        </w:rPr>
        <w:t>23.1.4  评审的依据为采购文件和响应文件。</w:t>
      </w:r>
    </w:p>
    <w:p>
      <w:pPr>
        <w:spacing w:line="360" w:lineRule="auto"/>
        <w:ind w:firstLine="480" w:firstLineChars="200"/>
        <w:rPr>
          <w:rFonts w:ascii="宋体" w:hAnsi="宋体" w:cs="宋体"/>
          <w:sz w:val="24"/>
          <w:szCs w:val="24"/>
        </w:rPr>
      </w:pPr>
      <w:r>
        <w:rPr>
          <w:rFonts w:hint="eastAsia" w:ascii="宋体" w:hAnsi="宋体" w:cs="宋体"/>
          <w:sz w:val="24"/>
          <w:szCs w:val="24"/>
        </w:rPr>
        <w:t>23.1.5  评审中各评委若发生意见分歧，通过书面表决形式，以少数服从多数为原则决定。</w:t>
      </w:r>
    </w:p>
    <w:p>
      <w:pPr>
        <w:spacing w:line="360" w:lineRule="auto"/>
        <w:ind w:firstLine="480" w:firstLineChars="200"/>
        <w:rPr>
          <w:rFonts w:ascii="宋体" w:hAnsi="宋体" w:cs="宋体"/>
          <w:sz w:val="24"/>
          <w:szCs w:val="24"/>
        </w:rPr>
      </w:pPr>
      <w:r>
        <w:rPr>
          <w:rFonts w:hint="eastAsia" w:ascii="宋体" w:hAnsi="宋体" w:cs="宋体"/>
          <w:sz w:val="24"/>
          <w:szCs w:val="24"/>
        </w:rPr>
        <w:t>23.2 评审纪律</w:t>
      </w:r>
    </w:p>
    <w:p>
      <w:pPr>
        <w:spacing w:line="360" w:lineRule="auto"/>
        <w:ind w:firstLine="480" w:firstLineChars="200"/>
        <w:rPr>
          <w:rFonts w:ascii="宋体" w:hAnsi="宋体" w:cs="宋体"/>
          <w:sz w:val="24"/>
          <w:szCs w:val="24"/>
        </w:rPr>
      </w:pPr>
      <w:r>
        <w:rPr>
          <w:rFonts w:hint="eastAsia" w:ascii="宋体" w:hAnsi="宋体" w:cs="宋体"/>
          <w:sz w:val="24"/>
          <w:szCs w:val="24"/>
        </w:rPr>
        <w:t>（一）不徇私情，不得明招暗定，杜绝不正之风。</w:t>
      </w:r>
    </w:p>
    <w:p>
      <w:pPr>
        <w:spacing w:line="360" w:lineRule="auto"/>
        <w:ind w:firstLine="480" w:firstLineChars="200"/>
        <w:rPr>
          <w:rFonts w:ascii="宋体" w:hAnsi="宋体" w:cs="宋体"/>
          <w:sz w:val="24"/>
          <w:szCs w:val="24"/>
        </w:rPr>
      </w:pPr>
      <w:r>
        <w:rPr>
          <w:rFonts w:hint="eastAsia" w:ascii="宋体" w:hAnsi="宋体" w:cs="宋体"/>
          <w:sz w:val="24"/>
          <w:szCs w:val="24"/>
        </w:rPr>
        <w:t>（二）评审人员不得私自泄露评审内容。</w:t>
      </w:r>
    </w:p>
    <w:p>
      <w:pPr>
        <w:spacing w:line="360" w:lineRule="auto"/>
        <w:ind w:firstLine="480" w:firstLineChars="200"/>
        <w:rPr>
          <w:rFonts w:ascii="宋体" w:hAnsi="宋体" w:cs="宋体"/>
          <w:sz w:val="24"/>
          <w:szCs w:val="24"/>
        </w:rPr>
      </w:pPr>
      <w:r>
        <w:rPr>
          <w:rFonts w:hint="eastAsia" w:ascii="宋体" w:hAnsi="宋体" w:cs="宋体"/>
          <w:sz w:val="24"/>
          <w:szCs w:val="24"/>
        </w:rPr>
        <w:t>（三）评审过程应严格遵守保密制度。</w:t>
      </w:r>
    </w:p>
    <w:p>
      <w:pPr>
        <w:spacing w:line="360" w:lineRule="auto"/>
        <w:ind w:firstLine="480" w:firstLineChars="200"/>
        <w:rPr>
          <w:rFonts w:ascii="宋体" w:hAnsi="宋体" w:cs="宋体"/>
          <w:sz w:val="24"/>
          <w:szCs w:val="24"/>
        </w:rPr>
      </w:pPr>
      <w:r>
        <w:rPr>
          <w:rFonts w:hint="eastAsia" w:ascii="宋体" w:hAnsi="宋体" w:cs="宋体"/>
          <w:sz w:val="24"/>
          <w:szCs w:val="24"/>
        </w:rPr>
        <w:t>磋商后,直到授予供应商合同止，凡是属于审查、澄清、评价和比较的有关资料以及建议等均不得向供应商或其他无关的人员透露。</w:t>
      </w:r>
    </w:p>
    <w:p>
      <w:pPr>
        <w:spacing w:line="360" w:lineRule="auto"/>
        <w:ind w:firstLine="480" w:firstLineChars="200"/>
        <w:rPr>
          <w:rFonts w:ascii="宋体" w:hAnsi="宋体" w:cs="宋体"/>
          <w:sz w:val="24"/>
          <w:szCs w:val="24"/>
        </w:rPr>
      </w:pPr>
      <w:r>
        <w:rPr>
          <w:rFonts w:hint="eastAsia" w:ascii="宋体" w:hAnsi="宋体" w:cs="宋体"/>
          <w:sz w:val="24"/>
          <w:szCs w:val="24"/>
        </w:rPr>
        <w:t>23.3 评审委员会成员应当履行的义务</w:t>
      </w:r>
    </w:p>
    <w:p>
      <w:pPr>
        <w:spacing w:line="360" w:lineRule="auto"/>
        <w:ind w:firstLine="480" w:firstLineChars="200"/>
        <w:rPr>
          <w:rFonts w:ascii="宋体" w:hAnsi="宋体" w:cs="宋体"/>
          <w:sz w:val="24"/>
          <w:szCs w:val="24"/>
        </w:rPr>
      </w:pPr>
      <w:r>
        <w:rPr>
          <w:rFonts w:hint="eastAsia" w:ascii="宋体" w:hAnsi="宋体" w:cs="宋体"/>
          <w:sz w:val="24"/>
          <w:szCs w:val="24"/>
        </w:rPr>
        <w:t>（一）遵纪守法，客观、公正、廉洁地履行职责；</w:t>
      </w:r>
    </w:p>
    <w:p>
      <w:pPr>
        <w:spacing w:line="360" w:lineRule="auto"/>
        <w:ind w:firstLine="480" w:firstLineChars="200"/>
        <w:rPr>
          <w:rFonts w:ascii="宋体" w:hAnsi="宋体" w:cs="宋体"/>
          <w:sz w:val="24"/>
          <w:szCs w:val="24"/>
        </w:rPr>
      </w:pPr>
      <w:r>
        <w:rPr>
          <w:rFonts w:hint="eastAsia" w:ascii="宋体" w:hAnsi="宋体" w:cs="宋体"/>
          <w:sz w:val="24"/>
          <w:szCs w:val="24"/>
        </w:rPr>
        <w:t>（二）按照采购文件规定的评审方法和评审标准进行评审，对评审意见承担个人责任；</w:t>
      </w:r>
    </w:p>
    <w:p>
      <w:pPr>
        <w:spacing w:line="360" w:lineRule="auto"/>
        <w:ind w:firstLine="480" w:firstLineChars="200"/>
        <w:rPr>
          <w:rFonts w:ascii="宋体" w:hAnsi="宋体" w:cs="宋体"/>
          <w:sz w:val="24"/>
          <w:szCs w:val="24"/>
        </w:rPr>
      </w:pPr>
      <w:r>
        <w:rPr>
          <w:rFonts w:hint="eastAsia" w:ascii="宋体" w:hAnsi="宋体" w:cs="宋体"/>
          <w:sz w:val="24"/>
          <w:szCs w:val="24"/>
        </w:rPr>
        <w:t>（三）对评审过程和结果，以及供应商的商业秘密保密；</w:t>
      </w:r>
    </w:p>
    <w:p>
      <w:pPr>
        <w:spacing w:line="360" w:lineRule="auto"/>
        <w:ind w:firstLine="480" w:firstLineChars="200"/>
        <w:rPr>
          <w:rFonts w:ascii="宋体" w:hAnsi="宋体" w:cs="宋体"/>
          <w:sz w:val="24"/>
          <w:szCs w:val="24"/>
        </w:rPr>
      </w:pPr>
      <w:r>
        <w:rPr>
          <w:rFonts w:hint="eastAsia" w:ascii="宋体" w:hAnsi="宋体" w:cs="宋体"/>
          <w:sz w:val="24"/>
          <w:szCs w:val="24"/>
        </w:rPr>
        <w:t>（四）参与评审报告的起草；</w:t>
      </w:r>
    </w:p>
    <w:p>
      <w:pPr>
        <w:spacing w:line="360" w:lineRule="auto"/>
        <w:ind w:firstLine="480" w:firstLineChars="200"/>
        <w:rPr>
          <w:rFonts w:ascii="宋体" w:hAnsi="宋体" w:cs="宋体"/>
          <w:sz w:val="24"/>
          <w:szCs w:val="24"/>
        </w:rPr>
      </w:pPr>
      <w:r>
        <w:rPr>
          <w:rFonts w:hint="eastAsia" w:ascii="宋体" w:hAnsi="宋体" w:cs="宋体"/>
          <w:sz w:val="24"/>
          <w:szCs w:val="24"/>
        </w:rPr>
        <w:t>（五）配合财政部门的投诉处理工作；</w:t>
      </w:r>
    </w:p>
    <w:p>
      <w:pPr>
        <w:spacing w:line="360" w:lineRule="auto"/>
        <w:ind w:firstLine="480" w:firstLineChars="200"/>
        <w:rPr>
          <w:rFonts w:ascii="宋体" w:hAnsi="宋体" w:cs="宋体"/>
          <w:sz w:val="24"/>
          <w:szCs w:val="24"/>
        </w:rPr>
      </w:pPr>
      <w:r>
        <w:rPr>
          <w:rFonts w:hint="eastAsia" w:ascii="宋体" w:hAnsi="宋体" w:cs="宋体"/>
          <w:sz w:val="24"/>
          <w:szCs w:val="24"/>
        </w:rPr>
        <w:t>（六）配合采购单位答复供应商提出的质疑。</w:t>
      </w:r>
    </w:p>
    <w:p>
      <w:pPr>
        <w:spacing w:line="360" w:lineRule="auto"/>
        <w:ind w:firstLine="480" w:firstLineChars="200"/>
        <w:rPr>
          <w:rFonts w:ascii="宋体" w:hAnsi="宋体" w:cs="宋体"/>
          <w:sz w:val="24"/>
          <w:szCs w:val="24"/>
        </w:rPr>
      </w:pPr>
      <w:r>
        <w:rPr>
          <w:rFonts w:hint="eastAsia" w:ascii="宋体" w:hAnsi="宋体" w:cs="宋体"/>
          <w:sz w:val="24"/>
          <w:szCs w:val="24"/>
        </w:rPr>
        <w:t>24.  评审原则</w:t>
      </w:r>
    </w:p>
    <w:p>
      <w:pPr>
        <w:spacing w:line="360" w:lineRule="auto"/>
        <w:ind w:firstLine="480" w:firstLineChars="200"/>
        <w:rPr>
          <w:rFonts w:ascii="宋体" w:hAnsi="宋体" w:cs="宋体"/>
          <w:sz w:val="24"/>
          <w:szCs w:val="24"/>
        </w:rPr>
      </w:pPr>
      <w:r>
        <w:rPr>
          <w:rFonts w:hint="eastAsia" w:ascii="宋体" w:hAnsi="宋体" w:cs="宋体"/>
          <w:sz w:val="24"/>
          <w:szCs w:val="24"/>
        </w:rPr>
        <w:t>24.1  评审活动遵循公平、公正、公开和择优的原则。</w:t>
      </w:r>
    </w:p>
    <w:p>
      <w:pPr>
        <w:spacing w:line="360" w:lineRule="auto"/>
        <w:ind w:firstLine="480" w:firstLineChars="200"/>
        <w:rPr>
          <w:rFonts w:ascii="宋体" w:hAnsi="宋体" w:cs="宋体"/>
          <w:sz w:val="24"/>
          <w:szCs w:val="24"/>
        </w:rPr>
      </w:pPr>
      <w:r>
        <w:rPr>
          <w:rFonts w:hint="eastAsia" w:ascii="宋体" w:hAnsi="宋体" w:cs="宋体"/>
          <w:sz w:val="24"/>
          <w:szCs w:val="24"/>
        </w:rPr>
        <w:t>25.  评审方法</w:t>
      </w:r>
    </w:p>
    <w:p>
      <w:pPr>
        <w:spacing w:line="360" w:lineRule="auto"/>
        <w:ind w:firstLine="480" w:firstLineChars="200"/>
        <w:rPr>
          <w:rFonts w:ascii="宋体" w:hAnsi="宋体" w:cs="宋体"/>
          <w:sz w:val="24"/>
          <w:szCs w:val="24"/>
        </w:rPr>
      </w:pPr>
      <w:r>
        <w:rPr>
          <w:rFonts w:hint="eastAsia" w:ascii="宋体" w:hAnsi="宋体" w:cs="宋体"/>
          <w:sz w:val="24"/>
          <w:szCs w:val="24"/>
        </w:rPr>
        <w:t>25.1  磋商后评审委员会将审查响应文件是否完整、要求的保证金是否已提供、文件是否恰当签署、是否有计算错误。若供应商拒绝接受修正，其采购将可能被拒绝。</w:t>
      </w:r>
    </w:p>
    <w:p>
      <w:pPr>
        <w:spacing w:line="360" w:lineRule="auto"/>
        <w:ind w:firstLine="480" w:firstLineChars="200"/>
        <w:rPr>
          <w:rFonts w:ascii="宋体" w:hAnsi="宋体" w:cs="宋体"/>
          <w:sz w:val="24"/>
          <w:szCs w:val="24"/>
        </w:rPr>
      </w:pPr>
      <w:r>
        <w:rPr>
          <w:rFonts w:hint="eastAsia" w:ascii="宋体" w:hAnsi="宋体" w:cs="宋体"/>
          <w:sz w:val="24"/>
          <w:szCs w:val="24"/>
        </w:rPr>
        <w:t>25.2  在对响应文件进行详细评估之前，评审委员会将审查每一份响应文件是否对采购文件的要求做出了实质性的响应。实质性响应的文件应该是与采购文件的全部条款、条件和规格相符，而没有负偏离。负偏离系指影响到合同所有条款的供货范围、质量、性能和规格或在实质上与采购文件不一致，而且限制了买方的权力和供应商的义务。</w:t>
      </w:r>
    </w:p>
    <w:p>
      <w:pPr>
        <w:spacing w:line="360" w:lineRule="auto"/>
        <w:ind w:firstLine="480" w:firstLineChars="200"/>
        <w:rPr>
          <w:rFonts w:ascii="宋体" w:hAnsi="宋体" w:cs="宋体"/>
          <w:sz w:val="24"/>
          <w:szCs w:val="24"/>
        </w:rPr>
      </w:pPr>
      <w:r>
        <w:rPr>
          <w:rFonts w:hint="eastAsia" w:ascii="宋体" w:hAnsi="宋体" w:cs="宋体"/>
          <w:sz w:val="24"/>
          <w:szCs w:val="24"/>
        </w:rPr>
        <w:t>25.3  评审委员会判断响应文件的响应性仅基于响应文件本身而不寻求外部证据。</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25.4  对已被评审委员会确定为非响应性的磋商，供应商不能通过修正或撤销不符之处而使其磋商成为响应性磋商。</w:t>
      </w:r>
    </w:p>
    <w:p>
      <w:pPr>
        <w:pStyle w:val="24"/>
        <w:snapToGrid w:val="0"/>
        <w:spacing w:line="360" w:lineRule="auto"/>
        <w:ind w:firstLine="480" w:firstLineChars="200"/>
        <w:jc w:val="left"/>
        <w:rPr>
          <w:rFonts w:cs="宋体"/>
          <w:sz w:val="24"/>
          <w:szCs w:val="24"/>
        </w:rPr>
      </w:pPr>
      <w:r>
        <w:rPr>
          <w:rFonts w:hint="eastAsia" w:cs="宋体"/>
          <w:sz w:val="24"/>
          <w:szCs w:val="24"/>
        </w:rPr>
        <w:t>25.5 响应性文件响应程度初步审查表</w:t>
      </w:r>
    </w:p>
    <w:p>
      <w:pPr>
        <w:pStyle w:val="24"/>
        <w:snapToGrid w:val="0"/>
        <w:spacing w:line="360" w:lineRule="auto"/>
        <w:jc w:val="left"/>
        <w:rPr>
          <w:rFonts w:cs="宋体"/>
          <w:sz w:val="24"/>
          <w:szCs w:val="21"/>
        </w:rPr>
      </w:pPr>
      <w:r>
        <w:rPr>
          <w:rFonts w:hint="eastAsia" w:cs="宋体"/>
          <w:sz w:val="24"/>
          <w:szCs w:val="21"/>
        </w:rPr>
        <w:t>1.资格性审查</w:t>
      </w:r>
    </w:p>
    <w:tbl>
      <w:tblPr>
        <w:tblStyle w:val="43"/>
        <w:tblW w:w="95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8"/>
        <w:gridCol w:w="7568"/>
        <w:gridCol w:w="435"/>
        <w:gridCol w:w="315"/>
        <w:gridCol w:w="435"/>
        <w:gridCol w:w="3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8026" w:type="dxa"/>
            <w:gridSpan w:val="2"/>
            <w:vMerge w:val="restart"/>
            <w:tcBorders>
              <w:right w:val="single" w:color="auto" w:sz="4" w:space="0"/>
            </w:tcBorders>
            <w:vAlign w:val="center"/>
          </w:tcPr>
          <w:p>
            <w:pPr>
              <w:pStyle w:val="24"/>
              <w:keepNext w:val="0"/>
              <w:keepLines w:val="0"/>
              <w:pageBreakBefore w:val="0"/>
              <w:widowControl w:val="0"/>
              <w:kinsoku/>
              <w:wordWrap/>
              <w:overflowPunct/>
              <w:topLinePunct w:val="0"/>
              <w:autoSpaceDE/>
              <w:autoSpaceDN/>
              <w:bidi w:val="0"/>
              <w:adjustRightInd/>
              <w:snapToGrid w:val="0"/>
              <w:spacing w:line="240" w:lineRule="auto"/>
              <w:textAlignment w:val="auto"/>
              <w:rPr>
                <w:rFonts w:cs="宋体"/>
                <w:sz w:val="24"/>
                <w:szCs w:val="24"/>
              </w:rPr>
            </w:pPr>
            <w:r>
              <w:rPr>
                <w:rFonts w:hint="eastAsia" w:cs="宋体"/>
                <w:sz w:val="24"/>
                <w:szCs w:val="24"/>
              </w:rPr>
              <w:t>评审内容</w:t>
            </w:r>
          </w:p>
        </w:tc>
        <w:tc>
          <w:tcPr>
            <w:tcW w:w="1530" w:type="dxa"/>
            <w:gridSpan w:val="4"/>
            <w:tcBorders>
              <w:left w:val="single" w:color="auto" w:sz="4" w:space="0"/>
              <w:bottom w:val="single" w:color="auto" w:sz="4" w:space="0"/>
            </w:tcBorders>
            <w:vAlign w:val="center"/>
          </w:tcPr>
          <w:p>
            <w:pPr>
              <w:pStyle w:val="24"/>
              <w:keepNext w:val="0"/>
              <w:keepLines w:val="0"/>
              <w:pageBreakBefore w:val="0"/>
              <w:widowControl w:val="0"/>
              <w:kinsoku/>
              <w:wordWrap/>
              <w:overflowPunct/>
              <w:topLinePunct w:val="0"/>
              <w:autoSpaceDE/>
              <w:autoSpaceDN/>
              <w:bidi w:val="0"/>
              <w:adjustRightInd/>
              <w:snapToGrid w:val="0"/>
              <w:spacing w:line="240" w:lineRule="auto"/>
              <w:textAlignment w:val="auto"/>
              <w:rPr>
                <w:rFonts w:cs="宋体"/>
                <w:sz w:val="24"/>
                <w:szCs w:val="24"/>
              </w:rPr>
            </w:pPr>
            <w:r>
              <w:rPr>
                <w:rFonts w:hint="eastAsia" w:cs="宋体"/>
                <w:sz w:val="24"/>
                <w:szCs w:val="24"/>
              </w:rPr>
              <w:t>供应商名称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8026" w:type="dxa"/>
            <w:gridSpan w:val="2"/>
            <w:vMerge w:val="continue"/>
            <w:tcBorders>
              <w:right w:val="single" w:color="auto" w:sz="4" w:space="0"/>
            </w:tcBorders>
            <w:vAlign w:val="center"/>
          </w:tcPr>
          <w:p>
            <w:pPr>
              <w:pStyle w:val="24"/>
              <w:keepNext w:val="0"/>
              <w:keepLines w:val="0"/>
              <w:pageBreakBefore w:val="0"/>
              <w:widowControl w:val="0"/>
              <w:kinsoku/>
              <w:wordWrap/>
              <w:overflowPunct/>
              <w:topLinePunct w:val="0"/>
              <w:autoSpaceDE/>
              <w:autoSpaceDN/>
              <w:bidi w:val="0"/>
              <w:adjustRightInd/>
              <w:snapToGrid w:val="0"/>
              <w:spacing w:line="240" w:lineRule="auto"/>
              <w:textAlignment w:val="auto"/>
              <w:rPr>
                <w:rFonts w:cs="宋体"/>
                <w:sz w:val="24"/>
                <w:szCs w:val="24"/>
              </w:rPr>
            </w:pPr>
          </w:p>
        </w:tc>
        <w:tc>
          <w:tcPr>
            <w:tcW w:w="435" w:type="dxa"/>
            <w:tcBorders>
              <w:top w:val="single" w:color="auto" w:sz="4" w:space="0"/>
              <w:left w:val="single" w:color="auto" w:sz="4" w:space="0"/>
              <w:right w:val="single" w:color="auto" w:sz="4" w:space="0"/>
            </w:tcBorders>
            <w:vAlign w:val="center"/>
          </w:tcPr>
          <w:p>
            <w:pPr>
              <w:pStyle w:val="24"/>
              <w:keepNext w:val="0"/>
              <w:keepLines w:val="0"/>
              <w:pageBreakBefore w:val="0"/>
              <w:widowControl w:val="0"/>
              <w:kinsoku/>
              <w:wordWrap/>
              <w:overflowPunct/>
              <w:topLinePunct w:val="0"/>
              <w:autoSpaceDE/>
              <w:autoSpaceDN/>
              <w:bidi w:val="0"/>
              <w:adjustRightInd/>
              <w:snapToGrid w:val="0"/>
              <w:spacing w:line="240" w:lineRule="auto"/>
              <w:textAlignment w:val="auto"/>
              <w:rPr>
                <w:rFonts w:cs="宋体"/>
                <w:sz w:val="24"/>
                <w:szCs w:val="24"/>
              </w:rPr>
            </w:pPr>
            <w:r>
              <w:rPr>
                <w:rFonts w:hint="eastAsia" w:cs="宋体"/>
                <w:sz w:val="24"/>
                <w:szCs w:val="24"/>
              </w:rPr>
              <w:t>1</w:t>
            </w:r>
          </w:p>
        </w:tc>
        <w:tc>
          <w:tcPr>
            <w:tcW w:w="315" w:type="dxa"/>
            <w:tcBorders>
              <w:top w:val="single" w:color="auto" w:sz="4" w:space="0"/>
              <w:left w:val="single" w:color="auto" w:sz="4" w:space="0"/>
            </w:tcBorders>
            <w:vAlign w:val="center"/>
          </w:tcPr>
          <w:p>
            <w:pPr>
              <w:pStyle w:val="24"/>
              <w:keepNext w:val="0"/>
              <w:keepLines w:val="0"/>
              <w:pageBreakBefore w:val="0"/>
              <w:widowControl w:val="0"/>
              <w:kinsoku/>
              <w:wordWrap/>
              <w:overflowPunct/>
              <w:topLinePunct w:val="0"/>
              <w:autoSpaceDE/>
              <w:autoSpaceDN/>
              <w:bidi w:val="0"/>
              <w:adjustRightInd/>
              <w:snapToGrid w:val="0"/>
              <w:spacing w:line="240" w:lineRule="auto"/>
              <w:textAlignment w:val="auto"/>
              <w:rPr>
                <w:rFonts w:cs="宋体"/>
                <w:sz w:val="24"/>
                <w:szCs w:val="24"/>
              </w:rPr>
            </w:pPr>
            <w:r>
              <w:rPr>
                <w:rFonts w:hint="eastAsia" w:cs="宋体"/>
                <w:sz w:val="24"/>
                <w:szCs w:val="24"/>
              </w:rPr>
              <w:t>2</w:t>
            </w:r>
          </w:p>
        </w:tc>
        <w:tc>
          <w:tcPr>
            <w:tcW w:w="435" w:type="dxa"/>
            <w:vAlign w:val="center"/>
          </w:tcPr>
          <w:p>
            <w:pPr>
              <w:pStyle w:val="24"/>
              <w:keepNext w:val="0"/>
              <w:keepLines w:val="0"/>
              <w:pageBreakBefore w:val="0"/>
              <w:widowControl w:val="0"/>
              <w:kinsoku/>
              <w:wordWrap/>
              <w:overflowPunct/>
              <w:topLinePunct w:val="0"/>
              <w:autoSpaceDE/>
              <w:autoSpaceDN/>
              <w:bidi w:val="0"/>
              <w:adjustRightInd/>
              <w:snapToGrid w:val="0"/>
              <w:spacing w:line="240" w:lineRule="auto"/>
              <w:textAlignment w:val="auto"/>
              <w:rPr>
                <w:rFonts w:cs="宋体"/>
                <w:sz w:val="24"/>
                <w:szCs w:val="24"/>
              </w:rPr>
            </w:pPr>
            <w:r>
              <w:rPr>
                <w:rFonts w:hint="eastAsia" w:cs="宋体"/>
                <w:sz w:val="24"/>
                <w:szCs w:val="24"/>
              </w:rPr>
              <w:t>3</w:t>
            </w:r>
          </w:p>
        </w:tc>
        <w:tc>
          <w:tcPr>
            <w:tcW w:w="345" w:type="dxa"/>
            <w:vAlign w:val="center"/>
          </w:tcPr>
          <w:p>
            <w:pPr>
              <w:pStyle w:val="24"/>
              <w:keepNext w:val="0"/>
              <w:keepLines w:val="0"/>
              <w:pageBreakBefore w:val="0"/>
              <w:widowControl w:val="0"/>
              <w:kinsoku/>
              <w:wordWrap/>
              <w:overflowPunct/>
              <w:topLinePunct w:val="0"/>
              <w:autoSpaceDE/>
              <w:autoSpaceDN/>
              <w:bidi w:val="0"/>
              <w:adjustRightInd/>
              <w:snapToGrid w:val="0"/>
              <w:spacing w:line="240" w:lineRule="auto"/>
              <w:textAlignment w:val="auto"/>
              <w:rPr>
                <w:rFonts w:cs="宋体"/>
                <w:sz w:val="24"/>
                <w:szCs w:val="24"/>
              </w:rPr>
            </w:pPr>
            <w:r>
              <w:rPr>
                <w:rFonts w:hint="eastAsia" w:cs="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458" w:type="dxa"/>
            <w:vAlign w:val="center"/>
          </w:tcPr>
          <w:p>
            <w:pPr>
              <w:pStyle w:val="24"/>
              <w:snapToGrid w:val="0"/>
              <w:spacing w:line="360" w:lineRule="auto"/>
              <w:rPr>
                <w:rFonts w:cs="宋体"/>
                <w:sz w:val="24"/>
                <w:szCs w:val="24"/>
              </w:rPr>
            </w:pPr>
            <w:r>
              <w:rPr>
                <w:rFonts w:hint="eastAsia" w:cs="宋体"/>
                <w:sz w:val="24"/>
                <w:szCs w:val="24"/>
              </w:rPr>
              <w:t>1</w:t>
            </w:r>
          </w:p>
        </w:tc>
        <w:tc>
          <w:tcPr>
            <w:tcW w:w="7568" w:type="dxa"/>
            <w:tcBorders>
              <w:right w:val="single" w:color="auto" w:sz="4" w:space="0"/>
            </w:tcBorders>
            <w:vAlign w:val="center"/>
          </w:tcPr>
          <w:p>
            <w:pPr>
              <w:pStyle w:val="24"/>
              <w:snapToGrid w:val="0"/>
              <w:spacing w:line="360" w:lineRule="auto"/>
              <w:rPr>
                <w:rFonts w:cs="宋体"/>
                <w:sz w:val="24"/>
                <w:szCs w:val="24"/>
              </w:rPr>
            </w:pPr>
            <w:r>
              <w:rPr>
                <w:rFonts w:hint="eastAsia" w:cs="宋体"/>
                <w:sz w:val="24"/>
                <w:szCs w:val="24"/>
              </w:rPr>
              <w:t>企业营业执照副本；</w:t>
            </w:r>
          </w:p>
        </w:tc>
        <w:tc>
          <w:tcPr>
            <w:tcW w:w="435" w:type="dxa"/>
            <w:tcBorders>
              <w:left w:val="single" w:color="auto" w:sz="4" w:space="0"/>
              <w:right w:val="single" w:color="auto" w:sz="4" w:space="0"/>
            </w:tcBorders>
            <w:vAlign w:val="center"/>
          </w:tcPr>
          <w:p>
            <w:pPr>
              <w:pStyle w:val="24"/>
              <w:snapToGrid w:val="0"/>
              <w:spacing w:line="360" w:lineRule="auto"/>
              <w:rPr>
                <w:rFonts w:cs="宋体"/>
                <w:sz w:val="24"/>
                <w:szCs w:val="24"/>
              </w:rPr>
            </w:pPr>
          </w:p>
        </w:tc>
        <w:tc>
          <w:tcPr>
            <w:tcW w:w="315" w:type="dxa"/>
            <w:tcBorders>
              <w:left w:val="single" w:color="auto" w:sz="4" w:space="0"/>
            </w:tcBorders>
            <w:vAlign w:val="center"/>
          </w:tcPr>
          <w:p>
            <w:pPr>
              <w:pStyle w:val="24"/>
              <w:snapToGrid w:val="0"/>
              <w:spacing w:line="360" w:lineRule="auto"/>
              <w:rPr>
                <w:rFonts w:cs="宋体"/>
                <w:sz w:val="24"/>
                <w:szCs w:val="24"/>
              </w:rPr>
            </w:pPr>
          </w:p>
        </w:tc>
        <w:tc>
          <w:tcPr>
            <w:tcW w:w="435" w:type="dxa"/>
            <w:tcBorders>
              <w:right w:val="single" w:color="auto" w:sz="4" w:space="0"/>
            </w:tcBorders>
            <w:vAlign w:val="center"/>
          </w:tcPr>
          <w:p>
            <w:pPr>
              <w:pStyle w:val="24"/>
              <w:snapToGrid w:val="0"/>
              <w:spacing w:line="360" w:lineRule="auto"/>
              <w:rPr>
                <w:rFonts w:cs="宋体"/>
                <w:sz w:val="24"/>
                <w:szCs w:val="24"/>
              </w:rPr>
            </w:pPr>
          </w:p>
        </w:tc>
        <w:tc>
          <w:tcPr>
            <w:tcW w:w="345" w:type="dxa"/>
            <w:tcBorders>
              <w:left w:val="single" w:color="auto" w:sz="4" w:space="0"/>
            </w:tcBorders>
            <w:vAlign w:val="center"/>
          </w:tcPr>
          <w:p>
            <w:pPr>
              <w:pStyle w:val="24"/>
              <w:snapToGrid w:val="0"/>
              <w:spacing w:line="360" w:lineRule="auto"/>
              <w:rPr>
                <w:rFonts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458" w:type="dxa"/>
            <w:vAlign w:val="center"/>
          </w:tcPr>
          <w:p>
            <w:pPr>
              <w:pStyle w:val="24"/>
              <w:snapToGrid w:val="0"/>
              <w:spacing w:line="360" w:lineRule="auto"/>
              <w:rPr>
                <w:rFonts w:cs="宋体"/>
                <w:sz w:val="24"/>
                <w:szCs w:val="24"/>
              </w:rPr>
            </w:pPr>
            <w:r>
              <w:rPr>
                <w:rFonts w:hint="eastAsia" w:cs="宋体"/>
                <w:sz w:val="24"/>
                <w:szCs w:val="24"/>
              </w:rPr>
              <w:t>2</w:t>
            </w:r>
          </w:p>
        </w:tc>
        <w:tc>
          <w:tcPr>
            <w:tcW w:w="7568" w:type="dxa"/>
            <w:tcBorders>
              <w:right w:val="single" w:color="auto" w:sz="4" w:space="0"/>
            </w:tcBorders>
            <w:vAlign w:val="center"/>
          </w:tcPr>
          <w:p>
            <w:pPr>
              <w:pStyle w:val="24"/>
              <w:snapToGrid w:val="0"/>
              <w:spacing w:line="360" w:lineRule="auto"/>
              <w:rPr>
                <w:rFonts w:cs="宋体"/>
                <w:sz w:val="24"/>
                <w:szCs w:val="24"/>
              </w:rPr>
            </w:pPr>
            <w:r>
              <w:rPr>
                <w:rFonts w:hint="eastAsia" w:cs="宋体"/>
                <w:sz w:val="24"/>
                <w:szCs w:val="24"/>
              </w:rPr>
              <w:t>供应商需具备《医疗器械经营许可证》或《医疗器械生产许可证》；</w:t>
            </w:r>
          </w:p>
        </w:tc>
        <w:tc>
          <w:tcPr>
            <w:tcW w:w="435" w:type="dxa"/>
            <w:tcBorders>
              <w:left w:val="single" w:color="auto" w:sz="4" w:space="0"/>
              <w:right w:val="single" w:color="auto" w:sz="4" w:space="0"/>
            </w:tcBorders>
            <w:vAlign w:val="center"/>
          </w:tcPr>
          <w:p>
            <w:pPr>
              <w:pStyle w:val="24"/>
              <w:snapToGrid w:val="0"/>
              <w:spacing w:line="360" w:lineRule="auto"/>
              <w:rPr>
                <w:rFonts w:cs="宋体"/>
                <w:sz w:val="24"/>
                <w:szCs w:val="24"/>
              </w:rPr>
            </w:pPr>
          </w:p>
        </w:tc>
        <w:tc>
          <w:tcPr>
            <w:tcW w:w="315" w:type="dxa"/>
            <w:tcBorders>
              <w:left w:val="single" w:color="auto" w:sz="4" w:space="0"/>
            </w:tcBorders>
            <w:vAlign w:val="center"/>
          </w:tcPr>
          <w:p>
            <w:pPr>
              <w:pStyle w:val="24"/>
              <w:snapToGrid w:val="0"/>
              <w:spacing w:line="360" w:lineRule="auto"/>
              <w:rPr>
                <w:rFonts w:cs="宋体"/>
                <w:sz w:val="24"/>
                <w:szCs w:val="24"/>
              </w:rPr>
            </w:pPr>
          </w:p>
        </w:tc>
        <w:tc>
          <w:tcPr>
            <w:tcW w:w="435" w:type="dxa"/>
            <w:tcBorders>
              <w:right w:val="single" w:color="auto" w:sz="4" w:space="0"/>
            </w:tcBorders>
            <w:vAlign w:val="center"/>
          </w:tcPr>
          <w:p>
            <w:pPr>
              <w:pStyle w:val="24"/>
              <w:snapToGrid w:val="0"/>
              <w:spacing w:line="360" w:lineRule="auto"/>
              <w:rPr>
                <w:rFonts w:cs="宋体"/>
                <w:sz w:val="24"/>
                <w:szCs w:val="24"/>
              </w:rPr>
            </w:pPr>
          </w:p>
        </w:tc>
        <w:tc>
          <w:tcPr>
            <w:tcW w:w="345" w:type="dxa"/>
            <w:tcBorders>
              <w:left w:val="single" w:color="auto" w:sz="4" w:space="0"/>
            </w:tcBorders>
            <w:vAlign w:val="center"/>
          </w:tcPr>
          <w:p>
            <w:pPr>
              <w:pStyle w:val="24"/>
              <w:snapToGrid w:val="0"/>
              <w:spacing w:line="360" w:lineRule="auto"/>
              <w:rPr>
                <w:rFonts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4" w:hRule="atLeast"/>
        </w:trPr>
        <w:tc>
          <w:tcPr>
            <w:tcW w:w="458" w:type="dxa"/>
            <w:vAlign w:val="center"/>
          </w:tcPr>
          <w:p>
            <w:pPr>
              <w:pStyle w:val="24"/>
              <w:snapToGrid w:val="0"/>
              <w:spacing w:line="360" w:lineRule="auto"/>
              <w:rPr>
                <w:rFonts w:cs="宋体"/>
                <w:sz w:val="24"/>
                <w:szCs w:val="24"/>
              </w:rPr>
            </w:pPr>
            <w:r>
              <w:rPr>
                <w:rFonts w:hint="eastAsia" w:cs="宋体"/>
                <w:sz w:val="24"/>
                <w:szCs w:val="24"/>
              </w:rPr>
              <w:t>3</w:t>
            </w:r>
          </w:p>
        </w:tc>
        <w:tc>
          <w:tcPr>
            <w:tcW w:w="7568" w:type="dxa"/>
            <w:tcBorders>
              <w:right w:val="single" w:color="auto" w:sz="4" w:space="0"/>
            </w:tcBorders>
            <w:vAlign w:val="center"/>
          </w:tcPr>
          <w:p>
            <w:pPr>
              <w:pStyle w:val="24"/>
              <w:snapToGrid w:val="0"/>
              <w:spacing w:line="360" w:lineRule="auto"/>
              <w:rPr>
                <w:rFonts w:cs="宋体"/>
                <w:sz w:val="24"/>
                <w:szCs w:val="24"/>
              </w:rPr>
            </w:pPr>
            <w:r>
              <w:rPr>
                <w:rFonts w:hint="eastAsia" w:cs="宋体"/>
                <w:sz w:val="24"/>
                <w:szCs w:val="24"/>
              </w:rPr>
              <w:t>无任何处罚，供应商企业信用证明，提供网站打印件加盖公章。（查询渠道：“信用中国”网站（www.creditchina.gov.cn）</w:t>
            </w:r>
            <w:r>
              <w:rPr>
                <w:rFonts w:hint="eastAsia" w:cs="宋体"/>
                <w:b/>
                <w:bCs/>
                <w:sz w:val="24"/>
                <w:szCs w:val="24"/>
              </w:rPr>
              <w:t>（下载信用信息报告后有“信用中国”水印为准）及中国政府采购网（www.ccgp.gov.cn）截屏信息查询无严重违法失信行为记录名单的打印件（“信用中国”下载水印时间、“中国政府采购网”截屏信息时间，需在本次采购公告发布后时间为准并加盖企业公章）；</w:t>
            </w:r>
          </w:p>
        </w:tc>
        <w:tc>
          <w:tcPr>
            <w:tcW w:w="435" w:type="dxa"/>
            <w:tcBorders>
              <w:left w:val="single" w:color="auto" w:sz="4" w:space="0"/>
              <w:right w:val="single" w:color="auto" w:sz="4" w:space="0"/>
            </w:tcBorders>
            <w:vAlign w:val="center"/>
          </w:tcPr>
          <w:p>
            <w:pPr>
              <w:pStyle w:val="24"/>
              <w:snapToGrid w:val="0"/>
              <w:spacing w:line="360" w:lineRule="auto"/>
              <w:rPr>
                <w:rFonts w:cs="宋体"/>
                <w:sz w:val="24"/>
                <w:szCs w:val="24"/>
              </w:rPr>
            </w:pPr>
          </w:p>
        </w:tc>
        <w:tc>
          <w:tcPr>
            <w:tcW w:w="315" w:type="dxa"/>
            <w:tcBorders>
              <w:left w:val="single" w:color="auto" w:sz="4" w:space="0"/>
            </w:tcBorders>
            <w:vAlign w:val="center"/>
          </w:tcPr>
          <w:p>
            <w:pPr>
              <w:pStyle w:val="24"/>
              <w:snapToGrid w:val="0"/>
              <w:spacing w:line="360" w:lineRule="auto"/>
              <w:rPr>
                <w:rFonts w:cs="宋体"/>
                <w:sz w:val="24"/>
                <w:szCs w:val="24"/>
              </w:rPr>
            </w:pPr>
          </w:p>
        </w:tc>
        <w:tc>
          <w:tcPr>
            <w:tcW w:w="435" w:type="dxa"/>
            <w:tcBorders>
              <w:right w:val="single" w:color="auto" w:sz="4" w:space="0"/>
            </w:tcBorders>
            <w:vAlign w:val="center"/>
          </w:tcPr>
          <w:p>
            <w:pPr>
              <w:pStyle w:val="24"/>
              <w:snapToGrid w:val="0"/>
              <w:spacing w:line="360" w:lineRule="auto"/>
              <w:rPr>
                <w:rFonts w:cs="宋体"/>
                <w:sz w:val="24"/>
                <w:szCs w:val="24"/>
              </w:rPr>
            </w:pPr>
          </w:p>
        </w:tc>
        <w:tc>
          <w:tcPr>
            <w:tcW w:w="345" w:type="dxa"/>
            <w:tcBorders>
              <w:left w:val="single" w:color="auto" w:sz="4" w:space="0"/>
            </w:tcBorders>
            <w:vAlign w:val="center"/>
          </w:tcPr>
          <w:p>
            <w:pPr>
              <w:pStyle w:val="24"/>
              <w:snapToGrid w:val="0"/>
              <w:spacing w:line="360" w:lineRule="auto"/>
              <w:rPr>
                <w:rFonts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458" w:type="dxa"/>
            <w:vAlign w:val="center"/>
          </w:tcPr>
          <w:p>
            <w:pPr>
              <w:pStyle w:val="24"/>
              <w:snapToGrid w:val="0"/>
              <w:spacing w:line="360" w:lineRule="auto"/>
              <w:rPr>
                <w:rFonts w:cs="宋体"/>
                <w:sz w:val="24"/>
                <w:szCs w:val="24"/>
              </w:rPr>
            </w:pPr>
            <w:r>
              <w:rPr>
                <w:rFonts w:hint="eastAsia" w:cs="宋体"/>
                <w:sz w:val="24"/>
                <w:szCs w:val="24"/>
              </w:rPr>
              <w:t>4</w:t>
            </w:r>
          </w:p>
        </w:tc>
        <w:tc>
          <w:tcPr>
            <w:tcW w:w="7568" w:type="dxa"/>
            <w:tcBorders>
              <w:right w:val="single" w:color="auto" w:sz="4" w:space="0"/>
            </w:tcBorders>
            <w:vAlign w:val="center"/>
          </w:tcPr>
          <w:p>
            <w:pPr>
              <w:pStyle w:val="91"/>
              <w:autoSpaceDE/>
              <w:autoSpaceDN/>
              <w:adjustRightInd/>
              <w:spacing w:line="360" w:lineRule="auto"/>
              <w:jc w:val="both"/>
              <w:rPr>
                <w:rFonts w:ascii="宋体" w:hAnsi="宋体" w:cs="宋体"/>
              </w:rPr>
            </w:pPr>
            <w:r>
              <w:rPr>
                <w:rFonts w:hint="eastAsia" w:ascii="宋体" w:hAnsi="宋体" w:cs="宋体"/>
                <w:color w:val="auto"/>
              </w:rPr>
              <w:t>授权委托人需提供《法定代表人授权委托书》复印件、法定代表人身份证复印件、被委托人身份证复印件；（其法定代表人前来的请提供《法定代表人身份证明书》复印件和法定代表人身份证复印件）；</w:t>
            </w:r>
          </w:p>
        </w:tc>
        <w:tc>
          <w:tcPr>
            <w:tcW w:w="435" w:type="dxa"/>
            <w:tcBorders>
              <w:left w:val="single" w:color="auto" w:sz="4" w:space="0"/>
              <w:right w:val="single" w:color="auto" w:sz="4" w:space="0"/>
            </w:tcBorders>
            <w:vAlign w:val="center"/>
          </w:tcPr>
          <w:p>
            <w:pPr>
              <w:pStyle w:val="24"/>
              <w:snapToGrid w:val="0"/>
              <w:spacing w:line="360" w:lineRule="auto"/>
              <w:rPr>
                <w:rFonts w:cs="宋体"/>
                <w:sz w:val="24"/>
                <w:szCs w:val="24"/>
              </w:rPr>
            </w:pPr>
          </w:p>
        </w:tc>
        <w:tc>
          <w:tcPr>
            <w:tcW w:w="315" w:type="dxa"/>
            <w:tcBorders>
              <w:left w:val="single" w:color="auto" w:sz="4" w:space="0"/>
            </w:tcBorders>
            <w:vAlign w:val="center"/>
          </w:tcPr>
          <w:p>
            <w:pPr>
              <w:pStyle w:val="24"/>
              <w:snapToGrid w:val="0"/>
              <w:spacing w:line="360" w:lineRule="auto"/>
              <w:rPr>
                <w:rFonts w:cs="宋体"/>
                <w:sz w:val="24"/>
                <w:szCs w:val="24"/>
              </w:rPr>
            </w:pPr>
          </w:p>
        </w:tc>
        <w:tc>
          <w:tcPr>
            <w:tcW w:w="435" w:type="dxa"/>
            <w:tcBorders>
              <w:right w:val="single" w:color="auto" w:sz="4" w:space="0"/>
            </w:tcBorders>
            <w:vAlign w:val="center"/>
          </w:tcPr>
          <w:p>
            <w:pPr>
              <w:pStyle w:val="24"/>
              <w:snapToGrid w:val="0"/>
              <w:spacing w:line="360" w:lineRule="auto"/>
              <w:rPr>
                <w:rFonts w:cs="宋体"/>
                <w:sz w:val="24"/>
                <w:szCs w:val="24"/>
              </w:rPr>
            </w:pPr>
          </w:p>
        </w:tc>
        <w:tc>
          <w:tcPr>
            <w:tcW w:w="345" w:type="dxa"/>
            <w:tcBorders>
              <w:left w:val="single" w:color="auto" w:sz="4" w:space="0"/>
            </w:tcBorders>
            <w:vAlign w:val="center"/>
          </w:tcPr>
          <w:p>
            <w:pPr>
              <w:pStyle w:val="24"/>
              <w:snapToGrid w:val="0"/>
              <w:spacing w:line="360" w:lineRule="auto"/>
              <w:rPr>
                <w:rFonts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7" w:hRule="atLeast"/>
        </w:trPr>
        <w:tc>
          <w:tcPr>
            <w:tcW w:w="458" w:type="dxa"/>
            <w:vAlign w:val="center"/>
          </w:tcPr>
          <w:p>
            <w:pPr>
              <w:pStyle w:val="24"/>
              <w:snapToGrid w:val="0"/>
              <w:spacing w:line="360" w:lineRule="auto"/>
              <w:rPr>
                <w:rFonts w:cs="宋体"/>
                <w:sz w:val="24"/>
                <w:szCs w:val="24"/>
              </w:rPr>
            </w:pPr>
            <w:r>
              <w:rPr>
                <w:rFonts w:hint="eastAsia" w:cs="宋体"/>
                <w:sz w:val="24"/>
                <w:szCs w:val="24"/>
              </w:rPr>
              <w:t>5</w:t>
            </w:r>
          </w:p>
        </w:tc>
        <w:tc>
          <w:tcPr>
            <w:tcW w:w="7568" w:type="dxa"/>
            <w:tcBorders>
              <w:right w:val="single" w:color="auto" w:sz="4" w:space="0"/>
            </w:tcBorders>
            <w:vAlign w:val="center"/>
          </w:tcPr>
          <w:p>
            <w:pPr>
              <w:pStyle w:val="24"/>
              <w:snapToGrid w:val="0"/>
              <w:spacing w:line="360" w:lineRule="auto"/>
              <w:rPr>
                <w:rFonts w:cs="宋体"/>
                <w:sz w:val="24"/>
                <w:szCs w:val="24"/>
              </w:rPr>
            </w:pPr>
            <w:r>
              <w:rPr>
                <w:rFonts w:hint="eastAsia" w:cs="宋体"/>
                <w:sz w:val="24"/>
                <w:szCs w:val="24"/>
              </w:rPr>
              <w:t>采购代理机构出具的磋商保证金收据及汇款凭证加盖公章；</w:t>
            </w:r>
          </w:p>
        </w:tc>
        <w:tc>
          <w:tcPr>
            <w:tcW w:w="435" w:type="dxa"/>
            <w:tcBorders>
              <w:left w:val="single" w:color="auto" w:sz="4" w:space="0"/>
              <w:right w:val="single" w:color="auto" w:sz="4" w:space="0"/>
            </w:tcBorders>
            <w:vAlign w:val="center"/>
          </w:tcPr>
          <w:p>
            <w:pPr>
              <w:pStyle w:val="24"/>
              <w:snapToGrid w:val="0"/>
              <w:spacing w:line="360" w:lineRule="auto"/>
              <w:rPr>
                <w:rFonts w:cs="宋体"/>
                <w:sz w:val="24"/>
                <w:szCs w:val="24"/>
              </w:rPr>
            </w:pPr>
          </w:p>
        </w:tc>
        <w:tc>
          <w:tcPr>
            <w:tcW w:w="315" w:type="dxa"/>
            <w:tcBorders>
              <w:left w:val="single" w:color="auto" w:sz="4" w:space="0"/>
            </w:tcBorders>
            <w:vAlign w:val="center"/>
          </w:tcPr>
          <w:p>
            <w:pPr>
              <w:pStyle w:val="24"/>
              <w:snapToGrid w:val="0"/>
              <w:spacing w:line="360" w:lineRule="auto"/>
              <w:rPr>
                <w:rFonts w:cs="宋体"/>
                <w:sz w:val="24"/>
                <w:szCs w:val="24"/>
              </w:rPr>
            </w:pPr>
          </w:p>
        </w:tc>
        <w:tc>
          <w:tcPr>
            <w:tcW w:w="435" w:type="dxa"/>
            <w:tcBorders>
              <w:right w:val="single" w:color="auto" w:sz="4" w:space="0"/>
            </w:tcBorders>
            <w:vAlign w:val="center"/>
          </w:tcPr>
          <w:p>
            <w:pPr>
              <w:pStyle w:val="24"/>
              <w:snapToGrid w:val="0"/>
              <w:spacing w:line="360" w:lineRule="auto"/>
              <w:rPr>
                <w:rFonts w:cs="宋体"/>
                <w:sz w:val="24"/>
                <w:szCs w:val="24"/>
              </w:rPr>
            </w:pPr>
          </w:p>
        </w:tc>
        <w:tc>
          <w:tcPr>
            <w:tcW w:w="345" w:type="dxa"/>
            <w:tcBorders>
              <w:left w:val="single" w:color="auto" w:sz="4" w:space="0"/>
            </w:tcBorders>
            <w:vAlign w:val="center"/>
          </w:tcPr>
          <w:p>
            <w:pPr>
              <w:pStyle w:val="24"/>
              <w:snapToGrid w:val="0"/>
              <w:spacing w:line="360" w:lineRule="auto"/>
              <w:rPr>
                <w:rFonts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458" w:type="dxa"/>
            <w:vAlign w:val="center"/>
          </w:tcPr>
          <w:p>
            <w:pPr>
              <w:pStyle w:val="24"/>
              <w:snapToGrid w:val="0"/>
              <w:spacing w:line="360" w:lineRule="auto"/>
              <w:rPr>
                <w:rFonts w:cs="宋体"/>
                <w:sz w:val="24"/>
                <w:szCs w:val="24"/>
              </w:rPr>
            </w:pPr>
            <w:r>
              <w:rPr>
                <w:rFonts w:hint="eastAsia" w:cs="宋体"/>
                <w:sz w:val="24"/>
                <w:szCs w:val="24"/>
              </w:rPr>
              <w:t>6</w:t>
            </w:r>
          </w:p>
        </w:tc>
        <w:tc>
          <w:tcPr>
            <w:tcW w:w="7568" w:type="dxa"/>
            <w:tcBorders>
              <w:right w:val="single" w:color="auto" w:sz="4" w:space="0"/>
            </w:tcBorders>
            <w:vAlign w:val="center"/>
          </w:tcPr>
          <w:p>
            <w:pPr>
              <w:pStyle w:val="91"/>
              <w:autoSpaceDE/>
              <w:autoSpaceDN/>
              <w:adjustRightInd/>
              <w:spacing w:line="360" w:lineRule="auto"/>
              <w:jc w:val="both"/>
              <w:rPr>
                <w:rFonts w:ascii="宋体" w:hAnsi="宋体" w:cs="宋体"/>
              </w:rPr>
            </w:pPr>
            <w:r>
              <w:rPr>
                <w:rFonts w:hint="eastAsia" w:ascii="宋体" w:hAnsi="宋体" w:cs="宋体"/>
                <w:color w:val="auto"/>
              </w:rPr>
              <w:t>提供供应商2020年的财务审计报告或提供有效银行资信证明</w:t>
            </w:r>
            <w:r>
              <w:rPr>
                <w:rFonts w:hint="eastAsia" w:ascii="宋体" w:hAnsi="宋体" w:cs="宋体"/>
                <w:shd w:val="clear" w:color="auto" w:fill="FFFFFF"/>
              </w:rPr>
              <w:t>（银行资信证明时间需是本项目采购公告发布后的时间）</w:t>
            </w:r>
            <w:r>
              <w:rPr>
                <w:rFonts w:hint="eastAsia" w:ascii="宋体" w:hAnsi="宋体" w:cs="宋体"/>
                <w:color w:val="auto"/>
              </w:rPr>
              <w:t>；</w:t>
            </w:r>
          </w:p>
        </w:tc>
        <w:tc>
          <w:tcPr>
            <w:tcW w:w="435" w:type="dxa"/>
            <w:tcBorders>
              <w:left w:val="single" w:color="auto" w:sz="4" w:space="0"/>
              <w:right w:val="single" w:color="auto" w:sz="4" w:space="0"/>
            </w:tcBorders>
            <w:vAlign w:val="center"/>
          </w:tcPr>
          <w:p>
            <w:pPr>
              <w:pStyle w:val="24"/>
              <w:snapToGrid w:val="0"/>
              <w:spacing w:line="360" w:lineRule="auto"/>
              <w:rPr>
                <w:rFonts w:cs="宋体"/>
                <w:sz w:val="24"/>
                <w:szCs w:val="24"/>
              </w:rPr>
            </w:pPr>
          </w:p>
        </w:tc>
        <w:tc>
          <w:tcPr>
            <w:tcW w:w="315" w:type="dxa"/>
            <w:tcBorders>
              <w:left w:val="single" w:color="auto" w:sz="4" w:space="0"/>
            </w:tcBorders>
            <w:vAlign w:val="center"/>
          </w:tcPr>
          <w:p>
            <w:pPr>
              <w:pStyle w:val="24"/>
              <w:snapToGrid w:val="0"/>
              <w:spacing w:line="360" w:lineRule="auto"/>
              <w:rPr>
                <w:rFonts w:cs="宋体"/>
                <w:sz w:val="24"/>
                <w:szCs w:val="24"/>
              </w:rPr>
            </w:pPr>
          </w:p>
        </w:tc>
        <w:tc>
          <w:tcPr>
            <w:tcW w:w="435" w:type="dxa"/>
            <w:tcBorders>
              <w:right w:val="single" w:color="auto" w:sz="4" w:space="0"/>
            </w:tcBorders>
            <w:vAlign w:val="center"/>
          </w:tcPr>
          <w:p>
            <w:pPr>
              <w:pStyle w:val="24"/>
              <w:snapToGrid w:val="0"/>
              <w:spacing w:line="360" w:lineRule="auto"/>
              <w:rPr>
                <w:rFonts w:cs="宋体"/>
                <w:sz w:val="24"/>
                <w:szCs w:val="24"/>
              </w:rPr>
            </w:pPr>
          </w:p>
        </w:tc>
        <w:tc>
          <w:tcPr>
            <w:tcW w:w="345" w:type="dxa"/>
            <w:tcBorders>
              <w:left w:val="single" w:color="auto" w:sz="4" w:space="0"/>
            </w:tcBorders>
            <w:vAlign w:val="center"/>
          </w:tcPr>
          <w:p>
            <w:pPr>
              <w:pStyle w:val="24"/>
              <w:snapToGrid w:val="0"/>
              <w:spacing w:line="360" w:lineRule="auto"/>
              <w:rPr>
                <w:rFonts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1" w:hRule="atLeast"/>
        </w:trPr>
        <w:tc>
          <w:tcPr>
            <w:tcW w:w="458" w:type="dxa"/>
            <w:vAlign w:val="center"/>
          </w:tcPr>
          <w:p>
            <w:pPr>
              <w:pStyle w:val="24"/>
              <w:snapToGrid w:val="0"/>
              <w:spacing w:line="360" w:lineRule="auto"/>
              <w:rPr>
                <w:rFonts w:cs="宋体"/>
                <w:sz w:val="24"/>
                <w:szCs w:val="24"/>
              </w:rPr>
            </w:pPr>
            <w:r>
              <w:rPr>
                <w:rFonts w:hint="eastAsia" w:cs="宋体"/>
                <w:sz w:val="24"/>
                <w:szCs w:val="24"/>
              </w:rPr>
              <w:t>7</w:t>
            </w:r>
          </w:p>
        </w:tc>
        <w:tc>
          <w:tcPr>
            <w:tcW w:w="7568" w:type="dxa"/>
            <w:tcBorders>
              <w:right w:val="single" w:color="auto" w:sz="4" w:space="0"/>
            </w:tcBorders>
            <w:vAlign w:val="center"/>
          </w:tcPr>
          <w:p>
            <w:pPr>
              <w:pStyle w:val="24"/>
              <w:snapToGrid w:val="0"/>
              <w:spacing w:line="360" w:lineRule="auto"/>
              <w:rPr>
                <w:rFonts w:cs="宋体"/>
                <w:sz w:val="24"/>
                <w:szCs w:val="24"/>
              </w:rPr>
            </w:pPr>
            <w:r>
              <w:rPr>
                <w:rFonts w:hint="eastAsia" w:cs="宋体"/>
                <w:sz w:val="24"/>
                <w:szCs w:val="24"/>
              </w:rPr>
              <w:t>供应商《反商业贿赂承诺书》加盖公章；</w:t>
            </w:r>
          </w:p>
        </w:tc>
        <w:tc>
          <w:tcPr>
            <w:tcW w:w="435" w:type="dxa"/>
            <w:tcBorders>
              <w:left w:val="single" w:color="auto" w:sz="4" w:space="0"/>
              <w:right w:val="single" w:color="auto" w:sz="4" w:space="0"/>
            </w:tcBorders>
            <w:vAlign w:val="center"/>
          </w:tcPr>
          <w:p>
            <w:pPr>
              <w:pStyle w:val="24"/>
              <w:snapToGrid w:val="0"/>
              <w:spacing w:line="360" w:lineRule="auto"/>
              <w:rPr>
                <w:rFonts w:cs="宋体"/>
                <w:sz w:val="24"/>
                <w:szCs w:val="24"/>
              </w:rPr>
            </w:pPr>
          </w:p>
        </w:tc>
        <w:tc>
          <w:tcPr>
            <w:tcW w:w="315" w:type="dxa"/>
            <w:tcBorders>
              <w:left w:val="single" w:color="auto" w:sz="4" w:space="0"/>
            </w:tcBorders>
            <w:vAlign w:val="center"/>
          </w:tcPr>
          <w:p>
            <w:pPr>
              <w:pStyle w:val="24"/>
              <w:snapToGrid w:val="0"/>
              <w:spacing w:line="360" w:lineRule="auto"/>
              <w:rPr>
                <w:rFonts w:cs="宋体"/>
                <w:sz w:val="24"/>
                <w:szCs w:val="24"/>
              </w:rPr>
            </w:pPr>
          </w:p>
        </w:tc>
        <w:tc>
          <w:tcPr>
            <w:tcW w:w="435" w:type="dxa"/>
            <w:tcBorders>
              <w:right w:val="single" w:color="auto" w:sz="4" w:space="0"/>
            </w:tcBorders>
            <w:vAlign w:val="center"/>
          </w:tcPr>
          <w:p>
            <w:pPr>
              <w:pStyle w:val="24"/>
              <w:snapToGrid w:val="0"/>
              <w:spacing w:line="360" w:lineRule="auto"/>
              <w:rPr>
                <w:rFonts w:cs="宋体"/>
                <w:sz w:val="24"/>
                <w:szCs w:val="24"/>
              </w:rPr>
            </w:pPr>
          </w:p>
        </w:tc>
        <w:tc>
          <w:tcPr>
            <w:tcW w:w="345" w:type="dxa"/>
            <w:tcBorders>
              <w:left w:val="single" w:color="auto" w:sz="4" w:space="0"/>
            </w:tcBorders>
            <w:vAlign w:val="center"/>
          </w:tcPr>
          <w:p>
            <w:pPr>
              <w:pStyle w:val="24"/>
              <w:snapToGrid w:val="0"/>
              <w:spacing w:line="360" w:lineRule="auto"/>
              <w:rPr>
                <w:rFonts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026" w:type="dxa"/>
            <w:gridSpan w:val="2"/>
            <w:tcBorders>
              <w:right w:val="single" w:color="auto" w:sz="4" w:space="0"/>
            </w:tcBorders>
            <w:vAlign w:val="center"/>
          </w:tcPr>
          <w:p>
            <w:pPr>
              <w:pStyle w:val="24"/>
              <w:snapToGrid w:val="0"/>
              <w:spacing w:line="360" w:lineRule="auto"/>
              <w:rPr>
                <w:rFonts w:cs="宋体"/>
                <w:sz w:val="24"/>
                <w:szCs w:val="24"/>
              </w:rPr>
            </w:pPr>
            <w:r>
              <w:rPr>
                <w:rFonts w:hint="eastAsia" w:cs="宋体"/>
                <w:sz w:val="24"/>
                <w:szCs w:val="24"/>
              </w:rPr>
              <w:t>结论：是否通过评审</w:t>
            </w:r>
          </w:p>
        </w:tc>
        <w:tc>
          <w:tcPr>
            <w:tcW w:w="435" w:type="dxa"/>
            <w:tcBorders>
              <w:left w:val="single" w:color="auto" w:sz="4" w:space="0"/>
              <w:right w:val="single" w:color="auto" w:sz="4" w:space="0"/>
            </w:tcBorders>
            <w:vAlign w:val="center"/>
          </w:tcPr>
          <w:p>
            <w:pPr>
              <w:pStyle w:val="24"/>
              <w:snapToGrid w:val="0"/>
              <w:spacing w:line="360" w:lineRule="auto"/>
              <w:rPr>
                <w:rFonts w:cs="宋体"/>
                <w:sz w:val="24"/>
                <w:szCs w:val="24"/>
              </w:rPr>
            </w:pPr>
          </w:p>
        </w:tc>
        <w:tc>
          <w:tcPr>
            <w:tcW w:w="315" w:type="dxa"/>
            <w:tcBorders>
              <w:left w:val="single" w:color="auto" w:sz="4" w:space="0"/>
            </w:tcBorders>
            <w:vAlign w:val="center"/>
          </w:tcPr>
          <w:p>
            <w:pPr>
              <w:pStyle w:val="24"/>
              <w:snapToGrid w:val="0"/>
              <w:spacing w:line="360" w:lineRule="auto"/>
              <w:rPr>
                <w:rFonts w:cs="宋体"/>
                <w:sz w:val="24"/>
                <w:szCs w:val="24"/>
              </w:rPr>
            </w:pPr>
          </w:p>
        </w:tc>
        <w:tc>
          <w:tcPr>
            <w:tcW w:w="435" w:type="dxa"/>
            <w:vAlign w:val="center"/>
          </w:tcPr>
          <w:p>
            <w:pPr>
              <w:pStyle w:val="24"/>
              <w:snapToGrid w:val="0"/>
              <w:spacing w:line="360" w:lineRule="auto"/>
              <w:rPr>
                <w:rFonts w:cs="宋体"/>
                <w:sz w:val="24"/>
                <w:szCs w:val="24"/>
              </w:rPr>
            </w:pPr>
          </w:p>
        </w:tc>
        <w:tc>
          <w:tcPr>
            <w:tcW w:w="345" w:type="dxa"/>
            <w:vAlign w:val="center"/>
          </w:tcPr>
          <w:p>
            <w:pPr>
              <w:pStyle w:val="24"/>
              <w:snapToGrid w:val="0"/>
              <w:spacing w:line="360" w:lineRule="auto"/>
              <w:rPr>
                <w:rFonts w:cs="宋体"/>
                <w:sz w:val="24"/>
                <w:szCs w:val="24"/>
              </w:rPr>
            </w:pPr>
          </w:p>
        </w:tc>
      </w:tr>
    </w:tbl>
    <w:p>
      <w:pPr>
        <w:pStyle w:val="24"/>
        <w:snapToGrid w:val="0"/>
        <w:spacing w:line="360" w:lineRule="auto"/>
        <w:rPr>
          <w:rFonts w:cs="宋体"/>
          <w:sz w:val="24"/>
          <w:szCs w:val="21"/>
        </w:rPr>
      </w:pPr>
      <w:r>
        <w:rPr>
          <w:rFonts w:hint="eastAsia" w:cs="宋体"/>
          <w:sz w:val="24"/>
          <w:szCs w:val="21"/>
        </w:rPr>
        <w:t>2.符合性审查</w:t>
      </w:r>
    </w:p>
    <w:tbl>
      <w:tblPr>
        <w:tblStyle w:val="43"/>
        <w:tblW w:w="96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8"/>
        <w:gridCol w:w="7648"/>
        <w:gridCol w:w="439"/>
        <w:gridCol w:w="323"/>
        <w:gridCol w:w="401"/>
        <w:gridCol w:w="3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8156" w:type="dxa"/>
            <w:gridSpan w:val="2"/>
            <w:vMerge w:val="restart"/>
            <w:tcBorders>
              <w:right w:val="single" w:color="auto" w:sz="4" w:space="0"/>
            </w:tcBorders>
            <w:vAlign w:val="center"/>
          </w:tcPr>
          <w:p>
            <w:pPr>
              <w:pStyle w:val="24"/>
              <w:snapToGrid w:val="0"/>
              <w:spacing w:line="240" w:lineRule="auto"/>
              <w:jc w:val="center"/>
              <w:rPr>
                <w:rFonts w:cs="宋体"/>
                <w:sz w:val="24"/>
                <w:szCs w:val="24"/>
              </w:rPr>
            </w:pPr>
            <w:r>
              <w:rPr>
                <w:rFonts w:hint="eastAsia" w:cs="宋体"/>
                <w:sz w:val="24"/>
                <w:szCs w:val="24"/>
              </w:rPr>
              <w:t>评审内容</w:t>
            </w:r>
          </w:p>
        </w:tc>
        <w:tc>
          <w:tcPr>
            <w:tcW w:w="1535" w:type="dxa"/>
            <w:gridSpan w:val="4"/>
            <w:tcBorders>
              <w:left w:val="single" w:color="auto" w:sz="4" w:space="0"/>
              <w:bottom w:val="single" w:color="auto" w:sz="4" w:space="0"/>
            </w:tcBorders>
            <w:vAlign w:val="center"/>
          </w:tcPr>
          <w:p>
            <w:pPr>
              <w:pStyle w:val="24"/>
              <w:snapToGrid w:val="0"/>
              <w:spacing w:line="240" w:lineRule="auto"/>
              <w:jc w:val="center"/>
              <w:rPr>
                <w:rFonts w:cs="宋体"/>
                <w:sz w:val="24"/>
                <w:szCs w:val="24"/>
              </w:rPr>
            </w:pPr>
            <w:r>
              <w:rPr>
                <w:rFonts w:hint="eastAsia" w:cs="宋体"/>
                <w:sz w:val="24"/>
                <w:szCs w:val="24"/>
              </w:rPr>
              <w:t>供应商名称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156" w:type="dxa"/>
            <w:gridSpan w:val="2"/>
            <w:vMerge w:val="continue"/>
            <w:tcBorders>
              <w:right w:val="single" w:color="auto" w:sz="4" w:space="0"/>
            </w:tcBorders>
            <w:vAlign w:val="center"/>
          </w:tcPr>
          <w:p>
            <w:pPr>
              <w:pStyle w:val="24"/>
              <w:snapToGrid w:val="0"/>
              <w:spacing w:line="240" w:lineRule="auto"/>
              <w:rPr>
                <w:rFonts w:cs="宋体"/>
                <w:sz w:val="24"/>
                <w:szCs w:val="24"/>
              </w:rPr>
            </w:pPr>
          </w:p>
        </w:tc>
        <w:tc>
          <w:tcPr>
            <w:tcW w:w="439" w:type="dxa"/>
            <w:tcBorders>
              <w:top w:val="single" w:color="auto" w:sz="4" w:space="0"/>
              <w:left w:val="single" w:color="auto" w:sz="4" w:space="0"/>
              <w:right w:val="single" w:color="auto" w:sz="4" w:space="0"/>
            </w:tcBorders>
            <w:vAlign w:val="center"/>
          </w:tcPr>
          <w:p>
            <w:pPr>
              <w:pStyle w:val="24"/>
              <w:snapToGrid w:val="0"/>
              <w:spacing w:line="240" w:lineRule="auto"/>
              <w:jc w:val="center"/>
              <w:rPr>
                <w:rFonts w:cs="宋体"/>
                <w:sz w:val="24"/>
                <w:szCs w:val="24"/>
              </w:rPr>
            </w:pPr>
            <w:r>
              <w:rPr>
                <w:rFonts w:hint="eastAsia" w:cs="宋体"/>
                <w:sz w:val="24"/>
                <w:szCs w:val="24"/>
              </w:rPr>
              <w:t>1</w:t>
            </w:r>
          </w:p>
        </w:tc>
        <w:tc>
          <w:tcPr>
            <w:tcW w:w="323" w:type="dxa"/>
            <w:tcBorders>
              <w:top w:val="single" w:color="auto" w:sz="4" w:space="0"/>
              <w:left w:val="single" w:color="auto" w:sz="4" w:space="0"/>
            </w:tcBorders>
            <w:vAlign w:val="center"/>
          </w:tcPr>
          <w:p>
            <w:pPr>
              <w:pStyle w:val="24"/>
              <w:snapToGrid w:val="0"/>
              <w:spacing w:line="240" w:lineRule="auto"/>
              <w:jc w:val="center"/>
              <w:rPr>
                <w:rFonts w:cs="宋体"/>
                <w:sz w:val="24"/>
                <w:szCs w:val="24"/>
              </w:rPr>
            </w:pPr>
            <w:r>
              <w:rPr>
                <w:rFonts w:hint="eastAsia" w:cs="宋体"/>
                <w:sz w:val="24"/>
                <w:szCs w:val="24"/>
              </w:rPr>
              <w:t>2</w:t>
            </w:r>
          </w:p>
        </w:tc>
        <w:tc>
          <w:tcPr>
            <w:tcW w:w="401" w:type="dxa"/>
            <w:vAlign w:val="center"/>
          </w:tcPr>
          <w:p>
            <w:pPr>
              <w:pStyle w:val="24"/>
              <w:snapToGrid w:val="0"/>
              <w:spacing w:line="240" w:lineRule="auto"/>
              <w:jc w:val="center"/>
              <w:rPr>
                <w:rFonts w:cs="宋体"/>
                <w:sz w:val="24"/>
                <w:szCs w:val="24"/>
              </w:rPr>
            </w:pPr>
            <w:r>
              <w:rPr>
                <w:rFonts w:hint="eastAsia" w:cs="宋体"/>
                <w:sz w:val="24"/>
                <w:szCs w:val="24"/>
              </w:rPr>
              <w:t>3</w:t>
            </w:r>
          </w:p>
        </w:tc>
        <w:tc>
          <w:tcPr>
            <w:tcW w:w="372" w:type="dxa"/>
            <w:vAlign w:val="center"/>
          </w:tcPr>
          <w:p>
            <w:pPr>
              <w:pStyle w:val="24"/>
              <w:snapToGrid w:val="0"/>
              <w:spacing w:line="240" w:lineRule="auto"/>
              <w:jc w:val="center"/>
              <w:rPr>
                <w:rFonts w:cs="宋体"/>
                <w:sz w:val="24"/>
                <w:szCs w:val="24"/>
              </w:rPr>
            </w:pPr>
            <w:r>
              <w:rPr>
                <w:rFonts w:hint="eastAsia" w:cs="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508" w:type="dxa"/>
            <w:vAlign w:val="center"/>
          </w:tcPr>
          <w:p>
            <w:pPr>
              <w:pStyle w:val="24"/>
              <w:snapToGrid w:val="0"/>
              <w:spacing w:line="0" w:lineRule="atLeast"/>
              <w:jc w:val="center"/>
              <w:rPr>
                <w:rFonts w:cs="宋体"/>
                <w:sz w:val="24"/>
                <w:szCs w:val="24"/>
              </w:rPr>
            </w:pPr>
            <w:r>
              <w:rPr>
                <w:rFonts w:hint="eastAsia" w:cs="宋体"/>
                <w:sz w:val="24"/>
                <w:szCs w:val="24"/>
              </w:rPr>
              <w:t>1</w:t>
            </w:r>
          </w:p>
        </w:tc>
        <w:tc>
          <w:tcPr>
            <w:tcW w:w="7648" w:type="dxa"/>
            <w:tcBorders>
              <w:right w:val="single" w:color="auto" w:sz="4" w:space="0"/>
            </w:tcBorders>
            <w:vAlign w:val="center"/>
          </w:tcPr>
          <w:p>
            <w:pPr>
              <w:pStyle w:val="24"/>
              <w:snapToGrid w:val="0"/>
              <w:spacing w:line="0" w:lineRule="atLeast"/>
              <w:jc w:val="left"/>
              <w:rPr>
                <w:rFonts w:cs="宋体"/>
                <w:sz w:val="24"/>
                <w:szCs w:val="24"/>
              </w:rPr>
            </w:pPr>
            <w:r>
              <w:rPr>
                <w:rFonts w:hint="eastAsia" w:cs="宋体"/>
                <w:sz w:val="24"/>
                <w:szCs w:val="24"/>
              </w:rPr>
              <w:t>所有响应文件是否有单位盖章及法定代表人或法定代表人授权的代理人签字的；</w:t>
            </w:r>
          </w:p>
        </w:tc>
        <w:tc>
          <w:tcPr>
            <w:tcW w:w="439" w:type="dxa"/>
            <w:tcBorders>
              <w:left w:val="single" w:color="auto" w:sz="4" w:space="0"/>
              <w:right w:val="single" w:color="auto" w:sz="4" w:space="0"/>
            </w:tcBorders>
            <w:vAlign w:val="center"/>
          </w:tcPr>
          <w:p>
            <w:pPr>
              <w:pStyle w:val="24"/>
              <w:snapToGrid w:val="0"/>
              <w:spacing w:line="0" w:lineRule="atLeast"/>
              <w:rPr>
                <w:rFonts w:cs="宋体"/>
                <w:sz w:val="24"/>
                <w:szCs w:val="24"/>
              </w:rPr>
            </w:pPr>
          </w:p>
        </w:tc>
        <w:tc>
          <w:tcPr>
            <w:tcW w:w="323" w:type="dxa"/>
            <w:tcBorders>
              <w:left w:val="single" w:color="auto" w:sz="4" w:space="0"/>
            </w:tcBorders>
            <w:vAlign w:val="center"/>
          </w:tcPr>
          <w:p>
            <w:pPr>
              <w:pStyle w:val="24"/>
              <w:snapToGrid w:val="0"/>
              <w:spacing w:line="0" w:lineRule="atLeast"/>
              <w:rPr>
                <w:rFonts w:cs="宋体"/>
                <w:sz w:val="24"/>
                <w:szCs w:val="24"/>
              </w:rPr>
            </w:pPr>
          </w:p>
        </w:tc>
        <w:tc>
          <w:tcPr>
            <w:tcW w:w="401" w:type="dxa"/>
            <w:tcBorders>
              <w:right w:val="single" w:color="auto" w:sz="4" w:space="0"/>
            </w:tcBorders>
            <w:vAlign w:val="center"/>
          </w:tcPr>
          <w:p>
            <w:pPr>
              <w:pStyle w:val="24"/>
              <w:snapToGrid w:val="0"/>
              <w:spacing w:line="0" w:lineRule="atLeast"/>
              <w:rPr>
                <w:rFonts w:cs="宋体"/>
                <w:sz w:val="24"/>
                <w:szCs w:val="24"/>
              </w:rPr>
            </w:pPr>
          </w:p>
        </w:tc>
        <w:tc>
          <w:tcPr>
            <w:tcW w:w="372" w:type="dxa"/>
            <w:tcBorders>
              <w:left w:val="single" w:color="auto" w:sz="4" w:space="0"/>
            </w:tcBorders>
            <w:vAlign w:val="center"/>
          </w:tcPr>
          <w:p>
            <w:pPr>
              <w:pStyle w:val="24"/>
              <w:snapToGrid w:val="0"/>
              <w:spacing w:line="0" w:lineRule="atLeast"/>
              <w:rPr>
                <w:rFonts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508" w:type="dxa"/>
            <w:vAlign w:val="center"/>
          </w:tcPr>
          <w:p>
            <w:pPr>
              <w:pStyle w:val="24"/>
              <w:snapToGrid w:val="0"/>
              <w:spacing w:line="0" w:lineRule="atLeast"/>
              <w:jc w:val="center"/>
              <w:rPr>
                <w:rFonts w:cs="宋体"/>
                <w:sz w:val="24"/>
                <w:szCs w:val="24"/>
              </w:rPr>
            </w:pPr>
            <w:r>
              <w:rPr>
                <w:rFonts w:hint="eastAsia" w:cs="宋体"/>
                <w:sz w:val="24"/>
                <w:szCs w:val="24"/>
              </w:rPr>
              <w:t>2</w:t>
            </w:r>
          </w:p>
        </w:tc>
        <w:tc>
          <w:tcPr>
            <w:tcW w:w="7648" w:type="dxa"/>
            <w:tcBorders>
              <w:right w:val="single" w:color="auto" w:sz="4" w:space="0"/>
            </w:tcBorders>
            <w:vAlign w:val="center"/>
          </w:tcPr>
          <w:p>
            <w:pPr>
              <w:pStyle w:val="24"/>
              <w:snapToGrid w:val="0"/>
              <w:spacing w:line="0" w:lineRule="atLeast"/>
              <w:jc w:val="left"/>
              <w:rPr>
                <w:rFonts w:cs="宋体"/>
                <w:sz w:val="24"/>
                <w:szCs w:val="24"/>
              </w:rPr>
            </w:pPr>
            <w:r>
              <w:rPr>
                <w:rFonts w:hint="eastAsia" w:cs="宋体"/>
                <w:sz w:val="24"/>
                <w:szCs w:val="24"/>
              </w:rPr>
              <w:t>是否提供法定代表人授权委托书或法定代表人证明文件；</w:t>
            </w:r>
          </w:p>
        </w:tc>
        <w:tc>
          <w:tcPr>
            <w:tcW w:w="439" w:type="dxa"/>
            <w:tcBorders>
              <w:left w:val="single" w:color="auto" w:sz="4" w:space="0"/>
              <w:right w:val="single" w:color="auto" w:sz="4" w:space="0"/>
            </w:tcBorders>
            <w:vAlign w:val="center"/>
          </w:tcPr>
          <w:p>
            <w:pPr>
              <w:pStyle w:val="24"/>
              <w:snapToGrid w:val="0"/>
              <w:spacing w:line="0" w:lineRule="atLeast"/>
              <w:rPr>
                <w:rFonts w:cs="宋体"/>
                <w:sz w:val="24"/>
                <w:szCs w:val="24"/>
              </w:rPr>
            </w:pPr>
          </w:p>
        </w:tc>
        <w:tc>
          <w:tcPr>
            <w:tcW w:w="323" w:type="dxa"/>
            <w:tcBorders>
              <w:left w:val="single" w:color="auto" w:sz="4" w:space="0"/>
            </w:tcBorders>
            <w:vAlign w:val="center"/>
          </w:tcPr>
          <w:p>
            <w:pPr>
              <w:pStyle w:val="24"/>
              <w:snapToGrid w:val="0"/>
              <w:spacing w:line="0" w:lineRule="atLeast"/>
              <w:rPr>
                <w:rFonts w:cs="宋体"/>
                <w:sz w:val="24"/>
                <w:szCs w:val="24"/>
              </w:rPr>
            </w:pPr>
          </w:p>
        </w:tc>
        <w:tc>
          <w:tcPr>
            <w:tcW w:w="401" w:type="dxa"/>
            <w:tcBorders>
              <w:right w:val="single" w:color="auto" w:sz="4" w:space="0"/>
            </w:tcBorders>
            <w:vAlign w:val="center"/>
          </w:tcPr>
          <w:p>
            <w:pPr>
              <w:pStyle w:val="24"/>
              <w:snapToGrid w:val="0"/>
              <w:spacing w:line="0" w:lineRule="atLeast"/>
              <w:rPr>
                <w:rFonts w:cs="宋体"/>
                <w:sz w:val="24"/>
                <w:szCs w:val="24"/>
              </w:rPr>
            </w:pPr>
          </w:p>
        </w:tc>
        <w:tc>
          <w:tcPr>
            <w:tcW w:w="372" w:type="dxa"/>
            <w:tcBorders>
              <w:left w:val="single" w:color="auto" w:sz="4" w:space="0"/>
            </w:tcBorders>
            <w:vAlign w:val="center"/>
          </w:tcPr>
          <w:p>
            <w:pPr>
              <w:pStyle w:val="24"/>
              <w:snapToGrid w:val="0"/>
              <w:spacing w:line="0" w:lineRule="atLeast"/>
              <w:rPr>
                <w:rFonts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08" w:type="dxa"/>
            <w:vAlign w:val="center"/>
          </w:tcPr>
          <w:p>
            <w:pPr>
              <w:pStyle w:val="24"/>
              <w:snapToGrid w:val="0"/>
              <w:spacing w:line="0" w:lineRule="atLeast"/>
              <w:jc w:val="center"/>
              <w:rPr>
                <w:rFonts w:cs="宋体"/>
                <w:sz w:val="24"/>
                <w:szCs w:val="24"/>
              </w:rPr>
            </w:pPr>
            <w:r>
              <w:rPr>
                <w:rFonts w:hint="eastAsia" w:cs="宋体"/>
                <w:sz w:val="24"/>
                <w:szCs w:val="24"/>
              </w:rPr>
              <w:t>3</w:t>
            </w:r>
          </w:p>
        </w:tc>
        <w:tc>
          <w:tcPr>
            <w:tcW w:w="7648" w:type="dxa"/>
            <w:tcBorders>
              <w:right w:val="single" w:color="auto" w:sz="4" w:space="0"/>
            </w:tcBorders>
            <w:vAlign w:val="center"/>
          </w:tcPr>
          <w:p>
            <w:pPr>
              <w:pStyle w:val="24"/>
              <w:snapToGrid w:val="0"/>
              <w:spacing w:line="0" w:lineRule="atLeast"/>
              <w:jc w:val="left"/>
              <w:rPr>
                <w:rFonts w:cs="宋体"/>
                <w:sz w:val="24"/>
                <w:szCs w:val="24"/>
              </w:rPr>
            </w:pPr>
            <w:r>
              <w:rPr>
                <w:rFonts w:hint="eastAsia" w:cs="宋体"/>
                <w:sz w:val="24"/>
                <w:szCs w:val="24"/>
              </w:rPr>
              <w:t>是否按规定提交响应文件的内容完整及份数，电子版一份（U盘） 正本1份  副本2份；</w:t>
            </w:r>
          </w:p>
        </w:tc>
        <w:tc>
          <w:tcPr>
            <w:tcW w:w="439" w:type="dxa"/>
            <w:tcBorders>
              <w:left w:val="single" w:color="auto" w:sz="4" w:space="0"/>
              <w:right w:val="single" w:color="auto" w:sz="4" w:space="0"/>
            </w:tcBorders>
            <w:vAlign w:val="center"/>
          </w:tcPr>
          <w:p>
            <w:pPr>
              <w:pStyle w:val="24"/>
              <w:snapToGrid w:val="0"/>
              <w:spacing w:line="0" w:lineRule="atLeast"/>
              <w:rPr>
                <w:rFonts w:cs="宋体"/>
                <w:sz w:val="24"/>
                <w:szCs w:val="24"/>
              </w:rPr>
            </w:pPr>
          </w:p>
        </w:tc>
        <w:tc>
          <w:tcPr>
            <w:tcW w:w="323" w:type="dxa"/>
            <w:tcBorders>
              <w:left w:val="single" w:color="auto" w:sz="4" w:space="0"/>
            </w:tcBorders>
            <w:vAlign w:val="center"/>
          </w:tcPr>
          <w:p>
            <w:pPr>
              <w:pStyle w:val="24"/>
              <w:snapToGrid w:val="0"/>
              <w:spacing w:line="0" w:lineRule="atLeast"/>
              <w:rPr>
                <w:rFonts w:cs="宋体"/>
                <w:sz w:val="24"/>
                <w:szCs w:val="24"/>
              </w:rPr>
            </w:pPr>
          </w:p>
        </w:tc>
        <w:tc>
          <w:tcPr>
            <w:tcW w:w="401" w:type="dxa"/>
            <w:tcBorders>
              <w:right w:val="single" w:color="auto" w:sz="4" w:space="0"/>
            </w:tcBorders>
            <w:vAlign w:val="center"/>
          </w:tcPr>
          <w:p>
            <w:pPr>
              <w:pStyle w:val="24"/>
              <w:snapToGrid w:val="0"/>
              <w:spacing w:line="0" w:lineRule="atLeast"/>
              <w:rPr>
                <w:rFonts w:cs="宋体"/>
                <w:sz w:val="24"/>
                <w:szCs w:val="24"/>
              </w:rPr>
            </w:pPr>
          </w:p>
        </w:tc>
        <w:tc>
          <w:tcPr>
            <w:tcW w:w="372" w:type="dxa"/>
            <w:tcBorders>
              <w:left w:val="single" w:color="auto" w:sz="4" w:space="0"/>
            </w:tcBorders>
            <w:vAlign w:val="center"/>
          </w:tcPr>
          <w:p>
            <w:pPr>
              <w:pStyle w:val="24"/>
              <w:snapToGrid w:val="0"/>
              <w:spacing w:line="0" w:lineRule="atLeast"/>
              <w:rPr>
                <w:rFonts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508" w:type="dxa"/>
            <w:vAlign w:val="center"/>
          </w:tcPr>
          <w:p>
            <w:pPr>
              <w:pStyle w:val="24"/>
              <w:snapToGrid w:val="0"/>
              <w:spacing w:line="0" w:lineRule="atLeast"/>
              <w:jc w:val="center"/>
              <w:rPr>
                <w:rFonts w:cs="宋体"/>
                <w:sz w:val="24"/>
                <w:szCs w:val="24"/>
              </w:rPr>
            </w:pPr>
            <w:r>
              <w:rPr>
                <w:rFonts w:hint="eastAsia" w:cs="宋体"/>
                <w:sz w:val="24"/>
                <w:szCs w:val="24"/>
              </w:rPr>
              <w:t>4</w:t>
            </w:r>
          </w:p>
        </w:tc>
        <w:tc>
          <w:tcPr>
            <w:tcW w:w="7648" w:type="dxa"/>
            <w:tcBorders>
              <w:right w:val="single" w:color="auto" w:sz="4" w:space="0"/>
            </w:tcBorders>
            <w:vAlign w:val="center"/>
          </w:tcPr>
          <w:p>
            <w:pPr>
              <w:pStyle w:val="24"/>
              <w:snapToGrid w:val="0"/>
              <w:spacing w:line="0" w:lineRule="atLeast"/>
              <w:jc w:val="left"/>
              <w:rPr>
                <w:rFonts w:cs="宋体"/>
                <w:sz w:val="24"/>
                <w:szCs w:val="24"/>
              </w:rPr>
            </w:pPr>
            <w:r>
              <w:rPr>
                <w:rFonts w:hint="eastAsia" w:cs="宋体"/>
                <w:sz w:val="24"/>
                <w:szCs w:val="24"/>
              </w:rPr>
              <w:t>是否按规定的格式填写，内容不全或关键字迹模糊、无法辨认的；</w:t>
            </w:r>
          </w:p>
        </w:tc>
        <w:tc>
          <w:tcPr>
            <w:tcW w:w="439" w:type="dxa"/>
            <w:tcBorders>
              <w:left w:val="single" w:color="auto" w:sz="4" w:space="0"/>
              <w:right w:val="single" w:color="auto" w:sz="4" w:space="0"/>
            </w:tcBorders>
            <w:vAlign w:val="center"/>
          </w:tcPr>
          <w:p>
            <w:pPr>
              <w:pStyle w:val="24"/>
              <w:snapToGrid w:val="0"/>
              <w:spacing w:line="0" w:lineRule="atLeast"/>
              <w:rPr>
                <w:rFonts w:cs="宋体"/>
                <w:sz w:val="24"/>
                <w:szCs w:val="24"/>
              </w:rPr>
            </w:pPr>
          </w:p>
        </w:tc>
        <w:tc>
          <w:tcPr>
            <w:tcW w:w="323" w:type="dxa"/>
            <w:tcBorders>
              <w:left w:val="single" w:color="auto" w:sz="4" w:space="0"/>
            </w:tcBorders>
            <w:vAlign w:val="center"/>
          </w:tcPr>
          <w:p>
            <w:pPr>
              <w:pStyle w:val="24"/>
              <w:snapToGrid w:val="0"/>
              <w:spacing w:line="0" w:lineRule="atLeast"/>
              <w:rPr>
                <w:rFonts w:cs="宋体"/>
                <w:sz w:val="24"/>
                <w:szCs w:val="24"/>
              </w:rPr>
            </w:pPr>
          </w:p>
        </w:tc>
        <w:tc>
          <w:tcPr>
            <w:tcW w:w="401" w:type="dxa"/>
            <w:tcBorders>
              <w:right w:val="single" w:color="auto" w:sz="4" w:space="0"/>
            </w:tcBorders>
            <w:vAlign w:val="center"/>
          </w:tcPr>
          <w:p>
            <w:pPr>
              <w:pStyle w:val="24"/>
              <w:snapToGrid w:val="0"/>
              <w:spacing w:line="0" w:lineRule="atLeast"/>
              <w:rPr>
                <w:rFonts w:cs="宋体"/>
                <w:sz w:val="24"/>
                <w:szCs w:val="24"/>
              </w:rPr>
            </w:pPr>
          </w:p>
        </w:tc>
        <w:tc>
          <w:tcPr>
            <w:tcW w:w="372" w:type="dxa"/>
            <w:tcBorders>
              <w:left w:val="single" w:color="auto" w:sz="4" w:space="0"/>
            </w:tcBorders>
            <w:vAlign w:val="center"/>
          </w:tcPr>
          <w:p>
            <w:pPr>
              <w:pStyle w:val="24"/>
              <w:snapToGrid w:val="0"/>
              <w:spacing w:line="0" w:lineRule="atLeast"/>
              <w:rPr>
                <w:rFonts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508" w:type="dxa"/>
            <w:vAlign w:val="center"/>
          </w:tcPr>
          <w:p>
            <w:pPr>
              <w:pStyle w:val="24"/>
              <w:snapToGrid w:val="0"/>
              <w:spacing w:line="0" w:lineRule="atLeast"/>
              <w:jc w:val="center"/>
              <w:rPr>
                <w:rFonts w:cs="宋体"/>
                <w:sz w:val="24"/>
                <w:szCs w:val="24"/>
              </w:rPr>
            </w:pPr>
            <w:r>
              <w:rPr>
                <w:rFonts w:hint="eastAsia" w:cs="宋体"/>
                <w:sz w:val="24"/>
                <w:szCs w:val="24"/>
              </w:rPr>
              <w:t>5</w:t>
            </w:r>
          </w:p>
        </w:tc>
        <w:tc>
          <w:tcPr>
            <w:tcW w:w="7648" w:type="dxa"/>
            <w:tcBorders>
              <w:right w:val="single" w:color="auto" w:sz="4" w:space="0"/>
            </w:tcBorders>
            <w:vAlign w:val="center"/>
          </w:tcPr>
          <w:p>
            <w:pPr>
              <w:pStyle w:val="24"/>
              <w:snapToGrid w:val="0"/>
              <w:spacing w:line="0" w:lineRule="atLeast"/>
              <w:jc w:val="left"/>
              <w:rPr>
                <w:rFonts w:cs="宋体"/>
                <w:sz w:val="24"/>
                <w:szCs w:val="24"/>
              </w:rPr>
            </w:pPr>
            <w:r>
              <w:rPr>
                <w:rFonts w:hint="eastAsia" w:cs="宋体"/>
                <w:sz w:val="24"/>
                <w:szCs w:val="24"/>
              </w:rPr>
              <w:t>响应文件是否按照采购文件要求编写、装订；</w:t>
            </w:r>
          </w:p>
        </w:tc>
        <w:tc>
          <w:tcPr>
            <w:tcW w:w="439" w:type="dxa"/>
            <w:tcBorders>
              <w:left w:val="single" w:color="auto" w:sz="4" w:space="0"/>
              <w:right w:val="single" w:color="auto" w:sz="4" w:space="0"/>
            </w:tcBorders>
            <w:vAlign w:val="center"/>
          </w:tcPr>
          <w:p>
            <w:pPr>
              <w:pStyle w:val="24"/>
              <w:snapToGrid w:val="0"/>
              <w:spacing w:line="0" w:lineRule="atLeast"/>
              <w:rPr>
                <w:rFonts w:cs="宋体"/>
                <w:sz w:val="24"/>
                <w:szCs w:val="24"/>
              </w:rPr>
            </w:pPr>
          </w:p>
        </w:tc>
        <w:tc>
          <w:tcPr>
            <w:tcW w:w="323" w:type="dxa"/>
            <w:tcBorders>
              <w:left w:val="single" w:color="auto" w:sz="4" w:space="0"/>
            </w:tcBorders>
            <w:vAlign w:val="center"/>
          </w:tcPr>
          <w:p>
            <w:pPr>
              <w:pStyle w:val="24"/>
              <w:snapToGrid w:val="0"/>
              <w:spacing w:line="0" w:lineRule="atLeast"/>
              <w:rPr>
                <w:rFonts w:cs="宋体"/>
                <w:sz w:val="24"/>
                <w:szCs w:val="24"/>
              </w:rPr>
            </w:pPr>
          </w:p>
        </w:tc>
        <w:tc>
          <w:tcPr>
            <w:tcW w:w="401" w:type="dxa"/>
            <w:tcBorders>
              <w:right w:val="single" w:color="auto" w:sz="4" w:space="0"/>
            </w:tcBorders>
            <w:vAlign w:val="center"/>
          </w:tcPr>
          <w:p>
            <w:pPr>
              <w:pStyle w:val="24"/>
              <w:snapToGrid w:val="0"/>
              <w:spacing w:line="0" w:lineRule="atLeast"/>
              <w:rPr>
                <w:rFonts w:cs="宋体"/>
                <w:sz w:val="24"/>
                <w:szCs w:val="24"/>
              </w:rPr>
            </w:pPr>
          </w:p>
        </w:tc>
        <w:tc>
          <w:tcPr>
            <w:tcW w:w="372" w:type="dxa"/>
            <w:tcBorders>
              <w:left w:val="single" w:color="auto" w:sz="4" w:space="0"/>
            </w:tcBorders>
            <w:vAlign w:val="center"/>
          </w:tcPr>
          <w:p>
            <w:pPr>
              <w:pStyle w:val="24"/>
              <w:snapToGrid w:val="0"/>
              <w:spacing w:line="0" w:lineRule="atLeast"/>
              <w:rPr>
                <w:rFonts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508" w:type="dxa"/>
            <w:vAlign w:val="center"/>
          </w:tcPr>
          <w:p>
            <w:pPr>
              <w:pStyle w:val="24"/>
              <w:snapToGrid w:val="0"/>
              <w:spacing w:line="0" w:lineRule="atLeast"/>
              <w:jc w:val="center"/>
              <w:rPr>
                <w:rFonts w:cs="宋体"/>
                <w:sz w:val="24"/>
                <w:szCs w:val="24"/>
              </w:rPr>
            </w:pPr>
            <w:r>
              <w:rPr>
                <w:rFonts w:hint="eastAsia" w:cs="宋体"/>
                <w:sz w:val="24"/>
                <w:szCs w:val="24"/>
              </w:rPr>
              <w:t>6</w:t>
            </w:r>
          </w:p>
        </w:tc>
        <w:tc>
          <w:tcPr>
            <w:tcW w:w="7648" w:type="dxa"/>
            <w:tcBorders>
              <w:right w:val="single" w:color="auto" w:sz="4" w:space="0"/>
            </w:tcBorders>
            <w:vAlign w:val="center"/>
          </w:tcPr>
          <w:p>
            <w:pPr>
              <w:pStyle w:val="24"/>
              <w:snapToGrid w:val="0"/>
              <w:spacing w:line="0" w:lineRule="atLeast"/>
              <w:jc w:val="left"/>
              <w:rPr>
                <w:rFonts w:cs="宋体"/>
                <w:sz w:val="24"/>
                <w:szCs w:val="24"/>
              </w:rPr>
            </w:pPr>
            <w:r>
              <w:rPr>
                <w:rFonts w:hint="eastAsia" w:cs="宋体"/>
                <w:sz w:val="24"/>
                <w:szCs w:val="24"/>
              </w:rPr>
              <w:t>磋商有效期是否满足采购文件要求的；</w:t>
            </w:r>
          </w:p>
        </w:tc>
        <w:tc>
          <w:tcPr>
            <w:tcW w:w="439" w:type="dxa"/>
            <w:tcBorders>
              <w:left w:val="single" w:color="auto" w:sz="4" w:space="0"/>
              <w:right w:val="single" w:color="auto" w:sz="4" w:space="0"/>
            </w:tcBorders>
            <w:vAlign w:val="center"/>
          </w:tcPr>
          <w:p>
            <w:pPr>
              <w:pStyle w:val="24"/>
              <w:snapToGrid w:val="0"/>
              <w:spacing w:line="0" w:lineRule="atLeast"/>
              <w:rPr>
                <w:rFonts w:cs="宋体"/>
                <w:sz w:val="24"/>
                <w:szCs w:val="24"/>
              </w:rPr>
            </w:pPr>
          </w:p>
        </w:tc>
        <w:tc>
          <w:tcPr>
            <w:tcW w:w="323" w:type="dxa"/>
            <w:tcBorders>
              <w:left w:val="single" w:color="auto" w:sz="4" w:space="0"/>
            </w:tcBorders>
            <w:vAlign w:val="center"/>
          </w:tcPr>
          <w:p>
            <w:pPr>
              <w:pStyle w:val="24"/>
              <w:snapToGrid w:val="0"/>
              <w:spacing w:line="0" w:lineRule="atLeast"/>
              <w:rPr>
                <w:rFonts w:cs="宋体"/>
                <w:sz w:val="24"/>
                <w:szCs w:val="24"/>
              </w:rPr>
            </w:pPr>
          </w:p>
        </w:tc>
        <w:tc>
          <w:tcPr>
            <w:tcW w:w="401" w:type="dxa"/>
            <w:tcBorders>
              <w:right w:val="single" w:color="auto" w:sz="4" w:space="0"/>
            </w:tcBorders>
            <w:vAlign w:val="center"/>
          </w:tcPr>
          <w:p>
            <w:pPr>
              <w:pStyle w:val="24"/>
              <w:snapToGrid w:val="0"/>
              <w:spacing w:line="0" w:lineRule="atLeast"/>
              <w:rPr>
                <w:rFonts w:cs="宋体"/>
                <w:sz w:val="24"/>
                <w:szCs w:val="24"/>
              </w:rPr>
            </w:pPr>
          </w:p>
        </w:tc>
        <w:tc>
          <w:tcPr>
            <w:tcW w:w="372" w:type="dxa"/>
            <w:tcBorders>
              <w:left w:val="single" w:color="auto" w:sz="4" w:space="0"/>
            </w:tcBorders>
            <w:vAlign w:val="center"/>
          </w:tcPr>
          <w:p>
            <w:pPr>
              <w:pStyle w:val="24"/>
              <w:snapToGrid w:val="0"/>
              <w:spacing w:line="0" w:lineRule="atLeast"/>
              <w:rPr>
                <w:rFonts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508" w:type="dxa"/>
            <w:vAlign w:val="center"/>
          </w:tcPr>
          <w:p>
            <w:pPr>
              <w:pStyle w:val="24"/>
              <w:snapToGrid w:val="0"/>
              <w:spacing w:line="0" w:lineRule="atLeast"/>
              <w:jc w:val="center"/>
              <w:rPr>
                <w:rFonts w:cs="宋体"/>
                <w:sz w:val="24"/>
                <w:szCs w:val="24"/>
              </w:rPr>
            </w:pPr>
            <w:r>
              <w:rPr>
                <w:rFonts w:hint="eastAsia" w:cs="宋体"/>
                <w:sz w:val="24"/>
                <w:szCs w:val="24"/>
              </w:rPr>
              <w:t>7</w:t>
            </w:r>
          </w:p>
        </w:tc>
        <w:tc>
          <w:tcPr>
            <w:tcW w:w="7648" w:type="dxa"/>
            <w:tcBorders>
              <w:right w:val="single" w:color="auto" w:sz="4" w:space="0"/>
            </w:tcBorders>
            <w:vAlign w:val="center"/>
          </w:tcPr>
          <w:p>
            <w:pPr>
              <w:pStyle w:val="24"/>
              <w:snapToGrid w:val="0"/>
              <w:spacing w:line="0" w:lineRule="atLeast"/>
              <w:jc w:val="left"/>
              <w:rPr>
                <w:rFonts w:cs="宋体"/>
                <w:sz w:val="24"/>
                <w:szCs w:val="24"/>
              </w:rPr>
            </w:pPr>
            <w:r>
              <w:rPr>
                <w:rFonts w:hint="eastAsia" w:cs="宋体"/>
                <w:sz w:val="24"/>
                <w:szCs w:val="24"/>
              </w:rPr>
              <w:t>供应商所报交货期限是否超过采购文件规定期限的；</w:t>
            </w:r>
          </w:p>
        </w:tc>
        <w:tc>
          <w:tcPr>
            <w:tcW w:w="439" w:type="dxa"/>
            <w:tcBorders>
              <w:left w:val="single" w:color="auto" w:sz="4" w:space="0"/>
              <w:right w:val="single" w:color="auto" w:sz="4" w:space="0"/>
            </w:tcBorders>
            <w:vAlign w:val="center"/>
          </w:tcPr>
          <w:p>
            <w:pPr>
              <w:pStyle w:val="24"/>
              <w:snapToGrid w:val="0"/>
              <w:spacing w:line="0" w:lineRule="atLeast"/>
              <w:rPr>
                <w:rFonts w:cs="宋体"/>
                <w:sz w:val="24"/>
                <w:szCs w:val="24"/>
              </w:rPr>
            </w:pPr>
          </w:p>
        </w:tc>
        <w:tc>
          <w:tcPr>
            <w:tcW w:w="323" w:type="dxa"/>
            <w:tcBorders>
              <w:left w:val="single" w:color="auto" w:sz="4" w:space="0"/>
            </w:tcBorders>
            <w:vAlign w:val="center"/>
          </w:tcPr>
          <w:p>
            <w:pPr>
              <w:pStyle w:val="24"/>
              <w:snapToGrid w:val="0"/>
              <w:spacing w:line="0" w:lineRule="atLeast"/>
              <w:rPr>
                <w:rFonts w:cs="宋体"/>
                <w:sz w:val="24"/>
                <w:szCs w:val="24"/>
              </w:rPr>
            </w:pPr>
          </w:p>
        </w:tc>
        <w:tc>
          <w:tcPr>
            <w:tcW w:w="401" w:type="dxa"/>
            <w:tcBorders>
              <w:right w:val="single" w:color="auto" w:sz="4" w:space="0"/>
            </w:tcBorders>
            <w:vAlign w:val="center"/>
          </w:tcPr>
          <w:p>
            <w:pPr>
              <w:pStyle w:val="24"/>
              <w:snapToGrid w:val="0"/>
              <w:spacing w:line="0" w:lineRule="atLeast"/>
              <w:rPr>
                <w:rFonts w:cs="宋体"/>
                <w:sz w:val="24"/>
                <w:szCs w:val="24"/>
              </w:rPr>
            </w:pPr>
          </w:p>
        </w:tc>
        <w:tc>
          <w:tcPr>
            <w:tcW w:w="372" w:type="dxa"/>
            <w:tcBorders>
              <w:left w:val="single" w:color="auto" w:sz="4" w:space="0"/>
            </w:tcBorders>
            <w:vAlign w:val="center"/>
          </w:tcPr>
          <w:p>
            <w:pPr>
              <w:pStyle w:val="24"/>
              <w:snapToGrid w:val="0"/>
              <w:spacing w:line="0" w:lineRule="atLeast"/>
              <w:rPr>
                <w:rFonts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508" w:type="dxa"/>
            <w:vAlign w:val="center"/>
          </w:tcPr>
          <w:p>
            <w:pPr>
              <w:pStyle w:val="24"/>
              <w:snapToGrid w:val="0"/>
              <w:spacing w:line="0" w:lineRule="atLeast"/>
              <w:jc w:val="center"/>
              <w:rPr>
                <w:rFonts w:cs="宋体"/>
                <w:sz w:val="24"/>
                <w:szCs w:val="24"/>
              </w:rPr>
            </w:pPr>
            <w:r>
              <w:rPr>
                <w:rFonts w:hint="eastAsia" w:cs="宋体"/>
                <w:sz w:val="24"/>
                <w:szCs w:val="24"/>
              </w:rPr>
              <w:t>8</w:t>
            </w:r>
          </w:p>
        </w:tc>
        <w:tc>
          <w:tcPr>
            <w:tcW w:w="7648" w:type="dxa"/>
            <w:tcBorders>
              <w:right w:val="single" w:color="auto" w:sz="4" w:space="0"/>
            </w:tcBorders>
            <w:vAlign w:val="center"/>
          </w:tcPr>
          <w:p>
            <w:pPr>
              <w:pStyle w:val="24"/>
              <w:snapToGrid w:val="0"/>
              <w:spacing w:line="0" w:lineRule="atLeast"/>
              <w:jc w:val="left"/>
              <w:rPr>
                <w:rFonts w:cs="宋体"/>
                <w:sz w:val="24"/>
                <w:szCs w:val="24"/>
              </w:rPr>
            </w:pPr>
            <w:r>
              <w:rPr>
                <w:rFonts w:hint="eastAsia" w:cs="宋体"/>
                <w:sz w:val="24"/>
                <w:szCs w:val="24"/>
              </w:rPr>
              <w:t>磋商报价是否超过预算金额；</w:t>
            </w:r>
          </w:p>
        </w:tc>
        <w:tc>
          <w:tcPr>
            <w:tcW w:w="439" w:type="dxa"/>
            <w:tcBorders>
              <w:left w:val="single" w:color="auto" w:sz="4" w:space="0"/>
              <w:right w:val="single" w:color="auto" w:sz="4" w:space="0"/>
            </w:tcBorders>
            <w:vAlign w:val="center"/>
          </w:tcPr>
          <w:p>
            <w:pPr>
              <w:pStyle w:val="24"/>
              <w:snapToGrid w:val="0"/>
              <w:spacing w:line="0" w:lineRule="atLeast"/>
              <w:rPr>
                <w:rFonts w:cs="宋体"/>
                <w:sz w:val="24"/>
                <w:szCs w:val="24"/>
              </w:rPr>
            </w:pPr>
          </w:p>
        </w:tc>
        <w:tc>
          <w:tcPr>
            <w:tcW w:w="323" w:type="dxa"/>
            <w:tcBorders>
              <w:left w:val="single" w:color="auto" w:sz="4" w:space="0"/>
            </w:tcBorders>
            <w:vAlign w:val="center"/>
          </w:tcPr>
          <w:p>
            <w:pPr>
              <w:pStyle w:val="24"/>
              <w:snapToGrid w:val="0"/>
              <w:spacing w:line="0" w:lineRule="atLeast"/>
              <w:rPr>
                <w:rFonts w:cs="宋体"/>
                <w:sz w:val="24"/>
                <w:szCs w:val="24"/>
              </w:rPr>
            </w:pPr>
          </w:p>
        </w:tc>
        <w:tc>
          <w:tcPr>
            <w:tcW w:w="401" w:type="dxa"/>
            <w:tcBorders>
              <w:right w:val="single" w:color="auto" w:sz="4" w:space="0"/>
            </w:tcBorders>
            <w:vAlign w:val="center"/>
          </w:tcPr>
          <w:p>
            <w:pPr>
              <w:pStyle w:val="24"/>
              <w:snapToGrid w:val="0"/>
              <w:spacing w:line="0" w:lineRule="atLeast"/>
              <w:rPr>
                <w:rFonts w:cs="宋体"/>
                <w:sz w:val="24"/>
                <w:szCs w:val="24"/>
              </w:rPr>
            </w:pPr>
          </w:p>
        </w:tc>
        <w:tc>
          <w:tcPr>
            <w:tcW w:w="372" w:type="dxa"/>
            <w:tcBorders>
              <w:left w:val="single" w:color="auto" w:sz="4" w:space="0"/>
            </w:tcBorders>
            <w:vAlign w:val="center"/>
          </w:tcPr>
          <w:p>
            <w:pPr>
              <w:pStyle w:val="24"/>
              <w:snapToGrid w:val="0"/>
              <w:spacing w:line="0" w:lineRule="atLeast"/>
              <w:rPr>
                <w:rFonts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508" w:type="dxa"/>
            <w:vAlign w:val="center"/>
          </w:tcPr>
          <w:p>
            <w:pPr>
              <w:pStyle w:val="24"/>
              <w:snapToGrid w:val="0"/>
              <w:spacing w:line="0" w:lineRule="atLeast"/>
              <w:jc w:val="center"/>
              <w:rPr>
                <w:rFonts w:cs="宋体"/>
                <w:sz w:val="24"/>
                <w:szCs w:val="24"/>
              </w:rPr>
            </w:pPr>
            <w:r>
              <w:rPr>
                <w:rFonts w:hint="eastAsia" w:cs="宋体"/>
                <w:sz w:val="24"/>
                <w:szCs w:val="24"/>
              </w:rPr>
              <w:t>9</w:t>
            </w:r>
          </w:p>
        </w:tc>
        <w:tc>
          <w:tcPr>
            <w:tcW w:w="7648" w:type="dxa"/>
            <w:tcBorders>
              <w:right w:val="single" w:color="auto" w:sz="4" w:space="0"/>
            </w:tcBorders>
            <w:vAlign w:val="center"/>
          </w:tcPr>
          <w:p>
            <w:pPr>
              <w:pStyle w:val="24"/>
              <w:snapToGrid w:val="0"/>
              <w:spacing w:line="0" w:lineRule="atLeast"/>
              <w:rPr>
                <w:rFonts w:cs="宋体"/>
                <w:sz w:val="24"/>
                <w:szCs w:val="24"/>
              </w:rPr>
            </w:pPr>
            <w:r>
              <w:rPr>
                <w:rFonts w:hint="eastAsia" w:cs="宋体"/>
                <w:sz w:val="24"/>
                <w:szCs w:val="24"/>
              </w:rPr>
              <w:t>响应文件是否附有采购人不能接受的条件；</w:t>
            </w:r>
          </w:p>
        </w:tc>
        <w:tc>
          <w:tcPr>
            <w:tcW w:w="439" w:type="dxa"/>
            <w:tcBorders>
              <w:left w:val="single" w:color="auto" w:sz="4" w:space="0"/>
              <w:right w:val="single" w:color="auto" w:sz="4" w:space="0"/>
            </w:tcBorders>
            <w:vAlign w:val="center"/>
          </w:tcPr>
          <w:p>
            <w:pPr>
              <w:pStyle w:val="24"/>
              <w:snapToGrid w:val="0"/>
              <w:spacing w:line="0" w:lineRule="atLeast"/>
              <w:rPr>
                <w:rFonts w:cs="宋体"/>
                <w:sz w:val="24"/>
                <w:szCs w:val="24"/>
              </w:rPr>
            </w:pPr>
          </w:p>
        </w:tc>
        <w:tc>
          <w:tcPr>
            <w:tcW w:w="323" w:type="dxa"/>
            <w:tcBorders>
              <w:left w:val="single" w:color="auto" w:sz="4" w:space="0"/>
            </w:tcBorders>
            <w:vAlign w:val="center"/>
          </w:tcPr>
          <w:p>
            <w:pPr>
              <w:pStyle w:val="24"/>
              <w:snapToGrid w:val="0"/>
              <w:spacing w:line="0" w:lineRule="atLeast"/>
              <w:rPr>
                <w:rFonts w:cs="宋体"/>
                <w:sz w:val="24"/>
                <w:szCs w:val="24"/>
              </w:rPr>
            </w:pPr>
          </w:p>
        </w:tc>
        <w:tc>
          <w:tcPr>
            <w:tcW w:w="401" w:type="dxa"/>
            <w:tcBorders>
              <w:right w:val="single" w:color="auto" w:sz="4" w:space="0"/>
            </w:tcBorders>
            <w:vAlign w:val="center"/>
          </w:tcPr>
          <w:p>
            <w:pPr>
              <w:pStyle w:val="24"/>
              <w:snapToGrid w:val="0"/>
              <w:spacing w:line="0" w:lineRule="atLeast"/>
              <w:rPr>
                <w:rFonts w:cs="宋体"/>
                <w:sz w:val="24"/>
                <w:szCs w:val="24"/>
              </w:rPr>
            </w:pPr>
          </w:p>
        </w:tc>
        <w:tc>
          <w:tcPr>
            <w:tcW w:w="372" w:type="dxa"/>
            <w:tcBorders>
              <w:left w:val="single" w:color="auto" w:sz="4" w:space="0"/>
            </w:tcBorders>
            <w:vAlign w:val="center"/>
          </w:tcPr>
          <w:p>
            <w:pPr>
              <w:pStyle w:val="24"/>
              <w:snapToGrid w:val="0"/>
              <w:spacing w:line="0" w:lineRule="atLeast"/>
              <w:rPr>
                <w:rFonts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508" w:type="dxa"/>
            <w:vAlign w:val="center"/>
          </w:tcPr>
          <w:p>
            <w:pPr>
              <w:pStyle w:val="24"/>
              <w:snapToGrid w:val="0"/>
              <w:spacing w:line="0" w:lineRule="atLeast"/>
              <w:jc w:val="center"/>
              <w:rPr>
                <w:rFonts w:cs="宋体"/>
                <w:sz w:val="24"/>
                <w:szCs w:val="24"/>
              </w:rPr>
            </w:pPr>
            <w:r>
              <w:rPr>
                <w:rFonts w:hint="eastAsia" w:cs="宋体"/>
                <w:sz w:val="24"/>
                <w:szCs w:val="24"/>
              </w:rPr>
              <w:t>10</w:t>
            </w:r>
          </w:p>
        </w:tc>
        <w:tc>
          <w:tcPr>
            <w:tcW w:w="7648" w:type="dxa"/>
            <w:tcBorders>
              <w:right w:val="single" w:color="auto" w:sz="4" w:space="0"/>
            </w:tcBorders>
            <w:vAlign w:val="center"/>
          </w:tcPr>
          <w:p>
            <w:pPr>
              <w:pStyle w:val="24"/>
              <w:snapToGrid w:val="0"/>
              <w:spacing w:line="0" w:lineRule="atLeast"/>
              <w:rPr>
                <w:rFonts w:cs="宋体"/>
                <w:sz w:val="24"/>
                <w:szCs w:val="24"/>
              </w:rPr>
            </w:pPr>
            <w:r>
              <w:rPr>
                <w:rFonts w:hint="eastAsia" w:cs="宋体"/>
                <w:sz w:val="24"/>
                <w:szCs w:val="24"/>
              </w:rPr>
              <w:t>是否有不符合采购文件中规定的其他实质性要求；</w:t>
            </w:r>
          </w:p>
        </w:tc>
        <w:tc>
          <w:tcPr>
            <w:tcW w:w="439" w:type="dxa"/>
            <w:tcBorders>
              <w:left w:val="single" w:color="auto" w:sz="4" w:space="0"/>
              <w:right w:val="single" w:color="auto" w:sz="4" w:space="0"/>
            </w:tcBorders>
            <w:vAlign w:val="center"/>
          </w:tcPr>
          <w:p>
            <w:pPr>
              <w:pStyle w:val="24"/>
              <w:snapToGrid w:val="0"/>
              <w:spacing w:line="0" w:lineRule="atLeast"/>
              <w:rPr>
                <w:rFonts w:cs="宋体"/>
                <w:sz w:val="24"/>
                <w:szCs w:val="24"/>
              </w:rPr>
            </w:pPr>
          </w:p>
        </w:tc>
        <w:tc>
          <w:tcPr>
            <w:tcW w:w="323" w:type="dxa"/>
            <w:tcBorders>
              <w:left w:val="single" w:color="auto" w:sz="4" w:space="0"/>
            </w:tcBorders>
            <w:vAlign w:val="center"/>
          </w:tcPr>
          <w:p>
            <w:pPr>
              <w:pStyle w:val="24"/>
              <w:snapToGrid w:val="0"/>
              <w:spacing w:line="0" w:lineRule="atLeast"/>
              <w:rPr>
                <w:rFonts w:cs="宋体"/>
                <w:sz w:val="24"/>
                <w:szCs w:val="24"/>
              </w:rPr>
            </w:pPr>
          </w:p>
        </w:tc>
        <w:tc>
          <w:tcPr>
            <w:tcW w:w="401" w:type="dxa"/>
            <w:tcBorders>
              <w:right w:val="single" w:color="auto" w:sz="4" w:space="0"/>
            </w:tcBorders>
            <w:vAlign w:val="center"/>
          </w:tcPr>
          <w:p>
            <w:pPr>
              <w:pStyle w:val="24"/>
              <w:snapToGrid w:val="0"/>
              <w:spacing w:line="0" w:lineRule="atLeast"/>
              <w:rPr>
                <w:rFonts w:cs="宋体"/>
                <w:sz w:val="24"/>
                <w:szCs w:val="24"/>
              </w:rPr>
            </w:pPr>
          </w:p>
        </w:tc>
        <w:tc>
          <w:tcPr>
            <w:tcW w:w="372" w:type="dxa"/>
            <w:tcBorders>
              <w:left w:val="single" w:color="auto" w:sz="4" w:space="0"/>
            </w:tcBorders>
            <w:vAlign w:val="center"/>
          </w:tcPr>
          <w:p>
            <w:pPr>
              <w:pStyle w:val="24"/>
              <w:snapToGrid w:val="0"/>
              <w:spacing w:line="0" w:lineRule="atLeast"/>
              <w:rPr>
                <w:rFonts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508" w:type="dxa"/>
            <w:vAlign w:val="center"/>
          </w:tcPr>
          <w:p>
            <w:pPr>
              <w:pStyle w:val="24"/>
              <w:snapToGrid w:val="0"/>
              <w:spacing w:line="0" w:lineRule="atLeast"/>
              <w:jc w:val="center"/>
              <w:rPr>
                <w:rFonts w:cs="宋体"/>
                <w:sz w:val="24"/>
                <w:szCs w:val="24"/>
              </w:rPr>
            </w:pPr>
            <w:r>
              <w:rPr>
                <w:rFonts w:hint="eastAsia" w:cs="宋体"/>
                <w:sz w:val="24"/>
                <w:szCs w:val="24"/>
              </w:rPr>
              <w:t>11</w:t>
            </w:r>
          </w:p>
        </w:tc>
        <w:tc>
          <w:tcPr>
            <w:tcW w:w="7648" w:type="dxa"/>
            <w:tcBorders>
              <w:right w:val="single" w:color="auto" w:sz="4" w:space="0"/>
            </w:tcBorders>
            <w:vAlign w:val="center"/>
          </w:tcPr>
          <w:p>
            <w:pPr>
              <w:pStyle w:val="24"/>
              <w:snapToGrid w:val="0"/>
              <w:spacing w:line="0" w:lineRule="atLeast"/>
              <w:rPr>
                <w:rFonts w:cs="宋体"/>
                <w:sz w:val="24"/>
                <w:szCs w:val="24"/>
              </w:rPr>
            </w:pPr>
            <w:r>
              <w:rPr>
                <w:rFonts w:hint="eastAsia" w:cs="宋体"/>
                <w:sz w:val="24"/>
                <w:szCs w:val="24"/>
              </w:rPr>
              <w:t>供应商是否有违法采购磋商纪律的。</w:t>
            </w:r>
          </w:p>
        </w:tc>
        <w:tc>
          <w:tcPr>
            <w:tcW w:w="439" w:type="dxa"/>
            <w:tcBorders>
              <w:left w:val="single" w:color="auto" w:sz="4" w:space="0"/>
              <w:right w:val="single" w:color="auto" w:sz="4" w:space="0"/>
            </w:tcBorders>
            <w:vAlign w:val="center"/>
          </w:tcPr>
          <w:p>
            <w:pPr>
              <w:pStyle w:val="24"/>
              <w:snapToGrid w:val="0"/>
              <w:spacing w:line="0" w:lineRule="atLeast"/>
              <w:rPr>
                <w:rFonts w:cs="宋体"/>
                <w:sz w:val="24"/>
                <w:szCs w:val="24"/>
              </w:rPr>
            </w:pPr>
          </w:p>
        </w:tc>
        <w:tc>
          <w:tcPr>
            <w:tcW w:w="323" w:type="dxa"/>
            <w:tcBorders>
              <w:left w:val="single" w:color="auto" w:sz="4" w:space="0"/>
            </w:tcBorders>
            <w:vAlign w:val="center"/>
          </w:tcPr>
          <w:p>
            <w:pPr>
              <w:pStyle w:val="24"/>
              <w:snapToGrid w:val="0"/>
              <w:spacing w:line="0" w:lineRule="atLeast"/>
              <w:rPr>
                <w:rFonts w:cs="宋体"/>
                <w:sz w:val="24"/>
                <w:szCs w:val="24"/>
              </w:rPr>
            </w:pPr>
          </w:p>
        </w:tc>
        <w:tc>
          <w:tcPr>
            <w:tcW w:w="401" w:type="dxa"/>
            <w:tcBorders>
              <w:right w:val="single" w:color="auto" w:sz="4" w:space="0"/>
            </w:tcBorders>
            <w:vAlign w:val="center"/>
          </w:tcPr>
          <w:p>
            <w:pPr>
              <w:pStyle w:val="24"/>
              <w:snapToGrid w:val="0"/>
              <w:spacing w:line="0" w:lineRule="atLeast"/>
              <w:rPr>
                <w:rFonts w:cs="宋体"/>
                <w:sz w:val="24"/>
                <w:szCs w:val="24"/>
              </w:rPr>
            </w:pPr>
          </w:p>
        </w:tc>
        <w:tc>
          <w:tcPr>
            <w:tcW w:w="372" w:type="dxa"/>
            <w:tcBorders>
              <w:left w:val="single" w:color="auto" w:sz="4" w:space="0"/>
            </w:tcBorders>
            <w:vAlign w:val="center"/>
          </w:tcPr>
          <w:p>
            <w:pPr>
              <w:pStyle w:val="24"/>
              <w:snapToGrid w:val="0"/>
              <w:spacing w:line="0" w:lineRule="atLeast"/>
              <w:rPr>
                <w:rFonts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56" w:type="dxa"/>
            <w:gridSpan w:val="2"/>
            <w:tcBorders>
              <w:right w:val="single" w:color="auto" w:sz="4" w:space="0"/>
            </w:tcBorders>
            <w:vAlign w:val="center"/>
          </w:tcPr>
          <w:p>
            <w:pPr>
              <w:pStyle w:val="24"/>
              <w:snapToGrid w:val="0"/>
              <w:spacing w:line="0" w:lineRule="atLeast"/>
              <w:rPr>
                <w:rFonts w:cs="宋体"/>
                <w:sz w:val="24"/>
                <w:szCs w:val="24"/>
              </w:rPr>
            </w:pPr>
            <w:r>
              <w:rPr>
                <w:rFonts w:hint="eastAsia" w:cs="宋体"/>
                <w:sz w:val="24"/>
                <w:szCs w:val="24"/>
              </w:rPr>
              <w:t>结论：是否通过评审</w:t>
            </w:r>
          </w:p>
        </w:tc>
        <w:tc>
          <w:tcPr>
            <w:tcW w:w="439" w:type="dxa"/>
            <w:tcBorders>
              <w:left w:val="single" w:color="auto" w:sz="4" w:space="0"/>
              <w:right w:val="single" w:color="auto" w:sz="4" w:space="0"/>
            </w:tcBorders>
            <w:vAlign w:val="center"/>
          </w:tcPr>
          <w:p>
            <w:pPr>
              <w:pStyle w:val="24"/>
              <w:snapToGrid w:val="0"/>
              <w:spacing w:line="0" w:lineRule="atLeast"/>
              <w:rPr>
                <w:rFonts w:cs="宋体"/>
                <w:sz w:val="24"/>
                <w:szCs w:val="24"/>
              </w:rPr>
            </w:pPr>
          </w:p>
        </w:tc>
        <w:tc>
          <w:tcPr>
            <w:tcW w:w="323" w:type="dxa"/>
            <w:tcBorders>
              <w:left w:val="single" w:color="auto" w:sz="4" w:space="0"/>
            </w:tcBorders>
            <w:vAlign w:val="center"/>
          </w:tcPr>
          <w:p>
            <w:pPr>
              <w:pStyle w:val="24"/>
              <w:snapToGrid w:val="0"/>
              <w:spacing w:line="0" w:lineRule="atLeast"/>
              <w:rPr>
                <w:rFonts w:cs="宋体"/>
                <w:sz w:val="24"/>
                <w:szCs w:val="24"/>
              </w:rPr>
            </w:pPr>
          </w:p>
        </w:tc>
        <w:tc>
          <w:tcPr>
            <w:tcW w:w="401" w:type="dxa"/>
            <w:vAlign w:val="center"/>
          </w:tcPr>
          <w:p>
            <w:pPr>
              <w:pStyle w:val="24"/>
              <w:snapToGrid w:val="0"/>
              <w:spacing w:line="0" w:lineRule="atLeast"/>
              <w:rPr>
                <w:rFonts w:cs="宋体"/>
                <w:sz w:val="24"/>
                <w:szCs w:val="24"/>
              </w:rPr>
            </w:pPr>
          </w:p>
        </w:tc>
        <w:tc>
          <w:tcPr>
            <w:tcW w:w="372" w:type="dxa"/>
            <w:vAlign w:val="center"/>
          </w:tcPr>
          <w:p>
            <w:pPr>
              <w:pStyle w:val="24"/>
              <w:snapToGrid w:val="0"/>
              <w:spacing w:line="0" w:lineRule="atLeast"/>
              <w:rPr>
                <w:rFonts w:cs="宋体"/>
                <w:sz w:val="24"/>
                <w:szCs w:val="24"/>
              </w:rPr>
            </w:pPr>
          </w:p>
        </w:tc>
      </w:tr>
    </w:tbl>
    <w:p>
      <w:pPr>
        <w:pStyle w:val="24"/>
        <w:snapToGrid w:val="0"/>
        <w:spacing w:line="360" w:lineRule="auto"/>
        <w:ind w:firstLine="482" w:firstLineChars="200"/>
        <w:rPr>
          <w:rFonts w:cs="宋体"/>
          <w:b/>
          <w:bCs/>
          <w:sz w:val="24"/>
          <w:szCs w:val="21"/>
        </w:rPr>
      </w:pPr>
      <w:r>
        <w:rPr>
          <w:rFonts w:hint="eastAsia" w:cs="宋体"/>
          <w:b/>
          <w:bCs/>
          <w:sz w:val="24"/>
          <w:szCs w:val="21"/>
        </w:rPr>
        <w:t>响应性文件响应程度初步审查（资格性审查、符合性审查）通过的供应商，进入下一步详细评审阶段，未通过响应性文件响应程度初步审查（资格性审查、符合性审查）的企业，其磋商作为无效磋商，不进入后期评审阶段。</w:t>
      </w:r>
    </w:p>
    <w:p>
      <w:pPr>
        <w:spacing w:line="360" w:lineRule="auto"/>
        <w:ind w:firstLine="482" w:firstLineChars="200"/>
        <w:rPr>
          <w:rFonts w:ascii="宋体" w:hAnsi="宋体" w:cs="宋体"/>
          <w:b/>
          <w:bCs/>
          <w:sz w:val="24"/>
          <w:szCs w:val="21"/>
        </w:rPr>
      </w:pPr>
      <w:r>
        <w:rPr>
          <w:rFonts w:hint="eastAsia" w:ascii="宋体" w:hAnsi="宋体" w:cs="宋体"/>
          <w:b/>
          <w:bCs/>
          <w:sz w:val="24"/>
          <w:szCs w:val="21"/>
        </w:rPr>
        <w:t>3、属于中小企业、残疾人福利性单位、监狱企业、节能、环境标志产品评审优惠内容及价格扣除幅度：</w:t>
      </w:r>
    </w:p>
    <w:tbl>
      <w:tblPr>
        <w:tblStyle w:val="43"/>
        <w:tblW w:w="963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4"/>
        <w:gridCol w:w="1346"/>
        <w:gridCol w:w="3319"/>
        <w:gridCol w:w="45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序号</w:t>
            </w:r>
          </w:p>
        </w:tc>
        <w:tc>
          <w:tcPr>
            <w:tcW w:w="134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评分内容</w:t>
            </w:r>
          </w:p>
        </w:tc>
        <w:tc>
          <w:tcPr>
            <w:tcW w:w="782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评分方法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1</w:t>
            </w:r>
          </w:p>
        </w:tc>
        <w:tc>
          <w:tcPr>
            <w:tcW w:w="13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属于中小企业、残疾人福利性单位、监狱企业评审优惠内容及价格扣除幅度</w:t>
            </w:r>
          </w:p>
        </w:tc>
        <w:tc>
          <w:tcPr>
            <w:tcW w:w="78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4"/>
                <w:szCs w:val="24"/>
              </w:rPr>
            </w:pPr>
            <w:r>
              <w:rPr>
                <w:rFonts w:hint="eastAsia" w:ascii="宋体" w:hAnsi="宋体"/>
                <w:sz w:val="24"/>
                <w:szCs w:val="24"/>
              </w:rPr>
              <w:t>根据中华人民共和国财政部、中华人民共和国工业和信息化部《政府采购促进中小企业发展管理办法》（财库[2020]46号）文件的规定，属于中小企业评审优惠内容及幅度如下：</w:t>
            </w:r>
          </w:p>
          <w:p>
            <w:pPr>
              <w:spacing w:line="360" w:lineRule="auto"/>
              <w:jc w:val="left"/>
              <w:rPr>
                <w:rFonts w:ascii="宋体" w:hAnsi="宋体"/>
                <w:sz w:val="24"/>
                <w:szCs w:val="24"/>
              </w:rPr>
            </w:pPr>
            <w:r>
              <w:rPr>
                <w:rFonts w:hint="eastAsia" w:ascii="宋体" w:hAnsi="宋体"/>
                <w:sz w:val="24"/>
                <w:szCs w:val="24"/>
              </w:rPr>
              <w:t>（一）中小企业（含中型、小型、微型企业）应当同时符合以下条件：</w:t>
            </w:r>
          </w:p>
          <w:p>
            <w:pPr>
              <w:spacing w:line="360" w:lineRule="auto"/>
              <w:jc w:val="left"/>
              <w:rPr>
                <w:rFonts w:ascii="宋体" w:hAnsi="宋体"/>
                <w:sz w:val="24"/>
                <w:szCs w:val="24"/>
              </w:rPr>
            </w:pPr>
            <w:r>
              <w:rPr>
                <w:rFonts w:hint="eastAsia" w:ascii="宋体" w:hAnsi="宋体"/>
                <w:sz w:val="24"/>
                <w:szCs w:val="24"/>
              </w:rPr>
              <w:t>①符合中小企业划分标准（按《关于印发中小企业划型标准规定的通知》（工信部联企业〔2011〕300号）执行）；</w:t>
            </w:r>
          </w:p>
          <w:p>
            <w:pPr>
              <w:spacing w:line="360" w:lineRule="auto"/>
              <w:jc w:val="left"/>
              <w:rPr>
                <w:rFonts w:ascii="宋体" w:hAnsi="宋体"/>
                <w:sz w:val="24"/>
                <w:szCs w:val="24"/>
              </w:rPr>
            </w:pPr>
            <w:r>
              <w:rPr>
                <w:rFonts w:hint="eastAsia" w:ascii="宋体" w:hAnsi="宋体"/>
                <w:sz w:val="24"/>
                <w:szCs w:val="24"/>
              </w:rPr>
              <w:t>②提供本企业制造的货物、承担的项目或者服务，或者提供其他中小企业制造的货物。本项所称货物不包括使用大型企业注册商标的货物；</w:t>
            </w:r>
          </w:p>
          <w:p>
            <w:pPr>
              <w:spacing w:line="360" w:lineRule="auto"/>
              <w:jc w:val="left"/>
              <w:rPr>
                <w:rFonts w:ascii="宋体" w:hAnsi="宋体"/>
                <w:sz w:val="24"/>
                <w:szCs w:val="24"/>
              </w:rPr>
            </w:pPr>
            <w:r>
              <w:rPr>
                <w:rFonts w:hint="eastAsia" w:ascii="宋体" w:hAnsi="宋体"/>
                <w:sz w:val="24"/>
                <w:szCs w:val="24"/>
              </w:rPr>
              <w:t>③小型、微型企业提供中型企业制造的货物的，视同为中型企业。</w:t>
            </w:r>
          </w:p>
          <w:p>
            <w:pPr>
              <w:pStyle w:val="2"/>
              <w:spacing w:line="360" w:lineRule="auto"/>
              <w:ind w:firstLine="0" w:firstLineChars="0"/>
            </w:pPr>
            <w:r>
              <w:rPr>
                <w:rFonts w:hint="eastAsia" w:ascii="宋体" w:hAnsi="宋体"/>
                <w:b/>
                <w:bCs/>
                <w:sz w:val="24"/>
                <w:u w:val="single"/>
              </w:rPr>
              <w:t>*（财库[2020]46号）文件  第七条采购限额标准以上，200万以下的货物和服务采购项目、400万以下的工程采购项目，适宜由中小企业提供的，采购人应当专门面向中小企业采购。</w:t>
            </w:r>
          </w:p>
          <w:p>
            <w:pPr>
              <w:spacing w:line="360" w:lineRule="auto"/>
              <w:jc w:val="left"/>
              <w:rPr>
                <w:rFonts w:ascii="宋体" w:hAnsi="宋体"/>
                <w:sz w:val="24"/>
                <w:szCs w:val="24"/>
              </w:rPr>
            </w:pPr>
            <w:r>
              <w:rPr>
                <w:rFonts w:hint="eastAsia" w:ascii="宋体" w:hAnsi="宋体"/>
                <w:sz w:val="24"/>
                <w:szCs w:val="24"/>
              </w:rPr>
              <w:t>（二）价格扣除办法：</w:t>
            </w:r>
          </w:p>
          <w:p>
            <w:pPr>
              <w:spacing w:line="360" w:lineRule="auto"/>
              <w:jc w:val="left"/>
              <w:rPr>
                <w:rFonts w:ascii="宋体" w:hAnsi="宋体"/>
                <w:sz w:val="24"/>
                <w:szCs w:val="24"/>
              </w:rPr>
            </w:pPr>
            <w:r>
              <w:rPr>
                <w:rFonts w:hint="eastAsia" w:ascii="宋体" w:hAnsi="宋体"/>
                <w:sz w:val="24"/>
                <w:szCs w:val="24"/>
              </w:rPr>
              <w:t>①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w:t>
            </w:r>
            <w:r>
              <w:rPr>
                <w:rFonts w:hint="eastAsia" w:ascii="宋体" w:hAnsi="宋体"/>
                <w:sz w:val="24"/>
                <w:szCs w:val="24"/>
                <w:lang w:val="en-US" w:eastAsia="zh-CN"/>
              </w:rPr>
              <w:t>-</w:t>
            </w:r>
            <w:r>
              <w:rPr>
                <w:rFonts w:hint="eastAsia" w:ascii="宋体" w:hAnsi="宋体"/>
                <w:sz w:val="24"/>
                <w:szCs w:val="24"/>
              </w:rPr>
              <w:t>5%作为其价格分。</w:t>
            </w:r>
          </w:p>
          <w:p>
            <w:pPr>
              <w:spacing w:line="360" w:lineRule="auto"/>
              <w:jc w:val="left"/>
              <w:rPr>
                <w:rFonts w:ascii="宋体" w:hAnsi="宋体"/>
                <w:sz w:val="24"/>
                <w:szCs w:val="24"/>
              </w:rPr>
            </w:pPr>
            <w:r>
              <w:rPr>
                <w:rFonts w:hint="eastAsia" w:ascii="宋体" w:hAnsi="宋体"/>
                <w:sz w:val="24"/>
                <w:szCs w:val="24"/>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spacing w:line="360" w:lineRule="auto"/>
              <w:jc w:val="left"/>
              <w:rPr>
                <w:rFonts w:ascii="宋体" w:hAnsi="宋体"/>
                <w:sz w:val="24"/>
                <w:szCs w:val="24"/>
              </w:rPr>
            </w:pPr>
            <w:r>
              <w:rPr>
                <w:rFonts w:hint="eastAsia" w:ascii="宋体" w:hAnsi="宋体"/>
                <w:sz w:val="24"/>
                <w:szCs w:val="24"/>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spacing w:line="360" w:lineRule="auto"/>
              <w:jc w:val="left"/>
              <w:rPr>
                <w:rFonts w:ascii="宋体" w:hAnsi="宋体"/>
                <w:sz w:val="24"/>
                <w:szCs w:val="24"/>
              </w:rPr>
            </w:pPr>
            <w:r>
              <w:rPr>
                <w:rFonts w:hint="eastAsia" w:ascii="宋体" w:hAnsi="宋体"/>
                <w:sz w:val="24"/>
                <w:szCs w:val="24"/>
              </w:rPr>
              <w:t>（三）小型和微型企业适用价格扣除办法时应提供的相关资料；</w:t>
            </w:r>
          </w:p>
          <w:p>
            <w:pPr>
              <w:spacing w:line="360" w:lineRule="auto"/>
              <w:jc w:val="left"/>
              <w:rPr>
                <w:rFonts w:ascii="宋体" w:hAnsi="宋体"/>
                <w:sz w:val="24"/>
                <w:szCs w:val="24"/>
              </w:rPr>
            </w:pPr>
            <w:r>
              <w:rPr>
                <w:rFonts w:hint="eastAsia" w:ascii="宋体" w:hAnsi="宋体"/>
                <w:sz w:val="24"/>
                <w:szCs w:val="24"/>
              </w:rPr>
              <w:t>①《中小企业声明函》；</w:t>
            </w:r>
          </w:p>
          <w:p>
            <w:pPr>
              <w:spacing w:line="360" w:lineRule="auto"/>
              <w:jc w:val="left"/>
              <w:rPr>
                <w:rFonts w:ascii="宋体" w:hAnsi="宋体"/>
                <w:sz w:val="24"/>
                <w:szCs w:val="24"/>
              </w:rPr>
            </w:pPr>
            <w:r>
              <w:rPr>
                <w:rFonts w:hint="eastAsia" w:ascii="宋体" w:hAnsi="宋体"/>
                <w:sz w:val="24"/>
                <w:szCs w:val="24"/>
              </w:rPr>
              <w:t>进口产品不享受中小企业评审优惠</w:t>
            </w:r>
          </w:p>
          <w:p>
            <w:pPr>
              <w:spacing w:line="360" w:lineRule="auto"/>
              <w:jc w:val="left"/>
              <w:rPr>
                <w:rFonts w:ascii="宋体" w:hAnsi="宋体"/>
                <w:sz w:val="24"/>
                <w:szCs w:val="24"/>
              </w:rPr>
            </w:pPr>
            <w:r>
              <w:rPr>
                <w:rFonts w:hint="eastAsia" w:ascii="宋体" w:hAnsi="宋体"/>
                <w:sz w:val="24"/>
                <w:szCs w:val="24"/>
              </w:rPr>
              <w:t>(四) 残疾人福利性单位</w:t>
            </w:r>
          </w:p>
          <w:p>
            <w:pPr>
              <w:spacing w:line="360" w:lineRule="auto"/>
              <w:jc w:val="left"/>
              <w:rPr>
                <w:rFonts w:ascii="宋体" w:hAnsi="宋体"/>
                <w:sz w:val="24"/>
                <w:szCs w:val="24"/>
              </w:rPr>
            </w:pPr>
            <w:r>
              <w:rPr>
                <w:rFonts w:hint="eastAsia" w:ascii="宋体" w:hAnsi="宋体"/>
                <w:sz w:val="24"/>
                <w:szCs w:val="24"/>
              </w:rPr>
              <w:t>财政部、民政部、中国残疾人联合会关于促进残疾人就业政府采购政策的通知，财库〔2017〕141号，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spacing w:line="360" w:lineRule="auto"/>
              <w:jc w:val="left"/>
              <w:rPr>
                <w:rFonts w:ascii="宋体" w:hAnsi="宋体"/>
                <w:sz w:val="24"/>
                <w:szCs w:val="24"/>
              </w:rPr>
            </w:pPr>
            <w:r>
              <w:rPr>
                <w:rFonts w:hint="eastAsia" w:ascii="宋体" w:hAnsi="宋体"/>
                <w:sz w:val="24"/>
                <w:szCs w:val="24"/>
              </w:rPr>
              <w:t>供应商提供的《残疾人福利性单位声明函》与事实不符的，依照《政府采购法》第七十七条第一款的规定追究法律责任。</w:t>
            </w:r>
          </w:p>
          <w:p>
            <w:pPr>
              <w:spacing w:line="360" w:lineRule="auto"/>
              <w:jc w:val="left"/>
              <w:rPr>
                <w:rFonts w:ascii="宋体" w:hAnsi="宋体"/>
                <w:sz w:val="24"/>
                <w:szCs w:val="24"/>
              </w:rPr>
            </w:pPr>
            <w:r>
              <w:rPr>
                <w:rFonts w:hint="eastAsia" w:ascii="宋体" w:hAnsi="宋体"/>
                <w:sz w:val="24"/>
                <w:szCs w:val="24"/>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360" w:lineRule="auto"/>
              <w:jc w:val="left"/>
              <w:rPr>
                <w:rFonts w:ascii="宋体" w:hAnsi="宋体"/>
                <w:sz w:val="24"/>
                <w:szCs w:val="24"/>
              </w:rPr>
            </w:pPr>
            <w:r>
              <w:rPr>
                <w:rFonts w:hint="eastAsia" w:ascii="宋体" w:hAnsi="宋体"/>
                <w:sz w:val="24"/>
                <w:szCs w:val="24"/>
              </w:rPr>
              <w:t>（五）监狱企业</w:t>
            </w:r>
          </w:p>
          <w:p>
            <w:pPr>
              <w:spacing w:line="360" w:lineRule="auto"/>
              <w:jc w:val="left"/>
              <w:rPr>
                <w:rFonts w:ascii="宋体" w:hAnsi="宋体"/>
                <w:sz w:val="24"/>
                <w:szCs w:val="24"/>
              </w:rPr>
            </w:pPr>
            <w:r>
              <w:rPr>
                <w:rFonts w:hint="eastAsia" w:ascii="宋体" w:hAnsi="宋体"/>
                <w:sz w:val="24"/>
                <w:szCs w:val="24"/>
              </w:rPr>
              <w:t>在政府采购活动中，监狱企业视同小型、微型企业，享受预留份额、评审中价格扣除等政府采购促进中小企业发展的政府采购政策。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464" w:type="dxa"/>
            <w:vMerge w:val="restart"/>
            <w:tcBorders>
              <w:top w:val="single" w:color="auto" w:sz="4" w:space="0"/>
              <w:left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2</w:t>
            </w:r>
          </w:p>
        </w:tc>
        <w:tc>
          <w:tcPr>
            <w:tcW w:w="13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节能、环境标志产品评审优惠内容及加分幅度</w:t>
            </w:r>
          </w:p>
        </w:tc>
        <w:tc>
          <w:tcPr>
            <w:tcW w:w="7822"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sz w:val="24"/>
                <w:szCs w:val="24"/>
              </w:rPr>
            </w:pPr>
            <w:r>
              <w:rPr>
                <w:rFonts w:hint="eastAsia" w:ascii="宋体" w:hAnsi="宋体"/>
                <w:sz w:val="24"/>
                <w:szCs w:val="24"/>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供应商所投产品如是《节能产品政府采购清单》内产品，并提供清单内证明材料。其他产品若属于“节能产品政府采购清单”内产品，在同等条件下，优先采购清单中的产品。</w:t>
            </w:r>
          </w:p>
          <w:p>
            <w:pPr>
              <w:widowControl/>
              <w:spacing w:line="360" w:lineRule="auto"/>
              <w:jc w:val="left"/>
              <w:rPr>
                <w:rFonts w:ascii="宋体" w:hAnsi="宋体"/>
                <w:sz w:val="24"/>
                <w:szCs w:val="24"/>
              </w:rPr>
            </w:pPr>
            <w:r>
              <w:rPr>
                <w:rFonts w:hint="eastAsia" w:ascii="宋体" w:hAnsi="宋体"/>
                <w:sz w:val="24"/>
                <w:szCs w:val="24"/>
              </w:rPr>
              <w:t xml:space="preserve">“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磋商时强制性要求不再给予加分。若节能、环境标志清单内的产品仅是构成磋商产品的部件、组件或零件的，则该磋商产品不予加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464" w:type="dxa"/>
            <w:vMerge w:val="continue"/>
            <w:tcBorders>
              <w:left w:val="single" w:color="auto" w:sz="4" w:space="0"/>
              <w:right w:val="single" w:color="auto" w:sz="4" w:space="0"/>
            </w:tcBorders>
            <w:vAlign w:val="center"/>
          </w:tcPr>
          <w:p>
            <w:pPr>
              <w:spacing w:line="0" w:lineRule="atLeast"/>
              <w:rPr>
                <w:rFonts w:ascii="宋体" w:hAnsi="宋体"/>
                <w:sz w:val="24"/>
                <w:szCs w:val="24"/>
              </w:rPr>
            </w:pPr>
          </w:p>
        </w:tc>
        <w:tc>
          <w:tcPr>
            <w:tcW w:w="916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464" w:type="dxa"/>
            <w:vMerge w:val="continue"/>
            <w:tcBorders>
              <w:left w:val="single" w:color="auto" w:sz="4" w:space="0"/>
              <w:right w:val="single" w:color="auto" w:sz="4" w:space="0"/>
            </w:tcBorders>
            <w:vAlign w:val="center"/>
          </w:tcPr>
          <w:p>
            <w:pPr>
              <w:spacing w:line="0" w:lineRule="atLeast"/>
              <w:rPr>
                <w:rFonts w:ascii="宋体" w:hAnsi="宋体"/>
                <w:sz w:val="24"/>
                <w:szCs w:val="24"/>
              </w:rPr>
            </w:pPr>
          </w:p>
        </w:tc>
        <w:tc>
          <w:tcPr>
            <w:tcW w:w="46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价格项</w:t>
            </w:r>
          </w:p>
        </w:tc>
        <w:tc>
          <w:tcPr>
            <w:tcW w:w="45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技术项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8" w:hRule="atLeast"/>
          <w:jc w:val="center"/>
        </w:trPr>
        <w:tc>
          <w:tcPr>
            <w:tcW w:w="464" w:type="dxa"/>
            <w:vMerge w:val="continue"/>
            <w:tcBorders>
              <w:left w:val="single" w:color="auto" w:sz="4" w:space="0"/>
              <w:right w:val="single" w:color="auto" w:sz="4" w:space="0"/>
            </w:tcBorders>
            <w:vAlign w:val="center"/>
          </w:tcPr>
          <w:p>
            <w:pPr>
              <w:spacing w:line="0" w:lineRule="atLeast"/>
              <w:rPr>
                <w:rFonts w:ascii="宋体" w:hAnsi="宋体"/>
                <w:sz w:val="24"/>
                <w:szCs w:val="24"/>
              </w:rPr>
            </w:pPr>
          </w:p>
        </w:tc>
        <w:tc>
          <w:tcPr>
            <w:tcW w:w="466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1、（节能清单部分产品的价格/磋商报价）×3%×价格项满分值</w:t>
            </w:r>
          </w:p>
        </w:tc>
        <w:tc>
          <w:tcPr>
            <w:tcW w:w="45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1、（节能清单部分产品的价格/磋商报价）×3%×价格项满分值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4" w:type="dxa"/>
            <w:vMerge w:val="continue"/>
            <w:tcBorders>
              <w:left w:val="single" w:color="auto" w:sz="4" w:space="0"/>
              <w:right w:val="single" w:color="auto" w:sz="4" w:space="0"/>
            </w:tcBorders>
            <w:vAlign w:val="center"/>
          </w:tcPr>
          <w:p>
            <w:pPr>
              <w:spacing w:line="0" w:lineRule="atLeast"/>
              <w:rPr>
                <w:rFonts w:ascii="宋体" w:hAnsi="宋体"/>
                <w:sz w:val="24"/>
                <w:szCs w:val="24"/>
              </w:rPr>
            </w:pPr>
          </w:p>
        </w:tc>
        <w:tc>
          <w:tcPr>
            <w:tcW w:w="466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2、（环境清单部分产品的价格/磋商报价）×3%×价格项满分值</w:t>
            </w:r>
          </w:p>
        </w:tc>
        <w:tc>
          <w:tcPr>
            <w:tcW w:w="45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2、（环境清单部分产品的价格/磋商报价）×3%×价格项满分值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4" w:type="dxa"/>
            <w:vMerge w:val="continue"/>
            <w:tcBorders>
              <w:left w:val="single" w:color="auto" w:sz="4" w:space="0"/>
              <w:bottom w:val="single" w:color="auto" w:sz="4" w:space="0"/>
              <w:right w:val="single" w:color="auto" w:sz="4" w:space="0"/>
            </w:tcBorders>
            <w:vAlign w:val="center"/>
          </w:tcPr>
          <w:p>
            <w:pPr>
              <w:spacing w:line="0" w:lineRule="atLeast"/>
              <w:rPr>
                <w:rFonts w:ascii="宋体" w:hAnsi="宋体"/>
                <w:sz w:val="24"/>
                <w:szCs w:val="24"/>
              </w:rPr>
            </w:pPr>
          </w:p>
        </w:tc>
        <w:tc>
          <w:tcPr>
            <w:tcW w:w="916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4"/>
                <w:szCs w:val="24"/>
              </w:rPr>
            </w:pPr>
            <w:r>
              <w:rPr>
                <w:rFonts w:hint="eastAsia" w:ascii="宋体" w:hAnsi="宋体"/>
                <w:sz w:val="24"/>
                <w:szCs w:val="24"/>
              </w:rPr>
              <w:t>注：1、提供近两期《节能产品政府采购清单》关于磋商产品当前页的打印件；</w:t>
            </w:r>
          </w:p>
          <w:p>
            <w:pPr>
              <w:spacing w:line="360" w:lineRule="auto"/>
              <w:jc w:val="left"/>
              <w:rPr>
                <w:rFonts w:ascii="宋体" w:hAnsi="宋体"/>
                <w:sz w:val="24"/>
                <w:szCs w:val="24"/>
              </w:rPr>
            </w:pPr>
            <w:r>
              <w:rPr>
                <w:rFonts w:hint="eastAsia" w:ascii="宋体" w:hAnsi="宋体"/>
                <w:sz w:val="24"/>
                <w:szCs w:val="24"/>
              </w:rPr>
              <w:t>2、提供近两期《环境标志产品政府采购清单》关于磋商产品当前页的打印件。</w:t>
            </w:r>
          </w:p>
        </w:tc>
      </w:tr>
    </w:tbl>
    <w:p>
      <w:pPr>
        <w:pStyle w:val="91"/>
        <w:spacing w:line="360" w:lineRule="auto"/>
        <w:ind w:firstLine="480" w:firstLineChars="200"/>
        <w:rPr>
          <w:rFonts w:ascii="宋体" w:hAnsi="宋体" w:cs="宋体"/>
          <w:color w:val="auto"/>
          <w:szCs w:val="22"/>
        </w:rPr>
      </w:pPr>
      <w:r>
        <w:rPr>
          <w:rFonts w:hint="eastAsia" w:ascii="宋体" w:hAnsi="宋体" w:cs="宋体"/>
          <w:color w:val="auto"/>
          <w:szCs w:val="22"/>
        </w:rPr>
        <w:t>26. 评审程序</w:t>
      </w:r>
    </w:p>
    <w:p>
      <w:pPr>
        <w:spacing w:line="360" w:lineRule="auto"/>
        <w:ind w:firstLine="480" w:firstLineChars="200"/>
        <w:jc w:val="left"/>
        <w:rPr>
          <w:rFonts w:ascii="宋体" w:hAnsi="宋体" w:cs="宋体"/>
          <w:sz w:val="24"/>
          <w:szCs w:val="18"/>
        </w:rPr>
      </w:pPr>
      <w:r>
        <w:rPr>
          <w:rFonts w:hint="eastAsia" w:ascii="宋体" w:hAnsi="宋体" w:cs="宋体"/>
          <w:sz w:val="24"/>
          <w:szCs w:val="18"/>
        </w:rPr>
        <w:t>26.1 响应文件初审：</w:t>
      </w:r>
      <w:r>
        <w:rPr>
          <w:rFonts w:hint="eastAsia" w:cs="宋体"/>
          <w:sz w:val="24"/>
          <w:szCs w:val="24"/>
        </w:rPr>
        <w:t>供应商</w:t>
      </w:r>
      <w:r>
        <w:rPr>
          <w:rFonts w:hint="eastAsia" w:ascii="宋体" w:hAnsi="宋体" w:cs="宋体"/>
          <w:sz w:val="24"/>
          <w:szCs w:val="18"/>
        </w:rPr>
        <w:t>的资格检查。</w:t>
      </w:r>
    </w:p>
    <w:p>
      <w:pPr>
        <w:spacing w:line="360" w:lineRule="auto"/>
        <w:ind w:firstLine="480" w:firstLineChars="200"/>
        <w:jc w:val="left"/>
        <w:rPr>
          <w:rFonts w:ascii="宋体" w:hAnsi="宋体" w:cs="宋体"/>
          <w:sz w:val="24"/>
          <w:szCs w:val="18"/>
        </w:rPr>
      </w:pPr>
      <w:r>
        <w:rPr>
          <w:rFonts w:hint="eastAsia" w:ascii="宋体" w:hAnsi="宋体" w:cs="宋体"/>
          <w:sz w:val="24"/>
          <w:szCs w:val="18"/>
        </w:rPr>
        <w:t>26.2 资格性检查。依据法律法规和采购文件的规定，对</w:t>
      </w:r>
      <w:r>
        <w:rPr>
          <w:rFonts w:hint="eastAsia" w:ascii="宋体" w:hAnsi="宋体" w:cs="宋体"/>
          <w:sz w:val="24"/>
          <w:szCs w:val="24"/>
        </w:rPr>
        <w:t>响应</w:t>
      </w:r>
      <w:r>
        <w:rPr>
          <w:rFonts w:hint="eastAsia" w:ascii="宋体" w:hAnsi="宋体" w:cs="宋体"/>
          <w:sz w:val="24"/>
          <w:szCs w:val="18"/>
        </w:rPr>
        <w:t>文件中的资格证明、磋商保证金等进行审查，以确定供应商是否具备磋商资格。</w:t>
      </w:r>
    </w:p>
    <w:p>
      <w:pPr>
        <w:pStyle w:val="91"/>
        <w:spacing w:line="360" w:lineRule="auto"/>
        <w:ind w:firstLine="482" w:firstLineChars="200"/>
        <w:rPr>
          <w:rFonts w:ascii="宋体" w:hAnsi="宋体" w:cs="宋体"/>
          <w:b/>
          <w:color w:val="auto"/>
          <w:szCs w:val="22"/>
          <w:u w:val="single"/>
        </w:rPr>
      </w:pPr>
      <w:r>
        <w:rPr>
          <w:rFonts w:hint="eastAsia" w:ascii="宋体" w:hAnsi="宋体" w:cs="宋体"/>
          <w:b/>
          <w:color w:val="auto"/>
          <w:szCs w:val="22"/>
        </w:rPr>
        <w:t>26.3 本项目将采用：</w:t>
      </w:r>
      <w:r>
        <w:rPr>
          <w:rFonts w:hint="eastAsia" w:ascii="宋体" w:hAnsi="宋体" w:cs="宋体"/>
          <w:b/>
          <w:color w:val="auto"/>
          <w:szCs w:val="22"/>
          <w:u w:val="single"/>
        </w:rPr>
        <w:t>综合评分法</w:t>
      </w:r>
    </w:p>
    <w:p>
      <w:pPr>
        <w:pStyle w:val="24"/>
        <w:snapToGrid w:val="0"/>
        <w:spacing w:line="360" w:lineRule="auto"/>
        <w:ind w:firstLine="480" w:firstLineChars="200"/>
        <w:jc w:val="left"/>
        <w:rPr>
          <w:rFonts w:cs="宋体"/>
          <w:sz w:val="24"/>
          <w:szCs w:val="24"/>
        </w:rPr>
      </w:pPr>
      <w:r>
        <w:rPr>
          <w:rFonts w:hint="eastAsia" w:cs="宋体"/>
          <w:sz w:val="24"/>
          <w:szCs w:val="18"/>
        </w:rPr>
        <w:t>26.3.1 对于商务部分（磋商报价）的评分，按以下方法进行：</w:t>
      </w:r>
      <w:r>
        <w:rPr>
          <w:rFonts w:hint="eastAsia" w:cs="宋体"/>
          <w:sz w:val="24"/>
          <w:szCs w:val="24"/>
        </w:rPr>
        <w:t>价格分统一采用低价优先法计算，即满足磋商文件要求且最后报价最低的供应商的价格为磋商基准价，其价格分为满分。其他供应商的价格分统一按照下列公式计算：</w:t>
      </w:r>
    </w:p>
    <w:p>
      <w:pPr>
        <w:pStyle w:val="24"/>
        <w:snapToGrid w:val="0"/>
        <w:spacing w:line="360" w:lineRule="auto"/>
        <w:ind w:firstLine="480" w:firstLineChars="200"/>
        <w:jc w:val="left"/>
        <w:rPr>
          <w:rFonts w:cs="宋体"/>
          <w:sz w:val="24"/>
          <w:szCs w:val="24"/>
        </w:rPr>
      </w:pPr>
      <w:r>
        <w:rPr>
          <w:rFonts w:hint="eastAsia" w:cs="宋体"/>
          <w:sz w:val="24"/>
          <w:szCs w:val="24"/>
        </w:rPr>
        <w:t>磋商报价得分=（磋商基准价/最后磋商报价）×价格权值×100</w:t>
      </w:r>
    </w:p>
    <w:p>
      <w:pPr>
        <w:pStyle w:val="24"/>
        <w:snapToGrid w:val="0"/>
        <w:spacing w:line="360" w:lineRule="auto"/>
        <w:ind w:firstLine="480" w:firstLineChars="200"/>
        <w:jc w:val="left"/>
        <w:rPr>
          <w:rFonts w:cs="宋体"/>
          <w:sz w:val="24"/>
          <w:szCs w:val="24"/>
        </w:rPr>
      </w:pPr>
      <w:r>
        <w:rPr>
          <w:rFonts w:hint="eastAsia" w:cs="宋体"/>
          <w:sz w:val="24"/>
          <w:szCs w:val="24"/>
        </w:rPr>
        <w:t>本项目的价格权值为30%。</w:t>
      </w:r>
    </w:p>
    <w:p>
      <w:pPr>
        <w:pStyle w:val="24"/>
        <w:snapToGrid w:val="0"/>
        <w:spacing w:line="360" w:lineRule="auto"/>
        <w:ind w:firstLine="480" w:firstLineChars="200"/>
        <w:jc w:val="left"/>
        <w:rPr>
          <w:rFonts w:cs="宋体"/>
          <w:sz w:val="24"/>
          <w:szCs w:val="24"/>
        </w:rPr>
      </w:pPr>
      <w:r>
        <w:rPr>
          <w:rFonts w:hint="eastAsia" w:cs="宋体"/>
          <w:sz w:val="24"/>
          <w:szCs w:val="24"/>
        </w:rPr>
        <w:t>项目评审过程中，不得去掉最终报价中的最高报价和最低报价。</w:t>
      </w:r>
    </w:p>
    <w:p>
      <w:pPr>
        <w:pStyle w:val="24"/>
        <w:snapToGrid w:val="0"/>
        <w:spacing w:line="360" w:lineRule="auto"/>
        <w:ind w:firstLine="480" w:firstLineChars="200"/>
        <w:jc w:val="left"/>
        <w:rPr>
          <w:rFonts w:cs="宋体"/>
          <w:kern w:val="0"/>
          <w:sz w:val="24"/>
          <w:szCs w:val="22"/>
        </w:rPr>
      </w:pPr>
      <w:r>
        <w:rPr>
          <w:rFonts w:hint="eastAsia" w:cs="宋体"/>
          <w:kern w:val="0"/>
          <w:sz w:val="24"/>
          <w:szCs w:val="22"/>
        </w:rPr>
        <w:t>26.3.2评审委员会将采用综合评分法对</w:t>
      </w:r>
      <w:r>
        <w:rPr>
          <w:rFonts w:hint="eastAsia" w:cs="宋体"/>
          <w:sz w:val="24"/>
          <w:szCs w:val="24"/>
        </w:rPr>
        <w:t>响应</w:t>
      </w:r>
      <w:r>
        <w:rPr>
          <w:rFonts w:hint="eastAsia" w:cs="宋体"/>
          <w:kern w:val="0"/>
          <w:sz w:val="24"/>
          <w:szCs w:val="22"/>
        </w:rPr>
        <w:t>文件所载明的供应商的磋商报价、企业资质、货物技术性能、质量保证体系、付款方式、交货期、质保期、信誉服务、企业业绩等内容进行打分，依据得分从高到低的顺序最终确定成交供应商，最低报价不作为成交的唯一依据。采用百分制原则：满分为100分、商务、技术部分占70%、经济部分占30%。供应商最终得分=商务、技术部分得分+经济部分得分，具体评分标准如下：</w:t>
      </w:r>
    </w:p>
    <w:tbl>
      <w:tblPr>
        <w:tblStyle w:val="43"/>
        <w:tblW w:w="101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8"/>
        <w:gridCol w:w="412"/>
        <w:gridCol w:w="1681"/>
        <w:gridCol w:w="1017"/>
        <w:gridCol w:w="6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4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 w:val="24"/>
                <w:szCs w:val="24"/>
              </w:rPr>
            </w:pPr>
          </w:p>
        </w:tc>
        <w:tc>
          <w:tcPr>
            <w:tcW w:w="20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 w:val="24"/>
                <w:szCs w:val="24"/>
              </w:rPr>
            </w:pPr>
            <w:r>
              <w:rPr>
                <w:rFonts w:hint="eastAsia" w:ascii="宋体" w:hAnsi="宋体" w:cs="宋体"/>
                <w:b/>
                <w:bCs/>
                <w:sz w:val="24"/>
                <w:szCs w:val="24"/>
              </w:rPr>
              <w:t>评分内容</w:t>
            </w:r>
          </w:p>
        </w:tc>
        <w:tc>
          <w:tcPr>
            <w:tcW w:w="767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 w:val="24"/>
                <w:szCs w:val="24"/>
              </w:rPr>
            </w:pPr>
            <w:r>
              <w:rPr>
                <w:rFonts w:hint="eastAsia" w:ascii="宋体" w:hAnsi="宋体" w:cs="宋体"/>
                <w:b/>
                <w:bCs/>
                <w:sz w:val="24"/>
                <w:szCs w:val="24"/>
              </w:rPr>
              <w:t>评分方法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4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报价</w:t>
            </w:r>
          </w:p>
        </w:tc>
        <w:tc>
          <w:tcPr>
            <w:tcW w:w="20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报价得分30分</w:t>
            </w:r>
          </w:p>
        </w:tc>
        <w:tc>
          <w:tcPr>
            <w:tcW w:w="767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szCs w:val="24"/>
              </w:rPr>
            </w:pPr>
            <w:r>
              <w:rPr>
                <w:rFonts w:hint="eastAsia" w:ascii="宋体" w:hAnsi="宋体" w:cs="宋体"/>
                <w:color w:val="000000"/>
                <w:kern w:val="0"/>
                <w:sz w:val="24"/>
                <w:szCs w:val="24"/>
              </w:rPr>
              <w:t>在满足磋商文件要求的前提下，取各供应商最终报价的最低价作为评审基准价,满分为30分；价格分的计算评审报价得分=(评审基准价／供应商的最终报价)×30%×100（计算分值时，百分比按四舍五入原则，保留小数点后二位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408" w:type="dxa"/>
            <w:vMerge w:val="restart"/>
            <w:tcBorders>
              <w:left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商务技术部分</w:t>
            </w:r>
          </w:p>
        </w:tc>
        <w:tc>
          <w:tcPr>
            <w:tcW w:w="412" w:type="dxa"/>
            <w:tcBorders>
              <w:left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1681" w:type="dxa"/>
            <w:tcBorders>
              <w:left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产品性能、质量20分</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sz w:val="24"/>
                <w:szCs w:val="24"/>
              </w:rPr>
            </w:pPr>
            <w:r>
              <w:rPr>
                <w:rFonts w:hint="eastAsia" w:ascii="宋体" w:hAnsi="宋体" w:cs="宋体"/>
                <w:sz w:val="24"/>
                <w:szCs w:val="24"/>
              </w:rPr>
              <w:t>20分</w:t>
            </w:r>
          </w:p>
        </w:tc>
        <w:tc>
          <w:tcPr>
            <w:tcW w:w="665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所投产品功能（性能）、参数指标、产品配置优于采购文件中产品功能（性能）、参数指标、产品配置、操作等方面，一项得5分，最高得20分（仅满足采购文件参数要求的不得分）；</w:t>
            </w:r>
          </w:p>
          <w:p>
            <w:pPr>
              <w:spacing w:line="360" w:lineRule="auto"/>
              <w:rPr>
                <w:rFonts w:ascii="宋体" w:hAnsi="宋体" w:cs="宋体"/>
                <w:spacing w:val="-4"/>
                <w:sz w:val="24"/>
                <w:szCs w:val="24"/>
              </w:rPr>
            </w:pPr>
            <w:r>
              <w:rPr>
                <w:rFonts w:hint="eastAsia" w:ascii="宋体" w:hAnsi="宋体" w:cs="宋体"/>
                <w:sz w:val="24"/>
                <w:szCs w:val="24"/>
              </w:rPr>
              <w:t>所投产品功能（性能）、参数指标、产品配置、不能满足采购文件产品功能（性能）、参数指标、产品配置、操作等方面（每一项不满扣足5分，扣完为止）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1" w:hRule="atLeast"/>
          <w:jc w:val="center"/>
        </w:trPr>
        <w:tc>
          <w:tcPr>
            <w:tcW w:w="408" w:type="dxa"/>
            <w:vMerge w:val="continue"/>
            <w:tcBorders>
              <w:left w:val="single" w:color="auto" w:sz="4" w:space="0"/>
              <w:right w:val="single" w:color="auto" w:sz="4" w:space="0"/>
            </w:tcBorders>
            <w:vAlign w:val="center"/>
          </w:tcPr>
          <w:p>
            <w:pPr>
              <w:spacing w:line="360" w:lineRule="auto"/>
              <w:jc w:val="center"/>
              <w:rPr>
                <w:rFonts w:ascii="宋体" w:hAnsi="宋体" w:cs="宋体"/>
                <w:sz w:val="24"/>
                <w:szCs w:val="24"/>
              </w:rPr>
            </w:pPr>
          </w:p>
        </w:tc>
        <w:tc>
          <w:tcPr>
            <w:tcW w:w="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业绩6分</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0-6分</w:t>
            </w:r>
          </w:p>
        </w:tc>
        <w:tc>
          <w:tcPr>
            <w:tcW w:w="665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提供供应商近三年（2019年1月1日至今）的同类项目业绩表并加盖企业公章同时附项目合同复印件或中标（成交）通知书复印件（加盖企业公章），否则不予认可，为无效业绩。提供一项得1分</w:t>
            </w:r>
          </w:p>
          <w:p>
            <w:pPr>
              <w:spacing w:line="360" w:lineRule="auto"/>
              <w:rPr>
                <w:rFonts w:ascii="宋体" w:hAnsi="宋体" w:cs="宋体"/>
                <w:sz w:val="24"/>
                <w:szCs w:val="24"/>
              </w:rPr>
            </w:pPr>
            <w:r>
              <w:rPr>
                <w:rFonts w:hint="eastAsia" w:ascii="宋体" w:hAnsi="宋体" w:cs="宋体"/>
                <w:b/>
                <w:bCs/>
                <w:sz w:val="24"/>
                <w:szCs w:val="24"/>
              </w:rPr>
              <w:t>证明材料可为：合同协议书或中标（成交）通知书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7" w:hRule="atLeast"/>
          <w:jc w:val="center"/>
        </w:trPr>
        <w:tc>
          <w:tcPr>
            <w:tcW w:w="408" w:type="dxa"/>
            <w:vMerge w:val="continue"/>
            <w:tcBorders>
              <w:left w:val="single" w:color="auto" w:sz="4" w:space="0"/>
              <w:right w:val="single" w:color="auto" w:sz="4" w:space="0"/>
            </w:tcBorders>
            <w:vAlign w:val="center"/>
          </w:tcPr>
          <w:p>
            <w:pPr>
              <w:spacing w:line="360" w:lineRule="auto"/>
              <w:jc w:val="center"/>
              <w:rPr>
                <w:rFonts w:ascii="宋体" w:hAnsi="宋体" w:cs="宋体"/>
                <w:sz w:val="24"/>
                <w:szCs w:val="24"/>
              </w:rPr>
            </w:pPr>
          </w:p>
        </w:tc>
        <w:tc>
          <w:tcPr>
            <w:tcW w:w="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3</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应急方案</w:t>
            </w:r>
            <w:r>
              <w:rPr>
                <w:rFonts w:hint="eastAsia" w:ascii="宋体" w:hAnsi="宋体" w:cs="宋体"/>
                <w:sz w:val="24"/>
                <w:szCs w:val="24"/>
                <w:lang w:val="en-US" w:eastAsia="zh-CN"/>
              </w:rPr>
              <w:t>3</w:t>
            </w:r>
            <w:r>
              <w:rPr>
                <w:rFonts w:hint="eastAsia" w:ascii="宋体" w:hAnsi="宋体" w:cs="宋体"/>
                <w:sz w:val="24"/>
                <w:szCs w:val="24"/>
              </w:rPr>
              <w:t>分</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0-</w:t>
            </w:r>
            <w:r>
              <w:rPr>
                <w:rFonts w:hint="eastAsia" w:ascii="宋体" w:hAnsi="宋体" w:cs="宋体"/>
                <w:sz w:val="24"/>
                <w:szCs w:val="24"/>
                <w:lang w:val="en-US" w:eastAsia="zh-CN"/>
              </w:rPr>
              <w:t>3</w:t>
            </w:r>
            <w:r>
              <w:rPr>
                <w:rFonts w:hint="eastAsia" w:ascii="宋体" w:hAnsi="宋体" w:cs="宋体"/>
                <w:sz w:val="24"/>
                <w:szCs w:val="24"/>
              </w:rPr>
              <w:t>分</w:t>
            </w:r>
          </w:p>
        </w:tc>
        <w:tc>
          <w:tcPr>
            <w:tcW w:w="66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cs="宋体"/>
                <w:sz w:val="24"/>
                <w:szCs w:val="24"/>
              </w:rPr>
              <w:t>采购人在使用过程出现故障，制定应急预案措施，应急到达时间，人员配备按排。</w:t>
            </w:r>
            <w:r>
              <w:rPr>
                <w:rFonts w:hint="eastAsia" w:ascii="宋体" w:hAnsi="宋体" w:cs="宋体"/>
                <w:sz w:val="24"/>
                <w:szCs w:val="24"/>
                <w:lang w:eastAsia="zh-CN"/>
              </w:rPr>
              <w:t>（</w:t>
            </w:r>
            <w:r>
              <w:rPr>
                <w:rFonts w:hint="eastAsia" w:ascii="宋体" w:hAnsi="宋体" w:cs="宋体"/>
                <w:sz w:val="24"/>
                <w:szCs w:val="24"/>
                <w:lang w:val="en-US" w:eastAsia="zh-CN"/>
              </w:rPr>
              <w:t>内容完整，清晰得3分，否则不得分</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52" w:hRule="atLeast"/>
          <w:jc w:val="center"/>
        </w:trPr>
        <w:tc>
          <w:tcPr>
            <w:tcW w:w="408" w:type="dxa"/>
            <w:vMerge w:val="continue"/>
            <w:tcBorders>
              <w:left w:val="single" w:color="auto" w:sz="4" w:space="0"/>
              <w:right w:val="single" w:color="auto" w:sz="4" w:space="0"/>
            </w:tcBorders>
            <w:vAlign w:val="center"/>
          </w:tcPr>
          <w:p>
            <w:pPr>
              <w:spacing w:line="360" w:lineRule="auto"/>
              <w:jc w:val="center"/>
              <w:rPr>
                <w:rFonts w:ascii="宋体" w:hAnsi="宋体" w:cs="宋体"/>
                <w:sz w:val="24"/>
                <w:szCs w:val="24"/>
              </w:rPr>
            </w:pPr>
          </w:p>
        </w:tc>
        <w:tc>
          <w:tcPr>
            <w:tcW w:w="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4</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实施方案5分</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0-5分</w:t>
            </w:r>
          </w:p>
        </w:tc>
        <w:tc>
          <w:tcPr>
            <w:tcW w:w="6655" w:type="dxa"/>
            <w:tcBorders>
              <w:top w:val="single" w:color="auto" w:sz="4" w:space="0"/>
              <w:left w:val="single" w:color="auto" w:sz="4" w:space="0"/>
              <w:bottom w:val="single" w:color="auto" w:sz="4" w:space="0"/>
              <w:right w:val="single" w:color="auto" w:sz="4" w:space="0"/>
            </w:tcBorders>
            <w:vAlign w:val="center"/>
          </w:tcPr>
          <w:p>
            <w:pPr>
              <w:pStyle w:val="177"/>
              <w:spacing w:before="163" w:line="360" w:lineRule="auto"/>
              <w:ind w:right="119"/>
              <w:rPr>
                <w:sz w:val="24"/>
                <w:szCs w:val="24"/>
              </w:rPr>
            </w:pPr>
            <w:r>
              <w:rPr>
                <w:rFonts w:hint="eastAsia"/>
                <w:sz w:val="24"/>
                <w:szCs w:val="24"/>
                <w:lang w:val="en-US" w:bidi="ar-SA"/>
              </w:rPr>
              <w:t>提供供货装配、运输方案、专业人员配置、进度计划、质量保证措施、实施方案较清晰、完整，内容满足采购文件要求；（优4-5分，良2-3分，一般得1分，差不得分。）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408" w:type="dxa"/>
            <w:vMerge w:val="continue"/>
            <w:tcBorders>
              <w:left w:val="single" w:color="auto" w:sz="4" w:space="0"/>
              <w:right w:val="single" w:color="auto" w:sz="4" w:space="0"/>
            </w:tcBorders>
            <w:vAlign w:val="center"/>
          </w:tcPr>
          <w:p>
            <w:pPr>
              <w:spacing w:line="360" w:lineRule="auto"/>
              <w:jc w:val="center"/>
              <w:rPr>
                <w:rFonts w:ascii="宋体" w:hAnsi="宋体" w:cs="宋体"/>
                <w:sz w:val="24"/>
                <w:szCs w:val="24"/>
              </w:rPr>
            </w:pPr>
          </w:p>
        </w:tc>
        <w:tc>
          <w:tcPr>
            <w:tcW w:w="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sz w:val="24"/>
                <w:szCs w:val="24"/>
              </w:rPr>
              <w:t>交货期3分</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0-3分</w:t>
            </w:r>
          </w:p>
        </w:tc>
        <w:tc>
          <w:tcPr>
            <w:tcW w:w="66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z w:val="24"/>
                <w:szCs w:val="24"/>
              </w:rPr>
            </w:pPr>
            <w:r>
              <w:rPr>
                <w:rFonts w:hint="eastAsia" w:ascii="宋体" w:hAnsi="宋体" w:cs="宋体"/>
                <w:sz w:val="24"/>
                <w:szCs w:val="24"/>
              </w:rPr>
              <w:t>优于采购文件中交货时间要求，提前一天得1分，最高得3分，满足采购文件要求不得分。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9" w:hRule="atLeast"/>
          <w:jc w:val="center"/>
        </w:trPr>
        <w:tc>
          <w:tcPr>
            <w:tcW w:w="408" w:type="dxa"/>
            <w:vMerge w:val="continue"/>
            <w:tcBorders>
              <w:left w:val="single" w:color="auto" w:sz="4" w:space="0"/>
              <w:right w:val="single" w:color="auto" w:sz="4" w:space="0"/>
            </w:tcBorders>
            <w:vAlign w:val="center"/>
          </w:tcPr>
          <w:p>
            <w:pPr>
              <w:spacing w:line="360" w:lineRule="auto"/>
              <w:jc w:val="center"/>
              <w:rPr>
                <w:rFonts w:ascii="宋体" w:hAnsi="宋体" w:cs="宋体"/>
                <w:sz w:val="24"/>
                <w:szCs w:val="24"/>
              </w:rPr>
            </w:pPr>
            <w:bookmarkStart w:id="54" w:name="_Toc4511"/>
            <w:bookmarkStart w:id="55" w:name="_Toc12868"/>
            <w:bookmarkStart w:id="56" w:name="_Toc24783"/>
            <w:bookmarkStart w:id="57" w:name="_Toc10216"/>
            <w:bookmarkStart w:id="58" w:name="_Toc3520"/>
            <w:bookmarkStart w:id="59" w:name="OLE_LINK7"/>
            <w:bookmarkStart w:id="60" w:name="OLE_LINK6"/>
          </w:p>
        </w:tc>
        <w:tc>
          <w:tcPr>
            <w:tcW w:w="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sz w:val="24"/>
                <w:szCs w:val="24"/>
              </w:rPr>
              <w:t>售后服务方案及承诺20分</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0-20分</w:t>
            </w:r>
          </w:p>
        </w:tc>
        <w:tc>
          <w:tcPr>
            <w:tcW w:w="66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kern w:val="0"/>
                <w:sz w:val="24"/>
                <w:szCs w:val="24"/>
              </w:rPr>
            </w:pPr>
            <w:r>
              <w:rPr>
                <w:rFonts w:hint="eastAsia" w:ascii="宋体" w:hAnsi="宋体" w:cs="宋体"/>
                <w:sz w:val="24"/>
                <w:szCs w:val="24"/>
              </w:rPr>
              <w:t>售后服务承诺内容。售后服务承诺详细、具体、满足用户要求，明确项目</w:t>
            </w:r>
            <w:r>
              <w:rPr>
                <w:rFonts w:hint="eastAsia" w:ascii="黑体" w:hAnsi="黑体" w:eastAsia="黑体" w:cs="黑体"/>
                <w:sz w:val="24"/>
                <w:szCs w:val="24"/>
                <w:u w:val="single"/>
              </w:rPr>
              <w:t>1、</w:t>
            </w:r>
            <w:r>
              <w:rPr>
                <w:rFonts w:hint="eastAsia" w:ascii="黑体" w:hAnsi="黑体" w:eastAsia="黑体" w:cs="黑体"/>
                <w:b/>
                <w:bCs/>
                <w:sz w:val="24"/>
                <w:szCs w:val="24"/>
                <w:u w:val="single"/>
              </w:rPr>
              <w:t>技术支持人员数量及联系方式</w:t>
            </w:r>
            <w:r>
              <w:rPr>
                <w:rFonts w:hint="eastAsia" w:ascii="宋体" w:hAnsi="宋体" w:cs="宋体"/>
                <w:sz w:val="24"/>
                <w:szCs w:val="24"/>
              </w:rPr>
              <w:t>及</w:t>
            </w:r>
            <w:r>
              <w:rPr>
                <w:rFonts w:hint="eastAsia" w:ascii="黑体" w:hAnsi="黑体" w:eastAsia="黑体" w:cs="黑体"/>
                <w:b/>
                <w:bCs/>
                <w:sz w:val="24"/>
                <w:szCs w:val="24"/>
                <w:u w:val="single"/>
              </w:rPr>
              <w:t>2、到达现场响应时间</w:t>
            </w:r>
            <w:r>
              <w:rPr>
                <w:rFonts w:hint="eastAsia" w:ascii="宋体" w:hAnsi="宋体" w:cs="宋体"/>
                <w:sz w:val="24"/>
                <w:szCs w:val="24"/>
              </w:rPr>
              <w:t>、</w:t>
            </w:r>
            <w:r>
              <w:rPr>
                <w:rFonts w:hint="eastAsia" w:ascii="黑体" w:hAnsi="黑体" w:eastAsia="黑体" w:cs="黑体"/>
                <w:sz w:val="24"/>
                <w:szCs w:val="24"/>
                <w:u w:val="single"/>
              </w:rPr>
              <w:t>3、</w:t>
            </w:r>
            <w:r>
              <w:rPr>
                <w:rFonts w:hint="eastAsia" w:ascii="黑体" w:hAnsi="黑体" w:eastAsia="黑体" w:cs="黑体"/>
                <w:b/>
                <w:bCs/>
                <w:sz w:val="24"/>
                <w:szCs w:val="24"/>
                <w:u w:val="single"/>
              </w:rPr>
              <w:t>免费服务年限</w:t>
            </w:r>
            <w:r>
              <w:rPr>
                <w:rFonts w:hint="eastAsia" w:ascii="宋体" w:hAnsi="宋体" w:cs="宋体"/>
                <w:b/>
                <w:bCs/>
                <w:sz w:val="24"/>
                <w:szCs w:val="24"/>
              </w:rPr>
              <w:t>，</w:t>
            </w:r>
            <w:r>
              <w:rPr>
                <w:rFonts w:hint="eastAsia" w:ascii="黑体" w:hAnsi="黑体" w:eastAsia="黑体" w:cs="黑体"/>
                <w:b/>
                <w:bCs/>
                <w:sz w:val="24"/>
                <w:szCs w:val="24"/>
                <w:u w:val="single"/>
              </w:rPr>
              <w:t>4、提供技术支持固定电话及手机号</w:t>
            </w:r>
            <w:r>
              <w:rPr>
                <w:rFonts w:hint="eastAsia" w:ascii="宋体" w:hAnsi="宋体" w:cs="宋体"/>
                <w:sz w:val="24"/>
                <w:szCs w:val="24"/>
              </w:rPr>
              <w:t>。</w:t>
            </w:r>
            <w:r>
              <w:rPr>
                <w:rFonts w:hint="eastAsia" w:ascii="宋体" w:hAnsi="宋体" w:cs="宋体"/>
                <w:b/>
                <w:bCs/>
                <w:sz w:val="24"/>
                <w:szCs w:val="24"/>
                <w:u w:val="single"/>
              </w:rPr>
              <w:t>（内容完整的，优于采购文件要求的得满分，本内容共四项，缺一项扣5分，仅满足采购文件文件要求不得分）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9" w:hRule="atLeast"/>
          <w:jc w:val="center"/>
        </w:trPr>
        <w:tc>
          <w:tcPr>
            <w:tcW w:w="408" w:type="dxa"/>
            <w:tcBorders>
              <w:left w:val="single" w:color="auto" w:sz="4" w:space="0"/>
              <w:right w:val="single" w:color="auto" w:sz="4" w:space="0"/>
            </w:tcBorders>
            <w:vAlign w:val="center"/>
          </w:tcPr>
          <w:p>
            <w:pPr>
              <w:spacing w:line="360" w:lineRule="auto"/>
              <w:jc w:val="center"/>
              <w:rPr>
                <w:rFonts w:ascii="宋体" w:hAnsi="宋体" w:cs="宋体"/>
                <w:sz w:val="24"/>
                <w:szCs w:val="24"/>
              </w:rPr>
            </w:pPr>
          </w:p>
        </w:tc>
        <w:tc>
          <w:tcPr>
            <w:tcW w:w="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1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kern w:val="0"/>
                <w:sz w:val="24"/>
              </w:rPr>
              <w:t>货物备件5分</w:t>
            </w:r>
          </w:p>
        </w:tc>
        <w:tc>
          <w:tcPr>
            <w:tcW w:w="10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0-5分</w:t>
            </w:r>
          </w:p>
        </w:tc>
        <w:tc>
          <w:tcPr>
            <w:tcW w:w="66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z w:val="24"/>
                <w:szCs w:val="24"/>
              </w:rPr>
            </w:pPr>
            <w:r>
              <w:rPr>
                <w:rFonts w:hint="eastAsia" w:ascii="宋体" w:hAnsi="宋体" w:cs="宋体"/>
                <w:sz w:val="24"/>
                <w:szCs w:val="24"/>
              </w:rPr>
              <w:t>提供的范围、数量、品质、质保期满后易损件、备品备件长期供应价格等</w:t>
            </w:r>
            <w:r>
              <w:rPr>
                <w:rFonts w:hint="eastAsia" w:ascii="宋体" w:hAnsi="宋体" w:cs="宋体"/>
                <w:sz w:val="24"/>
                <w:szCs w:val="24"/>
                <w:lang w:eastAsia="zh-CN"/>
              </w:rPr>
              <w:t>。（</w:t>
            </w:r>
            <w:r>
              <w:rPr>
                <w:rFonts w:hint="eastAsia" w:ascii="宋体" w:hAnsi="宋体" w:cs="宋体"/>
                <w:sz w:val="24"/>
                <w:szCs w:val="24"/>
                <w:lang w:val="en-US" w:eastAsia="zh-CN"/>
              </w:rPr>
              <w:t>内容完整浅析得5分，否则不得分）</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9" w:hRule="atLeast"/>
          <w:jc w:val="center"/>
        </w:trPr>
        <w:tc>
          <w:tcPr>
            <w:tcW w:w="408" w:type="dxa"/>
            <w:tcBorders>
              <w:left w:val="single" w:color="auto" w:sz="4" w:space="0"/>
              <w:right w:val="single" w:color="auto" w:sz="4" w:space="0"/>
            </w:tcBorders>
            <w:vAlign w:val="center"/>
          </w:tcPr>
          <w:p>
            <w:pPr>
              <w:spacing w:line="360" w:lineRule="auto"/>
              <w:jc w:val="center"/>
              <w:rPr>
                <w:rFonts w:ascii="宋体" w:hAnsi="宋体" w:cs="宋体"/>
                <w:sz w:val="24"/>
                <w:szCs w:val="24"/>
              </w:rPr>
            </w:pPr>
          </w:p>
        </w:tc>
        <w:tc>
          <w:tcPr>
            <w:tcW w:w="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kern w:val="0"/>
                <w:sz w:val="24"/>
              </w:rPr>
              <w:t>售后服务5分</w:t>
            </w:r>
          </w:p>
        </w:tc>
        <w:tc>
          <w:tcPr>
            <w:tcW w:w="10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0-5分</w:t>
            </w:r>
          </w:p>
        </w:tc>
        <w:tc>
          <w:tcPr>
            <w:tcW w:w="66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z w:val="24"/>
                <w:szCs w:val="24"/>
              </w:rPr>
            </w:pPr>
            <w:r>
              <w:rPr>
                <w:rFonts w:hint="eastAsia" w:ascii="宋体" w:hAnsi="宋体" w:cs="宋体"/>
                <w:sz w:val="24"/>
                <w:szCs w:val="24"/>
              </w:rPr>
              <w:t>在设备使用当地有售后服务点，得5分，否则不得分（提供相关证明文件）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9" w:hRule="atLeast"/>
          <w:jc w:val="center"/>
        </w:trPr>
        <w:tc>
          <w:tcPr>
            <w:tcW w:w="408" w:type="dxa"/>
            <w:tcBorders>
              <w:left w:val="single" w:color="auto" w:sz="4" w:space="0"/>
              <w:right w:val="single" w:color="auto" w:sz="4" w:space="0"/>
            </w:tcBorders>
            <w:vAlign w:val="center"/>
          </w:tcPr>
          <w:p>
            <w:pPr>
              <w:spacing w:line="360" w:lineRule="auto"/>
              <w:jc w:val="center"/>
              <w:rPr>
                <w:rFonts w:ascii="宋体" w:hAnsi="宋体" w:cs="宋体"/>
                <w:sz w:val="24"/>
                <w:szCs w:val="24"/>
              </w:rPr>
            </w:pPr>
          </w:p>
        </w:tc>
        <w:tc>
          <w:tcPr>
            <w:tcW w:w="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9</w:t>
            </w:r>
          </w:p>
        </w:tc>
        <w:tc>
          <w:tcPr>
            <w:tcW w:w="16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质保期</w:t>
            </w:r>
          </w:p>
        </w:tc>
        <w:tc>
          <w:tcPr>
            <w:tcW w:w="10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0-3分</w:t>
            </w:r>
          </w:p>
        </w:tc>
        <w:tc>
          <w:tcPr>
            <w:tcW w:w="66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仅满足磋商文件要求的不得分，每增加一年得1分，最高得3分</w:t>
            </w:r>
          </w:p>
        </w:tc>
      </w:tr>
      <w:bookmarkEnd w:id="53"/>
    </w:tbl>
    <w:p>
      <w:pPr>
        <w:spacing w:line="360" w:lineRule="auto"/>
        <w:ind w:firstLine="480" w:firstLineChars="200"/>
        <w:jc w:val="left"/>
        <w:rPr>
          <w:rFonts w:ascii="宋体" w:hAnsi="宋体" w:cs="宋体"/>
          <w:sz w:val="24"/>
          <w:szCs w:val="24"/>
        </w:rPr>
      </w:pPr>
      <w:r>
        <w:rPr>
          <w:rFonts w:hint="eastAsia" w:ascii="宋体" w:hAnsi="宋体" w:cs="宋体"/>
          <w:sz w:val="24"/>
          <w:szCs w:val="24"/>
        </w:rPr>
        <w:t>26.3.3 本次采购方式为竞争性磋商，共有两次报价机会，响应单位在截止时间内递交的响应文件中的报价作为第一次报价；评审小组分别与供应商进行商务、技术、服务等的商讨，磋商结束后，评审小组要求所有实质性响应竞争性磋商文件和采购方要求的供应商在规定的时间内提交最后报价，供应商的最后报价进入商务报价评审。</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26.3.4 在评审过程中，评审小组发现供应商的报价明显低于其他磋商报价，使得其磋商报价可能低于其个别成本的，应当要求该供应商做出书面说明并提供相关证明材料。供应商不能合理说明或者不能提供相关证明材料的，评审小组认定该供应商以低于成本报价竞争性磋商，其磋商将被否决。</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26.3.5 磋商的最低报价，不作为是否成交的保证。</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26.4 澄清有关问题。对响应文件中含义不明确、同类问题表述不一致或者有明显文字和计算错误的内容，评审委员会可以书面形式（应当由评审委员会专家签字）要求供应商作出必要的澄清、说明或者纠正。供应商的澄清、说明或者补正应当采用书面形式，由其授权的代表签字，并不得超出响应文件的范围或者改变响应文件的实质性内容 。</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26.5比较与评价。按采购文件中规定的评审方法和标准，对资格性检查和符合性检查合格的响应文件进行商务和技术评估，综合比较与评价。</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26.6 推荐成交候选供应商名单。成交候选供应商数量应当根据采购需要确定，但必须按顺序排列成交候选供应商。</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26.7 响应文件属下列情况之一的，应当在资格性检查时按照无效磋商处理：</w:t>
      </w:r>
    </w:p>
    <w:p>
      <w:pPr>
        <w:spacing w:line="360" w:lineRule="auto"/>
        <w:ind w:firstLine="480" w:firstLineChars="200"/>
        <w:rPr>
          <w:rFonts w:ascii="宋体" w:hAnsi="宋体" w:cs="宋体"/>
          <w:sz w:val="24"/>
          <w:szCs w:val="24"/>
        </w:rPr>
      </w:pPr>
      <w:r>
        <w:rPr>
          <w:rFonts w:hint="eastAsia" w:ascii="宋体" w:hAnsi="宋体" w:cs="宋体"/>
          <w:sz w:val="24"/>
          <w:szCs w:val="24"/>
        </w:rPr>
        <w:t>（一）应交未交磋商保证金的；</w:t>
      </w:r>
    </w:p>
    <w:p>
      <w:pPr>
        <w:spacing w:line="360" w:lineRule="auto"/>
        <w:ind w:firstLine="480" w:firstLineChars="200"/>
        <w:rPr>
          <w:rFonts w:ascii="宋体" w:hAnsi="宋体" w:cs="宋体"/>
          <w:sz w:val="24"/>
          <w:szCs w:val="24"/>
        </w:rPr>
      </w:pPr>
      <w:r>
        <w:rPr>
          <w:rFonts w:hint="eastAsia" w:ascii="宋体" w:hAnsi="宋体" w:cs="宋体"/>
          <w:sz w:val="24"/>
          <w:szCs w:val="24"/>
        </w:rPr>
        <w:t>（二）未按照采购文件规定要求密封、签署、盖章的；</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（三）不具备采购文件中规定资格要求的；</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（四）不符合法律、法规和采购文件中规定的其他实质性要求的。</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磋商文件规定的其他情形及《政府部令第87号》第三十四条、第六十三条规定的</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26.8 在采购中，出现下列规定情形之一的，采购单位应当按无效磋商处理，并将无效磋商理由通知所有供应商。</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（一）符合专业条件的供应商或者对采购文件作实质响应的供应商不足三家的；</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（二）出现影响采购公正的违法、违规行为的；</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（三）供应商的报价均超过了采购预算，采购人不能支付的；</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（四）因重大变故，采购任务取消的。</w:t>
      </w:r>
    </w:p>
    <w:p>
      <w:pPr>
        <w:spacing w:line="360" w:lineRule="auto"/>
        <w:ind w:firstLine="480" w:firstLineChars="200"/>
        <w:rPr>
          <w:rFonts w:ascii="宋体" w:hAnsi="宋体" w:cs="宋体"/>
          <w:sz w:val="24"/>
          <w:szCs w:val="24"/>
        </w:rPr>
      </w:pPr>
      <w:r>
        <w:rPr>
          <w:rFonts w:hint="eastAsia" w:ascii="宋体" w:hAnsi="宋体" w:cs="宋体"/>
          <w:sz w:val="24"/>
          <w:szCs w:val="24"/>
        </w:rPr>
        <w:t>26.9  无效磋商后，除采购任务取消情形外，采购单位应当重新组织采购。需要采取其他采购方式的，应当在采购活动开始前获得设区的市、自治州以上人民政府财政部门的批准。</w:t>
      </w:r>
    </w:p>
    <w:p>
      <w:pPr>
        <w:spacing w:line="360" w:lineRule="auto"/>
        <w:ind w:firstLine="480" w:firstLineChars="200"/>
        <w:rPr>
          <w:rFonts w:ascii="宋体" w:hAnsi="宋体" w:cs="宋体"/>
          <w:sz w:val="24"/>
          <w:szCs w:val="24"/>
        </w:rPr>
      </w:pPr>
      <w:r>
        <w:rPr>
          <w:rFonts w:hint="eastAsia" w:ascii="宋体" w:hAnsi="宋体" w:cs="宋体"/>
          <w:sz w:val="24"/>
          <w:szCs w:val="24"/>
        </w:rPr>
        <w:t>27.  竞争磋商评分</w:t>
      </w:r>
    </w:p>
    <w:p>
      <w:pPr>
        <w:spacing w:line="360" w:lineRule="auto"/>
        <w:ind w:firstLine="480" w:firstLineChars="200"/>
        <w:rPr>
          <w:rFonts w:ascii="宋体" w:hAnsi="宋体" w:cs="宋体"/>
          <w:b/>
          <w:bCs/>
          <w:sz w:val="24"/>
          <w:szCs w:val="24"/>
        </w:rPr>
      </w:pPr>
      <w:r>
        <w:rPr>
          <w:rFonts w:hint="eastAsia" w:ascii="宋体" w:hAnsi="宋体" w:cs="宋体"/>
          <w:sz w:val="24"/>
          <w:szCs w:val="24"/>
        </w:rPr>
        <w:t>27.1采用综合评分法的，按评审后得分由高到低顺序排列。得分相同的，按磋商报价由低到高顺序排列。得分且磋商报价相同的，按技术指标优劣顺序排列。（</w:t>
      </w:r>
      <w:r>
        <w:rPr>
          <w:rFonts w:hint="eastAsia" w:ascii="宋体" w:hAnsi="宋体" w:cs="宋体"/>
          <w:b/>
          <w:bCs/>
          <w:sz w:val="24"/>
          <w:szCs w:val="24"/>
        </w:rPr>
        <w:t>最低报价不作为成交的唯一依据）</w:t>
      </w:r>
    </w:p>
    <w:p>
      <w:pPr>
        <w:spacing w:line="360" w:lineRule="auto"/>
        <w:ind w:firstLine="480" w:firstLineChars="200"/>
        <w:rPr>
          <w:rFonts w:ascii="宋体" w:hAnsi="宋体" w:cs="宋体"/>
          <w:sz w:val="24"/>
          <w:szCs w:val="24"/>
        </w:rPr>
      </w:pPr>
      <w:r>
        <w:rPr>
          <w:rFonts w:hint="eastAsia" w:ascii="宋体" w:hAnsi="宋体" w:cs="宋体"/>
          <w:sz w:val="24"/>
          <w:szCs w:val="24"/>
        </w:rPr>
        <w:t>28.   成交供应商的确认</w:t>
      </w:r>
    </w:p>
    <w:p>
      <w:pPr>
        <w:spacing w:line="360" w:lineRule="auto"/>
        <w:ind w:firstLine="480" w:firstLineChars="200"/>
        <w:rPr>
          <w:rFonts w:ascii="宋体" w:hAnsi="宋体" w:cs="宋体"/>
          <w:sz w:val="24"/>
          <w:szCs w:val="24"/>
        </w:rPr>
      </w:pPr>
      <w:r>
        <w:rPr>
          <w:rFonts w:hint="eastAsia" w:ascii="宋体" w:hAnsi="宋体" w:cs="宋体"/>
          <w:sz w:val="24"/>
          <w:szCs w:val="24"/>
        </w:rPr>
        <w:t>28.1  评审委员会以书面形式推荐三名成交候选人。采购人应当接受评审委员会推荐的成交候选人，不得在评审委员会推荐的成交候选人之外确定成交供应商。评审委员会无义务向供应商进行任何有关评审的解释工作。</w:t>
      </w:r>
    </w:p>
    <w:p>
      <w:pPr>
        <w:spacing w:line="360" w:lineRule="auto"/>
        <w:ind w:firstLine="480" w:firstLineChars="200"/>
        <w:rPr>
          <w:rFonts w:ascii="宋体" w:hAnsi="宋体" w:cs="宋体"/>
          <w:sz w:val="24"/>
          <w:szCs w:val="24"/>
        </w:rPr>
      </w:pPr>
      <w:r>
        <w:rPr>
          <w:rFonts w:hint="eastAsia" w:ascii="宋体" w:hAnsi="宋体" w:cs="宋体"/>
          <w:sz w:val="24"/>
          <w:szCs w:val="24"/>
        </w:rPr>
        <w:t>28.2  依据</w:t>
      </w:r>
      <w:r>
        <w:rPr>
          <w:rFonts w:hint="eastAsia" w:ascii="宋体" w:hAnsi="宋体" w:cs="宋体"/>
          <w:b/>
          <w:bCs/>
          <w:sz w:val="24"/>
          <w:szCs w:val="24"/>
        </w:rPr>
        <w:t>《政府采购竞争性磋商采购方式管理暂行办法》--财库【2014】214号第二十八条</w:t>
      </w:r>
      <w:r>
        <w:rPr>
          <w:rFonts w:hint="eastAsia" w:ascii="宋体" w:hAnsi="宋体" w:cs="宋体"/>
          <w:sz w:val="24"/>
          <w:szCs w:val="24"/>
        </w:rPr>
        <w:t xml:space="preserve"> 采购代理机构应当在评审结束后2个工作日内将评审报告送采购人确认 。</w:t>
      </w:r>
    </w:p>
    <w:p>
      <w:pPr>
        <w:spacing w:line="360" w:lineRule="auto"/>
        <w:ind w:firstLine="480" w:firstLineChars="200"/>
        <w:rPr>
          <w:rFonts w:ascii="宋体" w:hAnsi="宋体" w:cs="宋体"/>
          <w:sz w:val="24"/>
          <w:szCs w:val="24"/>
        </w:rPr>
      </w:pPr>
      <w:r>
        <w:rPr>
          <w:rFonts w:hint="eastAsia" w:ascii="宋体" w:hAnsi="宋体" w:cs="宋体"/>
          <w:sz w:val="24"/>
          <w:szCs w:val="24"/>
        </w:rPr>
        <w:t>28.3  在确定成交供应商前，采购单位不得与供应商就磋商价格、磋商方案等实质性内容进行谈判。</w:t>
      </w:r>
    </w:p>
    <w:p>
      <w:pPr>
        <w:spacing w:line="360" w:lineRule="auto"/>
        <w:ind w:firstLine="480" w:firstLineChars="200"/>
        <w:rPr>
          <w:rFonts w:ascii="宋体" w:hAnsi="宋体" w:cs="宋体"/>
          <w:sz w:val="24"/>
          <w:szCs w:val="24"/>
        </w:rPr>
      </w:pPr>
      <w:r>
        <w:rPr>
          <w:rFonts w:hint="eastAsia" w:ascii="宋体" w:hAnsi="宋体" w:cs="宋体"/>
          <w:sz w:val="24"/>
          <w:szCs w:val="24"/>
        </w:rPr>
        <w:t>29.   成交通知</w:t>
      </w:r>
    </w:p>
    <w:p>
      <w:pPr>
        <w:spacing w:line="360" w:lineRule="auto"/>
        <w:ind w:firstLine="480" w:firstLineChars="200"/>
        <w:rPr>
          <w:rFonts w:ascii="宋体" w:hAnsi="宋体" w:cs="宋体"/>
          <w:sz w:val="24"/>
          <w:szCs w:val="24"/>
        </w:rPr>
      </w:pPr>
      <w:r>
        <w:rPr>
          <w:rFonts w:hint="eastAsia" w:ascii="宋体" w:hAnsi="宋体" w:cs="宋体"/>
          <w:sz w:val="24"/>
          <w:szCs w:val="24"/>
        </w:rPr>
        <w:t>29.1 成交供应商确定后，成交结果应当在财政部门指定的政府采购信息发布媒体上公告。</w:t>
      </w:r>
    </w:p>
    <w:p>
      <w:pPr>
        <w:spacing w:line="360" w:lineRule="auto"/>
        <w:ind w:firstLine="480" w:firstLineChars="200"/>
        <w:rPr>
          <w:rFonts w:ascii="宋体" w:hAnsi="宋体" w:cs="宋体"/>
          <w:sz w:val="24"/>
          <w:szCs w:val="24"/>
        </w:rPr>
      </w:pPr>
      <w:r>
        <w:rPr>
          <w:rFonts w:hint="eastAsia" w:ascii="宋体" w:hAnsi="宋体" w:cs="宋体"/>
          <w:sz w:val="24"/>
          <w:szCs w:val="24"/>
        </w:rPr>
        <w:t>29.2  在发布公告的同时，采购代理机构应当向成交供应商发出成交通知书，成交通知书对采购人和成交供应商具有同等法律效力。</w:t>
      </w:r>
    </w:p>
    <w:p>
      <w:pPr>
        <w:pStyle w:val="3"/>
        <w:spacing w:line="360" w:lineRule="auto"/>
        <w:rPr>
          <w:rFonts w:ascii="宋体" w:hAnsi="宋体" w:eastAsia="宋体" w:cs="宋体"/>
          <w:b/>
          <w:bCs/>
          <w:sz w:val="30"/>
          <w:szCs w:val="30"/>
        </w:rPr>
      </w:pPr>
      <w:bookmarkStart w:id="61" w:name="_Toc23314"/>
      <w:r>
        <w:rPr>
          <w:rFonts w:hint="eastAsia" w:ascii="宋体" w:hAnsi="宋体" w:eastAsia="宋体" w:cs="宋体"/>
          <w:b/>
          <w:bCs/>
          <w:sz w:val="30"/>
          <w:szCs w:val="30"/>
        </w:rPr>
        <w:t>七、授予合同</w:t>
      </w:r>
      <w:bookmarkEnd w:id="54"/>
      <w:bookmarkEnd w:id="55"/>
      <w:bookmarkEnd w:id="56"/>
      <w:bookmarkEnd w:id="57"/>
      <w:bookmarkEnd w:id="58"/>
      <w:bookmarkEnd w:id="61"/>
    </w:p>
    <w:p>
      <w:pPr>
        <w:spacing w:line="360" w:lineRule="auto"/>
        <w:ind w:firstLine="480" w:firstLineChars="200"/>
        <w:jc w:val="left"/>
        <w:rPr>
          <w:rFonts w:ascii="宋体" w:hAnsi="宋体" w:cs="宋体"/>
          <w:sz w:val="24"/>
          <w:szCs w:val="24"/>
        </w:rPr>
      </w:pPr>
      <w:bookmarkStart w:id="62" w:name="_Toc10633"/>
      <w:bookmarkStart w:id="63" w:name="_Toc15362"/>
      <w:bookmarkStart w:id="64" w:name="_Toc3493"/>
      <w:bookmarkStart w:id="65" w:name="_Toc18570"/>
      <w:bookmarkStart w:id="66" w:name="_Toc25209"/>
      <w:r>
        <w:rPr>
          <w:rFonts w:hint="eastAsia" w:ascii="宋体" w:hAnsi="宋体" w:cs="宋体"/>
          <w:sz w:val="24"/>
          <w:szCs w:val="24"/>
        </w:rPr>
        <w:t>30.   签订商务合同</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30.1  依据</w:t>
      </w:r>
      <w:r>
        <w:rPr>
          <w:rFonts w:hint="eastAsia" w:ascii="宋体" w:hAnsi="宋体" w:cs="宋体"/>
          <w:b/>
          <w:bCs/>
          <w:sz w:val="24"/>
          <w:szCs w:val="24"/>
        </w:rPr>
        <w:t xml:space="preserve">《政府采购竞争性磋商采购方式管理暂行办法》--财库【2014】214号第三十条 </w:t>
      </w:r>
      <w:r>
        <w:rPr>
          <w:rFonts w:hint="eastAsia" w:ascii="宋体" w:hAnsi="宋体" w:cs="宋体"/>
          <w:sz w:val="24"/>
          <w:szCs w:val="24"/>
        </w:rPr>
        <w:t>采购人与成交供应商应当在成交通知书发出之日起30日内，按照磋商文件确定的合同文本以及采购的、规格型号、采购金额、采购数量、技术和服务要求等事项签订政府采购合同。</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成交通知书对采购人和成交供应商均具有法律效力。成交通知书发出后，采购人改变成交结果的，或者成交供应商放弃成交项目的，应当依法承担法律责任。</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30.2  成交合同不得转让。合同分包需在响应文件中予以说明，并需经买方同意。否则，买方有权取消成交供应商的成交资格。</w:t>
      </w:r>
    </w:p>
    <w:p>
      <w:pPr>
        <w:pStyle w:val="24"/>
        <w:spacing w:line="360" w:lineRule="auto"/>
        <w:ind w:firstLine="480"/>
        <w:rPr>
          <w:rFonts w:cs="宋体"/>
          <w:b/>
          <w:bCs/>
          <w:sz w:val="24"/>
          <w:szCs w:val="24"/>
        </w:rPr>
      </w:pPr>
      <w:r>
        <w:rPr>
          <w:rFonts w:hint="eastAsia" w:cs="宋体"/>
          <w:sz w:val="24"/>
          <w:szCs w:val="24"/>
        </w:rPr>
        <w:t>30.3成交供应商拒绝与采购人签订合同的依据</w:t>
      </w:r>
      <w:r>
        <w:rPr>
          <w:rFonts w:hint="eastAsia" w:cs="宋体"/>
          <w:b/>
          <w:bCs/>
          <w:sz w:val="24"/>
          <w:szCs w:val="24"/>
        </w:rPr>
        <w:t>《中华人民共和国政府采购法实施条例》国务院令第658号  第五章 政府采购合同 第四十九条 及 《政府采购质疑和投诉办法》--财政部令第94号 第四章 投诉处理 第三十二条 第三款执行。</w:t>
      </w:r>
    </w:p>
    <w:p>
      <w:pPr>
        <w:pStyle w:val="24"/>
        <w:spacing w:line="360" w:lineRule="auto"/>
        <w:ind w:firstLine="480"/>
        <w:rPr>
          <w:rFonts w:cs="宋体"/>
          <w:b/>
          <w:bCs/>
          <w:sz w:val="24"/>
          <w:szCs w:val="24"/>
        </w:rPr>
      </w:pPr>
      <w:r>
        <w:rPr>
          <w:rFonts w:hint="eastAsia" w:cs="宋体"/>
          <w:b/>
          <w:bCs/>
          <w:sz w:val="24"/>
          <w:szCs w:val="24"/>
        </w:rPr>
        <w:t>30.3  采购人及成交人执行《政府采购法》 第五章  政府采购合同 第四十六条规定执行。成交人无正当理由不得放弃成交。（“正当理由”释义：《中华人民共和国民法典》--第八章 民事责任 第一百八十条）否则按违约处理，没收其磋商保证金。</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31.    商务合同的组成</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31.1   下列文件均为商务合同不可分割的组成部分：</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31.1.1  采购文件；</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31.1.2  成交供应商的响应文件；</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31.1.3  成交通知书；</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31.1.4  供应商澄清、说明或补正文件。</w:t>
      </w:r>
    </w:p>
    <w:p>
      <w:pPr>
        <w:pStyle w:val="3"/>
        <w:rPr>
          <w:rFonts w:ascii="宋体" w:hAnsi="宋体" w:eastAsia="宋体" w:cs="宋体"/>
          <w:b/>
          <w:bCs/>
          <w:sz w:val="30"/>
          <w:szCs w:val="30"/>
        </w:rPr>
      </w:pPr>
      <w:bookmarkStart w:id="67" w:name="_Toc27438"/>
      <w:r>
        <w:rPr>
          <w:rFonts w:hint="eastAsia" w:ascii="宋体" w:hAnsi="宋体" w:eastAsia="宋体" w:cs="宋体"/>
          <w:b/>
          <w:bCs/>
          <w:sz w:val="30"/>
          <w:szCs w:val="30"/>
        </w:rPr>
        <w:t>八、</w:t>
      </w:r>
      <w:bookmarkEnd w:id="62"/>
      <w:bookmarkEnd w:id="63"/>
      <w:bookmarkEnd w:id="64"/>
      <w:bookmarkEnd w:id="65"/>
      <w:bookmarkEnd w:id="66"/>
      <w:r>
        <w:rPr>
          <w:rFonts w:hint="eastAsia" w:ascii="宋体" w:hAnsi="宋体" w:eastAsia="宋体" w:cs="宋体"/>
          <w:b/>
          <w:bCs/>
          <w:sz w:val="30"/>
          <w:szCs w:val="30"/>
        </w:rPr>
        <w:t>买方更改采购货物数量的权利</w:t>
      </w:r>
      <w:bookmarkEnd w:id="67"/>
    </w:p>
    <w:p>
      <w:pPr>
        <w:spacing w:line="360" w:lineRule="auto"/>
        <w:ind w:firstLine="480" w:firstLineChars="200"/>
        <w:rPr>
          <w:rFonts w:ascii="宋体" w:hAnsi="宋体" w:cs="宋体"/>
          <w:sz w:val="24"/>
          <w:szCs w:val="24"/>
        </w:rPr>
      </w:pPr>
      <w:bookmarkStart w:id="68" w:name="_Toc20603"/>
      <w:bookmarkStart w:id="69" w:name="_Toc11497"/>
      <w:bookmarkStart w:id="70" w:name="_Toc1387"/>
      <w:bookmarkStart w:id="71" w:name="_Toc14337"/>
      <w:bookmarkStart w:id="72" w:name="_Toc14410"/>
      <w:r>
        <w:rPr>
          <w:rFonts w:hint="eastAsia" w:ascii="宋体" w:hAnsi="宋体" w:cs="宋体"/>
          <w:sz w:val="24"/>
          <w:szCs w:val="24"/>
        </w:rPr>
        <w:t>32.  采购方在授予合同时有权在“采购需求”中规定的货物数量和服务予以局部增加或减少，但比例不超过10%，并且不得对单价或其它实质性内容做任何改变，对增加的数量按同类型成交价格支付货款。</w:t>
      </w:r>
    </w:p>
    <w:p>
      <w:pPr>
        <w:pStyle w:val="3"/>
        <w:rPr>
          <w:rFonts w:ascii="宋体" w:hAnsi="宋体" w:eastAsia="宋体" w:cs="宋体"/>
          <w:b/>
          <w:bCs/>
          <w:sz w:val="30"/>
          <w:szCs w:val="30"/>
        </w:rPr>
      </w:pPr>
      <w:bookmarkStart w:id="73" w:name="_Toc11997"/>
      <w:r>
        <w:rPr>
          <w:rFonts w:hint="eastAsia" w:ascii="宋体" w:hAnsi="宋体" w:eastAsia="宋体" w:cs="宋体"/>
          <w:b/>
          <w:bCs/>
          <w:sz w:val="30"/>
          <w:szCs w:val="30"/>
        </w:rPr>
        <w:t>九、</w:t>
      </w:r>
      <w:bookmarkStart w:id="74" w:name="_Toc4441"/>
      <w:r>
        <w:rPr>
          <w:rFonts w:hint="eastAsia" w:ascii="宋体" w:hAnsi="宋体" w:eastAsia="宋体" w:cs="宋体"/>
          <w:b/>
          <w:bCs/>
          <w:sz w:val="30"/>
          <w:szCs w:val="30"/>
        </w:rPr>
        <w:t>质疑投诉</w:t>
      </w:r>
      <w:bookmarkEnd w:id="73"/>
      <w:bookmarkEnd w:id="74"/>
    </w:p>
    <w:p>
      <w:pPr>
        <w:pStyle w:val="24"/>
        <w:spacing w:line="360" w:lineRule="auto"/>
        <w:ind w:firstLine="480" w:firstLineChars="200"/>
        <w:rPr>
          <w:rFonts w:cs="宋体"/>
          <w:sz w:val="24"/>
          <w:szCs w:val="24"/>
        </w:rPr>
      </w:pPr>
      <w:r>
        <w:rPr>
          <w:rFonts w:hint="eastAsia" w:cs="宋体"/>
          <w:sz w:val="24"/>
          <w:szCs w:val="24"/>
        </w:rPr>
        <w:t>33.1　</w:t>
      </w:r>
      <w:r>
        <w:rPr>
          <w:rFonts w:hint="eastAsia" w:cs="宋体"/>
          <w:sz w:val="24"/>
          <w:szCs w:val="22"/>
        </w:rPr>
        <w:t>供应商对政府采购活动事项（竞争性磋商采购文件、采购过程、成交结果）有质疑的，可以向采购代理机构务必以书面形式提出询问，采购代理机构将作出书面答复，但答复的内容不涉及商业秘密，不接受任何以口头方式提出质疑</w:t>
      </w:r>
      <w:r>
        <w:rPr>
          <w:rFonts w:hint="eastAsia" w:cs="宋体"/>
          <w:sz w:val="24"/>
          <w:szCs w:val="24"/>
        </w:rPr>
        <w:t>。</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33.2　供应商认为采购文件、采购过程和成交或者成交结果使自己的权益受到损害的，应当依照《政府采购质疑和投诉办法》（中华人民共和国财政部令第94号） 第二章 提出质疑与答复 第十条规定 务必在法定质疑期内一次性针对同一个采购环节的质疑一次性以书面形式提出，否则视为已认可和确认，采购人或采购代理机构将不予受理。</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33.3　供应商对采购人或采购代理机构的答复不满意，或采购人或采购代理机构未在规定的期限作出答复的，可在答复期满后15个工作日内，依法按《政府采购质疑和投诉办法》（中华人民共和国财政部令第94号）第六条 规定向财政部门提起投诉。</w:t>
      </w:r>
    </w:p>
    <w:p>
      <w:pPr>
        <w:pStyle w:val="3"/>
        <w:spacing w:line="360" w:lineRule="auto"/>
        <w:rPr>
          <w:rFonts w:ascii="宋体" w:hAnsi="宋体" w:eastAsia="宋体" w:cs="宋体"/>
          <w:b/>
          <w:bCs/>
          <w:sz w:val="30"/>
          <w:szCs w:val="30"/>
        </w:rPr>
      </w:pPr>
      <w:bookmarkStart w:id="75" w:name="_Toc6072"/>
      <w:r>
        <w:rPr>
          <w:rFonts w:hint="eastAsia" w:ascii="宋体" w:hAnsi="宋体" w:eastAsia="宋体" w:cs="宋体"/>
          <w:b/>
          <w:bCs/>
          <w:sz w:val="30"/>
          <w:szCs w:val="30"/>
        </w:rPr>
        <w:t>十、其他事项</w:t>
      </w:r>
      <w:bookmarkEnd w:id="68"/>
      <w:bookmarkEnd w:id="69"/>
      <w:bookmarkEnd w:id="70"/>
      <w:bookmarkEnd w:id="71"/>
      <w:bookmarkEnd w:id="72"/>
      <w:bookmarkEnd w:id="75"/>
    </w:p>
    <w:p>
      <w:pPr>
        <w:pStyle w:val="91"/>
        <w:spacing w:line="360" w:lineRule="auto"/>
        <w:ind w:firstLine="480" w:firstLineChars="200"/>
        <w:jc w:val="both"/>
        <w:rPr>
          <w:rFonts w:ascii="宋体" w:hAnsi="宋体" w:cs="宋体"/>
          <w:color w:val="auto"/>
        </w:rPr>
      </w:pPr>
      <w:r>
        <w:rPr>
          <w:rFonts w:hint="eastAsia" w:ascii="宋体" w:hAnsi="宋体" w:cs="宋体"/>
          <w:color w:val="auto"/>
        </w:rPr>
        <w:t>33.  成交服务费</w:t>
      </w:r>
    </w:p>
    <w:p>
      <w:pPr>
        <w:pStyle w:val="91"/>
        <w:spacing w:line="360" w:lineRule="auto"/>
        <w:ind w:firstLine="480" w:firstLineChars="200"/>
        <w:jc w:val="both"/>
        <w:rPr>
          <w:rFonts w:ascii="宋体" w:hAnsi="宋体" w:cs="宋体"/>
          <w:color w:val="auto"/>
        </w:rPr>
      </w:pPr>
      <w:r>
        <w:rPr>
          <w:rFonts w:hint="eastAsia" w:ascii="宋体" w:hAnsi="宋体" w:cs="宋体"/>
          <w:color w:val="auto"/>
        </w:rPr>
        <w:t>33.1《成交通知书》核发后3天内，成交方必须向采购代理机构按照国家计委以计价格[2002]1980号文及发改价格[2015]299号文的收费标准一次性付清成交服务费、公证费、专家费、场地费。（采购代理服务费不得在磋商报价表中单列）。</w:t>
      </w:r>
    </w:p>
    <w:p>
      <w:pPr>
        <w:spacing w:line="360" w:lineRule="auto"/>
        <w:rPr>
          <w:rFonts w:ascii="宋体" w:hAnsi="宋体" w:cs="宋体"/>
          <w:b/>
          <w:bCs/>
          <w:sz w:val="24"/>
          <w:szCs w:val="22"/>
          <w:u w:val="single"/>
        </w:rPr>
      </w:pPr>
      <w:r>
        <w:rPr>
          <w:rFonts w:hint="eastAsia" w:ascii="宋体" w:hAnsi="宋体" w:cs="宋体"/>
          <w:sz w:val="24"/>
          <w:szCs w:val="22"/>
        </w:rPr>
        <w:t>33.2  成交服务费的计算基数：</w:t>
      </w:r>
      <w:r>
        <w:rPr>
          <w:rFonts w:hint="eastAsia" w:ascii="宋体" w:hAnsi="宋体" w:cs="宋体"/>
          <w:b/>
          <w:bCs/>
          <w:sz w:val="24"/>
          <w:szCs w:val="22"/>
          <w:u w:val="single"/>
        </w:rPr>
        <w:t>成交通知书载明的成交金额。</w:t>
      </w:r>
    </w:p>
    <w:p>
      <w:pPr>
        <w:spacing w:line="360" w:lineRule="auto"/>
        <w:rPr>
          <w:rFonts w:ascii="宋体" w:hAnsi="宋体" w:cs="宋体"/>
          <w:sz w:val="24"/>
          <w:szCs w:val="22"/>
        </w:rPr>
      </w:pPr>
      <w:r>
        <w:rPr>
          <w:rFonts w:hint="eastAsia" w:ascii="宋体" w:hAnsi="宋体" w:cs="宋体"/>
          <w:sz w:val="24"/>
          <w:szCs w:val="22"/>
        </w:rPr>
        <w:t>33.3  本采购文件是根据《中华人民共和国政府采购法》、《中华人民共和国政府采购法实施条例》的规定编制，解释权属</w:t>
      </w:r>
      <w:r>
        <w:rPr>
          <w:rFonts w:hint="eastAsia" w:ascii="宋体" w:hAnsi="宋体" w:cs="宋体"/>
          <w:b/>
          <w:bCs/>
          <w:sz w:val="24"/>
          <w:szCs w:val="22"/>
          <w:u w:val="single"/>
        </w:rPr>
        <w:t>新疆国文弘业招标有限公司。</w:t>
      </w:r>
    </w:p>
    <w:p>
      <w:pPr>
        <w:spacing w:line="360" w:lineRule="auto"/>
        <w:rPr>
          <w:rFonts w:ascii="宋体" w:hAnsi="宋体" w:cs="宋体"/>
          <w:sz w:val="24"/>
          <w:szCs w:val="22"/>
        </w:rPr>
      </w:pPr>
      <w:r>
        <w:rPr>
          <w:rFonts w:hint="eastAsia" w:ascii="宋体" w:hAnsi="宋体" w:cs="宋体"/>
          <w:sz w:val="24"/>
          <w:szCs w:val="22"/>
        </w:rPr>
        <w:t>34.参与本次采购的供应商应当有商务、技术人员对评审委员会提出的商务、技术</w:t>
      </w:r>
    </w:p>
    <w:p>
      <w:pPr>
        <w:spacing w:line="360" w:lineRule="auto"/>
      </w:pPr>
      <w:r>
        <w:rPr>
          <w:rFonts w:hint="eastAsia" w:ascii="宋体" w:hAnsi="宋体" w:cs="宋体"/>
          <w:sz w:val="24"/>
          <w:szCs w:val="22"/>
        </w:rPr>
        <w:t>问题进行答疑。</w:t>
      </w:r>
    </w:p>
    <w:bookmarkEnd w:id="59"/>
    <w:bookmarkEnd w:id="60"/>
    <w:p>
      <w:pPr>
        <w:spacing w:line="360" w:lineRule="auto"/>
        <w:jc w:val="both"/>
        <w:outlineLvl w:val="0"/>
        <w:rPr>
          <w:rStyle w:val="167"/>
          <w:rFonts w:hint="eastAsia" w:ascii="宋体" w:hAnsi="宋体" w:eastAsia="宋体" w:cs="宋体"/>
          <w:b/>
          <w:bCs/>
          <w:sz w:val="32"/>
          <w:szCs w:val="32"/>
        </w:rPr>
      </w:pPr>
    </w:p>
    <w:p>
      <w:pPr>
        <w:spacing w:line="360" w:lineRule="auto"/>
        <w:jc w:val="center"/>
        <w:outlineLvl w:val="0"/>
        <w:rPr>
          <w:rFonts w:ascii="宋体" w:hAnsi="宋体" w:cs="宋体"/>
          <w:sz w:val="24"/>
          <w:szCs w:val="24"/>
        </w:rPr>
      </w:pPr>
      <w:bookmarkStart w:id="76" w:name="_Toc20899"/>
      <w:r>
        <w:rPr>
          <w:rStyle w:val="167"/>
          <w:rFonts w:hint="eastAsia" w:ascii="宋体" w:hAnsi="宋体" w:eastAsia="宋体" w:cs="宋体"/>
          <w:b/>
          <w:bCs/>
          <w:sz w:val="32"/>
          <w:szCs w:val="32"/>
        </w:rPr>
        <w:t>第三章  采购需求</w:t>
      </w:r>
      <w:bookmarkEnd w:id="76"/>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jc w:val="left"/>
        <w:textAlignment w:val="auto"/>
        <w:rPr>
          <w:rFonts w:hint="eastAsia" w:ascii="宋体" w:hAnsi="Arial"/>
          <w:b/>
          <w:sz w:val="28"/>
          <w:szCs w:val="28"/>
        </w:rPr>
      </w:pPr>
      <w:bookmarkStart w:id="77" w:name="_Toc2281"/>
      <w:bookmarkStart w:id="78" w:name="_Toc7103"/>
      <w:bookmarkStart w:id="79" w:name="_Toc3069"/>
      <w:r>
        <w:rPr>
          <w:rFonts w:hint="eastAsia" w:ascii="宋体" w:hAnsi="Arial"/>
          <w:b/>
          <w:sz w:val="28"/>
          <w:szCs w:val="28"/>
        </w:rPr>
        <w:t xml:space="preserve">血液透析滤过机（双泵）（采购数量：2台） </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Arial"/>
          <w:b/>
          <w:color w:val="auto"/>
          <w:sz w:val="24"/>
        </w:rPr>
      </w:pPr>
      <w:r>
        <w:rPr>
          <w:rFonts w:hint="eastAsia" w:ascii="宋体" w:hAnsi="Arial"/>
          <w:b/>
          <w:color w:val="auto"/>
          <w:sz w:val="28"/>
          <w:szCs w:val="28"/>
        </w:rPr>
        <w:t>参数要求：</w:t>
      </w:r>
      <w:r>
        <w:rPr>
          <w:rFonts w:hint="eastAsia" w:ascii="宋体" w:hAnsi="Arial"/>
          <w:b/>
          <w:color w:val="auto"/>
          <w:sz w:val="24"/>
        </w:rPr>
        <w:t xml:space="preserve">                     </w:t>
      </w:r>
    </w:p>
    <w:tbl>
      <w:tblPr>
        <w:tblStyle w:val="43"/>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56" w:type="dxa"/>
            <w:tcBorders>
              <w:left w:val="double" w:color="auto" w:sz="4" w:space="0"/>
            </w:tcBorders>
            <w:noWrap w:val="0"/>
            <w:vAlign w:val="top"/>
          </w:tcPr>
          <w:p>
            <w:pPr>
              <w:jc w:val="center"/>
              <w:rPr>
                <w:rFonts w:ascii="宋体" w:hAnsi="宋体"/>
                <w:b/>
                <w:color w:val="auto"/>
                <w:sz w:val="24"/>
              </w:rPr>
            </w:pPr>
            <w:r>
              <w:rPr>
                <w:rFonts w:ascii="宋体" w:hAnsi="宋体"/>
                <w:b/>
                <w:color w:val="auto"/>
                <w:sz w:val="24"/>
              </w:rPr>
              <w:t>一</w:t>
            </w:r>
          </w:p>
        </w:tc>
        <w:tc>
          <w:tcPr>
            <w:tcW w:w="8480" w:type="dxa"/>
            <w:noWrap w:val="0"/>
            <w:vAlign w:val="top"/>
          </w:tcPr>
          <w:p>
            <w:pPr>
              <w:widowControl/>
              <w:tabs>
                <w:tab w:val="left" w:pos="1056"/>
                <w:tab w:val="left" w:pos="8633"/>
              </w:tabs>
              <w:jc w:val="left"/>
              <w:rPr>
                <w:rFonts w:hint="eastAsia"/>
                <w:b/>
                <w:color w:val="auto"/>
                <w:sz w:val="24"/>
              </w:rPr>
            </w:pPr>
            <w:r>
              <w:rPr>
                <w:b/>
                <w:color w:val="auto"/>
                <w:sz w:val="24"/>
              </w:rPr>
              <w:t>设备用途</w:t>
            </w:r>
            <w:r>
              <w:rPr>
                <w:rFonts w:hint="eastAsia"/>
                <w:b/>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ascii="宋体" w:hAnsi="宋体"/>
                <w:color w:val="auto"/>
                <w:sz w:val="24"/>
              </w:rPr>
              <w:t>1</w:t>
            </w:r>
          </w:p>
        </w:tc>
        <w:tc>
          <w:tcPr>
            <w:tcW w:w="8480" w:type="dxa"/>
            <w:noWrap w:val="0"/>
            <w:vAlign w:val="center"/>
          </w:tcPr>
          <w:p>
            <w:pPr>
              <w:widowControl/>
              <w:tabs>
                <w:tab w:val="left" w:pos="1056"/>
                <w:tab w:val="left" w:pos="8633"/>
              </w:tabs>
              <w:spacing w:line="360" w:lineRule="exact"/>
              <w:rPr>
                <w:rFonts w:ascii="宋体" w:hAnsi="Arial"/>
                <w:color w:val="auto"/>
                <w:sz w:val="24"/>
              </w:rPr>
            </w:pPr>
            <w:r>
              <w:rPr>
                <w:rFonts w:ascii="宋体" w:hAnsi="Arial"/>
                <w:color w:val="auto"/>
                <w:sz w:val="24"/>
              </w:rPr>
              <w:t>用于血液透析</w:t>
            </w:r>
            <w:r>
              <w:rPr>
                <w:rFonts w:hAnsi="宋体"/>
                <w:color w:val="auto"/>
                <w:kern w:val="0"/>
                <w:sz w:val="24"/>
                <w:szCs w:val="24"/>
              </w:rPr>
              <w:t>、</w:t>
            </w:r>
            <w:r>
              <w:rPr>
                <w:rFonts w:hAnsi="宋体"/>
                <w:color w:val="auto"/>
                <w:sz w:val="24"/>
                <w:szCs w:val="24"/>
              </w:rPr>
              <w:t>血液滤过、</w:t>
            </w:r>
            <w:r>
              <w:rPr>
                <w:rFonts w:hAnsi="宋体"/>
                <w:color w:val="auto"/>
                <w:kern w:val="0"/>
                <w:sz w:val="24"/>
                <w:szCs w:val="24"/>
              </w:rPr>
              <w:t>血液透析滤过治疗。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56" w:type="dxa"/>
            <w:tcBorders>
              <w:left w:val="double" w:color="auto" w:sz="4" w:space="0"/>
            </w:tcBorders>
            <w:noWrap w:val="0"/>
            <w:vAlign w:val="top"/>
          </w:tcPr>
          <w:p>
            <w:pPr>
              <w:jc w:val="center"/>
              <w:rPr>
                <w:rFonts w:ascii="宋体" w:hAnsi="宋体"/>
                <w:b/>
                <w:color w:val="auto"/>
                <w:sz w:val="24"/>
              </w:rPr>
            </w:pPr>
            <w:r>
              <w:rPr>
                <w:rFonts w:ascii="宋体" w:hAnsi="宋体"/>
                <w:b/>
                <w:color w:val="auto"/>
                <w:sz w:val="24"/>
              </w:rPr>
              <w:t>二</w:t>
            </w:r>
          </w:p>
        </w:tc>
        <w:tc>
          <w:tcPr>
            <w:tcW w:w="8480" w:type="dxa"/>
            <w:noWrap w:val="0"/>
            <w:vAlign w:val="top"/>
          </w:tcPr>
          <w:p>
            <w:pPr>
              <w:widowControl/>
              <w:tabs>
                <w:tab w:val="left" w:pos="910"/>
                <w:tab w:val="left" w:pos="8230"/>
              </w:tabs>
              <w:jc w:val="left"/>
              <w:rPr>
                <w:rFonts w:hint="eastAsia"/>
                <w:b/>
                <w:color w:val="auto"/>
                <w:sz w:val="24"/>
              </w:rPr>
            </w:pPr>
            <w:r>
              <w:rPr>
                <w:b/>
                <w:color w:val="auto"/>
                <w:sz w:val="24"/>
              </w:rPr>
              <w:t>功能及配置</w:t>
            </w:r>
            <w:r>
              <w:rPr>
                <w:rFonts w:hint="eastAsia"/>
                <w:b/>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ascii="宋体" w:hAnsi="宋体"/>
                <w:color w:val="auto"/>
                <w:sz w:val="24"/>
              </w:rPr>
              <w:t>*2.1</w:t>
            </w:r>
          </w:p>
        </w:tc>
        <w:tc>
          <w:tcPr>
            <w:tcW w:w="8480" w:type="dxa"/>
            <w:noWrap w:val="0"/>
            <w:vAlign w:val="center"/>
          </w:tcPr>
          <w:p>
            <w:pPr>
              <w:spacing w:line="360" w:lineRule="exact"/>
              <w:rPr>
                <w:rFonts w:ascii="宋体" w:hAnsi="宋体"/>
                <w:color w:val="auto"/>
                <w:sz w:val="24"/>
                <w:szCs w:val="24"/>
              </w:rPr>
            </w:pPr>
            <w:r>
              <w:rPr>
                <w:rFonts w:ascii="宋体" w:hAnsi="宋体"/>
                <w:color w:val="auto"/>
                <w:sz w:val="24"/>
                <w:szCs w:val="24"/>
              </w:rPr>
              <w:t>具有多种治疗功能：血液透析（HD），</w:t>
            </w:r>
            <w:r>
              <w:rPr>
                <w:rFonts w:hAnsi="宋体"/>
                <w:color w:val="auto"/>
                <w:sz w:val="24"/>
                <w:szCs w:val="24"/>
              </w:rPr>
              <w:t>血液滤过（</w:t>
            </w:r>
            <w:r>
              <w:rPr>
                <w:color w:val="auto"/>
                <w:sz w:val="24"/>
                <w:szCs w:val="24"/>
              </w:rPr>
              <w:t>HF</w:t>
            </w:r>
            <w:r>
              <w:rPr>
                <w:rFonts w:hAnsi="宋体"/>
                <w:color w:val="auto"/>
                <w:sz w:val="24"/>
                <w:szCs w:val="24"/>
              </w:rPr>
              <w:t>），</w:t>
            </w:r>
            <w:r>
              <w:rPr>
                <w:rFonts w:ascii="宋体" w:hAnsi="宋体"/>
                <w:color w:val="auto"/>
                <w:sz w:val="24"/>
                <w:szCs w:val="24"/>
              </w:rPr>
              <w:t>血液透析滤过 （on-line HDF ），</w:t>
            </w:r>
            <w:r>
              <w:rPr>
                <w:rFonts w:hint="eastAsia" w:ascii="宋体" w:hAnsi="宋体"/>
                <w:color w:val="auto"/>
                <w:sz w:val="24"/>
                <w:szCs w:val="24"/>
              </w:rPr>
              <w:t>可进行全天24小时的缓慢持续的治疗，可应用于急性肾脏替代治疗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ascii="宋体" w:hAnsi="宋体"/>
                <w:color w:val="auto"/>
                <w:sz w:val="24"/>
              </w:rPr>
              <w:t>2.2</w:t>
            </w:r>
          </w:p>
        </w:tc>
        <w:tc>
          <w:tcPr>
            <w:tcW w:w="8480" w:type="dxa"/>
            <w:noWrap w:val="0"/>
            <w:vAlign w:val="center"/>
          </w:tcPr>
          <w:p>
            <w:pPr>
              <w:spacing w:line="360" w:lineRule="exact"/>
              <w:rPr>
                <w:rFonts w:ascii="宋体" w:hAnsi="Arial"/>
                <w:color w:val="auto"/>
                <w:sz w:val="24"/>
                <w:szCs w:val="24"/>
              </w:rPr>
            </w:pPr>
            <w:r>
              <w:rPr>
                <w:rFonts w:hint="eastAsia" w:ascii="宋体" w:hAnsi="宋体"/>
                <w:color w:val="auto"/>
                <w:sz w:val="24"/>
                <w:szCs w:val="24"/>
              </w:rPr>
              <w:t>（</w:t>
            </w:r>
            <w:r>
              <w:rPr>
                <w:rFonts w:ascii="Arial" w:hAnsi="Arial" w:cs="Arial"/>
                <w:color w:val="auto"/>
                <w:sz w:val="24"/>
                <w:szCs w:val="24"/>
              </w:rPr>
              <w:t>≥</w:t>
            </w:r>
            <w:r>
              <w:rPr>
                <w:rFonts w:hint="eastAsia" w:ascii="宋体" w:hAnsi="宋体"/>
                <w:color w:val="auto"/>
                <w:sz w:val="24"/>
                <w:szCs w:val="24"/>
              </w:rPr>
              <w:t>）15英寸</w:t>
            </w:r>
            <w:r>
              <w:rPr>
                <w:rFonts w:ascii="宋体" w:hAnsi="宋体"/>
                <w:color w:val="auto"/>
                <w:sz w:val="24"/>
                <w:szCs w:val="24"/>
              </w:rPr>
              <w:t>的高分辨率显</w:t>
            </w:r>
            <w:r>
              <w:rPr>
                <w:rFonts w:hint="eastAsia" w:ascii="宋体" w:hAnsi="宋体"/>
                <w:color w:val="auto"/>
                <w:sz w:val="24"/>
                <w:szCs w:val="24"/>
              </w:rPr>
              <w:t>彩色可旋转式触摸</w:t>
            </w:r>
            <w:r>
              <w:rPr>
                <w:rFonts w:ascii="宋体" w:hAnsi="宋体"/>
                <w:color w:val="auto"/>
                <w:sz w:val="24"/>
                <w:szCs w:val="24"/>
              </w:rPr>
              <w:t>屏</w:t>
            </w:r>
            <w:r>
              <w:rPr>
                <w:rFonts w:hint="eastAsia" w:ascii="宋体" w:hAnsi="Arial"/>
                <w:color w:val="auto"/>
                <w:sz w:val="24"/>
                <w:szCs w:val="24"/>
              </w:rPr>
              <w:t>，中文操作治疗界面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56" w:type="dxa"/>
            <w:tcBorders>
              <w:left w:val="doub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2.</w:t>
            </w:r>
            <w:r>
              <w:rPr>
                <w:rFonts w:ascii="宋体" w:hAnsi="宋体"/>
                <w:color w:val="auto"/>
                <w:sz w:val="24"/>
              </w:rPr>
              <w:t>3</w:t>
            </w:r>
          </w:p>
        </w:tc>
        <w:tc>
          <w:tcPr>
            <w:tcW w:w="8480" w:type="dxa"/>
            <w:noWrap w:val="0"/>
            <w:vAlign w:val="center"/>
          </w:tcPr>
          <w:p>
            <w:pPr>
              <w:spacing w:line="360" w:lineRule="exact"/>
              <w:rPr>
                <w:rFonts w:hint="eastAsia" w:ascii="宋体" w:hAnsi="宋体"/>
                <w:color w:val="auto"/>
                <w:sz w:val="24"/>
                <w:szCs w:val="24"/>
              </w:rPr>
            </w:pPr>
            <w:r>
              <w:rPr>
                <w:rFonts w:hint="eastAsia" w:ascii="宋体" w:hAnsi="宋体"/>
                <w:color w:val="auto"/>
                <w:sz w:val="24"/>
                <w:szCs w:val="24"/>
              </w:rPr>
              <w:t>机器辅助自动管路安装和拆除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ascii="宋体" w:hAnsi="宋体"/>
                <w:color w:val="auto"/>
                <w:sz w:val="24"/>
              </w:rPr>
              <w:t>*2.</w:t>
            </w:r>
            <w:r>
              <w:rPr>
                <w:rFonts w:hint="eastAsia" w:ascii="宋体" w:hAnsi="宋体"/>
                <w:color w:val="auto"/>
                <w:sz w:val="24"/>
              </w:rPr>
              <w:t>4</w:t>
            </w:r>
          </w:p>
        </w:tc>
        <w:tc>
          <w:tcPr>
            <w:tcW w:w="8480" w:type="dxa"/>
            <w:noWrap w:val="0"/>
            <w:vAlign w:val="center"/>
          </w:tcPr>
          <w:p>
            <w:pPr>
              <w:spacing w:line="360" w:lineRule="exact"/>
              <w:rPr>
                <w:rFonts w:ascii="宋体" w:hAnsi="Arial"/>
                <w:color w:val="auto"/>
                <w:sz w:val="24"/>
              </w:rPr>
            </w:pPr>
            <w:r>
              <w:rPr>
                <w:rFonts w:hint="eastAsia" w:ascii="宋体" w:hAnsi="Arial"/>
                <w:color w:val="auto"/>
                <w:sz w:val="24"/>
              </w:rPr>
              <w:t>具备静脉脱针报警功能，最大失血量小于（</w:t>
            </w:r>
            <w:r>
              <w:rPr>
                <w:rFonts w:ascii="Arial" w:hAnsi="Arial" w:cs="Arial"/>
                <w:color w:val="auto"/>
                <w:sz w:val="24"/>
              </w:rPr>
              <w:t>≤</w:t>
            </w:r>
            <w:r>
              <w:rPr>
                <w:rFonts w:hint="eastAsia" w:ascii="宋体" w:hAnsi="Arial"/>
                <w:color w:val="auto"/>
                <w:sz w:val="24"/>
              </w:rPr>
              <w:t>）200ml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hint="eastAsia" w:ascii="宋体" w:hAnsi="宋体"/>
                <w:color w:val="auto"/>
                <w:sz w:val="24"/>
              </w:rPr>
              <w:t>2.5</w:t>
            </w:r>
          </w:p>
        </w:tc>
        <w:tc>
          <w:tcPr>
            <w:tcW w:w="8480" w:type="dxa"/>
            <w:noWrap w:val="0"/>
            <w:vAlign w:val="center"/>
          </w:tcPr>
          <w:p>
            <w:pPr>
              <w:spacing w:line="360" w:lineRule="exact"/>
              <w:rPr>
                <w:rFonts w:ascii="宋体" w:hAnsi="Arial"/>
                <w:color w:val="auto"/>
                <w:sz w:val="24"/>
                <w:szCs w:val="24"/>
              </w:rPr>
            </w:pPr>
            <w:r>
              <w:rPr>
                <w:rFonts w:hint="eastAsia" w:ascii="宋体" w:hAnsi="宋体"/>
                <w:color w:val="auto"/>
                <w:sz w:val="24"/>
                <w:szCs w:val="24"/>
              </w:rPr>
              <w:t>配置透析液滤过器，能进行至少11次（</w:t>
            </w:r>
            <w:r>
              <w:rPr>
                <w:rFonts w:ascii="Arial" w:hAnsi="Arial" w:cs="Arial"/>
                <w:color w:val="auto"/>
                <w:sz w:val="24"/>
                <w:szCs w:val="24"/>
              </w:rPr>
              <w:t>≥</w:t>
            </w:r>
            <w:r>
              <w:rPr>
                <w:rFonts w:hint="eastAsia" w:ascii="宋体" w:hAnsi="宋体"/>
                <w:color w:val="auto"/>
                <w:sz w:val="24"/>
                <w:szCs w:val="24"/>
              </w:rPr>
              <w:t>10）次氯酸钠消毒，有效去除水路中的脂质和蛋白沉积。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56" w:type="dxa"/>
            <w:tcBorders>
              <w:left w:val="double" w:color="auto" w:sz="4" w:space="0"/>
            </w:tcBorders>
            <w:noWrap w:val="0"/>
            <w:vAlign w:val="center"/>
          </w:tcPr>
          <w:p>
            <w:pPr>
              <w:jc w:val="center"/>
              <w:rPr>
                <w:rFonts w:hint="eastAsia" w:ascii="宋体" w:hAnsi="宋体"/>
                <w:color w:val="auto"/>
                <w:sz w:val="24"/>
              </w:rPr>
            </w:pPr>
            <w:r>
              <w:rPr>
                <w:rFonts w:hint="eastAsia" w:ascii="宋体" w:hAnsi="宋体"/>
                <w:color w:val="auto"/>
                <w:sz w:val="24"/>
              </w:rPr>
              <w:t>2.6</w:t>
            </w:r>
          </w:p>
        </w:tc>
        <w:tc>
          <w:tcPr>
            <w:tcW w:w="8480" w:type="dxa"/>
            <w:noWrap w:val="0"/>
            <w:vAlign w:val="center"/>
          </w:tcPr>
          <w:p>
            <w:pPr>
              <w:spacing w:line="360" w:lineRule="exact"/>
              <w:rPr>
                <w:rFonts w:hint="eastAsia" w:ascii="宋体" w:hAnsi="宋体"/>
                <w:color w:val="auto"/>
                <w:sz w:val="24"/>
                <w:szCs w:val="24"/>
              </w:rPr>
            </w:pPr>
            <w:r>
              <w:rPr>
                <w:rFonts w:hint="eastAsia" w:ascii="宋体" w:hAnsi="宋体"/>
                <w:color w:val="auto"/>
                <w:sz w:val="24"/>
                <w:szCs w:val="24"/>
              </w:rPr>
              <w:t>配置B干粉装置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ascii="宋体" w:hAnsi="宋体"/>
                <w:color w:val="auto"/>
                <w:sz w:val="24"/>
              </w:rPr>
              <w:t>2.</w:t>
            </w:r>
            <w:r>
              <w:rPr>
                <w:rFonts w:hint="eastAsia" w:ascii="宋体" w:hAnsi="宋体"/>
                <w:color w:val="auto"/>
                <w:sz w:val="24"/>
              </w:rPr>
              <w:t>7</w:t>
            </w:r>
          </w:p>
        </w:tc>
        <w:tc>
          <w:tcPr>
            <w:tcW w:w="8480" w:type="dxa"/>
            <w:noWrap w:val="0"/>
            <w:vAlign w:val="center"/>
          </w:tcPr>
          <w:p>
            <w:pPr>
              <w:spacing w:line="360" w:lineRule="exact"/>
              <w:rPr>
                <w:rFonts w:ascii="宋体" w:hAnsi="Arial"/>
                <w:color w:val="auto"/>
                <w:sz w:val="24"/>
              </w:rPr>
            </w:pPr>
            <w:r>
              <w:rPr>
                <w:rFonts w:ascii="宋体" w:hAnsi="Arial"/>
                <w:color w:val="auto"/>
                <w:sz w:val="24"/>
              </w:rPr>
              <w:t>配置血压监测仪，可显示血压图表趋势，自动或预先设定测量间隔</w:t>
            </w:r>
            <w:r>
              <w:rPr>
                <w:rFonts w:hint="eastAsia" w:ascii="宋体" w:hAnsi="Arial"/>
                <w:color w:val="auto"/>
                <w:sz w:val="24"/>
              </w:rPr>
              <w:t>5-</w:t>
            </w:r>
            <w:r>
              <w:rPr>
                <w:rFonts w:ascii="宋体" w:hAnsi="Arial"/>
                <w:color w:val="auto"/>
                <w:sz w:val="24"/>
              </w:rPr>
              <w:t>15-30-60分钟以及快速测量，可测量收缩压，舒张压，平均动脉压和脉搏。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ascii="宋体" w:hAnsi="宋体"/>
                <w:color w:val="auto"/>
                <w:sz w:val="24"/>
              </w:rPr>
              <w:t>2.</w:t>
            </w:r>
            <w:r>
              <w:rPr>
                <w:rFonts w:hint="eastAsia" w:ascii="宋体" w:hAnsi="宋体"/>
                <w:color w:val="auto"/>
                <w:sz w:val="24"/>
              </w:rPr>
              <w:t>8</w:t>
            </w:r>
          </w:p>
        </w:tc>
        <w:tc>
          <w:tcPr>
            <w:tcW w:w="8480" w:type="dxa"/>
            <w:noWrap w:val="0"/>
            <w:vAlign w:val="center"/>
          </w:tcPr>
          <w:p>
            <w:pPr>
              <w:spacing w:line="360" w:lineRule="exact"/>
              <w:rPr>
                <w:rFonts w:ascii="宋体" w:hAnsi="Arial"/>
                <w:color w:val="auto"/>
                <w:sz w:val="24"/>
              </w:rPr>
            </w:pPr>
            <w:r>
              <w:rPr>
                <w:rFonts w:ascii="宋体" w:hAnsi="Arial"/>
                <w:color w:val="auto"/>
                <w:sz w:val="24"/>
              </w:rPr>
              <w:t>配置联机清除率监测</w:t>
            </w:r>
            <w:r>
              <w:rPr>
                <w:rFonts w:hint="eastAsia" w:ascii="宋体" w:hAnsi="Arial"/>
                <w:color w:val="auto"/>
                <w:sz w:val="24"/>
              </w:rPr>
              <w:t>装置</w:t>
            </w:r>
            <w:r>
              <w:rPr>
                <w:rFonts w:ascii="宋体" w:hAnsi="Arial"/>
                <w:color w:val="auto"/>
                <w:sz w:val="24"/>
              </w:rPr>
              <w:t>：可实时持续监测体内尿素清除率（K），透析剂量（Kt/V）</w:t>
            </w:r>
            <w:r>
              <w:rPr>
                <w:rFonts w:hint="eastAsia" w:ascii="宋体" w:hAnsi="Arial"/>
                <w:color w:val="auto"/>
                <w:sz w:val="24"/>
              </w:rPr>
              <w:t>,</w:t>
            </w:r>
            <w:r>
              <w:rPr>
                <w:rFonts w:ascii="宋体" w:hAnsi="Arial"/>
                <w:color w:val="auto"/>
                <w:sz w:val="24"/>
              </w:rPr>
              <w:t>血浆钠浓度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ascii="宋体" w:hAnsi="宋体"/>
                <w:color w:val="auto"/>
                <w:sz w:val="24"/>
              </w:rPr>
              <w:t>*</w:t>
            </w:r>
            <w:r>
              <w:rPr>
                <w:rFonts w:hint="eastAsia" w:ascii="宋体" w:hAnsi="宋体"/>
                <w:color w:val="auto"/>
                <w:sz w:val="24"/>
              </w:rPr>
              <w:t>2</w:t>
            </w:r>
            <w:r>
              <w:rPr>
                <w:rFonts w:ascii="宋体" w:hAnsi="宋体"/>
                <w:color w:val="auto"/>
                <w:sz w:val="24"/>
              </w:rPr>
              <w:t>.9</w:t>
            </w:r>
          </w:p>
        </w:tc>
        <w:tc>
          <w:tcPr>
            <w:tcW w:w="8480" w:type="dxa"/>
            <w:noWrap w:val="0"/>
            <w:vAlign w:val="center"/>
          </w:tcPr>
          <w:p>
            <w:pPr>
              <w:spacing w:line="360" w:lineRule="exact"/>
              <w:rPr>
                <w:rFonts w:ascii="宋体" w:hAnsi="Arial"/>
                <w:color w:val="auto"/>
                <w:sz w:val="24"/>
              </w:rPr>
            </w:pPr>
            <w:r>
              <w:rPr>
                <w:rFonts w:hint="eastAsia" w:ascii="宋体" w:hAnsi="Arial"/>
                <w:color w:val="auto"/>
                <w:sz w:val="24"/>
              </w:rPr>
              <w:t>在紧急状态下，具备一键式紧急操作按键功能，能够自动终止超滤（UF）“关闭”，自动进行血压监测，追加补液，自动降低有效血流量至100ml/min。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56" w:type="dxa"/>
            <w:tcBorders>
              <w:left w:val="double" w:color="auto" w:sz="4" w:space="0"/>
            </w:tcBorders>
            <w:noWrap w:val="0"/>
            <w:vAlign w:val="center"/>
          </w:tcPr>
          <w:p>
            <w:pPr>
              <w:jc w:val="center"/>
              <w:rPr>
                <w:rFonts w:hint="eastAsia" w:ascii="宋体" w:hAnsi="宋体"/>
                <w:b/>
                <w:color w:val="auto"/>
                <w:sz w:val="24"/>
              </w:rPr>
            </w:pPr>
            <w:r>
              <w:rPr>
                <w:rFonts w:hint="eastAsia" w:ascii="宋体" w:hAnsi="宋体"/>
                <w:b/>
                <w:color w:val="auto"/>
                <w:sz w:val="24"/>
              </w:rPr>
              <w:t>三</w:t>
            </w:r>
          </w:p>
        </w:tc>
        <w:tc>
          <w:tcPr>
            <w:tcW w:w="8480" w:type="dxa"/>
            <w:noWrap w:val="0"/>
            <w:vAlign w:val="center"/>
          </w:tcPr>
          <w:p>
            <w:pPr>
              <w:spacing w:line="360" w:lineRule="exact"/>
              <w:rPr>
                <w:rFonts w:ascii="宋体" w:hAnsi="Arial"/>
                <w:b/>
                <w:color w:val="auto"/>
                <w:sz w:val="24"/>
              </w:rPr>
            </w:pPr>
            <w:r>
              <w:rPr>
                <w:rFonts w:hint="eastAsia" w:ascii="宋体" w:hAnsi="Arial"/>
                <w:b/>
                <w:color w:val="auto"/>
                <w:sz w:val="24"/>
              </w:rPr>
              <w:t>透析液控制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ascii="宋体" w:hAnsi="宋体"/>
                <w:color w:val="auto"/>
                <w:sz w:val="24"/>
              </w:rPr>
              <w:t>3.1</w:t>
            </w:r>
          </w:p>
        </w:tc>
        <w:tc>
          <w:tcPr>
            <w:tcW w:w="8480" w:type="dxa"/>
            <w:noWrap w:val="0"/>
            <w:vAlign w:val="center"/>
          </w:tcPr>
          <w:p>
            <w:pPr>
              <w:spacing w:line="360" w:lineRule="exact"/>
              <w:rPr>
                <w:rFonts w:ascii="宋体" w:hAnsi="Arial"/>
                <w:color w:val="auto"/>
                <w:sz w:val="24"/>
                <w:szCs w:val="24"/>
              </w:rPr>
            </w:pPr>
            <w:r>
              <w:rPr>
                <w:rFonts w:ascii="宋体" w:hAnsi="Arial"/>
                <w:color w:val="auto"/>
                <w:sz w:val="24"/>
                <w:szCs w:val="24"/>
              </w:rPr>
              <w:t>采用密闭式平衡腔超滤控制系统，双容量平衡腔控制,</w:t>
            </w:r>
            <w:r>
              <w:rPr>
                <w:rFonts w:hint="eastAsia" w:ascii="宋体" w:hAnsi="Arial"/>
                <w:color w:val="auto"/>
                <w:sz w:val="24"/>
                <w:szCs w:val="24"/>
              </w:rPr>
              <w:t xml:space="preserve"> 在治疗中定期进行系统密闭自检，确保治疗安全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ascii="宋体" w:hAnsi="宋体"/>
                <w:color w:val="auto"/>
                <w:sz w:val="24"/>
              </w:rPr>
              <w:t>3.2</w:t>
            </w:r>
          </w:p>
        </w:tc>
        <w:tc>
          <w:tcPr>
            <w:tcW w:w="8480" w:type="dxa"/>
            <w:noWrap w:val="0"/>
            <w:vAlign w:val="center"/>
          </w:tcPr>
          <w:p>
            <w:pPr>
              <w:spacing w:line="360" w:lineRule="exact"/>
              <w:rPr>
                <w:rFonts w:hint="eastAsia" w:ascii="宋体" w:hAnsi="Arial"/>
                <w:color w:val="auto"/>
                <w:sz w:val="24"/>
              </w:rPr>
            </w:pPr>
            <w:r>
              <w:rPr>
                <w:rFonts w:ascii="宋体" w:hAnsi="Arial"/>
                <w:color w:val="auto"/>
                <w:sz w:val="24"/>
              </w:rPr>
              <w:t>超滤率0～4000mL/h可调, 超滤误差≤±1%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ascii="宋体" w:hAnsi="宋体"/>
                <w:color w:val="auto"/>
                <w:sz w:val="24"/>
              </w:rPr>
              <w:t>3.</w:t>
            </w:r>
            <w:r>
              <w:rPr>
                <w:rFonts w:hint="eastAsia" w:ascii="宋体" w:hAnsi="宋体"/>
                <w:color w:val="auto"/>
                <w:sz w:val="24"/>
              </w:rPr>
              <w:t>3</w:t>
            </w:r>
          </w:p>
        </w:tc>
        <w:tc>
          <w:tcPr>
            <w:tcW w:w="8480" w:type="dxa"/>
            <w:noWrap w:val="0"/>
            <w:vAlign w:val="center"/>
          </w:tcPr>
          <w:p>
            <w:pPr>
              <w:spacing w:line="360" w:lineRule="exact"/>
              <w:rPr>
                <w:rFonts w:ascii="宋体" w:hAnsi="Arial"/>
                <w:color w:val="auto"/>
                <w:sz w:val="24"/>
              </w:rPr>
            </w:pPr>
            <w:r>
              <w:rPr>
                <w:rFonts w:ascii="宋体" w:hAnsi="Arial"/>
                <w:color w:val="auto"/>
                <w:sz w:val="24"/>
              </w:rPr>
              <w:t>透析液自动加热，温度可调3</w:t>
            </w:r>
            <w:r>
              <w:rPr>
                <w:rFonts w:hint="eastAsia" w:ascii="宋体" w:hAnsi="Arial"/>
                <w:color w:val="auto"/>
                <w:sz w:val="24"/>
              </w:rPr>
              <w:t>4</w:t>
            </w:r>
            <w:r>
              <w:rPr>
                <w:rFonts w:ascii="宋体" w:hAnsi="Arial"/>
                <w:color w:val="auto"/>
                <w:sz w:val="24"/>
              </w:rPr>
              <w:t>.0ºC~</w:t>
            </w:r>
            <w:r>
              <w:rPr>
                <w:rFonts w:hint="eastAsia" w:ascii="宋体" w:hAnsi="Arial"/>
                <w:color w:val="auto"/>
                <w:sz w:val="24"/>
              </w:rPr>
              <w:t>39</w:t>
            </w:r>
            <w:r>
              <w:rPr>
                <w:rFonts w:ascii="宋体" w:hAnsi="Arial"/>
                <w:color w:val="auto"/>
                <w:sz w:val="24"/>
              </w:rPr>
              <w:t>.0ºC。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ascii="宋体" w:hAnsi="宋体"/>
                <w:color w:val="auto"/>
                <w:sz w:val="24"/>
              </w:rPr>
              <w:t>3.</w:t>
            </w:r>
            <w:r>
              <w:rPr>
                <w:rFonts w:hint="eastAsia" w:ascii="宋体" w:hAnsi="宋体"/>
                <w:color w:val="auto"/>
                <w:sz w:val="24"/>
              </w:rPr>
              <w:t>4</w:t>
            </w:r>
          </w:p>
        </w:tc>
        <w:tc>
          <w:tcPr>
            <w:tcW w:w="8480" w:type="dxa"/>
            <w:noWrap w:val="0"/>
            <w:vAlign w:val="center"/>
          </w:tcPr>
          <w:p>
            <w:pPr>
              <w:spacing w:line="360" w:lineRule="exact"/>
              <w:rPr>
                <w:rFonts w:hint="eastAsia" w:ascii="宋体" w:hAnsi="Arial"/>
                <w:color w:val="auto"/>
                <w:sz w:val="24"/>
              </w:rPr>
            </w:pPr>
            <w:r>
              <w:rPr>
                <w:rFonts w:ascii="宋体" w:hAnsi="Arial"/>
                <w:color w:val="auto"/>
                <w:sz w:val="24"/>
              </w:rPr>
              <w:t>透析液流量：0-1000ml/min(每</w:t>
            </w:r>
            <w:r>
              <w:rPr>
                <w:rFonts w:hint="eastAsia" w:ascii="宋体" w:hAnsi="Arial"/>
                <w:color w:val="auto"/>
                <w:sz w:val="24"/>
              </w:rPr>
              <w:t>100ml</w:t>
            </w:r>
            <w:r>
              <w:rPr>
                <w:rFonts w:ascii="宋体" w:hAnsi="Arial"/>
                <w:color w:val="auto"/>
                <w:sz w:val="24"/>
              </w:rPr>
              <w:t>/min可调</w:t>
            </w:r>
            <w:r>
              <w:rPr>
                <w:rFonts w:hint="eastAsia" w:ascii="宋体" w:hAnsi="Arial"/>
                <w:color w:val="auto"/>
                <w:sz w:val="24"/>
              </w:rPr>
              <w:t>)</w:t>
            </w:r>
            <w:r>
              <w:rPr>
                <w:rFonts w:ascii="宋体" w:hAnsi="Arial"/>
                <w:color w:val="auto"/>
                <w:sz w:val="24"/>
              </w:rPr>
              <w:t>，透析液流量自动适应有效血流量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ascii="宋体" w:hAnsi="宋体"/>
                <w:color w:val="auto"/>
                <w:sz w:val="24"/>
              </w:rPr>
              <w:t>3.</w:t>
            </w:r>
            <w:r>
              <w:rPr>
                <w:rFonts w:hint="eastAsia" w:ascii="宋体" w:hAnsi="宋体"/>
                <w:color w:val="auto"/>
                <w:sz w:val="24"/>
              </w:rPr>
              <w:t>5</w:t>
            </w:r>
          </w:p>
        </w:tc>
        <w:tc>
          <w:tcPr>
            <w:tcW w:w="8480" w:type="dxa"/>
            <w:noWrap w:val="0"/>
            <w:vAlign w:val="center"/>
          </w:tcPr>
          <w:p>
            <w:pPr>
              <w:spacing w:line="360" w:lineRule="exact"/>
              <w:rPr>
                <w:rFonts w:ascii="宋体" w:hAnsi="Arial"/>
                <w:color w:val="auto"/>
                <w:sz w:val="24"/>
              </w:rPr>
            </w:pPr>
            <w:r>
              <w:rPr>
                <w:rFonts w:ascii="宋体" w:hAnsi="Arial"/>
                <w:color w:val="auto"/>
                <w:sz w:val="24"/>
              </w:rPr>
              <w:t>容量式透析液配比程序，保证透析液成分的精确性，从而确保患者安全。</w:t>
            </w:r>
            <w:r>
              <w:rPr>
                <w:rFonts w:hAnsi="宋体"/>
                <w:color w:val="auto"/>
                <w:sz w:val="24"/>
                <w:szCs w:val="24"/>
              </w:rPr>
              <w:t>电导率精度：</w:t>
            </w:r>
            <w:r>
              <w:rPr>
                <w:color w:val="auto"/>
                <w:sz w:val="24"/>
                <w:szCs w:val="24"/>
              </w:rPr>
              <w:t>±0.1ms/cm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ascii="宋体" w:hAnsi="宋体"/>
                <w:color w:val="auto"/>
                <w:sz w:val="24"/>
              </w:rPr>
              <w:t>3.</w:t>
            </w:r>
            <w:r>
              <w:rPr>
                <w:rFonts w:hint="eastAsia" w:ascii="宋体" w:hAnsi="宋体"/>
                <w:color w:val="auto"/>
                <w:sz w:val="24"/>
              </w:rPr>
              <w:t>6</w:t>
            </w:r>
          </w:p>
        </w:tc>
        <w:tc>
          <w:tcPr>
            <w:tcW w:w="8480" w:type="dxa"/>
            <w:noWrap w:val="0"/>
            <w:vAlign w:val="center"/>
          </w:tcPr>
          <w:p>
            <w:pPr>
              <w:spacing w:line="360" w:lineRule="exact"/>
              <w:rPr>
                <w:rFonts w:ascii="宋体" w:hAnsi="Arial"/>
                <w:color w:val="auto"/>
                <w:sz w:val="24"/>
              </w:rPr>
            </w:pPr>
            <w:r>
              <w:rPr>
                <w:rFonts w:ascii="宋体" w:hAnsi="Arial"/>
                <w:color w:val="auto"/>
                <w:sz w:val="24"/>
              </w:rPr>
              <w:t>水与各浓缩液的比例可在面板调节，兼容多种透析液配方。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ascii="宋体" w:hAnsi="宋体"/>
                <w:color w:val="auto"/>
                <w:sz w:val="24"/>
              </w:rPr>
              <w:t>3.</w:t>
            </w:r>
            <w:r>
              <w:rPr>
                <w:rFonts w:hint="eastAsia" w:ascii="宋体" w:hAnsi="宋体"/>
                <w:color w:val="auto"/>
                <w:sz w:val="24"/>
              </w:rPr>
              <w:t>7</w:t>
            </w:r>
          </w:p>
        </w:tc>
        <w:tc>
          <w:tcPr>
            <w:tcW w:w="8480" w:type="dxa"/>
            <w:noWrap w:val="0"/>
            <w:vAlign w:val="center"/>
          </w:tcPr>
          <w:p>
            <w:pPr>
              <w:spacing w:line="360" w:lineRule="exact"/>
              <w:rPr>
                <w:rFonts w:ascii="宋体" w:hAnsi="Arial"/>
                <w:color w:val="auto"/>
                <w:sz w:val="24"/>
              </w:rPr>
            </w:pPr>
            <w:r>
              <w:rPr>
                <w:rFonts w:ascii="宋体" w:hAnsi="Arial"/>
                <w:color w:val="auto"/>
                <w:sz w:val="24"/>
              </w:rPr>
              <w:t>满足三种透析液供给方式：小桶浓缩液供给；中央浓缩液供给；联机浓缩干粉自动配液系统。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6" w:type="dxa"/>
            <w:tcBorders>
              <w:left w:val="double" w:color="auto" w:sz="4" w:space="0"/>
            </w:tcBorders>
            <w:noWrap w:val="0"/>
            <w:vAlign w:val="center"/>
          </w:tcPr>
          <w:p>
            <w:pPr>
              <w:jc w:val="center"/>
              <w:rPr>
                <w:rFonts w:ascii="宋体" w:hAnsi="宋体"/>
                <w:b/>
                <w:color w:val="auto"/>
                <w:sz w:val="24"/>
              </w:rPr>
            </w:pPr>
            <w:r>
              <w:rPr>
                <w:rFonts w:ascii="宋体" w:hAnsi="宋体"/>
                <w:b/>
                <w:color w:val="auto"/>
                <w:sz w:val="24"/>
              </w:rPr>
              <w:t>四</w:t>
            </w:r>
          </w:p>
        </w:tc>
        <w:tc>
          <w:tcPr>
            <w:tcW w:w="8480" w:type="dxa"/>
            <w:noWrap w:val="0"/>
            <w:vAlign w:val="center"/>
          </w:tcPr>
          <w:p>
            <w:pPr>
              <w:spacing w:line="360" w:lineRule="exact"/>
              <w:rPr>
                <w:rFonts w:ascii="宋体" w:hAnsi="Arial"/>
                <w:b/>
                <w:color w:val="auto"/>
                <w:sz w:val="24"/>
              </w:rPr>
            </w:pPr>
            <w:r>
              <w:rPr>
                <w:rFonts w:ascii="宋体" w:hAnsi="Arial"/>
                <w:b/>
                <w:color w:val="auto"/>
                <w:sz w:val="24"/>
              </w:rPr>
              <w:t>置换液控制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ascii="宋体" w:hAnsi="宋体"/>
                <w:color w:val="auto"/>
                <w:sz w:val="24"/>
              </w:rPr>
              <w:t>*</w:t>
            </w:r>
            <w:r>
              <w:rPr>
                <w:rFonts w:hint="eastAsia" w:ascii="宋体" w:hAnsi="宋体"/>
                <w:color w:val="auto"/>
                <w:sz w:val="24"/>
              </w:rPr>
              <w:t>4.</w:t>
            </w:r>
            <w:r>
              <w:rPr>
                <w:rFonts w:ascii="宋体" w:hAnsi="宋体"/>
                <w:color w:val="auto"/>
                <w:sz w:val="24"/>
              </w:rPr>
              <w:t>1</w:t>
            </w:r>
          </w:p>
        </w:tc>
        <w:tc>
          <w:tcPr>
            <w:tcW w:w="8480" w:type="dxa"/>
            <w:noWrap w:val="0"/>
            <w:vAlign w:val="center"/>
          </w:tcPr>
          <w:p>
            <w:pPr>
              <w:spacing w:line="360" w:lineRule="exact"/>
              <w:rPr>
                <w:rFonts w:ascii="宋体" w:hAnsi="Arial"/>
                <w:color w:val="auto"/>
                <w:sz w:val="24"/>
              </w:rPr>
            </w:pPr>
            <w:r>
              <w:rPr>
                <w:rFonts w:ascii="宋体" w:hAnsi="Arial"/>
                <w:color w:val="auto"/>
                <w:sz w:val="24"/>
              </w:rPr>
              <w:t>置换液流量：</w:t>
            </w:r>
            <w:r>
              <w:rPr>
                <w:rFonts w:hint="eastAsia" w:ascii="宋体" w:hAnsi="Arial"/>
                <w:color w:val="auto"/>
                <w:sz w:val="24"/>
              </w:rPr>
              <w:t>25-</w:t>
            </w:r>
            <w:r>
              <w:rPr>
                <w:rFonts w:ascii="宋体" w:hAnsi="Arial"/>
                <w:color w:val="auto"/>
                <w:sz w:val="24"/>
              </w:rPr>
              <w:t>600ml/min,</w:t>
            </w:r>
            <w:r>
              <w:rPr>
                <w:rFonts w:hint="eastAsia" w:ascii="宋体" w:hAnsi="Arial"/>
                <w:color w:val="auto"/>
                <w:sz w:val="24"/>
                <w:szCs w:val="24"/>
              </w:rPr>
              <w:t xml:space="preserve"> 精确度</w:t>
            </w:r>
            <w:r>
              <w:rPr>
                <w:rFonts w:ascii="宋体" w:hAnsi="Arial"/>
                <w:color w:val="auto"/>
                <w:sz w:val="24"/>
                <w:szCs w:val="24"/>
              </w:rPr>
              <w:t xml:space="preserve"> </w:t>
            </w:r>
            <w:r>
              <w:rPr>
                <w:rFonts w:ascii="宋体" w:hAnsi="Arial"/>
                <w:color w:val="auto"/>
                <w:sz w:val="24"/>
              </w:rPr>
              <w:t>±10%,置换液与有效血流量自动匹配</w:t>
            </w:r>
            <w:r>
              <w:rPr>
                <w:rFonts w:hint="eastAsia" w:ascii="宋体" w:hAnsi="Arial"/>
                <w:color w:val="auto"/>
                <w:sz w:val="24"/>
              </w:rPr>
              <w:t>,</w:t>
            </w:r>
            <w:r>
              <w:rPr>
                <w:rFonts w:hint="eastAsia"/>
                <w:color w:val="auto"/>
              </w:rPr>
              <w:t xml:space="preserve"> </w:t>
            </w:r>
            <w:r>
              <w:rPr>
                <w:rFonts w:hint="eastAsia" w:ascii="宋体" w:hAnsi="Arial"/>
                <w:color w:val="auto"/>
                <w:sz w:val="24"/>
              </w:rPr>
              <w:t>HDF时机器可通过监测分析血泵压力脉冲及TMP监测判断凝血趋势，自动计算并设定置换液速率以匹配血流速。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6" w:type="dxa"/>
            <w:tcBorders>
              <w:left w:val="double" w:color="auto" w:sz="4" w:space="0"/>
            </w:tcBorders>
            <w:noWrap w:val="0"/>
            <w:vAlign w:val="center"/>
          </w:tcPr>
          <w:p>
            <w:pPr>
              <w:jc w:val="center"/>
              <w:rPr>
                <w:rFonts w:hint="eastAsia" w:ascii="宋体" w:hAnsi="宋体"/>
                <w:b/>
                <w:color w:val="auto"/>
                <w:sz w:val="24"/>
              </w:rPr>
            </w:pPr>
            <w:r>
              <w:rPr>
                <w:rFonts w:hint="eastAsia" w:ascii="宋体" w:hAnsi="宋体"/>
                <w:b/>
                <w:color w:val="auto"/>
                <w:sz w:val="24"/>
              </w:rPr>
              <w:t>五</w:t>
            </w:r>
          </w:p>
        </w:tc>
        <w:tc>
          <w:tcPr>
            <w:tcW w:w="8480" w:type="dxa"/>
            <w:noWrap w:val="0"/>
            <w:vAlign w:val="center"/>
          </w:tcPr>
          <w:p>
            <w:pPr>
              <w:spacing w:line="360" w:lineRule="exact"/>
              <w:rPr>
                <w:rFonts w:hint="eastAsia" w:ascii="宋体" w:hAnsi="Arial"/>
                <w:b/>
                <w:color w:val="auto"/>
                <w:sz w:val="24"/>
              </w:rPr>
            </w:pPr>
            <w:r>
              <w:rPr>
                <w:rFonts w:ascii="宋体" w:hAnsi="Arial"/>
                <w:b/>
                <w:color w:val="auto"/>
                <w:sz w:val="24"/>
              </w:rPr>
              <w:t>清洗/消毒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hint="eastAsia" w:ascii="宋体" w:hAnsi="宋体"/>
                <w:color w:val="auto"/>
                <w:sz w:val="24"/>
              </w:rPr>
              <w:t>5</w:t>
            </w:r>
            <w:r>
              <w:rPr>
                <w:rFonts w:ascii="宋体" w:hAnsi="宋体"/>
                <w:color w:val="auto"/>
                <w:sz w:val="24"/>
              </w:rPr>
              <w:t>.1</w:t>
            </w:r>
          </w:p>
        </w:tc>
        <w:tc>
          <w:tcPr>
            <w:tcW w:w="8480" w:type="dxa"/>
            <w:noWrap w:val="0"/>
            <w:vAlign w:val="center"/>
          </w:tcPr>
          <w:p>
            <w:pPr>
              <w:spacing w:line="360" w:lineRule="exact"/>
              <w:rPr>
                <w:rFonts w:ascii="宋体" w:hAnsi="Arial"/>
                <w:color w:val="auto"/>
                <w:sz w:val="24"/>
              </w:rPr>
            </w:pPr>
            <w:r>
              <w:rPr>
                <w:rFonts w:ascii="宋体" w:hAnsi="Arial"/>
                <w:color w:val="auto"/>
                <w:sz w:val="24"/>
              </w:rPr>
              <w:t>程式化设置多种消毒和清洗模式，具有化学消毒及加热消毒功能；热消毒温度85至93度。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hint="eastAsia" w:ascii="宋体" w:hAnsi="宋体"/>
                <w:color w:val="auto"/>
                <w:sz w:val="24"/>
              </w:rPr>
              <w:t>5</w:t>
            </w:r>
            <w:r>
              <w:rPr>
                <w:rFonts w:ascii="宋体" w:hAnsi="宋体"/>
                <w:color w:val="auto"/>
                <w:sz w:val="24"/>
              </w:rPr>
              <w:t>.2</w:t>
            </w:r>
          </w:p>
        </w:tc>
        <w:tc>
          <w:tcPr>
            <w:tcW w:w="8480" w:type="dxa"/>
            <w:noWrap w:val="0"/>
            <w:vAlign w:val="center"/>
          </w:tcPr>
          <w:p>
            <w:pPr>
              <w:spacing w:line="360" w:lineRule="exact"/>
              <w:rPr>
                <w:rFonts w:ascii="宋体" w:hAnsi="Arial"/>
                <w:color w:val="auto"/>
                <w:sz w:val="24"/>
              </w:rPr>
            </w:pPr>
            <w:r>
              <w:rPr>
                <w:rFonts w:ascii="宋体" w:hAnsi="Arial"/>
                <w:color w:val="auto"/>
                <w:sz w:val="24"/>
              </w:rPr>
              <w:t>消毒＋脱钙一键完成，完成时间小于</w:t>
            </w:r>
            <w:r>
              <w:rPr>
                <w:rFonts w:hint="eastAsia" w:ascii="宋体" w:hAnsi="Arial"/>
                <w:color w:val="auto"/>
                <w:sz w:val="24"/>
              </w:rPr>
              <w:t>（</w:t>
            </w:r>
            <w:r>
              <w:rPr>
                <w:rFonts w:ascii="Arial" w:hAnsi="Arial" w:cs="Arial"/>
                <w:color w:val="auto"/>
                <w:sz w:val="24"/>
              </w:rPr>
              <w:t>≤</w:t>
            </w:r>
            <w:r>
              <w:rPr>
                <w:rFonts w:hint="eastAsia" w:ascii="宋体" w:hAnsi="Arial"/>
                <w:color w:val="auto"/>
                <w:sz w:val="24"/>
              </w:rPr>
              <w:t>）40</w:t>
            </w:r>
            <w:r>
              <w:rPr>
                <w:rFonts w:ascii="宋体" w:hAnsi="Arial"/>
                <w:color w:val="auto"/>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hint="eastAsia" w:ascii="宋体" w:hAnsi="宋体"/>
                <w:color w:val="auto"/>
                <w:sz w:val="24"/>
              </w:rPr>
              <w:t>*5</w:t>
            </w:r>
            <w:r>
              <w:rPr>
                <w:rFonts w:ascii="宋体" w:hAnsi="宋体"/>
                <w:color w:val="auto"/>
                <w:sz w:val="24"/>
              </w:rPr>
              <w:t>.3</w:t>
            </w:r>
          </w:p>
        </w:tc>
        <w:tc>
          <w:tcPr>
            <w:tcW w:w="8480" w:type="dxa"/>
            <w:noWrap w:val="0"/>
            <w:vAlign w:val="center"/>
          </w:tcPr>
          <w:p>
            <w:pPr>
              <w:spacing w:line="360" w:lineRule="exact"/>
              <w:rPr>
                <w:rFonts w:hint="eastAsia" w:ascii="宋体" w:hAnsi="Arial"/>
                <w:color w:val="auto"/>
                <w:sz w:val="24"/>
              </w:rPr>
            </w:pPr>
            <w:r>
              <w:rPr>
                <w:rFonts w:ascii="宋体" w:hAnsi="Arial"/>
                <w:color w:val="auto"/>
                <w:sz w:val="24"/>
              </w:rPr>
              <w:t>透析液吸管（A\B管）自动消毒。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6" w:type="dxa"/>
            <w:tcBorders>
              <w:left w:val="double" w:color="auto" w:sz="4" w:space="0"/>
            </w:tcBorders>
            <w:noWrap w:val="0"/>
            <w:vAlign w:val="center"/>
          </w:tcPr>
          <w:p>
            <w:pPr>
              <w:jc w:val="center"/>
              <w:rPr>
                <w:rFonts w:hint="eastAsia" w:ascii="宋体" w:hAnsi="宋体"/>
                <w:b/>
                <w:color w:val="auto"/>
                <w:sz w:val="24"/>
              </w:rPr>
            </w:pPr>
            <w:r>
              <w:rPr>
                <w:rFonts w:hint="eastAsia" w:ascii="宋体" w:hAnsi="宋体"/>
                <w:b/>
                <w:color w:val="auto"/>
                <w:sz w:val="24"/>
              </w:rPr>
              <w:t>六</w:t>
            </w:r>
          </w:p>
        </w:tc>
        <w:tc>
          <w:tcPr>
            <w:tcW w:w="8480" w:type="dxa"/>
            <w:noWrap w:val="0"/>
            <w:vAlign w:val="center"/>
          </w:tcPr>
          <w:p>
            <w:pPr>
              <w:spacing w:line="360" w:lineRule="exact"/>
              <w:rPr>
                <w:rFonts w:ascii="宋体" w:hAnsi="Arial"/>
                <w:b/>
                <w:color w:val="auto"/>
                <w:sz w:val="24"/>
              </w:rPr>
            </w:pPr>
            <w:r>
              <w:rPr>
                <w:rFonts w:ascii="宋体" w:hAnsi="Arial"/>
                <w:b/>
                <w:color w:val="auto"/>
                <w:sz w:val="24"/>
              </w:rPr>
              <w:t>后备电源配置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hint="eastAsia" w:ascii="宋体" w:hAnsi="宋体"/>
                <w:color w:val="auto"/>
                <w:sz w:val="24"/>
              </w:rPr>
              <w:t xml:space="preserve"> 6</w:t>
            </w:r>
            <w:r>
              <w:rPr>
                <w:rFonts w:ascii="宋体" w:hAnsi="宋体"/>
                <w:color w:val="auto"/>
                <w:sz w:val="24"/>
              </w:rPr>
              <w:t>.1</w:t>
            </w:r>
          </w:p>
        </w:tc>
        <w:tc>
          <w:tcPr>
            <w:tcW w:w="8480" w:type="dxa"/>
            <w:noWrap w:val="0"/>
            <w:vAlign w:val="center"/>
          </w:tcPr>
          <w:p>
            <w:pPr>
              <w:spacing w:line="360" w:lineRule="exact"/>
              <w:rPr>
                <w:rFonts w:ascii="宋体" w:hAnsi="Arial"/>
                <w:color w:val="auto"/>
                <w:sz w:val="24"/>
              </w:rPr>
            </w:pPr>
            <w:r>
              <w:rPr>
                <w:rFonts w:ascii="宋体" w:hAnsi="Arial"/>
                <w:color w:val="auto"/>
                <w:sz w:val="24"/>
              </w:rPr>
              <w:t>内置的后备电源可支持整机维持体外循环大于</w:t>
            </w:r>
            <w:r>
              <w:rPr>
                <w:rFonts w:hint="eastAsia" w:ascii="宋体" w:hAnsi="Arial"/>
                <w:color w:val="auto"/>
                <w:sz w:val="24"/>
              </w:rPr>
              <w:t>（</w:t>
            </w:r>
            <w:r>
              <w:rPr>
                <w:rFonts w:ascii="Arial" w:hAnsi="Arial" w:cs="Arial"/>
                <w:color w:val="auto"/>
                <w:sz w:val="24"/>
              </w:rPr>
              <w:t>≥</w:t>
            </w:r>
            <w:r>
              <w:rPr>
                <w:rFonts w:hint="eastAsia" w:ascii="宋体" w:hAnsi="Arial"/>
                <w:color w:val="auto"/>
                <w:sz w:val="24"/>
              </w:rPr>
              <w:t>）15</w:t>
            </w:r>
            <w:r>
              <w:rPr>
                <w:rFonts w:ascii="宋体" w:hAnsi="Arial"/>
                <w:color w:val="auto"/>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hint="eastAsia" w:ascii="宋体" w:hAnsi="宋体"/>
                <w:color w:val="auto"/>
                <w:sz w:val="24"/>
              </w:rPr>
              <w:t>6</w:t>
            </w:r>
            <w:r>
              <w:rPr>
                <w:rFonts w:ascii="宋体" w:hAnsi="宋体"/>
                <w:color w:val="auto"/>
                <w:sz w:val="24"/>
              </w:rPr>
              <w:t>.2</w:t>
            </w:r>
          </w:p>
        </w:tc>
        <w:tc>
          <w:tcPr>
            <w:tcW w:w="8480" w:type="dxa"/>
            <w:noWrap w:val="0"/>
            <w:vAlign w:val="center"/>
          </w:tcPr>
          <w:p>
            <w:pPr>
              <w:spacing w:line="360" w:lineRule="exact"/>
              <w:rPr>
                <w:rFonts w:ascii="宋体" w:hAnsi="Arial"/>
                <w:color w:val="auto"/>
                <w:sz w:val="24"/>
              </w:rPr>
            </w:pPr>
            <w:r>
              <w:rPr>
                <w:rFonts w:ascii="宋体" w:hAnsi="Arial"/>
                <w:color w:val="auto"/>
                <w:sz w:val="24"/>
              </w:rPr>
              <w:t>所有监测功能正常运作，治疗数据不丢失。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6" w:type="dxa"/>
            <w:tcBorders>
              <w:left w:val="double" w:color="auto" w:sz="4" w:space="0"/>
            </w:tcBorders>
            <w:noWrap w:val="0"/>
            <w:vAlign w:val="center"/>
          </w:tcPr>
          <w:p>
            <w:pPr>
              <w:jc w:val="center"/>
              <w:rPr>
                <w:rFonts w:hint="eastAsia" w:ascii="宋体" w:hAnsi="宋体"/>
                <w:b/>
                <w:color w:val="auto"/>
                <w:sz w:val="24"/>
              </w:rPr>
            </w:pPr>
            <w:r>
              <w:rPr>
                <w:rFonts w:hint="eastAsia" w:ascii="宋体" w:hAnsi="宋体"/>
                <w:b/>
                <w:color w:val="auto"/>
                <w:sz w:val="24"/>
              </w:rPr>
              <w:t>七</w:t>
            </w:r>
          </w:p>
        </w:tc>
        <w:tc>
          <w:tcPr>
            <w:tcW w:w="8480" w:type="dxa"/>
            <w:noWrap w:val="0"/>
            <w:vAlign w:val="center"/>
          </w:tcPr>
          <w:p>
            <w:pPr>
              <w:spacing w:line="360" w:lineRule="exact"/>
              <w:rPr>
                <w:rFonts w:ascii="宋体" w:hAnsi="Arial"/>
                <w:b/>
                <w:color w:val="auto"/>
                <w:sz w:val="24"/>
              </w:rPr>
            </w:pPr>
            <w:r>
              <w:rPr>
                <w:rFonts w:ascii="宋体" w:hAnsi="Arial"/>
                <w:b/>
                <w:color w:val="auto"/>
                <w:sz w:val="24"/>
              </w:rPr>
              <w:t>体外循环通路及安全监测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hint="eastAsia" w:ascii="宋体" w:hAnsi="宋体"/>
                <w:color w:val="auto"/>
                <w:sz w:val="24"/>
              </w:rPr>
              <w:t>7</w:t>
            </w:r>
            <w:r>
              <w:rPr>
                <w:rFonts w:ascii="宋体" w:hAnsi="宋体"/>
                <w:color w:val="auto"/>
                <w:sz w:val="24"/>
              </w:rPr>
              <w:t>.1</w:t>
            </w:r>
          </w:p>
        </w:tc>
        <w:tc>
          <w:tcPr>
            <w:tcW w:w="8480" w:type="dxa"/>
            <w:noWrap w:val="0"/>
            <w:vAlign w:val="center"/>
          </w:tcPr>
          <w:p>
            <w:pPr>
              <w:spacing w:line="360" w:lineRule="exact"/>
              <w:rPr>
                <w:rFonts w:ascii="宋体" w:hAnsi="Arial"/>
                <w:color w:val="auto"/>
                <w:sz w:val="24"/>
              </w:rPr>
            </w:pPr>
            <w:r>
              <w:rPr>
                <w:rFonts w:ascii="宋体" w:hAnsi="Arial"/>
                <w:color w:val="auto"/>
                <w:sz w:val="24"/>
              </w:rPr>
              <w:t>漏血监测：采用超声波和光学两道反补性侦测。灵敏度</w:t>
            </w:r>
            <w:r>
              <w:rPr>
                <w:rFonts w:hint="eastAsia" w:ascii="宋体" w:hAnsi="Arial"/>
                <w:color w:val="auto"/>
                <w:sz w:val="24"/>
              </w:rPr>
              <w:t>&lt;（</w:t>
            </w:r>
            <w:r>
              <w:rPr>
                <w:rFonts w:ascii="Arial" w:hAnsi="Arial" w:cs="Arial"/>
                <w:color w:val="auto"/>
                <w:sz w:val="24"/>
              </w:rPr>
              <w:t>≤</w:t>
            </w:r>
            <w:r>
              <w:rPr>
                <w:rFonts w:hint="eastAsia" w:ascii="宋体" w:hAnsi="Arial"/>
                <w:color w:val="auto"/>
                <w:sz w:val="24"/>
              </w:rPr>
              <w:t>）0.5ml血流/min(Hct=25%)，流速100ml</w:t>
            </w:r>
            <w:r>
              <w:rPr>
                <w:rFonts w:ascii="宋体" w:hAnsi="Arial"/>
                <w:color w:val="auto"/>
                <w:sz w:val="24"/>
              </w:rPr>
              <w:t>/min-1000ml/min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hint="eastAsia" w:ascii="宋体" w:hAnsi="宋体"/>
                <w:color w:val="auto"/>
                <w:sz w:val="24"/>
              </w:rPr>
              <w:t>7</w:t>
            </w:r>
            <w:r>
              <w:rPr>
                <w:rFonts w:ascii="宋体" w:hAnsi="宋体"/>
                <w:color w:val="auto"/>
                <w:sz w:val="24"/>
              </w:rPr>
              <w:t>.2</w:t>
            </w:r>
          </w:p>
        </w:tc>
        <w:tc>
          <w:tcPr>
            <w:tcW w:w="8480" w:type="dxa"/>
            <w:noWrap w:val="0"/>
            <w:vAlign w:val="center"/>
          </w:tcPr>
          <w:p>
            <w:pPr>
              <w:spacing w:line="360" w:lineRule="exact"/>
              <w:rPr>
                <w:rFonts w:ascii="宋体" w:hAnsi="Arial"/>
                <w:color w:val="auto"/>
                <w:sz w:val="24"/>
              </w:rPr>
            </w:pPr>
            <w:r>
              <w:rPr>
                <w:rFonts w:ascii="宋体" w:hAnsi="Arial"/>
                <w:color w:val="auto"/>
                <w:sz w:val="24"/>
              </w:rPr>
              <w:t>动脉压监测</w:t>
            </w:r>
          </w:p>
          <w:p>
            <w:pPr>
              <w:spacing w:line="360" w:lineRule="exact"/>
              <w:rPr>
                <w:rFonts w:ascii="宋体" w:hAnsi="Arial"/>
                <w:color w:val="auto"/>
                <w:sz w:val="24"/>
              </w:rPr>
            </w:pPr>
            <w:r>
              <w:rPr>
                <w:rFonts w:ascii="宋体" w:hAnsi="Arial"/>
                <w:color w:val="auto"/>
                <w:sz w:val="24"/>
              </w:rPr>
              <w:t>显示范围 -300mmHg～+300mmHg；精确度±7mmHg；分辨率：5mmHg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hint="eastAsia" w:ascii="宋体" w:hAnsi="宋体"/>
                <w:color w:val="auto"/>
                <w:sz w:val="24"/>
              </w:rPr>
              <w:t>7</w:t>
            </w:r>
            <w:r>
              <w:rPr>
                <w:rFonts w:ascii="宋体" w:hAnsi="宋体"/>
                <w:color w:val="auto"/>
                <w:sz w:val="24"/>
              </w:rPr>
              <w:t>.3</w:t>
            </w:r>
          </w:p>
        </w:tc>
        <w:tc>
          <w:tcPr>
            <w:tcW w:w="8480" w:type="dxa"/>
            <w:noWrap w:val="0"/>
            <w:vAlign w:val="center"/>
          </w:tcPr>
          <w:p>
            <w:pPr>
              <w:spacing w:line="360" w:lineRule="exact"/>
              <w:rPr>
                <w:rFonts w:ascii="宋体" w:hAnsi="Arial"/>
                <w:color w:val="auto"/>
                <w:sz w:val="24"/>
              </w:rPr>
            </w:pPr>
            <w:r>
              <w:rPr>
                <w:rFonts w:ascii="宋体" w:hAnsi="Arial"/>
                <w:color w:val="auto"/>
                <w:sz w:val="24"/>
              </w:rPr>
              <w:t>静脉压监测</w:t>
            </w:r>
          </w:p>
          <w:p>
            <w:pPr>
              <w:spacing w:line="360" w:lineRule="exact"/>
              <w:rPr>
                <w:rFonts w:ascii="宋体" w:hAnsi="Arial"/>
                <w:color w:val="auto"/>
                <w:sz w:val="24"/>
              </w:rPr>
            </w:pPr>
            <w:r>
              <w:rPr>
                <w:rFonts w:ascii="宋体" w:hAnsi="Arial"/>
                <w:color w:val="auto"/>
                <w:sz w:val="24"/>
              </w:rPr>
              <w:t>显示范围 -100mmHg～+500mmHg；精确度±7mmHg；分辨率：5mmHg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hint="eastAsia" w:ascii="宋体" w:hAnsi="宋体"/>
                <w:color w:val="auto"/>
                <w:sz w:val="24"/>
              </w:rPr>
              <w:t>7</w:t>
            </w:r>
            <w:r>
              <w:rPr>
                <w:rFonts w:ascii="宋体" w:hAnsi="宋体"/>
                <w:color w:val="auto"/>
                <w:sz w:val="24"/>
              </w:rPr>
              <w:t>.4</w:t>
            </w:r>
          </w:p>
        </w:tc>
        <w:tc>
          <w:tcPr>
            <w:tcW w:w="8480" w:type="dxa"/>
            <w:noWrap w:val="0"/>
            <w:vAlign w:val="center"/>
          </w:tcPr>
          <w:p>
            <w:pPr>
              <w:spacing w:line="360" w:lineRule="exact"/>
              <w:rPr>
                <w:rFonts w:ascii="宋体" w:hAnsi="Arial"/>
                <w:color w:val="auto"/>
                <w:sz w:val="24"/>
              </w:rPr>
            </w:pPr>
            <w:r>
              <w:rPr>
                <w:rFonts w:ascii="宋体" w:hAnsi="Arial"/>
                <w:color w:val="auto"/>
                <w:sz w:val="24"/>
              </w:rPr>
              <w:t>跨膜压监测：</w:t>
            </w:r>
          </w:p>
          <w:p>
            <w:pPr>
              <w:spacing w:line="360" w:lineRule="exact"/>
              <w:rPr>
                <w:rFonts w:ascii="宋体" w:hAnsi="Arial"/>
                <w:color w:val="auto"/>
                <w:sz w:val="24"/>
              </w:rPr>
            </w:pPr>
            <w:r>
              <w:rPr>
                <w:rFonts w:ascii="宋体" w:hAnsi="Arial"/>
                <w:color w:val="auto"/>
                <w:sz w:val="24"/>
              </w:rPr>
              <w:t>显示范围 -100mmHg～+400mmHg；分辨率：5mmHg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6" w:type="dxa"/>
            <w:tcBorders>
              <w:left w:val="double" w:color="auto" w:sz="4" w:space="0"/>
            </w:tcBorders>
            <w:noWrap w:val="0"/>
            <w:vAlign w:val="center"/>
          </w:tcPr>
          <w:p>
            <w:pPr>
              <w:jc w:val="center"/>
              <w:rPr>
                <w:rFonts w:ascii="宋体" w:hAnsi="宋体"/>
                <w:color w:val="auto"/>
                <w:sz w:val="24"/>
                <w:szCs w:val="24"/>
              </w:rPr>
            </w:pPr>
            <w:r>
              <w:rPr>
                <w:rFonts w:hint="eastAsia" w:ascii="宋体" w:hAnsi="宋体"/>
                <w:color w:val="auto"/>
                <w:sz w:val="24"/>
                <w:szCs w:val="24"/>
              </w:rPr>
              <w:t>7</w:t>
            </w:r>
            <w:r>
              <w:rPr>
                <w:rFonts w:ascii="宋体" w:hAnsi="宋体"/>
                <w:color w:val="auto"/>
                <w:sz w:val="24"/>
                <w:szCs w:val="24"/>
              </w:rPr>
              <w:t>.5</w:t>
            </w:r>
          </w:p>
        </w:tc>
        <w:tc>
          <w:tcPr>
            <w:tcW w:w="8480" w:type="dxa"/>
            <w:noWrap w:val="0"/>
            <w:vAlign w:val="center"/>
          </w:tcPr>
          <w:p>
            <w:pPr>
              <w:spacing w:line="360" w:lineRule="exact"/>
              <w:rPr>
                <w:rFonts w:ascii="宋体" w:hAnsi="Arial"/>
                <w:color w:val="auto"/>
                <w:sz w:val="24"/>
                <w:szCs w:val="24"/>
              </w:rPr>
            </w:pPr>
            <w:r>
              <w:rPr>
                <w:rFonts w:ascii="宋体" w:hAnsi="Arial"/>
                <w:color w:val="auto"/>
                <w:sz w:val="24"/>
                <w:szCs w:val="24"/>
              </w:rPr>
              <w:t>动脉血泵</w:t>
            </w:r>
          </w:p>
          <w:p>
            <w:pPr>
              <w:spacing w:line="360" w:lineRule="exact"/>
              <w:rPr>
                <w:rFonts w:ascii="宋体" w:hAnsi="Arial"/>
                <w:color w:val="auto"/>
                <w:sz w:val="24"/>
                <w:szCs w:val="24"/>
              </w:rPr>
            </w:pPr>
            <w:r>
              <w:rPr>
                <w:rFonts w:ascii="宋体" w:hAnsi="Arial"/>
                <w:color w:val="auto"/>
                <w:sz w:val="24"/>
                <w:szCs w:val="24"/>
              </w:rPr>
              <w:t>血流量范围 30～600ml/min；</w:t>
            </w:r>
            <w:r>
              <w:rPr>
                <w:rFonts w:hint="eastAsia" w:ascii="宋体" w:hAnsi="Arial"/>
                <w:color w:val="auto"/>
                <w:sz w:val="24"/>
                <w:szCs w:val="24"/>
              </w:rPr>
              <w:t>精确度</w:t>
            </w:r>
            <w:r>
              <w:rPr>
                <w:rFonts w:ascii="宋体" w:hAnsi="Arial"/>
                <w:color w:val="auto"/>
                <w:sz w:val="24"/>
                <w:szCs w:val="24"/>
              </w:rPr>
              <w:t xml:space="preserve"> </w:t>
            </w:r>
            <w:r>
              <w:rPr>
                <w:rFonts w:ascii="宋体" w:hAnsi="Arial"/>
                <w:color w:val="auto"/>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hint="eastAsia" w:ascii="宋体" w:hAnsi="宋体"/>
                <w:color w:val="auto"/>
                <w:sz w:val="24"/>
              </w:rPr>
              <w:t>7</w:t>
            </w:r>
            <w:r>
              <w:rPr>
                <w:rFonts w:ascii="宋体" w:hAnsi="宋体"/>
                <w:color w:val="auto"/>
                <w:sz w:val="24"/>
              </w:rPr>
              <w:t>.6</w:t>
            </w:r>
          </w:p>
        </w:tc>
        <w:tc>
          <w:tcPr>
            <w:tcW w:w="8480" w:type="dxa"/>
            <w:noWrap w:val="0"/>
            <w:vAlign w:val="center"/>
          </w:tcPr>
          <w:p>
            <w:pPr>
              <w:spacing w:line="360" w:lineRule="exact"/>
              <w:rPr>
                <w:rFonts w:ascii="宋体" w:hAnsi="Arial"/>
                <w:color w:val="auto"/>
                <w:sz w:val="24"/>
              </w:rPr>
            </w:pPr>
            <w:r>
              <w:rPr>
                <w:rFonts w:ascii="宋体" w:hAnsi="Arial"/>
                <w:color w:val="auto"/>
                <w:sz w:val="24"/>
              </w:rPr>
              <w:t>空气监测器：对于血液管路的超声波传导测量、附加液面水平和光学监测器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56" w:type="dxa"/>
            <w:tcBorders>
              <w:left w:val="double" w:color="auto" w:sz="4" w:space="0"/>
            </w:tcBorders>
            <w:noWrap w:val="0"/>
            <w:vAlign w:val="center"/>
          </w:tcPr>
          <w:p>
            <w:pPr>
              <w:jc w:val="center"/>
              <w:rPr>
                <w:rFonts w:ascii="宋体" w:hAnsi="宋体"/>
                <w:color w:val="auto"/>
                <w:sz w:val="24"/>
              </w:rPr>
            </w:pPr>
            <w:r>
              <w:rPr>
                <w:rFonts w:hint="eastAsia" w:ascii="宋体" w:hAnsi="宋体"/>
                <w:color w:val="auto"/>
                <w:sz w:val="24"/>
              </w:rPr>
              <w:t>7</w:t>
            </w:r>
            <w:r>
              <w:rPr>
                <w:rFonts w:ascii="宋体" w:hAnsi="宋体"/>
                <w:color w:val="auto"/>
                <w:sz w:val="24"/>
              </w:rPr>
              <w:t>.7</w:t>
            </w:r>
          </w:p>
        </w:tc>
        <w:tc>
          <w:tcPr>
            <w:tcW w:w="8480" w:type="dxa"/>
            <w:noWrap w:val="0"/>
            <w:vAlign w:val="center"/>
          </w:tcPr>
          <w:p>
            <w:pPr>
              <w:spacing w:line="360" w:lineRule="exact"/>
              <w:rPr>
                <w:rFonts w:ascii="宋体" w:hAnsi="Arial"/>
                <w:color w:val="auto"/>
                <w:sz w:val="24"/>
              </w:rPr>
            </w:pPr>
            <w:r>
              <w:rPr>
                <w:rFonts w:ascii="宋体" w:hAnsi="Arial"/>
                <w:color w:val="auto"/>
                <w:sz w:val="24"/>
              </w:rPr>
              <w:t>肝素泵：可编定停止时间，读取累计肝素容量。</w:t>
            </w:r>
          </w:p>
          <w:p>
            <w:pPr>
              <w:spacing w:line="360" w:lineRule="exact"/>
              <w:rPr>
                <w:rFonts w:ascii="宋体" w:hAnsi="Arial"/>
                <w:color w:val="auto"/>
                <w:sz w:val="24"/>
              </w:rPr>
            </w:pPr>
            <w:r>
              <w:rPr>
                <w:rFonts w:ascii="宋体" w:hAnsi="Arial"/>
                <w:color w:val="auto"/>
                <w:sz w:val="24"/>
              </w:rPr>
              <w:t>流速 0～10ml/h；单次追加剂量0.1～5ml，注射器尺寸</w:t>
            </w:r>
            <w:r>
              <w:rPr>
                <w:rFonts w:hint="eastAsia" w:ascii="宋体" w:hAnsi="Arial"/>
                <w:color w:val="auto"/>
                <w:sz w:val="24"/>
              </w:rPr>
              <w:t xml:space="preserve"> 20ml，30ml</w:t>
            </w:r>
          </w:p>
        </w:tc>
      </w:tr>
    </w:tbl>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Arial"/>
          <w:b/>
          <w:color w:val="auto"/>
          <w:sz w:val="28"/>
          <w:szCs w:val="28"/>
        </w:rPr>
      </w:pPr>
      <w:r>
        <w:rPr>
          <w:color w:val="auto"/>
        </w:rPr>
        <w:br w:type="page"/>
      </w:r>
      <w:r>
        <w:rPr>
          <w:rFonts w:hint="eastAsia"/>
          <w:color w:val="auto"/>
          <w:sz w:val="28"/>
          <w:szCs w:val="28"/>
        </w:rPr>
        <w:t>二、</w:t>
      </w:r>
      <w:r>
        <w:rPr>
          <w:rFonts w:hint="eastAsia" w:ascii="宋体" w:hAnsi="Arial"/>
          <w:b/>
          <w:color w:val="auto"/>
          <w:sz w:val="28"/>
          <w:szCs w:val="28"/>
        </w:rPr>
        <w:t xml:space="preserve">手术接轨车（采购数量：1辆） </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ascii="宋体" w:hAnsi="Arial"/>
          <w:b/>
          <w:color w:val="auto"/>
          <w:sz w:val="28"/>
          <w:szCs w:val="28"/>
        </w:rPr>
      </w:pPr>
      <w:r>
        <w:rPr>
          <w:rFonts w:hint="eastAsia" w:ascii="宋体" w:hAnsi="Arial"/>
          <w:b/>
          <w:color w:val="auto"/>
          <w:sz w:val="28"/>
          <w:szCs w:val="28"/>
        </w:rPr>
        <w:t>参数要求：</w:t>
      </w:r>
    </w:p>
    <w:p>
      <w:pPr>
        <w:spacing w:line="360" w:lineRule="auto"/>
        <w:jc w:val="left"/>
        <w:rPr>
          <w:rFonts w:hint="eastAsia" w:ascii="宋体" w:hAnsi="Arial"/>
          <w:color w:val="auto"/>
          <w:sz w:val="24"/>
        </w:rPr>
      </w:pPr>
      <w:r>
        <w:rPr>
          <w:rFonts w:hint="eastAsia" w:ascii="宋体" w:hAnsi="Arial"/>
          <w:color w:val="auto"/>
          <w:sz w:val="24"/>
        </w:rPr>
        <w:t>1、车面及护栏采用PP工程塑料一次注塑成型。采用国际先进的中控刹车系统，稳定可靠。</w:t>
      </w:r>
    </w:p>
    <w:p>
      <w:pPr>
        <w:spacing w:line="360" w:lineRule="auto"/>
        <w:jc w:val="left"/>
        <w:rPr>
          <w:rFonts w:hint="eastAsia" w:ascii="宋体" w:hAnsi="Arial"/>
          <w:color w:val="auto"/>
          <w:sz w:val="24"/>
        </w:rPr>
      </w:pPr>
      <w:r>
        <w:rPr>
          <w:rFonts w:hint="eastAsia" w:ascii="宋体" w:hAnsi="Arial"/>
          <w:color w:val="auto"/>
          <w:sz w:val="24"/>
        </w:rPr>
        <w:t>2、车面为分体结构，上体采用进口气弹簧做为支撑力 源，操作简易、方便；</w:t>
      </w:r>
    </w:p>
    <w:p>
      <w:pPr>
        <w:spacing w:line="360" w:lineRule="auto"/>
        <w:jc w:val="left"/>
        <w:rPr>
          <w:rFonts w:hint="eastAsia" w:ascii="宋体" w:hAnsi="Arial"/>
          <w:color w:val="auto"/>
          <w:sz w:val="24"/>
        </w:rPr>
      </w:pPr>
      <w:r>
        <w:rPr>
          <w:rFonts w:hint="eastAsia" w:ascii="宋体" w:hAnsi="Arial"/>
          <w:color w:val="auto"/>
          <w:sz w:val="24"/>
        </w:rPr>
        <w:t>3、全长：（</w:t>
      </w:r>
      <w:r>
        <w:rPr>
          <w:rFonts w:ascii="Arial" w:hAnsi="Arial" w:cs="Arial"/>
          <w:color w:val="auto"/>
          <w:sz w:val="24"/>
        </w:rPr>
        <w:t>≥</w:t>
      </w:r>
      <w:r>
        <w:rPr>
          <w:rFonts w:hint="eastAsia" w:ascii="宋体" w:hAnsi="Arial"/>
          <w:color w:val="auto"/>
          <w:sz w:val="24"/>
        </w:rPr>
        <w:t>360）365CM，全宽：（</w:t>
      </w:r>
      <w:r>
        <w:rPr>
          <w:rFonts w:ascii="Arial" w:hAnsi="Arial" w:cs="Arial"/>
          <w:color w:val="auto"/>
          <w:sz w:val="24"/>
        </w:rPr>
        <w:t>≥</w:t>
      </w:r>
      <w:r>
        <w:rPr>
          <w:rFonts w:hint="eastAsia" w:ascii="宋体" w:hAnsi="Arial"/>
          <w:color w:val="auto"/>
          <w:sz w:val="24"/>
        </w:rPr>
        <w:t>60）64CM，床高范围：最高97CM,最低64CM。（</w:t>
      </w:r>
      <w:r>
        <w:rPr>
          <w:rFonts w:ascii="Arial" w:hAnsi="Arial" w:cs="Arial"/>
          <w:color w:val="auto"/>
          <w:sz w:val="24"/>
        </w:rPr>
        <w:t>≥</w:t>
      </w:r>
      <w:r>
        <w:rPr>
          <w:rFonts w:hint="eastAsia" w:ascii="宋体" w:hAnsi="Arial"/>
          <w:color w:val="auto"/>
          <w:sz w:val="24"/>
        </w:rPr>
        <w:t>90CM，</w:t>
      </w:r>
      <w:r>
        <w:rPr>
          <w:rFonts w:ascii="Arial" w:hAnsi="Arial" w:cs="Arial"/>
          <w:color w:val="auto"/>
          <w:sz w:val="24"/>
        </w:rPr>
        <w:t>≤</w:t>
      </w:r>
      <w:r>
        <w:rPr>
          <w:rFonts w:hint="eastAsia" w:ascii="宋体" w:hAnsi="Arial"/>
          <w:color w:val="auto"/>
          <w:sz w:val="24"/>
        </w:rPr>
        <w:t>65CM）</w:t>
      </w:r>
    </w:p>
    <w:p>
      <w:pPr>
        <w:spacing w:line="360" w:lineRule="auto"/>
        <w:jc w:val="left"/>
        <w:rPr>
          <w:rFonts w:hint="eastAsia" w:ascii="宋体" w:hAnsi="Arial"/>
          <w:color w:val="auto"/>
          <w:sz w:val="24"/>
        </w:rPr>
      </w:pPr>
      <w:r>
        <w:rPr>
          <w:rFonts w:hint="eastAsia" w:ascii="宋体" w:hAnsi="Arial"/>
          <w:color w:val="auto"/>
          <w:sz w:val="24"/>
        </w:rPr>
        <w:t>4、床板位置调节：背板0~75度。</w:t>
      </w:r>
    </w:p>
    <w:p>
      <w:pPr>
        <w:spacing w:line="360" w:lineRule="auto"/>
        <w:jc w:val="left"/>
        <w:rPr>
          <w:rFonts w:hint="eastAsia" w:ascii="宋体" w:hAnsi="Arial"/>
          <w:color w:val="auto"/>
          <w:sz w:val="24"/>
        </w:rPr>
      </w:pPr>
      <w:r>
        <w:rPr>
          <w:rFonts w:hint="eastAsia" w:ascii="宋体" w:hAnsi="Arial"/>
          <w:color w:val="auto"/>
          <w:sz w:val="24"/>
        </w:rPr>
        <w:t>5、最大承重：250KG（</w:t>
      </w:r>
      <w:r>
        <w:rPr>
          <w:rFonts w:ascii="Arial" w:hAnsi="Arial" w:cs="Arial"/>
          <w:color w:val="auto"/>
          <w:sz w:val="24"/>
        </w:rPr>
        <w:t>≥</w:t>
      </w:r>
      <w:r>
        <w:rPr>
          <w:rFonts w:hint="eastAsia" w:ascii="宋体" w:hAnsi="Arial"/>
          <w:color w:val="auto"/>
          <w:sz w:val="24"/>
        </w:rPr>
        <w:t>200KG）。</w:t>
      </w:r>
    </w:p>
    <w:p>
      <w:pPr>
        <w:spacing w:line="360" w:lineRule="auto"/>
        <w:jc w:val="left"/>
        <w:rPr>
          <w:rFonts w:hint="eastAsia" w:ascii="宋体" w:hAnsi="Arial"/>
          <w:color w:val="auto"/>
          <w:sz w:val="24"/>
        </w:rPr>
      </w:pPr>
      <w:r>
        <w:rPr>
          <w:rFonts w:hint="eastAsia" w:ascii="宋体" w:hAnsi="Arial"/>
          <w:color w:val="auto"/>
          <w:sz w:val="24"/>
        </w:rPr>
        <w:t>6、中控静音轮直径：15CM。</w:t>
      </w:r>
    </w:p>
    <w:p>
      <w:pPr>
        <w:spacing w:line="360" w:lineRule="auto"/>
        <w:jc w:val="left"/>
        <w:rPr>
          <w:rFonts w:hint="eastAsia" w:ascii="宋体" w:hAnsi="Arial"/>
          <w:color w:val="auto"/>
          <w:sz w:val="24"/>
        </w:rPr>
      </w:pPr>
      <w:r>
        <w:rPr>
          <w:rFonts w:hint="eastAsia" w:ascii="宋体" w:hAnsi="Arial"/>
          <w:color w:val="auto"/>
          <w:sz w:val="24"/>
        </w:rPr>
        <w:t>7、包含输液架、可升降导轮、PP护栏、PP床面、“心肺复苏位”快速释放把手。</w:t>
      </w:r>
    </w:p>
    <w:p>
      <w:pPr>
        <w:spacing w:line="360" w:lineRule="auto"/>
        <w:jc w:val="left"/>
        <w:rPr>
          <w:rFonts w:hint="eastAsia" w:ascii="宋体" w:hAnsi="Arial"/>
          <w:color w:val="auto"/>
          <w:sz w:val="24"/>
        </w:rPr>
      </w:pPr>
      <w:r>
        <w:rPr>
          <w:rFonts w:hint="eastAsia" w:ascii="宋体" w:hAnsi="Arial"/>
          <w:color w:val="auto"/>
          <w:sz w:val="24"/>
        </w:rPr>
        <w:t>8、床垫（选配）。</w:t>
      </w:r>
    </w:p>
    <w:p>
      <w:pPr>
        <w:spacing w:line="360" w:lineRule="auto"/>
        <w:jc w:val="left"/>
        <w:rPr>
          <w:rFonts w:hint="eastAsia" w:ascii="宋体" w:hAnsi="Arial"/>
          <w:color w:val="auto"/>
          <w:sz w:val="24"/>
        </w:rPr>
      </w:pPr>
      <w:r>
        <w:rPr>
          <w:rFonts w:hint="eastAsia" w:ascii="宋体" w:hAnsi="Arial"/>
          <w:color w:val="auto"/>
          <w:sz w:val="24"/>
        </w:rPr>
        <w:t>9、表层静电粉末喷涂。</w:t>
      </w:r>
    </w:p>
    <w:p>
      <w:pPr>
        <w:spacing w:line="360" w:lineRule="auto"/>
        <w:jc w:val="left"/>
        <w:rPr>
          <w:rFonts w:hint="eastAsia" w:ascii="宋体" w:hAnsi="Arial"/>
          <w:color w:val="auto"/>
          <w:sz w:val="24"/>
        </w:rPr>
      </w:pPr>
      <w:r>
        <w:rPr>
          <w:rFonts w:hint="eastAsia" w:ascii="宋体" w:hAnsi="Arial"/>
          <w:color w:val="auto"/>
          <w:sz w:val="24"/>
        </w:rPr>
        <w:t>10、铝合金轨道车架。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三、核磁膝关节专用线圈（采购数量：1个）</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8"/>
          <w:szCs w:val="28"/>
        </w:rPr>
      </w:pPr>
      <w:r>
        <w:rPr>
          <w:rFonts w:hint="eastAsia" w:ascii="宋体" w:hAnsi="宋体" w:eastAsia="宋体" w:cs="宋体"/>
          <w:b/>
          <w:bCs/>
          <w:color w:val="auto"/>
          <w:sz w:val="28"/>
          <w:szCs w:val="28"/>
        </w:rPr>
        <w:t>参数要求：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3828"/>
        <w:gridCol w:w="2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93"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1</w:t>
            </w:r>
          </w:p>
        </w:tc>
        <w:tc>
          <w:tcPr>
            <w:tcW w:w="3828" w:type="dxa"/>
            <w:noWrap w:val="0"/>
            <w:vAlign w:val="top"/>
          </w:tcPr>
          <w:p>
            <w:pPr>
              <w:rPr>
                <w:rFonts w:hint="eastAsia" w:ascii="宋体" w:hAnsi="宋体" w:cs="宋体"/>
                <w:b/>
                <w:bCs/>
                <w:color w:val="auto"/>
                <w:sz w:val="24"/>
                <w:szCs w:val="24"/>
              </w:rPr>
            </w:pPr>
            <w:r>
              <w:rPr>
                <w:rFonts w:hint="eastAsia" w:ascii="宋体" w:hAnsi="宋体" w:cs="宋体"/>
                <w:b/>
                <w:bCs/>
                <w:color w:val="auto"/>
                <w:sz w:val="24"/>
                <w:szCs w:val="24"/>
              </w:rPr>
              <w:t>8通道肢体相控阵线圈</w:t>
            </w:r>
          </w:p>
        </w:tc>
        <w:tc>
          <w:tcPr>
            <w:tcW w:w="2757" w:type="dxa"/>
            <w:noWrap w:val="0"/>
            <w:vAlign w:val="top"/>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93"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1.1</w:t>
            </w:r>
          </w:p>
        </w:tc>
        <w:tc>
          <w:tcPr>
            <w:tcW w:w="3828"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具备8个线圈单元</w:t>
            </w:r>
          </w:p>
        </w:tc>
        <w:tc>
          <w:tcPr>
            <w:tcW w:w="2757"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93"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1.2</w:t>
            </w:r>
          </w:p>
        </w:tc>
        <w:tc>
          <w:tcPr>
            <w:tcW w:w="3828"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具备8个一体化前置放大器</w:t>
            </w:r>
          </w:p>
        </w:tc>
        <w:tc>
          <w:tcPr>
            <w:tcW w:w="2757"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93"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1.3</w:t>
            </w:r>
          </w:p>
        </w:tc>
        <w:tc>
          <w:tcPr>
            <w:tcW w:w="3828"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上半部分可移除</w:t>
            </w:r>
          </w:p>
        </w:tc>
        <w:tc>
          <w:tcPr>
            <w:tcW w:w="2757"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93"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1.4</w:t>
            </w:r>
          </w:p>
        </w:tc>
        <w:tc>
          <w:tcPr>
            <w:tcW w:w="3828"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兼容并行采集</w:t>
            </w:r>
          </w:p>
        </w:tc>
        <w:tc>
          <w:tcPr>
            <w:tcW w:w="2757"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93"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1.5</w:t>
            </w:r>
          </w:p>
        </w:tc>
        <w:tc>
          <w:tcPr>
            <w:tcW w:w="3828"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只有一根线缆</w:t>
            </w:r>
          </w:p>
        </w:tc>
        <w:tc>
          <w:tcPr>
            <w:tcW w:w="2757"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93"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1.6</w:t>
            </w:r>
          </w:p>
        </w:tc>
        <w:tc>
          <w:tcPr>
            <w:tcW w:w="3828"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无需线圈调谐</w:t>
            </w:r>
          </w:p>
        </w:tc>
        <w:tc>
          <w:tcPr>
            <w:tcW w:w="2757"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93"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1.7</w:t>
            </w:r>
          </w:p>
        </w:tc>
        <w:tc>
          <w:tcPr>
            <w:tcW w:w="3828"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用于高分辨率膝关节、踝关节成像</w:t>
            </w:r>
          </w:p>
        </w:tc>
        <w:tc>
          <w:tcPr>
            <w:tcW w:w="2757"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293"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1.8</w:t>
            </w:r>
          </w:p>
        </w:tc>
        <w:tc>
          <w:tcPr>
            <w:tcW w:w="3828"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重量</w:t>
            </w:r>
          </w:p>
        </w:tc>
        <w:tc>
          <w:tcPr>
            <w:tcW w:w="2757" w:type="dxa"/>
            <w:noWrap w:val="0"/>
            <w:vAlign w:val="top"/>
          </w:tcPr>
          <w:p>
            <w:pPr>
              <w:rPr>
                <w:rFonts w:hint="eastAsia" w:ascii="宋体" w:hAnsi="宋体" w:cs="宋体"/>
                <w:color w:val="auto"/>
                <w:sz w:val="24"/>
                <w:szCs w:val="24"/>
              </w:rPr>
            </w:pPr>
            <w:r>
              <w:rPr>
                <w:rFonts w:hint="eastAsia" w:ascii="宋体" w:hAnsi="宋体" w:cs="宋体"/>
                <w:color w:val="auto"/>
                <w:sz w:val="24"/>
                <w:szCs w:val="24"/>
              </w:rPr>
              <w:t>≤6.5公斤</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8"/>
          <w:szCs w:val="28"/>
        </w:rPr>
      </w:pPr>
      <w:r>
        <w:rPr>
          <w:rFonts w:hint="eastAsia" w:ascii="宋体" w:hAnsi="宋体" w:cs="宋体"/>
          <w:color w:val="auto"/>
          <w:sz w:val="24"/>
          <w:szCs w:val="24"/>
        </w:rPr>
        <w:br w:type="page"/>
      </w:r>
      <w:r>
        <w:rPr>
          <w:rFonts w:hint="eastAsia" w:ascii="宋体" w:hAnsi="宋体" w:eastAsia="宋体" w:cs="宋体"/>
          <w:b/>
          <w:bCs/>
          <w:color w:val="auto"/>
          <w:sz w:val="28"/>
          <w:szCs w:val="28"/>
        </w:rPr>
        <w:t>四、儿童眼保健视力检查设备（采购数量：1批）</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6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22" w:type="dxa"/>
            <w:gridSpan w:val="2"/>
            <w:tcBorders>
              <w:top w:val="double" w:color="auto" w:sz="4" w:space="0"/>
              <w:left w:val="double" w:color="auto" w:sz="4" w:space="0"/>
              <w:bottom w:val="double" w:color="auto" w:sz="4" w:space="0"/>
              <w:right w:val="double" w:color="auto" w:sz="4" w:space="0"/>
            </w:tcBorders>
            <w:noWrap w:val="0"/>
            <w:vAlign w:val="center"/>
          </w:tcPr>
          <w:p>
            <w:pPr>
              <w:rPr>
                <w:rFonts w:ascii="宋体" w:hAnsi="宋体"/>
                <w:color w:val="auto"/>
                <w:sz w:val="24"/>
                <w:szCs w:val="24"/>
              </w:rPr>
            </w:pPr>
            <w:r>
              <w:rPr>
                <w:rFonts w:hint="eastAsia"/>
                <w:b/>
                <w:bCs/>
                <w:color w:val="auto"/>
                <w:sz w:val="30"/>
                <w:szCs w:val="30"/>
              </w:rPr>
              <w:t>1、视力筛查仪技术参数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909" w:type="dxa"/>
            <w:tcBorders>
              <w:top w:val="nil"/>
              <w:left w:val="double" w:color="auto" w:sz="4" w:space="0"/>
            </w:tcBorders>
            <w:noWrap w:val="0"/>
            <w:vAlign w:val="center"/>
          </w:tcPr>
          <w:p>
            <w:pPr>
              <w:spacing w:line="500" w:lineRule="exact"/>
              <w:jc w:val="center"/>
              <w:rPr>
                <w:rFonts w:hint="eastAsia" w:ascii="宋体" w:hAnsi="宋体"/>
                <w:b/>
                <w:color w:val="auto"/>
                <w:sz w:val="24"/>
                <w:szCs w:val="24"/>
              </w:rPr>
            </w:pPr>
            <w:r>
              <w:rPr>
                <w:rFonts w:hint="eastAsia" w:ascii="宋体" w:hAnsi="宋体"/>
                <w:b/>
                <w:color w:val="auto"/>
                <w:sz w:val="24"/>
                <w:szCs w:val="24"/>
              </w:rPr>
              <w:t>适用范围</w:t>
            </w:r>
          </w:p>
        </w:tc>
        <w:tc>
          <w:tcPr>
            <w:tcW w:w="6613" w:type="dxa"/>
            <w:tcBorders>
              <w:top w:val="double" w:color="auto" w:sz="4" w:space="0"/>
              <w:right w:val="double" w:color="auto" w:sz="4" w:space="0"/>
            </w:tcBorders>
            <w:noWrap w:val="0"/>
            <w:vAlign w:val="center"/>
          </w:tcPr>
          <w:p>
            <w:pPr>
              <w:spacing w:line="276" w:lineRule="auto"/>
              <w:rPr>
                <w:rFonts w:hint="eastAsia" w:ascii="宋体" w:hAnsi="宋体"/>
                <w:color w:val="auto"/>
                <w:szCs w:val="21"/>
              </w:rPr>
            </w:pPr>
            <w:r>
              <w:rPr>
                <w:rFonts w:hint="eastAsia" w:ascii="宋体" w:hAnsi="宋体"/>
                <w:color w:val="auto"/>
                <w:szCs w:val="21"/>
              </w:rPr>
              <w:t>从小儿到成人全年龄段，自动检测出屈光度问题（包括近视、远视、散光和不等视），可检查任何瞳孔大小的眼睛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909" w:type="dxa"/>
            <w:tcBorders>
              <w:left w:val="double" w:color="auto" w:sz="4" w:space="0"/>
            </w:tcBorders>
            <w:noWrap w:val="0"/>
            <w:vAlign w:val="center"/>
          </w:tcPr>
          <w:p>
            <w:pPr>
              <w:spacing w:line="500" w:lineRule="exact"/>
              <w:jc w:val="center"/>
              <w:rPr>
                <w:rFonts w:hint="eastAsia" w:ascii="宋体" w:hAnsi="宋体"/>
                <w:b/>
                <w:color w:val="auto"/>
                <w:sz w:val="24"/>
                <w:szCs w:val="24"/>
              </w:rPr>
            </w:pPr>
            <w:r>
              <w:rPr>
                <w:rFonts w:hint="eastAsia" w:ascii="宋体" w:hAnsi="宋体"/>
                <w:b/>
                <w:color w:val="auto"/>
                <w:sz w:val="24"/>
                <w:szCs w:val="24"/>
              </w:rPr>
              <w:t>测量范围</w:t>
            </w:r>
          </w:p>
        </w:tc>
        <w:tc>
          <w:tcPr>
            <w:tcW w:w="6613" w:type="dxa"/>
            <w:tcBorders>
              <w:right w:val="double" w:color="auto" w:sz="4" w:space="0"/>
            </w:tcBorders>
            <w:noWrap w:val="0"/>
            <w:vAlign w:val="center"/>
          </w:tcPr>
          <w:p>
            <w:pPr>
              <w:spacing w:line="276" w:lineRule="auto"/>
              <w:rPr>
                <w:rFonts w:hint="eastAsia" w:ascii="宋体" w:hAnsi="宋体"/>
                <w:color w:val="auto"/>
                <w:szCs w:val="21"/>
              </w:rPr>
            </w:pPr>
            <w:r>
              <w:rPr>
                <w:rFonts w:hint="eastAsia" w:ascii="宋体" w:hAnsi="宋体"/>
                <w:color w:val="auto"/>
                <w:szCs w:val="21"/>
              </w:rPr>
              <w:t>★球镜度：+8.0D ～ -6.0D</w:t>
            </w:r>
          </w:p>
          <w:p>
            <w:pPr>
              <w:spacing w:line="276" w:lineRule="auto"/>
              <w:rPr>
                <w:rFonts w:hint="eastAsia" w:ascii="宋体" w:hAnsi="宋体"/>
                <w:color w:val="auto"/>
                <w:szCs w:val="21"/>
              </w:rPr>
            </w:pPr>
            <w:r>
              <w:rPr>
                <w:rFonts w:hint="eastAsia" w:ascii="宋体" w:hAnsi="宋体"/>
                <w:color w:val="auto"/>
                <w:szCs w:val="21"/>
              </w:rPr>
              <w:t>柱镜度：+3.0 ～ -3.0D</w:t>
            </w:r>
          </w:p>
          <w:p>
            <w:pPr>
              <w:spacing w:line="276" w:lineRule="auto"/>
              <w:rPr>
                <w:rFonts w:hint="eastAsia" w:ascii="宋体" w:hAnsi="宋体"/>
                <w:b/>
                <w:color w:val="auto"/>
                <w:szCs w:val="21"/>
                <w:u w:val="single"/>
              </w:rPr>
            </w:pPr>
            <w:r>
              <w:rPr>
                <w:rFonts w:hint="eastAsia" w:ascii="宋体" w:hAnsi="宋体"/>
                <w:color w:val="auto"/>
                <w:szCs w:val="21"/>
              </w:rPr>
              <w:t>散光轴：1° ～ 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09" w:type="dxa"/>
            <w:tcBorders>
              <w:left w:val="double" w:color="auto" w:sz="4" w:space="0"/>
            </w:tcBorders>
            <w:noWrap w:val="0"/>
            <w:vAlign w:val="center"/>
          </w:tcPr>
          <w:p>
            <w:pPr>
              <w:spacing w:line="500" w:lineRule="exact"/>
              <w:jc w:val="center"/>
              <w:rPr>
                <w:rFonts w:hint="eastAsia" w:ascii="宋体" w:hAnsi="宋体"/>
                <w:b/>
                <w:color w:val="auto"/>
                <w:sz w:val="24"/>
                <w:szCs w:val="24"/>
              </w:rPr>
            </w:pPr>
            <w:r>
              <w:rPr>
                <w:rFonts w:hint="eastAsia" w:ascii="宋体" w:hAnsi="宋体"/>
                <w:b/>
                <w:color w:val="auto"/>
                <w:sz w:val="24"/>
                <w:szCs w:val="24"/>
              </w:rPr>
              <w:t>屈光度间隔宽</w:t>
            </w:r>
          </w:p>
        </w:tc>
        <w:tc>
          <w:tcPr>
            <w:tcW w:w="6613" w:type="dxa"/>
            <w:tcBorders>
              <w:right w:val="double" w:color="auto" w:sz="4" w:space="0"/>
            </w:tcBorders>
            <w:noWrap w:val="0"/>
            <w:vAlign w:val="center"/>
          </w:tcPr>
          <w:p>
            <w:pPr>
              <w:spacing w:line="276" w:lineRule="auto"/>
              <w:rPr>
                <w:rFonts w:hint="eastAsia" w:ascii="宋体" w:hAnsi="宋体"/>
                <w:color w:val="auto"/>
                <w:szCs w:val="21"/>
              </w:rPr>
            </w:pPr>
            <w:r>
              <w:rPr>
                <w:rFonts w:hint="eastAsia" w:ascii="宋体" w:hAnsi="宋体"/>
                <w:b/>
                <w:color w:val="auto"/>
                <w:szCs w:val="21"/>
              </w:rPr>
              <w:t>★</w:t>
            </w:r>
            <w:r>
              <w:rPr>
                <w:rFonts w:hint="eastAsia" w:ascii="宋体" w:hAnsi="宋体"/>
                <w:color w:val="auto"/>
                <w:szCs w:val="21"/>
              </w:rPr>
              <w:t>0.25D（可根据使用习惯调节为0.1D）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909" w:type="dxa"/>
            <w:tcBorders>
              <w:left w:val="double" w:color="auto" w:sz="4" w:space="0"/>
            </w:tcBorders>
            <w:noWrap w:val="0"/>
            <w:vAlign w:val="center"/>
          </w:tcPr>
          <w:p>
            <w:pPr>
              <w:spacing w:line="500" w:lineRule="exact"/>
              <w:jc w:val="center"/>
              <w:rPr>
                <w:rFonts w:hint="eastAsia" w:ascii="宋体" w:hAnsi="宋体"/>
                <w:b/>
                <w:color w:val="auto"/>
                <w:sz w:val="24"/>
                <w:szCs w:val="24"/>
              </w:rPr>
            </w:pPr>
            <w:r>
              <w:rPr>
                <w:rFonts w:hint="eastAsia" w:ascii="宋体" w:hAnsi="宋体"/>
                <w:b/>
                <w:color w:val="auto"/>
                <w:sz w:val="24"/>
                <w:szCs w:val="24"/>
              </w:rPr>
              <w:t>检测距离检控</w:t>
            </w:r>
          </w:p>
        </w:tc>
        <w:tc>
          <w:tcPr>
            <w:tcW w:w="6613" w:type="dxa"/>
            <w:tcBorders>
              <w:right w:val="double" w:color="auto" w:sz="4" w:space="0"/>
            </w:tcBorders>
            <w:noWrap w:val="0"/>
            <w:vAlign w:val="center"/>
          </w:tcPr>
          <w:p>
            <w:pPr>
              <w:spacing w:line="276" w:lineRule="auto"/>
              <w:rPr>
                <w:rFonts w:hint="eastAsia" w:ascii="宋体" w:hAnsi="宋体"/>
                <w:color w:val="auto"/>
                <w:szCs w:val="21"/>
              </w:rPr>
            </w:pPr>
            <w:r>
              <w:rPr>
                <w:rFonts w:hint="eastAsia" w:ascii="宋体" w:hAnsi="宋体"/>
                <w:color w:val="auto"/>
                <w:szCs w:val="21"/>
              </w:rPr>
              <w:t>超声波自动检控，通过声音频率以及注视靶的颜色来提示，操作时可在屏幕上显示当前操作距离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909" w:type="dxa"/>
            <w:tcBorders>
              <w:left w:val="double" w:color="auto" w:sz="4" w:space="0"/>
            </w:tcBorders>
            <w:noWrap w:val="0"/>
            <w:vAlign w:val="center"/>
          </w:tcPr>
          <w:p>
            <w:pPr>
              <w:spacing w:line="500" w:lineRule="exact"/>
              <w:jc w:val="center"/>
              <w:rPr>
                <w:rFonts w:hint="eastAsia" w:ascii="宋体" w:hAnsi="宋体"/>
                <w:b/>
                <w:color w:val="auto"/>
                <w:sz w:val="24"/>
                <w:szCs w:val="24"/>
              </w:rPr>
            </w:pPr>
            <w:r>
              <w:rPr>
                <w:rFonts w:hint="eastAsia" w:ascii="宋体" w:hAnsi="宋体"/>
                <w:b/>
                <w:color w:val="auto"/>
                <w:sz w:val="24"/>
                <w:szCs w:val="24"/>
              </w:rPr>
              <w:t>目镜</w:t>
            </w:r>
          </w:p>
        </w:tc>
        <w:tc>
          <w:tcPr>
            <w:tcW w:w="6613" w:type="dxa"/>
            <w:tcBorders>
              <w:right w:val="double" w:color="auto" w:sz="4" w:space="0"/>
            </w:tcBorders>
            <w:noWrap w:val="0"/>
            <w:vAlign w:val="center"/>
          </w:tcPr>
          <w:p>
            <w:pPr>
              <w:spacing w:line="276" w:lineRule="auto"/>
              <w:rPr>
                <w:rFonts w:hint="eastAsia" w:ascii="宋体" w:hAnsi="宋体"/>
                <w:color w:val="auto"/>
                <w:szCs w:val="21"/>
              </w:rPr>
            </w:pPr>
            <w:r>
              <w:rPr>
                <w:rFonts w:hint="eastAsia" w:ascii="宋体" w:hAnsi="宋体"/>
                <w:color w:val="auto"/>
                <w:szCs w:val="21"/>
              </w:rPr>
              <w:t>发光十字靶便于瞄准，十字靶可根据距离远近变换颜色以便于操作者调整距离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909" w:type="dxa"/>
            <w:tcBorders>
              <w:left w:val="double" w:color="auto" w:sz="4" w:space="0"/>
            </w:tcBorders>
            <w:noWrap w:val="0"/>
            <w:vAlign w:val="center"/>
          </w:tcPr>
          <w:p>
            <w:pPr>
              <w:spacing w:line="500" w:lineRule="exact"/>
              <w:jc w:val="center"/>
              <w:rPr>
                <w:rFonts w:hint="eastAsia" w:ascii="宋体" w:hAnsi="宋体"/>
                <w:b/>
                <w:color w:val="auto"/>
                <w:sz w:val="24"/>
                <w:szCs w:val="24"/>
              </w:rPr>
            </w:pPr>
            <w:r>
              <w:rPr>
                <w:rFonts w:hint="eastAsia" w:ascii="宋体" w:hAnsi="宋体"/>
                <w:b/>
                <w:color w:val="auto"/>
                <w:sz w:val="24"/>
                <w:szCs w:val="24"/>
              </w:rPr>
              <w:t>测量模式</w:t>
            </w:r>
          </w:p>
        </w:tc>
        <w:tc>
          <w:tcPr>
            <w:tcW w:w="6613" w:type="dxa"/>
            <w:tcBorders>
              <w:right w:val="double" w:color="auto" w:sz="4" w:space="0"/>
            </w:tcBorders>
            <w:noWrap w:val="0"/>
            <w:vAlign w:val="center"/>
          </w:tcPr>
          <w:p>
            <w:pPr>
              <w:spacing w:line="276" w:lineRule="auto"/>
              <w:rPr>
                <w:rFonts w:hint="eastAsia" w:ascii="宋体" w:hAnsi="宋体"/>
                <w:color w:val="auto"/>
                <w:szCs w:val="21"/>
              </w:rPr>
            </w:pPr>
            <w:r>
              <w:rPr>
                <w:rFonts w:hint="eastAsia" w:ascii="宋体" w:hAnsi="宋体"/>
                <w:color w:val="auto"/>
                <w:szCs w:val="21"/>
              </w:rPr>
              <w:t>可根据受测者的具体情况设置为婴幼儿、成人等测量模式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909" w:type="dxa"/>
            <w:tcBorders>
              <w:left w:val="double" w:color="auto" w:sz="4" w:space="0"/>
            </w:tcBorders>
            <w:noWrap w:val="0"/>
            <w:vAlign w:val="center"/>
          </w:tcPr>
          <w:p>
            <w:pPr>
              <w:spacing w:line="500" w:lineRule="exact"/>
              <w:jc w:val="center"/>
              <w:rPr>
                <w:rFonts w:hint="eastAsia" w:ascii="宋体" w:hAnsi="宋体"/>
                <w:b/>
                <w:color w:val="auto"/>
                <w:sz w:val="24"/>
                <w:szCs w:val="24"/>
              </w:rPr>
            </w:pPr>
            <w:r>
              <w:rPr>
                <w:rFonts w:hint="eastAsia" w:ascii="宋体" w:hAnsi="宋体"/>
                <w:b/>
                <w:color w:val="auto"/>
                <w:sz w:val="24"/>
                <w:szCs w:val="24"/>
              </w:rPr>
              <w:t>引导注视</w:t>
            </w:r>
          </w:p>
        </w:tc>
        <w:tc>
          <w:tcPr>
            <w:tcW w:w="6613" w:type="dxa"/>
            <w:tcBorders>
              <w:right w:val="double" w:color="auto" w:sz="4" w:space="0"/>
            </w:tcBorders>
            <w:noWrap w:val="0"/>
            <w:vAlign w:val="center"/>
          </w:tcPr>
          <w:p>
            <w:pPr>
              <w:spacing w:line="276" w:lineRule="auto"/>
              <w:rPr>
                <w:rFonts w:hint="eastAsia" w:ascii="宋体" w:hAnsi="宋体"/>
                <w:color w:val="auto"/>
                <w:szCs w:val="21"/>
              </w:rPr>
            </w:pPr>
            <w:r>
              <w:rPr>
                <w:rFonts w:hint="eastAsia" w:ascii="宋体" w:hAnsi="宋体"/>
                <w:color w:val="auto"/>
                <w:szCs w:val="21"/>
              </w:rPr>
              <w:t>通过多种颜色交替的灯光闪烁引导受测者注视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09" w:type="dxa"/>
            <w:tcBorders>
              <w:left w:val="double" w:color="auto" w:sz="4" w:space="0"/>
            </w:tcBorders>
            <w:noWrap w:val="0"/>
            <w:vAlign w:val="center"/>
          </w:tcPr>
          <w:p>
            <w:pPr>
              <w:spacing w:line="500" w:lineRule="exact"/>
              <w:jc w:val="center"/>
              <w:rPr>
                <w:rFonts w:hint="eastAsia" w:ascii="宋体" w:hAnsi="宋体"/>
                <w:b/>
                <w:color w:val="auto"/>
                <w:sz w:val="24"/>
                <w:szCs w:val="24"/>
              </w:rPr>
            </w:pPr>
            <w:r>
              <w:rPr>
                <w:rFonts w:hint="eastAsia" w:ascii="宋体" w:hAnsi="宋体"/>
                <w:b/>
                <w:color w:val="auto"/>
                <w:sz w:val="24"/>
                <w:szCs w:val="24"/>
              </w:rPr>
              <w:t>操作界面</w:t>
            </w:r>
          </w:p>
        </w:tc>
        <w:tc>
          <w:tcPr>
            <w:tcW w:w="6613" w:type="dxa"/>
            <w:tcBorders>
              <w:right w:val="double" w:color="auto" w:sz="4" w:space="0"/>
            </w:tcBorders>
            <w:noWrap w:val="0"/>
            <w:vAlign w:val="center"/>
          </w:tcPr>
          <w:p>
            <w:pPr>
              <w:spacing w:line="276" w:lineRule="auto"/>
              <w:rPr>
                <w:rFonts w:hint="eastAsia" w:ascii="宋体" w:hAnsi="宋体"/>
                <w:color w:val="auto"/>
                <w:szCs w:val="21"/>
              </w:rPr>
            </w:pPr>
            <w:r>
              <w:rPr>
                <w:rFonts w:hint="eastAsia" w:ascii="宋体" w:hAnsi="宋体"/>
                <w:color w:val="auto"/>
                <w:szCs w:val="21"/>
              </w:rPr>
              <w:t>★使用全中文操作界面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909" w:type="dxa"/>
            <w:tcBorders>
              <w:left w:val="double" w:color="auto" w:sz="4" w:space="0"/>
            </w:tcBorders>
            <w:noWrap w:val="0"/>
            <w:vAlign w:val="center"/>
          </w:tcPr>
          <w:p>
            <w:pPr>
              <w:spacing w:line="500" w:lineRule="exact"/>
              <w:jc w:val="center"/>
              <w:rPr>
                <w:rFonts w:hint="eastAsia" w:ascii="宋体" w:hAnsi="宋体"/>
                <w:b/>
                <w:color w:val="auto"/>
                <w:sz w:val="24"/>
                <w:szCs w:val="24"/>
              </w:rPr>
            </w:pPr>
            <w:r>
              <w:rPr>
                <w:rFonts w:hint="eastAsia" w:ascii="宋体" w:hAnsi="宋体"/>
                <w:b/>
                <w:color w:val="auto"/>
                <w:sz w:val="24"/>
                <w:szCs w:val="24"/>
              </w:rPr>
              <w:t>存储</w:t>
            </w:r>
          </w:p>
        </w:tc>
        <w:tc>
          <w:tcPr>
            <w:tcW w:w="6613" w:type="dxa"/>
            <w:tcBorders>
              <w:right w:val="double" w:color="auto" w:sz="4" w:space="0"/>
            </w:tcBorders>
            <w:noWrap w:val="0"/>
            <w:vAlign w:val="center"/>
          </w:tcPr>
          <w:p>
            <w:pPr>
              <w:spacing w:line="276" w:lineRule="auto"/>
              <w:rPr>
                <w:rFonts w:hint="eastAsia" w:ascii="宋体" w:hAnsi="宋体"/>
                <w:color w:val="auto"/>
                <w:szCs w:val="21"/>
              </w:rPr>
            </w:pPr>
            <w:r>
              <w:rPr>
                <w:rFonts w:hint="eastAsia" w:ascii="宋体" w:hAnsi="宋体"/>
                <w:color w:val="auto"/>
                <w:szCs w:val="21"/>
              </w:rPr>
              <w:t>★主机可以存储（</w:t>
            </w:r>
            <w:r>
              <w:rPr>
                <w:rFonts w:ascii="Arial" w:hAnsi="Arial" w:cs="Arial"/>
                <w:color w:val="auto"/>
                <w:szCs w:val="21"/>
              </w:rPr>
              <w:t>≥</w:t>
            </w:r>
            <w:r>
              <w:rPr>
                <w:rFonts w:hint="eastAsia" w:ascii="宋体" w:hAnsi="宋体"/>
                <w:color w:val="auto"/>
                <w:szCs w:val="21"/>
              </w:rPr>
              <w:t>400）420个检查结果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909" w:type="dxa"/>
            <w:tcBorders>
              <w:left w:val="double" w:color="auto" w:sz="4" w:space="0"/>
            </w:tcBorders>
            <w:noWrap w:val="0"/>
            <w:vAlign w:val="center"/>
          </w:tcPr>
          <w:p>
            <w:pPr>
              <w:spacing w:line="500" w:lineRule="exact"/>
              <w:jc w:val="center"/>
              <w:rPr>
                <w:rFonts w:hint="eastAsia" w:ascii="宋体" w:hAnsi="宋体"/>
                <w:b/>
                <w:color w:val="auto"/>
                <w:sz w:val="24"/>
                <w:szCs w:val="24"/>
              </w:rPr>
            </w:pPr>
            <w:r>
              <w:rPr>
                <w:rFonts w:hint="eastAsia" w:ascii="宋体" w:hAnsi="宋体"/>
                <w:b/>
                <w:color w:val="auto"/>
                <w:sz w:val="24"/>
                <w:szCs w:val="24"/>
              </w:rPr>
              <w:t>导出</w:t>
            </w:r>
          </w:p>
        </w:tc>
        <w:tc>
          <w:tcPr>
            <w:tcW w:w="6613" w:type="dxa"/>
            <w:tcBorders>
              <w:right w:val="double" w:color="auto" w:sz="4" w:space="0"/>
            </w:tcBorders>
            <w:noWrap w:val="0"/>
            <w:vAlign w:val="center"/>
          </w:tcPr>
          <w:p>
            <w:pPr>
              <w:spacing w:line="276" w:lineRule="auto"/>
              <w:rPr>
                <w:rFonts w:hint="eastAsia" w:ascii="宋体" w:hAnsi="宋体"/>
                <w:color w:val="auto"/>
                <w:szCs w:val="21"/>
              </w:rPr>
            </w:pPr>
            <w:r>
              <w:rPr>
                <w:rFonts w:hint="eastAsia" w:ascii="宋体" w:hAnsi="宋体"/>
                <w:color w:val="auto"/>
                <w:szCs w:val="21"/>
              </w:rPr>
              <w:t>主机可输入病人姓名信息，可与电脑连接导出结果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09" w:type="dxa"/>
            <w:tcBorders>
              <w:left w:val="double" w:color="auto" w:sz="4" w:space="0"/>
            </w:tcBorders>
            <w:noWrap w:val="0"/>
            <w:vAlign w:val="center"/>
          </w:tcPr>
          <w:p>
            <w:pPr>
              <w:spacing w:line="500" w:lineRule="exact"/>
              <w:jc w:val="center"/>
              <w:rPr>
                <w:rFonts w:hint="eastAsia" w:ascii="宋体" w:hAnsi="宋体"/>
                <w:b/>
                <w:color w:val="auto"/>
                <w:sz w:val="24"/>
                <w:szCs w:val="24"/>
              </w:rPr>
            </w:pPr>
            <w:r>
              <w:rPr>
                <w:rFonts w:hint="eastAsia" w:ascii="宋体" w:hAnsi="宋体"/>
                <w:b/>
                <w:color w:val="auto"/>
                <w:sz w:val="24"/>
                <w:szCs w:val="24"/>
              </w:rPr>
              <w:t>打印格式</w:t>
            </w:r>
          </w:p>
        </w:tc>
        <w:tc>
          <w:tcPr>
            <w:tcW w:w="6613" w:type="dxa"/>
            <w:tcBorders>
              <w:right w:val="double" w:color="auto" w:sz="4" w:space="0"/>
            </w:tcBorders>
            <w:noWrap w:val="0"/>
            <w:vAlign w:val="center"/>
          </w:tcPr>
          <w:p>
            <w:pPr>
              <w:spacing w:line="276" w:lineRule="auto"/>
              <w:rPr>
                <w:rFonts w:hint="eastAsia" w:ascii="宋体" w:hAnsi="宋体"/>
                <w:color w:val="auto"/>
                <w:szCs w:val="21"/>
              </w:rPr>
            </w:pPr>
            <w:r>
              <w:rPr>
                <w:rFonts w:hint="eastAsia" w:ascii="宋体" w:hAnsi="宋体"/>
                <w:color w:val="auto"/>
                <w:szCs w:val="21"/>
              </w:rPr>
              <w:t>打印报告单以中文显示，包括测量模式、日期、时间和测量结果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909" w:type="dxa"/>
            <w:tcBorders>
              <w:left w:val="double" w:color="auto" w:sz="4" w:space="0"/>
              <w:bottom w:val="single" w:color="auto" w:sz="4" w:space="0"/>
            </w:tcBorders>
            <w:noWrap w:val="0"/>
            <w:vAlign w:val="center"/>
          </w:tcPr>
          <w:p>
            <w:pPr>
              <w:spacing w:line="500" w:lineRule="exact"/>
              <w:jc w:val="center"/>
              <w:rPr>
                <w:rFonts w:hint="eastAsia" w:ascii="宋体" w:hAnsi="宋体"/>
                <w:b/>
                <w:color w:val="auto"/>
                <w:sz w:val="24"/>
                <w:szCs w:val="24"/>
              </w:rPr>
            </w:pPr>
            <w:r>
              <w:rPr>
                <w:rFonts w:hint="eastAsia" w:ascii="宋体" w:hAnsi="宋体"/>
                <w:b/>
                <w:color w:val="auto"/>
                <w:sz w:val="24"/>
                <w:szCs w:val="24"/>
              </w:rPr>
              <w:t>可充电池</w:t>
            </w:r>
          </w:p>
        </w:tc>
        <w:tc>
          <w:tcPr>
            <w:tcW w:w="6613" w:type="dxa"/>
            <w:tcBorders>
              <w:bottom w:val="single" w:color="auto" w:sz="4" w:space="0"/>
              <w:right w:val="double" w:color="auto" w:sz="4" w:space="0"/>
            </w:tcBorders>
            <w:noWrap w:val="0"/>
            <w:vAlign w:val="center"/>
          </w:tcPr>
          <w:p>
            <w:pPr>
              <w:spacing w:line="276" w:lineRule="auto"/>
              <w:rPr>
                <w:rFonts w:hint="eastAsia" w:ascii="宋体" w:hAnsi="宋体"/>
                <w:color w:val="auto"/>
                <w:szCs w:val="21"/>
              </w:rPr>
            </w:pPr>
            <w:r>
              <w:rPr>
                <w:rFonts w:hint="eastAsia" w:ascii="宋体" w:hAnsi="宋体"/>
                <w:color w:val="auto"/>
                <w:szCs w:val="21"/>
              </w:rPr>
              <w:t>11.1V聚合物锂离子电池，电池电量不小于2000mAh;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909" w:type="dxa"/>
            <w:tcBorders>
              <w:left w:val="double" w:color="auto" w:sz="4" w:space="0"/>
              <w:bottom w:val="double" w:color="auto" w:sz="4" w:space="0"/>
            </w:tcBorders>
            <w:noWrap w:val="0"/>
            <w:vAlign w:val="center"/>
          </w:tcPr>
          <w:p>
            <w:pPr>
              <w:spacing w:line="500" w:lineRule="exact"/>
              <w:jc w:val="center"/>
              <w:rPr>
                <w:rFonts w:hint="eastAsia" w:ascii="宋体" w:hAnsi="宋体"/>
                <w:b/>
                <w:color w:val="auto"/>
                <w:sz w:val="24"/>
                <w:szCs w:val="24"/>
              </w:rPr>
            </w:pPr>
            <w:r>
              <w:rPr>
                <w:rFonts w:hint="eastAsia" w:ascii="宋体" w:hAnsi="宋体"/>
                <w:b/>
                <w:color w:val="auto"/>
                <w:sz w:val="24"/>
                <w:szCs w:val="24"/>
              </w:rPr>
              <w:t>安全标准</w:t>
            </w:r>
          </w:p>
        </w:tc>
        <w:tc>
          <w:tcPr>
            <w:tcW w:w="6613" w:type="dxa"/>
            <w:tcBorders>
              <w:bottom w:val="double" w:color="auto" w:sz="4" w:space="0"/>
              <w:right w:val="double" w:color="auto" w:sz="4" w:space="0"/>
            </w:tcBorders>
            <w:noWrap w:val="0"/>
            <w:vAlign w:val="center"/>
          </w:tcPr>
          <w:p>
            <w:pPr>
              <w:spacing w:line="276" w:lineRule="auto"/>
              <w:ind w:left="525" w:hanging="525" w:hangingChars="250"/>
              <w:rPr>
                <w:rFonts w:hint="eastAsia" w:ascii="宋体" w:hAnsi="宋体"/>
                <w:color w:val="auto"/>
                <w:szCs w:val="21"/>
              </w:rPr>
            </w:pPr>
            <w:r>
              <w:rPr>
                <w:rFonts w:hint="eastAsia" w:ascii="宋体" w:hAnsi="宋体"/>
                <w:color w:val="auto"/>
                <w:szCs w:val="21"/>
              </w:rPr>
              <w:t>一类激光产品，光源中心波长&gt;800nm</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2、点状视力表（采购数量: </w:t>
      </w:r>
      <w:r>
        <w:rPr>
          <w:rFonts w:hint="eastAsia" w:ascii="宋体" w:hAnsi="宋体" w:eastAsia="宋体" w:cs="宋体"/>
          <w:b/>
          <w:bCs/>
          <w:color w:val="auto"/>
          <w:sz w:val="28"/>
          <w:szCs w:val="28"/>
          <w:highlight w:val="none"/>
          <w:lang w:val="en-US" w:eastAsia="zh-CN"/>
        </w:rPr>
        <w:t>1台</w:t>
      </w:r>
      <w:r>
        <w:rPr>
          <w:rFonts w:hint="eastAsia" w:ascii="宋体" w:hAnsi="宋体" w:eastAsia="宋体" w:cs="宋体"/>
          <w:b/>
          <w:bCs/>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firstLine="41"/>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pacing w:val="-3"/>
          <w:sz w:val="28"/>
          <w:szCs w:val="28"/>
          <w:highlight w:val="none"/>
        </w:rPr>
        <w:t>2.1点状视力表参数：</w:t>
      </w:r>
    </w:p>
    <w:p>
      <w:pPr>
        <w:keepNext w:val="0"/>
        <w:keepLines w:val="0"/>
        <w:pageBreakBefore w:val="0"/>
        <w:widowControl w:val="0"/>
        <w:kinsoku/>
        <w:wordWrap/>
        <w:overflowPunct/>
        <w:topLinePunct w:val="0"/>
        <w:autoSpaceDE/>
        <w:autoSpaceDN/>
        <w:bidi w:val="0"/>
        <w:adjustRightInd/>
        <w:snapToGrid/>
        <w:spacing w:line="360" w:lineRule="auto"/>
        <w:ind w:left="0" w:right="0" w:firstLine="585"/>
        <w:jc w:val="left"/>
        <w:textAlignment w:val="auto"/>
        <w:rPr>
          <w:rFonts w:ascii="宋体" w:hAnsi="宋体" w:cs="宋体"/>
          <w:color w:val="auto"/>
          <w:sz w:val="24"/>
          <w:szCs w:val="24"/>
        </w:rPr>
      </w:pPr>
      <w:r>
        <w:rPr>
          <w:rFonts w:ascii="宋体" w:hAnsi="宋体" w:cs="宋体"/>
          <w:color w:val="auto"/>
          <w:spacing w:val="-5"/>
          <w:sz w:val="24"/>
          <w:szCs w:val="24"/>
        </w:rPr>
        <w:t>由九个视标带机箱、外接电源线、光源组成。九个点状视标由大到小均匀分布在白色屏上。九个点状视标的标尺为</w:t>
      </w:r>
      <w:r>
        <w:rPr>
          <w:rFonts w:hint="eastAsia" w:ascii="宋体" w:hAnsi="宋体" w:cs="宋体"/>
          <w:color w:val="auto"/>
          <w:spacing w:val="-5"/>
          <w:sz w:val="24"/>
          <w:szCs w:val="24"/>
        </w:rPr>
        <w:t>（</w:t>
      </w:r>
      <w:r>
        <w:rPr>
          <w:rFonts w:ascii="宋体" w:hAnsi="宋体" w:cs="宋体"/>
          <w:color w:val="auto"/>
          <w:spacing w:val="-3"/>
          <w:sz w:val="24"/>
          <w:szCs w:val="24"/>
        </w:rPr>
        <w:t>mm</w:t>
      </w:r>
      <w:r>
        <w:rPr>
          <w:rFonts w:ascii="宋体" w:hAnsi="宋体" w:cs="宋体"/>
          <w:color w:val="auto"/>
          <w:spacing w:val="-67"/>
          <w:sz w:val="24"/>
          <w:szCs w:val="24"/>
        </w:rPr>
        <w:t xml:space="preserve"> </w:t>
      </w:r>
      <w:r>
        <w:rPr>
          <w:rFonts w:hint="eastAsia" w:ascii="宋体" w:hAnsi="宋体" w:cs="宋体"/>
          <w:color w:val="auto"/>
          <w:spacing w:val="-5"/>
          <w:sz w:val="24"/>
          <w:szCs w:val="24"/>
        </w:rPr>
        <w:t>）：1-</w:t>
      </w:r>
      <w:r>
        <w:rPr>
          <w:rFonts w:ascii="宋体" w:hAnsi="宋体" w:cs="宋体"/>
          <w:color w:val="auto"/>
          <w:spacing w:val="-5"/>
          <w:sz w:val="24"/>
          <w:szCs w:val="24"/>
        </w:rPr>
        <w:t>3</w:t>
      </w:r>
      <w:r>
        <w:rPr>
          <w:rFonts w:ascii="宋体" w:hAnsi="宋体" w:cs="宋体"/>
          <w:color w:val="auto"/>
          <w:spacing w:val="-54"/>
          <w:sz w:val="24"/>
          <w:szCs w:val="24"/>
        </w:rPr>
        <w:t xml:space="preserve"> </w:t>
      </w:r>
      <w:r>
        <w:rPr>
          <w:rFonts w:ascii="宋体" w:hAnsi="宋体" w:cs="宋体"/>
          <w:color w:val="auto"/>
          <w:spacing w:val="-5"/>
          <w:sz w:val="24"/>
          <w:szCs w:val="24"/>
        </w:rPr>
        <w:t>号：</w:t>
      </w:r>
      <w:r>
        <w:rPr>
          <w:rFonts w:ascii="宋体" w:hAnsi="宋体" w:cs="宋体"/>
          <w:color w:val="auto"/>
          <w:spacing w:val="-3"/>
          <w:sz w:val="24"/>
          <w:szCs w:val="24"/>
        </w:rPr>
        <w:t>2.94mm</w:t>
      </w:r>
      <w:r>
        <w:rPr>
          <w:rFonts w:ascii="宋体" w:hAnsi="宋体" w:cs="宋体"/>
          <w:color w:val="auto"/>
          <w:spacing w:val="-46"/>
          <w:sz w:val="24"/>
          <w:szCs w:val="24"/>
        </w:rPr>
        <w:t xml:space="preserve"> </w:t>
      </w:r>
      <w:r>
        <w:rPr>
          <w:rFonts w:ascii="宋体" w:hAnsi="宋体" w:cs="宋体"/>
          <w:color w:val="auto"/>
          <w:spacing w:val="-3"/>
          <w:sz w:val="24"/>
          <w:szCs w:val="24"/>
        </w:rPr>
        <w:t>、</w:t>
      </w:r>
      <w:r>
        <w:rPr>
          <w:rFonts w:ascii="宋体" w:hAnsi="宋体" w:cs="宋体"/>
          <w:color w:val="auto"/>
          <w:spacing w:val="-66"/>
          <w:sz w:val="24"/>
          <w:szCs w:val="24"/>
        </w:rPr>
        <w:t xml:space="preserve"> </w:t>
      </w:r>
      <w:r>
        <w:rPr>
          <w:rFonts w:ascii="宋体" w:hAnsi="宋体" w:cs="宋体"/>
          <w:color w:val="auto"/>
          <w:spacing w:val="-3"/>
          <w:sz w:val="24"/>
          <w:szCs w:val="24"/>
        </w:rPr>
        <w:t>1.47mm</w:t>
      </w:r>
      <w:r>
        <w:rPr>
          <w:rFonts w:ascii="宋体" w:hAnsi="宋体" w:cs="宋体"/>
          <w:color w:val="auto"/>
          <w:spacing w:val="-70"/>
          <w:sz w:val="24"/>
          <w:szCs w:val="24"/>
        </w:rPr>
        <w:t xml:space="preserve"> </w:t>
      </w:r>
      <w:r>
        <w:rPr>
          <w:rFonts w:ascii="宋体" w:hAnsi="宋体" w:cs="宋体"/>
          <w:color w:val="auto"/>
          <w:spacing w:val="-3"/>
          <w:sz w:val="24"/>
          <w:szCs w:val="24"/>
        </w:rPr>
        <w:t>、0.74mmm</w:t>
      </w:r>
      <w:r>
        <w:rPr>
          <w:rFonts w:hint="eastAsia" w:ascii="宋体" w:hAnsi="宋体" w:cs="宋体"/>
          <w:color w:val="auto"/>
          <w:spacing w:val="-3"/>
          <w:sz w:val="24"/>
          <w:szCs w:val="24"/>
          <w:lang w:val="en-US" w:eastAsia="zh-CN"/>
        </w:rPr>
        <w:t>;</w:t>
      </w:r>
      <w:r>
        <w:rPr>
          <w:rFonts w:ascii="宋体" w:hAnsi="宋体" w:cs="宋体"/>
          <w:color w:val="auto"/>
          <w:spacing w:val="-3"/>
          <w:sz w:val="24"/>
          <w:szCs w:val="24"/>
        </w:rPr>
        <w:t>4</w:t>
      </w:r>
      <w:r>
        <w:rPr>
          <w:rFonts w:ascii="宋体" w:hAnsi="宋体" w:cs="宋体"/>
          <w:color w:val="auto"/>
          <w:spacing w:val="-65"/>
          <w:sz w:val="24"/>
          <w:szCs w:val="24"/>
        </w:rPr>
        <w:t xml:space="preserve"> </w:t>
      </w:r>
      <w:r>
        <w:rPr>
          <w:rFonts w:ascii="宋体" w:hAnsi="宋体" w:cs="宋体"/>
          <w:color w:val="auto"/>
          <w:spacing w:val="-3"/>
          <w:sz w:val="24"/>
          <w:szCs w:val="24"/>
        </w:rPr>
        <w:t>―</w:t>
      </w:r>
      <w:r>
        <w:rPr>
          <w:rFonts w:ascii="宋体" w:hAnsi="宋体" w:cs="宋体"/>
          <w:color w:val="auto"/>
          <w:spacing w:val="-81"/>
          <w:sz w:val="24"/>
          <w:szCs w:val="24"/>
        </w:rPr>
        <w:t xml:space="preserve"> </w:t>
      </w:r>
      <w:r>
        <w:rPr>
          <w:rFonts w:ascii="宋体" w:hAnsi="宋体" w:cs="宋体"/>
          <w:color w:val="auto"/>
          <w:spacing w:val="-3"/>
          <w:sz w:val="24"/>
          <w:szCs w:val="24"/>
        </w:rPr>
        <w:t>7</w:t>
      </w:r>
      <w:r>
        <w:rPr>
          <w:rFonts w:ascii="宋体" w:hAnsi="宋体" w:cs="宋体"/>
          <w:color w:val="auto"/>
          <w:spacing w:val="-13"/>
          <w:sz w:val="24"/>
          <w:szCs w:val="24"/>
        </w:rPr>
        <w:t xml:space="preserve"> </w:t>
      </w:r>
      <w:r>
        <w:rPr>
          <w:rFonts w:ascii="宋体" w:hAnsi="宋体" w:cs="宋体"/>
          <w:color w:val="auto"/>
          <w:spacing w:val="-3"/>
          <w:sz w:val="24"/>
          <w:szCs w:val="24"/>
        </w:rPr>
        <w:t>号</w:t>
      </w:r>
      <w:r>
        <w:rPr>
          <w:rFonts w:ascii="宋体" w:hAnsi="宋体" w:cs="宋体"/>
          <w:color w:val="auto"/>
          <w:spacing w:val="-47"/>
          <w:sz w:val="24"/>
          <w:szCs w:val="24"/>
        </w:rPr>
        <w:t xml:space="preserve"> </w:t>
      </w:r>
      <w:r>
        <w:rPr>
          <w:rFonts w:ascii="宋体" w:hAnsi="宋体" w:cs="宋体"/>
          <w:color w:val="auto"/>
          <w:spacing w:val="-3"/>
          <w:sz w:val="24"/>
          <w:szCs w:val="24"/>
        </w:rPr>
        <w:t>:0.37mm</w:t>
      </w:r>
      <w:r>
        <w:rPr>
          <w:rFonts w:ascii="宋体" w:hAnsi="宋体" w:cs="宋体"/>
          <w:color w:val="auto"/>
          <w:spacing w:val="-67"/>
          <w:sz w:val="24"/>
          <w:szCs w:val="24"/>
        </w:rPr>
        <w:t xml:space="preserve"> </w:t>
      </w:r>
      <w:r>
        <w:rPr>
          <w:rFonts w:ascii="宋体" w:hAnsi="宋体" w:cs="宋体"/>
          <w:color w:val="auto"/>
          <w:spacing w:val="-3"/>
          <w:sz w:val="24"/>
          <w:szCs w:val="24"/>
        </w:rPr>
        <w:t>、0.32mm</w:t>
      </w:r>
      <w:r>
        <w:rPr>
          <w:rFonts w:ascii="宋体" w:hAnsi="宋体" w:cs="宋体"/>
          <w:color w:val="auto"/>
          <w:spacing w:val="-70"/>
          <w:sz w:val="24"/>
          <w:szCs w:val="24"/>
        </w:rPr>
        <w:t xml:space="preserve"> </w:t>
      </w:r>
      <w:r>
        <w:rPr>
          <w:rFonts w:ascii="宋体" w:hAnsi="宋体" w:cs="宋体"/>
          <w:color w:val="auto"/>
          <w:spacing w:val="-3"/>
          <w:sz w:val="24"/>
          <w:szCs w:val="24"/>
        </w:rPr>
        <w:t>、0.27mm、</w:t>
      </w:r>
      <w:r>
        <w:rPr>
          <w:rFonts w:ascii="宋体" w:hAnsi="宋体" w:cs="宋体"/>
          <w:color w:val="auto"/>
          <w:spacing w:val="-11"/>
          <w:sz w:val="24"/>
          <w:szCs w:val="24"/>
        </w:rPr>
        <w:t>0.19mm</w:t>
      </w:r>
      <w:r>
        <w:rPr>
          <w:rFonts w:hint="eastAsia" w:ascii="宋体" w:hAnsi="宋体" w:cs="宋体"/>
          <w:color w:val="auto"/>
          <w:spacing w:val="-11"/>
          <w:sz w:val="24"/>
          <w:szCs w:val="24"/>
          <w:lang w:val="en-US" w:eastAsia="zh-CN"/>
        </w:rPr>
        <w:t>;</w:t>
      </w:r>
      <w:r>
        <w:rPr>
          <w:rFonts w:ascii="宋体" w:hAnsi="宋体" w:cs="宋体"/>
          <w:color w:val="auto"/>
          <w:spacing w:val="-11"/>
          <w:sz w:val="24"/>
          <w:szCs w:val="24"/>
        </w:rPr>
        <w:t>8</w:t>
      </w:r>
      <w:r>
        <w:rPr>
          <w:rFonts w:ascii="宋体" w:hAnsi="宋体" w:cs="宋体"/>
          <w:color w:val="auto"/>
          <w:spacing w:val="-84"/>
          <w:sz w:val="24"/>
          <w:szCs w:val="24"/>
        </w:rPr>
        <w:t xml:space="preserve"> </w:t>
      </w:r>
      <w:r>
        <w:rPr>
          <w:rFonts w:ascii="宋体" w:hAnsi="宋体" w:cs="宋体"/>
          <w:color w:val="auto"/>
          <w:spacing w:val="-11"/>
          <w:sz w:val="24"/>
          <w:szCs w:val="24"/>
        </w:rPr>
        <w:t>―9</w:t>
      </w:r>
      <w:r>
        <w:rPr>
          <w:rFonts w:ascii="宋体" w:hAnsi="宋体" w:cs="宋体"/>
          <w:color w:val="auto"/>
          <w:spacing w:val="-51"/>
          <w:sz w:val="24"/>
          <w:szCs w:val="24"/>
        </w:rPr>
        <w:t xml:space="preserve"> </w:t>
      </w:r>
      <w:r>
        <w:rPr>
          <w:rFonts w:ascii="宋体" w:hAnsi="宋体" w:cs="宋体"/>
          <w:color w:val="auto"/>
          <w:spacing w:val="-11"/>
          <w:sz w:val="24"/>
          <w:szCs w:val="24"/>
        </w:rPr>
        <w:t>号：0.13mm、0.08mm。</w:t>
      </w:r>
    </w:p>
    <w:p>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jc w:val="left"/>
        <w:textAlignment w:val="auto"/>
        <w:rPr>
          <w:rFonts w:ascii="宋体" w:hAnsi="宋体" w:cs="宋体"/>
          <w:color w:val="auto"/>
          <w:sz w:val="24"/>
          <w:szCs w:val="24"/>
        </w:rPr>
      </w:pPr>
      <w:r>
        <w:rPr>
          <w:rFonts w:ascii="宋体" w:hAnsi="宋体" w:cs="宋体"/>
          <w:color w:val="auto"/>
          <w:spacing w:val="-5"/>
          <w:sz w:val="24"/>
          <w:szCs w:val="24"/>
        </w:rPr>
        <w:t>1.外形尺寸为φ370mm×100mm；视标观测孔为φ65mm</w:t>
      </w:r>
      <w:r>
        <w:rPr>
          <w:rFonts w:ascii="宋体" w:hAnsi="宋体" w:cs="宋体"/>
          <w:color w:val="auto"/>
          <w:spacing w:val="-33"/>
          <w:sz w:val="24"/>
          <w:szCs w:val="24"/>
        </w:rPr>
        <w:t xml:space="preserve"> </w:t>
      </w:r>
      <w:r>
        <w:rPr>
          <w:rFonts w:ascii="宋体" w:hAnsi="宋体" w:cs="宋体"/>
          <w:color w:val="auto"/>
          <w:spacing w:val="-5"/>
          <w:sz w:val="24"/>
          <w:szCs w:val="24"/>
        </w:rPr>
        <w:t>圆孔，序号观测孔为φ6mm</w:t>
      </w:r>
      <w:r>
        <w:rPr>
          <w:rFonts w:ascii="宋体" w:hAnsi="宋体" w:cs="宋体"/>
          <w:color w:val="auto"/>
          <w:spacing w:val="-27"/>
          <w:sz w:val="24"/>
          <w:szCs w:val="24"/>
        </w:rPr>
        <w:t xml:space="preserve"> </w:t>
      </w:r>
      <w:r>
        <w:rPr>
          <w:rFonts w:ascii="宋体" w:hAnsi="宋体" w:cs="宋体"/>
          <w:color w:val="auto"/>
          <w:spacing w:val="-5"/>
          <w:sz w:val="24"/>
          <w:szCs w:val="24"/>
        </w:rPr>
        <w:t>圆孔。</w:t>
      </w:r>
    </w:p>
    <w:p>
      <w:pPr>
        <w:keepNext w:val="0"/>
        <w:keepLines w:val="0"/>
        <w:pageBreakBefore w:val="0"/>
        <w:widowControl w:val="0"/>
        <w:kinsoku/>
        <w:wordWrap/>
        <w:overflowPunct/>
        <w:topLinePunct w:val="0"/>
        <w:autoSpaceDE/>
        <w:autoSpaceDN/>
        <w:bidi w:val="0"/>
        <w:adjustRightInd/>
        <w:snapToGrid/>
        <w:spacing w:line="360" w:lineRule="auto"/>
        <w:ind w:right="0" w:firstLine="464" w:firstLineChars="200"/>
        <w:jc w:val="left"/>
        <w:textAlignment w:val="auto"/>
        <w:rPr>
          <w:rFonts w:ascii="宋体" w:hAnsi="宋体" w:cs="宋体"/>
          <w:color w:val="auto"/>
          <w:sz w:val="24"/>
          <w:szCs w:val="24"/>
        </w:rPr>
      </w:pPr>
      <w:r>
        <w:rPr>
          <w:rFonts w:ascii="宋体" w:hAnsi="宋体" w:cs="宋体"/>
          <w:color w:val="auto"/>
          <w:spacing w:val="-4"/>
          <w:sz w:val="24"/>
          <w:szCs w:val="24"/>
        </w:rPr>
        <w:t>2.视力表平面屏幕上方</w:t>
      </w:r>
      <w:r>
        <w:rPr>
          <w:rFonts w:ascii="宋体" w:hAnsi="宋体" w:cs="宋体"/>
          <w:color w:val="auto"/>
          <w:spacing w:val="-32"/>
          <w:sz w:val="24"/>
          <w:szCs w:val="24"/>
        </w:rPr>
        <w:t xml:space="preserve"> </w:t>
      </w:r>
      <w:r>
        <w:rPr>
          <w:rFonts w:ascii="宋体" w:hAnsi="宋体" w:cs="宋体"/>
          <w:color w:val="auto"/>
          <w:spacing w:val="-4"/>
          <w:sz w:val="24"/>
          <w:szCs w:val="24"/>
        </w:rPr>
        <w:t>5cm</w:t>
      </w:r>
      <w:r>
        <w:rPr>
          <w:rFonts w:ascii="宋体" w:hAnsi="宋体" w:cs="宋体"/>
          <w:color w:val="auto"/>
          <w:spacing w:val="-55"/>
          <w:sz w:val="24"/>
          <w:szCs w:val="24"/>
        </w:rPr>
        <w:t xml:space="preserve"> </w:t>
      </w:r>
      <w:r>
        <w:rPr>
          <w:rFonts w:ascii="宋体" w:hAnsi="宋体" w:cs="宋体"/>
          <w:color w:val="auto"/>
          <w:spacing w:val="-4"/>
          <w:sz w:val="24"/>
          <w:szCs w:val="24"/>
        </w:rPr>
        <w:t>处的照度应≥1000Lx。</w:t>
      </w:r>
      <w:r>
        <w:rPr>
          <w:rFonts w:ascii="宋体" w:hAnsi="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jc w:val="left"/>
        <w:textAlignment w:val="auto"/>
        <w:rPr>
          <w:rFonts w:ascii="宋体" w:hAnsi="宋体" w:cs="宋体"/>
          <w:color w:val="auto"/>
          <w:spacing w:val="-1"/>
          <w:sz w:val="24"/>
          <w:szCs w:val="24"/>
        </w:rPr>
      </w:pPr>
      <w:r>
        <w:rPr>
          <w:rFonts w:ascii="宋体" w:hAnsi="宋体" w:cs="宋体"/>
          <w:color w:val="auto"/>
          <w:spacing w:val="-1"/>
          <w:sz w:val="24"/>
          <w:szCs w:val="24"/>
        </w:rPr>
        <w:t>3.外壳表面应光洁、无毛刺，无明显划痕。</w:t>
      </w:r>
    </w:p>
    <w:p>
      <w:pPr>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rPr>
          <w:rFonts w:ascii="宋体" w:hAnsi="宋体" w:cs="宋体"/>
          <w:b/>
          <w:bCs/>
          <w:color w:val="auto"/>
          <w:sz w:val="28"/>
          <w:szCs w:val="28"/>
        </w:rPr>
      </w:pPr>
      <w:r>
        <w:rPr>
          <w:rFonts w:hint="eastAsia" w:ascii="宋体" w:hAnsi="宋体" w:cs="宋体"/>
          <w:b/>
          <w:bCs/>
          <w:color w:val="auto"/>
          <w:spacing w:val="-2"/>
          <w:sz w:val="28"/>
          <w:szCs w:val="28"/>
        </w:rPr>
        <w:t>2.2</w:t>
      </w:r>
      <w:r>
        <w:rPr>
          <w:rFonts w:ascii="宋体" w:hAnsi="宋体" w:cs="宋体"/>
          <w:b/>
          <w:bCs/>
          <w:color w:val="auto"/>
          <w:spacing w:val="-2"/>
          <w:sz w:val="28"/>
          <w:szCs w:val="28"/>
        </w:rPr>
        <w:t>配置清单：</w:t>
      </w:r>
    </w:p>
    <w:p>
      <w:pPr>
        <w:keepNext w:val="0"/>
        <w:keepLines w:val="0"/>
        <w:pageBreakBefore w:val="0"/>
        <w:widowControl w:val="0"/>
        <w:kinsoku/>
        <w:wordWrap/>
        <w:overflowPunct/>
        <w:topLinePunct w:val="0"/>
        <w:autoSpaceDE/>
        <w:autoSpaceDN/>
        <w:bidi w:val="0"/>
        <w:adjustRightInd/>
        <w:snapToGrid/>
        <w:spacing w:line="360" w:lineRule="auto"/>
        <w:ind w:firstLine="45"/>
        <w:jc w:val="left"/>
        <w:textAlignment w:val="auto"/>
        <w:rPr>
          <w:rFonts w:ascii="宋体" w:hAnsi="宋体" w:cs="宋体"/>
          <w:color w:val="auto"/>
          <w:sz w:val="24"/>
          <w:szCs w:val="24"/>
        </w:rPr>
      </w:pPr>
      <w:r>
        <w:rPr>
          <w:rFonts w:ascii="宋体" w:hAnsi="宋体" w:cs="宋体"/>
          <w:color w:val="auto"/>
          <w:spacing w:val="-7"/>
          <w:sz w:val="24"/>
          <w:szCs w:val="24"/>
        </w:rPr>
        <w:t>1.</w:t>
      </w:r>
      <w:r>
        <w:rPr>
          <w:rFonts w:ascii="宋体" w:hAnsi="宋体" w:cs="宋体"/>
          <w:color w:val="auto"/>
          <w:spacing w:val="-49"/>
          <w:sz w:val="24"/>
          <w:szCs w:val="24"/>
        </w:rPr>
        <w:t xml:space="preserve"> </w:t>
      </w:r>
      <w:r>
        <w:rPr>
          <w:rFonts w:ascii="宋体" w:hAnsi="宋体" w:cs="宋体"/>
          <w:color w:val="auto"/>
          <w:spacing w:val="-7"/>
          <w:sz w:val="24"/>
          <w:szCs w:val="24"/>
        </w:rPr>
        <w:t>主机一台</w:t>
      </w:r>
    </w:p>
    <w:p>
      <w:pPr>
        <w:keepNext w:val="0"/>
        <w:keepLines w:val="0"/>
        <w:pageBreakBefore w:val="0"/>
        <w:widowControl w:val="0"/>
        <w:kinsoku/>
        <w:wordWrap/>
        <w:overflowPunct/>
        <w:topLinePunct w:val="0"/>
        <w:autoSpaceDE/>
        <w:autoSpaceDN/>
        <w:bidi w:val="0"/>
        <w:adjustRightInd/>
        <w:snapToGrid/>
        <w:spacing w:line="360" w:lineRule="auto"/>
        <w:ind w:firstLine="28"/>
        <w:jc w:val="left"/>
        <w:textAlignment w:val="auto"/>
        <w:rPr>
          <w:rFonts w:ascii="宋体" w:hAnsi="宋体" w:cs="宋体"/>
          <w:color w:val="auto"/>
          <w:sz w:val="24"/>
          <w:szCs w:val="24"/>
        </w:rPr>
      </w:pPr>
      <w:r>
        <w:rPr>
          <w:rFonts w:ascii="宋体" w:hAnsi="宋体" w:cs="宋体"/>
          <w:color w:val="auto"/>
          <w:spacing w:val="-8"/>
          <w:sz w:val="24"/>
          <w:szCs w:val="24"/>
        </w:rPr>
        <w:t>2.</w:t>
      </w:r>
      <w:r>
        <w:rPr>
          <w:rFonts w:ascii="宋体" w:hAnsi="宋体" w:cs="宋体"/>
          <w:color w:val="auto"/>
          <w:spacing w:val="-17"/>
          <w:sz w:val="24"/>
          <w:szCs w:val="24"/>
        </w:rPr>
        <w:t xml:space="preserve"> </w:t>
      </w:r>
      <w:r>
        <w:rPr>
          <w:rFonts w:ascii="宋体" w:hAnsi="宋体" w:cs="宋体"/>
          <w:color w:val="auto"/>
          <w:spacing w:val="-8"/>
          <w:sz w:val="24"/>
          <w:szCs w:val="24"/>
        </w:rPr>
        <w:t>电源线一根</w:t>
      </w:r>
    </w:p>
    <w:p>
      <w:pPr>
        <w:keepNext w:val="0"/>
        <w:keepLines w:val="0"/>
        <w:pageBreakBefore w:val="0"/>
        <w:widowControl w:val="0"/>
        <w:kinsoku/>
        <w:wordWrap/>
        <w:overflowPunct/>
        <w:topLinePunct w:val="0"/>
        <w:autoSpaceDE/>
        <w:autoSpaceDN/>
        <w:bidi w:val="0"/>
        <w:adjustRightInd/>
        <w:snapToGrid/>
        <w:spacing w:line="360" w:lineRule="auto"/>
        <w:ind w:firstLine="30"/>
        <w:jc w:val="left"/>
        <w:textAlignment w:val="auto"/>
        <w:rPr>
          <w:rFonts w:ascii="宋体" w:hAnsi="宋体" w:cs="宋体"/>
          <w:color w:val="auto"/>
          <w:sz w:val="24"/>
          <w:szCs w:val="24"/>
        </w:rPr>
      </w:pPr>
      <w:r>
        <w:rPr>
          <w:rFonts w:ascii="宋体" w:hAnsi="宋体" w:cs="宋体"/>
          <w:color w:val="auto"/>
          <w:spacing w:val="-4"/>
          <w:sz w:val="24"/>
          <w:szCs w:val="24"/>
        </w:rPr>
        <w:t>3.</w:t>
      </w:r>
      <w:r>
        <w:rPr>
          <w:rFonts w:ascii="宋体" w:hAnsi="宋体" w:cs="宋体"/>
          <w:color w:val="auto"/>
          <w:spacing w:val="-47"/>
          <w:sz w:val="24"/>
          <w:szCs w:val="24"/>
        </w:rPr>
        <w:t xml:space="preserve"> </w:t>
      </w:r>
      <w:r>
        <w:rPr>
          <w:rFonts w:ascii="宋体" w:hAnsi="宋体" w:cs="宋体"/>
          <w:color w:val="auto"/>
          <w:spacing w:val="-4"/>
          <w:sz w:val="24"/>
          <w:szCs w:val="24"/>
        </w:rPr>
        <w:t>遮眼板一件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3、带状光检影镜（采购数量: </w:t>
      </w:r>
      <w:r>
        <w:rPr>
          <w:rFonts w:hint="eastAsia" w:ascii="宋体" w:hAnsi="宋体" w:eastAsia="宋体" w:cs="宋体"/>
          <w:b/>
          <w:bCs/>
          <w:color w:val="auto"/>
          <w:sz w:val="28"/>
          <w:szCs w:val="28"/>
          <w:highlight w:val="none"/>
          <w:lang w:val="en-US" w:eastAsia="zh-CN"/>
        </w:rPr>
        <w:t>1台</w:t>
      </w:r>
      <w:r>
        <w:rPr>
          <w:rFonts w:hint="eastAsia" w:ascii="宋体" w:hAnsi="宋体" w:eastAsia="宋体" w:cs="宋体"/>
          <w:b/>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114"/>
        <w:jc w:val="left"/>
        <w:textAlignment w:val="auto"/>
        <w:rPr>
          <w:rFonts w:hint="eastAsia" w:ascii="宋体" w:hAnsi="宋体" w:cs="宋体"/>
          <w:color w:val="auto"/>
          <w:spacing w:val="-2"/>
          <w:sz w:val="24"/>
          <w:szCs w:val="24"/>
        </w:rPr>
      </w:pPr>
      <w:r>
        <w:rPr>
          <w:rFonts w:hint="eastAsia" w:ascii="宋体" w:hAnsi="宋体" w:cs="宋体"/>
          <w:color w:val="auto"/>
          <w:spacing w:val="-2"/>
          <w:sz w:val="24"/>
          <w:szCs w:val="24"/>
        </w:rPr>
        <w:t>技术参数要求：</w:t>
      </w:r>
    </w:p>
    <w:tbl>
      <w:tblPr>
        <w:tblStyle w:val="43"/>
        <w:tblW w:w="9080" w:type="dxa"/>
        <w:tblInd w:w="94"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Layout w:type="fixed"/>
        <w:tblCellMar>
          <w:top w:w="0" w:type="dxa"/>
          <w:left w:w="0" w:type="dxa"/>
          <w:bottom w:w="0" w:type="dxa"/>
          <w:right w:w="0" w:type="dxa"/>
        </w:tblCellMar>
      </w:tblPr>
      <w:tblGrid>
        <w:gridCol w:w="470"/>
        <w:gridCol w:w="8610"/>
      </w:tblGrid>
      <w:tr>
        <w:tblPrEx>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CellMar>
            <w:top w:w="0" w:type="dxa"/>
            <w:left w:w="0" w:type="dxa"/>
            <w:bottom w:w="0" w:type="dxa"/>
            <w:right w:w="0" w:type="dxa"/>
          </w:tblCellMar>
        </w:tblPrEx>
        <w:trPr>
          <w:trHeight w:val="342" w:hRule="atLeast"/>
        </w:trPr>
        <w:tc>
          <w:tcPr>
            <w:tcW w:w="470" w:type="dxa"/>
            <w:tcBorders>
              <w:left w:val="single" w:color="FFFFFF" w:sz="10"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163"/>
              <w:jc w:val="left"/>
              <w:textAlignment w:val="auto"/>
              <w:rPr>
                <w:rFonts w:hint="eastAsia" w:ascii="宋体" w:hAnsi="宋体" w:cs="宋体"/>
                <w:color w:val="auto"/>
                <w:spacing w:val="-2"/>
                <w:sz w:val="24"/>
                <w:szCs w:val="24"/>
              </w:rPr>
            </w:pPr>
            <w:r>
              <w:rPr>
                <w:rFonts w:hint="eastAsia" w:ascii="宋体" w:hAnsi="宋体" w:cs="宋体"/>
                <w:color w:val="auto"/>
                <w:spacing w:val="-2"/>
                <w:sz w:val="24"/>
                <w:szCs w:val="24"/>
              </w:rPr>
              <w:t>◆</w:t>
            </w:r>
          </w:p>
        </w:tc>
        <w:tc>
          <w:tcPr>
            <w:tcW w:w="8610" w:type="dxa"/>
            <w:tcBorders>
              <w:right w:val="single" w:color="FFFFFF" w:sz="10"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pacing w:val="-2"/>
                <w:sz w:val="24"/>
                <w:szCs w:val="24"/>
              </w:rPr>
            </w:pPr>
            <w:r>
              <w:rPr>
                <w:rFonts w:hint="eastAsia" w:ascii="宋体" w:hAnsi="宋体" w:cs="宋体"/>
                <w:color w:val="auto"/>
                <w:spacing w:val="-2"/>
                <w:sz w:val="24"/>
                <w:szCs w:val="24"/>
              </w:rPr>
              <w:t>灯丝可作 360°旋转及上下移动，定位可靠，光带亮度强弱适中</w:t>
            </w:r>
          </w:p>
        </w:tc>
      </w:tr>
      <w:tr>
        <w:tblPrEx>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CellMar>
            <w:top w:w="0" w:type="dxa"/>
            <w:left w:w="0" w:type="dxa"/>
            <w:bottom w:w="0" w:type="dxa"/>
            <w:right w:w="0" w:type="dxa"/>
          </w:tblCellMar>
        </w:tblPrEx>
        <w:trPr>
          <w:trHeight w:val="387" w:hRule="atLeast"/>
        </w:trPr>
        <w:tc>
          <w:tcPr>
            <w:tcW w:w="470" w:type="dxa"/>
            <w:tcBorders>
              <w:left w:val="single" w:color="FFFFFF" w:sz="10" w:space="0"/>
              <w:right w:val="single" w:color="FFFFFF" w:sz="10"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163"/>
              <w:jc w:val="left"/>
              <w:textAlignment w:val="auto"/>
              <w:rPr>
                <w:rFonts w:hint="eastAsia" w:ascii="宋体" w:hAnsi="宋体" w:cs="宋体"/>
                <w:color w:val="auto"/>
                <w:sz w:val="24"/>
                <w:szCs w:val="24"/>
              </w:rPr>
            </w:pPr>
            <w:r>
              <w:rPr>
                <w:rFonts w:hint="eastAsia" w:ascii="宋体" w:hAnsi="宋体" w:cs="宋体"/>
                <w:color w:val="auto"/>
                <w:sz w:val="24"/>
                <w:szCs w:val="24"/>
              </w:rPr>
              <w:t>◆</w:t>
            </w:r>
          </w:p>
        </w:tc>
        <w:tc>
          <w:tcPr>
            <w:tcW w:w="8610" w:type="dxa"/>
            <w:tcBorders>
              <w:right w:val="single" w:color="FFFFFF" w:sz="10"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rPr>
            </w:pPr>
            <w:r>
              <w:rPr>
                <w:rFonts w:hint="eastAsia" w:ascii="宋体" w:hAnsi="宋体" w:cs="宋体"/>
                <w:color w:val="auto"/>
                <w:spacing w:val="-1"/>
                <w:sz w:val="24"/>
                <w:szCs w:val="24"/>
              </w:rPr>
              <w:t>可快速、精确确定散光轴位</w:t>
            </w:r>
          </w:p>
        </w:tc>
      </w:tr>
      <w:tr>
        <w:tblPrEx>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CellMar>
            <w:top w:w="0" w:type="dxa"/>
            <w:left w:w="0" w:type="dxa"/>
            <w:bottom w:w="0" w:type="dxa"/>
            <w:right w:w="0" w:type="dxa"/>
          </w:tblCellMar>
        </w:tblPrEx>
        <w:trPr>
          <w:trHeight w:val="387" w:hRule="atLeast"/>
        </w:trPr>
        <w:tc>
          <w:tcPr>
            <w:tcW w:w="470" w:type="dxa"/>
            <w:tcBorders>
              <w:left w:val="single" w:color="FFFFFF" w:sz="10" w:space="0"/>
              <w:right w:val="single" w:color="FFFFFF" w:sz="10"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163"/>
              <w:jc w:val="left"/>
              <w:textAlignment w:val="auto"/>
              <w:rPr>
                <w:rFonts w:hint="eastAsia" w:ascii="宋体" w:hAnsi="宋体" w:cs="宋体"/>
                <w:color w:val="auto"/>
                <w:sz w:val="24"/>
                <w:szCs w:val="24"/>
              </w:rPr>
            </w:pPr>
            <w:r>
              <w:rPr>
                <w:rFonts w:hint="eastAsia" w:ascii="宋体" w:hAnsi="宋体" w:cs="宋体"/>
                <w:color w:val="auto"/>
                <w:sz w:val="24"/>
                <w:szCs w:val="24"/>
              </w:rPr>
              <w:t>◆</w:t>
            </w:r>
          </w:p>
        </w:tc>
        <w:tc>
          <w:tcPr>
            <w:tcW w:w="8610" w:type="dxa"/>
            <w:tcBorders>
              <w:right w:val="single" w:color="FFFFFF" w:sz="10"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rPr>
            </w:pPr>
            <w:r>
              <w:rPr>
                <w:rFonts w:hint="eastAsia" w:ascii="宋体" w:hAnsi="宋体" w:cs="宋体"/>
                <w:color w:val="auto"/>
                <w:spacing w:val="-1"/>
                <w:sz w:val="24"/>
                <w:szCs w:val="24"/>
              </w:rPr>
              <w:t>光线可调成集合、发散、平行三种方式</w:t>
            </w:r>
          </w:p>
        </w:tc>
      </w:tr>
      <w:tr>
        <w:tblPrEx>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CellMar>
            <w:top w:w="0" w:type="dxa"/>
            <w:left w:w="0" w:type="dxa"/>
            <w:bottom w:w="0" w:type="dxa"/>
            <w:right w:w="0" w:type="dxa"/>
          </w:tblCellMar>
        </w:tblPrEx>
        <w:trPr>
          <w:trHeight w:val="357" w:hRule="atLeast"/>
        </w:trPr>
        <w:tc>
          <w:tcPr>
            <w:tcW w:w="470" w:type="dxa"/>
            <w:tcBorders>
              <w:left w:val="single" w:color="FFFFFF" w:sz="10" w:space="0"/>
              <w:right w:val="single" w:color="FFFFFF" w:sz="10"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163"/>
              <w:jc w:val="left"/>
              <w:textAlignment w:val="auto"/>
              <w:rPr>
                <w:rFonts w:hint="eastAsia" w:ascii="宋体" w:hAnsi="宋体" w:cs="宋体"/>
                <w:color w:val="auto"/>
                <w:sz w:val="24"/>
                <w:szCs w:val="24"/>
              </w:rPr>
            </w:pPr>
            <w:r>
              <w:rPr>
                <w:rFonts w:hint="eastAsia" w:ascii="宋体" w:hAnsi="宋体" w:cs="宋体"/>
                <w:color w:val="auto"/>
                <w:sz w:val="24"/>
                <w:szCs w:val="24"/>
              </w:rPr>
              <w:t>◆</w:t>
            </w:r>
          </w:p>
        </w:tc>
        <w:tc>
          <w:tcPr>
            <w:tcW w:w="8610" w:type="dxa"/>
            <w:tcBorders>
              <w:right w:val="single" w:color="FFFFFF" w:sz="10"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11"/>
              <w:jc w:val="left"/>
              <w:textAlignment w:val="auto"/>
              <w:rPr>
                <w:rFonts w:hint="eastAsia" w:ascii="宋体" w:hAnsi="宋体" w:cs="宋体"/>
                <w:color w:val="auto"/>
                <w:sz w:val="24"/>
                <w:szCs w:val="24"/>
              </w:rPr>
            </w:pPr>
            <w:r>
              <w:rPr>
                <w:rFonts w:hint="eastAsia" w:ascii="宋体" w:hAnsi="宋体" w:cs="宋体"/>
                <w:color w:val="auto"/>
                <w:spacing w:val="-2"/>
                <w:sz w:val="24"/>
                <w:szCs w:val="24"/>
              </w:rPr>
              <w:t>自动挂断功能，延长灯泡寿命</w:t>
            </w:r>
          </w:p>
        </w:tc>
      </w:tr>
      <w:tr>
        <w:tblPrEx>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CellMar>
            <w:top w:w="0" w:type="dxa"/>
            <w:left w:w="0" w:type="dxa"/>
            <w:bottom w:w="0" w:type="dxa"/>
            <w:right w:w="0" w:type="dxa"/>
          </w:tblCellMar>
        </w:tblPrEx>
        <w:trPr>
          <w:trHeight w:val="405" w:hRule="atLeast"/>
        </w:trPr>
        <w:tc>
          <w:tcPr>
            <w:tcW w:w="470" w:type="dxa"/>
            <w:tcBorders>
              <w:left w:val="single" w:color="FFFFFF" w:sz="10" w:space="0"/>
              <w:right w:val="single" w:color="FFFFFF" w:sz="10"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163"/>
              <w:jc w:val="left"/>
              <w:textAlignment w:val="auto"/>
              <w:rPr>
                <w:rFonts w:hint="eastAsia" w:ascii="宋体" w:hAnsi="宋体" w:cs="宋体"/>
                <w:color w:val="auto"/>
                <w:sz w:val="24"/>
                <w:szCs w:val="24"/>
              </w:rPr>
            </w:pPr>
            <w:r>
              <w:rPr>
                <w:rFonts w:hint="eastAsia" w:ascii="宋体" w:hAnsi="宋体" w:cs="宋体"/>
                <w:color w:val="auto"/>
                <w:sz w:val="24"/>
                <w:szCs w:val="24"/>
              </w:rPr>
              <w:t>◆</w:t>
            </w:r>
          </w:p>
        </w:tc>
        <w:tc>
          <w:tcPr>
            <w:tcW w:w="8610" w:type="dxa"/>
            <w:tcBorders>
              <w:right w:val="single" w:color="FFFFFF" w:sz="10"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rPr>
            </w:pPr>
            <w:r>
              <w:rPr>
                <w:rFonts w:hint="eastAsia" w:ascii="宋体" w:hAnsi="宋体" w:cs="宋体"/>
                <w:color w:val="auto"/>
                <w:spacing w:val="-10"/>
                <w:w w:val="97"/>
                <w:sz w:val="24"/>
                <w:szCs w:val="24"/>
              </w:rPr>
              <w:t>灯泡亮度S</w:t>
            </w:r>
            <w:r>
              <w:rPr>
                <w:rFonts w:hint="eastAsia" w:ascii="宋体" w:hAnsi="宋体" w:cs="宋体"/>
                <w:color w:val="auto"/>
                <w:spacing w:val="-32"/>
                <w:sz w:val="24"/>
                <w:szCs w:val="24"/>
              </w:rPr>
              <w:t xml:space="preserve"> </w:t>
            </w:r>
            <w:r>
              <w:rPr>
                <w:rFonts w:hint="eastAsia" w:ascii="宋体" w:hAnsi="宋体" w:cs="宋体"/>
                <w:color w:val="auto"/>
                <w:spacing w:val="-10"/>
                <w:w w:val="97"/>
                <w:sz w:val="24"/>
                <w:szCs w:val="24"/>
              </w:rPr>
              <w:t>（强）、W（弱）两档可调</w:t>
            </w:r>
          </w:p>
        </w:tc>
      </w:tr>
    </w:tbl>
    <w:p>
      <w:pPr>
        <w:spacing w:line="19" w:lineRule="auto"/>
        <w:rPr>
          <w:rFonts w:hint="eastAsia" w:ascii="宋体" w:hAnsi="宋体" w:cs="宋体"/>
          <w:color w:val="auto"/>
          <w:sz w:val="24"/>
          <w:szCs w:val="24"/>
        </w:rPr>
      </w:pPr>
    </w:p>
    <w:tbl>
      <w:tblPr>
        <w:tblStyle w:val="43"/>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9"/>
        <w:gridCol w:w="64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2089" w:type="dxa"/>
            <w:shd w:val="clear" w:color="auto" w:fill="FFFFFF"/>
            <w:noWrap w:val="0"/>
            <w:vAlign w:val="top"/>
          </w:tcPr>
          <w:p>
            <w:pPr>
              <w:spacing w:before="134" w:line="180" w:lineRule="auto"/>
              <w:ind w:firstLine="112"/>
              <w:rPr>
                <w:rFonts w:hint="eastAsia" w:ascii="宋体" w:hAnsi="宋体" w:cs="宋体"/>
                <w:color w:val="auto"/>
                <w:sz w:val="24"/>
                <w:szCs w:val="24"/>
              </w:rPr>
            </w:pPr>
            <w:r>
              <w:rPr>
                <w:rFonts w:hint="eastAsia" w:ascii="宋体" w:hAnsi="宋体" w:cs="宋体"/>
                <w:color w:val="auto"/>
                <w:spacing w:val="-1"/>
                <w:sz w:val="24"/>
                <w:szCs w:val="24"/>
              </w:rPr>
              <w:t>工作距离</w:t>
            </w:r>
          </w:p>
        </w:tc>
        <w:tc>
          <w:tcPr>
            <w:tcW w:w="6423" w:type="dxa"/>
            <w:shd w:val="clear" w:color="auto" w:fill="FFFFFF"/>
            <w:noWrap w:val="0"/>
            <w:vAlign w:val="top"/>
          </w:tcPr>
          <w:p>
            <w:pPr>
              <w:spacing w:before="141" w:line="185" w:lineRule="exact"/>
              <w:ind w:firstLine="120"/>
              <w:rPr>
                <w:rFonts w:hint="eastAsia" w:ascii="宋体" w:hAnsi="宋体" w:cs="宋体"/>
                <w:color w:val="auto"/>
                <w:sz w:val="24"/>
                <w:szCs w:val="24"/>
              </w:rPr>
            </w:pPr>
            <w:r>
              <w:rPr>
                <w:rFonts w:hint="eastAsia" w:ascii="宋体" w:hAnsi="宋体" w:cs="宋体"/>
                <w:color w:val="auto"/>
                <w:spacing w:val="-4"/>
                <w:sz w:val="24"/>
                <w:szCs w:val="24"/>
              </w:rPr>
              <w:t>1m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2089" w:type="dxa"/>
            <w:shd w:val="clear" w:color="auto" w:fill="FFFFFF"/>
            <w:noWrap w:val="0"/>
            <w:vAlign w:val="top"/>
          </w:tcPr>
          <w:p>
            <w:pPr>
              <w:spacing w:before="130" w:line="180" w:lineRule="auto"/>
              <w:ind w:firstLine="109"/>
              <w:rPr>
                <w:rFonts w:hint="eastAsia" w:ascii="宋体" w:hAnsi="宋体" w:cs="宋体"/>
                <w:color w:val="auto"/>
                <w:sz w:val="24"/>
                <w:szCs w:val="24"/>
              </w:rPr>
            </w:pPr>
            <w:r>
              <w:rPr>
                <w:rFonts w:hint="eastAsia" w:ascii="宋体" w:hAnsi="宋体" w:cs="宋体"/>
                <w:color w:val="auto"/>
                <w:spacing w:val="-1"/>
                <w:sz w:val="24"/>
                <w:szCs w:val="24"/>
              </w:rPr>
              <w:t>光带宽度</w:t>
            </w:r>
          </w:p>
        </w:tc>
        <w:tc>
          <w:tcPr>
            <w:tcW w:w="6423" w:type="dxa"/>
            <w:shd w:val="clear" w:color="auto" w:fill="FFFFFF"/>
            <w:noWrap w:val="0"/>
            <w:vAlign w:val="top"/>
          </w:tcPr>
          <w:p>
            <w:pPr>
              <w:spacing w:before="130" w:line="180" w:lineRule="auto"/>
              <w:ind w:firstLine="117"/>
              <w:rPr>
                <w:rFonts w:hint="eastAsia" w:ascii="宋体" w:hAnsi="宋体" w:cs="宋体"/>
                <w:color w:val="auto"/>
                <w:sz w:val="24"/>
                <w:szCs w:val="24"/>
              </w:rPr>
            </w:pPr>
            <w:r>
              <w:rPr>
                <w:rFonts w:hint="eastAsia" w:ascii="宋体" w:hAnsi="宋体" w:cs="宋体"/>
                <w:color w:val="auto"/>
                <w:spacing w:val="-2"/>
                <w:sz w:val="24"/>
                <w:szCs w:val="24"/>
              </w:rPr>
              <w:t>3mm~20mm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2089" w:type="dxa"/>
            <w:shd w:val="clear" w:color="auto" w:fill="FFFFFF"/>
            <w:noWrap w:val="0"/>
            <w:vAlign w:val="top"/>
          </w:tcPr>
          <w:p>
            <w:pPr>
              <w:spacing w:before="134" w:line="180" w:lineRule="auto"/>
              <w:ind w:firstLine="109"/>
              <w:rPr>
                <w:rFonts w:hint="eastAsia" w:ascii="宋体" w:hAnsi="宋体" w:cs="宋体"/>
                <w:color w:val="auto"/>
                <w:sz w:val="24"/>
                <w:szCs w:val="24"/>
              </w:rPr>
            </w:pPr>
            <w:r>
              <w:rPr>
                <w:rFonts w:hint="eastAsia" w:ascii="宋体" w:hAnsi="宋体" w:cs="宋体"/>
                <w:color w:val="auto"/>
                <w:spacing w:val="-1"/>
                <w:sz w:val="24"/>
                <w:szCs w:val="24"/>
              </w:rPr>
              <w:t>光带可旋转</w:t>
            </w:r>
          </w:p>
        </w:tc>
        <w:tc>
          <w:tcPr>
            <w:tcW w:w="6423" w:type="dxa"/>
            <w:shd w:val="clear" w:color="auto" w:fill="FFFFFF"/>
            <w:noWrap w:val="0"/>
            <w:vAlign w:val="top"/>
          </w:tcPr>
          <w:p>
            <w:pPr>
              <w:spacing w:before="140" w:line="175" w:lineRule="auto"/>
              <w:ind w:firstLine="117"/>
              <w:rPr>
                <w:rFonts w:hint="eastAsia" w:ascii="宋体" w:hAnsi="宋体" w:cs="宋体"/>
                <w:color w:val="auto"/>
                <w:sz w:val="24"/>
                <w:szCs w:val="24"/>
              </w:rPr>
            </w:pPr>
            <w:r>
              <w:rPr>
                <w:rFonts w:hint="eastAsia" w:ascii="宋体" w:hAnsi="宋体" w:cs="宋体"/>
                <w:color w:val="auto"/>
                <w:spacing w:val="-4"/>
                <w:sz w:val="24"/>
                <w:szCs w:val="24"/>
              </w:rPr>
              <w:t>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2089" w:type="dxa"/>
            <w:shd w:val="clear" w:color="auto" w:fill="FFFFFF"/>
            <w:noWrap w:val="0"/>
            <w:vAlign w:val="top"/>
          </w:tcPr>
          <w:p>
            <w:pPr>
              <w:spacing w:before="133" w:line="179" w:lineRule="auto"/>
              <w:ind w:firstLine="112"/>
              <w:rPr>
                <w:rFonts w:hint="eastAsia" w:ascii="宋体" w:hAnsi="宋体" w:cs="宋体"/>
                <w:color w:val="auto"/>
                <w:sz w:val="24"/>
                <w:szCs w:val="24"/>
              </w:rPr>
            </w:pPr>
            <w:r>
              <w:rPr>
                <w:rFonts w:hint="eastAsia" w:ascii="宋体" w:hAnsi="宋体" w:cs="宋体"/>
                <w:color w:val="auto"/>
                <w:spacing w:val="-1"/>
                <w:sz w:val="24"/>
                <w:szCs w:val="24"/>
              </w:rPr>
              <w:t>照明光源</w:t>
            </w:r>
          </w:p>
        </w:tc>
        <w:tc>
          <w:tcPr>
            <w:tcW w:w="6423" w:type="dxa"/>
            <w:shd w:val="clear" w:color="auto" w:fill="FFFFFF"/>
            <w:noWrap w:val="0"/>
            <w:vAlign w:val="top"/>
          </w:tcPr>
          <w:p>
            <w:pPr>
              <w:spacing w:before="133" w:line="179" w:lineRule="auto"/>
              <w:ind w:firstLine="117"/>
              <w:rPr>
                <w:rFonts w:hint="eastAsia" w:ascii="宋体" w:hAnsi="宋体" w:cs="宋体"/>
                <w:color w:val="auto"/>
                <w:sz w:val="24"/>
                <w:szCs w:val="24"/>
              </w:rPr>
            </w:pPr>
            <w:r>
              <w:rPr>
                <w:rFonts w:hint="eastAsia" w:ascii="宋体" w:hAnsi="宋体" w:cs="宋体"/>
                <w:color w:val="auto"/>
                <w:spacing w:val="-4"/>
                <w:sz w:val="24"/>
                <w:szCs w:val="24"/>
              </w:rPr>
              <w:t>3V/2.1W白炽灯泡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2089" w:type="dxa"/>
            <w:shd w:val="clear" w:color="auto" w:fill="FFFFFF"/>
            <w:noWrap w:val="0"/>
            <w:vAlign w:val="top"/>
          </w:tcPr>
          <w:p>
            <w:pPr>
              <w:spacing w:before="133" w:line="180" w:lineRule="auto"/>
              <w:ind w:firstLine="119"/>
              <w:rPr>
                <w:rFonts w:hint="eastAsia" w:ascii="宋体" w:hAnsi="宋体" w:cs="宋体"/>
                <w:color w:val="auto"/>
                <w:sz w:val="24"/>
                <w:szCs w:val="24"/>
              </w:rPr>
            </w:pPr>
            <w:r>
              <w:rPr>
                <w:rFonts w:hint="eastAsia" w:ascii="宋体" w:hAnsi="宋体" w:cs="宋体"/>
                <w:color w:val="auto"/>
                <w:spacing w:val="-3"/>
                <w:sz w:val="24"/>
                <w:szCs w:val="24"/>
              </w:rPr>
              <w:t>电源</w:t>
            </w:r>
          </w:p>
        </w:tc>
        <w:tc>
          <w:tcPr>
            <w:tcW w:w="6423" w:type="dxa"/>
            <w:shd w:val="clear" w:color="auto" w:fill="FFFFFF"/>
            <w:noWrap w:val="0"/>
            <w:vAlign w:val="top"/>
          </w:tcPr>
          <w:p>
            <w:pPr>
              <w:spacing w:before="133" w:line="180" w:lineRule="auto"/>
              <w:ind w:firstLine="106"/>
              <w:rPr>
                <w:rFonts w:hint="eastAsia" w:ascii="宋体" w:hAnsi="宋体" w:cs="宋体"/>
                <w:color w:val="auto"/>
                <w:sz w:val="24"/>
                <w:szCs w:val="24"/>
              </w:rPr>
            </w:pPr>
            <w:r>
              <w:rPr>
                <w:rFonts w:hint="eastAsia" w:ascii="宋体" w:hAnsi="宋体" w:cs="宋体"/>
                <w:color w:val="auto"/>
                <w:spacing w:val="-2"/>
                <w:sz w:val="24"/>
                <w:szCs w:val="24"/>
              </w:rPr>
              <w:t>AC</w:t>
            </w:r>
            <w:r>
              <w:rPr>
                <w:rFonts w:hint="eastAsia" w:ascii="宋体" w:hAnsi="宋体" w:cs="宋体"/>
                <w:color w:val="auto"/>
                <w:spacing w:val="18"/>
                <w:sz w:val="24"/>
                <w:szCs w:val="24"/>
              </w:rPr>
              <w:t xml:space="preserve"> </w:t>
            </w:r>
            <w:r>
              <w:rPr>
                <w:rFonts w:hint="eastAsia" w:ascii="宋体" w:hAnsi="宋体" w:cs="宋体"/>
                <w:color w:val="auto"/>
                <w:spacing w:val="-2"/>
                <w:sz w:val="24"/>
                <w:szCs w:val="24"/>
              </w:rPr>
              <w:t>220V±10%,</w:t>
            </w:r>
            <w:r>
              <w:rPr>
                <w:rFonts w:hint="eastAsia" w:ascii="宋体" w:hAnsi="宋体" w:cs="宋体"/>
                <w:color w:val="auto"/>
                <w:spacing w:val="15"/>
                <w:sz w:val="24"/>
                <w:szCs w:val="24"/>
              </w:rPr>
              <w:t xml:space="preserve"> </w:t>
            </w:r>
            <w:r>
              <w:rPr>
                <w:rFonts w:hint="eastAsia" w:ascii="宋体" w:hAnsi="宋体" w:cs="宋体"/>
                <w:color w:val="auto"/>
                <w:spacing w:val="-2"/>
                <w:sz w:val="24"/>
                <w:szCs w:val="24"/>
              </w:rPr>
              <w:t>50Hz</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4、婴幼儿选择性注视检测卡（采购数量：</w:t>
      </w:r>
      <w:r>
        <w:rPr>
          <w:rFonts w:hint="eastAsia" w:ascii="宋体" w:hAnsi="宋体" w:eastAsia="宋体" w:cs="宋体"/>
          <w:b/>
          <w:bCs/>
          <w:color w:val="auto"/>
          <w:sz w:val="28"/>
          <w:szCs w:val="28"/>
          <w:highlight w:val="none"/>
          <w:lang w:val="en-US" w:eastAsia="zh-CN"/>
        </w:rPr>
        <w:t>1个</w:t>
      </w:r>
      <w:r>
        <w:rPr>
          <w:rFonts w:hint="eastAsia" w:ascii="宋体" w:hAnsi="宋体" w:eastAsia="宋体" w:cs="宋体"/>
          <w:b/>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4.1技术参数：</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Arial"/>
          <w:color w:val="auto"/>
          <w:sz w:val="24"/>
        </w:rPr>
      </w:pPr>
      <w:r>
        <w:rPr>
          <w:rFonts w:hint="eastAsia" w:ascii="宋体" w:hAnsi="Arial"/>
          <w:color w:val="auto"/>
          <w:sz w:val="24"/>
        </w:rPr>
        <w:t>测试距离：40 厘米</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Arial"/>
          <w:color w:val="auto"/>
          <w:sz w:val="24"/>
        </w:rPr>
      </w:pPr>
      <w:r>
        <w:rPr>
          <w:rFonts w:hint="eastAsia" w:ascii="宋体" w:hAnsi="Arial"/>
          <w:color w:val="auto"/>
          <w:sz w:val="24"/>
        </w:rPr>
        <w:t>图片组成：全套 4 张 测试拍，6 个 视力值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Arial"/>
          <w:color w:val="auto"/>
          <w:sz w:val="24"/>
        </w:rPr>
      </w:pPr>
      <w:r>
        <w:rPr>
          <w:rFonts w:hint="eastAsia" w:ascii="宋体" w:hAnsi="Arial"/>
          <w:color w:val="auto"/>
          <w:sz w:val="24"/>
        </w:rPr>
        <w:t>测试人群：12 个月 -2 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Arial"/>
          <w:color w:val="auto"/>
          <w:sz w:val="24"/>
        </w:rPr>
      </w:pPr>
      <w:r>
        <w:rPr>
          <w:rFonts w:hint="eastAsia" w:ascii="宋体" w:hAnsi="Arial"/>
          <w:color w:val="auto"/>
          <w:sz w:val="24"/>
        </w:rPr>
        <w:t>测试范围;0.25cpcm 、0.5cpcm、1.0cpcm、2.0cpcm、4.0cpcm、8.0 cpcm(每厘米表面的周期）</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Arial"/>
          <w:color w:val="auto"/>
          <w:sz w:val="24"/>
        </w:rPr>
      </w:pPr>
      <w:r>
        <w:rPr>
          <w:rFonts w:hint="eastAsia" w:ascii="宋体" w:hAnsi="Arial"/>
          <w:color w:val="auto"/>
          <w:sz w:val="24"/>
        </w:rPr>
        <w:t>测试拍直径：20厘米</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Arial"/>
          <w:b/>
          <w:bCs/>
          <w:color w:val="auto"/>
          <w:sz w:val="28"/>
          <w:szCs w:val="21"/>
        </w:rPr>
      </w:pPr>
      <w:r>
        <w:rPr>
          <w:rFonts w:hint="eastAsia" w:ascii="宋体" w:hAnsi="Arial"/>
          <w:b/>
          <w:bCs/>
          <w:color w:val="auto"/>
          <w:sz w:val="28"/>
          <w:szCs w:val="21"/>
        </w:rPr>
        <w:t>4.2配置清单</w:t>
      </w:r>
    </w:p>
    <w:tbl>
      <w:tblPr>
        <w:tblStyle w:val="43"/>
        <w:tblW w:w="0" w:type="auto"/>
        <w:jc w:val="center"/>
        <w:tblLayout w:type="fixed"/>
        <w:tblCellMar>
          <w:top w:w="0" w:type="dxa"/>
          <w:left w:w="0" w:type="dxa"/>
          <w:bottom w:w="0" w:type="dxa"/>
          <w:right w:w="0" w:type="dxa"/>
        </w:tblCellMar>
      </w:tblPr>
      <w:tblGrid>
        <w:gridCol w:w="4738"/>
        <w:gridCol w:w="2842"/>
      </w:tblGrid>
      <w:tr>
        <w:tblPrEx>
          <w:tblCellMar>
            <w:top w:w="0" w:type="dxa"/>
            <w:left w:w="0" w:type="dxa"/>
            <w:bottom w:w="0" w:type="dxa"/>
            <w:right w:w="0" w:type="dxa"/>
          </w:tblCellMar>
        </w:tblPrEx>
        <w:trPr>
          <w:trHeight w:val="461" w:hRule="atLeast"/>
          <w:jc w:val="center"/>
        </w:trPr>
        <w:tc>
          <w:tcPr>
            <w:tcW w:w="47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exact"/>
              <w:rPr>
                <w:rFonts w:hint="eastAsia" w:ascii="宋体" w:hAnsi="Arial"/>
                <w:color w:val="auto"/>
                <w:sz w:val="24"/>
              </w:rPr>
            </w:pPr>
            <w:r>
              <w:rPr>
                <w:rFonts w:hint="eastAsia" w:ascii="宋体" w:hAnsi="Arial"/>
                <w:color w:val="auto"/>
                <w:sz w:val="24"/>
              </w:rPr>
              <w:t>测试拍</w:t>
            </w:r>
          </w:p>
        </w:tc>
        <w:tc>
          <w:tcPr>
            <w:tcW w:w="2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exact"/>
              <w:rPr>
                <w:rFonts w:hint="eastAsia" w:ascii="宋体" w:hAnsi="Arial"/>
                <w:color w:val="auto"/>
                <w:sz w:val="24"/>
              </w:rPr>
            </w:pPr>
            <w:r>
              <w:rPr>
                <w:rFonts w:hint="eastAsia" w:ascii="宋体" w:hAnsi="Arial"/>
                <w:color w:val="auto"/>
                <w:sz w:val="24"/>
              </w:rPr>
              <w:t>4个</w:t>
            </w:r>
          </w:p>
        </w:tc>
      </w:tr>
      <w:tr>
        <w:tblPrEx>
          <w:tblCellMar>
            <w:top w:w="0" w:type="dxa"/>
            <w:left w:w="0" w:type="dxa"/>
            <w:bottom w:w="0" w:type="dxa"/>
            <w:right w:w="0" w:type="dxa"/>
          </w:tblCellMar>
        </w:tblPrEx>
        <w:trPr>
          <w:trHeight w:val="430" w:hRule="atLeast"/>
          <w:jc w:val="center"/>
        </w:trPr>
        <w:tc>
          <w:tcPr>
            <w:tcW w:w="47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exact"/>
              <w:rPr>
                <w:rFonts w:hint="eastAsia" w:ascii="宋体" w:hAnsi="Arial"/>
                <w:color w:val="auto"/>
                <w:sz w:val="24"/>
              </w:rPr>
            </w:pPr>
            <w:r>
              <w:rPr>
                <w:rFonts w:hint="eastAsia" w:ascii="宋体" w:hAnsi="Arial"/>
                <w:color w:val="auto"/>
                <w:sz w:val="24"/>
              </w:rPr>
              <w:t>说明书</w:t>
            </w:r>
          </w:p>
        </w:tc>
        <w:tc>
          <w:tcPr>
            <w:tcW w:w="2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exact"/>
              <w:rPr>
                <w:rFonts w:hint="eastAsia" w:ascii="宋体" w:hAnsi="Arial"/>
                <w:color w:val="auto"/>
                <w:sz w:val="24"/>
              </w:rPr>
            </w:pPr>
            <w:r>
              <w:rPr>
                <w:rFonts w:hint="eastAsia" w:ascii="宋体" w:hAnsi="Arial"/>
                <w:color w:val="auto"/>
                <w:sz w:val="24"/>
              </w:rPr>
              <w:t>1张</w:t>
            </w:r>
          </w:p>
        </w:tc>
      </w:tr>
      <w:tr>
        <w:tblPrEx>
          <w:tblCellMar>
            <w:top w:w="0" w:type="dxa"/>
            <w:left w:w="0" w:type="dxa"/>
            <w:bottom w:w="0" w:type="dxa"/>
            <w:right w:w="0" w:type="dxa"/>
          </w:tblCellMar>
        </w:tblPrEx>
        <w:trPr>
          <w:trHeight w:val="445" w:hRule="atLeast"/>
          <w:jc w:val="center"/>
        </w:trPr>
        <w:tc>
          <w:tcPr>
            <w:tcW w:w="47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exact"/>
              <w:rPr>
                <w:rFonts w:hint="eastAsia" w:ascii="宋体" w:hAnsi="Arial"/>
                <w:color w:val="auto"/>
                <w:sz w:val="24"/>
              </w:rPr>
            </w:pPr>
            <w:r>
              <w:rPr>
                <w:rFonts w:hint="eastAsia" w:ascii="宋体" w:hAnsi="Arial"/>
                <w:color w:val="auto"/>
                <w:sz w:val="24"/>
              </w:rPr>
              <w:t>黑色包</w:t>
            </w:r>
          </w:p>
        </w:tc>
        <w:tc>
          <w:tcPr>
            <w:tcW w:w="2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exact"/>
              <w:rPr>
                <w:rFonts w:hint="eastAsia" w:ascii="宋体" w:hAnsi="Arial"/>
                <w:color w:val="auto"/>
                <w:sz w:val="24"/>
              </w:rPr>
            </w:pPr>
            <w:r>
              <w:rPr>
                <w:rFonts w:hint="eastAsia" w:ascii="宋体" w:hAnsi="Arial"/>
                <w:color w:val="auto"/>
                <w:sz w:val="24"/>
              </w:rPr>
              <w:t>1个</w:t>
            </w:r>
          </w:p>
        </w:tc>
      </w:tr>
    </w:tbl>
    <w:p>
      <w:pPr>
        <w:pStyle w:val="24"/>
        <w:keepNext w:val="0"/>
        <w:keepLines w:val="0"/>
        <w:pageBreakBefore w:val="0"/>
        <w:widowControl w:val="0"/>
        <w:kinsoku/>
        <w:wordWrap/>
        <w:overflowPunct/>
        <w:topLinePunct w:val="0"/>
        <w:autoSpaceDE/>
        <w:autoSpaceDN/>
        <w:bidi w:val="0"/>
        <w:adjustRightInd/>
        <w:snapToGrid/>
        <w:spacing w:line="360" w:lineRule="auto"/>
        <w:jc w:val="left"/>
        <w:textAlignment w:val="auto"/>
        <w:rPr>
          <w:b/>
          <w:bCs/>
          <w:sz w:val="28"/>
          <w:szCs w:val="28"/>
        </w:rPr>
      </w:pPr>
      <w:r>
        <w:rPr>
          <w:rFonts w:hint="eastAsia"/>
          <w:b/>
          <w:bCs/>
          <w:color w:val="auto"/>
          <w:sz w:val="28"/>
          <w:szCs w:val="28"/>
        </w:rPr>
        <w:t>五、</w:t>
      </w:r>
      <w:r>
        <w:rPr>
          <w:b/>
          <w:bCs/>
          <w:color w:val="auto"/>
          <w:sz w:val="28"/>
          <w:szCs w:val="28"/>
        </w:rPr>
        <w:t>特定电磁波治疗器</w:t>
      </w:r>
      <w:r>
        <w:rPr>
          <w:rFonts w:hint="eastAsia"/>
          <w:b/>
          <w:bCs/>
          <w:color w:val="auto"/>
          <w:sz w:val="28"/>
          <w:szCs w:val="28"/>
        </w:rPr>
        <w:t>（采购数量：4台）</w:t>
      </w:r>
      <w:r>
        <w:rPr>
          <w:rFonts w:hint="eastAsia"/>
          <w:b/>
          <w:bCs/>
          <w:color w:val="auto"/>
          <w:sz w:val="28"/>
          <w:szCs w:val="28"/>
        </w:rPr>
        <w:br w:type="textWrapping"/>
      </w:r>
      <w:r>
        <w:rPr>
          <w:rFonts w:hint="eastAsia" w:ascii="宋体" w:hAnsi="Arial"/>
          <w:color w:val="auto"/>
          <w:sz w:val="24"/>
          <w:szCs w:val="24"/>
        </w:rPr>
        <w:t>落地式</w:t>
      </w:r>
      <w:r>
        <w:rPr>
          <w:rFonts w:hint="eastAsia" w:ascii="宋体" w:hAnsi="Arial"/>
          <w:color w:val="auto"/>
          <w:sz w:val="24"/>
          <w:szCs w:val="24"/>
        </w:rPr>
        <w:br w:type="textWrapping"/>
      </w:r>
      <w:r>
        <w:rPr>
          <w:rFonts w:hint="eastAsia" w:ascii="宋体" w:hAnsi="Arial"/>
          <w:color w:val="auto"/>
          <w:sz w:val="24"/>
          <w:szCs w:val="24"/>
        </w:rPr>
        <w:t>【技术参数】</w:t>
      </w:r>
      <w:r>
        <w:rPr>
          <w:rFonts w:hint="eastAsia" w:ascii="宋体" w:hAnsi="Arial"/>
          <w:color w:val="auto"/>
          <w:sz w:val="24"/>
          <w:szCs w:val="24"/>
        </w:rPr>
        <w:br w:type="textWrapping"/>
      </w:r>
      <w:r>
        <w:rPr>
          <w:rFonts w:hint="eastAsia" w:ascii="宋体" w:hAnsi="Arial"/>
          <w:color w:val="auto"/>
          <w:sz w:val="24"/>
          <w:szCs w:val="24"/>
        </w:rPr>
        <w:t>电源输入：AC 220V 50Hz</w:t>
      </w:r>
      <w:r>
        <w:rPr>
          <w:rFonts w:hint="eastAsia" w:ascii="宋体" w:hAnsi="Arial"/>
          <w:color w:val="auto"/>
          <w:sz w:val="24"/>
          <w:szCs w:val="24"/>
        </w:rPr>
        <w:br w:type="textWrapping"/>
      </w:r>
      <w:r>
        <w:rPr>
          <w:rFonts w:hint="eastAsia" w:ascii="宋体" w:hAnsi="Arial"/>
          <w:color w:val="auto"/>
          <w:sz w:val="24"/>
          <w:szCs w:val="24"/>
        </w:rPr>
        <w:t>功 率：（约）250W</w:t>
      </w:r>
      <w:r>
        <w:rPr>
          <w:rFonts w:hint="eastAsia" w:ascii="宋体" w:hAnsi="Arial"/>
          <w:color w:val="auto"/>
          <w:sz w:val="24"/>
          <w:szCs w:val="24"/>
        </w:rPr>
        <w:br w:type="textWrapping"/>
      </w:r>
      <w:r>
        <w:rPr>
          <w:rFonts w:hint="eastAsia" w:ascii="宋体" w:hAnsi="Arial"/>
          <w:color w:val="auto"/>
          <w:sz w:val="24"/>
          <w:szCs w:val="24"/>
        </w:rPr>
        <w:t>波普范围：2-25微米</w:t>
      </w:r>
      <w:r>
        <w:rPr>
          <w:rFonts w:hint="eastAsia" w:ascii="宋体" w:hAnsi="Arial"/>
          <w:color w:val="auto"/>
          <w:sz w:val="24"/>
          <w:szCs w:val="24"/>
        </w:rPr>
        <w:br w:type="textWrapping"/>
      </w:r>
      <w:r>
        <w:rPr>
          <w:rFonts w:hint="eastAsia" w:ascii="宋体" w:hAnsi="Arial"/>
          <w:color w:val="auto"/>
          <w:sz w:val="24"/>
          <w:szCs w:val="24"/>
        </w:rPr>
        <w:t>机械定时范围：0-60分钟</w:t>
      </w:r>
      <w:r>
        <w:rPr>
          <w:rFonts w:hint="eastAsia" w:ascii="宋体" w:hAnsi="Arial"/>
          <w:color w:val="auto"/>
          <w:sz w:val="24"/>
          <w:szCs w:val="24"/>
        </w:rPr>
        <w:br w:type="textWrapping"/>
      </w:r>
      <w:r>
        <w:rPr>
          <w:rFonts w:hint="eastAsia" w:ascii="宋体" w:hAnsi="Arial"/>
          <w:color w:val="auto"/>
          <w:sz w:val="24"/>
          <w:szCs w:val="24"/>
        </w:rPr>
        <w:t>治疗板有效使用期限：(</w:t>
      </w:r>
      <w:r>
        <w:rPr>
          <w:rFonts w:ascii="宋体" w:hAnsi="Arial"/>
          <w:color w:val="auto"/>
          <w:sz w:val="24"/>
          <w:szCs w:val="24"/>
        </w:rPr>
        <w:t>≥</w:t>
      </w:r>
      <w:r>
        <w:rPr>
          <w:rFonts w:hint="eastAsia" w:ascii="宋体" w:hAnsi="Arial"/>
          <w:color w:val="auto"/>
          <w:sz w:val="24"/>
          <w:szCs w:val="24"/>
        </w:rPr>
        <w:t>)1000小时（到期可更换治疗板）</w:t>
      </w:r>
      <w:r>
        <w:rPr>
          <w:rFonts w:hint="eastAsia" w:ascii="宋体" w:hAnsi="Arial"/>
          <w:color w:val="auto"/>
          <w:sz w:val="24"/>
          <w:szCs w:val="24"/>
        </w:rPr>
        <w:br w:type="textWrapping"/>
      </w:r>
      <w:r>
        <w:rPr>
          <w:rFonts w:hint="eastAsia" w:ascii="宋体" w:hAnsi="Arial"/>
          <w:color w:val="auto"/>
          <w:sz w:val="24"/>
          <w:szCs w:val="24"/>
        </w:rPr>
        <w:t>1、治疗板与加热器之间使用的是8mm厚的陶瓷绝缘板：确保符合电器安全标准，提高加热器的使用寿命。</w:t>
      </w:r>
      <w:r>
        <w:rPr>
          <w:rFonts w:hint="eastAsia" w:ascii="宋体" w:hAnsi="Arial"/>
          <w:color w:val="auto"/>
          <w:sz w:val="24"/>
          <w:szCs w:val="24"/>
        </w:rPr>
        <w:br w:type="textWrapping"/>
      </w:r>
      <w:r>
        <w:rPr>
          <w:rFonts w:hint="eastAsia" w:ascii="宋体" w:hAnsi="Arial"/>
          <w:color w:val="auto"/>
          <w:sz w:val="24"/>
          <w:szCs w:val="24"/>
        </w:rPr>
        <w:t>2、电源线穿过方管处设有全方位的过线保护套：防止了电线被割断的危险，提高了使用的安全性。</w:t>
      </w:r>
      <w:r>
        <w:rPr>
          <w:rFonts w:hint="eastAsia" w:ascii="宋体" w:hAnsi="Arial"/>
          <w:color w:val="auto"/>
          <w:sz w:val="24"/>
          <w:szCs w:val="24"/>
        </w:rPr>
        <w:br w:type="textWrapping"/>
      </w:r>
      <w:r>
        <w:rPr>
          <w:rFonts w:hint="eastAsia" w:ascii="宋体" w:hAnsi="Arial"/>
          <w:color w:val="auto"/>
          <w:sz w:val="24"/>
          <w:szCs w:val="24"/>
        </w:rPr>
        <w:t>3、电源盒上设置了电源开关：提高了使用的安全性符合安全标准。</w:t>
      </w:r>
      <w:r>
        <w:rPr>
          <w:rFonts w:hint="eastAsia" w:ascii="宋体" w:hAnsi="Arial"/>
          <w:color w:val="auto"/>
          <w:sz w:val="24"/>
          <w:szCs w:val="24"/>
        </w:rPr>
        <w:br w:type="textWrapping"/>
      </w:r>
      <w:r>
        <w:rPr>
          <w:rFonts w:hint="eastAsia" w:ascii="宋体" w:hAnsi="Arial"/>
          <w:color w:val="auto"/>
          <w:sz w:val="24"/>
          <w:szCs w:val="24"/>
        </w:rPr>
        <w:t>4、设置了防倾倒开关：设有防倾倒开关，当治疗器倾倒时电源自动断电，当治疗器立起来时电源恢复通电。符合电的安全标准，提高了使用的安全性。</w:t>
      </w:r>
      <w:r>
        <w:rPr>
          <w:rFonts w:hint="eastAsia" w:ascii="微软雅黑" w:hAnsi="微软雅黑" w:eastAsia="微软雅黑" w:cs="微软雅黑"/>
          <w:color w:val="auto"/>
          <w:sz w:val="24"/>
          <w:szCs w:val="24"/>
        </w:rPr>
        <w:br w:type="textWrapping"/>
      </w:r>
      <w:r>
        <w:rPr>
          <w:rFonts w:hint="eastAsia" w:ascii="宋体" w:hAnsi="Arial"/>
          <w:color w:val="auto"/>
          <w:sz w:val="24"/>
          <w:szCs w:val="24"/>
        </w:rPr>
        <w:t>【产品适用范围】</w:t>
      </w:r>
      <w:r>
        <w:rPr>
          <w:rFonts w:hint="eastAsia" w:ascii="宋体" w:hAnsi="Arial"/>
          <w:color w:val="auto"/>
          <w:sz w:val="24"/>
          <w:szCs w:val="24"/>
        </w:rPr>
        <w:br w:type="textWrapping"/>
      </w:r>
      <w:r>
        <w:rPr>
          <w:rFonts w:hint="eastAsia" w:ascii="宋体" w:hAnsi="Arial"/>
          <w:color w:val="auto"/>
          <w:sz w:val="24"/>
          <w:szCs w:val="24"/>
        </w:rPr>
        <w:t>适用于对软组织损伤、腰肌劳损、坐骨神经痛、肩周炎、风湿性关节炎、小儿腹泻等疾病的辅助治疗。</w:t>
      </w:r>
      <w:r>
        <w:rPr>
          <w:rFonts w:hint="eastAsia" w:ascii="宋体" w:hAnsi="Arial"/>
          <w:color w:val="auto"/>
          <w:sz w:val="24"/>
          <w:szCs w:val="24"/>
        </w:rPr>
        <w:br w:type="textWrapping"/>
      </w:r>
      <w:r>
        <w:rPr>
          <w:rFonts w:hint="eastAsia"/>
          <w:b/>
          <w:bCs/>
          <w:sz w:val="28"/>
          <w:szCs w:val="28"/>
        </w:rPr>
        <w:t>二、售后服务要求：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1、质保期：</w:t>
      </w:r>
      <w:r>
        <w:rPr>
          <w:rFonts w:hint="eastAsia" w:ascii="宋体" w:hAnsi="宋体" w:eastAsia="宋体" w:cs="宋体"/>
          <w:sz w:val="24"/>
          <w:szCs w:val="24"/>
          <w:highlight w:val="yellow"/>
          <w:lang w:eastAsia="zh-CN"/>
        </w:rPr>
        <w:t>壹</w:t>
      </w:r>
      <w:r>
        <w:rPr>
          <w:rFonts w:hint="eastAsia" w:ascii="宋体" w:hAnsi="宋体" w:eastAsia="宋体" w:cs="宋体"/>
          <w:sz w:val="24"/>
          <w:szCs w:val="24"/>
          <w:highlight w:val="yellow"/>
        </w:rPr>
        <w:t>年（验收合格后至采购方正常使用算起，质保期内不得收取任何费用）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2、质保期内和质保期后，如设备出现故障，成交单必须1小时内响应，2小时内到达现场提供技术服务，质保期内人工、材料全部免费，质保期后只收取材料成本费，免人工费，主要零配件送达时间不超过2天，每超一天按日设备的零配件费双倍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3、产品到场安装调试工作人员，对买方单位使用人员进行无偿操作培训，并给予相应的技术指导，保证正常使用。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4、需有设备产品的临时代用品（不得因为产品故障影响正常工作使用）。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5、提供一套完整的售后服务方案及应急预案。</w:t>
      </w:r>
    </w:p>
    <w:p>
      <w:pPr>
        <w:pStyle w:val="3"/>
        <w:keepLines/>
        <w:rPr>
          <w:rFonts w:ascii="宋体" w:hAnsi="宋体" w:eastAsia="宋体" w:cs="宋体"/>
          <w:b/>
          <w:bCs/>
          <w:sz w:val="32"/>
          <w:szCs w:val="32"/>
        </w:rPr>
      </w:pPr>
      <w:bookmarkStart w:id="80" w:name="_Toc17819"/>
      <w:bookmarkStart w:id="81" w:name="_Toc21979"/>
      <w:r>
        <w:rPr>
          <w:rFonts w:hint="eastAsia" w:ascii="宋体" w:hAnsi="宋体" w:eastAsia="宋体" w:cs="宋体"/>
          <w:b/>
          <w:bCs/>
          <w:sz w:val="32"/>
          <w:szCs w:val="32"/>
        </w:rPr>
        <w:t>第四章  采购合同格式</w:t>
      </w:r>
      <w:bookmarkEnd w:id="77"/>
      <w:bookmarkEnd w:id="78"/>
      <w:bookmarkEnd w:id="79"/>
      <w:bookmarkEnd w:id="80"/>
      <w:bookmarkEnd w:id="81"/>
    </w:p>
    <w:p>
      <w:pPr>
        <w:pStyle w:val="120"/>
        <w:keepNext/>
        <w:keepLines/>
        <w:ind w:firstLine="560" w:firstLineChars="200"/>
        <w:rPr>
          <w:rFonts w:ascii="宋体" w:hAnsi="宋体" w:cs="宋体"/>
          <w:color w:val="auto"/>
          <w:sz w:val="28"/>
        </w:rPr>
      </w:pPr>
    </w:p>
    <w:p>
      <w:pPr>
        <w:pStyle w:val="120"/>
        <w:keepNext/>
        <w:keepLines/>
        <w:ind w:firstLine="560" w:firstLineChars="200"/>
        <w:rPr>
          <w:rFonts w:ascii="宋体" w:hAnsi="宋体" w:cs="宋体"/>
          <w:color w:val="auto"/>
          <w:sz w:val="28"/>
        </w:rPr>
      </w:pPr>
    </w:p>
    <w:p>
      <w:pPr>
        <w:pStyle w:val="120"/>
        <w:keepNext/>
        <w:keepLines/>
        <w:ind w:firstLine="560" w:firstLineChars="200"/>
        <w:rPr>
          <w:rFonts w:ascii="宋体" w:hAnsi="宋体" w:cs="宋体"/>
          <w:color w:val="auto"/>
          <w:sz w:val="28"/>
        </w:rPr>
      </w:pPr>
    </w:p>
    <w:p>
      <w:pPr>
        <w:keepNext/>
        <w:keepLines/>
        <w:spacing w:line="360" w:lineRule="auto"/>
        <w:jc w:val="center"/>
        <w:rPr>
          <w:rFonts w:ascii="宋体" w:hAnsi="宋体" w:cs="宋体"/>
          <w:b/>
          <w:bCs/>
          <w:sz w:val="44"/>
          <w:szCs w:val="40"/>
        </w:rPr>
      </w:pPr>
      <w:bookmarkStart w:id="82" w:name="_Toc18011"/>
      <w:bookmarkStart w:id="83" w:name="_Toc7464"/>
      <w:r>
        <w:rPr>
          <w:rFonts w:hint="eastAsia" w:ascii="宋体" w:hAnsi="宋体" w:cs="宋体"/>
          <w:b/>
          <w:bCs/>
          <w:sz w:val="44"/>
          <w:szCs w:val="40"/>
        </w:rPr>
        <w:t>采购合同</w:t>
      </w:r>
      <w:bookmarkEnd w:id="82"/>
      <w:bookmarkEnd w:id="83"/>
    </w:p>
    <w:p>
      <w:pPr>
        <w:keepNext/>
        <w:keepLines/>
        <w:spacing w:line="360" w:lineRule="auto"/>
        <w:jc w:val="center"/>
        <w:rPr>
          <w:rFonts w:ascii="宋体" w:hAnsi="宋体" w:cs="宋体"/>
          <w:b/>
          <w:sz w:val="72"/>
        </w:rPr>
      </w:pPr>
    </w:p>
    <w:p>
      <w:pPr>
        <w:keepNext/>
        <w:keepLines/>
        <w:spacing w:line="360" w:lineRule="auto"/>
        <w:jc w:val="center"/>
        <w:rPr>
          <w:rFonts w:ascii="宋体" w:hAnsi="宋体" w:cs="宋体"/>
          <w:b/>
          <w:sz w:val="72"/>
        </w:rPr>
      </w:pPr>
    </w:p>
    <w:p>
      <w:pPr>
        <w:keepNext/>
        <w:keepLines/>
        <w:spacing w:line="360" w:lineRule="auto"/>
        <w:jc w:val="center"/>
        <w:rPr>
          <w:rFonts w:ascii="宋体" w:hAnsi="宋体" w:cs="宋体"/>
          <w:b/>
          <w:sz w:val="30"/>
        </w:rPr>
      </w:pPr>
    </w:p>
    <w:p>
      <w:pPr>
        <w:keepNext/>
        <w:keepLines/>
        <w:spacing w:line="360" w:lineRule="auto"/>
        <w:jc w:val="center"/>
        <w:rPr>
          <w:rFonts w:ascii="宋体" w:hAnsi="宋体" w:cs="宋体"/>
          <w:b/>
          <w:sz w:val="36"/>
        </w:rPr>
      </w:pPr>
    </w:p>
    <w:p>
      <w:pPr>
        <w:keepNext/>
        <w:keepLines/>
        <w:spacing w:line="360" w:lineRule="auto"/>
        <w:ind w:firstLine="1807" w:firstLineChars="500"/>
        <w:rPr>
          <w:rFonts w:ascii="宋体" w:hAnsi="宋体" w:cs="宋体"/>
          <w:b/>
          <w:sz w:val="36"/>
          <w:szCs w:val="22"/>
        </w:rPr>
      </w:pPr>
      <w:bookmarkStart w:id="84" w:name="_Toc15667"/>
      <w:bookmarkStart w:id="85" w:name="_Toc654"/>
      <w:r>
        <w:rPr>
          <w:rFonts w:hint="eastAsia" w:ascii="宋体" w:hAnsi="宋体" w:cs="宋体"/>
          <w:b/>
          <w:sz w:val="36"/>
          <w:szCs w:val="22"/>
        </w:rPr>
        <w:t>项目名称:</w:t>
      </w:r>
      <w:bookmarkEnd w:id="84"/>
      <w:bookmarkEnd w:id="85"/>
    </w:p>
    <w:p>
      <w:pPr>
        <w:keepNext/>
        <w:keepLines/>
        <w:spacing w:line="360" w:lineRule="auto"/>
        <w:ind w:firstLine="1807" w:firstLineChars="500"/>
        <w:rPr>
          <w:rFonts w:ascii="宋体" w:hAnsi="宋体" w:cs="宋体"/>
          <w:b/>
          <w:sz w:val="36"/>
          <w:szCs w:val="22"/>
        </w:rPr>
      </w:pPr>
      <w:bookmarkStart w:id="86" w:name="_Toc26783"/>
      <w:bookmarkStart w:id="87" w:name="_Toc22380"/>
      <w:r>
        <w:rPr>
          <w:rFonts w:hint="eastAsia" w:ascii="宋体" w:hAnsi="宋体" w:cs="宋体"/>
          <w:b/>
          <w:sz w:val="36"/>
          <w:szCs w:val="22"/>
        </w:rPr>
        <w:t>合同编号:</w:t>
      </w:r>
      <w:bookmarkEnd w:id="86"/>
      <w:bookmarkEnd w:id="87"/>
    </w:p>
    <w:p>
      <w:pPr>
        <w:keepNext/>
        <w:keepLines/>
        <w:spacing w:line="360" w:lineRule="auto"/>
        <w:jc w:val="center"/>
        <w:rPr>
          <w:rFonts w:ascii="宋体" w:hAnsi="宋体" w:cs="宋体"/>
          <w:b/>
          <w:sz w:val="36"/>
        </w:rPr>
      </w:pPr>
    </w:p>
    <w:p>
      <w:pPr>
        <w:keepNext/>
        <w:keepLines/>
        <w:spacing w:line="360" w:lineRule="auto"/>
        <w:jc w:val="center"/>
        <w:rPr>
          <w:rFonts w:ascii="宋体" w:hAnsi="宋体" w:cs="宋体"/>
          <w:b/>
          <w:sz w:val="36"/>
        </w:rPr>
      </w:pPr>
    </w:p>
    <w:p>
      <w:pPr>
        <w:keepNext/>
        <w:keepLines/>
        <w:spacing w:line="360" w:lineRule="auto"/>
        <w:rPr>
          <w:rFonts w:ascii="宋体" w:hAnsi="宋体" w:cs="宋体"/>
          <w:b/>
          <w:sz w:val="36"/>
        </w:rPr>
      </w:pPr>
    </w:p>
    <w:p>
      <w:pPr>
        <w:keepNext/>
        <w:keepLines/>
        <w:spacing w:line="360" w:lineRule="auto"/>
        <w:ind w:firstLine="1807" w:firstLineChars="500"/>
        <w:rPr>
          <w:rFonts w:ascii="宋体" w:hAnsi="宋体" w:cs="宋体"/>
          <w:b/>
          <w:sz w:val="36"/>
        </w:rPr>
      </w:pPr>
      <w:r>
        <w:rPr>
          <w:rFonts w:hint="eastAsia" w:ascii="宋体" w:hAnsi="宋体" w:cs="宋体"/>
          <w:b/>
          <w:sz w:val="36"/>
        </w:rPr>
        <w:t>甲    方:</w:t>
      </w:r>
      <w:r>
        <w:rPr>
          <w:rFonts w:hint="eastAsia" w:ascii="宋体" w:hAnsi="宋体" w:cs="宋体"/>
          <w:b/>
          <w:sz w:val="36"/>
          <w:u w:val="single"/>
        </w:rPr>
        <w:t xml:space="preserve">                    </w:t>
      </w:r>
    </w:p>
    <w:p>
      <w:pPr>
        <w:keepNext/>
        <w:keepLines/>
        <w:spacing w:line="360" w:lineRule="auto"/>
        <w:ind w:firstLine="1807" w:firstLineChars="500"/>
        <w:rPr>
          <w:rFonts w:ascii="宋体" w:hAnsi="宋体" w:cs="宋体"/>
          <w:b/>
          <w:sz w:val="36"/>
          <w:u w:val="single"/>
        </w:rPr>
      </w:pPr>
      <w:r>
        <w:rPr>
          <w:rFonts w:hint="eastAsia" w:ascii="宋体" w:hAnsi="宋体" w:cs="宋体"/>
          <w:b/>
          <w:sz w:val="36"/>
        </w:rPr>
        <w:t>乙    方:</w:t>
      </w:r>
      <w:r>
        <w:rPr>
          <w:rFonts w:hint="eastAsia" w:ascii="宋体" w:hAnsi="宋体" w:cs="宋体"/>
          <w:b/>
          <w:sz w:val="36"/>
          <w:u w:val="single"/>
        </w:rPr>
        <w:t xml:space="preserve">                    </w:t>
      </w:r>
    </w:p>
    <w:p>
      <w:pPr>
        <w:pStyle w:val="15"/>
        <w:keepNext/>
        <w:keepLines/>
      </w:pPr>
    </w:p>
    <w:p>
      <w:pPr>
        <w:pStyle w:val="15"/>
        <w:spacing w:before="0"/>
        <w:rPr>
          <w:rFonts w:ascii="宋体" w:hAnsi="宋体" w:cs="宋体"/>
        </w:rPr>
      </w:pPr>
    </w:p>
    <w:p>
      <w:pPr>
        <w:pStyle w:val="3"/>
        <w:keepLines/>
        <w:rPr>
          <w:rFonts w:ascii="宋体" w:hAnsi="宋体" w:eastAsia="宋体" w:cs="宋体"/>
          <w:b/>
          <w:bCs/>
          <w:sz w:val="32"/>
          <w:szCs w:val="32"/>
        </w:rPr>
      </w:pPr>
      <w:bookmarkStart w:id="88" w:name="_Toc1618"/>
      <w:bookmarkStart w:id="89" w:name="_Toc17657"/>
      <w:bookmarkStart w:id="90" w:name="_Toc25849"/>
      <w:bookmarkStart w:id="91" w:name="_Toc29475"/>
      <w:bookmarkStart w:id="92" w:name="_Toc13182"/>
      <w:r>
        <w:rPr>
          <w:rFonts w:hint="eastAsia" w:ascii="宋体" w:hAnsi="宋体" w:eastAsia="宋体" w:cs="宋体"/>
          <w:b/>
          <w:bCs/>
          <w:sz w:val="32"/>
          <w:szCs w:val="32"/>
        </w:rPr>
        <w:t>第五章 合同条款</w:t>
      </w:r>
      <w:bookmarkEnd w:id="88"/>
      <w:bookmarkEnd w:id="89"/>
    </w:p>
    <w:p>
      <w:pPr>
        <w:pStyle w:val="120"/>
        <w:keepNext/>
        <w:keepLines/>
        <w:spacing w:line="360" w:lineRule="auto"/>
        <w:ind w:firstLine="480" w:firstLineChars="200"/>
        <w:jc w:val="both"/>
        <w:rPr>
          <w:rFonts w:ascii="宋体" w:hAnsi="宋体" w:cs="宋体"/>
          <w:color w:val="auto"/>
          <w:sz w:val="24"/>
        </w:rPr>
      </w:pPr>
      <w:r>
        <w:rPr>
          <w:rFonts w:hint="eastAsia" w:ascii="宋体" w:hAnsi="宋体" w:cs="宋体"/>
          <w:color w:val="auto"/>
          <w:sz w:val="24"/>
        </w:rPr>
        <w:t>项目名称：</w:t>
      </w:r>
    </w:p>
    <w:p>
      <w:pPr>
        <w:pStyle w:val="120"/>
        <w:keepNext/>
        <w:keepLines/>
        <w:spacing w:line="360" w:lineRule="auto"/>
        <w:ind w:firstLine="480" w:firstLineChars="200"/>
        <w:jc w:val="both"/>
        <w:rPr>
          <w:rFonts w:ascii="宋体" w:hAnsi="宋体" w:cs="宋体"/>
          <w:color w:val="auto"/>
          <w:sz w:val="24"/>
        </w:rPr>
      </w:pPr>
      <w:r>
        <w:rPr>
          <w:rFonts w:hint="eastAsia" w:ascii="宋体" w:hAnsi="宋体" w:cs="宋体"/>
          <w:color w:val="auto"/>
          <w:sz w:val="24"/>
        </w:rPr>
        <w:t>项目编号：</w:t>
      </w:r>
    </w:p>
    <w:p>
      <w:pPr>
        <w:pStyle w:val="120"/>
        <w:keepNext/>
        <w:keepLines/>
        <w:spacing w:line="360" w:lineRule="auto"/>
        <w:ind w:firstLine="480" w:firstLineChars="200"/>
        <w:jc w:val="both"/>
        <w:rPr>
          <w:rFonts w:ascii="宋体" w:hAnsi="宋体" w:cs="宋体"/>
          <w:color w:val="auto"/>
          <w:sz w:val="24"/>
        </w:rPr>
      </w:pPr>
      <w:r>
        <w:rPr>
          <w:rFonts w:hint="eastAsia" w:ascii="宋体" w:hAnsi="宋体" w:cs="宋体"/>
          <w:color w:val="auto"/>
          <w:sz w:val="24"/>
        </w:rPr>
        <w:t xml:space="preserve">甲方：              </w:t>
      </w:r>
    </w:p>
    <w:p>
      <w:pPr>
        <w:pStyle w:val="120"/>
        <w:keepNext/>
        <w:keepLines/>
        <w:spacing w:line="360" w:lineRule="auto"/>
        <w:ind w:firstLine="480" w:firstLineChars="200"/>
        <w:jc w:val="both"/>
        <w:rPr>
          <w:rFonts w:ascii="宋体" w:hAnsi="宋体" w:cs="宋体"/>
          <w:color w:val="auto"/>
          <w:sz w:val="24"/>
        </w:rPr>
      </w:pPr>
      <w:r>
        <w:rPr>
          <w:rFonts w:hint="eastAsia" w:ascii="宋体" w:hAnsi="宋体" w:cs="宋体"/>
          <w:color w:val="auto"/>
          <w:sz w:val="24"/>
        </w:rPr>
        <w:t xml:space="preserve">乙方：    </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1.定义</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本合同中和附件中所用的下列术语应解释为：</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1.1“买方”系指买货物的单位。</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1.2“卖方”系指提供合同货物的经济实体。</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1.3“合同”系指买方、卖方双方签署的、合同格式中载明的供需双方所达成的协议，包括所有附件、附表和组成合同的所有文件。</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1.4“合同价格”系指根据合同规定，在卖方全面正确的履行合同义务时买方应支付给卖方的货币额。</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1.5“合同专用设备”系指卖方根据采购文件规定须向买方提供的一切配套设备、仪表、备品备件、专用工具、手册、“三证”和技术资料及其他材料。</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1.6“服务”系指根据合同所含采购文件中技术规范要求的规定卖方承担与供货有关的辅助服务，如运输、保险以及其他的服务，如安装、调试、技术协助、培训以及其它类似的义务。</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1.7“现场”系指买方单位项目建设地点。</w:t>
      </w:r>
    </w:p>
    <w:p>
      <w:pPr>
        <w:pStyle w:val="120"/>
        <w:tabs>
          <w:tab w:val="left" w:pos="1440"/>
        </w:tabs>
        <w:spacing w:line="360" w:lineRule="auto"/>
        <w:ind w:firstLine="480" w:firstLineChars="200"/>
        <w:jc w:val="both"/>
        <w:rPr>
          <w:rFonts w:ascii="宋体" w:hAnsi="宋体" w:cs="宋体"/>
          <w:color w:val="auto"/>
          <w:sz w:val="24"/>
        </w:rPr>
      </w:pPr>
      <w:r>
        <w:rPr>
          <w:rFonts w:hint="eastAsia" w:ascii="宋体" w:hAnsi="宋体" w:cs="宋体"/>
          <w:color w:val="auto"/>
          <w:sz w:val="24"/>
        </w:rPr>
        <w:t>1.8“备品备件”系指根据合同提供的合同专用设备的备用部件，包括随机备品备件和足够保修期限内运行使用的备品备件。</w:t>
      </w:r>
    </w:p>
    <w:p>
      <w:pPr>
        <w:pStyle w:val="120"/>
        <w:numPr>
          <w:ilvl w:val="0"/>
          <w:numId w:val="5"/>
        </w:numPr>
        <w:spacing w:line="360" w:lineRule="auto"/>
        <w:ind w:firstLine="480" w:firstLineChars="200"/>
        <w:jc w:val="both"/>
        <w:rPr>
          <w:rFonts w:ascii="宋体" w:hAnsi="宋体" w:cs="宋体"/>
          <w:color w:val="auto"/>
          <w:sz w:val="24"/>
        </w:rPr>
      </w:pPr>
      <w:r>
        <w:rPr>
          <w:rFonts w:hint="eastAsia" w:ascii="宋体" w:hAnsi="宋体" w:cs="宋体"/>
          <w:color w:val="auto"/>
          <w:sz w:val="24"/>
        </w:rPr>
        <w:t>合同标的(详见技术规格及要求)【采购文件】第三章“采购需求”所有内容。</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卖方【响应文件】所列内容、卖方提供的售后服务方案、应急方案及售后服务承诺。</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3. 供货范围</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3.1 合同的保修内容及期限详见【采购文件】磋商供应商须知前附表 第3项 【采购文件】第三章“采购需求”要求所有内容。</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卖方【响应文件】所列内容、卖方提供的售后服务方案、应急方案及售后服务承诺。</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3.2 合同供货范围包括了所有专用设备、技术资料、专用工具、备品备件，但在执行合同过程中如发现有任何漏项和短缺，在发货清单中并未列入而且确实是卖方供货范围中应该有的，并且是满足第二章相关条款对合同专用设备的性能保证要求所必须的，均应由卖方负责将所缺的专用设备、技术资料、专用工具、备品备件等补上，且不发生费用问题。</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4. 合同价格</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4.1 合同价格即</w:t>
      </w:r>
      <w:r>
        <w:rPr>
          <w:rFonts w:hint="eastAsia" w:ascii="宋体" w:hAnsi="宋体" w:cs="宋体"/>
          <w:color w:val="auto"/>
          <w:sz w:val="24"/>
          <w:u w:val="single"/>
        </w:rPr>
        <w:t>合同总价（   ）万元（大写:        元）</w:t>
      </w:r>
      <w:r>
        <w:rPr>
          <w:rFonts w:hint="eastAsia" w:ascii="宋体" w:hAnsi="宋体" w:cs="宋体"/>
          <w:color w:val="auto"/>
          <w:sz w:val="24"/>
        </w:rPr>
        <w:t>。</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本合同采用的合同价格方式为固定合同总价，包括但不限于设备、设计、配套设备（含备品备件、专用工具）、技术资料、服务、安装、调试等费用，还包括合同专用设备的税费、运杂费、仓储、保管费、保险费等与合同有关的所有费用。</w:t>
      </w:r>
    </w:p>
    <w:p>
      <w:pPr>
        <w:pStyle w:val="26"/>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4.1.1 合同专用设备</w:t>
      </w:r>
      <w:r>
        <w:rPr>
          <w:rFonts w:hint="eastAsia" w:ascii="宋体" w:hAnsi="宋体" w:cs="宋体"/>
          <w:color w:val="auto"/>
          <w:sz w:val="24"/>
          <w:szCs w:val="24"/>
          <w:u w:val="single"/>
        </w:rPr>
        <w:t>价格为（     ）万元</w:t>
      </w:r>
      <w:r>
        <w:rPr>
          <w:rFonts w:hint="eastAsia" w:ascii="宋体" w:hAnsi="宋体" w:cs="宋体"/>
          <w:color w:val="auto"/>
          <w:sz w:val="24"/>
          <w:szCs w:val="24"/>
        </w:rPr>
        <w:t>。</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4.1.2 合同专用设备的</w:t>
      </w:r>
      <w:r>
        <w:rPr>
          <w:rFonts w:hint="eastAsia" w:ascii="宋体" w:hAnsi="宋体" w:cs="宋体"/>
          <w:color w:val="auto"/>
          <w:sz w:val="24"/>
          <w:u w:val="single"/>
        </w:rPr>
        <w:t>运杂费为（     ）万元</w:t>
      </w:r>
      <w:r>
        <w:rPr>
          <w:rFonts w:hint="eastAsia" w:ascii="宋体" w:hAnsi="宋体" w:cs="宋体"/>
          <w:color w:val="auto"/>
          <w:sz w:val="24"/>
        </w:rPr>
        <w:t>。</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4.1.3 合同专用设备的</w:t>
      </w:r>
      <w:r>
        <w:rPr>
          <w:rFonts w:hint="eastAsia" w:ascii="宋体" w:hAnsi="宋体" w:cs="宋体"/>
          <w:color w:val="auto"/>
          <w:sz w:val="24"/>
          <w:u w:val="single"/>
        </w:rPr>
        <w:t>安装、调试费为（         ）万元</w:t>
      </w:r>
      <w:r>
        <w:rPr>
          <w:rFonts w:hint="eastAsia" w:ascii="宋体" w:hAnsi="宋体" w:cs="宋体"/>
          <w:color w:val="auto"/>
          <w:sz w:val="24"/>
        </w:rPr>
        <w:t>。</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4.2 合同价格在合同执行期内不得变动。</w:t>
      </w:r>
    </w:p>
    <w:p>
      <w:pPr>
        <w:pStyle w:val="91"/>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u w:val="single"/>
        </w:rPr>
        <w:t>5. 质保期限：合同签订后</w:t>
      </w:r>
      <w:r>
        <w:rPr>
          <w:rFonts w:hint="eastAsia" w:ascii="宋体" w:hAnsi="宋体" w:cs="宋体"/>
          <w:color w:val="auto"/>
          <w:highlight w:val="none"/>
          <w:u w:val="single"/>
          <w:lang w:eastAsia="zh-CN"/>
        </w:rPr>
        <w:t>壹</w:t>
      </w:r>
      <w:r>
        <w:rPr>
          <w:rFonts w:hint="eastAsia" w:ascii="宋体" w:hAnsi="宋体" w:cs="宋体"/>
          <w:color w:val="auto"/>
          <w:highlight w:val="none"/>
          <w:u w:val="single"/>
        </w:rPr>
        <w:t>年。</w:t>
      </w:r>
      <w:r>
        <w:rPr>
          <w:rFonts w:hint="eastAsia" w:ascii="宋体" w:hAnsi="宋体" w:cs="宋体"/>
          <w:color w:val="auto"/>
          <w:highlight w:val="none"/>
        </w:rPr>
        <w:t xml:space="preserve">                </w:t>
      </w:r>
    </w:p>
    <w:p>
      <w:pPr>
        <w:pStyle w:val="91"/>
        <w:spacing w:line="360" w:lineRule="auto"/>
        <w:ind w:firstLine="480" w:firstLineChars="200"/>
        <w:jc w:val="both"/>
        <w:rPr>
          <w:rFonts w:ascii="宋体" w:hAnsi="宋体" w:cs="宋体"/>
          <w:color w:val="auto"/>
        </w:rPr>
      </w:pPr>
      <w:r>
        <w:rPr>
          <w:rFonts w:hint="eastAsia" w:ascii="宋体" w:hAnsi="宋体" w:cs="宋体"/>
          <w:color w:val="auto"/>
        </w:rPr>
        <w:t>6.付款方式及结算和履约保证金的缴纳</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6.1 本合同使用的货币种类为人民币。</w:t>
      </w:r>
    </w:p>
    <w:p>
      <w:pPr>
        <w:pStyle w:val="120"/>
        <w:spacing w:line="360" w:lineRule="auto"/>
        <w:ind w:firstLine="482" w:firstLineChars="200"/>
        <w:jc w:val="both"/>
        <w:rPr>
          <w:rFonts w:ascii="宋体" w:hAnsi="宋体" w:cs="宋体"/>
          <w:b/>
          <w:bCs/>
          <w:color w:val="auto"/>
          <w:sz w:val="24"/>
        </w:rPr>
      </w:pPr>
      <w:r>
        <w:rPr>
          <w:rFonts w:hint="eastAsia" w:ascii="宋体" w:hAnsi="宋体" w:cs="宋体"/>
          <w:b/>
          <w:bCs/>
          <w:color w:val="auto"/>
          <w:sz w:val="24"/>
        </w:rPr>
        <w:t>6.2 货款的支付</w:t>
      </w:r>
    </w:p>
    <w:p>
      <w:pPr>
        <w:pStyle w:val="120"/>
        <w:spacing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6.2.1 付款方式：付款币种</w:t>
      </w:r>
    </w:p>
    <w:p>
      <w:pPr>
        <w:pStyle w:val="120"/>
        <w:spacing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 xml:space="preserve">本次采购所述的项目资金均以人民币支付。 </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付款方式：</w:t>
      </w:r>
      <w:r>
        <w:rPr>
          <w:rFonts w:hint="eastAsia" w:ascii="宋体" w:hAnsi="宋体" w:cs="宋体"/>
          <w:sz w:val="24"/>
          <w:szCs w:val="24"/>
          <w:highlight w:val="none"/>
          <w:lang w:eastAsia="zh-CN"/>
        </w:rPr>
        <w:t>合同签订后支付合同总金额的</w:t>
      </w:r>
      <w:r>
        <w:rPr>
          <w:rFonts w:hint="eastAsia" w:ascii="宋体" w:hAnsi="宋体" w:cs="宋体"/>
          <w:sz w:val="24"/>
          <w:szCs w:val="24"/>
          <w:highlight w:val="none"/>
          <w:lang w:val="en-US" w:eastAsia="zh-CN"/>
        </w:rPr>
        <w:t>30%，货到后支付合同总金额的40%，</w:t>
      </w:r>
      <w:r>
        <w:rPr>
          <w:rFonts w:hint="eastAsia" w:ascii="宋体" w:hAnsi="宋体" w:cs="宋体"/>
          <w:sz w:val="24"/>
          <w:szCs w:val="24"/>
          <w:highlight w:val="none"/>
        </w:rPr>
        <w:t>验收合格至正常使用支付合同</w:t>
      </w:r>
      <w:r>
        <w:rPr>
          <w:rFonts w:hint="eastAsia" w:ascii="宋体" w:hAnsi="宋体" w:cs="宋体"/>
          <w:sz w:val="24"/>
          <w:szCs w:val="24"/>
          <w:highlight w:val="none"/>
          <w:lang w:eastAsia="zh-CN"/>
        </w:rPr>
        <w:t>总</w:t>
      </w:r>
      <w:r>
        <w:rPr>
          <w:rFonts w:hint="eastAsia" w:ascii="宋体" w:hAnsi="宋体" w:cs="宋体"/>
          <w:sz w:val="24"/>
          <w:szCs w:val="24"/>
          <w:highlight w:val="none"/>
        </w:rPr>
        <w:t>金额的</w:t>
      </w:r>
      <w:r>
        <w:rPr>
          <w:rFonts w:hint="eastAsia" w:ascii="宋体" w:hAnsi="宋体" w:cs="宋体"/>
          <w:sz w:val="24"/>
          <w:szCs w:val="24"/>
          <w:highlight w:val="none"/>
          <w:lang w:val="en-US" w:eastAsia="zh-CN"/>
        </w:rPr>
        <w:t>27</w:t>
      </w:r>
      <w:r>
        <w:rPr>
          <w:rFonts w:hint="eastAsia" w:ascii="宋体" w:hAnsi="宋体" w:cs="宋体"/>
          <w:sz w:val="24"/>
          <w:szCs w:val="24"/>
          <w:highlight w:val="none"/>
        </w:rPr>
        <w:t>%，</w:t>
      </w:r>
      <w:r>
        <w:rPr>
          <w:rFonts w:hint="eastAsia" w:ascii="宋体" w:hAnsi="宋体" w:cs="宋体"/>
          <w:sz w:val="24"/>
          <w:szCs w:val="24"/>
          <w:highlight w:val="none"/>
          <w:lang w:eastAsia="zh-CN"/>
        </w:rPr>
        <w:t>剩余</w:t>
      </w:r>
      <w:r>
        <w:rPr>
          <w:rFonts w:hint="eastAsia" w:ascii="宋体" w:hAnsi="宋体" w:cs="宋体"/>
          <w:sz w:val="24"/>
          <w:szCs w:val="24"/>
          <w:highlight w:val="none"/>
          <w:lang w:val="en-US" w:eastAsia="zh-CN"/>
        </w:rPr>
        <w:t>3</w:t>
      </w:r>
      <w:r>
        <w:rPr>
          <w:rFonts w:hint="eastAsia" w:ascii="宋体" w:hAnsi="宋体" w:cs="宋体"/>
          <w:sz w:val="24"/>
          <w:szCs w:val="24"/>
          <w:highlight w:val="none"/>
        </w:rPr>
        <w:t>%为质保金，无质</w:t>
      </w:r>
      <w:r>
        <w:rPr>
          <w:rFonts w:hint="eastAsia" w:ascii="宋体" w:hAnsi="宋体" w:cs="宋体"/>
          <w:sz w:val="24"/>
          <w:szCs w:val="24"/>
          <w:highlight w:val="none"/>
          <w:lang w:eastAsia="zh-CN"/>
        </w:rPr>
        <w:t>量</w:t>
      </w:r>
      <w:r>
        <w:rPr>
          <w:rFonts w:hint="eastAsia" w:ascii="宋体" w:hAnsi="宋体" w:cs="宋体"/>
          <w:sz w:val="24"/>
          <w:szCs w:val="24"/>
          <w:highlight w:val="none"/>
        </w:rPr>
        <w:t>问题一年后支付，无利息。</w:t>
      </w:r>
    </w:p>
    <w:p>
      <w:pPr>
        <w:spacing w:line="360" w:lineRule="auto"/>
        <w:ind w:firstLine="480" w:firstLineChars="200"/>
        <w:rPr>
          <w:rFonts w:ascii="宋体" w:hAnsi="宋体" w:cs="宋体"/>
          <w:sz w:val="24"/>
          <w:szCs w:val="24"/>
        </w:rPr>
      </w:pPr>
      <w:r>
        <w:rPr>
          <w:rFonts w:hint="eastAsia" w:ascii="宋体" w:hAnsi="宋体" w:cs="宋体"/>
          <w:sz w:val="24"/>
          <w:szCs w:val="24"/>
        </w:rPr>
        <w:t>7. 交货和运输</w:t>
      </w:r>
    </w:p>
    <w:p>
      <w:pPr>
        <w:pStyle w:val="120"/>
        <w:spacing w:line="360" w:lineRule="auto"/>
        <w:ind w:firstLine="480" w:firstLineChars="200"/>
        <w:jc w:val="both"/>
        <w:rPr>
          <w:rFonts w:ascii="宋体" w:hAnsi="宋体" w:cs="宋体"/>
          <w:color w:val="8064A2"/>
          <w:sz w:val="24"/>
        </w:rPr>
      </w:pPr>
      <w:r>
        <w:rPr>
          <w:rFonts w:hint="eastAsia" w:ascii="宋体" w:hAnsi="宋体" w:cs="宋体"/>
          <w:color w:val="auto"/>
          <w:sz w:val="24"/>
        </w:rPr>
        <w:t>7.1 本合同维修进度必须满足【采购文件】约定内容的全部要求</w:t>
      </w:r>
      <w:r>
        <w:rPr>
          <w:rFonts w:hint="eastAsia" w:ascii="宋体" w:hAnsi="宋体" w:cs="宋体"/>
          <w:color w:val="8064A2"/>
          <w:sz w:val="24"/>
        </w:rPr>
        <w:t>。</w:t>
      </w:r>
    </w:p>
    <w:p>
      <w:pPr>
        <w:pStyle w:val="120"/>
        <w:spacing w:line="360" w:lineRule="auto"/>
        <w:ind w:firstLine="482" w:firstLineChars="200"/>
        <w:jc w:val="both"/>
        <w:rPr>
          <w:rFonts w:ascii="宋体" w:hAnsi="宋体" w:cs="宋体"/>
          <w:b/>
          <w:color w:val="auto"/>
          <w:sz w:val="24"/>
        </w:rPr>
      </w:pPr>
      <w:r>
        <w:rPr>
          <w:rFonts w:hint="eastAsia" w:ascii="宋体" w:hAnsi="宋体" w:cs="宋体"/>
          <w:b/>
          <w:color w:val="auto"/>
          <w:sz w:val="24"/>
        </w:rPr>
        <w:t>7.2 供货地点：采购方指定的供货地点。</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8. 装运通知</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8.1 卖方应在货物装完后的</w:t>
      </w:r>
      <w:r>
        <w:rPr>
          <w:rFonts w:hint="eastAsia" w:ascii="宋体" w:hAnsi="宋体" w:cs="宋体"/>
          <w:color w:val="auto"/>
          <w:sz w:val="24"/>
          <w:u w:val="single"/>
        </w:rPr>
        <w:t>24</w:t>
      </w:r>
      <w:r>
        <w:rPr>
          <w:rFonts w:hint="eastAsia" w:ascii="宋体" w:hAnsi="宋体" w:cs="宋体"/>
          <w:color w:val="auto"/>
          <w:sz w:val="24"/>
        </w:rPr>
        <w:t>小时之内将合同号、货号、数量、毛重、总体积（立方米）、发票金额、运输工具的名称及起运日期，以电报或传真通知买方。如卖方延误了将上述内容用电报或传真通知买方的时间，由此引起的一切损失应由卖方负担。</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9. 包装要求</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9.1 除合同另有规定外，卖方提供的全部货物，均应按标准保护措施进行包装。该包装应适应于远距离运输，防潮、防震、防锈和防粗暴装卸，有严禁倒置标识，以确保货物安全无损运抵现场。由于包装不善所引起的货物锈蚀、损坏和损失均由卖方承担。</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9.2 每件包装内应附一份详细装箱单和质量合格证。</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9.3 可以多次使用的包装物，应由卖方负责收回。</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10. 标识</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10.1卖方应在每一包装箱的四侧用不褪色的油漆以醒目的中文字样做出下列标识：</w:t>
      </w:r>
    </w:p>
    <w:p>
      <w:pPr>
        <w:pStyle w:val="120"/>
        <w:spacing w:line="360" w:lineRule="auto"/>
        <w:ind w:firstLine="544"/>
        <w:jc w:val="both"/>
        <w:rPr>
          <w:rFonts w:ascii="宋体" w:hAnsi="宋体" w:cs="宋体"/>
          <w:color w:val="auto"/>
          <w:sz w:val="24"/>
        </w:rPr>
      </w:pPr>
      <w:r>
        <w:rPr>
          <w:rFonts w:hint="eastAsia" w:ascii="宋体" w:hAnsi="宋体" w:cs="宋体"/>
          <w:color w:val="auto"/>
          <w:sz w:val="24"/>
        </w:rPr>
        <w:t>a.收货人；</w:t>
      </w:r>
    </w:p>
    <w:p>
      <w:pPr>
        <w:pStyle w:val="120"/>
        <w:spacing w:line="360" w:lineRule="auto"/>
        <w:ind w:firstLine="544"/>
        <w:jc w:val="both"/>
        <w:rPr>
          <w:rFonts w:ascii="宋体" w:hAnsi="宋体" w:cs="宋体"/>
          <w:color w:val="auto"/>
          <w:sz w:val="24"/>
        </w:rPr>
      </w:pPr>
      <w:r>
        <w:rPr>
          <w:rFonts w:hint="eastAsia" w:ascii="宋体" w:hAnsi="宋体" w:cs="宋体"/>
          <w:color w:val="auto"/>
          <w:sz w:val="24"/>
        </w:rPr>
        <w:t>b.合同号；</w:t>
      </w:r>
    </w:p>
    <w:p>
      <w:pPr>
        <w:pStyle w:val="120"/>
        <w:spacing w:line="360" w:lineRule="auto"/>
        <w:ind w:firstLine="544"/>
        <w:jc w:val="both"/>
        <w:rPr>
          <w:rFonts w:ascii="宋体" w:hAnsi="宋体" w:cs="宋体"/>
          <w:color w:val="auto"/>
          <w:sz w:val="24"/>
        </w:rPr>
      </w:pPr>
      <w:r>
        <w:rPr>
          <w:rFonts w:hint="eastAsia" w:ascii="宋体" w:hAnsi="宋体" w:cs="宋体"/>
          <w:color w:val="auto"/>
          <w:sz w:val="24"/>
        </w:rPr>
        <w:t>c.发货单位；</w:t>
      </w:r>
    </w:p>
    <w:p>
      <w:pPr>
        <w:pStyle w:val="120"/>
        <w:spacing w:line="360" w:lineRule="auto"/>
        <w:ind w:firstLine="544"/>
        <w:jc w:val="both"/>
        <w:rPr>
          <w:rFonts w:ascii="宋体" w:hAnsi="宋体" w:cs="宋体"/>
          <w:color w:val="auto"/>
          <w:sz w:val="24"/>
        </w:rPr>
      </w:pPr>
      <w:r>
        <w:rPr>
          <w:rFonts w:hint="eastAsia" w:ascii="宋体" w:hAnsi="宋体" w:cs="宋体"/>
          <w:color w:val="auto"/>
          <w:sz w:val="24"/>
        </w:rPr>
        <w:t>d.收货人代号；</w:t>
      </w:r>
    </w:p>
    <w:p>
      <w:pPr>
        <w:pStyle w:val="120"/>
        <w:spacing w:line="360" w:lineRule="auto"/>
        <w:ind w:firstLine="544"/>
        <w:jc w:val="both"/>
        <w:rPr>
          <w:rFonts w:ascii="宋体" w:hAnsi="宋体" w:cs="宋体"/>
          <w:color w:val="auto"/>
          <w:sz w:val="24"/>
        </w:rPr>
      </w:pPr>
      <w:r>
        <w:rPr>
          <w:rFonts w:hint="eastAsia" w:ascii="宋体" w:hAnsi="宋体" w:cs="宋体"/>
          <w:color w:val="auto"/>
          <w:sz w:val="24"/>
        </w:rPr>
        <w:t>e.到货站；</w:t>
      </w:r>
    </w:p>
    <w:p>
      <w:pPr>
        <w:pStyle w:val="120"/>
        <w:spacing w:line="360" w:lineRule="auto"/>
        <w:ind w:firstLine="544"/>
        <w:jc w:val="both"/>
        <w:rPr>
          <w:rFonts w:ascii="宋体" w:hAnsi="宋体" w:cs="宋体"/>
          <w:color w:val="auto"/>
          <w:sz w:val="24"/>
        </w:rPr>
      </w:pPr>
      <w:r>
        <w:rPr>
          <w:rFonts w:hint="eastAsia" w:ascii="宋体" w:hAnsi="宋体" w:cs="宋体"/>
          <w:color w:val="auto"/>
          <w:sz w:val="24"/>
        </w:rPr>
        <w:t>f.出厂编号；</w:t>
      </w:r>
    </w:p>
    <w:p>
      <w:pPr>
        <w:pStyle w:val="120"/>
        <w:spacing w:line="360" w:lineRule="auto"/>
        <w:ind w:firstLine="544"/>
        <w:jc w:val="both"/>
        <w:rPr>
          <w:rFonts w:ascii="宋体" w:hAnsi="宋体" w:cs="宋体"/>
          <w:color w:val="auto"/>
          <w:sz w:val="24"/>
        </w:rPr>
      </w:pPr>
      <w:r>
        <w:rPr>
          <w:rFonts w:hint="eastAsia" w:ascii="宋体" w:hAnsi="宋体" w:cs="宋体"/>
          <w:color w:val="auto"/>
          <w:sz w:val="24"/>
        </w:rPr>
        <w:t>g.总共箱（件）数及箱号；</w:t>
      </w:r>
    </w:p>
    <w:p>
      <w:pPr>
        <w:pStyle w:val="120"/>
        <w:spacing w:line="360" w:lineRule="auto"/>
        <w:ind w:firstLine="544"/>
        <w:jc w:val="both"/>
        <w:rPr>
          <w:rFonts w:ascii="宋体" w:hAnsi="宋体" w:cs="宋体"/>
          <w:color w:val="auto"/>
          <w:sz w:val="24"/>
        </w:rPr>
      </w:pPr>
      <w:r>
        <w:rPr>
          <w:rFonts w:hint="eastAsia" w:ascii="宋体" w:hAnsi="宋体" w:cs="宋体"/>
          <w:color w:val="auto"/>
          <w:sz w:val="24"/>
        </w:rPr>
        <w:t>h.出厂或装箱日期；</w:t>
      </w:r>
    </w:p>
    <w:p>
      <w:pPr>
        <w:pStyle w:val="120"/>
        <w:spacing w:line="360" w:lineRule="auto"/>
        <w:ind w:firstLine="544"/>
        <w:jc w:val="both"/>
        <w:rPr>
          <w:rFonts w:ascii="宋体" w:hAnsi="宋体" w:cs="宋体"/>
          <w:color w:val="auto"/>
          <w:sz w:val="24"/>
        </w:rPr>
      </w:pPr>
      <w:r>
        <w:rPr>
          <w:rFonts w:hint="eastAsia" w:ascii="宋体" w:hAnsi="宋体" w:cs="宋体"/>
          <w:color w:val="auto"/>
          <w:sz w:val="24"/>
        </w:rPr>
        <w:t>I.货物的名称；</w:t>
      </w:r>
    </w:p>
    <w:p>
      <w:pPr>
        <w:pStyle w:val="120"/>
        <w:spacing w:line="360" w:lineRule="auto"/>
        <w:ind w:firstLine="544"/>
        <w:jc w:val="both"/>
        <w:rPr>
          <w:rFonts w:ascii="宋体" w:hAnsi="宋体" w:cs="宋体"/>
          <w:color w:val="auto"/>
          <w:sz w:val="24"/>
        </w:rPr>
      </w:pPr>
      <w:r>
        <w:rPr>
          <w:rFonts w:hint="eastAsia" w:ascii="宋体" w:hAnsi="宋体" w:cs="宋体"/>
          <w:color w:val="auto"/>
          <w:sz w:val="24"/>
        </w:rPr>
        <w:t>j.毛重/净重（公斤）；</w:t>
      </w:r>
    </w:p>
    <w:p>
      <w:pPr>
        <w:pStyle w:val="120"/>
        <w:spacing w:line="360" w:lineRule="auto"/>
        <w:ind w:firstLine="544"/>
        <w:jc w:val="both"/>
        <w:rPr>
          <w:rFonts w:ascii="宋体" w:hAnsi="宋体" w:cs="宋体"/>
          <w:color w:val="auto"/>
          <w:sz w:val="24"/>
        </w:rPr>
      </w:pPr>
      <w:r>
        <w:rPr>
          <w:rFonts w:hint="eastAsia" w:ascii="宋体" w:hAnsi="宋体" w:cs="宋体"/>
          <w:color w:val="auto"/>
          <w:sz w:val="24"/>
        </w:rPr>
        <w:t>k.尺寸：长×宽×高（以厘米计）</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10.2 如果货物单件重在</w:t>
      </w:r>
      <w:r>
        <w:rPr>
          <w:rFonts w:hint="eastAsia" w:ascii="宋体" w:hAnsi="宋体" w:cs="宋体"/>
          <w:color w:val="auto"/>
          <w:sz w:val="24"/>
          <w:u w:val="single"/>
        </w:rPr>
        <w:t>两吨或两吨以上</w:t>
      </w:r>
      <w:r>
        <w:rPr>
          <w:rFonts w:hint="eastAsia" w:ascii="宋体" w:hAnsi="宋体" w:cs="宋体"/>
          <w:color w:val="auto"/>
          <w:sz w:val="24"/>
        </w:rPr>
        <w:t>，卖方应在每件包装箱的两侧用中文和适当的运输标识标明“重心”和“吊装点”，以便装卸和搬运。根据货物的特点和运输的不同要求，卖方应在包装箱上清楚地标有“小心轻放”、“防潮”、“请勿倒置”等字样和其他适当的标志。</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11. 专利权</w:t>
      </w:r>
    </w:p>
    <w:p>
      <w:pPr>
        <w:pStyle w:val="120"/>
        <w:spacing w:line="360" w:lineRule="auto"/>
        <w:ind w:firstLine="544"/>
        <w:jc w:val="both"/>
        <w:rPr>
          <w:rFonts w:ascii="宋体" w:hAnsi="宋体" w:cs="宋体"/>
          <w:color w:val="auto"/>
          <w:sz w:val="24"/>
        </w:rPr>
      </w:pPr>
      <w:r>
        <w:rPr>
          <w:rFonts w:hint="eastAsia" w:ascii="宋体" w:hAnsi="宋体" w:cs="宋体"/>
          <w:color w:val="auto"/>
          <w:sz w:val="24"/>
        </w:rPr>
        <w:t>卖方应保证买方在使用该货物或其任何一部分时不受第三方提出的侵犯其专利权、商标权和工业设计权的起诉。</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12. 保险</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12.1 由卖方以人民币办理到达目的地的按照发票金额的100%的“一切险”的保险。在买方收到货物前的损坏、丢失，由卖方负责补齐。</w:t>
      </w:r>
    </w:p>
    <w:p>
      <w:pPr>
        <w:pStyle w:val="120"/>
        <w:spacing w:line="360" w:lineRule="auto"/>
        <w:ind w:firstLine="544"/>
        <w:jc w:val="both"/>
        <w:rPr>
          <w:rFonts w:ascii="宋体" w:hAnsi="宋体" w:cs="宋体"/>
          <w:color w:val="auto"/>
          <w:sz w:val="24"/>
        </w:rPr>
      </w:pPr>
      <w:r>
        <w:rPr>
          <w:rFonts w:hint="eastAsia" w:ascii="宋体" w:hAnsi="宋体" w:cs="宋体"/>
          <w:color w:val="auto"/>
          <w:sz w:val="24"/>
        </w:rPr>
        <w:t>13. 技术资料</w:t>
      </w:r>
    </w:p>
    <w:p>
      <w:pPr>
        <w:pStyle w:val="120"/>
        <w:spacing w:line="360" w:lineRule="auto"/>
        <w:ind w:firstLine="544"/>
        <w:jc w:val="both"/>
        <w:rPr>
          <w:rFonts w:ascii="宋体" w:hAnsi="宋体" w:cs="宋体"/>
          <w:color w:val="auto"/>
          <w:sz w:val="24"/>
        </w:rPr>
      </w:pPr>
      <w:r>
        <w:rPr>
          <w:rFonts w:hint="eastAsia" w:ascii="宋体" w:hAnsi="宋体" w:cs="宋体"/>
          <w:color w:val="auto"/>
          <w:sz w:val="24"/>
        </w:rPr>
        <w:t>13.1 卖方应提供所用设备的使用、维修手册，维修密码和全套的电路原理图（中、英文各一套）。</w:t>
      </w:r>
    </w:p>
    <w:p>
      <w:pPr>
        <w:pStyle w:val="120"/>
        <w:spacing w:line="360" w:lineRule="auto"/>
        <w:ind w:firstLine="544"/>
        <w:jc w:val="both"/>
        <w:rPr>
          <w:rFonts w:ascii="宋体" w:hAnsi="宋体" w:cs="宋体"/>
          <w:color w:val="auto"/>
          <w:sz w:val="24"/>
        </w:rPr>
      </w:pPr>
      <w:r>
        <w:rPr>
          <w:rFonts w:hint="eastAsia" w:ascii="宋体" w:hAnsi="宋体" w:cs="宋体"/>
          <w:color w:val="auto"/>
          <w:sz w:val="24"/>
        </w:rPr>
        <w:t>13.2 提供制造厂的检验、测试报告及合格证书,并提供设备装箱清单。</w:t>
      </w:r>
    </w:p>
    <w:p>
      <w:pPr>
        <w:pStyle w:val="120"/>
        <w:spacing w:line="360" w:lineRule="auto"/>
        <w:ind w:firstLine="544"/>
        <w:jc w:val="both"/>
        <w:rPr>
          <w:rFonts w:ascii="宋体" w:hAnsi="宋体" w:cs="宋体"/>
          <w:color w:val="auto"/>
          <w:sz w:val="24"/>
        </w:rPr>
      </w:pPr>
      <w:r>
        <w:rPr>
          <w:rFonts w:hint="eastAsia" w:ascii="宋体" w:hAnsi="宋体" w:cs="宋体"/>
          <w:color w:val="auto"/>
          <w:sz w:val="24"/>
        </w:rPr>
        <w:t>13.3 卖方认为有必要提供的其它技术资料及文件。</w:t>
      </w:r>
    </w:p>
    <w:p>
      <w:pPr>
        <w:pStyle w:val="120"/>
        <w:spacing w:line="360" w:lineRule="auto"/>
        <w:ind w:firstLine="544"/>
        <w:jc w:val="both"/>
        <w:rPr>
          <w:rFonts w:ascii="宋体" w:hAnsi="宋体" w:cs="宋体"/>
          <w:color w:val="auto"/>
          <w:sz w:val="24"/>
        </w:rPr>
      </w:pPr>
      <w:r>
        <w:rPr>
          <w:rFonts w:hint="eastAsia" w:ascii="宋体" w:hAnsi="宋体" w:cs="宋体"/>
          <w:color w:val="auto"/>
          <w:sz w:val="24"/>
        </w:rPr>
        <w:t>14. 质量要求、技术标准及卖方对质量负责的条件和期限</w:t>
      </w:r>
    </w:p>
    <w:p>
      <w:pPr>
        <w:pStyle w:val="120"/>
        <w:spacing w:line="360" w:lineRule="auto"/>
        <w:ind w:firstLine="544"/>
        <w:jc w:val="both"/>
        <w:rPr>
          <w:rFonts w:ascii="宋体" w:hAnsi="宋体" w:cs="宋体"/>
          <w:color w:val="auto"/>
          <w:sz w:val="24"/>
        </w:rPr>
      </w:pPr>
      <w:r>
        <w:rPr>
          <w:rFonts w:hint="eastAsia" w:ascii="宋体" w:hAnsi="宋体" w:cs="宋体"/>
          <w:color w:val="auto"/>
          <w:sz w:val="24"/>
        </w:rPr>
        <w:t>14.1 卖方应严格按照专用设备材料制造国家标准和机械行业标准进行制造。出厂前卖方的质量检验部门应按照国家制定的各项规定进行产品质量检验，检验合格后出具质量证明书后，方能出厂。</w:t>
      </w:r>
    </w:p>
    <w:p>
      <w:pPr>
        <w:ind w:firstLine="480" w:firstLineChars="200"/>
        <w:rPr>
          <w:rFonts w:ascii="宋体" w:hAnsi="宋体" w:cs="宋体"/>
          <w:kern w:val="0"/>
          <w:sz w:val="24"/>
          <w:szCs w:val="24"/>
        </w:rPr>
      </w:pPr>
      <w:r>
        <w:rPr>
          <w:rFonts w:hint="eastAsia" w:ascii="宋体" w:hAnsi="宋体" w:cs="宋体"/>
          <w:kern w:val="0"/>
          <w:sz w:val="24"/>
          <w:szCs w:val="24"/>
        </w:rPr>
        <w:t>14.2 货物到达使用单位后，卖方接到用户电话通知后,3天内派工程技术人员达现场。</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14.3  在商检人员和卖方技术人员在场的情况下，对照配置及装箱清单开箱验收合格后，再进行安装、调试工作。</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14.4  设备安装、调试并投入使用应在规定期限15天内完成，如不能完成，5日内按合同总额1.5%赔偿违约金，5-10日内每延迟一天按合同总额3%赔偿违约金，超过十日每延迟一天按合同总额5%赔偿违约金。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14.5卖方应保证所提供设备的技术性能达到用户标书所提出的各项要求，如在使用中发现技术参数达不到响应文件所要求时，用户可要求赔偿损失。如重要技术参数达不到要求，用户可要求退机，一般技术参数达不到要求，每一项按设备总价的10%赔偿。</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14.6 设备安装、调试、验收合格后，双方共同签署设备验收报告。</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15. 检验</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15.1 在发货前，卖方应对货物的质量、规格、性能、数量和重量等进行准确而全面的检验，并出具一份证明货物符合合同规定的证书。该证书将作为提交付款单据的一部分，但有关质量、规格、性能、数量和重量的检验不应视为最终检验，卖方检验的结果和详细要求应在质量证书中加以说明，并提供规定检验的证书。</w:t>
      </w:r>
    </w:p>
    <w:p>
      <w:pPr>
        <w:pStyle w:val="24"/>
        <w:spacing w:line="400" w:lineRule="atLeast"/>
        <w:ind w:firstLine="480" w:firstLineChars="200"/>
        <w:rPr>
          <w:rFonts w:cs="宋体"/>
          <w:sz w:val="24"/>
          <w:szCs w:val="24"/>
        </w:rPr>
      </w:pPr>
      <w:r>
        <w:rPr>
          <w:rFonts w:hint="eastAsia" w:cs="宋体"/>
          <w:sz w:val="24"/>
          <w:szCs w:val="24"/>
        </w:rPr>
        <w:t>15.2 货物运抵现场后, 设备到达目的地，采购人、供应商、及买方聘请的相关人员共同开箱验货；买方可以向当地的技术监督局或工商行政管理局或有权威的专业检验部门申请对货物的质量、规格、数量和重量进行检验，并出具检验证书。如发现货物的规格或数量或两者都与合同不符，买方有权在货物运抵现场后30天内，根据出具的检验证书向卖方提出索赔，并由卖方承担全部检验费用。</w:t>
      </w:r>
    </w:p>
    <w:p>
      <w:pPr>
        <w:spacing w:line="360" w:lineRule="auto"/>
        <w:ind w:firstLine="480" w:firstLineChars="200"/>
        <w:rPr>
          <w:rFonts w:ascii="宋体" w:hAnsi="宋体" w:cs="宋体"/>
          <w:sz w:val="24"/>
          <w:szCs w:val="24"/>
        </w:rPr>
      </w:pPr>
      <w:r>
        <w:rPr>
          <w:rFonts w:hint="eastAsia" w:ascii="宋体" w:hAnsi="宋体" w:cs="宋体"/>
          <w:sz w:val="24"/>
          <w:szCs w:val="24"/>
        </w:rPr>
        <w:t>15.3 如果货物的质量和规格与合同不符，或在第18.1条规定的质量保证期内证实货物是有缺陷的，包括潜在的缺陷或使用了不符合要求的材料，买方应报请当地技术监督局或工商行政管理局或有权威的专业检验部门进行检查，并有权凭检验证书向卖方提出索赔，并由卖方承担全部检验费用。</w:t>
      </w:r>
    </w:p>
    <w:p>
      <w:pPr>
        <w:spacing w:line="360" w:lineRule="auto"/>
        <w:ind w:firstLine="360" w:firstLineChars="150"/>
        <w:jc w:val="left"/>
        <w:rPr>
          <w:rFonts w:ascii="宋体" w:hAnsi="宋体" w:cs="宋体"/>
          <w:sz w:val="24"/>
          <w:szCs w:val="24"/>
        </w:rPr>
      </w:pPr>
      <w:r>
        <w:rPr>
          <w:rFonts w:hint="eastAsia" w:ascii="宋体" w:hAnsi="宋体" w:cs="宋体"/>
          <w:sz w:val="24"/>
          <w:szCs w:val="24"/>
        </w:rPr>
        <w:t>15.4 在检验、验收过程中应遵照有关标准和验收规范进行。设备按照现行国标、部标、或者行业标准制造。对检测及验收不达标的设备，所发生的一切费用及给采购人造成的经济损失，均由供应商承担；采购人保留追究其经济及法律责任的权利。</w:t>
      </w:r>
    </w:p>
    <w:p>
      <w:pPr>
        <w:spacing w:line="360" w:lineRule="auto"/>
        <w:ind w:firstLine="480" w:firstLineChars="200"/>
        <w:rPr>
          <w:rFonts w:ascii="宋体" w:hAnsi="宋体" w:cs="宋体"/>
          <w:sz w:val="24"/>
          <w:szCs w:val="24"/>
        </w:rPr>
      </w:pPr>
      <w:r>
        <w:rPr>
          <w:rFonts w:hint="eastAsia" w:ascii="宋体" w:hAnsi="宋体" w:cs="宋体"/>
          <w:sz w:val="24"/>
          <w:szCs w:val="24"/>
        </w:rPr>
        <w:t>16 安装与整机要求</w:t>
      </w:r>
    </w:p>
    <w:p>
      <w:pPr>
        <w:spacing w:line="360" w:lineRule="auto"/>
        <w:ind w:firstLine="480" w:firstLineChars="200"/>
        <w:rPr>
          <w:rFonts w:ascii="宋体" w:hAnsi="宋体" w:cs="宋体"/>
          <w:sz w:val="24"/>
          <w:szCs w:val="24"/>
        </w:rPr>
      </w:pPr>
      <w:r>
        <w:rPr>
          <w:rFonts w:hint="eastAsia" w:ascii="宋体" w:hAnsi="宋体" w:cs="宋体"/>
          <w:sz w:val="24"/>
          <w:szCs w:val="24"/>
        </w:rPr>
        <w:t>16.1安装</w:t>
      </w:r>
    </w:p>
    <w:p>
      <w:pPr>
        <w:spacing w:line="360" w:lineRule="auto"/>
        <w:ind w:firstLine="480" w:firstLineChars="200"/>
        <w:rPr>
          <w:rFonts w:ascii="宋体" w:hAnsi="宋体" w:cs="宋体"/>
          <w:sz w:val="24"/>
          <w:szCs w:val="24"/>
        </w:rPr>
      </w:pPr>
      <w:r>
        <w:rPr>
          <w:rFonts w:hint="eastAsia" w:ascii="宋体" w:hAnsi="宋体" w:cs="宋体"/>
          <w:sz w:val="24"/>
          <w:szCs w:val="24"/>
        </w:rPr>
        <w:t>16.1.1 卖方提供对机房及电源的要求并根据用户需求，在现有的房间进行安装。</w:t>
      </w:r>
    </w:p>
    <w:p>
      <w:pPr>
        <w:spacing w:line="360" w:lineRule="auto"/>
        <w:ind w:firstLine="480" w:firstLineChars="200"/>
        <w:rPr>
          <w:rFonts w:ascii="宋体" w:hAnsi="宋体" w:cs="宋体"/>
          <w:sz w:val="24"/>
          <w:szCs w:val="24"/>
        </w:rPr>
      </w:pPr>
      <w:r>
        <w:rPr>
          <w:rFonts w:hint="eastAsia" w:ascii="宋体" w:hAnsi="宋体" w:cs="宋体"/>
          <w:sz w:val="24"/>
          <w:szCs w:val="24"/>
        </w:rPr>
        <w:t>16.1.2 安装、调试期间所发生的一切费用由卖方承担</w:t>
      </w:r>
    </w:p>
    <w:p>
      <w:pPr>
        <w:spacing w:line="360" w:lineRule="auto"/>
        <w:ind w:firstLine="480" w:firstLineChars="200"/>
        <w:rPr>
          <w:rFonts w:ascii="宋体" w:hAnsi="宋体" w:cs="宋体"/>
          <w:sz w:val="24"/>
          <w:szCs w:val="24"/>
        </w:rPr>
      </w:pPr>
      <w:r>
        <w:rPr>
          <w:rFonts w:hint="eastAsia" w:ascii="宋体" w:hAnsi="宋体" w:cs="宋体"/>
          <w:sz w:val="24"/>
          <w:szCs w:val="24"/>
        </w:rPr>
        <w:t>17  培训</w:t>
      </w:r>
    </w:p>
    <w:p>
      <w:pPr>
        <w:spacing w:line="360" w:lineRule="auto"/>
        <w:ind w:firstLine="480" w:firstLineChars="200"/>
        <w:rPr>
          <w:rFonts w:ascii="宋体" w:hAnsi="宋体" w:cs="宋体"/>
          <w:sz w:val="24"/>
          <w:szCs w:val="24"/>
        </w:rPr>
      </w:pPr>
      <w:r>
        <w:rPr>
          <w:rFonts w:hint="eastAsia" w:ascii="宋体" w:hAnsi="宋体" w:cs="宋体"/>
          <w:sz w:val="24"/>
          <w:szCs w:val="24"/>
        </w:rPr>
        <w:t>17.1 现场免费培训：使操作人员能正常使用和操作设备。</w:t>
      </w:r>
    </w:p>
    <w:p>
      <w:pPr>
        <w:spacing w:line="360" w:lineRule="auto"/>
        <w:rPr>
          <w:rFonts w:ascii="宋体" w:hAnsi="宋体" w:cs="宋体"/>
          <w:sz w:val="24"/>
          <w:szCs w:val="24"/>
        </w:rPr>
      </w:pPr>
      <w:r>
        <w:rPr>
          <w:rFonts w:hint="eastAsia" w:ascii="宋体" w:hAnsi="宋体" w:cs="宋体"/>
          <w:sz w:val="24"/>
          <w:szCs w:val="24"/>
        </w:rPr>
        <w:t xml:space="preserve">    17.2 使买方工程技术人员能掌握基本的维修技术为止。</w:t>
      </w:r>
    </w:p>
    <w:p>
      <w:pPr>
        <w:pStyle w:val="120"/>
        <w:spacing w:line="360" w:lineRule="auto"/>
        <w:ind w:firstLine="480" w:firstLineChars="200"/>
        <w:jc w:val="both"/>
        <w:rPr>
          <w:rFonts w:hAnsi="宋体" w:cs="宋体"/>
          <w:sz w:val="24"/>
          <w:highlight w:val="none"/>
        </w:rPr>
      </w:pPr>
      <w:r>
        <w:rPr>
          <w:rFonts w:hint="eastAsia" w:ascii="宋体" w:hAnsi="宋体" w:cs="宋体"/>
          <w:color w:val="auto"/>
          <w:sz w:val="24"/>
          <w:highlight w:val="none"/>
        </w:rPr>
        <w:t>18.  质保期：</w:t>
      </w:r>
      <w:r>
        <w:rPr>
          <w:rFonts w:hint="eastAsia" w:ascii="宋体" w:hAnsi="宋体" w:cs="宋体"/>
          <w:color w:val="auto"/>
          <w:sz w:val="24"/>
          <w:highlight w:val="none"/>
          <w:lang w:eastAsia="zh-CN"/>
        </w:rPr>
        <w:t>壹</w:t>
      </w:r>
      <w:r>
        <w:rPr>
          <w:rFonts w:hint="eastAsia" w:ascii="宋体" w:hAnsi="宋体" w:cs="宋体"/>
          <w:color w:val="auto"/>
          <w:kern w:val="2"/>
          <w:sz w:val="24"/>
          <w:highlight w:val="none"/>
        </w:rPr>
        <w:t>年（验收合格至正常使用后算起）</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19. 索赔</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19.1 根据合同第14条和第15条规定的检验期和质量保证期内，如果卖方对买方提出的索赔和差异负有责任，卖方应按照买方同意的下列一种或多种方式解决索赔事宜：</w:t>
      </w:r>
    </w:p>
    <w:p>
      <w:pPr>
        <w:pStyle w:val="120"/>
        <w:spacing w:line="360" w:lineRule="auto"/>
        <w:ind w:firstLine="544"/>
        <w:jc w:val="both"/>
        <w:rPr>
          <w:rFonts w:ascii="宋体" w:hAnsi="宋体" w:cs="宋体"/>
          <w:color w:val="auto"/>
          <w:sz w:val="24"/>
        </w:rPr>
      </w:pPr>
      <w:r>
        <w:rPr>
          <w:rFonts w:hint="eastAsia" w:ascii="宋体" w:hAnsi="宋体" w:cs="宋体"/>
          <w:color w:val="auto"/>
          <w:sz w:val="24"/>
        </w:rPr>
        <w:t>A. 卖方同意退货，并用合同中规定的同种货币将货款退还给买方，并承担由此发生的一切损失和费用，包括利息、银行手续费、运费、保险金、检验费、仓储费、装卸费以及为保护拒收的货物所付出的其他费用。</w:t>
      </w:r>
    </w:p>
    <w:p>
      <w:pPr>
        <w:pStyle w:val="120"/>
        <w:spacing w:line="360" w:lineRule="auto"/>
        <w:ind w:firstLine="544"/>
        <w:jc w:val="both"/>
        <w:rPr>
          <w:rFonts w:ascii="宋体" w:hAnsi="宋体" w:cs="宋体"/>
          <w:color w:val="auto"/>
          <w:sz w:val="24"/>
        </w:rPr>
      </w:pPr>
      <w:r>
        <w:rPr>
          <w:rFonts w:hint="eastAsia" w:ascii="宋体" w:hAnsi="宋体" w:cs="宋体"/>
          <w:color w:val="auto"/>
          <w:sz w:val="24"/>
        </w:rPr>
        <w:t>B. 根据货物低劣程度以及买方所遭受损失的数额，经买卖双方商定同意降低货物的价格。</w:t>
      </w:r>
    </w:p>
    <w:p>
      <w:pPr>
        <w:pStyle w:val="120"/>
        <w:spacing w:line="360" w:lineRule="auto"/>
        <w:ind w:firstLine="544"/>
        <w:jc w:val="both"/>
        <w:rPr>
          <w:rFonts w:ascii="宋体" w:hAnsi="宋体" w:cs="宋体"/>
          <w:color w:val="auto"/>
          <w:sz w:val="24"/>
        </w:rPr>
      </w:pPr>
      <w:r>
        <w:rPr>
          <w:rFonts w:hint="eastAsia" w:ascii="宋体" w:hAnsi="宋体" w:cs="宋体"/>
          <w:color w:val="auto"/>
          <w:sz w:val="24"/>
        </w:rPr>
        <w:t>C. 用符合规格要求的新零件、部件来更换有缺陷的部分，卖方应承担一切费用和风险并负担买方所遭受的一切直接费用。同时，卖方应按第14条规定，对更换件相应延长质量保证期。</w:t>
      </w:r>
    </w:p>
    <w:p>
      <w:pPr>
        <w:pStyle w:val="120"/>
        <w:spacing w:line="360" w:lineRule="auto"/>
        <w:ind w:firstLine="544"/>
        <w:jc w:val="both"/>
        <w:rPr>
          <w:rFonts w:ascii="宋体" w:hAnsi="宋体" w:cs="宋体"/>
          <w:color w:val="auto"/>
          <w:sz w:val="24"/>
        </w:rPr>
      </w:pPr>
      <w:r>
        <w:rPr>
          <w:rFonts w:hint="eastAsia" w:ascii="宋体" w:hAnsi="宋体" w:cs="宋体"/>
          <w:color w:val="auto"/>
          <w:sz w:val="24"/>
        </w:rPr>
        <w:t>D. 由于卖方设计、制造或安装缺陷造成现场改造或影响工作效率时，工作或修补缺陷的一切费用由卖方承担，并视情况扣除质保金。造成拖延工期时，按违约处理。</w:t>
      </w:r>
    </w:p>
    <w:p>
      <w:pPr>
        <w:spacing w:line="360" w:lineRule="auto"/>
        <w:ind w:firstLine="480" w:firstLineChars="200"/>
        <w:rPr>
          <w:rFonts w:ascii="宋体" w:hAnsi="宋体" w:cs="宋体"/>
          <w:sz w:val="24"/>
          <w:szCs w:val="24"/>
        </w:rPr>
      </w:pPr>
      <w:r>
        <w:rPr>
          <w:rFonts w:hint="eastAsia" w:ascii="宋体" w:hAnsi="宋体" w:cs="宋体"/>
          <w:sz w:val="24"/>
          <w:szCs w:val="24"/>
        </w:rPr>
        <w:t>19.2 如果在买方发出的索赔通知后10天内，卖方未作答复，上述索赔应视为已被卖方接受。如卖方未能在买方提出索赔通知后30天内或买方同意的更长时间内，按照本合同第19.1条规定的任何一种方法解决索赔事宜，买方将从未付款或从质量保证金中扣回索赔金额。</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20. 迟、错交货</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20.1 卖方应按照合同规定的时间和地点交货和提供服务。</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20.2 如果卖方毫无理由的拖延交货，将受到以下制裁：罚款和（或）终止合同。</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20.3 在履行合同过程中，如果卖方遇到不能按时交货和提供服务的情况，应及时以书面形式将不能按时交货和提供服务的理由、延误时间通知买方，买方在接到卖方通知后，应对情况进行分析，可通过修改合同，酌情延长交货和提供服务的时间。当买方仍需要按期交货和按期提供服务时卖方应按期交货和提供服务，逾期交货和逾期提供服务应按照《合同法》的有关规定，按逾期交货和逾期提供服务的时间向买方偿付违约金，并承担由此而造成买方的其他损失及费用。核定损失额比率为每迟交七日，按迟交货物金额的0.5％计，不满七日按七日计。</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20.4 产品错发时，除应承担由此多支付的一切费用外，并按20.3条款承担延期交货的责任。</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21. 违约罚款</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21.1 除合同第22条规定外，如果卖方没有按照规定的时间完成系统安装、调试和提供服务，或没有达到响应文件中任一条款的承诺都是卖方违约。应向买方支付的1-5%的违约金。如果达到最高限额，买方将考虑终止合同。</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22. 不可抗力</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22.1 如果双方任何一方由于战争、严重的火灾、水灾、台风和地震以及其他双方同意属于不可抗力的事故，致使合同的履行受到影响时，履行合同的期限应予以延长，延长的期限应相当于事故所影响的时间。</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22.2 受事故影响的一方应在不可抗力发生后尽快以传真通知另一方，并在事故发生后14天内，将有关部门出具的证明文件用特快专递寄给另一方，如果不可抗力影响时间延续120天以上时，双方应通过友好协商在合理的时间内达成进一步履行合同的协议。</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23. 税费</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23.1 根据现行税法对卖方征收的与本合同有关的一切税费均由卖方负担。</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23.2 本合同价格为含税价。卖方提供的设备、系统安装、技术图纸资料、服务（包括运输）、进口专用设备（或部件）等所有税费（包括保险费）已全部包含在合同价格内，由卖方承担。</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24. 合同争议的解决</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24.1 在执行本合同中所发生的或与本合同有关一切争端，买卖双方应通过友好协商解决，如协商不能解决，双方应将争端提交新疆中级人民法院诉讼解决。如仍不能解决，任何一方则可以将争端提交给合同履约地的法院提出诉讼。</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24.2 法院判决对双方均有约束力。</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24.3 由上述过程发生的费用除法院判决另有规定外，应有败诉方负担。</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24.4 在法院审理期间，除正在进行法院审理的部分外，本合同其他部分应继续执行。</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25. 违约终止合同</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25.1 在买方对因卖方违约而采取的任何补救不受损害的情况下，买方可向卖方发出终止部分或全部合同的书面通知书。</w:t>
      </w:r>
    </w:p>
    <w:p>
      <w:pPr>
        <w:pStyle w:val="120"/>
        <w:spacing w:line="360" w:lineRule="auto"/>
        <w:ind w:firstLine="544"/>
        <w:jc w:val="both"/>
        <w:rPr>
          <w:rFonts w:ascii="宋体" w:hAnsi="宋体" w:cs="宋体"/>
          <w:color w:val="auto"/>
          <w:sz w:val="24"/>
        </w:rPr>
      </w:pPr>
      <w:r>
        <w:rPr>
          <w:rFonts w:hint="eastAsia" w:ascii="宋体" w:hAnsi="宋体" w:cs="宋体"/>
          <w:color w:val="auto"/>
          <w:sz w:val="24"/>
        </w:rPr>
        <w:t>A.如果卖方未能按合同规定的期限或买方同意延长的限期内提供部分或者全部货物。</w:t>
      </w:r>
    </w:p>
    <w:p>
      <w:pPr>
        <w:pStyle w:val="120"/>
        <w:spacing w:line="360" w:lineRule="auto"/>
        <w:ind w:firstLine="544"/>
        <w:jc w:val="both"/>
        <w:rPr>
          <w:rFonts w:ascii="宋体" w:hAnsi="宋体" w:cs="宋体"/>
          <w:color w:val="auto"/>
          <w:sz w:val="24"/>
        </w:rPr>
      </w:pPr>
      <w:r>
        <w:rPr>
          <w:rFonts w:hint="eastAsia" w:ascii="宋体" w:hAnsi="宋体" w:cs="宋体"/>
          <w:color w:val="auto"/>
          <w:sz w:val="24"/>
        </w:rPr>
        <w:t>B.如果卖方未能履行合同规定的其他任何义务。</w:t>
      </w:r>
    </w:p>
    <w:p>
      <w:pPr>
        <w:pStyle w:val="120"/>
        <w:spacing w:line="360" w:lineRule="auto"/>
        <w:ind w:firstLine="560"/>
        <w:jc w:val="both"/>
        <w:rPr>
          <w:rFonts w:ascii="宋体" w:hAnsi="宋体" w:cs="宋体"/>
          <w:color w:val="auto"/>
          <w:sz w:val="24"/>
        </w:rPr>
      </w:pPr>
      <w:r>
        <w:rPr>
          <w:rFonts w:hint="eastAsia" w:ascii="宋体" w:hAnsi="宋体" w:cs="宋体"/>
          <w:color w:val="auto"/>
          <w:sz w:val="24"/>
        </w:rPr>
        <w:t>在上述任一情况下，卖方在收到买方发出的违约通知后30天内，或经买方书面认可延长的时间内未能矫正其过失。</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25.2 在买方根据上述第25.1条规定，终止了全部或部分合同，买方可以依其认为适当的条件和方法购买类似未交的货物和服务，卖方应对购买类似货物和服务所超出的费用部分负责。但是，卖方应继续执行合同中未终止部分。</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26. 转让和分包</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26.1 除买方事先书面同意外，卖方不得部分转让或全部转让其应履行的合同义务。</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26.2 如响应文件中没有明确分包合同，卖方应书面通知买方本合同中卖方所转授出的全部分包合同，但原响应文件或后来发出的通知均不能解除卖方履行本合同的义务。</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26.3 卖方对部分或全部转让其应履行的义务而确定的分包合同负全部责任，买方不承担任何责任和义务。</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27. 适用法律</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本合同按《中华人民共和国政府采购法》、《中华人民共和国民法典》中华人民共和国的法律进行解释。</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28. 合同生效及其他</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28.1 合同在买方、卖方双方签字后即开始生效。</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28.2 本合同一式四份，以中文书写。买、卖双方各执两份。</w:t>
      </w:r>
    </w:p>
    <w:p>
      <w:pPr>
        <w:pStyle w:val="120"/>
        <w:spacing w:line="360" w:lineRule="auto"/>
        <w:ind w:firstLine="480" w:firstLineChars="200"/>
        <w:jc w:val="both"/>
        <w:rPr>
          <w:rFonts w:ascii="宋体" w:hAnsi="宋体" w:cs="宋体"/>
          <w:color w:val="auto"/>
          <w:sz w:val="24"/>
        </w:rPr>
      </w:pPr>
      <w:r>
        <w:rPr>
          <w:rFonts w:hint="eastAsia" w:ascii="宋体" w:hAnsi="宋体" w:cs="宋体"/>
          <w:color w:val="auto"/>
          <w:sz w:val="24"/>
        </w:rPr>
        <w:t>28.3 采购文件、成交单位的响应文件、评标答疑记录及成交通知书都是本合同不可分割的一部分。</w:t>
      </w:r>
    </w:p>
    <w:p>
      <w:pPr>
        <w:pStyle w:val="18"/>
        <w:snapToGrid w:val="0"/>
        <w:spacing w:after="0" w:line="360" w:lineRule="auto"/>
        <w:ind w:firstLine="480" w:firstLineChars="200"/>
        <w:jc w:val="left"/>
        <w:rPr>
          <w:rFonts w:ascii="宋体" w:hAnsi="宋体" w:cs="宋体"/>
          <w:sz w:val="24"/>
          <w:szCs w:val="24"/>
        </w:rPr>
      </w:pPr>
      <w:r>
        <w:rPr>
          <w:rFonts w:hint="eastAsia" w:ascii="宋体" w:hAnsi="宋体" w:cs="宋体"/>
          <w:sz w:val="24"/>
          <w:szCs w:val="24"/>
        </w:rPr>
        <w:t>28.4如需修改或补充合同内容,经协商，买卖双方应签署书面修改或补充协议，该协议将作为本合同不可分割的一部分。</w:t>
      </w:r>
    </w:p>
    <w:p>
      <w:pPr>
        <w:pStyle w:val="18"/>
        <w:snapToGrid w:val="0"/>
        <w:spacing w:after="0" w:line="360" w:lineRule="auto"/>
        <w:ind w:firstLine="480" w:firstLineChars="200"/>
        <w:jc w:val="left"/>
        <w:rPr>
          <w:rFonts w:ascii="宋体" w:hAnsi="宋体" w:cs="宋体"/>
          <w:sz w:val="24"/>
          <w:szCs w:val="24"/>
        </w:rPr>
      </w:pPr>
      <w:r>
        <w:rPr>
          <w:rFonts w:hint="eastAsia" w:ascii="宋体" w:hAnsi="宋体" w:cs="宋体"/>
          <w:sz w:val="24"/>
          <w:szCs w:val="24"/>
        </w:rPr>
        <w:t>单位：                                    单位：</w:t>
      </w:r>
    </w:p>
    <w:p>
      <w:pPr>
        <w:pStyle w:val="18"/>
        <w:snapToGrid w:val="0"/>
        <w:spacing w:after="0" w:line="360" w:lineRule="auto"/>
        <w:ind w:firstLine="480" w:firstLineChars="200"/>
        <w:jc w:val="left"/>
        <w:rPr>
          <w:rFonts w:ascii="宋体" w:hAnsi="宋体" w:cs="宋体"/>
          <w:sz w:val="24"/>
          <w:szCs w:val="24"/>
        </w:rPr>
      </w:pPr>
      <w:r>
        <w:rPr>
          <w:rFonts w:hint="eastAsia" w:ascii="宋体" w:hAnsi="宋体" w:cs="宋体"/>
          <w:sz w:val="24"/>
          <w:szCs w:val="24"/>
        </w:rPr>
        <w:t>授权代表：                                授权代表：</w:t>
      </w:r>
    </w:p>
    <w:p>
      <w:pPr>
        <w:pStyle w:val="18"/>
        <w:snapToGrid w:val="0"/>
        <w:spacing w:after="0" w:line="360" w:lineRule="auto"/>
        <w:ind w:firstLine="480" w:firstLineChars="200"/>
        <w:jc w:val="left"/>
        <w:rPr>
          <w:rFonts w:ascii="宋体" w:hAnsi="宋体" w:cs="宋体"/>
          <w:sz w:val="24"/>
          <w:szCs w:val="24"/>
        </w:rPr>
      </w:pPr>
      <w:r>
        <w:rPr>
          <w:rFonts w:hint="eastAsia" w:ascii="宋体" w:hAnsi="宋体" w:cs="宋体"/>
          <w:sz w:val="24"/>
          <w:szCs w:val="24"/>
        </w:rPr>
        <w:t>联系电话：                                联系电话：</w:t>
      </w:r>
    </w:p>
    <w:p>
      <w:pPr>
        <w:pStyle w:val="18"/>
        <w:snapToGrid w:val="0"/>
        <w:spacing w:after="0" w:line="360" w:lineRule="auto"/>
        <w:ind w:firstLine="480" w:firstLineChars="200"/>
        <w:jc w:val="left"/>
        <w:rPr>
          <w:rFonts w:ascii="宋体" w:hAnsi="宋体" w:cs="宋体"/>
          <w:sz w:val="24"/>
          <w:szCs w:val="24"/>
        </w:rPr>
      </w:pPr>
      <w:r>
        <w:rPr>
          <w:rFonts w:hint="eastAsia" w:ascii="宋体" w:hAnsi="宋体" w:cs="宋体"/>
          <w:sz w:val="24"/>
          <w:szCs w:val="24"/>
        </w:rPr>
        <w:t>传真：                                    传 真：</w:t>
      </w:r>
    </w:p>
    <w:p>
      <w:pPr>
        <w:pStyle w:val="18"/>
        <w:tabs>
          <w:tab w:val="left" w:pos="2880"/>
        </w:tabs>
        <w:snapToGrid w:val="0"/>
        <w:spacing w:after="0" w:line="360" w:lineRule="auto"/>
        <w:ind w:firstLine="480" w:firstLineChars="200"/>
        <w:jc w:val="left"/>
        <w:rPr>
          <w:rFonts w:ascii="宋体" w:hAnsi="宋体" w:cs="宋体"/>
          <w:sz w:val="24"/>
          <w:szCs w:val="24"/>
        </w:rPr>
      </w:pPr>
      <w:r>
        <w:rPr>
          <w:rFonts w:hint="eastAsia" w:ascii="宋体" w:hAnsi="宋体" w:cs="宋体"/>
          <w:sz w:val="24"/>
          <w:szCs w:val="24"/>
        </w:rPr>
        <w:t>地址：                                    地址：</w:t>
      </w:r>
    </w:p>
    <w:p>
      <w:pPr>
        <w:pStyle w:val="18"/>
        <w:tabs>
          <w:tab w:val="left" w:pos="2880"/>
        </w:tabs>
        <w:snapToGrid w:val="0"/>
        <w:spacing w:after="0" w:line="360" w:lineRule="auto"/>
        <w:ind w:firstLine="480" w:firstLineChars="200"/>
        <w:jc w:val="left"/>
        <w:rPr>
          <w:rFonts w:ascii="宋体" w:hAnsi="宋体" w:cs="宋体"/>
          <w:sz w:val="24"/>
          <w:szCs w:val="24"/>
        </w:rPr>
      </w:pPr>
      <w:r>
        <w:rPr>
          <w:rFonts w:hint="eastAsia" w:ascii="宋体" w:hAnsi="宋体" w:cs="宋体"/>
          <w:sz w:val="24"/>
          <w:szCs w:val="24"/>
        </w:rPr>
        <w:t>邮编：                                    邮编：</w:t>
      </w:r>
    </w:p>
    <w:p>
      <w:pPr>
        <w:pStyle w:val="18"/>
        <w:tabs>
          <w:tab w:val="left" w:pos="2880"/>
        </w:tabs>
        <w:snapToGrid w:val="0"/>
        <w:spacing w:after="0" w:line="360" w:lineRule="auto"/>
        <w:ind w:firstLine="480" w:firstLineChars="200"/>
        <w:jc w:val="left"/>
        <w:rPr>
          <w:rFonts w:ascii="宋体" w:hAnsi="宋体" w:cs="宋体"/>
          <w:sz w:val="24"/>
          <w:szCs w:val="24"/>
        </w:rPr>
      </w:pPr>
      <w:r>
        <w:rPr>
          <w:rFonts w:hint="eastAsia" w:ascii="宋体" w:hAnsi="宋体" w:cs="宋体"/>
          <w:sz w:val="24"/>
          <w:szCs w:val="24"/>
        </w:rPr>
        <w:t>开户银行：                                开户银行：</w:t>
      </w:r>
    </w:p>
    <w:p>
      <w:pPr>
        <w:pStyle w:val="18"/>
        <w:tabs>
          <w:tab w:val="left" w:pos="2880"/>
        </w:tabs>
        <w:snapToGrid w:val="0"/>
        <w:spacing w:after="0" w:line="360" w:lineRule="auto"/>
        <w:ind w:firstLine="480" w:firstLineChars="200"/>
        <w:jc w:val="left"/>
        <w:rPr>
          <w:rFonts w:ascii="宋体" w:hAnsi="宋体" w:cs="宋体"/>
          <w:sz w:val="24"/>
          <w:szCs w:val="24"/>
        </w:rPr>
      </w:pPr>
      <w:r>
        <w:rPr>
          <w:rFonts w:hint="eastAsia" w:ascii="宋体" w:hAnsi="宋体" w:cs="宋体"/>
          <w:sz w:val="24"/>
          <w:szCs w:val="24"/>
        </w:rPr>
        <w:t>帐号：                                    帐号：</w:t>
      </w:r>
    </w:p>
    <w:p>
      <w:pPr>
        <w:pStyle w:val="18"/>
        <w:tabs>
          <w:tab w:val="left" w:pos="2880"/>
        </w:tabs>
        <w:snapToGrid w:val="0"/>
        <w:spacing w:after="0" w:line="360" w:lineRule="auto"/>
        <w:ind w:firstLine="480" w:firstLineChars="200"/>
        <w:jc w:val="left"/>
        <w:rPr>
          <w:rFonts w:ascii="宋体" w:hAnsi="宋体" w:cs="宋体"/>
          <w:sz w:val="24"/>
          <w:szCs w:val="24"/>
        </w:rPr>
      </w:pPr>
      <w:r>
        <w:rPr>
          <w:rFonts w:hint="eastAsia" w:ascii="宋体" w:hAnsi="宋体" w:cs="宋体"/>
          <w:sz w:val="24"/>
          <w:szCs w:val="24"/>
        </w:rPr>
        <w:t>税号：                                    税号：</w:t>
      </w:r>
    </w:p>
    <w:p>
      <w:pPr>
        <w:spacing w:line="360" w:lineRule="auto"/>
        <w:ind w:firstLine="480" w:firstLineChars="200"/>
        <w:jc w:val="left"/>
        <w:rPr>
          <w:rFonts w:ascii="宋体" w:hAnsi="宋体" w:cs="宋体"/>
          <w:color w:val="000000"/>
          <w:sz w:val="24"/>
          <w:szCs w:val="24"/>
        </w:rPr>
      </w:pPr>
      <w:r>
        <w:rPr>
          <w:rFonts w:hint="eastAsia" w:ascii="宋体" w:hAnsi="宋体" w:cs="宋体"/>
          <w:sz w:val="24"/>
          <w:szCs w:val="24"/>
        </w:rPr>
        <w:t>日期：    年  月   日                     日期：   年  月   日</w:t>
      </w:r>
    </w:p>
    <w:p>
      <w:pPr>
        <w:spacing w:line="360" w:lineRule="auto"/>
        <w:ind w:firstLine="482" w:firstLineChars="200"/>
        <w:rPr>
          <w:b/>
          <w:bCs/>
          <w:sz w:val="24"/>
          <w:szCs w:val="24"/>
        </w:rPr>
      </w:pPr>
      <w:r>
        <w:rPr>
          <w:rFonts w:hint="eastAsia"/>
          <w:b/>
          <w:bCs/>
          <w:sz w:val="24"/>
          <w:szCs w:val="24"/>
        </w:rPr>
        <w:t>注：上述合同条款仅为参考模板，双方全部的权利和义务以成交后签署的文件为准，</w:t>
      </w:r>
    </w:p>
    <w:p>
      <w:pPr>
        <w:spacing w:line="360" w:lineRule="auto"/>
        <w:ind w:firstLine="482" w:firstLineChars="200"/>
        <w:rPr>
          <w:b/>
          <w:bCs/>
          <w:sz w:val="24"/>
          <w:szCs w:val="24"/>
        </w:rPr>
      </w:pPr>
      <w:r>
        <w:rPr>
          <w:rFonts w:hint="eastAsia"/>
          <w:b/>
          <w:bCs/>
          <w:sz w:val="24"/>
          <w:szCs w:val="24"/>
        </w:rPr>
        <w:t>未尽事宜双方协商解决。</w:t>
      </w:r>
    </w:p>
    <w:bookmarkEnd w:id="90"/>
    <w:bookmarkEnd w:id="91"/>
    <w:bookmarkEnd w:id="92"/>
    <w:p>
      <w:pPr>
        <w:spacing w:line="360" w:lineRule="auto"/>
        <w:ind w:firstLine="480" w:firstLineChars="200"/>
        <w:rPr>
          <w:rFonts w:ascii="宋体" w:hAnsi="宋体" w:cs="宋体"/>
          <w:kern w:val="0"/>
          <w:sz w:val="24"/>
          <w:szCs w:val="22"/>
        </w:rPr>
      </w:pPr>
    </w:p>
    <w:p>
      <w:pPr>
        <w:outlineLvl w:val="0"/>
        <w:rPr>
          <w:rFonts w:ascii="宋体" w:hAnsi="宋体" w:cs="宋体"/>
          <w:sz w:val="28"/>
          <w:szCs w:val="24"/>
        </w:rPr>
      </w:pPr>
      <w:bookmarkStart w:id="93" w:name="_Toc3720"/>
      <w:bookmarkStart w:id="94" w:name="_Toc10782"/>
    </w:p>
    <w:p>
      <w:pPr>
        <w:outlineLvl w:val="0"/>
        <w:rPr>
          <w:rFonts w:ascii="宋体" w:hAnsi="宋体" w:cs="宋体"/>
          <w:sz w:val="28"/>
          <w:szCs w:val="24"/>
        </w:rPr>
      </w:pPr>
    </w:p>
    <w:p>
      <w:pPr>
        <w:outlineLvl w:val="0"/>
        <w:rPr>
          <w:rFonts w:ascii="宋体" w:hAnsi="宋体" w:cs="宋体"/>
          <w:sz w:val="28"/>
          <w:szCs w:val="24"/>
        </w:rPr>
      </w:pPr>
    </w:p>
    <w:p>
      <w:pPr>
        <w:outlineLvl w:val="0"/>
        <w:rPr>
          <w:rFonts w:ascii="宋体" w:hAnsi="宋体" w:cs="宋体"/>
          <w:sz w:val="28"/>
          <w:szCs w:val="24"/>
        </w:rPr>
      </w:pPr>
    </w:p>
    <w:p>
      <w:pPr>
        <w:pStyle w:val="24"/>
        <w:rPr>
          <w:rFonts w:cs="宋体"/>
          <w:sz w:val="28"/>
          <w:szCs w:val="24"/>
        </w:rPr>
      </w:pPr>
    </w:p>
    <w:p>
      <w:pPr>
        <w:pStyle w:val="24"/>
        <w:rPr>
          <w:rFonts w:cs="宋体"/>
          <w:sz w:val="28"/>
          <w:szCs w:val="24"/>
        </w:rPr>
      </w:pPr>
    </w:p>
    <w:p>
      <w:pPr>
        <w:outlineLvl w:val="0"/>
        <w:rPr>
          <w:rFonts w:ascii="宋体" w:hAnsi="宋体" w:cs="宋体"/>
          <w:sz w:val="28"/>
          <w:szCs w:val="24"/>
        </w:rPr>
      </w:pPr>
    </w:p>
    <w:p>
      <w:pPr>
        <w:outlineLvl w:val="0"/>
        <w:rPr>
          <w:rFonts w:ascii="宋体" w:hAnsi="宋体" w:cs="宋体"/>
          <w:sz w:val="28"/>
          <w:szCs w:val="24"/>
        </w:rPr>
      </w:pPr>
    </w:p>
    <w:p>
      <w:pPr>
        <w:outlineLvl w:val="0"/>
        <w:rPr>
          <w:rFonts w:ascii="宋体" w:hAnsi="宋体" w:cs="宋体"/>
          <w:sz w:val="28"/>
          <w:szCs w:val="24"/>
        </w:rPr>
      </w:pPr>
    </w:p>
    <w:p>
      <w:pPr>
        <w:outlineLvl w:val="0"/>
        <w:rPr>
          <w:rFonts w:ascii="宋体" w:hAnsi="宋体" w:cs="宋体"/>
          <w:sz w:val="28"/>
          <w:szCs w:val="24"/>
        </w:rPr>
      </w:pPr>
    </w:p>
    <w:p>
      <w:pPr>
        <w:outlineLvl w:val="0"/>
        <w:rPr>
          <w:rFonts w:ascii="宋体" w:hAnsi="宋体" w:cs="宋体"/>
          <w:sz w:val="28"/>
          <w:szCs w:val="24"/>
        </w:rPr>
      </w:pPr>
    </w:p>
    <w:p>
      <w:pPr>
        <w:outlineLvl w:val="0"/>
        <w:rPr>
          <w:rFonts w:ascii="宋体" w:hAnsi="宋体" w:cs="宋体"/>
          <w:sz w:val="28"/>
          <w:szCs w:val="24"/>
        </w:rPr>
      </w:pPr>
      <w:bookmarkStart w:id="95" w:name="_Toc3900"/>
      <w:r>
        <w:rPr>
          <w:rFonts w:hint="eastAsia" w:ascii="宋体" w:hAnsi="宋体" w:cs="宋体"/>
          <w:sz w:val="28"/>
          <w:szCs w:val="24"/>
        </w:rPr>
        <w:t>(附件：主要响应文件的格式)</w:t>
      </w:r>
      <w:bookmarkEnd w:id="93"/>
      <w:bookmarkEnd w:id="94"/>
      <w:bookmarkEnd w:id="95"/>
    </w:p>
    <w:p>
      <w:pPr>
        <w:pStyle w:val="91"/>
        <w:rPr>
          <w:rFonts w:ascii="宋体" w:hAnsi="宋体" w:cs="宋体"/>
          <w:b/>
          <w:color w:val="auto"/>
          <w:sz w:val="36"/>
        </w:rPr>
      </w:pPr>
    </w:p>
    <w:p>
      <w:pPr>
        <w:pStyle w:val="91"/>
        <w:rPr>
          <w:rFonts w:ascii="宋体" w:hAnsi="宋体" w:cs="宋体"/>
          <w:b/>
          <w:color w:val="auto"/>
          <w:sz w:val="36"/>
        </w:rPr>
      </w:pPr>
    </w:p>
    <w:p>
      <w:pPr>
        <w:pStyle w:val="91"/>
        <w:rPr>
          <w:rFonts w:ascii="宋体" w:hAnsi="宋体" w:cs="宋体"/>
          <w:b/>
          <w:color w:val="auto"/>
          <w:sz w:val="36"/>
        </w:rPr>
      </w:pPr>
    </w:p>
    <w:p>
      <w:pPr>
        <w:jc w:val="center"/>
        <w:rPr>
          <w:rFonts w:ascii="宋体" w:hAnsi="宋体" w:cs="宋体"/>
          <w:b/>
          <w:bCs/>
          <w:sz w:val="28"/>
          <w:szCs w:val="28"/>
        </w:rPr>
      </w:pPr>
      <w:bookmarkStart w:id="96" w:name="_Toc32268"/>
      <w:bookmarkStart w:id="97" w:name="_Toc23174"/>
      <w:r>
        <w:rPr>
          <w:rFonts w:hint="eastAsia" w:ascii="宋体" w:hAnsi="宋体" w:cs="宋体"/>
          <w:b/>
          <w:bCs/>
          <w:sz w:val="28"/>
          <w:szCs w:val="28"/>
        </w:rPr>
        <w:t>采购项目磋商书</w:t>
      </w:r>
      <w:bookmarkEnd w:id="96"/>
      <w:bookmarkEnd w:id="97"/>
    </w:p>
    <w:p>
      <w:pPr>
        <w:pStyle w:val="91"/>
        <w:jc w:val="both"/>
        <w:rPr>
          <w:rFonts w:ascii="宋体" w:hAnsi="宋体" w:cs="宋体"/>
          <w:color w:val="auto"/>
          <w:sz w:val="28"/>
          <w:szCs w:val="28"/>
        </w:rPr>
      </w:pPr>
    </w:p>
    <w:p>
      <w:pPr>
        <w:pStyle w:val="91"/>
        <w:jc w:val="both"/>
        <w:rPr>
          <w:rFonts w:ascii="宋体" w:hAnsi="宋体" w:cs="宋体"/>
          <w:color w:val="auto"/>
          <w:sz w:val="28"/>
          <w:szCs w:val="28"/>
        </w:rPr>
      </w:pPr>
    </w:p>
    <w:p>
      <w:pPr>
        <w:rPr>
          <w:rFonts w:ascii="宋体" w:hAnsi="宋体" w:cs="宋体"/>
          <w:sz w:val="28"/>
          <w:szCs w:val="28"/>
        </w:rPr>
      </w:pPr>
    </w:p>
    <w:p>
      <w:pPr>
        <w:spacing w:line="360" w:lineRule="auto"/>
        <w:rPr>
          <w:rFonts w:ascii="宋体" w:hAnsi="宋体" w:cs="宋体"/>
          <w:sz w:val="28"/>
          <w:szCs w:val="28"/>
        </w:rPr>
      </w:pPr>
      <w:bookmarkStart w:id="98" w:name="_Toc17221"/>
      <w:bookmarkStart w:id="99" w:name="_Toc26237"/>
      <w:r>
        <w:rPr>
          <w:rFonts w:hint="eastAsia" w:ascii="宋体" w:hAnsi="宋体" w:cs="宋体"/>
          <w:sz w:val="28"/>
          <w:szCs w:val="28"/>
        </w:rPr>
        <w:t>采购项目名称：</w:t>
      </w:r>
      <w:bookmarkEnd w:id="98"/>
      <w:bookmarkEnd w:id="99"/>
    </w:p>
    <w:p>
      <w:pPr>
        <w:spacing w:line="360" w:lineRule="auto"/>
        <w:rPr>
          <w:rFonts w:ascii="宋体" w:hAnsi="宋体" w:cs="宋体"/>
          <w:sz w:val="28"/>
          <w:szCs w:val="28"/>
        </w:rPr>
      </w:pPr>
      <w:r>
        <w:rPr>
          <w:rFonts w:hint="eastAsia" w:ascii="宋体" w:hAnsi="宋体" w:cs="宋体"/>
          <w:sz w:val="28"/>
          <w:szCs w:val="28"/>
        </w:rPr>
        <w:t xml:space="preserve">             </w:t>
      </w:r>
    </w:p>
    <w:p>
      <w:pPr>
        <w:spacing w:line="360" w:lineRule="auto"/>
        <w:rPr>
          <w:rFonts w:ascii="宋体" w:hAnsi="宋体" w:cs="宋体"/>
          <w:sz w:val="28"/>
          <w:szCs w:val="28"/>
        </w:rPr>
      </w:pPr>
      <w:bookmarkStart w:id="100" w:name="_Toc30813"/>
      <w:bookmarkStart w:id="101" w:name="_Toc5410"/>
      <w:r>
        <w:rPr>
          <w:rFonts w:hint="eastAsia" w:ascii="宋体" w:hAnsi="宋体" w:cs="宋体"/>
          <w:sz w:val="28"/>
          <w:szCs w:val="28"/>
        </w:rPr>
        <w:t>采购文件编号：</w:t>
      </w:r>
      <w:bookmarkEnd w:id="100"/>
      <w:bookmarkEnd w:id="101"/>
      <w:r>
        <w:rPr>
          <w:rFonts w:hint="eastAsia" w:ascii="宋体" w:hAnsi="宋体" w:cs="宋体"/>
          <w:sz w:val="28"/>
          <w:szCs w:val="28"/>
        </w:rPr>
        <w:t xml:space="preserve"> </w:t>
      </w:r>
    </w:p>
    <w:p>
      <w:pPr>
        <w:spacing w:line="360" w:lineRule="auto"/>
        <w:rPr>
          <w:rFonts w:ascii="宋体" w:hAnsi="宋体" w:cs="宋体"/>
          <w:sz w:val="28"/>
          <w:szCs w:val="28"/>
        </w:rPr>
      </w:pPr>
    </w:p>
    <w:p>
      <w:pPr>
        <w:spacing w:line="360" w:lineRule="auto"/>
        <w:rPr>
          <w:rFonts w:ascii="宋体" w:hAnsi="宋体" w:cs="宋体"/>
          <w:sz w:val="28"/>
          <w:szCs w:val="28"/>
        </w:rPr>
      </w:pPr>
      <w:bookmarkStart w:id="102" w:name="_Toc17332"/>
      <w:bookmarkStart w:id="103" w:name="_Toc20622"/>
      <w:r>
        <w:rPr>
          <w:rFonts w:hint="eastAsia" w:ascii="宋体" w:hAnsi="宋体" w:cs="宋体"/>
          <w:sz w:val="28"/>
          <w:szCs w:val="28"/>
        </w:rPr>
        <w:t>供 应 商 （盖公章）：</w:t>
      </w:r>
      <w:bookmarkEnd w:id="102"/>
      <w:bookmarkEnd w:id="103"/>
      <w:r>
        <w:rPr>
          <w:rFonts w:hint="eastAsia" w:ascii="宋体" w:hAnsi="宋体" w:cs="宋体"/>
          <w:sz w:val="28"/>
          <w:szCs w:val="28"/>
        </w:rPr>
        <w:t xml:space="preserve"> </w:t>
      </w:r>
    </w:p>
    <w:p>
      <w:pPr>
        <w:spacing w:line="360" w:lineRule="auto"/>
        <w:rPr>
          <w:rFonts w:ascii="宋体" w:hAnsi="宋体" w:cs="宋体"/>
          <w:sz w:val="28"/>
          <w:szCs w:val="28"/>
        </w:rPr>
      </w:pPr>
    </w:p>
    <w:p>
      <w:pPr>
        <w:spacing w:line="360" w:lineRule="auto"/>
        <w:rPr>
          <w:rFonts w:ascii="宋体" w:hAnsi="宋体" w:cs="宋体"/>
          <w:sz w:val="28"/>
          <w:szCs w:val="28"/>
        </w:rPr>
      </w:pPr>
      <w:bookmarkStart w:id="104" w:name="_Toc12848"/>
      <w:bookmarkStart w:id="105" w:name="_Toc4154"/>
      <w:r>
        <w:rPr>
          <w:rFonts w:hint="eastAsia" w:ascii="宋体" w:hAnsi="宋体" w:cs="宋体"/>
          <w:sz w:val="28"/>
          <w:szCs w:val="28"/>
        </w:rPr>
        <w:t>供应商全权代表（签字）：</w:t>
      </w:r>
      <w:bookmarkEnd w:id="104"/>
      <w:bookmarkEnd w:id="105"/>
      <w:r>
        <w:rPr>
          <w:rFonts w:hint="eastAsia" w:ascii="宋体" w:hAnsi="宋体" w:cs="宋体"/>
          <w:sz w:val="28"/>
          <w:szCs w:val="28"/>
        </w:rPr>
        <w:t xml:space="preserve"> </w:t>
      </w:r>
    </w:p>
    <w:p>
      <w:pPr>
        <w:spacing w:line="360" w:lineRule="auto"/>
        <w:rPr>
          <w:rFonts w:ascii="宋体" w:hAnsi="宋体" w:cs="宋体"/>
          <w:sz w:val="28"/>
          <w:szCs w:val="28"/>
        </w:rPr>
      </w:pPr>
      <w:r>
        <w:rPr>
          <w:rFonts w:hint="eastAsia" w:ascii="宋体" w:hAnsi="宋体" w:cs="宋体"/>
          <w:sz w:val="28"/>
          <w:szCs w:val="28"/>
        </w:rPr>
        <w:t xml:space="preserve"> </w:t>
      </w: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 xml:space="preserve"> </w:t>
      </w:r>
    </w:p>
    <w:p>
      <w:pPr>
        <w:pStyle w:val="91"/>
        <w:jc w:val="both"/>
        <w:rPr>
          <w:rFonts w:ascii="宋体" w:hAnsi="宋体" w:cs="宋体"/>
          <w:color w:val="auto"/>
          <w:sz w:val="28"/>
          <w:szCs w:val="28"/>
        </w:rPr>
      </w:pPr>
    </w:p>
    <w:p>
      <w:pPr>
        <w:pStyle w:val="91"/>
        <w:jc w:val="both"/>
        <w:rPr>
          <w:rFonts w:ascii="宋体" w:hAnsi="宋体" w:cs="宋体"/>
          <w:color w:val="auto"/>
          <w:sz w:val="28"/>
          <w:szCs w:val="28"/>
        </w:rPr>
      </w:pPr>
    </w:p>
    <w:p>
      <w:pPr>
        <w:pStyle w:val="91"/>
        <w:jc w:val="both"/>
        <w:rPr>
          <w:rFonts w:ascii="宋体" w:hAnsi="宋体" w:cs="宋体"/>
          <w:color w:val="auto"/>
          <w:sz w:val="28"/>
          <w:szCs w:val="28"/>
        </w:rPr>
      </w:pPr>
    </w:p>
    <w:p>
      <w:pPr>
        <w:jc w:val="center"/>
        <w:rPr>
          <w:rFonts w:ascii="宋体" w:hAnsi="宋体" w:cs="宋体"/>
          <w:b/>
          <w:bCs/>
          <w:sz w:val="28"/>
          <w:szCs w:val="28"/>
        </w:rPr>
      </w:pPr>
      <w:bookmarkStart w:id="106" w:name="_Toc20248_WPSOffice_Level1"/>
      <w:bookmarkStart w:id="107" w:name="_Toc12901"/>
      <w:bookmarkStart w:id="108" w:name="_Toc21130"/>
      <w:bookmarkStart w:id="109" w:name="_Toc12568_WPSOffice_Level1"/>
      <w:r>
        <w:rPr>
          <w:rFonts w:hint="eastAsia" w:ascii="宋体" w:hAnsi="宋体" w:cs="宋体"/>
          <w:b/>
          <w:bCs/>
          <w:sz w:val="28"/>
          <w:szCs w:val="28"/>
        </w:rPr>
        <w:t>供应商简介</w:t>
      </w:r>
      <w:bookmarkEnd w:id="106"/>
      <w:bookmarkEnd w:id="107"/>
      <w:bookmarkEnd w:id="108"/>
      <w:bookmarkEnd w:id="109"/>
    </w:p>
    <w:p>
      <w:pPr>
        <w:pStyle w:val="91"/>
        <w:rPr>
          <w:rStyle w:val="96"/>
          <w:rFonts w:ascii="宋体" w:hAnsi="宋体" w:cs="宋体"/>
          <w:b/>
          <w:bCs/>
          <w:color w:val="auto"/>
          <w:sz w:val="28"/>
          <w:szCs w:val="28"/>
        </w:rPr>
      </w:pPr>
    </w:p>
    <w:p>
      <w:pPr>
        <w:pStyle w:val="91"/>
        <w:rPr>
          <w:rStyle w:val="96"/>
          <w:rFonts w:ascii="宋体" w:hAnsi="宋体" w:cs="宋体"/>
          <w:b/>
          <w:bCs/>
          <w:color w:val="auto"/>
          <w:sz w:val="28"/>
          <w:szCs w:val="28"/>
        </w:rPr>
      </w:pPr>
    </w:p>
    <w:p>
      <w:pPr>
        <w:pStyle w:val="91"/>
        <w:rPr>
          <w:rStyle w:val="96"/>
          <w:rFonts w:ascii="宋体" w:hAnsi="宋体" w:cs="宋体"/>
          <w:b/>
          <w:bCs/>
          <w:color w:val="auto"/>
          <w:sz w:val="28"/>
          <w:szCs w:val="28"/>
        </w:rPr>
      </w:pPr>
    </w:p>
    <w:p>
      <w:pPr>
        <w:spacing w:line="360" w:lineRule="auto"/>
        <w:rPr>
          <w:rFonts w:ascii="宋体" w:hAnsi="宋体" w:cs="宋体"/>
          <w:b/>
          <w:bCs/>
          <w:sz w:val="24"/>
          <w:szCs w:val="24"/>
        </w:rPr>
      </w:pPr>
      <w:bookmarkStart w:id="110" w:name="_Toc1583"/>
      <w:bookmarkStart w:id="111" w:name="_Toc11841"/>
      <w:r>
        <w:rPr>
          <w:rFonts w:hint="eastAsia" w:ascii="宋体" w:hAnsi="宋体" w:cs="宋体"/>
          <w:b/>
          <w:bCs/>
          <w:sz w:val="24"/>
          <w:szCs w:val="24"/>
        </w:rPr>
        <w:t>无格式要求，供应商自行拟定</w:t>
      </w:r>
      <w:bookmarkEnd w:id="110"/>
      <w:bookmarkEnd w:id="111"/>
    </w:p>
    <w:p>
      <w:pPr>
        <w:pStyle w:val="91"/>
        <w:spacing w:line="360" w:lineRule="auto"/>
        <w:rPr>
          <w:rStyle w:val="96"/>
          <w:rFonts w:ascii="宋体" w:hAnsi="宋体" w:cs="宋体"/>
          <w:b/>
          <w:bCs/>
          <w:color w:val="auto"/>
          <w:sz w:val="28"/>
          <w:szCs w:val="28"/>
        </w:rPr>
      </w:pPr>
    </w:p>
    <w:p>
      <w:pPr>
        <w:pStyle w:val="91"/>
        <w:spacing w:line="360" w:lineRule="auto"/>
        <w:rPr>
          <w:rStyle w:val="96"/>
          <w:rFonts w:ascii="宋体" w:hAnsi="宋体" w:cs="宋体"/>
          <w:b/>
          <w:bCs/>
          <w:color w:val="auto"/>
          <w:sz w:val="28"/>
          <w:szCs w:val="28"/>
        </w:rPr>
      </w:pPr>
    </w:p>
    <w:p>
      <w:pPr>
        <w:pStyle w:val="91"/>
        <w:spacing w:line="360" w:lineRule="auto"/>
        <w:rPr>
          <w:rStyle w:val="96"/>
          <w:rFonts w:ascii="宋体" w:hAnsi="宋体" w:cs="宋体"/>
          <w:b/>
          <w:bCs/>
          <w:color w:val="auto"/>
          <w:sz w:val="28"/>
          <w:szCs w:val="28"/>
        </w:rPr>
      </w:pPr>
    </w:p>
    <w:p>
      <w:pPr>
        <w:pStyle w:val="91"/>
        <w:spacing w:line="360" w:lineRule="auto"/>
        <w:rPr>
          <w:rStyle w:val="96"/>
          <w:rFonts w:ascii="宋体" w:hAnsi="宋体" w:cs="宋体"/>
          <w:b/>
          <w:bCs/>
          <w:color w:val="auto"/>
          <w:sz w:val="28"/>
          <w:szCs w:val="28"/>
        </w:rPr>
      </w:pPr>
    </w:p>
    <w:p>
      <w:pPr>
        <w:pStyle w:val="91"/>
        <w:spacing w:line="360" w:lineRule="auto"/>
        <w:rPr>
          <w:rStyle w:val="96"/>
          <w:rFonts w:ascii="宋体" w:hAnsi="宋体" w:cs="宋体"/>
          <w:b/>
          <w:bCs/>
          <w:color w:val="auto"/>
          <w:sz w:val="28"/>
          <w:szCs w:val="28"/>
        </w:rPr>
      </w:pPr>
    </w:p>
    <w:p>
      <w:pPr>
        <w:pStyle w:val="91"/>
        <w:spacing w:line="360" w:lineRule="auto"/>
        <w:rPr>
          <w:rStyle w:val="96"/>
          <w:rFonts w:ascii="宋体" w:hAnsi="宋体" w:cs="宋体"/>
          <w:b/>
          <w:bCs/>
          <w:color w:val="auto"/>
          <w:sz w:val="28"/>
          <w:szCs w:val="28"/>
        </w:rPr>
      </w:pPr>
    </w:p>
    <w:p>
      <w:pPr>
        <w:spacing w:line="360" w:lineRule="auto"/>
        <w:rPr>
          <w:rFonts w:ascii="宋体" w:hAnsi="宋体" w:cs="宋体"/>
          <w:b/>
          <w:bCs/>
          <w:sz w:val="28"/>
          <w:szCs w:val="28"/>
        </w:rPr>
      </w:pPr>
    </w:p>
    <w:p>
      <w:pPr>
        <w:spacing w:line="360" w:lineRule="auto"/>
        <w:rPr>
          <w:rFonts w:ascii="宋体" w:hAnsi="宋体" w:cs="宋体"/>
          <w:b/>
          <w:bCs/>
          <w:sz w:val="24"/>
          <w:szCs w:val="24"/>
        </w:rPr>
      </w:pPr>
      <w:bookmarkStart w:id="112" w:name="_Toc30985"/>
      <w:bookmarkStart w:id="113" w:name="_Toc3044"/>
      <w:r>
        <w:rPr>
          <w:rFonts w:hint="eastAsia" w:ascii="宋体" w:hAnsi="宋体" w:cs="宋体"/>
          <w:b/>
          <w:bCs/>
          <w:sz w:val="24"/>
          <w:szCs w:val="24"/>
        </w:rPr>
        <w:t>附：相关资质证明文件</w:t>
      </w:r>
      <w:bookmarkEnd w:id="112"/>
      <w:bookmarkEnd w:id="113"/>
    </w:p>
    <w:p>
      <w:pPr>
        <w:pStyle w:val="91"/>
        <w:rPr>
          <w:rStyle w:val="96"/>
          <w:rFonts w:ascii="宋体" w:hAnsi="宋体" w:cs="宋体"/>
          <w:b/>
          <w:bCs/>
          <w:color w:val="auto"/>
          <w:sz w:val="28"/>
          <w:szCs w:val="28"/>
        </w:rPr>
      </w:pPr>
    </w:p>
    <w:p>
      <w:pPr>
        <w:pStyle w:val="91"/>
        <w:jc w:val="center"/>
        <w:rPr>
          <w:rFonts w:ascii="宋体" w:hAnsi="宋体" w:cs="宋体"/>
          <w:b/>
          <w:color w:val="auto"/>
          <w:sz w:val="36"/>
        </w:rPr>
      </w:pPr>
    </w:p>
    <w:p>
      <w:pPr>
        <w:pStyle w:val="91"/>
        <w:jc w:val="center"/>
        <w:rPr>
          <w:rFonts w:ascii="宋体" w:hAnsi="宋体" w:cs="宋体"/>
          <w:b/>
          <w:color w:val="auto"/>
          <w:sz w:val="36"/>
        </w:rPr>
      </w:pPr>
    </w:p>
    <w:p>
      <w:pPr>
        <w:pStyle w:val="91"/>
        <w:jc w:val="center"/>
        <w:rPr>
          <w:rFonts w:ascii="宋体" w:hAnsi="宋体" w:cs="宋体"/>
          <w:b/>
          <w:color w:val="auto"/>
          <w:sz w:val="36"/>
        </w:rPr>
      </w:pPr>
    </w:p>
    <w:p>
      <w:pPr>
        <w:pStyle w:val="91"/>
        <w:jc w:val="center"/>
        <w:rPr>
          <w:rFonts w:ascii="宋体" w:hAnsi="宋体" w:cs="宋体"/>
          <w:b/>
          <w:color w:val="auto"/>
          <w:sz w:val="36"/>
        </w:rPr>
      </w:pPr>
    </w:p>
    <w:p>
      <w:pPr>
        <w:pStyle w:val="91"/>
        <w:jc w:val="center"/>
        <w:rPr>
          <w:rFonts w:ascii="宋体" w:hAnsi="宋体" w:cs="宋体"/>
          <w:b/>
          <w:color w:val="auto"/>
          <w:sz w:val="36"/>
        </w:rPr>
      </w:pPr>
    </w:p>
    <w:p>
      <w:pPr>
        <w:pStyle w:val="91"/>
        <w:jc w:val="center"/>
        <w:rPr>
          <w:rFonts w:ascii="宋体" w:hAnsi="宋体" w:cs="宋体"/>
          <w:b/>
          <w:color w:val="auto"/>
          <w:sz w:val="36"/>
        </w:rPr>
      </w:pPr>
    </w:p>
    <w:p>
      <w:pPr>
        <w:pStyle w:val="91"/>
        <w:outlineLvl w:val="1"/>
        <w:rPr>
          <w:rFonts w:ascii="宋体" w:hAnsi="宋体" w:cs="宋体"/>
          <w:b/>
          <w:color w:val="auto"/>
          <w:sz w:val="32"/>
          <w:szCs w:val="32"/>
        </w:rPr>
      </w:pPr>
      <w:bookmarkStart w:id="114" w:name="_Toc13194"/>
      <w:bookmarkStart w:id="115" w:name="_Toc28455"/>
      <w:bookmarkStart w:id="116" w:name="_Toc16431"/>
      <w:bookmarkStart w:id="117" w:name="_Toc29642"/>
    </w:p>
    <w:p>
      <w:pPr>
        <w:pStyle w:val="91"/>
        <w:outlineLvl w:val="1"/>
        <w:rPr>
          <w:rFonts w:ascii="宋体" w:hAnsi="宋体" w:cs="宋体"/>
          <w:b/>
          <w:color w:val="auto"/>
          <w:sz w:val="32"/>
          <w:szCs w:val="32"/>
        </w:rPr>
      </w:pPr>
    </w:p>
    <w:p>
      <w:pPr>
        <w:pStyle w:val="3"/>
        <w:jc w:val="left"/>
        <w:rPr>
          <w:rFonts w:ascii="宋体" w:hAnsi="宋体" w:eastAsia="宋体" w:cs="宋体"/>
          <w:b/>
          <w:bCs/>
          <w:sz w:val="32"/>
          <w:szCs w:val="32"/>
        </w:rPr>
      </w:pPr>
      <w:bookmarkStart w:id="118" w:name="_Toc2249"/>
      <w:r>
        <w:rPr>
          <w:rFonts w:hint="eastAsia" w:ascii="宋体" w:hAnsi="宋体" w:eastAsia="宋体" w:cs="宋体"/>
          <w:b/>
          <w:bCs/>
          <w:sz w:val="32"/>
          <w:szCs w:val="32"/>
        </w:rPr>
        <w:t>（附件一）</w:t>
      </w:r>
      <w:bookmarkEnd w:id="114"/>
      <w:bookmarkEnd w:id="115"/>
      <w:bookmarkEnd w:id="116"/>
      <w:bookmarkEnd w:id="117"/>
      <w:bookmarkEnd w:id="118"/>
    </w:p>
    <w:p>
      <w:pPr>
        <w:jc w:val="center"/>
        <w:rPr>
          <w:rFonts w:ascii="宋体" w:hAnsi="宋体" w:cs="宋体"/>
          <w:b/>
          <w:bCs/>
          <w:sz w:val="28"/>
          <w:szCs w:val="28"/>
        </w:rPr>
      </w:pPr>
      <w:bookmarkStart w:id="119" w:name="_Toc29099"/>
      <w:bookmarkStart w:id="120" w:name="_Toc21696"/>
      <w:bookmarkStart w:id="121" w:name="_Toc8264"/>
      <w:r>
        <w:rPr>
          <w:rFonts w:hint="eastAsia" w:ascii="宋体" w:hAnsi="宋体" w:cs="宋体"/>
          <w:b/>
          <w:bCs/>
          <w:sz w:val="28"/>
          <w:szCs w:val="28"/>
        </w:rPr>
        <w:t>竞争性磋商函</w:t>
      </w:r>
      <w:bookmarkEnd w:id="119"/>
      <w:bookmarkEnd w:id="120"/>
      <w:bookmarkEnd w:id="121"/>
    </w:p>
    <w:p>
      <w:pPr>
        <w:pStyle w:val="91"/>
        <w:spacing w:line="360" w:lineRule="exact"/>
        <w:jc w:val="both"/>
        <w:rPr>
          <w:rFonts w:ascii="宋体" w:hAnsi="宋体" w:cs="宋体"/>
          <w:b/>
          <w:bCs/>
          <w:color w:val="auto"/>
        </w:rPr>
      </w:pPr>
      <w:r>
        <w:rPr>
          <w:rFonts w:hint="eastAsia" w:ascii="宋体" w:hAnsi="宋体" w:cs="宋体"/>
          <w:b/>
          <w:bCs/>
          <w:color w:val="auto"/>
        </w:rPr>
        <w:t>新疆国文弘业招标有限公司：</w:t>
      </w:r>
    </w:p>
    <w:p>
      <w:pPr>
        <w:pStyle w:val="91"/>
        <w:spacing w:line="400" w:lineRule="exact"/>
        <w:ind w:firstLine="480" w:firstLineChars="200"/>
        <w:jc w:val="both"/>
        <w:rPr>
          <w:rFonts w:ascii="宋体" w:hAnsi="宋体" w:cs="宋体"/>
          <w:color w:val="auto"/>
        </w:rPr>
      </w:pPr>
      <w:bookmarkStart w:id="122" w:name="_Toc1471"/>
      <w:bookmarkStart w:id="123" w:name="_Toc32090"/>
      <w:bookmarkStart w:id="124" w:name="_Toc2062"/>
      <w:r>
        <w:rPr>
          <w:rFonts w:hint="eastAsia" w:ascii="宋体" w:hAnsi="宋体" w:cs="宋体"/>
          <w:color w:val="auto"/>
        </w:rPr>
        <w:t>我们收到你们</w:t>
      </w:r>
      <w:r>
        <w:rPr>
          <w:rFonts w:hint="eastAsia" w:ascii="宋体" w:hAnsi="宋体" w:cs="宋体"/>
          <w:color w:val="auto"/>
          <w:u w:val="single"/>
        </w:rPr>
        <w:t xml:space="preserve">               </w:t>
      </w:r>
      <w:r>
        <w:rPr>
          <w:rFonts w:hint="eastAsia" w:ascii="宋体" w:hAnsi="宋体" w:cs="宋体"/>
          <w:color w:val="auto"/>
        </w:rPr>
        <w:t>号采购文件，经认真研究，我们决定参加磋商。</w:t>
      </w:r>
    </w:p>
    <w:p>
      <w:pPr>
        <w:pStyle w:val="91"/>
        <w:spacing w:line="400" w:lineRule="exact"/>
        <w:ind w:firstLine="480" w:firstLineChars="200"/>
        <w:jc w:val="both"/>
        <w:rPr>
          <w:rFonts w:ascii="宋体" w:hAnsi="宋体" w:cs="宋体"/>
          <w:color w:val="auto"/>
        </w:rPr>
      </w:pPr>
      <w:r>
        <w:rPr>
          <w:rFonts w:hint="eastAsia" w:ascii="宋体" w:hAnsi="宋体" w:cs="宋体"/>
          <w:color w:val="auto"/>
        </w:rPr>
        <w:t xml:space="preserve">1.按照采购文件中的一切要求，提供采购货物磋商总价 </w:t>
      </w:r>
      <w:r>
        <w:rPr>
          <w:rFonts w:hint="eastAsia" w:ascii="宋体" w:hAnsi="宋体" w:cs="宋体"/>
          <w:color w:val="auto"/>
          <w:u w:val="single"/>
        </w:rPr>
        <w:t xml:space="preserve">       </w:t>
      </w:r>
      <w:r>
        <w:rPr>
          <w:rFonts w:hint="eastAsia" w:ascii="宋体" w:hAnsi="宋体" w:cs="宋体"/>
          <w:color w:val="auto"/>
        </w:rPr>
        <w:t>万元（人民币大写）：</w:t>
      </w:r>
      <w:r>
        <w:rPr>
          <w:rFonts w:hint="eastAsia" w:ascii="宋体" w:hAnsi="宋体" w:cs="宋体"/>
          <w:color w:val="auto"/>
          <w:u w:val="single"/>
        </w:rPr>
        <w:t xml:space="preserve">        </w:t>
      </w:r>
      <w:r>
        <w:rPr>
          <w:rFonts w:hint="eastAsia" w:ascii="宋体" w:hAnsi="宋体" w:cs="宋体"/>
          <w:color w:val="auto"/>
        </w:rPr>
        <w:t>。</w:t>
      </w:r>
    </w:p>
    <w:p>
      <w:pPr>
        <w:pStyle w:val="91"/>
        <w:spacing w:line="400" w:lineRule="exact"/>
        <w:ind w:firstLine="480" w:firstLineChars="200"/>
        <w:jc w:val="both"/>
        <w:rPr>
          <w:rFonts w:ascii="宋体" w:hAnsi="宋体" w:cs="宋体"/>
          <w:color w:val="auto"/>
        </w:rPr>
      </w:pPr>
      <w:r>
        <w:rPr>
          <w:rFonts w:hint="eastAsia" w:ascii="宋体" w:hAnsi="宋体" w:cs="宋体"/>
          <w:color w:val="auto"/>
        </w:rPr>
        <w:t>2.如果我们响应文件被接受，我们将履行采购文件中规定的每一项要求，按期、按质、按量完成交货和完工任务。</w:t>
      </w:r>
    </w:p>
    <w:p>
      <w:pPr>
        <w:pStyle w:val="91"/>
        <w:spacing w:line="400" w:lineRule="exact"/>
        <w:ind w:firstLine="480" w:firstLineChars="200"/>
        <w:jc w:val="both"/>
        <w:rPr>
          <w:rFonts w:ascii="宋体" w:hAnsi="宋体" w:cs="宋体"/>
          <w:color w:val="FF0000"/>
        </w:rPr>
      </w:pPr>
      <w:r>
        <w:rPr>
          <w:rFonts w:hint="eastAsia" w:ascii="宋体" w:hAnsi="宋体" w:cs="宋体"/>
          <w:color w:val="000000" w:themeColor="text1"/>
        </w:rPr>
        <w:t>3.我们同意按采购文件的规定，本响应文件的有效期为磋商后</w:t>
      </w:r>
      <w:r>
        <w:rPr>
          <w:rFonts w:hint="eastAsia" w:ascii="宋体" w:hAnsi="宋体" w:cs="宋体"/>
          <w:color w:val="000000" w:themeColor="text1"/>
          <w:u w:val="single"/>
        </w:rPr>
        <w:t xml:space="preserve">    </w:t>
      </w:r>
      <w:r>
        <w:rPr>
          <w:rFonts w:hint="eastAsia" w:ascii="宋体" w:hAnsi="宋体" w:cs="宋体"/>
          <w:color w:val="000000" w:themeColor="text1"/>
        </w:rPr>
        <w:t>天。</w:t>
      </w:r>
    </w:p>
    <w:p>
      <w:pPr>
        <w:pStyle w:val="91"/>
        <w:spacing w:line="400" w:lineRule="exact"/>
        <w:ind w:firstLine="480" w:firstLineChars="200"/>
        <w:jc w:val="both"/>
        <w:rPr>
          <w:rFonts w:ascii="宋体" w:hAnsi="宋体" w:cs="宋体"/>
          <w:color w:val="auto"/>
        </w:rPr>
      </w:pPr>
      <w:r>
        <w:rPr>
          <w:rFonts w:hint="eastAsia" w:ascii="宋体" w:hAnsi="宋体" w:cs="宋体"/>
          <w:color w:val="auto"/>
        </w:rPr>
        <w:t>4.我们愿意提供采购人在采购文件中要求的所有资料。</w:t>
      </w:r>
    </w:p>
    <w:p>
      <w:pPr>
        <w:pStyle w:val="91"/>
        <w:spacing w:line="400" w:lineRule="exact"/>
        <w:ind w:firstLine="480" w:firstLineChars="200"/>
        <w:jc w:val="both"/>
        <w:rPr>
          <w:rFonts w:ascii="宋体" w:hAnsi="宋体" w:cs="宋体"/>
          <w:color w:val="auto"/>
        </w:rPr>
      </w:pPr>
      <w:r>
        <w:rPr>
          <w:rFonts w:hint="eastAsia" w:ascii="宋体" w:hAnsi="宋体" w:cs="宋体"/>
          <w:color w:val="auto"/>
        </w:rPr>
        <w:t>5.我们认为你们有选择或拒绝任何供应商的权力。我们理解，最低报价不是成交的唯一条件。</w:t>
      </w:r>
    </w:p>
    <w:p>
      <w:pPr>
        <w:pStyle w:val="91"/>
        <w:spacing w:line="400" w:lineRule="exact"/>
        <w:ind w:firstLine="480" w:firstLineChars="200"/>
        <w:jc w:val="both"/>
        <w:rPr>
          <w:rFonts w:ascii="宋体" w:hAnsi="宋体" w:cs="宋体"/>
          <w:color w:val="auto"/>
        </w:rPr>
      </w:pPr>
      <w:r>
        <w:rPr>
          <w:rFonts w:hint="eastAsia" w:ascii="宋体" w:hAnsi="宋体" w:cs="宋体"/>
          <w:color w:val="auto"/>
        </w:rPr>
        <w:t>6.我们愿按合同法履行自己的全部责任。</w:t>
      </w:r>
    </w:p>
    <w:p>
      <w:pPr>
        <w:pStyle w:val="91"/>
        <w:spacing w:line="400" w:lineRule="exact"/>
        <w:ind w:firstLine="480" w:firstLineChars="200"/>
        <w:jc w:val="both"/>
        <w:rPr>
          <w:rFonts w:ascii="宋体" w:hAnsi="宋体" w:cs="宋体"/>
          <w:color w:val="auto"/>
        </w:rPr>
      </w:pPr>
      <w:r>
        <w:rPr>
          <w:rFonts w:hint="eastAsia" w:ascii="宋体" w:hAnsi="宋体" w:cs="宋体"/>
          <w:color w:val="auto"/>
        </w:rPr>
        <w:t>7.我方愿意遵守国家有关规定及采购文件中规定的收费标准，承付成交服务费。</w:t>
      </w:r>
    </w:p>
    <w:p>
      <w:pPr>
        <w:pStyle w:val="91"/>
        <w:spacing w:line="400" w:lineRule="exact"/>
        <w:ind w:firstLine="480" w:firstLineChars="200"/>
        <w:jc w:val="both"/>
        <w:rPr>
          <w:rFonts w:ascii="宋体" w:hAnsi="宋体" w:cs="宋体"/>
          <w:color w:val="auto"/>
        </w:rPr>
      </w:pPr>
      <w:r>
        <w:rPr>
          <w:rFonts w:hint="eastAsia" w:ascii="宋体" w:hAnsi="宋体" w:cs="宋体"/>
          <w:color w:val="auto"/>
        </w:rPr>
        <w:t>8.该项磋商在磋商后的全过程中保持有效，不作任何更改和变动。</w:t>
      </w:r>
    </w:p>
    <w:p>
      <w:pPr>
        <w:pStyle w:val="91"/>
        <w:spacing w:line="400" w:lineRule="exact"/>
        <w:ind w:firstLine="480" w:firstLineChars="200"/>
        <w:jc w:val="both"/>
        <w:rPr>
          <w:rFonts w:ascii="宋体" w:hAnsi="宋体" w:cs="宋体"/>
          <w:color w:val="auto"/>
        </w:rPr>
      </w:pPr>
      <w:r>
        <w:rPr>
          <w:rFonts w:hint="eastAsia" w:ascii="宋体" w:hAnsi="宋体" w:cs="宋体"/>
          <w:color w:val="auto"/>
        </w:rPr>
        <w:t>9.我们同意按采购文件规定，交纳</w:t>
      </w:r>
      <w:r>
        <w:rPr>
          <w:rFonts w:hint="eastAsia" w:ascii="宋体" w:hAnsi="宋体" w:cs="宋体"/>
          <w:color w:val="auto"/>
          <w:u w:val="single"/>
        </w:rPr>
        <w:t xml:space="preserve">           </w:t>
      </w:r>
      <w:r>
        <w:rPr>
          <w:rFonts w:hint="eastAsia" w:ascii="宋体" w:hAnsi="宋体" w:cs="宋体"/>
          <w:color w:val="auto"/>
        </w:rPr>
        <w:t>万元的磋商保证金。</w:t>
      </w:r>
    </w:p>
    <w:p>
      <w:pPr>
        <w:pStyle w:val="91"/>
        <w:spacing w:line="400" w:lineRule="exact"/>
        <w:ind w:firstLine="480" w:firstLineChars="200"/>
        <w:jc w:val="both"/>
        <w:rPr>
          <w:rFonts w:ascii="宋体" w:hAnsi="宋体" w:cs="宋体"/>
          <w:color w:val="auto"/>
        </w:rPr>
      </w:pPr>
      <w:r>
        <w:rPr>
          <w:rFonts w:hint="eastAsia" w:ascii="宋体" w:hAnsi="宋体" w:cs="宋体"/>
          <w:color w:val="auto"/>
        </w:rPr>
        <w:t>10.综合说明：</w:t>
      </w:r>
    </w:p>
    <w:p>
      <w:pPr>
        <w:pStyle w:val="91"/>
        <w:spacing w:line="400" w:lineRule="exact"/>
        <w:ind w:firstLine="480" w:firstLineChars="200"/>
        <w:jc w:val="both"/>
        <w:rPr>
          <w:rFonts w:ascii="宋体" w:hAnsi="宋体" w:cs="宋体"/>
          <w:color w:val="auto"/>
        </w:rPr>
      </w:pPr>
      <w:r>
        <w:rPr>
          <w:rFonts w:hint="eastAsia" w:ascii="宋体" w:hAnsi="宋体" w:cs="宋体"/>
          <w:color w:val="auto"/>
        </w:rPr>
        <w:t>（1）货物的详细参数、条件、标准、拟达到的质量标准和保险期限。</w:t>
      </w:r>
    </w:p>
    <w:p>
      <w:pPr>
        <w:pStyle w:val="91"/>
        <w:spacing w:line="400" w:lineRule="exact"/>
        <w:ind w:firstLine="480" w:firstLineChars="200"/>
        <w:jc w:val="both"/>
        <w:rPr>
          <w:rFonts w:ascii="宋体" w:hAnsi="宋体" w:cs="宋体"/>
          <w:color w:val="auto"/>
        </w:rPr>
      </w:pPr>
      <w:r>
        <w:rPr>
          <w:rFonts w:hint="eastAsia" w:ascii="宋体" w:hAnsi="宋体" w:cs="宋体"/>
          <w:color w:val="auto"/>
        </w:rPr>
        <w:t>（2）易损件、备品备件、专用工具及供应方式。</w:t>
      </w:r>
    </w:p>
    <w:p>
      <w:pPr>
        <w:pStyle w:val="91"/>
        <w:spacing w:line="400" w:lineRule="exact"/>
        <w:ind w:firstLine="480" w:firstLineChars="200"/>
        <w:jc w:val="both"/>
        <w:rPr>
          <w:rFonts w:ascii="宋体" w:hAnsi="宋体" w:cs="宋体"/>
          <w:color w:val="auto"/>
        </w:rPr>
      </w:pPr>
      <w:r>
        <w:rPr>
          <w:rFonts w:hint="eastAsia" w:ascii="宋体" w:hAnsi="宋体" w:cs="宋体"/>
          <w:color w:val="auto"/>
        </w:rPr>
        <w:t>（3）技术服务。</w:t>
      </w:r>
    </w:p>
    <w:p>
      <w:pPr>
        <w:pStyle w:val="91"/>
        <w:spacing w:line="400" w:lineRule="exact"/>
        <w:ind w:firstLine="480" w:firstLineChars="200"/>
        <w:jc w:val="both"/>
        <w:rPr>
          <w:rFonts w:ascii="宋体" w:hAnsi="宋体" w:cs="宋体"/>
          <w:color w:val="auto"/>
        </w:rPr>
      </w:pPr>
      <w:r>
        <w:rPr>
          <w:rFonts w:hint="eastAsia" w:ascii="宋体" w:hAnsi="宋体" w:cs="宋体"/>
          <w:color w:val="auto"/>
        </w:rPr>
        <w:t>（4）运输方式。</w:t>
      </w:r>
    </w:p>
    <w:p>
      <w:pPr>
        <w:pStyle w:val="91"/>
        <w:spacing w:line="400" w:lineRule="exact"/>
        <w:ind w:firstLine="480" w:firstLineChars="200"/>
        <w:jc w:val="both"/>
        <w:rPr>
          <w:rFonts w:ascii="宋体" w:hAnsi="宋体" w:cs="宋体"/>
          <w:color w:val="auto"/>
        </w:rPr>
      </w:pPr>
      <w:r>
        <w:rPr>
          <w:rFonts w:hint="eastAsia" w:ascii="宋体" w:hAnsi="宋体" w:cs="宋体"/>
          <w:color w:val="auto"/>
        </w:rPr>
        <w:t>（5）要求采购人提供的配合。</w:t>
      </w:r>
    </w:p>
    <w:p>
      <w:pPr>
        <w:pStyle w:val="91"/>
        <w:spacing w:line="400" w:lineRule="exact"/>
        <w:ind w:firstLine="480" w:firstLineChars="200"/>
        <w:jc w:val="both"/>
        <w:rPr>
          <w:rFonts w:ascii="宋体" w:hAnsi="宋体" w:cs="宋体"/>
          <w:color w:val="auto"/>
        </w:rPr>
      </w:pPr>
      <w:r>
        <w:rPr>
          <w:rFonts w:hint="eastAsia" w:ascii="宋体" w:hAnsi="宋体" w:cs="宋体"/>
          <w:color w:val="auto"/>
        </w:rPr>
        <w:t>（6）其它。</w:t>
      </w:r>
    </w:p>
    <w:p>
      <w:pPr>
        <w:spacing w:line="400" w:lineRule="exact"/>
        <w:ind w:firstLine="480" w:firstLineChars="200"/>
        <w:rPr>
          <w:rFonts w:ascii="宋体" w:hAnsi="宋体" w:cs="宋体"/>
          <w:sz w:val="24"/>
          <w:szCs w:val="24"/>
        </w:rPr>
      </w:pPr>
      <w:r>
        <w:rPr>
          <w:rFonts w:hint="eastAsia" w:ascii="宋体" w:hAnsi="宋体" w:cs="宋体"/>
          <w:sz w:val="24"/>
          <w:szCs w:val="24"/>
        </w:rPr>
        <w:t>11.所有有关本响应文件的函电，请按下列地址联系：</w:t>
      </w:r>
    </w:p>
    <w:p>
      <w:pPr>
        <w:pStyle w:val="91"/>
        <w:spacing w:line="400" w:lineRule="exact"/>
        <w:ind w:firstLine="480" w:firstLineChars="200"/>
        <w:jc w:val="both"/>
        <w:rPr>
          <w:rFonts w:ascii="宋体" w:hAnsi="宋体" w:cs="宋体"/>
          <w:color w:val="auto"/>
        </w:rPr>
      </w:pPr>
      <w:r>
        <w:rPr>
          <w:rFonts w:hint="eastAsia" w:ascii="宋体" w:hAnsi="宋体" w:cs="宋体"/>
          <w:color w:val="auto"/>
        </w:rPr>
        <w:t>单       位：</w:t>
      </w:r>
    </w:p>
    <w:p>
      <w:pPr>
        <w:pStyle w:val="91"/>
        <w:spacing w:line="400" w:lineRule="exact"/>
        <w:ind w:firstLine="480" w:firstLineChars="200"/>
        <w:jc w:val="both"/>
        <w:rPr>
          <w:rFonts w:ascii="宋体" w:hAnsi="宋体" w:cs="宋体"/>
          <w:color w:val="auto"/>
        </w:rPr>
      </w:pPr>
      <w:r>
        <w:rPr>
          <w:rFonts w:hint="eastAsia" w:ascii="宋体" w:hAnsi="宋体" w:cs="宋体"/>
          <w:color w:val="auto"/>
        </w:rPr>
        <w:t>地       址：</w:t>
      </w:r>
    </w:p>
    <w:p>
      <w:pPr>
        <w:pStyle w:val="91"/>
        <w:spacing w:line="400" w:lineRule="exact"/>
        <w:ind w:firstLine="480" w:firstLineChars="200"/>
        <w:jc w:val="both"/>
        <w:rPr>
          <w:rFonts w:ascii="宋体" w:hAnsi="宋体" w:cs="宋体"/>
          <w:color w:val="auto"/>
        </w:rPr>
      </w:pPr>
      <w:r>
        <w:rPr>
          <w:rFonts w:hint="eastAsia" w:ascii="宋体" w:hAnsi="宋体" w:cs="宋体"/>
          <w:color w:val="auto"/>
        </w:rPr>
        <w:t>电       话：</w:t>
      </w:r>
    </w:p>
    <w:p>
      <w:pPr>
        <w:pStyle w:val="91"/>
        <w:spacing w:line="400" w:lineRule="exact"/>
        <w:ind w:firstLine="480" w:firstLineChars="200"/>
        <w:jc w:val="both"/>
        <w:rPr>
          <w:rFonts w:ascii="宋体" w:hAnsi="宋体" w:cs="宋体"/>
          <w:color w:val="auto"/>
        </w:rPr>
      </w:pPr>
      <w:r>
        <w:rPr>
          <w:rFonts w:hint="eastAsia" w:ascii="宋体" w:hAnsi="宋体" w:cs="宋体"/>
          <w:color w:val="auto"/>
        </w:rPr>
        <w:t>传       真：</w:t>
      </w:r>
    </w:p>
    <w:p>
      <w:pPr>
        <w:pStyle w:val="91"/>
        <w:spacing w:line="400" w:lineRule="exact"/>
        <w:ind w:firstLine="480" w:firstLineChars="200"/>
        <w:jc w:val="both"/>
        <w:rPr>
          <w:rFonts w:ascii="宋体" w:hAnsi="宋体" w:cs="宋体"/>
        </w:rPr>
      </w:pPr>
      <w:r>
        <w:rPr>
          <w:rFonts w:hint="eastAsia" w:ascii="宋体" w:hAnsi="宋体" w:cs="宋体"/>
          <w:color w:val="auto"/>
        </w:rPr>
        <w:t xml:space="preserve">联   系  人：      </w:t>
      </w:r>
      <w:bookmarkStart w:id="125" w:name="_Toc29647"/>
      <w:bookmarkStart w:id="126" w:name="_Toc10416"/>
    </w:p>
    <w:p>
      <w:pPr>
        <w:pStyle w:val="91"/>
        <w:wordWrap w:val="0"/>
        <w:spacing w:line="400" w:lineRule="exact"/>
        <w:ind w:firstLine="480" w:firstLineChars="200"/>
        <w:jc w:val="both"/>
        <w:rPr>
          <w:rFonts w:ascii="宋体" w:hAnsi="宋体" w:cs="宋体"/>
        </w:rPr>
      </w:pPr>
      <w:r>
        <w:rPr>
          <w:rFonts w:hint="eastAsia" w:ascii="宋体" w:hAnsi="宋体" w:cs="宋体"/>
        </w:rPr>
        <w:t>供应商（公章）：</w:t>
      </w:r>
      <w:bookmarkEnd w:id="125"/>
      <w:bookmarkEnd w:id="126"/>
      <w:bookmarkStart w:id="127" w:name="_Toc30317"/>
      <w:bookmarkStart w:id="128" w:name="_Toc26490"/>
    </w:p>
    <w:p>
      <w:pPr>
        <w:spacing w:line="400" w:lineRule="exact"/>
        <w:ind w:firstLine="480" w:firstLineChars="200"/>
        <w:rPr>
          <w:rFonts w:ascii="宋体" w:hAnsi="宋体" w:cs="宋体"/>
          <w:sz w:val="24"/>
          <w:szCs w:val="24"/>
        </w:rPr>
      </w:pPr>
      <w:r>
        <w:rPr>
          <w:rFonts w:hint="eastAsia" w:ascii="宋体" w:hAnsi="宋体" w:cs="宋体"/>
          <w:sz w:val="24"/>
          <w:szCs w:val="24"/>
        </w:rPr>
        <w:t>法定代表人签字或授权代表人签字：</w:t>
      </w:r>
      <w:bookmarkEnd w:id="127"/>
      <w:bookmarkEnd w:id="128"/>
    </w:p>
    <w:p>
      <w:pPr>
        <w:spacing w:line="400" w:lineRule="exact"/>
        <w:ind w:firstLine="480" w:firstLineChars="200"/>
        <w:jc w:val="right"/>
        <w:rPr>
          <w:rFonts w:ascii="宋体" w:hAnsi="宋体" w:cs="宋体"/>
          <w:sz w:val="24"/>
          <w:szCs w:val="24"/>
        </w:rPr>
      </w:pPr>
    </w:p>
    <w:p>
      <w:pPr>
        <w:spacing w:line="400" w:lineRule="exact"/>
        <w:ind w:firstLine="480" w:firstLineChars="200"/>
        <w:jc w:val="right"/>
        <w:rPr>
          <w:rFonts w:ascii="宋体" w:hAnsi="宋体" w:cs="宋体"/>
          <w:b/>
          <w:sz w:val="36"/>
        </w:rPr>
      </w:pPr>
      <w:bookmarkStart w:id="129" w:name="_Toc19017"/>
      <w:bookmarkStart w:id="130" w:name="_Toc20259"/>
      <w:r>
        <w:rPr>
          <w:rFonts w:hint="eastAsia" w:ascii="宋体" w:hAnsi="宋体" w:cs="宋体"/>
          <w:sz w:val="24"/>
          <w:szCs w:val="24"/>
        </w:rPr>
        <w:t>年   月   日</w:t>
      </w:r>
      <w:bookmarkEnd w:id="129"/>
      <w:bookmarkEnd w:id="130"/>
    </w:p>
    <w:p>
      <w:pPr>
        <w:pStyle w:val="3"/>
        <w:jc w:val="left"/>
        <w:rPr>
          <w:rFonts w:ascii="宋体" w:hAnsi="宋体" w:eastAsia="宋体" w:cs="宋体"/>
          <w:b/>
          <w:bCs/>
          <w:sz w:val="32"/>
          <w:szCs w:val="32"/>
        </w:rPr>
      </w:pPr>
      <w:bookmarkStart w:id="131" w:name="_Toc30097"/>
      <w:bookmarkStart w:id="132" w:name="_Toc10256"/>
      <w:r>
        <w:rPr>
          <w:rFonts w:hint="eastAsia" w:ascii="宋体" w:hAnsi="宋体" w:eastAsia="宋体" w:cs="宋体"/>
          <w:b/>
          <w:bCs/>
          <w:sz w:val="32"/>
          <w:szCs w:val="32"/>
        </w:rPr>
        <w:t>（附件二）</w:t>
      </w:r>
      <w:bookmarkEnd w:id="122"/>
      <w:bookmarkEnd w:id="123"/>
      <w:bookmarkEnd w:id="124"/>
      <w:bookmarkEnd w:id="131"/>
      <w:bookmarkEnd w:id="132"/>
    </w:p>
    <w:p>
      <w:pPr>
        <w:jc w:val="center"/>
        <w:rPr>
          <w:rFonts w:ascii="宋体" w:hAnsi="宋体" w:cs="宋体"/>
          <w:b/>
          <w:bCs/>
          <w:sz w:val="28"/>
          <w:szCs w:val="28"/>
        </w:rPr>
      </w:pPr>
      <w:r>
        <w:rPr>
          <w:rFonts w:hint="eastAsia" w:ascii="宋体" w:hAnsi="宋体" w:cs="宋体"/>
          <w:b/>
          <w:bCs/>
          <w:sz w:val="28"/>
          <w:szCs w:val="28"/>
        </w:rPr>
        <w:t>法定代表人证明书及法定代表人授权委托书</w:t>
      </w:r>
    </w:p>
    <w:p>
      <w:pPr>
        <w:jc w:val="center"/>
        <w:rPr>
          <w:rFonts w:ascii="宋体" w:hAnsi="宋体" w:cs="宋体"/>
          <w:b/>
          <w:bCs/>
          <w:sz w:val="28"/>
          <w:szCs w:val="28"/>
        </w:rPr>
      </w:pPr>
      <w:bookmarkStart w:id="133" w:name="_Toc31580"/>
      <w:bookmarkStart w:id="134" w:name="_Toc425581087"/>
      <w:bookmarkStart w:id="135" w:name="_Toc425581331"/>
      <w:bookmarkStart w:id="136" w:name="_Toc29663_WPSOffice_Level1"/>
      <w:bookmarkStart w:id="137" w:name="_Toc426649817"/>
      <w:bookmarkStart w:id="138" w:name="_Toc7064_WPSOffice_Level1"/>
      <w:bookmarkStart w:id="139" w:name="_Toc31628"/>
      <w:bookmarkStart w:id="140" w:name="_Toc17446"/>
      <w:bookmarkStart w:id="141" w:name="_Toc31538_WPSOffice_Level1"/>
      <w:r>
        <w:rPr>
          <w:rFonts w:hint="eastAsia" w:ascii="宋体" w:hAnsi="宋体" w:cs="宋体"/>
          <w:b/>
          <w:bCs/>
          <w:sz w:val="28"/>
          <w:szCs w:val="28"/>
        </w:rPr>
        <w:t>一、法定代表人身份证明</w:t>
      </w:r>
      <w:bookmarkEnd w:id="133"/>
      <w:bookmarkEnd w:id="134"/>
      <w:bookmarkEnd w:id="135"/>
      <w:bookmarkEnd w:id="136"/>
      <w:bookmarkEnd w:id="137"/>
      <w:bookmarkEnd w:id="138"/>
      <w:bookmarkEnd w:id="139"/>
      <w:bookmarkEnd w:id="140"/>
      <w:bookmarkEnd w:id="141"/>
    </w:p>
    <w:p>
      <w:pPr>
        <w:ind w:firstLine="480" w:firstLineChars="200"/>
        <w:rPr>
          <w:rFonts w:ascii="宋体" w:hAnsi="宋体" w:cs="宋体"/>
          <w:sz w:val="24"/>
          <w:szCs w:val="21"/>
        </w:rPr>
      </w:pPr>
    </w:p>
    <w:p>
      <w:pPr>
        <w:spacing w:line="360" w:lineRule="auto"/>
        <w:ind w:firstLine="480" w:firstLineChars="200"/>
        <w:rPr>
          <w:rFonts w:ascii="宋体" w:hAnsi="宋体" w:cs="宋体"/>
          <w:sz w:val="24"/>
          <w:szCs w:val="21"/>
        </w:rPr>
      </w:pPr>
      <w:bookmarkStart w:id="142" w:name="_Toc2969_WPSOffice_Level1"/>
      <w:bookmarkStart w:id="143" w:name="_Toc31724_WPSOffice_Level1"/>
      <w:bookmarkStart w:id="144" w:name="_Toc1830_WPSOffice_Level1"/>
      <w:r>
        <w:rPr>
          <w:rFonts w:hint="eastAsia" w:ascii="宋体" w:hAnsi="宋体" w:cs="宋体"/>
          <w:sz w:val="24"/>
          <w:szCs w:val="21"/>
        </w:rPr>
        <w:t>供应商名称：</w:t>
      </w:r>
      <w:r>
        <w:rPr>
          <w:rFonts w:hint="eastAsia" w:ascii="宋体" w:hAnsi="宋体" w:cs="宋体"/>
          <w:sz w:val="24"/>
          <w:szCs w:val="21"/>
          <w:u w:val="single"/>
        </w:rPr>
        <w:t xml:space="preserve">                                   </w:t>
      </w:r>
    </w:p>
    <w:p>
      <w:pPr>
        <w:spacing w:line="360" w:lineRule="auto"/>
        <w:ind w:firstLine="480" w:firstLineChars="200"/>
        <w:rPr>
          <w:rFonts w:ascii="宋体" w:hAnsi="宋体" w:cs="宋体"/>
          <w:sz w:val="24"/>
          <w:szCs w:val="21"/>
          <w:u w:val="single"/>
        </w:rPr>
      </w:pPr>
      <w:r>
        <w:rPr>
          <w:rFonts w:hint="eastAsia" w:ascii="宋体" w:hAnsi="宋体" w:cs="宋体"/>
          <w:sz w:val="24"/>
          <w:szCs w:val="21"/>
        </w:rPr>
        <w:t>单位 性质：</w:t>
      </w:r>
      <w:r>
        <w:rPr>
          <w:rFonts w:hint="eastAsia" w:ascii="宋体" w:hAnsi="宋体" w:cs="宋体"/>
          <w:sz w:val="24"/>
          <w:szCs w:val="21"/>
          <w:u w:val="single"/>
        </w:rPr>
        <w:t xml:space="preserve">                                    </w:t>
      </w:r>
    </w:p>
    <w:p>
      <w:pPr>
        <w:spacing w:line="360" w:lineRule="auto"/>
        <w:ind w:firstLine="480" w:firstLineChars="200"/>
        <w:rPr>
          <w:rFonts w:ascii="宋体" w:hAnsi="宋体" w:cs="宋体"/>
          <w:sz w:val="24"/>
          <w:szCs w:val="21"/>
          <w:u w:val="single"/>
        </w:rPr>
      </w:pPr>
      <w:r>
        <w:rPr>
          <w:rFonts w:hint="eastAsia" w:ascii="宋体" w:hAnsi="宋体" w:cs="宋体"/>
          <w:sz w:val="24"/>
          <w:szCs w:val="21"/>
        </w:rPr>
        <w:t>地     址：</w:t>
      </w:r>
      <w:r>
        <w:rPr>
          <w:rFonts w:hint="eastAsia" w:ascii="宋体" w:hAnsi="宋体" w:cs="宋体"/>
          <w:sz w:val="24"/>
          <w:szCs w:val="21"/>
          <w:u w:val="single"/>
        </w:rPr>
        <w:t xml:space="preserve">                                    </w:t>
      </w:r>
    </w:p>
    <w:p>
      <w:pPr>
        <w:spacing w:line="360" w:lineRule="auto"/>
        <w:ind w:firstLine="480" w:firstLineChars="200"/>
        <w:rPr>
          <w:rFonts w:ascii="宋体" w:hAnsi="宋体" w:cs="宋体"/>
          <w:sz w:val="24"/>
          <w:szCs w:val="21"/>
        </w:rPr>
      </w:pPr>
      <w:r>
        <w:rPr>
          <w:rFonts w:hint="eastAsia" w:ascii="宋体" w:hAnsi="宋体" w:cs="宋体"/>
          <w:sz w:val="24"/>
          <w:szCs w:val="21"/>
        </w:rPr>
        <w:t>成立 时间：</w:t>
      </w:r>
      <w:r>
        <w:rPr>
          <w:rFonts w:hint="eastAsia" w:ascii="宋体" w:hAnsi="宋体" w:cs="宋体"/>
          <w:sz w:val="24"/>
          <w:szCs w:val="21"/>
          <w:u w:val="single"/>
        </w:rPr>
        <w:t xml:space="preserve">          </w:t>
      </w:r>
      <w:r>
        <w:rPr>
          <w:rFonts w:hint="eastAsia" w:ascii="宋体" w:hAnsi="宋体" w:cs="宋体"/>
          <w:sz w:val="24"/>
          <w:szCs w:val="21"/>
        </w:rPr>
        <w:t>年</w:t>
      </w:r>
      <w:r>
        <w:rPr>
          <w:rFonts w:hint="eastAsia" w:ascii="宋体" w:hAnsi="宋体" w:cs="宋体"/>
          <w:sz w:val="24"/>
          <w:szCs w:val="21"/>
          <w:u w:val="single"/>
        </w:rPr>
        <w:t xml:space="preserve">     </w:t>
      </w:r>
      <w:r>
        <w:rPr>
          <w:rFonts w:hint="eastAsia" w:ascii="宋体" w:hAnsi="宋体" w:cs="宋体"/>
          <w:sz w:val="24"/>
          <w:szCs w:val="21"/>
        </w:rPr>
        <w:t>月</w:t>
      </w:r>
      <w:r>
        <w:rPr>
          <w:rFonts w:hint="eastAsia" w:ascii="宋体" w:hAnsi="宋体" w:cs="宋体"/>
          <w:sz w:val="24"/>
          <w:szCs w:val="21"/>
          <w:u w:val="single"/>
        </w:rPr>
        <w:t xml:space="preserve">       </w:t>
      </w:r>
      <w:r>
        <w:rPr>
          <w:rFonts w:hint="eastAsia" w:ascii="宋体" w:hAnsi="宋体" w:cs="宋体"/>
          <w:sz w:val="24"/>
          <w:szCs w:val="21"/>
        </w:rPr>
        <w:t>日</w:t>
      </w:r>
    </w:p>
    <w:p>
      <w:pPr>
        <w:spacing w:line="360" w:lineRule="auto"/>
        <w:ind w:firstLine="480" w:firstLineChars="200"/>
        <w:rPr>
          <w:rFonts w:ascii="宋体" w:hAnsi="宋体" w:cs="宋体"/>
          <w:sz w:val="24"/>
          <w:szCs w:val="21"/>
        </w:rPr>
      </w:pPr>
      <w:r>
        <w:rPr>
          <w:rFonts w:hint="eastAsia" w:ascii="宋体" w:hAnsi="宋体" w:cs="宋体"/>
          <w:sz w:val="24"/>
          <w:szCs w:val="21"/>
        </w:rPr>
        <w:t>经营 期限：</w:t>
      </w:r>
      <w:r>
        <w:rPr>
          <w:rFonts w:hint="eastAsia" w:ascii="宋体" w:hAnsi="宋体" w:cs="宋体"/>
          <w:sz w:val="24"/>
          <w:szCs w:val="21"/>
          <w:u w:val="single"/>
        </w:rPr>
        <w:t xml:space="preserve">                                   </w:t>
      </w:r>
    </w:p>
    <w:p>
      <w:pPr>
        <w:spacing w:line="360" w:lineRule="auto"/>
        <w:ind w:firstLine="480" w:firstLineChars="200"/>
        <w:rPr>
          <w:rFonts w:ascii="宋体" w:hAnsi="宋体" w:cs="宋体"/>
          <w:sz w:val="24"/>
          <w:szCs w:val="21"/>
          <w:u w:val="single"/>
        </w:rPr>
      </w:pPr>
      <w:r>
        <w:rPr>
          <w:rFonts w:hint="eastAsia" w:ascii="宋体" w:hAnsi="宋体" w:cs="宋体"/>
          <w:sz w:val="24"/>
          <w:szCs w:val="21"/>
        </w:rPr>
        <w:t>姓名：</w:t>
      </w:r>
      <w:r>
        <w:rPr>
          <w:rFonts w:hint="eastAsia" w:ascii="宋体" w:hAnsi="宋体" w:cs="宋体"/>
          <w:sz w:val="24"/>
          <w:szCs w:val="21"/>
          <w:u w:val="single"/>
        </w:rPr>
        <w:t xml:space="preserve">           </w:t>
      </w:r>
      <w:r>
        <w:rPr>
          <w:rFonts w:hint="eastAsia" w:ascii="宋体" w:hAnsi="宋体" w:cs="宋体"/>
          <w:bCs/>
          <w:sz w:val="24"/>
          <w:szCs w:val="21"/>
          <w:u w:val="single"/>
        </w:rPr>
        <w:t>（法定代表人签字）</w:t>
      </w:r>
      <w:r>
        <w:rPr>
          <w:rFonts w:hint="eastAsia" w:ascii="宋体" w:hAnsi="宋体" w:cs="宋体"/>
          <w:sz w:val="24"/>
          <w:szCs w:val="21"/>
        </w:rPr>
        <w:t>性别：</w:t>
      </w:r>
      <w:r>
        <w:rPr>
          <w:rFonts w:hint="eastAsia" w:ascii="宋体" w:hAnsi="宋体" w:cs="宋体"/>
          <w:sz w:val="24"/>
          <w:szCs w:val="21"/>
          <w:u w:val="single"/>
        </w:rPr>
        <w:t xml:space="preserve">    </w:t>
      </w:r>
      <w:r>
        <w:rPr>
          <w:rFonts w:hint="eastAsia" w:ascii="宋体" w:hAnsi="宋体" w:cs="宋体"/>
          <w:sz w:val="24"/>
          <w:szCs w:val="21"/>
        </w:rPr>
        <w:t>年龄：</w:t>
      </w:r>
      <w:r>
        <w:rPr>
          <w:rFonts w:hint="eastAsia" w:ascii="宋体" w:hAnsi="宋体" w:cs="宋体"/>
          <w:sz w:val="24"/>
          <w:szCs w:val="21"/>
          <w:u w:val="single"/>
        </w:rPr>
        <w:t xml:space="preserve">     </w:t>
      </w:r>
      <w:r>
        <w:rPr>
          <w:rFonts w:hint="eastAsia" w:ascii="宋体" w:hAnsi="宋体" w:cs="宋体"/>
          <w:sz w:val="24"/>
          <w:szCs w:val="21"/>
        </w:rPr>
        <w:t>职务：</w:t>
      </w:r>
      <w:r>
        <w:rPr>
          <w:rFonts w:hint="eastAsia" w:ascii="宋体" w:hAnsi="宋体" w:cs="宋体"/>
          <w:sz w:val="24"/>
          <w:szCs w:val="21"/>
          <w:u w:val="single"/>
        </w:rPr>
        <w:t xml:space="preserve">         </w:t>
      </w:r>
      <w:r>
        <w:rPr>
          <w:rFonts w:hint="eastAsia" w:ascii="宋体" w:hAnsi="宋体" w:cs="宋体"/>
          <w:sz w:val="24"/>
          <w:szCs w:val="21"/>
        </w:rPr>
        <w:t>系</w:t>
      </w:r>
      <w:r>
        <w:rPr>
          <w:rFonts w:hint="eastAsia" w:ascii="宋体" w:hAnsi="宋体" w:cs="宋体"/>
          <w:sz w:val="24"/>
          <w:szCs w:val="21"/>
          <w:u w:val="single"/>
        </w:rPr>
        <w:t xml:space="preserve">(公司名称)                          </w:t>
      </w:r>
      <w:r>
        <w:rPr>
          <w:rFonts w:hint="eastAsia" w:ascii="宋体" w:hAnsi="宋体" w:cs="宋体"/>
          <w:sz w:val="24"/>
          <w:szCs w:val="21"/>
        </w:rPr>
        <w:t>的法定代表人，参加</w:t>
      </w:r>
      <w:r>
        <w:rPr>
          <w:rFonts w:hint="eastAsia" w:ascii="宋体" w:hAnsi="宋体" w:cs="宋体"/>
          <w:sz w:val="24"/>
          <w:szCs w:val="21"/>
          <w:u w:val="single"/>
        </w:rPr>
        <w:t xml:space="preserve">          （项目名称及项目编号）             </w:t>
      </w:r>
      <w:r>
        <w:rPr>
          <w:rFonts w:hint="eastAsia" w:ascii="宋体" w:hAnsi="宋体" w:cs="宋体"/>
          <w:sz w:val="24"/>
          <w:szCs w:val="21"/>
        </w:rPr>
        <w:t>的磋商。</w:t>
      </w:r>
    </w:p>
    <w:p>
      <w:pPr>
        <w:spacing w:line="360" w:lineRule="auto"/>
        <w:ind w:firstLine="480" w:firstLineChars="200"/>
        <w:rPr>
          <w:rFonts w:ascii="宋体" w:hAnsi="宋体" w:cs="宋体"/>
          <w:sz w:val="24"/>
          <w:szCs w:val="21"/>
        </w:rPr>
      </w:pPr>
      <w:r>
        <w:rPr>
          <w:rFonts w:hint="eastAsia" w:ascii="宋体" w:hAnsi="宋体" w:cs="宋体"/>
          <w:sz w:val="24"/>
          <w:szCs w:val="21"/>
        </w:rPr>
        <w:t>特此证明。</w:t>
      </w:r>
    </w:p>
    <w:p>
      <w:pPr>
        <w:spacing w:line="360" w:lineRule="auto"/>
        <w:ind w:firstLine="488" w:firstLineChars="200"/>
        <w:rPr>
          <w:rFonts w:ascii="宋体" w:hAnsi="宋体" w:cs="宋体"/>
          <w:sz w:val="24"/>
          <w:szCs w:val="21"/>
        </w:rPr>
      </w:pPr>
      <w:r>
        <w:rPr>
          <w:rFonts w:hint="eastAsia" w:ascii="宋体" w:hAnsi="宋体" w:cs="宋体"/>
          <w:spacing w:val="2"/>
          <w:position w:val="-3"/>
          <w:sz w:val="24"/>
          <w:szCs w:val="21"/>
        </w:rPr>
        <w:t>附：法定代表人</w:t>
      </w:r>
      <w:r>
        <w:rPr>
          <w:rFonts w:hint="eastAsia" w:ascii="宋体" w:hAnsi="宋体" w:cs="宋体"/>
          <w:position w:val="-3"/>
          <w:sz w:val="24"/>
          <w:szCs w:val="21"/>
        </w:rPr>
        <w:t>身份</w:t>
      </w:r>
      <w:r>
        <w:rPr>
          <w:rFonts w:hint="eastAsia" w:ascii="宋体" w:hAnsi="宋体" w:cs="宋体"/>
          <w:spacing w:val="2"/>
          <w:position w:val="-3"/>
          <w:sz w:val="24"/>
          <w:szCs w:val="21"/>
        </w:rPr>
        <w:t>证</w:t>
      </w:r>
      <w:r>
        <w:rPr>
          <w:rFonts w:hint="eastAsia" w:ascii="宋体" w:hAnsi="宋体" w:cs="宋体"/>
          <w:position w:val="-3"/>
          <w:sz w:val="24"/>
          <w:szCs w:val="21"/>
        </w:rPr>
        <w:t>复</w:t>
      </w:r>
      <w:r>
        <w:rPr>
          <w:rFonts w:hint="eastAsia" w:ascii="宋体" w:hAnsi="宋体" w:cs="宋体"/>
          <w:spacing w:val="2"/>
          <w:position w:val="-3"/>
          <w:sz w:val="24"/>
          <w:szCs w:val="21"/>
        </w:rPr>
        <w:t>印</w:t>
      </w:r>
      <w:r>
        <w:rPr>
          <w:rFonts w:hint="eastAsia" w:ascii="宋体" w:hAnsi="宋体" w:cs="宋体"/>
          <w:position w:val="-3"/>
          <w:sz w:val="24"/>
          <w:szCs w:val="21"/>
        </w:rPr>
        <w:t>件</w:t>
      </w:r>
    </w:p>
    <w:p>
      <w:pPr>
        <w:spacing w:line="360" w:lineRule="auto"/>
        <w:rPr>
          <w:rFonts w:ascii="宋体" w:hAnsi="宋体" w:cs="宋体"/>
          <w:sz w:val="24"/>
          <w:szCs w:val="21"/>
        </w:rPr>
      </w:pPr>
      <w:r>
        <w:rPr>
          <w:rFonts w:ascii="宋体" w:hAnsi="宋体" w:cs="宋体"/>
          <w:sz w:val="24"/>
          <w:szCs w:val="21"/>
        </w:rPr>
        <w:pict>
          <v:group id="Group 3" o:spid="_x0000_s1027" o:spt="203" style="position:absolute;left:0pt;margin-left:66.45pt;margin-top:14.95pt;height:102.75pt;width:465.35pt;mso-position-horizontal-relative:page;z-index:-251655168;mso-width-relative:page;mso-height-relative:page;" coordorigin="1300,4" coordsize="9307,1670203" o:gfxdata="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NoUUh7aAAAACwEAAA8AAAAAAAAAAQAgAAAA&#10;IgAAAGRycy9kb3ducmV2LnhtbFBLAQIUABQAAAAIAIdO4kDW4fWEfAQAAPcbAAAOAAAAAAAAAAEA&#10;IAAAACkBAABkcnMvZTJvRG9jLnhtbFBLBQYAAAAABgAGAFkBAAAXCAAAAAA=&#10;">
            <o:lock v:ext="edit"/>
            <v:group id="Group 4" o:spid="_x0000_s1036" o:spt="203" style="position:absolute;left:1306;top:9;height:2;width:9295;" coordorigin="1306,9" coordsize="9295,2203"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v:shape id="Freeform 5" o:spid="_x0000_s1037" o:spt="100" style="position:absolute;left:1306;top:9;height:2;width:9295;" filled="f" coordsize="9295,1" o:gfxdata="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0S+rfugAAANoA&#10;AAAPAAAAAAAAAAEAIAAAACIAAABkcnMvZG93bnJldi54bWxQSwECFAAUAAAACACHTuJAMy8FnjsA&#10;AAA5AAAAEAAAAAAAAAABACAAAAAJAQAAZHJzL3NoYXBleG1sLnhtbFBLBQYAAAAABgAGAFsBAACz&#10;AwAAAAA=&#10;" path="m0,0l9295,0e">
                <v:path o:connecttype="segments" o:connectlocs="0,0;9295,0" o:connectangles="0,0"/>
                <v:fill on="f" focussize="0,0"/>
                <v:stroke weight="0.58pt" joinstyle="round"/>
                <v:imagedata o:title=""/>
                <o:lock v:ext="edit"/>
              </v:shape>
            </v:group>
            <v:group id="Group 6" o:spid="_x0000_s1034" o:spt="203" style="position:absolute;left:1310;top:14;height:1649;width:2;" coordorigin="1310,14" coordsize="2,1649203"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v:shape id="Freeform 7" o:spid="_x0000_s1035" o:spt="100" style="position:absolute;left:1310;top:14;height:1649;width:2;" filled="f" coordsize="1,1649" o:gfxdata="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xZGxrsAAADb&#10;AAAADwAAAAAAAAABACAAAAAiAAAAZHJzL2Rvd25yZXYueG1sUEsBAhQAFAAAAAgAh07iQDMvBZ47&#10;AAAAOQAAABAAAAAAAAAAAQAgAAAACgEAAGRycy9zaGFwZXhtbC54bWxQSwUGAAAAAAYABgBbAQAA&#10;tAMAAAAA&#10;" path="m0,0l0,1649e">
                <v:path o:connecttype="segments" o:connectlocs="0,14;0,1663" o:connectangles="0,0"/>
                <v:fill on="f" focussize="0,0"/>
                <v:stroke weight="0.58pt" joinstyle="round"/>
                <v:imagedata o:title=""/>
                <o:lock v:ext="edit"/>
              </v:shape>
            </v:group>
            <v:group id="Group 8" o:spid="_x0000_s1032" o:spt="203" style="position:absolute;left:1306;top:1668;height:2;width:9295;" coordorigin="1306,1668" coordsize="9295,2203"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v:shape id="Freeform 9" o:spid="_x0000_s1033" o:spt="100" style="position:absolute;left:1306;top:1668;height:2;width:9295;" filled="f" coordsize="9295,1" o:gfxdata="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eN5RvQAA&#10;ANsAAAAPAAAAAAAAAAEAIAAAACIAAABkcnMvZG93bnJldi54bWxQSwECFAAUAAAACACHTuJAMy8F&#10;njsAAAA5AAAAEAAAAAAAAAABACAAAAAMAQAAZHJzL3NoYXBleG1sLnhtbFBLBQYAAAAABgAGAFsB&#10;AAC2AwAAAAA=&#10;" path="m0,0l9295,0e">
                <v:path o:connecttype="segments" o:connectlocs="0,0;9295,0" o:connectangles="0,0"/>
                <v:fill on="f" focussize="0,0"/>
                <v:stroke weight="0.58pt" joinstyle="round"/>
                <v:imagedata o:title=""/>
                <o:lock v:ext="edit"/>
              </v:shape>
            </v:group>
            <v:group id="Group 10" o:spid="_x0000_s1030" o:spt="203" style="position:absolute;left:5954;top:14;height:1649;width:2;" coordorigin="5954,14" coordsize="2,1649203"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v:shape id="Freeform 11" o:spid="_x0000_s1031" o:spt="100" style="position:absolute;left:5954;top:14;height:1649;width:2;" filled="f" coordsize="1,1649" o:gfxdata="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YeVeugAAANsA&#10;AAAPAAAAAAAAAAEAIAAAACIAAABkcnMvZG93bnJldi54bWxQSwECFAAUAAAACACHTuJAMy8FnjsA&#10;AAA5AAAAEAAAAAAAAAABACAAAAAJAQAAZHJzL3NoYXBleG1sLnhtbFBLBQYAAAAABgAGAFsBAACz&#10;AwAAAAA=&#10;" path="m0,0l0,1649e">
                <v:path o:connecttype="segments" o:connectlocs="0,14;0,1663" o:connectangles="0,0"/>
                <v:fill on="f" focussize="0,0"/>
                <v:stroke weight="0.58pt" joinstyle="round"/>
                <v:imagedata o:title=""/>
                <o:lock v:ext="edit"/>
              </v:shape>
            </v:group>
            <v:group id="Group 12" o:spid="_x0000_s1028" o:spt="203" style="position:absolute;left:10596;top:14;height:1649;width:2;" coordorigin="10596,14" coordsize="2,1649203"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v:shape id="Freeform 13" o:spid="_x0000_s1029" o:spt="100" style="position:absolute;left:10596;top:14;height:1649;width:2;" filled="f" coordsize="1,1649" o:gfxdata="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bLUt7sAAADb&#10;AAAADwAAAAAAAAABACAAAAAiAAAAZHJzL2Rvd25yZXYueG1sUEsBAhQAFAAAAAgAh07iQDMvBZ47&#10;AAAAOQAAABAAAAAAAAAAAQAgAAAACgEAAGRycy9zaGFwZXhtbC54bWxQSwUGAAAAAAYABgBbAQAA&#10;tAMAAAAA&#10;" path="m0,0l0,1649e">
                <v:path o:connecttype="segments" o:connectlocs="0,14;0,1663" o:connectangles="0,0"/>
                <v:fill on="f" focussize="0,0"/>
                <v:stroke weight="0.58pt" joinstyle="round"/>
                <v:imagedata o:title=""/>
                <o:lock v:ext="edit"/>
              </v:shape>
            </v:group>
          </v:group>
        </w:pict>
      </w:r>
    </w:p>
    <w:p>
      <w:pPr>
        <w:tabs>
          <w:tab w:val="left" w:pos="5355"/>
        </w:tabs>
        <w:spacing w:line="360" w:lineRule="auto"/>
        <w:ind w:firstLine="732" w:firstLineChars="300"/>
        <w:rPr>
          <w:rFonts w:ascii="宋体" w:hAnsi="宋体" w:cs="宋体"/>
          <w:spacing w:val="2"/>
          <w:position w:val="-3"/>
          <w:sz w:val="24"/>
          <w:szCs w:val="21"/>
        </w:rPr>
      </w:pPr>
    </w:p>
    <w:p>
      <w:pPr>
        <w:tabs>
          <w:tab w:val="left" w:pos="5355"/>
        </w:tabs>
        <w:spacing w:line="360" w:lineRule="auto"/>
        <w:ind w:firstLine="1708" w:firstLineChars="700"/>
        <w:rPr>
          <w:rFonts w:ascii="宋体" w:hAnsi="宋体" w:cs="宋体"/>
          <w:sz w:val="24"/>
          <w:szCs w:val="21"/>
        </w:rPr>
      </w:pPr>
      <w:r>
        <w:rPr>
          <w:rFonts w:hint="eastAsia" w:ascii="宋体" w:hAnsi="宋体" w:cs="宋体"/>
          <w:spacing w:val="2"/>
          <w:position w:val="-3"/>
          <w:sz w:val="24"/>
          <w:szCs w:val="21"/>
        </w:rPr>
        <w:t>正面</w:t>
      </w:r>
      <w:r>
        <w:rPr>
          <w:rFonts w:hint="eastAsia" w:ascii="宋体" w:hAnsi="宋体" w:cs="宋体"/>
          <w:position w:val="-3"/>
          <w:sz w:val="24"/>
          <w:szCs w:val="21"/>
        </w:rPr>
        <w:tab/>
      </w:r>
      <w:r>
        <w:rPr>
          <w:rFonts w:hint="eastAsia" w:ascii="宋体" w:hAnsi="宋体" w:cs="宋体"/>
          <w:position w:val="-3"/>
          <w:sz w:val="24"/>
          <w:szCs w:val="21"/>
        </w:rPr>
        <w:t xml:space="preserve">          反面</w:t>
      </w:r>
    </w:p>
    <w:p>
      <w:pPr>
        <w:spacing w:line="360" w:lineRule="auto"/>
        <w:rPr>
          <w:rFonts w:ascii="宋体" w:hAnsi="宋体" w:cs="宋体"/>
          <w:sz w:val="24"/>
          <w:szCs w:val="21"/>
        </w:rPr>
      </w:pPr>
    </w:p>
    <w:p>
      <w:pPr>
        <w:spacing w:line="360" w:lineRule="auto"/>
        <w:rPr>
          <w:rFonts w:ascii="宋体" w:hAnsi="宋体" w:cs="宋体"/>
          <w:sz w:val="24"/>
          <w:szCs w:val="21"/>
        </w:rPr>
      </w:pPr>
    </w:p>
    <w:p>
      <w:pPr>
        <w:tabs>
          <w:tab w:val="left" w:pos="6946"/>
        </w:tabs>
        <w:spacing w:line="360" w:lineRule="auto"/>
        <w:rPr>
          <w:rFonts w:ascii="宋体" w:hAnsi="宋体" w:cs="宋体"/>
          <w:sz w:val="24"/>
          <w:szCs w:val="21"/>
        </w:rPr>
      </w:pPr>
    </w:p>
    <w:p>
      <w:pPr>
        <w:tabs>
          <w:tab w:val="left" w:pos="6946"/>
        </w:tabs>
        <w:wordWrap w:val="0"/>
        <w:spacing w:line="360" w:lineRule="auto"/>
        <w:jc w:val="right"/>
        <w:rPr>
          <w:rFonts w:ascii="宋体" w:hAnsi="宋体" w:cs="宋体"/>
          <w:sz w:val="24"/>
          <w:szCs w:val="21"/>
        </w:rPr>
      </w:pPr>
    </w:p>
    <w:p>
      <w:pPr>
        <w:tabs>
          <w:tab w:val="left" w:pos="6946"/>
        </w:tabs>
        <w:wordWrap w:val="0"/>
        <w:spacing w:line="360" w:lineRule="auto"/>
        <w:ind w:firstLine="480" w:firstLineChars="200"/>
        <w:rPr>
          <w:rFonts w:ascii="宋体" w:hAnsi="宋体" w:cs="宋体"/>
          <w:sz w:val="24"/>
          <w:szCs w:val="24"/>
        </w:rPr>
      </w:pPr>
      <w:r>
        <w:rPr>
          <w:rFonts w:hint="eastAsia" w:ascii="宋体" w:hAnsi="宋体" w:cs="宋体"/>
          <w:sz w:val="24"/>
          <w:szCs w:val="21"/>
        </w:rPr>
        <w:t>供应商</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（公章）</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日  期：      年     月     日</w:t>
      </w:r>
    </w:p>
    <w:p>
      <w:pPr>
        <w:spacing w:line="360" w:lineRule="auto"/>
        <w:rPr>
          <w:rFonts w:ascii="宋体" w:hAnsi="宋体" w:cs="宋体"/>
          <w:sz w:val="24"/>
          <w:szCs w:val="21"/>
        </w:rPr>
      </w:pPr>
    </w:p>
    <w:p>
      <w:pPr>
        <w:pStyle w:val="15"/>
        <w:spacing w:before="0" w:line="360" w:lineRule="auto"/>
        <w:rPr>
          <w:rFonts w:ascii="宋体" w:hAnsi="宋体" w:cs="宋体"/>
        </w:rPr>
      </w:pPr>
    </w:p>
    <w:p>
      <w:pPr>
        <w:pStyle w:val="120"/>
        <w:spacing w:line="360" w:lineRule="auto"/>
        <w:ind w:firstLine="482" w:firstLineChars="200"/>
        <w:rPr>
          <w:rFonts w:ascii="宋体" w:hAnsi="宋体" w:cs="宋体"/>
          <w:b/>
          <w:color w:val="auto"/>
          <w:sz w:val="24"/>
        </w:rPr>
      </w:pPr>
      <w:r>
        <w:rPr>
          <w:rFonts w:hint="eastAsia" w:ascii="宋体" w:hAnsi="宋体" w:cs="宋体"/>
          <w:b/>
          <w:color w:val="auto"/>
          <w:sz w:val="24"/>
        </w:rPr>
        <w:t>注：法定代表人本人前来参加的供应商，需提供此项证明文件原件。（否则视为无效授权）</w:t>
      </w:r>
    </w:p>
    <w:p>
      <w:pPr>
        <w:pStyle w:val="120"/>
        <w:spacing w:line="360" w:lineRule="auto"/>
        <w:ind w:firstLine="482" w:firstLineChars="200"/>
        <w:rPr>
          <w:rFonts w:ascii="宋体" w:hAnsi="宋体" w:cs="宋体"/>
          <w:b/>
          <w:color w:val="auto"/>
          <w:sz w:val="24"/>
        </w:rPr>
      </w:pPr>
    </w:p>
    <w:p>
      <w:pPr>
        <w:pStyle w:val="15"/>
        <w:spacing w:before="0"/>
        <w:rPr>
          <w:rFonts w:ascii="宋体" w:hAnsi="宋体" w:cs="宋体"/>
        </w:rPr>
      </w:pPr>
    </w:p>
    <w:bookmarkEnd w:id="142"/>
    <w:bookmarkEnd w:id="143"/>
    <w:bookmarkEnd w:id="144"/>
    <w:p>
      <w:pPr>
        <w:jc w:val="center"/>
        <w:rPr>
          <w:rFonts w:ascii="宋体" w:hAnsi="宋体" w:cs="宋体"/>
          <w:sz w:val="28"/>
          <w:szCs w:val="22"/>
        </w:rPr>
      </w:pPr>
      <w:bookmarkStart w:id="145" w:name="_Toc32035"/>
      <w:bookmarkStart w:id="146" w:name="_Toc32396"/>
      <w:r>
        <w:rPr>
          <w:rFonts w:hint="eastAsia" w:ascii="宋体" w:hAnsi="宋体" w:cs="宋体"/>
          <w:b/>
          <w:bCs/>
          <w:sz w:val="28"/>
          <w:szCs w:val="28"/>
        </w:rPr>
        <w:t>二、法定代表人代表授权委托书</w:t>
      </w:r>
      <w:bookmarkEnd w:id="145"/>
      <w:bookmarkEnd w:id="146"/>
    </w:p>
    <w:p>
      <w:pPr>
        <w:autoSpaceDE w:val="0"/>
        <w:autoSpaceDN w:val="0"/>
        <w:adjustRightInd w:val="0"/>
        <w:spacing w:line="360" w:lineRule="auto"/>
        <w:ind w:firstLine="480" w:firstLineChars="200"/>
        <w:rPr>
          <w:rFonts w:ascii="宋体" w:hAnsi="宋体" w:cs="宋体"/>
          <w:sz w:val="24"/>
          <w:szCs w:val="21"/>
        </w:rPr>
      </w:pPr>
      <w:r>
        <w:rPr>
          <w:rFonts w:hint="eastAsia" w:ascii="宋体" w:hAnsi="宋体" w:cs="宋体"/>
          <w:sz w:val="24"/>
          <w:szCs w:val="21"/>
        </w:rPr>
        <w:t>本授权声明：注册于中华人民共和国的</w:t>
      </w:r>
      <w:r>
        <w:rPr>
          <w:rFonts w:hint="eastAsia" w:ascii="宋体" w:hAnsi="宋体" w:cs="宋体"/>
          <w:sz w:val="24"/>
          <w:szCs w:val="21"/>
          <w:u w:val="single"/>
        </w:rPr>
        <w:t xml:space="preserve">               </w:t>
      </w:r>
      <w:r>
        <w:rPr>
          <w:rFonts w:hint="eastAsia" w:ascii="宋体" w:hAnsi="宋体" w:cs="宋体"/>
          <w:sz w:val="24"/>
          <w:szCs w:val="21"/>
        </w:rPr>
        <w:t>的法定代表人代表</w:t>
      </w:r>
      <w:r>
        <w:rPr>
          <w:rFonts w:hint="eastAsia" w:ascii="宋体" w:hAnsi="宋体" w:cs="宋体"/>
          <w:sz w:val="24"/>
          <w:szCs w:val="21"/>
          <w:u w:val="single"/>
        </w:rPr>
        <w:t xml:space="preserve">         </w:t>
      </w:r>
      <w:r>
        <w:rPr>
          <w:rFonts w:hint="eastAsia" w:ascii="宋体" w:hAnsi="宋体" w:cs="宋体"/>
          <w:sz w:val="24"/>
          <w:szCs w:val="21"/>
        </w:rPr>
        <w:t xml:space="preserve">代表本公司授权在下面签字的 </w:t>
      </w:r>
      <w:r>
        <w:rPr>
          <w:rFonts w:hint="eastAsia" w:ascii="宋体" w:hAnsi="宋体" w:cs="宋体"/>
          <w:sz w:val="24"/>
          <w:szCs w:val="21"/>
          <w:u w:val="single"/>
        </w:rPr>
        <w:t xml:space="preserve">          </w:t>
      </w:r>
      <w:r>
        <w:rPr>
          <w:rFonts w:hint="eastAsia" w:ascii="宋体" w:hAnsi="宋体" w:cs="宋体"/>
          <w:sz w:val="24"/>
          <w:szCs w:val="21"/>
        </w:rPr>
        <w:t>为本公司的合法代理人，就此次</w:t>
      </w:r>
      <w:r>
        <w:rPr>
          <w:rFonts w:hint="eastAsia" w:ascii="宋体" w:hAnsi="宋体" w:cs="宋体"/>
          <w:sz w:val="24"/>
          <w:szCs w:val="21"/>
          <w:u w:val="single"/>
        </w:rPr>
        <w:t xml:space="preserve">                     的     （项目名称及项目编号）      </w:t>
      </w:r>
      <w:r>
        <w:rPr>
          <w:rFonts w:hint="eastAsia" w:ascii="宋体" w:hAnsi="宋体" w:cs="宋体"/>
          <w:sz w:val="24"/>
          <w:szCs w:val="21"/>
        </w:rPr>
        <w:t>项目及合同的执行、完成和保修，以本公司名义处理一切与之有关的事务。</w:t>
      </w:r>
    </w:p>
    <w:p>
      <w:pPr>
        <w:autoSpaceDE w:val="0"/>
        <w:autoSpaceDN w:val="0"/>
        <w:adjustRightInd w:val="0"/>
        <w:spacing w:line="360" w:lineRule="auto"/>
        <w:ind w:firstLine="480" w:firstLineChars="200"/>
        <w:rPr>
          <w:rFonts w:ascii="宋体" w:hAnsi="宋体" w:cs="宋体"/>
          <w:sz w:val="24"/>
          <w:szCs w:val="21"/>
        </w:rPr>
      </w:pPr>
      <w:r>
        <w:rPr>
          <w:rFonts w:hint="eastAsia" w:ascii="宋体" w:hAnsi="宋体" w:cs="宋体"/>
          <w:sz w:val="24"/>
          <w:szCs w:val="21"/>
        </w:rPr>
        <w:t>本授权书于</w:t>
      </w:r>
      <w:r>
        <w:rPr>
          <w:rFonts w:hint="eastAsia" w:ascii="宋体" w:hAnsi="宋体" w:cs="宋体"/>
          <w:sz w:val="24"/>
          <w:szCs w:val="21"/>
          <w:u w:val="single"/>
        </w:rPr>
        <w:t xml:space="preserve">             </w:t>
      </w:r>
      <w:r>
        <w:rPr>
          <w:rFonts w:hint="eastAsia" w:ascii="宋体" w:hAnsi="宋体" w:cs="宋体"/>
          <w:sz w:val="24"/>
          <w:szCs w:val="21"/>
        </w:rPr>
        <w:t>签字生效，特此声明。</w:t>
      </w:r>
    </w:p>
    <w:p>
      <w:pPr>
        <w:autoSpaceDE w:val="0"/>
        <w:autoSpaceDN w:val="0"/>
        <w:adjustRightInd w:val="0"/>
        <w:spacing w:line="360" w:lineRule="auto"/>
        <w:ind w:firstLine="480" w:firstLineChars="200"/>
        <w:rPr>
          <w:rFonts w:ascii="宋体" w:hAnsi="宋体" w:cs="宋体"/>
          <w:sz w:val="24"/>
          <w:szCs w:val="21"/>
          <w:u w:val="single"/>
        </w:rPr>
      </w:pPr>
      <w:r>
        <w:rPr>
          <w:rFonts w:hint="eastAsia" w:ascii="宋体" w:hAnsi="宋体" w:cs="宋体"/>
          <w:sz w:val="24"/>
          <w:szCs w:val="21"/>
        </w:rPr>
        <w:t>法定代表人签字：</w:t>
      </w:r>
      <w:r>
        <w:rPr>
          <w:rFonts w:hint="eastAsia" w:ascii="宋体" w:hAnsi="宋体" w:cs="宋体"/>
          <w:sz w:val="24"/>
          <w:szCs w:val="21"/>
          <w:u w:val="single"/>
        </w:rPr>
        <w:t xml:space="preserve">                            </w:t>
      </w:r>
    </w:p>
    <w:p>
      <w:pPr>
        <w:autoSpaceDE w:val="0"/>
        <w:autoSpaceDN w:val="0"/>
        <w:adjustRightInd w:val="0"/>
        <w:spacing w:line="360" w:lineRule="auto"/>
        <w:ind w:firstLine="480" w:firstLineChars="200"/>
        <w:rPr>
          <w:rFonts w:ascii="宋体" w:hAnsi="宋体" w:cs="宋体"/>
          <w:sz w:val="24"/>
          <w:szCs w:val="21"/>
          <w:u w:val="single"/>
        </w:rPr>
      </w:pPr>
      <w:r>
        <w:rPr>
          <w:rFonts w:hint="eastAsia" w:ascii="宋体" w:hAnsi="宋体" w:cs="宋体"/>
          <w:sz w:val="24"/>
          <w:szCs w:val="21"/>
        </w:rPr>
        <w:t>代理（被授权人）签字 ：</w:t>
      </w:r>
      <w:r>
        <w:rPr>
          <w:rFonts w:hint="eastAsia" w:ascii="宋体" w:hAnsi="宋体" w:cs="宋体"/>
          <w:sz w:val="24"/>
          <w:szCs w:val="21"/>
          <w:u w:val="single"/>
        </w:rPr>
        <w:t xml:space="preserve">                    </w:t>
      </w:r>
    </w:p>
    <w:p>
      <w:pPr>
        <w:autoSpaceDE w:val="0"/>
        <w:autoSpaceDN w:val="0"/>
        <w:adjustRightInd w:val="0"/>
        <w:spacing w:line="360" w:lineRule="auto"/>
        <w:ind w:firstLine="480" w:firstLineChars="200"/>
        <w:rPr>
          <w:rFonts w:ascii="宋体" w:hAnsi="宋体" w:cs="宋体"/>
          <w:sz w:val="24"/>
          <w:szCs w:val="21"/>
          <w:u w:val="single"/>
        </w:rPr>
      </w:pPr>
      <w:r>
        <w:rPr>
          <w:rFonts w:hint="eastAsia" w:ascii="宋体" w:hAnsi="宋体" w:cs="宋体"/>
          <w:sz w:val="24"/>
          <w:szCs w:val="21"/>
        </w:rPr>
        <w:t>单位名称（盖公章）：</w:t>
      </w:r>
      <w:r>
        <w:rPr>
          <w:rFonts w:hint="eastAsia" w:ascii="宋体" w:hAnsi="宋体" w:cs="宋体"/>
          <w:sz w:val="24"/>
          <w:szCs w:val="21"/>
          <w:u w:val="single"/>
        </w:rPr>
        <w:t xml:space="preserve">                       </w:t>
      </w:r>
    </w:p>
    <w:p>
      <w:pPr>
        <w:spacing w:line="360" w:lineRule="auto"/>
        <w:ind w:firstLine="480" w:firstLineChars="200"/>
        <w:rPr>
          <w:rFonts w:ascii="宋体" w:hAnsi="宋体" w:cs="宋体"/>
          <w:sz w:val="24"/>
          <w:szCs w:val="21"/>
          <w:u w:val="single"/>
        </w:rPr>
      </w:pPr>
      <w:r>
        <w:rPr>
          <w:rFonts w:hint="eastAsia" w:ascii="宋体" w:hAnsi="宋体" w:cs="宋体"/>
          <w:sz w:val="24"/>
          <w:szCs w:val="21"/>
        </w:rPr>
        <w:t>授权日期：20</w:t>
      </w:r>
      <w:r>
        <w:rPr>
          <w:rFonts w:hint="eastAsia" w:ascii="宋体" w:hAnsi="宋体" w:cs="宋体"/>
          <w:sz w:val="24"/>
          <w:szCs w:val="21"/>
          <w:u w:val="single"/>
        </w:rPr>
        <w:t xml:space="preserve">   </w:t>
      </w:r>
      <w:r>
        <w:rPr>
          <w:rFonts w:hint="eastAsia" w:ascii="宋体" w:hAnsi="宋体" w:cs="宋体"/>
          <w:sz w:val="24"/>
          <w:szCs w:val="21"/>
        </w:rPr>
        <w:t>年</w:t>
      </w:r>
      <w:r>
        <w:rPr>
          <w:rFonts w:hint="eastAsia" w:ascii="宋体" w:hAnsi="宋体" w:cs="宋体"/>
          <w:sz w:val="24"/>
          <w:szCs w:val="21"/>
          <w:u w:val="single"/>
        </w:rPr>
        <w:t xml:space="preserve">   </w:t>
      </w:r>
      <w:r>
        <w:rPr>
          <w:rFonts w:hint="eastAsia" w:ascii="宋体" w:hAnsi="宋体" w:cs="宋体"/>
          <w:sz w:val="24"/>
          <w:szCs w:val="21"/>
        </w:rPr>
        <w:t>月</w:t>
      </w:r>
      <w:r>
        <w:rPr>
          <w:rFonts w:hint="eastAsia" w:ascii="宋体" w:hAnsi="宋体" w:cs="宋体"/>
          <w:sz w:val="24"/>
          <w:szCs w:val="21"/>
          <w:u w:val="single"/>
        </w:rPr>
        <w:t xml:space="preserve">     </w:t>
      </w:r>
      <w:r>
        <w:rPr>
          <w:rFonts w:hint="eastAsia" w:ascii="宋体" w:hAnsi="宋体" w:cs="宋体"/>
          <w:sz w:val="24"/>
          <w:szCs w:val="21"/>
        </w:rPr>
        <w:t>日</w:t>
      </w:r>
    </w:p>
    <w:p>
      <w:pPr>
        <w:spacing w:line="360" w:lineRule="auto"/>
        <w:ind w:firstLine="482" w:firstLineChars="200"/>
        <w:rPr>
          <w:rFonts w:ascii="宋体" w:hAnsi="宋体" w:cs="宋体"/>
          <w:b/>
          <w:sz w:val="24"/>
          <w:szCs w:val="21"/>
        </w:rPr>
      </w:pPr>
      <w:r>
        <w:rPr>
          <w:rFonts w:hint="eastAsia" w:ascii="宋体" w:hAnsi="宋体" w:cs="宋体"/>
          <w:b/>
          <w:sz w:val="24"/>
          <w:szCs w:val="21"/>
        </w:rPr>
        <w:t xml:space="preserve">注：参加磋商会议的供应商的法定代表人或其委托代理人应提供本人身份证（原件并附复印件），委托代理人还应提供《法定代表人授权委托书》，以证明其身份； </w:t>
      </w:r>
    </w:p>
    <w:p>
      <w:pPr>
        <w:spacing w:line="360" w:lineRule="auto"/>
        <w:ind w:firstLine="480" w:firstLineChars="200"/>
        <w:rPr>
          <w:rFonts w:ascii="宋体" w:hAnsi="宋体" w:cs="宋体"/>
          <w:b/>
          <w:sz w:val="24"/>
          <w:szCs w:val="21"/>
        </w:rPr>
      </w:pPr>
      <w:r>
        <w:rPr>
          <w:rFonts w:hint="eastAsia" w:ascii="宋体" w:hAnsi="宋体" w:cs="宋体"/>
          <w:sz w:val="24"/>
        </w:rPr>
        <w:t>附：法定代表人身份证复印件：</w:t>
      </w:r>
    </w:p>
    <w:tbl>
      <w:tblPr>
        <w:tblStyle w:val="43"/>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5"/>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4745" w:type="dxa"/>
            <w:tcBorders>
              <w:top w:val="double" w:color="auto" w:sz="4" w:space="0"/>
              <w:left w:val="double" w:color="auto" w:sz="4" w:space="0"/>
              <w:bottom w:val="double" w:color="auto" w:sz="4" w:space="0"/>
              <w:right w:val="double" w:color="auto" w:sz="4" w:space="0"/>
            </w:tcBorders>
            <w:vAlign w:val="center"/>
          </w:tcPr>
          <w:p>
            <w:pPr>
              <w:jc w:val="center"/>
              <w:rPr>
                <w:rFonts w:ascii="宋体" w:hAnsi="宋体" w:cs="宋体"/>
                <w:b/>
                <w:sz w:val="24"/>
                <w:szCs w:val="21"/>
              </w:rPr>
            </w:pPr>
            <w:r>
              <w:rPr>
                <w:rFonts w:hint="eastAsia" w:ascii="宋体" w:hAnsi="宋体" w:cs="宋体"/>
                <w:b/>
                <w:sz w:val="24"/>
                <w:szCs w:val="21"/>
              </w:rPr>
              <w:t>身份证复印件（正面）</w:t>
            </w:r>
          </w:p>
        </w:tc>
        <w:tc>
          <w:tcPr>
            <w:tcW w:w="4575" w:type="dxa"/>
            <w:tcBorders>
              <w:top w:val="double" w:color="auto" w:sz="4" w:space="0"/>
              <w:left w:val="double" w:color="auto" w:sz="4" w:space="0"/>
              <w:bottom w:val="double" w:color="auto" w:sz="4" w:space="0"/>
              <w:right w:val="double" w:color="auto" w:sz="4" w:space="0"/>
            </w:tcBorders>
            <w:vAlign w:val="center"/>
          </w:tcPr>
          <w:p>
            <w:pPr>
              <w:jc w:val="center"/>
              <w:rPr>
                <w:rFonts w:ascii="宋体" w:hAnsi="宋体" w:cs="宋体"/>
                <w:b/>
                <w:sz w:val="24"/>
                <w:szCs w:val="21"/>
              </w:rPr>
            </w:pPr>
            <w:r>
              <w:rPr>
                <w:rFonts w:hint="eastAsia" w:ascii="宋体" w:hAnsi="宋体" w:cs="宋体"/>
                <w:b/>
                <w:sz w:val="24"/>
                <w:szCs w:val="21"/>
              </w:rPr>
              <w:t>身份证复印件（背面）</w:t>
            </w:r>
          </w:p>
        </w:tc>
      </w:tr>
    </w:tbl>
    <w:p>
      <w:pPr>
        <w:tabs>
          <w:tab w:val="left" w:pos="4940"/>
        </w:tabs>
        <w:rPr>
          <w:rFonts w:ascii="宋体" w:hAnsi="宋体" w:cs="宋体"/>
          <w:b/>
          <w:szCs w:val="21"/>
        </w:rPr>
      </w:pPr>
      <w:r>
        <w:rPr>
          <w:rFonts w:hint="eastAsia" w:ascii="宋体" w:hAnsi="宋体" w:cs="宋体"/>
          <w:sz w:val="24"/>
        </w:rPr>
        <w:t>附：被授权人身份证复印件：</w:t>
      </w:r>
    </w:p>
    <w:tbl>
      <w:tblPr>
        <w:tblStyle w:val="43"/>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5"/>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4745" w:type="dxa"/>
            <w:tcBorders>
              <w:top w:val="double" w:color="auto" w:sz="4" w:space="0"/>
              <w:left w:val="double" w:color="auto" w:sz="4" w:space="0"/>
              <w:bottom w:val="double" w:color="auto" w:sz="4" w:space="0"/>
              <w:right w:val="double" w:color="auto" w:sz="4" w:space="0"/>
            </w:tcBorders>
            <w:vAlign w:val="center"/>
          </w:tcPr>
          <w:p>
            <w:pPr>
              <w:jc w:val="center"/>
              <w:rPr>
                <w:rFonts w:ascii="宋体" w:hAnsi="宋体" w:cs="宋体"/>
                <w:b/>
                <w:sz w:val="24"/>
                <w:szCs w:val="21"/>
              </w:rPr>
            </w:pPr>
            <w:r>
              <w:rPr>
                <w:rFonts w:hint="eastAsia" w:ascii="宋体" w:hAnsi="宋体" w:cs="宋体"/>
                <w:b/>
                <w:sz w:val="24"/>
                <w:szCs w:val="21"/>
              </w:rPr>
              <w:t>身份证复印件（正面）</w:t>
            </w:r>
          </w:p>
        </w:tc>
        <w:tc>
          <w:tcPr>
            <w:tcW w:w="4575" w:type="dxa"/>
            <w:tcBorders>
              <w:top w:val="double" w:color="auto" w:sz="4" w:space="0"/>
              <w:left w:val="double" w:color="auto" w:sz="4" w:space="0"/>
              <w:bottom w:val="double" w:color="auto" w:sz="4" w:space="0"/>
              <w:right w:val="double" w:color="auto" w:sz="4" w:space="0"/>
            </w:tcBorders>
            <w:vAlign w:val="center"/>
          </w:tcPr>
          <w:p>
            <w:pPr>
              <w:jc w:val="center"/>
              <w:rPr>
                <w:rFonts w:ascii="宋体" w:hAnsi="宋体" w:cs="宋体"/>
                <w:b/>
                <w:sz w:val="24"/>
                <w:szCs w:val="21"/>
              </w:rPr>
            </w:pPr>
            <w:r>
              <w:rPr>
                <w:rFonts w:hint="eastAsia" w:ascii="宋体" w:hAnsi="宋体" w:cs="宋体"/>
                <w:b/>
                <w:sz w:val="24"/>
                <w:szCs w:val="21"/>
              </w:rPr>
              <w:t>身份证复印件（背面）</w:t>
            </w:r>
          </w:p>
        </w:tc>
      </w:tr>
    </w:tbl>
    <w:p>
      <w:pPr>
        <w:pStyle w:val="120"/>
        <w:jc w:val="both"/>
        <w:rPr>
          <w:rFonts w:ascii="宋体" w:hAnsi="宋体" w:cs="宋体"/>
          <w:b/>
          <w:color w:val="auto"/>
          <w:szCs w:val="21"/>
        </w:rPr>
      </w:pPr>
    </w:p>
    <w:p>
      <w:pPr>
        <w:pStyle w:val="120"/>
        <w:spacing w:line="360" w:lineRule="auto"/>
        <w:ind w:firstLine="482" w:firstLineChars="200"/>
        <w:rPr>
          <w:rFonts w:ascii="宋体" w:hAnsi="宋体" w:cs="宋体"/>
          <w:b/>
          <w:color w:val="auto"/>
          <w:sz w:val="24"/>
        </w:rPr>
      </w:pPr>
      <w:r>
        <w:rPr>
          <w:rFonts w:hint="eastAsia" w:ascii="宋体" w:hAnsi="宋体" w:cs="宋体"/>
          <w:b/>
          <w:color w:val="auto"/>
          <w:sz w:val="24"/>
        </w:rPr>
        <w:t>注：1、法定代表人本人作为公司代理人前来参加，可不提供此项证明文件。</w:t>
      </w:r>
    </w:p>
    <w:p>
      <w:pPr>
        <w:pStyle w:val="120"/>
        <w:spacing w:line="360" w:lineRule="auto"/>
        <w:ind w:firstLine="482" w:firstLineChars="200"/>
        <w:rPr>
          <w:rFonts w:ascii="宋体" w:hAnsi="宋体" w:cs="宋体"/>
          <w:b/>
          <w:color w:val="auto"/>
          <w:sz w:val="24"/>
        </w:rPr>
      </w:pPr>
      <w:r>
        <w:rPr>
          <w:rFonts w:hint="eastAsia" w:ascii="宋体" w:hAnsi="宋体" w:cs="宋体"/>
          <w:b/>
          <w:bCs/>
          <w:color w:val="auto"/>
          <w:sz w:val="24"/>
        </w:rPr>
        <w:t>2、法定代表人代表授权委托人需提供此项法定代表人代表授权委托书原件。</w:t>
      </w:r>
      <w:r>
        <w:rPr>
          <w:rFonts w:hint="eastAsia" w:ascii="宋体" w:hAnsi="宋体" w:cs="宋体"/>
          <w:b/>
          <w:color w:val="auto"/>
          <w:sz w:val="24"/>
        </w:rPr>
        <w:t>（否则视为无效授权）</w:t>
      </w:r>
    </w:p>
    <w:p>
      <w:pPr>
        <w:pStyle w:val="120"/>
        <w:spacing w:line="360" w:lineRule="auto"/>
        <w:ind w:firstLine="482" w:firstLineChars="200"/>
        <w:jc w:val="both"/>
        <w:rPr>
          <w:rFonts w:ascii="宋体" w:hAnsi="宋体" w:cs="宋体"/>
          <w:b/>
          <w:color w:val="auto"/>
          <w:sz w:val="24"/>
        </w:rPr>
      </w:pPr>
      <w:r>
        <w:rPr>
          <w:rFonts w:hint="eastAsia" w:ascii="宋体" w:hAnsi="宋体" w:cs="宋体"/>
          <w:b/>
          <w:color w:val="auto"/>
          <w:sz w:val="24"/>
        </w:rPr>
        <w:t>3、授权书上应当附有授权人和被授权人的居民身份证复印件。</w:t>
      </w:r>
    </w:p>
    <w:p>
      <w:pPr>
        <w:jc w:val="left"/>
        <w:outlineLvl w:val="0"/>
        <w:rPr>
          <w:rFonts w:ascii="宋体" w:hAnsi="宋体" w:cs="宋体"/>
          <w:b/>
          <w:sz w:val="32"/>
          <w:szCs w:val="32"/>
        </w:rPr>
      </w:pPr>
      <w:r>
        <w:rPr>
          <w:rFonts w:hint="eastAsia" w:ascii="宋体" w:hAnsi="宋体" w:cs="宋体"/>
        </w:rPr>
        <w:br w:type="page"/>
      </w:r>
      <w:bookmarkStart w:id="147" w:name="_Toc15262"/>
      <w:bookmarkStart w:id="148" w:name="_Toc32602"/>
      <w:bookmarkStart w:id="149" w:name="_Toc32707"/>
      <w:bookmarkStart w:id="150" w:name="_Toc21365"/>
      <w:r>
        <w:rPr>
          <w:rStyle w:val="167"/>
          <w:rFonts w:hint="eastAsia" w:ascii="宋体" w:hAnsi="宋体" w:eastAsia="宋体" w:cs="宋体"/>
          <w:b/>
          <w:bCs/>
          <w:sz w:val="32"/>
          <w:szCs w:val="32"/>
        </w:rPr>
        <w:t>（附件三）</w:t>
      </w:r>
      <w:bookmarkEnd w:id="147"/>
      <w:bookmarkEnd w:id="148"/>
      <w:bookmarkEnd w:id="149"/>
      <w:bookmarkEnd w:id="150"/>
    </w:p>
    <w:p>
      <w:pPr>
        <w:jc w:val="center"/>
        <w:rPr>
          <w:rFonts w:ascii="宋体" w:hAnsi="宋体" w:cs="宋体"/>
          <w:b/>
          <w:bCs/>
          <w:sz w:val="28"/>
          <w:szCs w:val="28"/>
        </w:rPr>
      </w:pPr>
      <w:bookmarkStart w:id="151" w:name="_Toc20856"/>
      <w:bookmarkStart w:id="152" w:name="_Toc11748"/>
      <w:r>
        <w:rPr>
          <w:rFonts w:hint="eastAsia" w:ascii="宋体" w:hAnsi="宋体" w:cs="宋体"/>
          <w:b/>
          <w:bCs/>
          <w:sz w:val="28"/>
          <w:szCs w:val="28"/>
        </w:rPr>
        <w:t>磋商报价一览表</w:t>
      </w:r>
      <w:bookmarkEnd w:id="151"/>
      <w:bookmarkEnd w:id="152"/>
    </w:p>
    <w:p>
      <w:pPr>
        <w:jc w:val="center"/>
        <w:rPr>
          <w:rFonts w:ascii="宋体" w:hAnsi="宋体" w:cs="宋体"/>
          <w:b/>
          <w:bCs/>
          <w:sz w:val="36"/>
        </w:rPr>
      </w:pPr>
    </w:p>
    <w:p>
      <w:pPr>
        <w:snapToGrid w:val="0"/>
        <w:spacing w:line="360" w:lineRule="auto"/>
        <w:rPr>
          <w:rFonts w:ascii="宋体" w:hAnsi="宋体" w:cs="宋体"/>
          <w:sz w:val="24"/>
          <w:szCs w:val="24"/>
        </w:rPr>
      </w:pPr>
      <w:r>
        <w:rPr>
          <w:rFonts w:hint="eastAsia" w:ascii="宋体" w:hAnsi="宋体" w:cs="宋体"/>
          <w:sz w:val="24"/>
          <w:szCs w:val="24"/>
        </w:rPr>
        <w:t>采购编号：</w:t>
      </w:r>
      <w:r>
        <w:rPr>
          <w:rFonts w:hint="eastAsia" w:ascii="宋体" w:hAnsi="宋体" w:cs="宋体"/>
          <w:sz w:val="24"/>
          <w:szCs w:val="24"/>
          <w:u w:val="single"/>
        </w:rPr>
        <w:t xml:space="preserve">                       </w:t>
      </w: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 xml:space="preserve">   单位：元</w:t>
      </w:r>
    </w:p>
    <w:tbl>
      <w:tblPr>
        <w:tblStyle w:val="43"/>
        <w:tblW w:w="94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8"/>
        <w:gridCol w:w="2185"/>
        <w:gridCol w:w="2231"/>
        <w:gridCol w:w="1794"/>
        <w:gridCol w:w="14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exact"/>
          <w:jc w:val="center"/>
        </w:trPr>
        <w:tc>
          <w:tcPr>
            <w:tcW w:w="18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 w:val="24"/>
                <w:szCs w:val="24"/>
              </w:rPr>
            </w:pPr>
            <w:r>
              <w:rPr>
                <w:rFonts w:hint="eastAsia" w:ascii="宋体" w:hAnsi="宋体" w:cs="宋体"/>
                <w:b/>
                <w:sz w:val="24"/>
                <w:szCs w:val="24"/>
              </w:rPr>
              <w:t>设备名称</w:t>
            </w:r>
          </w:p>
        </w:tc>
        <w:tc>
          <w:tcPr>
            <w:tcW w:w="218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 w:val="24"/>
                <w:szCs w:val="24"/>
              </w:rPr>
            </w:pPr>
            <w:r>
              <w:rPr>
                <w:rFonts w:hint="eastAsia" w:ascii="宋体" w:hAnsi="宋体" w:cs="宋体"/>
                <w:b/>
                <w:sz w:val="24"/>
                <w:szCs w:val="24"/>
              </w:rPr>
              <w:t>磋商总报价</w:t>
            </w:r>
          </w:p>
        </w:tc>
        <w:tc>
          <w:tcPr>
            <w:tcW w:w="22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 w:val="24"/>
                <w:szCs w:val="24"/>
              </w:rPr>
            </w:pPr>
            <w:r>
              <w:rPr>
                <w:rFonts w:hint="eastAsia" w:ascii="宋体" w:hAnsi="宋体" w:cs="宋体"/>
                <w:b/>
                <w:sz w:val="24"/>
                <w:szCs w:val="24"/>
              </w:rPr>
              <w:t>交货期</w:t>
            </w:r>
          </w:p>
        </w:tc>
        <w:tc>
          <w:tcPr>
            <w:tcW w:w="179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 w:val="24"/>
                <w:szCs w:val="24"/>
              </w:rPr>
            </w:pPr>
            <w:r>
              <w:rPr>
                <w:rFonts w:hint="eastAsia" w:ascii="宋体" w:hAnsi="宋体" w:cs="宋体"/>
                <w:b/>
                <w:sz w:val="24"/>
                <w:szCs w:val="24"/>
              </w:rPr>
              <w:t>质保期</w:t>
            </w:r>
          </w:p>
        </w:tc>
        <w:tc>
          <w:tcPr>
            <w:tcW w:w="146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 w:val="24"/>
                <w:szCs w:val="24"/>
              </w:rPr>
            </w:pPr>
            <w:r>
              <w:rPr>
                <w:rFonts w:hint="eastAsia" w:ascii="宋体" w:hAnsi="宋体" w:cs="宋体"/>
                <w:b/>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exact"/>
          <w:jc w:val="center"/>
        </w:trPr>
        <w:tc>
          <w:tcPr>
            <w:tcW w:w="18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 w:val="24"/>
                <w:szCs w:val="24"/>
              </w:rPr>
            </w:pPr>
          </w:p>
        </w:tc>
        <w:tc>
          <w:tcPr>
            <w:tcW w:w="218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 w:val="24"/>
                <w:szCs w:val="24"/>
              </w:rPr>
            </w:pPr>
            <w:r>
              <w:rPr>
                <w:rFonts w:hint="eastAsia" w:ascii="宋体" w:hAnsi="宋体" w:cs="宋体"/>
                <w:sz w:val="24"/>
                <w:szCs w:val="24"/>
              </w:rPr>
              <w:t>大写：</w:t>
            </w:r>
          </w:p>
          <w:p>
            <w:pPr>
              <w:snapToGrid w:val="0"/>
              <w:spacing w:line="360" w:lineRule="auto"/>
              <w:rPr>
                <w:rFonts w:ascii="宋体" w:hAnsi="宋体" w:cs="宋体"/>
                <w:sz w:val="24"/>
                <w:szCs w:val="24"/>
              </w:rPr>
            </w:pPr>
            <w:r>
              <w:rPr>
                <w:rFonts w:hint="eastAsia" w:ascii="宋体" w:hAnsi="宋体" w:cs="宋体"/>
                <w:sz w:val="24"/>
                <w:szCs w:val="24"/>
              </w:rPr>
              <w:t>小写：</w:t>
            </w:r>
          </w:p>
        </w:tc>
        <w:tc>
          <w:tcPr>
            <w:tcW w:w="22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 w:val="24"/>
                <w:szCs w:val="24"/>
              </w:rPr>
            </w:pPr>
          </w:p>
        </w:tc>
        <w:tc>
          <w:tcPr>
            <w:tcW w:w="179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 w:val="24"/>
                <w:szCs w:val="24"/>
              </w:rPr>
            </w:pPr>
          </w:p>
        </w:tc>
        <w:tc>
          <w:tcPr>
            <w:tcW w:w="146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2" w:hRule="exact"/>
          <w:jc w:val="center"/>
        </w:trPr>
        <w:tc>
          <w:tcPr>
            <w:tcW w:w="18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bCs/>
                <w:sz w:val="24"/>
                <w:szCs w:val="24"/>
              </w:rPr>
            </w:pPr>
            <w:r>
              <w:rPr>
                <w:rFonts w:hint="eastAsia" w:ascii="宋体" w:hAnsi="宋体" w:cs="宋体"/>
                <w:bCs/>
                <w:sz w:val="24"/>
                <w:szCs w:val="24"/>
              </w:rPr>
              <w:t>合计</w:t>
            </w:r>
          </w:p>
        </w:tc>
        <w:tc>
          <w:tcPr>
            <w:tcW w:w="7674"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 w:val="24"/>
                <w:szCs w:val="24"/>
              </w:rPr>
            </w:pPr>
            <w:r>
              <w:rPr>
                <w:rFonts w:hint="eastAsia" w:ascii="宋体" w:hAnsi="宋体" w:cs="宋体"/>
                <w:sz w:val="24"/>
                <w:szCs w:val="24"/>
              </w:rPr>
              <w:t>大写：</w:t>
            </w:r>
          </w:p>
          <w:p>
            <w:pPr>
              <w:snapToGrid w:val="0"/>
              <w:spacing w:line="360" w:lineRule="auto"/>
              <w:rPr>
                <w:rFonts w:ascii="宋体" w:hAnsi="宋体" w:cs="宋体"/>
                <w:sz w:val="24"/>
                <w:szCs w:val="24"/>
              </w:rPr>
            </w:pPr>
            <w:r>
              <w:rPr>
                <w:rFonts w:hint="eastAsia" w:ascii="宋体" w:hAnsi="宋体" w:cs="宋体"/>
                <w:sz w:val="24"/>
                <w:szCs w:val="24"/>
              </w:rPr>
              <w:t>小写：</w:t>
            </w:r>
          </w:p>
        </w:tc>
      </w:tr>
    </w:tbl>
    <w:p>
      <w:pPr>
        <w:snapToGrid w:val="0"/>
        <w:spacing w:line="360" w:lineRule="auto"/>
        <w:ind w:firstLine="120" w:firstLineChars="50"/>
        <w:jc w:val="left"/>
        <w:rPr>
          <w:rFonts w:ascii="宋体" w:hAnsi="宋体" w:cs="宋体"/>
          <w:sz w:val="24"/>
          <w:szCs w:val="24"/>
        </w:rPr>
      </w:pPr>
    </w:p>
    <w:p>
      <w:pPr>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注: 1、报价一经涂改，应在涂改处加盖单位公章或者由法定代表人或授权委托人签字或盖章，否则其报价作无效磋商处理。</w:t>
      </w:r>
    </w:p>
    <w:p>
      <w:pPr>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2、报价包括项目实施所需的货物费、仓储（保存）、人工费、安装费、服务费、运输费、培训、调换费、保险费、税费、维修费、审计费及其他一切费用。</w:t>
      </w:r>
    </w:p>
    <w:p>
      <w:pPr>
        <w:snapToGrid w:val="0"/>
        <w:spacing w:line="360" w:lineRule="auto"/>
        <w:ind w:firstLine="482" w:firstLineChars="200"/>
        <w:jc w:val="left"/>
        <w:rPr>
          <w:rFonts w:ascii="宋体" w:hAnsi="宋体" w:cs="宋体"/>
          <w:sz w:val="24"/>
          <w:szCs w:val="24"/>
        </w:rPr>
      </w:pPr>
      <w:r>
        <w:rPr>
          <w:rFonts w:hint="eastAsia" w:ascii="宋体" w:hAnsi="宋体" w:cs="宋体"/>
          <w:b/>
          <w:bCs/>
          <w:sz w:val="24"/>
          <w:szCs w:val="24"/>
        </w:rPr>
        <w:t>3、上报价应与“分项报价明细表”中的“</w:t>
      </w:r>
      <w:r>
        <w:rPr>
          <w:rFonts w:hint="eastAsia" w:ascii="宋体" w:hAnsi="宋体" w:cs="宋体"/>
          <w:b/>
          <w:sz w:val="24"/>
          <w:szCs w:val="24"/>
        </w:rPr>
        <w:t>磋商总报价</w:t>
      </w:r>
      <w:r>
        <w:rPr>
          <w:rFonts w:hint="eastAsia" w:ascii="宋体" w:hAnsi="宋体" w:cs="宋体"/>
          <w:b/>
          <w:bCs/>
          <w:sz w:val="24"/>
          <w:szCs w:val="24"/>
        </w:rPr>
        <w:t>”相一致。</w:t>
      </w:r>
    </w:p>
    <w:p>
      <w:pPr>
        <w:snapToGrid w:val="0"/>
        <w:spacing w:line="360" w:lineRule="auto"/>
        <w:ind w:firstLine="482" w:firstLineChars="200"/>
        <w:rPr>
          <w:rFonts w:ascii="宋体" w:hAnsi="宋体" w:cs="宋体"/>
          <w:b/>
          <w:bCs/>
          <w:sz w:val="24"/>
          <w:szCs w:val="24"/>
        </w:rPr>
      </w:pPr>
    </w:p>
    <w:p>
      <w:pPr>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法定代表人或授权代表（签字）：</w:t>
      </w:r>
    </w:p>
    <w:p>
      <w:pPr>
        <w:snapToGrid w:val="0"/>
        <w:spacing w:line="360" w:lineRule="auto"/>
        <w:ind w:firstLine="482" w:firstLineChars="200"/>
        <w:rPr>
          <w:rFonts w:ascii="宋体" w:hAnsi="宋体" w:cs="宋体"/>
          <w:b/>
          <w:bCs/>
          <w:sz w:val="24"/>
          <w:szCs w:val="24"/>
        </w:rPr>
      </w:pPr>
    </w:p>
    <w:p>
      <w:pPr>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 xml:space="preserve">供应商名称（盖章）：                         </w:t>
      </w:r>
    </w:p>
    <w:p>
      <w:pPr>
        <w:snapToGrid w:val="0"/>
        <w:spacing w:line="360" w:lineRule="auto"/>
        <w:ind w:firstLine="482" w:firstLineChars="200"/>
        <w:rPr>
          <w:rFonts w:ascii="宋体" w:hAnsi="宋体" w:cs="宋体"/>
          <w:b/>
          <w:bCs/>
          <w:sz w:val="24"/>
          <w:szCs w:val="24"/>
        </w:rPr>
      </w:pPr>
    </w:p>
    <w:p>
      <w:pPr>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日期：    年   月   日</w:t>
      </w:r>
    </w:p>
    <w:p>
      <w:pPr>
        <w:snapToGrid w:val="0"/>
        <w:spacing w:line="360" w:lineRule="auto"/>
        <w:ind w:firstLine="600" w:firstLineChars="250"/>
        <w:rPr>
          <w:rFonts w:ascii="宋体" w:hAnsi="宋体" w:cs="宋体"/>
          <w:sz w:val="24"/>
          <w:szCs w:val="24"/>
        </w:rPr>
      </w:pPr>
    </w:p>
    <w:p>
      <w:pPr>
        <w:snapToGrid w:val="0"/>
        <w:spacing w:line="360" w:lineRule="auto"/>
        <w:ind w:firstLine="600" w:firstLineChars="250"/>
        <w:rPr>
          <w:rFonts w:ascii="宋体" w:hAnsi="宋体" w:cs="宋体"/>
          <w:sz w:val="24"/>
          <w:szCs w:val="24"/>
        </w:rPr>
      </w:pPr>
    </w:p>
    <w:p>
      <w:pPr>
        <w:snapToGrid w:val="0"/>
        <w:spacing w:line="360" w:lineRule="auto"/>
        <w:ind w:firstLine="482" w:firstLineChars="200"/>
        <w:jc w:val="left"/>
        <w:rPr>
          <w:rFonts w:ascii="宋体" w:hAnsi="宋体" w:cs="宋体"/>
          <w:b/>
          <w:bCs/>
          <w:sz w:val="24"/>
          <w:szCs w:val="24"/>
        </w:rPr>
      </w:pPr>
      <w:bookmarkStart w:id="153" w:name="_Toc19445"/>
      <w:bookmarkStart w:id="154" w:name="_Toc23794"/>
      <w:r>
        <w:rPr>
          <w:rFonts w:hint="eastAsia" w:ascii="宋体" w:hAnsi="宋体" w:cs="宋体"/>
          <w:b/>
          <w:bCs/>
          <w:sz w:val="24"/>
          <w:szCs w:val="24"/>
        </w:rPr>
        <w:t>(注：请将本磋商报价一览表单独密封一份)</w:t>
      </w:r>
      <w:bookmarkEnd w:id="153"/>
      <w:bookmarkEnd w:id="154"/>
    </w:p>
    <w:p>
      <w:pPr>
        <w:rPr>
          <w:rFonts w:ascii="宋体" w:hAnsi="宋体" w:cs="宋体"/>
          <w:b/>
          <w:bCs/>
          <w:sz w:val="36"/>
        </w:rPr>
        <w:sectPr>
          <w:footerReference r:id="rId5" w:type="default"/>
          <w:pgSz w:w="11906" w:h="16838"/>
          <w:pgMar w:top="1418" w:right="1418" w:bottom="1418" w:left="1418" w:header="851" w:footer="851" w:gutter="0"/>
          <w:pgNumType w:start="1"/>
          <w:cols w:space="720" w:num="1"/>
          <w:docGrid w:type="lines" w:linePitch="312" w:charSpace="0"/>
        </w:sectPr>
      </w:pPr>
    </w:p>
    <w:p>
      <w:pPr>
        <w:pStyle w:val="3"/>
        <w:jc w:val="left"/>
        <w:rPr>
          <w:rFonts w:ascii="宋体" w:hAnsi="宋体" w:eastAsia="宋体" w:cs="宋体"/>
          <w:b/>
          <w:bCs/>
          <w:sz w:val="32"/>
          <w:szCs w:val="32"/>
        </w:rPr>
      </w:pPr>
      <w:bookmarkStart w:id="155" w:name="_Toc30533"/>
      <w:bookmarkStart w:id="156" w:name="_Toc14905"/>
      <w:bookmarkStart w:id="157" w:name="_Toc20776"/>
      <w:bookmarkStart w:id="158" w:name="_Toc19478"/>
      <w:bookmarkStart w:id="159" w:name="_Toc17497"/>
      <w:r>
        <w:rPr>
          <w:rFonts w:hint="eastAsia" w:ascii="宋体" w:hAnsi="宋体" w:eastAsia="宋体" w:cs="宋体"/>
          <w:b/>
          <w:bCs/>
          <w:sz w:val="32"/>
          <w:szCs w:val="32"/>
        </w:rPr>
        <w:t>（附件四）</w:t>
      </w:r>
      <w:bookmarkEnd w:id="155"/>
      <w:bookmarkEnd w:id="156"/>
      <w:bookmarkEnd w:id="157"/>
      <w:bookmarkEnd w:id="158"/>
      <w:bookmarkEnd w:id="159"/>
    </w:p>
    <w:p>
      <w:pPr>
        <w:jc w:val="center"/>
        <w:rPr>
          <w:rFonts w:ascii="宋体" w:hAnsi="宋体" w:cs="宋体"/>
          <w:b/>
          <w:bCs/>
          <w:sz w:val="28"/>
          <w:szCs w:val="28"/>
        </w:rPr>
      </w:pPr>
      <w:r>
        <w:rPr>
          <w:rFonts w:hint="eastAsia" w:ascii="宋体" w:hAnsi="宋体" w:cs="宋体"/>
          <w:b/>
          <w:bCs/>
          <w:sz w:val="28"/>
          <w:szCs w:val="28"/>
        </w:rPr>
        <w:t>分项报价明细表</w:t>
      </w:r>
    </w:p>
    <w:p>
      <w:pPr>
        <w:jc w:val="center"/>
        <w:rPr>
          <w:rFonts w:ascii="宋体" w:hAnsi="宋体" w:cs="宋体"/>
          <w:b/>
          <w:bCs/>
          <w:sz w:val="36"/>
        </w:rPr>
      </w:pPr>
    </w:p>
    <w:p>
      <w:pPr>
        <w:spacing w:line="360" w:lineRule="auto"/>
        <w:ind w:firstLine="480" w:firstLineChars="200"/>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 xml:space="preserve">        采购编号：</w:t>
      </w:r>
      <w:r>
        <w:rPr>
          <w:rFonts w:hint="eastAsia" w:ascii="宋体" w:hAnsi="宋体" w:cs="宋体"/>
          <w:sz w:val="24"/>
          <w:szCs w:val="24"/>
          <w:u w:val="single"/>
        </w:rPr>
        <w:t xml:space="preserve">                       </w:t>
      </w:r>
    </w:p>
    <w:tbl>
      <w:tblPr>
        <w:tblStyle w:val="43"/>
        <w:tblW w:w="13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jc w:val="center"/>
        </w:trPr>
        <w:tc>
          <w:tcPr>
            <w:tcW w:w="13177" w:type="dxa"/>
            <w:vAlign w:val="center"/>
          </w:tcPr>
          <w:p>
            <w:pPr>
              <w:spacing w:line="360" w:lineRule="auto"/>
              <w:rPr>
                <w:rFonts w:ascii="宋体" w:hAnsi="宋体" w:cs="宋体"/>
                <w:sz w:val="24"/>
                <w:szCs w:val="24"/>
              </w:rPr>
            </w:pPr>
            <w:r>
              <w:rPr>
                <w:rFonts w:hint="eastAsia" w:ascii="宋体" w:hAnsi="宋体" w:cs="宋体"/>
                <w:sz w:val="24"/>
                <w:szCs w:val="24"/>
              </w:rPr>
              <w:t>注：格式自拟，内容包括：产品品牌、</w:t>
            </w:r>
            <w:r>
              <w:rPr>
                <w:rFonts w:hint="eastAsia" w:ascii="宋体" w:hAnsi="宋体" w:cs="宋体"/>
                <w:bCs/>
                <w:sz w:val="24"/>
                <w:szCs w:val="24"/>
              </w:rPr>
              <w:t>税费、运保、</w:t>
            </w:r>
            <w:r>
              <w:rPr>
                <w:rFonts w:hint="eastAsia" w:ascii="宋体" w:hAnsi="宋体" w:cs="宋体"/>
                <w:sz w:val="24"/>
                <w:szCs w:val="24"/>
              </w:rPr>
              <w:t>人工费、材料费、安装费、服务费、培训、税费、维修费、审计及其他一切费用。</w:t>
            </w:r>
          </w:p>
        </w:tc>
      </w:tr>
    </w:tbl>
    <w:p>
      <w:pPr>
        <w:spacing w:line="360" w:lineRule="auto"/>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供应商法定代表人或授权代表签字：                                                </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供应商盖章：</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b/>
          <w:sz w:val="36"/>
        </w:rPr>
      </w:pPr>
      <w:r>
        <w:rPr>
          <w:rFonts w:hint="eastAsia" w:ascii="宋体" w:hAnsi="宋体" w:cs="宋体"/>
          <w:sz w:val="24"/>
          <w:szCs w:val="24"/>
        </w:rPr>
        <w:t>日期：    年   月   日</w:t>
      </w:r>
    </w:p>
    <w:p>
      <w:pPr>
        <w:pStyle w:val="3"/>
        <w:jc w:val="left"/>
        <w:rPr>
          <w:rFonts w:ascii="宋体" w:hAnsi="宋体" w:eastAsia="宋体" w:cs="宋体"/>
          <w:b/>
          <w:bCs/>
          <w:sz w:val="32"/>
          <w:szCs w:val="32"/>
        </w:rPr>
      </w:pPr>
      <w:bookmarkStart w:id="160" w:name="_Toc12264"/>
      <w:bookmarkStart w:id="161" w:name="_Toc30753"/>
      <w:bookmarkStart w:id="162" w:name="_Toc10069"/>
      <w:bookmarkStart w:id="163" w:name="_Toc10834"/>
      <w:bookmarkStart w:id="164" w:name="_Toc11049"/>
      <w:r>
        <w:rPr>
          <w:rFonts w:hint="eastAsia" w:ascii="宋体" w:hAnsi="宋体" w:eastAsia="宋体" w:cs="宋体"/>
          <w:b/>
          <w:bCs/>
          <w:sz w:val="32"/>
          <w:szCs w:val="32"/>
        </w:rPr>
        <w:t>（附件五）</w:t>
      </w:r>
      <w:bookmarkEnd w:id="160"/>
      <w:bookmarkEnd w:id="161"/>
      <w:bookmarkEnd w:id="162"/>
      <w:bookmarkEnd w:id="163"/>
      <w:bookmarkEnd w:id="164"/>
    </w:p>
    <w:p>
      <w:pPr>
        <w:jc w:val="center"/>
        <w:rPr>
          <w:rFonts w:ascii="宋体" w:hAnsi="宋体" w:cs="宋体"/>
          <w:b/>
          <w:bCs/>
          <w:sz w:val="28"/>
          <w:szCs w:val="28"/>
        </w:rPr>
      </w:pPr>
      <w:r>
        <w:rPr>
          <w:rFonts w:hint="eastAsia" w:ascii="宋体" w:hAnsi="宋体" w:cs="宋体"/>
          <w:b/>
          <w:bCs/>
          <w:sz w:val="28"/>
          <w:szCs w:val="28"/>
        </w:rPr>
        <w:t>商务条款偏离表</w:t>
      </w:r>
    </w:p>
    <w:p>
      <w:pPr>
        <w:spacing w:line="360" w:lineRule="auto"/>
        <w:ind w:firstLine="480" w:firstLineChars="200"/>
        <w:rPr>
          <w:rFonts w:ascii="宋体" w:hAnsi="宋体" w:cs="宋体"/>
          <w:sz w:val="24"/>
          <w:szCs w:val="24"/>
        </w:rPr>
      </w:pPr>
      <w:bookmarkStart w:id="165" w:name="_Toc27230"/>
      <w:bookmarkStart w:id="166" w:name="_Toc591"/>
      <w:bookmarkStart w:id="167" w:name="_Toc10134"/>
      <w:bookmarkStart w:id="168" w:name="_Toc29715"/>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 xml:space="preserve">                    采购编号：</w:t>
      </w:r>
      <w:r>
        <w:rPr>
          <w:rFonts w:hint="eastAsia" w:ascii="宋体" w:hAnsi="宋体" w:cs="宋体"/>
          <w:sz w:val="24"/>
          <w:szCs w:val="24"/>
          <w:u w:val="single"/>
        </w:rPr>
        <w:t xml:space="preserve">                      </w:t>
      </w:r>
      <w:r>
        <w:rPr>
          <w:rFonts w:hint="eastAsia" w:ascii="宋体" w:hAnsi="宋体" w:cs="宋体"/>
          <w:sz w:val="24"/>
          <w:szCs w:val="24"/>
        </w:rPr>
        <w:t xml:space="preserve">               </w:t>
      </w:r>
    </w:p>
    <w:tbl>
      <w:tblPr>
        <w:tblStyle w:val="43"/>
        <w:tblW w:w="13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984"/>
        <w:gridCol w:w="3319"/>
        <w:gridCol w:w="3897"/>
        <w:gridCol w:w="2307"/>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01" w:type="dxa"/>
            <w:vAlign w:val="center"/>
          </w:tcPr>
          <w:p>
            <w:pPr>
              <w:pStyle w:val="91"/>
              <w:spacing w:line="360" w:lineRule="auto"/>
              <w:jc w:val="center"/>
              <w:rPr>
                <w:rFonts w:ascii="宋体" w:hAnsi="宋体" w:cs="宋体"/>
                <w:color w:val="auto"/>
              </w:rPr>
            </w:pPr>
            <w:r>
              <w:rPr>
                <w:rFonts w:hint="eastAsia" w:ascii="宋体" w:hAnsi="宋体" w:cs="宋体"/>
                <w:color w:val="auto"/>
              </w:rPr>
              <w:t>序号</w:t>
            </w:r>
          </w:p>
        </w:tc>
        <w:tc>
          <w:tcPr>
            <w:tcW w:w="1984" w:type="dxa"/>
            <w:vAlign w:val="center"/>
          </w:tcPr>
          <w:p>
            <w:pPr>
              <w:pStyle w:val="91"/>
              <w:spacing w:line="360" w:lineRule="auto"/>
              <w:jc w:val="center"/>
              <w:rPr>
                <w:rFonts w:ascii="宋体" w:hAnsi="宋体" w:cs="宋体"/>
                <w:color w:val="auto"/>
              </w:rPr>
            </w:pPr>
            <w:r>
              <w:rPr>
                <w:rFonts w:hint="eastAsia" w:ascii="宋体" w:hAnsi="宋体" w:cs="宋体"/>
                <w:color w:val="auto"/>
              </w:rPr>
              <w:t>采购文件条目号</w:t>
            </w:r>
          </w:p>
        </w:tc>
        <w:tc>
          <w:tcPr>
            <w:tcW w:w="3319" w:type="dxa"/>
            <w:vAlign w:val="center"/>
          </w:tcPr>
          <w:p>
            <w:pPr>
              <w:pStyle w:val="91"/>
              <w:spacing w:line="360" w:lineRule="auto"/>
              <w:jc w:val="center"/>
              <w:rPr>
                <w:rFonts w:ascii="宋体" w:hAnsi="宋体" w:cs="宋体"/>
                <w:color w:val="auto"/>
              </w:rPr>
            </w:pPr>
            <w:r>
              <w:rPr>
                <w:rFonts w:hint="eastAsia" w:ascii="宋体" w:hAnsi="宋体" w:cs="宋体"/>
                <w:color w:val="auto"/>
              </w:rPr>
              <w:t>采购文件的商务条款</w:t>
            </w:r>
          </w:p>
        </w:tc>
        <w:tc>
          <w:tcPr>
            <w:tcW w:w="3897" w:type="dxa"/>
            <w:vAlign w:val="center"/>
          </w:tcPr>
          <w:p>
            <w:pPr>
              <w:pStyle w:val="91"/>
              <w:spacing w:line="360" w:lineRule="auto"/>
              <w:jc w:val="center"/>
              <w:rPr>
                <w:rFonts w:ascii="宋体" w:hAnsi="宋体" w:cs="宋体"/>
                <w:color w:val="auto"/>
              </w:rPr>
            </w:pPr>
            <w:r>
              <w:rPr>
                <w:rFonts w:hint="eastAsia" w:ascii="宋体" w:hAnsi="宋体" w:cs="宋体"/>
                <w:color w:val="auto"/>
              </w:rPr>
              <w:t>响应文件的商务条款</w:t>
            </w:r>
          </w:p>
        </w:tc>
        <w:tc>
          <w:tcPr>
            <w:tcW w:w="2307" w:type="dxa"/>
            <w:vAlign w:val="center"/>
          </w:tcPr>
          <w:p>
            <w:pPr>
              <w:pStyle w:val="91"/>
              <w:spacing w:line="360" w:lineRule="auto"/>
              <w:jc w:val="center"/>
              <w:rPr>
                <w:rFonts w:ascii="宋体" w:hAnsi="宋体" w:cs="宋体"/>
                <w:color w:val="auto"/>
              </w:rPr>
            </w:pPr>
            <w:r>
              <w:rPr>
                <w:rFonts w:hint="eastAsia" w:ascii="宋体" w:hAnsi="宋体" w:cs="宋体"/>
                <w:color w:val="auto"/>
              </w:rPr>
              <w:t>偏离</w:t>
            </w:r>
          </w:p>
        </w:tc>
        <w:tc>
          <w:tcPr>
            <w:tcW w:w="1249" w:type="dxa"/>
            <w:vAlign w:val="center"/>
          </w:tcPr>
          <w:p>
            <w:pPr>
              <w:pStyle w:val="91"/>
              <w:spacing w:line="360" w:lineRule="auto"/>
              <w:jc w:val="center"/>
              <w:rPr>
                <w:rFonts w:ascii="宋体" w:hAnsi="宋体" w:cs="宋体"/>
                <w:color w:val="auto"/>
              </w:rPr>
            </w:pPr>
            <w:r>
              <w:rPr>
                <w:rFonts w:hint="eastAsia" w:ascii="宋体" w:hAnsi="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1" w:type="dxa"/>
            <w:vAlign w:val="center"/>
          </w:tcPr>
          <w:p>
            <w:pPr>
              <w:pStyle w:val="91"/>
              <w:spacing w:line="360" w:lineRule="auto"/>
              <w:jc w:val="both"/>
              <w:rPr>
                <w:rFonts w:ascii="宋体" w:hAnsi="宋体" w:cs="宋体"/>
                <w:color w:val="auto"/>
              </w:rPr>
            </w:pPr>
          </w:p>
        </w:tc>
        <w:tc>
          <w:tcPr>
            <w:tcW w:w="1984" w:type="dxa"/>
            <w:vAlign w:val="center"/>
          </w:tcPr>
          <w:p>
            <w:pPr>
              <w:pStyle w:val="91"/>
              <w:spacing w:line="360" w:lineRule="auto"/>
              <w:jc w:val="both"/>
              <w:rPr>
                <w:rFonts w:ascii="宋体" w:hAnsi="宋体" w:cs="宋体"/>
                <w:color w:val="auto"/>
              </w:rPr>
            </w:pPr>
          </w:p>
        </w:tc>
        <w:tc>
          <w:tcPr>
            <w:tcW w:w="3319" w:type="dxa"/>
            <w:vAlign w:val="center"/>
          </w:tcPr>
          <w:p>
            <w:pPr>
              <w:pStyle w:val="91"/>
              <w:spacing w:line="360" w:lineRule="auto"/>
              <w:jc w:val="both"/>
              <w:rPr>
                <w:rFonts w:ascii="宋体" w:hAnsi="宋体" w:cs="宋体"/>
                <w:color w:val="auto"/>
              </w:rPr>
            </w:pPr>
          </w:p>
        </w:tc>
        <w:tc>
          <w:tcPr>
            <w:tcW w:w="3897" w:type="dxa"/>
            <w:vAlign w:val="center"/>
          </w:tcPr>
          <w:p>
            <w:pPr>
              <w:pStyle w:val="91"/>
              <w:spacing w:line="360" w:lineRule="auto"/>
              <w:jc w:val="both"/>
              <w:rPr>
                <w:rFonts w:ascii="宋体" w:hAnsi="宋体" w:cs="宋体"/>
                <w:color w:val="auto"/>
              </w:rPr>
            </w:pPr>
          </w:p>
        </w:tc>
        <w:tc>
          <w:tcPr>
            <w:tcW w:w="2307" w:type="dxa"/>
            <w:vAlign w:val="center"/>
          </w:tcPr>
          <w:p>
            <w:pPr>
              <w:pStyle w:val="91"/>
              <w:spacing w:line="360" w:lineRule="auto"/>
              <w:jc w:val="both"/>
              <w:rPr>
                <w:rFonts w:ascii="宋体" w:hAnsi="宋体" w:cs="宋体"/>
                <w:color w:val="auto"/>
              </w:rPr>
            </w:pPr>
          </w:p>
        </w:tc>
        <w:tc>
          <w:tcPr>
            <w:tcW w:w="1249" w:type="dxa"/>
            <w:vAlign w:val="center"/>
          </w:tcPr>
          <w:p>
            <w:pPr>
              <w:pStyle w:val="91"/>
              <w:spacing w:line="360" w:lineRule="auto"/>
              <w:jc w:val="both"/>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1" w:type="dxa"/>
            <w:vAlign w:val="center"/>
          </w:tcPr>
          <w:p>
            <w:pPr>
              <w:pStyle w:val="91"/>
              <w:spacing w:line="360" w:lineRule="auto"/>
              <w:jc w:val="both"/>
              <w:rPr>
                <w:rFonts w:ascii="宋体" w:hAnsi="宋体" w:cs="宋体"/>
                <w:color w:val="auto"/>
              </w:rPr>
            </w:pPr>
          </w:p>
        </w:tc>
        <w:tc>
          <w:tcPr>
            <w:tcW w:w="1984" w:type="dxa"/>
            <w:vAlign w:val="center"/>
          </w:tcPr>
          <w:p>
            <w:pPr>
              <w:pStyle w:val="91"/>
              <w:spacing w:line="360" w:lineRule="auto"/>
              <w:jc w:val="both"/>
              <w:rPr>
                <w:rFonts w:ascii="宋体" w:hAnsi="宋体" w:cs="宋体"/>
                <w:color w:val="auto"/>
              </w:rPr>
            </w:pPr>
          </w:p>
        </w:tc>
        <w:tc>
          <w:tcPr>
            <w:tcW w:w="3319" w:type="dxa"/>
            <w:vAlign w:val="center"/>
          </w:tcPr>
          <w:p>
            <w:pPr>
              <w:pStyle w:val="91"/>
              <w:spacing w:line="360" w:lineRule="auto"/>
              <w:jc w:val="both"/>
              <w:rPr>
                <w:rFonts w:ascii="宋体" w:hAnsi="宋体" w:cs="宋体"/>
                <w:color w:val="auto"/>
              </w:rPr>
            </w:pPr>
          </w:p>
        </w:tc>
        <w:tc>
          <w:tcPr>
            <w:tcW w:w="3897" w:type="dxa"/>
            <w:vAlign w:val="center"/>
          </w:tcPr>
          <w:p>
            <w:pPr>
              <w:pStyle w:val="91"/>
              <w:spacing w:line="360" w:lineRule="auto"/>
              <w:jc w:val="both"/>
              <w:rPr>
                <w:rFonts w:ascii="宋体" w:hAnsi="宋体" w:cs="宋体"/>
                <w:color w:val="auto"/>
              </w:rPr>
            </w:pPr>
          </w:p>
        </w:tc>
        <w:tc>
          <w:tcPr>
            <w:tcW w:w="2307" w:type="dxa"/>
            <w:vAlign w:val="center"/>
          </w:tcPr>
          <w:p>
            <w:pPr>
              <w:pStyle w:val="91"/>
              <w:spacing w:line="360" w:lineRule="auto"/>
              <w:jc w:val="both"/>
              <w:rPr>
                <w:rFonts w:ascii="宋体" w:hAnsi="宋体" w:cs="宋体"/>
                <w:color w:val="auto"/>
              </w:rPr>
            </w:pPr>
          </w:p>
        </w:tc>
        <w:tc>
          <w:tcPr>
            <w:tcW w:w="1249" w:type="dxa"/>
            <w:vAlign w:val="center"/>
          </w:tcPr>
          <w:p>
            <w:pPr>
              <w:pStyle w:val="91"/>
              <w:spacing w:line="360" w:lineRule="auto"/>
              <w:jc w:val="both"/>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1" w:type="dxa"/>
            <w:vAlign w:val="center"/>
          </w:tcPr>
          <w:p>
            <w:pPr>
              <w:pStyle w:val="91"/>
              <w:spacing w:line="360" w:lineRule="auto"/>
              <w:jc w:val="both"/>
              <w:rPr>
                <w:rFonts w:ascii="宋体" w:hAnsi="宋体" w:cs="宋体"/>
                <w:color w:val="auto"/>
              </w:rPr>
            </w:pPr>
          </w:p>
        </w:tc>
        <w:tc>
          <w:tcPr>
            <w:tcW w:w="1984" w:type="dxa"/>
            <w:vAlign w:val="center"/>
          </w:tcPr>
          <w:p>
            <w:pPr>
              <w:pStyle w:val="91"/>
              <w:spacing w:line="360" w:lineRule="auto"/>
              <w:jc w:val="both"/>
              <w:rPr>
                <w:rFonts w:ascii="宋体" w:hAnsi="宋体" w:cs="宋体"/>
                <w:color w:val="auto"/>
              </w:rPr>
            </w:pPr>
          </w:p>
        </w:tc>
        <w:tc>
          <w:tcPr>
            <w:tcW w:w="3319" w:type="dxa"/>
            <w:vAlign w:val="center"/>
          </w:tcPr>
          <w:p>
            <w:pPr>
              <w:pStyle w:val="91"/>
              <w:spacing w:line="360" w:lineRule="auto"/>
              <w:jc w:val="both"/>
              <w:rPr>
                <w:rFonts w:ascii="宋体" w:hAnsi="宋体" w:cs="宋体"/>
                <w:color w:val="auto"/>
              </w:rPr>
            </w:pPr>
          </w:p>
        </w:tc>
        <w:tc>
          <w:tcPr>
            <w:tcW w:w="3897" w:type="dxa"/>
            <w:vAlign w:val="center"/>
          </w:tcPr>
          <w:p>
            <w:pPr>
              <w:pStyle w:val="91"/>
              <w:spacing w:line="360" w:lineRule="auto"/>
              <w:jc w:val="both"/>
              <w:rPr>
                <w:rFonts w:ascii="宋体" w:hAnsi="宋体" w:cs="宋体"/>
                <w:color w:val="auto"/>
              </w:rPr>
            </w:pPr>
          </w:p>
        </w:tc>
        <w:tc>
          <w:tcPr>
            <w:tcW w:w="2307" w:type="dxa"/>
            <w:vAlign w:val="center"/>
          </w:tcPr>
          <w:p>
            <w:pPr>
              <w:pStyle w:val="91"/>
              <w:spacing w:line="360" w:lineRule="auto"/>
              <w:jc w:val="both"/>
              <w:rPr>
                <w:rFonts w:ascii="宋体" w:hAnsi="宋体" w:cs="宋体"/>
                <w:color w:val="auto"/>
              </w:rPr>
            </w:pPr>
          </w:p>
        </w:tc>
        <w:tc>
          <w:tcPr>
            <w:tcW w:w="1249" w:type="dxa"/>
            <w:vAlign w:val="center"/>
          </w:tcPr>
          <w:p>
            <w:pPr>
              <w:pStyle w:val="91"/>
              <w:spacing w:line="360" w:lineRule="auto"/>
              <w:jc w:val="both"/>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1" w:type="dxa"/>
            <w:vAlign w:val="center"/>
          </w:tcPr>
          <w:p>
            <w:pPr>
              <w:pStyle w:val="91"/>
              <w:spacing w:line="360" w:lineRule="auto"/>
              <w:jc w:val="both"/>
              <w:rPr>
                <w:rFonts w:ascii="宋体" w:hAnsi="宋体" w:cs="宋体"/>
                <w:color w:val="auto"/>
              </w:rPr>
            </w:pPr>
          </w:p>
        </w:tc>
        <w:tc>
          <w:tcPr>
            <w:tcW w:w="1984" w:type="dxa"/>
            <w:vAlign w:val="center"/>
          </w:tcPr>
          <w:p>
            <w:pPr>
              <w:pStyle w:val="91"/>
              <w:spacing w:line="360" w:lineRule="auto"/>
              <w:jc w:val="both"/>
              <w:rPr>
                <w:rFonts w:ascii="宋体" w:hAnsi="宋体" w:cs="宋体"/>
                <w:color w:val="auto"/>
              </w:rPr>
            </w:pPr>
          </w:p>
        </w:tc>
        <w:tc>
          <w:tcPr>
            <w:tcW w:w="3319" w:type="dxa"/>
            <w:vAlign w:val="center"/>
          </w:tcPr>
          <w:p>
            <w:pPr>
              <w:pStyle w:val="91"/>
              <w:spacing w:line="360" w:lineRule="auto"/>
              <w:jc w:val="both"/>
              <w:rPr>
                <w:rFonts w:ascii="宋体" w:hAnsi="宋体" w:cs="宋体"/>
                <w:color w:val="auto"/>
              </w:rPr>
            </w:pPr>
          </w:p>
        </w:tc>
        <w:tc>
          <w:tcPr>
            <w:tcW w:w="3897" w:type="dxa"/>
            <w:vAlign w:val="center"/>
          </w:tcPr>
          <w:p>
            <w:pPr>
              <w:pStyle w:val="91"/>
              <w:spacing w:line="360" w:lineRule="auto"/>
              <w:jc w:val="both"/>
              <w:rPr>
                <w:rFonts w:ascii="宋体" w:hAnsi="宋体" w:cs="宋体"/>
                <w:color w:val="auto"/>
              </w:rPr>
            </w:pPr>
          </w:p>
        </w:tc>
        <w:tc>
          <w:tcPr>
            <w:tcW w:w="2307" w:type="dxa"/>
            <w:vAlign w:val="center"/>
          </w:tcPr>
          <w:p>
            <w:pPr>
              <w:pStyle w:val="91"/>
              <w:spacing w:line="360" w:lineRule="auto"/>
              <w:jc w:val="both"/>
              <w:rPr>
                <w:rFonts w:ascii="宋体" w:hAnsi="宋体" w:cs="宋体"/>
                <w:color w:val="auto"/>
              </w:rPr>
            </w:pPr>
          </w:p>
        </w:tc>
        <w:tc>
          <w:tcPr>
            <w:tcW w:w="1249" w:type="dxa"/>
            <w:vAlign w:val="center"/>
          </w:tcPr>
          <w:p>
            <w:pPr>
              <w:pStyle w:val="91"/>
              <w:spacing w:line="360" w:lineRule="auto"/>
              <w:jc w:val="both"/>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1" w:type="dxa"/>
            <w:vAlign w:val="center"/>
          </w:tcPr>
          <w:p>
            <w:pPr>
              <w:pStyle w:val="91"/>
              <w:spacing w:line="360" w:lineRule="auto"/>
              <w:jc w:val="both"/>
              <w:rPr>
                <w:rFonts w:ascii="宋体" w:hAnsi="宋体" w:cs="宋体"/>
                <w:color w:val="auto"/>
              </w:rPr>
            </w:pPr>
          </w:p>
        </w:tc>
        <w:tc>
          <w:tcPr>
            <w:tcW w:w="1984" w:type="dxa"/>
            <w:vAlign w:val="center"/>
          </w:tcPr>
          <w:p>
            <w:pPr>
              <w:pStyle w:val="91"/>
              <w:spacing w:line="360" w:lineRule="auto"/>
              <w:jc w:val="both"/>
              <w:rPr>
                <w:rFonts w:ascii="宋体" w:hAnsi="宋体" w:cs="宋体"/>
                <w:color w:val="auto"/>
              </w:rPr>
            </w:pPr>
          </w:p>
        </w:tc>
        <w:tc>
          <w:tcPr>
            <w:tcW w:w="3319" w:type="dxa"/>
            <w:vAlign w:val="center"/>
          </w:tcPr>
          <w:p>
            <w:pPr>
              <w:pStyle w:val="91"/>
              <w:spacing w:line="360" w:lineRule="auto"/>
              <w:jc w:val="both"/>
              <w:rPr>
                <w:rFonts w:ascii="宋体" w:hAnsi="宋体" w:cs="宋体"/>
                <w:color w:val="auto"/>
              </w:rPr>
            </w:pPr>
          </w:p>
        </w:tc>
        <w:tc>
          <w:tcPr>
            <w:tcW w:w="3897" w:type="dxa"/>
            <w:vAlign w:val="center"/>
          </w:tcPr>
          <w:p>
            <w:pPr>
              <w:pStyle w:val="91"/>
              <w:spacing w:line="360" w:lineRule="auto"/>
              <w:jc w:val="both"/>
              <w:rPr>
                <w:rFonts w:ascii="宋体" w:hAnsi="宋体" w:cs="宋体"/>
                <w:color w:val="auto"/>
              </w:rPr>
            </w:pPr>
          </w:p>
        </w:tc>
        <w:tc>
          <w:tcPr>
            <w:tcW w:w="2307" w:type="dxa"/>
            <w:vAlign w:val="center"/>
          </w:tcPr>
          <w:p>
            <w:pPr>
              <w:pStyle w:val="91"/>
              <w:spacing w:line="360" w:lineRule="auto"/>
              <w:jc w:val="both"/>
              <w:rPr>
                <w:rFonts w:ascii="宋体" w:hAnsi="宋体" w:cs="宋体"/>
                <w:color w:val="auto"/>
              </w:rPr>
            </w:pPr>
          </w:p>
        </w:tc>
        <w:tc>
          <w:tcPr>
            <w:tcW w:w="1249" w:type="dxa"/>
            <w:vAlign w:val="center"/>
          </w:tcPr>
          <w:p>
            <w:pPr>
              <w:pStyle w:val="91"/>
              <w:spacing w:line="360" w:lineRule="auto"/>
              <w:jc w:val="both"/>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1" w:type="dxa"/>
            <w:vAlign w:val="center"/>
          </w:tcPr>
          <w:p>
            <w:pPr>
              <w:pStyle w:val="91"/>
              <w:spacing w:line="360" w:lineRule="auto"/>
              <w:jc w:val="both"/>
              <w:rPr>
                <w:rFonts w:ascii="宋体" w:hAnsi="宋体" w:cs="宋体"/>
                <w:color w:val="auto"/>
              </w:rPr>
            </w:pPr>
          </w:p>
        </w:tc>
        <w:tc>
          <w:tcPr>
            <w:tcW w:w="1984" w:type="dxa"/>
            <w:vAlign w:val="center"/>
          </w:tcPr>
          <w:p>
            <w:pPr>
              <w:pStyle w:val="91"/>
              <w:spacing w:line="360" w:lineRule="auto"/>
              <w:jc w:val="both"/>
              <w:rPr>
                <w:rFonts w:ascii="宋体" w:hAnsi="宋体" w:cs="宋体"/>
                <w:color w:val="auto"/>
              </w:rPr>
            </w:pPr>
          </w:p>
        </w:tc>
        <w:tc>
          <w:tcPr>
            <w:tcW w:w="3319" w:type="dxa"/>
            <w:vAlign w:val="center"/>
          </w:tcPr>
          <w:p>
            <w:pPr>
              <w:pStyle w:val="91"/>
              <w:spacing w:line="360" w:lineRule="auto"/>
              <w:jc w:val="both"/>
              <w:rPr>
                <w:rFonts w:ascii="宋体" w:hAnsi="宋体" w:cs="宋体"/>
                <w:color w:val="auto"/>
              </w:rPr>
            </w:pPr>
          </w:p>
        </w:tc>
        <w:tc>
          <w:tcPr>
            <w:tcW w:w="3897" w:type="dxa"/>
            <w:vAlign w:val="center"/>
          </w:tcPr>
          <w:p>
            <w:pPr>
              <w:pStyle w:val="91"/>
              <w:spacing w:line="360" w:lineRule="auto"/>
              <w:jc w:val="both"/>
              <w:rPr>
                <w:rFonts w:ascii="宋体" w:hAnsi="宋体" w:cs="宋体"/>
                <w:color w:val="auto"/>
              </w:rPr>
            </w:pPr>
          </w:p>
        </w:tc>
        <w:tc>
          <w:tcPr>
            <w:tcW w:w="2307" w:type="dxa"/>
            <w:vAlign w:val="center"/>
          </w:tcPr>
          <w:p>
            <w:pPr>
              <w:pStyle w:val="91"/>
              <w:spacing w:line="360" w:lineRule="auto"/>
              <w:jc w:val="both"/>
              <w:rPr>
                <w:rFonts w:ascii="宋体" w:hAnsi="宋体" w:cs="宋体"/>
                <w:color w:val="auto"/>
              </w:rPr>
            </w:pPr>
          </w:p>
        </w:tc>
        <w:tc>
          <w:tcPr>
            <w:tcW w:w="1249" w:type="dxa"/>
            <w:vAlign w:val="center"/>
          </w:tcPr>
          <w:p>
            <w:pPr>
              <w:pStyle w:val="91"/>
              <w:spacing w:line="360" w:lineRule="auto"/>
              <w:jc w:val="both"/>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1" w:type="dxa"/>
            <w:vAlign w:val="center"/>
          </w:tcPr>
          <w:p>
            <w:pPr>
              <w:pStyle w:val="91"/>
              <w:spacing w:line="360" w:lineRule="auto"/>
              <w:jc w:val="both"/>
              <w:rPr>
                <w:rFonts w:ascii="宋体" w:hAnsi="宋体" w:cs="宋体"/>
                <w:color w:val="auto"/>
              </w:rPr>
            </w:pPr>
          </w:p>
        </w:tc>
        <w:tc>
          <w:tcPr>
            <w:tcW w:w="1984" w:type="dxa"/>
            <w:vAlign w:val="center"/>
          </w:tcPr>
          <w:p>
            <w:pPr>
              <w:pStyle w:val="91"/>
              <w:spacing w:line="360" w:lineRule="auto"/>
              <w:jc w:val="both"/>
              <w:rPr>
                <w:rFonts w:ascii="宋体" w:hAnsi="宋体" w:cs="宋体"/>
                <w:color w:val="auto"/>
              </w:rPr>
            </w:pPr>
          </w:p>
        </w:tc>
        <w:tc>
          <w:tcPr>
            <w:tcW w:w="3319" w:type="dxa"/>
            <w:vAlign w:val="center"/>
          </w:tcPr>
          <w:p>
            <w:pPr>
              <w:pStyle w:val="91"/>
              <w:spacing w:line="360" w:lineRule="auto"/>
              <w:jc w:val="both"/>
              <w:rPr>
                <w:rFonts w:ascii="宋体" w:hAnsi="宋体" w:cs="宋体"/>
                <w:color w:val="auto"/>
              </w:rPr>
            </w:pPr>
          </w:p>
        </w:tc>
        <w:tc>
          <w:tcPr>
            <w:tcW w:w="3897" w:type="dxa"/>
            <w:vAlign w:val="center"/>
          </w:tcPr>
          <w:p>
            <w:pPr>
              <w:pStyle w:val="91"/>
              <w:spacing w:line="360" w:lineRule="auto"/>
              <w:jc w:val="both"/>
              <w:rPr>
                <w:rFonts w:ascii="宋体" w:hAnsi="宋体" w:cs="宋体"/>
                <w:color w:val="auto"/>
              </w:rPr>
            </w:pPr>
          </w:p>
        </w:tc>
        <w:tc>
          <w:tcPr>
            <w:tcW w:w="2307" w:type="dxa"/>
            <w:vAlign w:val="center"/>
          </w:tcPr>
          <w:p>
            <w:pPr>
              <w:pStyle w:val="91"/>
              <w:spacing w:line="360" w:lineRule="auto"/>
              <w:jc w:val="both"/>
              <w:rPr>
                <w:rFonts w:ascii="宋体" w:hAnsi="宋体" w:cs="宋体"/>
                <w:color w:val="auto"/>
              </w:rPr>
            </w:pPr>
          </w:p>
        </w:tc>
        <w:tc>
          <w:tcPr>
            <w:tcW w:w="1249" w:type="dxa"/>
            <w:vAlign w:val="center"/>
          </w:tcPr>
          <w:p>
            <w:pPr>
              <w:pStyle w:val="91"/>
              <w:spacing w:line="360" w:lineRule="auto"/>
              <w:jc w:val="both"/>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1" w:type="dxa"/>
            <w:vAlign w:val="center"/>
          </w:tcPr>
          <w:p>
            <w:pPr>
              <w:pStyle w:val="91"/>
              <w:spacing w:line="360" w:lineRule="auto"/>
              <w:jc w:val="both"/>
              <w:rPr>
                <w:rFonts w:ascii="宋体" w:hAnsi="宋体" w:cs="宋体"/>
                <w:color w:val="auto"/>
              </w:rPr>
            </w:pPr>
          </w:p>
        </w:tc>
        <w:tc>
          <w:tcPr>
            <w:tcW w:w="1984" w:type="dxa"/>
            <w:vAlign w:val="center"/>
          </w:tcPr>
          <w:p>
            <w:pPr>
              <w:pStyle w:val="91"/>
              <w:spacing w:line="360" w:lineRule="auto"/>
              <w:jc w:val="both"/>
              <w:rPr>
                <w:rFonts w:ascii="宋体" w:hAnsi="宋体" w:cs="宋体"/>
                <w:color w:val="auto"/>
              </w:rPr>
            </w:pPr>
          </w:p>
        </w:tc>
        <w:tc>
          <w:tcPr>
            <w:tcW w:w="3319" w:type="dxa"/>
            <w:vAlign w:val="center"/>
          </w:tcPr>
          <w:p>
            <w:pPr>
              <w:pStyle w:val="91"/>
              <w:spacing w:line="360" w:lineRule="auto"/>
              <w:jc w:val="both"/>
              <w:rPr>
                <w:rFonts w:ascii="宋体" w:hAnsi="宋体" w:cs="宋体"/>
                <w:color w:val="auto"/>
              </w:rPr>
            </w:pPr>
          </w:p>
        </w:tc>
        <w:tc>
          <w:tcPr>
            <w:tcW w:w="3897" w:type="dxa"/>
            <w:vAlign w:val="center"/>
          </w:tcPr>
          <w:p>
            <w:pPr>
              <w:pStyle w:val="91"/>
              <w:spacing w:line="360" w:lineRule="auto"/>
              <w:jc w:val="both"/>
              <w:rPr>
                <w:rFonts w:ascii="宋体" w:hAnsi="宋体" w:cs="宋体"/>
                <w:color w:val="auto"/>
              </w:rPr>
            </w:pPr>
          </w:p>
        </w:tc>
        <w:tc>
          <w:tcPr>
            <w:tcW w:w="2307" w:type="dxa"/>
            <w:vAlign w:val="center"/>
          </w:tcPr>
          <w:p>
            <w:pPr>
              <w:pStyle w:val="91"/>
              <w:spacing w:line="360" w:lineRule="auto"/>
              <w:jc w:val="both"/>
              <w:rPr>
                <w:rFonts w:ascii="宋体" w:hAnsi="宋体" w:cs="宋体"/>
                <w:color w:val="auto"/>
              </w:rPr>
            </w:pPr>
          </w:p>
        </w:tc>
        <w:tc>
          <w:tcPr>
            <w:tcW w:w="1249" w:type="dxa"/>
            <w:vAlign w:val="center"/>
          </w:tcPr>
          <w:p>
            <w:pPr>
              <w:pStyle w:val="91"/>
              <w:spacing w:line="360" w:lineRule="auto"/>
              <w:jc w:val="both"/>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01" w:type="dxa"/>
            <w:vAlign w:val="center"/>
          </w:tcPr>
          <w:p>
            <w:pPr>
              <w:pStyle w:val="91"/>
              <w:spacing w:line="360" w:lineRule="auto"/>
              <w:jc w:val="both"/>
              <w:rPr>
                <w:rFonts w:ascii="宋体" w:hAnsi="宋体" w:cs="宋体"/>
                <w:color w:val="auto"/>
              </w:rPr>
            </w:pPr>
          </w:p>
        </w:tc>
        <w:tc>
          <w:tcPr>
            <w:tcW w:w="1984" w:type="dxa"/>
            <w:vAlign w:val="center"/>
          </w:tcPr>
          <w:p>
            <w:pPr>
              <w:pStyle w:val="91"/>
              <w:spacing w:line="360" w:lineRule="auto"/>
              <w:jc w:val="both"/>
              <w:rPr>
                <w:rFonts w:ascii="宋体" w:hAnsi="宋体" w:cs="宋体"/>
                <w:color w:val="auto"/>
              </w:rPr>
            </w:pPr>
          </w:p>
        </w:tc>
        <w:tc>
          <w:tcPr>
            <w:tcW w:w="3319" w:type="dxa"/>
            <w:vAlign w:val="center"/>
          </w:tcPr>
          <w:p>
            <w:pPr>
              <w:pStyle w:val="91"/>
              <w:spacing w:line="360" w:lineRule="auto"/>
              <w:jc w:val="both"/>
              <w:rPr>
                <w:rFonts w:ascii="宋体" w:hAnsi="宋体" w:cs="宋体"/>
                <w:color w:val="auto"/>
              </w:rPr>
            </w:pPr>
          </w:p>
        </w:tc>
        <w:tc>
          <w:tcPr>
            <w:tcW w:w="3897" w:type="dxa"/>
            <w:vAlign w:val="center"/>
          </w:tcPr>
          <w:p>
            <w:pPr>
              <w:pStyle w:val="91"/>
              <w:spacing w:line="360" w:lineRule="auto"/>
              <w:jc w:val="both"/>
              <w:rPr>
                <w:rFonts w:ascii="宋体" w:hAnsi="宋体" w:cs="宋体"/>
                <w:color w:val="auto"/>
              </w:rPr>
            </w:pPr>
          </w:p>
        </w:tc>
        <w:tc>
          <w:tcPr>
            <w:tcW w:w="2307" w:type="dxa"/>
            <w:vAlign w:val="center"/>
          </w:tcPr>
          <w:p>
            <w:pPr>
              <w:pStyle w:val="91"/>
              <w:spacing w:line="360" w:lineRule="auto"/>
              <w:jc w:val="both"/>
              <w:rPr>
                <w:rFonts w:ascii="宋体" w:hAnsi="宋体" w:cs="宋体"/>
                <w:color w:val="auto"/>
              </w:rPr>
            </w:pPr>
          </w:p>
        </w:tc>
        <w:tc>
          <w:tcPr>
            <w:tcW w:w="1249" w:type="dxa"/>
            <w:vAlign w:val="center"/>
          </w:tcPr>
          <w:p>
            <w:pPr>
              <w:pStyle w:val="91"/>
              <w:spacing w:line="360" w:lineRule="auto"/>
              <w:jc w:val="both"/>
              <w:rPr>
                <w:rFonts w:ascii="宋体" w:hAnsi="宋体" w:cs="宋体"/>
                <w:color w:val="auto"/>
              </w:rPr>
            </w:pPr>
          </w:p>
        </w:tc>
      </w:tr>
    </w:tbl>
    <w:p>
      <w:pPr>
        <w:pStyle w:val="91"/>
        <w:spacing w:line="360" w:lineRule="auto"/>
        <w:rPr>
          <w:rFonts w:ascii="宋体" w:hAnsi="宋体" w:cs="宋体"/>
          <w:color w:val="auto"/>
        </w:rPr>
      </w:pPr>
    </w:p>
    <w:p>
      <w:pPr>
        <w:ind w:firstLine="480" w:firstLineChars="200"/>
        <w:rPr>
          <w:rFonts w:ascii="宋体" w:hAnsi="宋体" w:cs="宋体"/>
          <w:sz w:val="24"/>
          <w:szCs w:val="24"/>
        </w:rPr>
      </w:pPr>
      <w:r>
        <w:rPr>
          <w:rFonts w:hint="eastAsia" w:ascii="宋体" w:hAnsi="宋体" w:cs="宋体"/>
          <w:sz w:val="24"/>
          <w:szCs w:val="24"/>
        </w:rPr>
        <w:t xml:space="preserve">供应商法定代表人或授权代表签字：                                                </w:t>
      </w:r>
    </w:p>
    <w:p>
      <w:pPr>
        <w:ind w:firstLine="480" w:firstLineChars="200"/>
        <w:rPr>
          <w:rFonts w:ascii="宋体" w:hAnsi="宋体" w:cs="宋体"/>
          <w:sz w:val="24"/>
          <w:szCs w:val="24"/>
        </w:rPr>
      </w:pPr>
    </w:p>
    <w:p>
      <w:pPr>
        <w:ind w:firstLine="480" w:firstLineChars="200"/>
        <w:rPr>
          <w:rFonts w:ascii="宋体" w:hAnsi="宋体" w:cs="宋体"/>
          <w:sz w:val="24"/>
          <w:szCs w:val="24"/>
        </w:rPr>
      </w:pPr>
      <w:r>
        <w:rPr>
          <w:rFonts w:hint="eastAsia" w:ascii="宋体" w:hAnsi="宋体" w:cs="宋体"/>
          <w:sz w:val="24"/>
          <w:szCs w:val="24"/>
        </w:rPr>
        <w:t>供应商盖章：</w:t>
      </w:r>
    </w:p>
    <w:p>
      <w:pPr>
        <w:ind w:firstLine="480" w:firstLineChars="200"/>
        <w:rPr>
          <w:rFonts w:ascii="宋体" w:hAnsi="宋体" w:cs="宋体"/>
          <w:sz w:val="24"/>
          <w:szCs w:val="24"/>
        </w:rPr>
      </w:pPr>
    </w:p>
    <w:p>
      <w:pPr>
        <w:ind w:firstLine="480" w:firstLineChars="200"/>
        <w:rPr>
          <w:rFonts w:ascii="宋体" w:hAnsi="宋体" w:cs="宋体"/>
          <w:b/>
          <w:sz w:val="36"/>
        </w:rPr>
      </w:pPr>
      <w:r>
        <w:rPr>
          <w:rFonts w:hint="eastAsia" w:ascii="宋体" w:hAnsi="宋体" w:cs="宋体"/>
          <w:sz w:val="24"/>
          <w:szCs w:val="24"/>
        </w:rPr>
        <w:t>日期：    年   月   日</w:t>
      </w:r>
    </w:p>
    <w:p>
      <w:pPr>
        <w:pStyle w:val="15"/>
      </w:pPr>
    </w:p>
    <w:p>
      <w:pPr>
        <w:pStyle w:val="3"/>
        <w:jc w:val="left"/>
        <w:rPr>
          <w:rFonts w:ascii="宋体" w:hAnsi="宋体" w:eastAsia="宋体" w:cs="宋体"/>
          <w:b/>
          <w:bCs/>
          <w:sz w:val="32"/>
          <w:szCs w:val="32"/>
        </w:rPr>
      </w:pPr>
      <w:bookmarkStart w:id="169" w:name="_Toc15289"/>
      <w:r>
        <w:rPr>
          <w:rFonts w:hint="eastAsia" w:ascii="宋体" w:hAnsi="宋体" w:eastAsia="宋体" w:cs="宋体"/>
          <w:b/>
          <w:bCs/>
          <w:sz w:val="32"/>
          <w:szCs w:val="32"/>
        </w:rPr>
        <w:t>（附件六）</w:t>
      </w:r>
      <w:bookmarkEnd w:id="165"/>
      <w:bookmarkEnd w:id="166"/>
      <w:bookmarkEnd w:id="167"/>
      <w:bookmarkEnd w:id="168"/>
      <w:bookmarkEnd w:id="169"/>
    </w:p>
    <w:p>
      <w:pPr>
        <w:jc w:val="center"/>
        <w:rPr>
          <w:rFonts w:ascii="宋体" w:hAnsi="宋体" w:cs="宋体"/>
          <w:sz w:val="28"/>
          <w:szCs w:val="28"/>
        </w:rPr>
      </w:pPr>
      <w:r>
        <w:rPr>
          <w:rFonts w:hint="eastAsia" w:ascii="宋体" w:hAnsi="宋体" w:cs="宋体"/>
          <w:b/>
          <w:bCs/>
          <w:sz w:val="28"/>
          <w:szCs w:val="28"/>
        </w:rPr>
        <w:t>技术详细参数、规格偏离表</w:t>
      </w:r>
    </w:p>
    <w:p>
      <w:pPr>
        <w:spacing w:line="360" w:lineRule="auto"/>
        <w:ind w:firstLine="480" w:firstLineChars="20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 xml:space="preserve">                    采购编号：</w:t>
      </w:r>
      <w:r>
        <w:rPr>
          <w:rFonts w:hint="eastAsia" w:ascii="宋体" w:hAnsi="宋体" w:cs="宋体"/>
          <w:sz w:val="24"/>
          <w:szCs w:val="24"/>
          <w:u w:val="single"/>
        </w:rPr>
        <w:t xml:space="preserve">                       </w:t>
      </w:r>
    </w:p>
    <w:tbl>
      <w:tblPr>
        <w:tblStyle w:val="43"/>
        <w:tblW w:w="13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713"/>
        <w:gridCol w:w="2250"/>
        <w:gridCol w:w="2085"/>
        <w:gridCol w:w="2084"/>
        <w:gridCol w:w="818"/>
        <w:gridCol w:w="1890"/>
        <w:gridCol w:w="1229"/>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59" w:type="dxa"/>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1713" w:type="dxa"/>
            <w:vAlign w:val="center"/>
          </w:tcPr>
          <w:p>
            <w:pPr>
              <w:spacing w:line="360" w:lineRule="auto"/>
              <w:jc w:val="center"/>
              <w:rPr>
                <w:rFonts w:ascii="宋体" w:hAnsi="宋体" w:cs="宋体"/>
                <w:sz w:val="24"/>
                <w:szCs w:val="24"/>
              </w:rPr>
            </w:pPr>
            <w:r>
              <w:rPr>
                <w:rFonts w:hint="eastAsia" w:ascii="宋体" w:hAnsi="宋体" w:cs="宋体"/>
                <w:sz w:val="24"/>
                <w:szCs w:val="24"/>
              </w:rPr>
              <w:t>采购文件条目号</w:t>
            </w:r>
          </w:p>
        </w:tc>
        <w:tc>
          <w:tcPr>
            <w:tcW w:w="2250" w:type="dxa"/>
            <w:vAlign w:val="center"/>
          </w:tcPr>
          <w:p>
            <w:pPr>
              <w:spacing w:line="360" w:lineRule="auto"/>
              <w:jc w:val="center"/>
              <w:rPr>
                <w:rFonts w:ascii="宋体" w:hAnsi="宋体" w:cs="宋体"/>
                <w:sz w:val="24"/>
                <w:szCs w:val="24"/>
              </w:rPr>
            </w:pPr>
            <w:r>
              <w:rPr>
                <w:rFonts w:hint="eastAsia" w:ascii="宋体" w:hAnsi="宋体" w:cs="宋体"/>
                <w:sz w:val="24"/>
                <w:szCs w:val="24"/>
              </w:rPr>
              <w:t>采购文件的技数</w:t>
            </w:r>
          </w:p>
          <w:p>
            <w:pPr>
              <w:spacing w:line="360" w:lineRule="auto"/>
              <w:jc w:val="center"/>
              <w:rPr>
                <w:rFonts w:ascii="宋体" w:hAnsi="宋体" w:cs="宋体"/>
                <w:sz w:val="24"/>
                <w:szCs w:val="24"/>
              </w:rPr>
            </w:pPr>
            <w:r>
              <w:rPr>
                <w:rFonts w:hint="eastAsia" w:ascii="宋体" w:hAnsi="宋体" w:cs="宋体"/>
                <w:sz w:val="24"/>
                <w:szCs w:val="24"/>
              </w:rPr>
              <w:t>详细参数</w:t>
            </w:r>
          </w:p>
        </w:tc>
        <w:tc>
          <w:tcPr>
            <w:tcW w:w="2085" w:type="dxa"/>
            <w:vAlign w:val="center"/>
          </w:tcPr>
          <w:p>
            <w:pPr>
              <w:spacing w:line="360" w:lineRule="auto"/>
              <w:jc w:val="center"/>
              <w:rPr>
                <w:rFonts w:ascii="宋体" w:hAnsi="宋体" w:cs="宋体"/>
                <w:sz w:val="24"/>
                <w:szCs w:val="24"/>
              </w:rPr>
            </w:pPr>
            <w:r>
              <w:rPr>
                <w:rFonts w:hint="eastAsia" w:ascii="宋体" w:hAnsi="宋体" w:cs="宋体"/>
                <w:sz w:val="24"/>
                <w:szCs w:val="24"/>
              </w:rPr>
              <w:t>采购文件的技数</w:t>
            </w:r>
          </w:p>
          <w:p>
            <w:pPr>
              <w:spacing w:line="360" w:lineRule="auto"/>
              <w:jc w:val="center"/>
              <w:rPr>
                <w:rFonts w:ascii="宋体" w:hAnsi="宋体" w:cs="宋体"/>
                <w:sz w:val="24"/>
                <w:szCs w:val="24"/>
              </w:rPr>
            </w:pPr>
            <w:r>
              <w:rPr>
                <w:rFonts w:hint="eastAsia" w:ascii="宋体" w:hAnsi="宋体" w:cs="宋体"/>
                <w:sz w:val="24"/>
                <w:szCs w:val="24"/>
              </w:rPr>
              <w:t>规格参数</w:t>
            </w:r>
          </w:p>
        </w:tc>
        <w:tc>
          <w:tcPr>
            <w:tcW w:w="2084"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响应文件技数</w:t>
            </w:r>
          </w:p>
          <w:p>
            <w:pPr>
              <w:spacing w:line="360" w:lineRule="auto"/>
              <w:jc w:val="center"/>
              <w:rPr>
                <w:rFonts w:ascii="宋体" w:hAnsi="宋体" w:cs="宋体"/>
                <w:sz w:val="24"/>
                <w:szCs w:val="24"/>
              </w:rPr>
            </w:pPr>
            <w:r>
              <w:rPr>
                <w:rFonts w:hint="eastAsia" w:ascii="宋体" w:hAnsi="宋体" w:cs="宋体"/>
                <w:sz w:val="24"/>
                <w:szCs w:val="24"/>
              </w:rPr>
              <w:t>详细参数</w:t>
            </w:r>
          </w:p>
        </w:tc>
        <w:tc>
          <w:tcPr>
            <w:tcW w:w="818" w:type="dxa"/>
            <w:vAlign w:val="center"/>
          </w:tcPr>
          <w:p>
            <w:pPr>
              <w:spacing w:line="360" w:lineRule="auto"/>
              <w:jc w:val="center"/>
              <w:rPr>
                <w:rFonts w:ascii="宋体" w:hAnsi="宋体" w:cs="宋体"/>
                <w:sz w:val="24"/>
                <w:szCs w:val="24"/>
              </w:rPr>
            </w:pPr>
            <w:r>
              <w:rPr>
                <w:rFonts w:hint="eastAsia" w:ascii="宋体" w:hAnsi="宋体" w:cs="宋体"/>
                <w:sz w:val="24"/>
                <w:szCs w:val="24"/>
              </w:rPr>
              <w:t>偏离</w:t>
            </w:r>
          </w:p>
        </w:tc>
        <w:tc>
          <w:tcPr>
            <w:tcW w:w="1890"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响应文件技</w:t>
            </w:r>
          </w:p>
          <w:p>
            <w:pPr>
              <w:spacing w:line="360" w:lineRule="auto"/>
              <w:jc w:val="center"/>
              <w:rPr>
                <w:rFonts w:ascii="宋体" w:hAnsi="宋体" w:cs="宋体"/>
                <w:sz w:val="24"/>
                <w:szCs w:val="24"/>
              </w:rPr>
            </w:pPr>
            <w:r>
              <w:rPr>
                <w:rFonts w:hint="eastAsia" w:ascii="宋体" w:hAnsi="宋体" w:cs="宋体"/>
                <w:sz w:val="24"/>
                <w:szCs w:val="24"/>
              </w:rPr>
              <w:t>数规格</w:t>
            </w:r>
          </w:p>
        </w:tc>
        <w:tc>
          <w:tcPr>
            <w:tcW w:w="1229" w:type="dxa"/>
            <w:vAlign w:val="center"/>
          </w:tcPr>
          <w:p>
            <w:pPr>
              <w:spacing w:line="360" w:lineRule="auto"/>
              <w:jc w:val="center"/>
              <w:rPr>
                <w:rFonts w:ascii="宋体" w:hAnsi="宋体" w:cs="宋体"/>
                <w:sz w:val="24"/>
                <w:szCs w:val="24"/>
              </w:rPr>
            </w:pPr>
            <w:r>
              <w:rPr>
                <w:rFonts w:hint="eastAsia" w:ascii="宋体" w:hAnsi="宋体" w:cs="宋体"/>
                <w:sz w:val="24"/>
                <w:szCs w:val="24"/>
              </w:rPr>
              <w:t>偏离</w:t>
            </w:r>
          </w:p>
        </w:tc>
        <w:tc>
          <w:tcPr>
            <w:tcW w:w="928"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9" w:type="dxa"/>
            <w:vAlign w:val="center"/>
          </w:tcPr>
          <w:p>
            <w:pPr>
              <w:spacing w:line="360" w:lineRule="auto"/>
              <w:rPr>
                <w:rFonts w:ascii="宋体" w:hAnsi="宋体" w:cs="宋体"/>
                <w:sz w:val="24"/>
                <w:szCs w:val="24"/>
              </w:rPr>
            </w:pPr>
          </w:p>
        </w:tc>
        <w:tc>
          <w:tcPr>
            <w:tcW w:w="1713" w:type="dxa"/>
            <w:vAlign w:val="center"/>
          </w:tcPr>
          <w:p>
            <w:pPr>
              <w:spacing w:line="360" w:lineRule="auto"/>
              <w:rPr>
                <w:rFonts w:ascii="宋体" w:hAnsi="宋体" w:cs="宋体"/>
                <w:sz w:val="24"/>
                <w:szCs w:val="24"/>
              </w:rPr>
            </w:pPr>
          </w:p>
        </w:tc>
        <w:tc>
          <w:tcPr>
            <w:tcW w:w="2250" w:type="dxa"/>
            <w:vAlign w:val="center"/>
          </w:tcPr>
          <w:p>
            <w:pPr>
              <w:spacing w:line="360" w:lineRule="auto"/>
              <w:rPr>
                <w:rFonts w:ascii="宋体" w:hAnsi="宋体" w:cs="宋体"/>
                <w:sz w:val="24"/>
                <w:szCs w:val="24"/>
              </w:rPr>
            </w:pPr>
          </w:p>
        </w:tc>
        <w:tc>
          <w:tcPr>
            <w:tcW w:w="2085" w:type="dxa"/>
            <w:vAlign w:val="center"/>
          </w:tcPr>
          <w:p>
            <w:pPr>
              <w:spacing w:line="360" w:lineRule="auto"/>
              <w:rPr>
                <w:rFonts w:ascii="宋体" w:hAnsi="宋体" w:cs="宋体"/>
                <w:sz w:val="24"/>
                <w:szCs w:val="24"/>
              </w:rPr>
            </w:pPr>
          </w:p>
        </w:tc>
        <w:tc>
          <w:tcPr>
            <w:tcW w:w="2084" w:type="dxa"/>
            <w:vAlign w:val="center"/>
          </w:tcPr>
          <w:p>
            <w:pPr>
              <w:spacing w:line="360" w:lineRule="auto"/>
              <w:rPr>
                <w:rFonts w:ascii="宋体" w:hAnsi="宋体" w:cs="宋体"/>
                <w:sz w:val="24"/>
                <w:szCs w:val="24"/>
              </w:rPr>
            </w:pPr>
          </w:p>
        </w:tc>
        <w:tc>
          <w:tcPr>
            <w:tcW w:w="818" w:type="dxa"/>
            <w:vAlign w:val="center"/>
          </w:tcPr>
          <w:p>
            <w:pPr>
              <w:spacing w:line="360" w:lineRule="auto"/>
              <w:rPr>
                <w:rFonts w:ascii="宋体" w:hAnsi="宋体" w:cs="宋体"/>
                <w:sz w:val="24"/>
                <w:szCs w:val="24"/>
              </w:rPr>
            </w:pPr>
          </w:p>
        </w:tc>
        <w:tc>
          <w:tcPr>
            <w:tcW w:w="1890" w:type="dxa"/>
            <w:vAlign w:val="center"/>
          </w:tcPr>
          <w:p>
            <w:pPr>
              <w:spacing w:line="360" w:lineRule="auto"/>
              <w:rPr>
                <w:rFonts w:ascii="宋体" w:hAnsi="宋体" w:cs="宋体"/>
                <w:sz w:val="24"/>
                <w:szCs w:val="24"/>
              </w:rPr>
            </w:pPr>
          </w:p>
        </w:tc>
        <w:tc>
          <w:tcPr>
            <w:tcW w:w="1229" w:type="dxa"/>
            <w:vAlign w:val="center"/>
          </w:tcPr>
          <w:p>
            <w:pPr>
              <w:spacing w:line="360" w:lineRule="auto"/>
              <w:rPr>
                <w:rFonts w:ascii="宋体" w:hAnsi="宋体" w:cs="宋体"/>
                <w:sz w:val="24"/>
                <w:szCs w:val="24"/>
              </w:rPr>
            </w:pPr>
          </w:p>
        </w:tc>
        <w:tc>
          <w:tcPr>
            <w:tcW w:w="928"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9" w:type="dxa"/>
            <w:vAlign w:val="center"/>
          </w:tcPr>
          <w:p>
            <w:pPr>
              <w:spacing w:line="360" w:lineRule="auto"/>
              <w:rPr>
                <w:rFonts w:ascii="宋体" w:hAnsi="宋体" w:cs="宋体"/>
                <w:sz w:val="24"/>
                <w:szCs w:val="24"/>
              </w:rPr>
            </w:pPr>
          </w:p>
        </w:tc>
        <w:tc>
          <w:tcPr>
            <w:tcW w:w="1713" w:type="dxa"/>
            <w:vAlign w:val="center"/>
          </w:tcPr>
          <w:p>
            <w:pPr>
              <w:spacing w:line="360" w:lineRule="auto"/>
              <w:rPr>
                <w:rFonts w:ascii="宋体" w:hAnsi="宋体" w:cs="宋体"/>
                <w:sz w:val="24"/>
                <w:szCs w:val="24"/>
              </w:rPr>
            </w:pPr>
          </w:p>
        </w:tc>
        <w:tc>
          <w:tcPr>
            <w:tcW w:w="2250" w:type="dxa"/>
            <w:vAlign w:val="center"/>
          </w:tcPr>
          <w:p>
            <w:pPr>
              <w:spacing w:line="360" w:lineRule="auto"/>
              <w:rPr>
                <w:rFonts w:ascii="宋体" w:hAnsi="宋体" w:cs="宋体"/>
                <w:sz w:val="24"/>
                <w:szCs w:val="24"/>
              </w:rPr>
            </w:pPr>
          </w:p>
        </w:tc>
        <w:tc>
          <w:tcPr>
            <w:tcW w:w="2085" w:type="dxa"/>
            <w:vAlign w:val="center"/>
          </w:tcPr>
          <w:p>
            <w:pPr>
              <w:spacing w:line="360" w:lineRule="auto"/>
              <w:rPr>
                <w:rFonts w:ascii="宋体" w:hAnsi="宋体" w:cs="宋体"/>
                <w:sz w:val="24"/>
                <w:szCs w:val="24"/>
              </w:rPr>
            </w:pPr>
          </w:p>
        </w:tc>
        <w:tc>
          <w:tcPr>
            <w:tcW w:w="2084" w:type="dxa"/>
            <w:vAlign w:val="center"/>
          </w:tcPr>
          <w:p>
            <w:pPr>
              <w:spacing w:line="360" w:lineRule="auto"/>
              <w:rPr>
                <w:rFonts w:ascii="宋体" w:hAnsi="宋体" w:cs="宋体"/>
                <w:sz w:val="24"/>
                <w:szCs w:val="24"/>
              </w:rPr>
            </w:pPr>
          </w:p>
        </w:tc>
        <w:tc>
          <w:tcPr>
            <w:tcW w:w="818" w:type="dxa"/>
            <w:vAlign w:val="center"/>
          </w:tcPr>
          <w:p>
            <w:pPr>
              <w:spacing w:line="360" w:lineRule="auto"/>
              <w:rPr>
                <w:rFonts w:ascii="宋体" w:hAnsi="宋体" w:cs="宋体"/>
                <w:sz w:val="24"/>
                <w:szCs w:val="24"/>
              </w:rPr>
            </w:pPr>
          </w:p>
        </w:tc>
        <w:tc>
          <w:tcPr>
            <w:tcW w:w="1890" w:type="dxa"/>
            <w:vAlign w:val="center"/>
          </w:tcPr>
          <w:p>
            <w:pPr>
              <w:spacing w:line="360" w:lineRule="auto"/>
              <w:rPr>
                <w:rFonts w:ascii="宋体" w:hAnsi="宋体" w:cs="宋体"/>
                <w:sz w:val="24"/>
                <w:szCs w:val="24"/>
              </w:rPr>
            </w:pPr>
          </w:p>
        </w:tc>
        <w:tc>
          <w:tcPr>
            <w:tcW w:w="1229" w:type="dxa"/>
            <w:vAlign w:val="center"/>
          </w:tcPr>
          <w:p>
            <w:pPr>
              <w:spacing w:line="360" w:lineRule="auto"/>
              <w:rPr>
                <w:rFonts w:ascii="宋体" w:hAnsi="宋体" w:cs="宋体"/>
                <w:sz w:val="24"/>
                <w:szCs w:val="24"/>
              </w:rPr>
            </w:pPr>
          </w:p>
        </w:tc>
        <w:tc>
          <w:tcPr>
            <w:tcW w:w="928"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9" w:type="dxa"/>
            <w:vAlign w:val="center"/>
          </w:tcPr>
          <w:p>
            <w:pPr>
              <w:spacing w:line="360" w:lineRule="auto"/>
              <w:rPr>
                <w:rFonts w:ascii="宋体" w:hAnsi="宋体" w:cs="宋体"/>
                <w:sz w:val="24"/>
                <w:szCs w:val="24"/>
              </w:rPr>
            </w:pPr>
          </w:p>
        </w:tc>
        <w:tc>
          <w:tcPr>
            <w:tcW w:w="1713" w:type="dxa"/>
            <w:vAlign w:val="center"/>
          </w:tcPr>
          <w:p>
            <w:pPr>
              <w:spacing w:line="360" w:lineRule="auto"/>
              <w:rPr>
                <w:rFonts w:ascii="宋体" w:hAnsi="宋体" w:cs="宋体"/>
                <w:sz w:val="24"/>
                <w:szCs w:val="24"/>
              </w:rPr>
            </w:pPr>
          </w:p>
        </w:tc>
        <w:tc>
          <w:tcPr>
            <w:tcW w:w="2250" w:type="dxa"/>
            <w:vAlign w:val="center"/>
          </w:tcPr>
          <w:p>
            <w:pPr>
              <w:spacing w:line="360" w:lineRule="auto"/>
              <w:rPr>
                <w:rFonts w:ascii="宋体" w:hAnsi="宋体" w:cs="宋体"/>
                <w:sz w:val="24"/>
                <w:szCs w:val="24"/>
              </w:rPr>
            </w:pPr>
          </w:p>
        </w:tc>
        <w:tc>
          <w:tcPr>
            <w:tcW w:w="2085" w:type="dxa"/>
            <w:vAlign w:val="center"/>
          </w:tcPr>
          <w:p>
            <w:pPr>
              <w:spacing w:line="360" w:lineRule="auto"/>
              <w:rPr>
                <w:rFonts w:ascii="宋体" w:hAnsi="宋体" w:cs="宋体"/>
                <w:sz w:val="24"/>
                <w:szCs w:val="24"/>
              </w:rPr>
            </w:pPr>
          </w:p>
        </w:tc>
        <w:tc>
          <w:tcPr>
            <w:tcW w:w="2084" w:type="dxa"/>
            <w:vAlign w:val="center"/>
          </w:tcPr>
          <w:p>
            <w:pPr>
              <w:spacing w:line="360" w:lineRule="auto"/>
              <w:rPr>
                <w:rFonts w:ascii="宋体" w:hAnsi="宋体" w:cs="宋体"/>
                <w:sz w:val="24"/>
                <w:szCs w:val="24"/>
              </w:rPr>
            </w:pPr>
          </w:p>
        </w:tc>
        <w:tc>
          <w:tcPr>
            <w:tcW w:w="818" w:type="dxa"/>
            <w:vAlign w:val="center"/>
          </w:tcPr>
          <w:p>
            <w:pPr>
              <w:spacing w:line="360" w:lineRule="auto"/>
              <w:rPr>
                <w:rFonts w:ascii="宋体" w:hAnsi="宋体" w:cs="宋体"/>
                <w:sz w:val="24"/>
                <w:szCs w:val="24"/>
              </w:rPr>
            </w:pPr>
          </w:p>
        </w:tc>
        <w:tc>
          <w:tcPr>
            <w:tcW w:w="1890" w:type="dxa"/>
            <w:vAlign w:val="center"/>
          </w:tcPr>
          <w:p>
            <w:pPr>
              <w:spacing w:line="360" w:lineRule="auto"/>
              <w:rPr>
                <w:rFonts w:ascii="宋体" w:hAnsi="宋体" w:cs="宋体"/>
                <w:sz w:val="24"/>
                <w:szCs w:val="24"/>
              </w:rPr>
            </w:pPr>
          </w:p>
        </w:tc>
        <w:tc>
          <w:tcPr>
            <w:tcW w:w="1229" w:type="dxa"/>
            <w:vAlign w:val="center"/>
          </w:tcPr>
          <w:p>
            <w:pPr>
              <w:spacing w:line="360" w:lineRule="auto"/>
              <w:rPr>
                <w:rFonts w:ascii="宋体" w:hAnsi="宋体" w:cs="宋体"/>
                <w:sz w:val="24"/>
                <w:szCs w:val="24"/>
              </w:rPr>
            </w:pPr>
          </w:p>
        </w:tc>
        <w:tc>
          <w:tcPr>
            <w:tcW w:w="928"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9" w:type="dxa"/>
            <w:vAlign w:val="center"/>
          </w:tcPr>
          <w:p>
            <w:pPr>
              <w:spacing w:line="360" w:lineRule="auto"/>
              <w:rPr>
                <w:rFonts w:ascii="宋体" w:hAnsi="宋体" w:cs="宋体"/>
                <w:sz w:val="24"/>
                <w:szCs w:val="24"/>
              </w:rPr>
            </w:pPr>
          </w:p>
        </w:tc>
        <w:tc>
          <w:tcPr>
            <w:tcW w:w="1713" w:type="dxa"/>
            <w:vAlign w:val="center"/>
          </w:tcPr>
          <w:p>
            <w:pPr>
              <w:spacing w:line="360" w:lineRule="auto"/>
              <w:rPr>
                <w:rFonts w:ascii="宋体" w:hAnsi="宋体" w:cs="宋体"/>
                <w:sz w:val="24"/>
                <w:szCs w:val="24"/>
              </w:rPr>
            </w:pPr>
          </w:p>
        </w:tc>
        <w:tc>
          <w:tcPr>
            <w:tcW w:w="2250" w:type="dxa"/>
            <w:vAlign w:val="center"/>
          </w:tcPr>
          <w:p>
            <w:pPr>
              <w:spacing w:line="360" w:lineRule="auto"/>
              <w:rPr>
                <w:rFonts w:ascii="宋体" w:hAnsi="宋体" w:cs="宋体"/>
                <w:sz w:val="24"/>
                <w:szCs w:val="24"/>
              </w:rPr>
            </w:pPr>
          </w:p>
        </w:tc>
        <w:tc>
          <w:tcPr>
            <w:tcW w:w="2085" w:type="dxa"/>
            <w:vAlign w:val="center"/>
          </w:tcPr>
          <w:p>
            <w:pPr>
              <w:spacing w:line="360" w:lineRule="auto"/>
              <w:rPr>
                <w:rFonts w:ascii="宋体" w:hAnsi="宋体" w:cs="宋体"/>
                <w:sz w:val="24"/>
                <w:szCs w:val="24"/>
              </w:rPr>
            </w:pPr>
          </w:p>
        </w:tc>
        <w:tc>
          <w:tcPr>
            <w:tcW w:w="2084" w:type="dxa"/>
            <w:vAlign w:val="center"/>
          </w:tcPr>
          <w:p>
            <w:pPr>
              <w:spacing w:line="360" w:lineRule="auto"/>
              <w:rPr>
                <w:rFonts w:ascii="宋体" w:hAnsi="宋体" w:cs="宋体"/>
                <w:sz w:val="24"/>
                <w:szCs w:val="24"/>
              </w:rPr>
            </w:pPr>
          </w:p>
        </w:tc>
        <w:tc>
          <w:tcPr>
            <w:tcW w:w="818" w:type="dxa"/>
            <w:vAlign w:val="center"/>
          </w:tcPr>
          <w:p>
            <w:pPr>
              <w:spacing w:line="360" w:lineRule="auto"/>
              <w:rPr>
                <w:rFonts w:ascii="宋体" w:hAnsi="宋体" w:cs="宋体"/>
                <w:sz w:val="24"/>
                <w:szCs w:val="24"/>
              </w:rPr>
            </w:pPr>
          </w:p>
        </w:tc>
        <w:tc>
          <w:tcPr>
            <w:tcW w:w="1890" w:type="dxa"/>
            <w:vAlign w:val="center"/>
          </w:tcPr>
          <w:p>
            <w:pPr>
              <w:spacing w:line="360" w:lineRule="auto"/>
              <w:rPr>
                <w:rFonts w:ascii="宋体" w:hAnsi="宋体" w:cs="宋体"/>
                <w:sz w:val="24"/>
                <w:szCs w:val="24"/>
              </w:rPr>
            </w:pPr>
          </w:p>
        </w:tc>
        <w:tc>
          <w:tcPr>
            <w:tcW w:w="1229" w:type="dxa"/>
            <w:vAlign w:val="center"/>
          </w:tcPr>
          <w:p>
            <w:pPr>
              <w:spacing w:line="360" w:lineRule="auto"/>
              <w:rPr>
                <w:rFonts w:ascii="宋体" w:hAnsi="宋体" w:cs="宋体"/>
                <w:sz w:val="24"/>
                <w:szCs w:val="24"/>
              </w:rPr>
            </w:pPr>
          </w:p>
        </w:tc>
        <w:tc>
          <w:tcPr>
            <w:tcW w:w="928"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9" w:type="dxa"/>
            <w:vAlign w:val="center"/>
          </w:tcPr>
          <w:p>
            <w:pPr>
              <w:spacing w:line="360" w:lineRule="auto"/>
              <w:rPr>
                <w:rFonts w:ascii="宋体" w:hAnsi="宋体" w:cs="宋体"/>
                <w:sz w:val="24"/>
                <w:szCs w:val="24"/>
              </w:rPr>
            </w:pPr>
          </w:p>
        </w:tc>
        <w:tc>
          <w:tcPr>
            <w:tcW w:w="1713" w:type="dxa"/>
            <w:vAlign w:val="center"/>
          </w:tcPr>
          <w:p>
            <w:pPr>
              <w:spacing w:line="360" w:lineRule="auto"/>
              <w:rPr>
                <w:rFonts w:ascii="宋体" w:hAnsi="宋体" w:cs="宋体"/>
                <w:sz w:val="24"/>
                <w:szCs w:val="24"/>
              </w:rPr>
            </w:pPr>
          </w:p>
        </w:tc>
        <w:tc>
          <w:tcPr>
            <w:tcW w:w="2250" w:type="dxa"/>
            <w:vAlign w:val="center"/>
          </w:tcPr>
          <w:p>
            <w:pPr>
              <w:spacing w:line="360" w:lineRule="auto"/>
              <w:rPr>
                <w:rFonts w:ascii="宋体" w:hAnsi="宋体" w:cs="宋体"/>
                <w:sz w:val="24"/>
                <w:szCs w:val="24"/>
              </w:rPr>
            </w:pPr>
          </w:p>
        </w:tc>
        <w:tc>
          <w:tcPr>
            <w:tcW w:w="2085" w:type="dxa"/>
            <w:vAlign w:val="center"/>
          </w:tcPr>
          <w:p>
            <w:pPr>
              <w:spacing w:line="360" w:lineRule="auto"/>
              <w:rPr>
                <w:rFonts w:ascii="宋体" w:hAnsi="宋体" w:cs="宋体"/>
                <w:sz w:val="24"/>
                <w:szCs w:val="24"/>
              </w:rPr>
            </w:pPr>
          </w:p>
        </w:tc>
        <w:tc>
          <w:tcPr>
            <w:tcW w:w="2084" w:type="dxa"/>
            <w:vAlign w:val="center"/>
          </w:tcPr>
          <w:p>
            <w:pPr>
              <w:spacing w:line="360" w:lineRule="auto"/>
              <w:rPr>
                <w:rFonts w:ascii="宋体" w:hAnsi="宋体" w:cs="宋体"/>
                <w:sz w:val="24"/>
                <w:szCs w:val="24"/>
              </w:rPr>
            </w:pPr>
          </w:p>
        </w:tc>
        <w:tc>
          <w:tcPr>
            <w:tcW w:w="818" w:type="dxa"/>
            <w:vAlign w:val="center"/>
          </w:tcPr>
          <w:p>
            <w:pPr>
              <w:spacing w:line="360" w:lineRule="auto"/>
              <w:rPr>
                <w:rFonts w:ascii="宋体" w:hAnsi="宋体" w:cs="宋体"/>
                <w:sz w:val="24"/>
                <w:szCs w:val="24"/>
              </w:rPr>
            </w:pPr>
          </w:p>
        </w:tc>
        <w:tc>
          <w:tcPr>
            <w:tcW w:w="1890" w:type="dxa"/>
            <w:vAlign w:val="center"/>
          </w:tcPr>
          <w:p>
            <w:pPr>
              <w:spacing w:line="360" w:lineRule="auto"/>
              <w:rPr>
                <w:rFonts w:ascii="宋体" w:hAnsi="宋体" w:cs="宋体"/>
                <w:sz w:val="24"/>
                <w:szCs w:val="24"/>
              </w:rPr>
            </w:pPr>
          </w:p>
        </w:tc>
        <w:tc>
          <w:tcPr>
            <w:tcW w:w="1229" w:type="dxa"/>
            <w:vAlign w:val="center"/>
          </w:tcPr>
          <w:p>
            <w:pPr>
              <w:spacing w:line="360" w:lineRule="auto"/>
              <w:rPr>
                <w:rFonts w:ascii="宋体" w:hAnsi="宋体" w:cs="宋体"/>
                <w:sz w:val="24"/>
                <w:szCs w:val="24"/>
              </w:rPr>
            </w:pPr>
          </w:p>
        </w:tc>
        <w:tc>
          <w:tcPr>
            <w:tcW w:w="928"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9" w:type="dxa"/>
            <w:vAlign w:val="center"/>
          </w:tcPr>
          <w:p>
            <w:pPr>
              <w:spacing w:line="360" w:lineRule="auto"/>
              <w:rPr>
                <w:rFonts w:ascii="宋体" w:hAnsi="宋体" w:cs="宋体"/>
                <w:sz w:val="24"/>
                <w:szCs w:val="24"/>
              </w:rPr>
            </w:pPr>
          </w:p>
        </w:tc>
        <w:tc>
          <w:tcPr>
            <w:tcW w:w="1713" w:type="dxa"/>
            <w:vAlign w:val="center"/>
          </w:tcPr>
          <w:p>
            <w:pPr>
              <w:spacing w:line="360" w:lineRule="auto"/>
              <w:rPr>
                <w:rFonts w:ascii="宋体" w:hAnsi="宋体" w:cs="宋体"/>
                <w:sz w:val="24"/>
                <w:szCs w:val="24"/>
              </w:rPr>
            </w:pPr>
          </w:p>
        </w:tc>
        <w:tc>
          <w:tcPr>
            <w:tcW w:w="2250" w:type="dxa"/>
            <w:vAlign w:val="center"/>
          </w:tcPr>
          <w:p>
            <w:pPr>
              <w:spacing w:line="360" w:lineRule="auto"/>
              <w:rPr>
                <w:rFonts w:ascii="宋体" w:hAnsi="宋体" w:cs="宋体"/>
                <w:sz w:val="24"/>
                <w:szCs w:val="24"/>
              </w:rPr>
            </w:pPr>
          </w:p>
        </w:tc>
        <w:tc>
          <w:tcPr>
            <w:tcW w:w="2085" w:type="dxa"/>
            <w:vAlign w:val="center"/>
          </w:tcPr>
          <w:p>
            <w:pPr>
              <w:spacing w:line="360" w:lineRule="auto"/>
              <w:rPr>
                <w:rFonts w:ascii="宋体" w:hAnsi="宋体" w:cs="宋体"/>
                <w:sz w:val="24"/>
                <w:szCs w:val="24"/>
              </w:rPr>
            </w:pPr>
          </w:p>
        </w:tc>
        <w:tc>
          <w:tcPr>
            <w:tcW w:w="2084" w:type="dxa"/>
            <w:vAlign w:val="center"/>
          </w:tcPr>
          <w:p>
            <w:pPr>
              <w:spacing w:line="360" w:lineRule="auto"/>
              <w:rPr>
                <w:rFonts w:ascii="宋体" w:hAnsi="宋体" w:cs="宋体"/>
                <w:sz w:val="24"/>
                <w:szCs w:val="24"/>
              </w:rPr>
            </w:pPr>
          </w:p>
        </w:tc>
        <w:tc>
          <w:tcPr>
            <w:tcW w:w="818" w:type="dxa"/>
            <w:vAlign w:val="center"/>
          </w:tcPr>
          <w:p>
            <w:pPr>
              <w:spacing w:line="360" w:lineRule="auto"/>
              <w:rPr>
                <w:rFonts w:ascii="宋体" w:hAnsi="宋体" w:cs="宋体"/>
                <w:sz w:val="24"/>
                <w:szCs w:val="24"/>
              </w:rPr>
            </w:pPr>
          </w:p>
        </w:tc>
        <w:tc>
          <w:tcPr>
            <w:tcW w:w="1890" w:type="dxa"/>
            <w:vAlign w:val="center"/>
          </w:tcPr>
          <w:p>
            <w:pPr>
              <w:spacing w:line="360" w:lineRule="auto"/>
              <w:rPr>
                <w:rFonts w:ascii="宋体" w:hAnsi="宋体" w:cs="宋体"/>
                <w:sz w:val="24"/>
                <w:szCs w:val="24"/>
              </w:rPr>
            </w:pPr>
          </w:p>
        </w:tc>
        <w:tc>
          <w:tcPr>
            <w:tcW w:w="1229" w:type="dxa"/>
            <w:vAlign w:val="center"/>
          </w:tcPr>
          <w:p>
            <w:pPr>
              <w:spacing w:line="360" w:lineRule="auto"/>
              <w:rPr>
                <w:rFonts w:ascii="宋体" w:hAnsi="宋体" w:cs="宋体"/>
                <w:sz w:val="24"/>
                <w:szCs w:val="24"/>
              </w:rPr>
            </w:pPr>
          </w:p>
        </w:tc>
        <w:tc>
          <w:tcPr>
            <w:tcW w:w="928"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9" w:type="dxa"/>
            <w:vAlign w:val="center"/>
          </w:tcPr>
          <w:p>
            <w:pPr>
              <w:spacing w:line="360" w:lineRule="auto"/>
              <w:rPr>
                <w:rFonts w:ascii="宋体" w:hAnsi="宋体" w:cs="宋体"/>
                <w:sz w:val="24"/>
                <w:szCs w:val="24"/>
              </w:rPr>
            </w:pPr>
          </w:p>
        </w:tc>
        <w:tc>
          <w:tcPr>
            <w:tcW w:w="1713" w:type="dxa"/>
            <w:vAlign w:val="center"/>
          </w:tcPr>
          <w:p>
            <w:pPr>
              <w:spacing w:line="360" w:lineRule="auto"/>
              <w:rPr>
                <w:rFonts w:ascii="宋体" w:hAnsi="宋体" w:cs="宋体"/>
                <w:sz w:val="24"/>
                <w:szCs w:val="24"/>
              </w:rPr>
            </w:pPr>
          </w:p>
        </w:tc>
        <w:tc>
          <w:tcPr>
            <w:tcW w:w="2250" w:type="dxa"/>
            <w:vAlign w:val="center"/>
          </w:tcPr>
          <w:p>
            <w:pPr>
              <w:spacing w:line="360" w:lineRule="auto"/>
              <w:rPr>
                <w:rFonts w:ascii="宋体" w:hAnsi="宋体" w:cs="宋体"/>
                <w:sz w:val="24"/>
                <w:szCs w:val="24"/>
              </w:rPr>
            </w:pPr>
          </w:p>
        </w:tc>
        <w:tc>
          <w:tcPr>
            <w:tcW w:w="2085" w:type="dxa"/>
            <w:vAlign w:val="center"/>
          </w:tcPr>
          <w:p>
            <w:pPr>
              <w:spacing w:line="360" w:lineRule="auto"/>
              <w:rPr>
                <w:rFonts w:ascii="宋体" w:hAnsi="宋体" w:cs="宋体"/>
                <w:sz w:val="24"/>
                <w:szCs w:val="24"/>
              </w:rPr>
            </w:pPr>
          </w:p>
        </w:tc>
        <w:tc>
          <w:tcPr>
            <w:tcW w:w="2084" w:type="dxa"/>
            <w:vAlign w:val="center"/>
          </w:tcPr>
          <w:p>
            <w:pPr>
              <w:spacing w:line="360" w:lineRule="auto"/>
              <w:rPr>
                <w:rFonts w:ascii="宋体" w:hAnsi="宋体" w:cs="宋体"/>
                <w:sz w:val="24"/>
                <w:szCs w:val="24"/>
              </w:rPr>
            </w:pPr>
          </w:p>
        </w:tc>
        <w:tc>
          <w:tcPr>
            <w:tcW w:w="818" w:type="dxa"/>
            <w:vAlign w:val="center"/>
          </w:tcPr>
          <w:p>
            <w:pPr>
              <w:spacing w:line="360" w:lineRule="auto"/>
              <w:rPr>
                <w:rFonts w:ascii="宋体" w:hAnsi="宋体" w:cs="宋体"/>
                <w:sz w:val="24"/>
                <w:szCs w:val="24"/>
              </w:rPr>
            </w:pPr>
          </w:p>
        </w:tc>
        <w:tc>
          <w:tcPr>
            <w:tcW w:w="1890" w:type="dxa"/>
            <w:vAlign w:val="center"/>
          </w:tcPr>
          <w:p>
            <w:pPr>
              <w:spacing w:line="360" w:lineRule="auto"/>
              <w:rPr>
                <w:rFonts w:ascii="宋体" w:hAnsi="宋体" w:cs="宋体"/>
                <w:sz w:val="24"/>
                <w:szCs w:val="24"/>
              </w:rPr>
            </w:pPr>
          </w:p>
        </w:tc>
        <w:tc>
          <w:tcPr>
            <w:tcW w:w="1229" w:type="dxa"/>
            <w:vAlign w:val="center"/>
          </w:tcPr>
          <w:p>
            <w:pPr>
              <w:spacing w:line="360" w:lineRule="auto"/>
              <w:rPr>
                <w:rFonts w:ascii="宋体" w:hAnsi="宋体" w:cs="宋体"/>
                <w:sz w:val="24"/>
                <w:szCs w:val="24"/>
              </w:rPr>
            </w:pPr>
          </w:p>
        </w:tc>
        <w:tc>
          <w:tcPr>
            <w:tcW w:w="928"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9" w:type="dxa"/>
            <w:vAlign w:val="center"/>
          </w:tcPr>
          <w:p>
            <w:pPr>
              <w:spacing w:line="360" w:lineRule="auto"/>
              <w:rPr>
                <w:rFonts w:ascii="宋体" w:hAnsi="宋体" w:cs="宋体"/>
                <w:sz w:val="24"/>
                <w:szCs w:val="24"/>
              </w:rPr>
            </w:pPr>
          </w:p>
        </w:tc>
        <w:tc>
          <w:tcPr>
            <w:tcW w:w="1713" w:type="dxa"/>
            <w:vAlign w:val="center"/>
          </w:tcPr>
          <w:p>
            <w:pPr>
              <w:spacing w:line="360" w:lineRule="auto"/>
              <w:rPr>
                <w:rFonts w:ascii="宋体" w:hAnsi="宋体" w:cs="宋体"/>
                <w:sz w:val="24"/>
                <w:szCs w:val="24"/>
              </w:rPr>
            </w:pPr>
          </w:p>
        </w:tc>
        <w:tc>
          <w:tcPr>
            <w:tcW w:w="2250" w:type="dxa"/>
            <w:vAlign w:val="center"/>
          </w:tcPr>
          <w:p>
            <w:pPr>
              <w:spacing w:line="360" w:lineRule="auto"/>
              <w:rPr>
                <w:rFonts w:ascii="宋体" w:hAnsi="宋体" w:cs="宋体"/>
                <w:sz w:val="24"/>
                <w:szCs w:val="24"/>
              </w:rPr>
            </w:pPr>
          </w:p>
        </w:tc>
        <w:tc>
          <w:tcPr>
            <w:tcW w:w="2085" w:type="dxa"/>
            <w:vAlign w:val="center"/>
          </w:tcPr>
          <w:p>
            <w:pPr>
              <w:spacing w:line="360" w:lineRule="auto"/>
              <w:rPr>
                <w:rFonts w:ascii="宋体" w:hAnsi="宋体" w:cs="宋体"/>
                <w:sz w:val="24"/>
                <w:szCs w:val="24"/>
              </w:rPr>
            </w:pPr>
          </w:p>
        </w:tc>
        <w:tc>
          <w:tcPr>
            <w:tcW w:w="2084" w:type="dxa"/>
            <w:vAlign w:val="center"/>
          </w:tcPr>
          <w:p>
            <w:pPr>
              <w:spacing w:line="360" w:lineRule="auto"/>
              <w:rPr>
                <w:rFonts w:ascii="宋体" w:hAnsi="宋体" w:cs="宋体"/>
                <w:sz w:val="24"/>
                <w:szCs w:val="24"/>
              </w:rPr>
            </w:pPr>
          </w:p>
        </w:tc>
        <w:tc>
          <w:tcPr>
            <w:tcW w:w="818" w:type="dxa"/>
            <w:vAlign w:val="center"/>
          </w:tcPr>
          <w:p>
            <w:pPr>
              <w:spacing w:line="360" w:lineRule="auto"/>
              <w:rPr>
                <w:rFonts w:ascii="宋体" w:hAnsi="宋体" w:cs="宋体"/>
                <w:sz w:val="24"/>
                <w:szCs w:val="24"/>
              </w:rPr>
            </w:pPr>
          </w:p>
        </w:tc>
        <w:tc>
          <w:tcPr>
            <w:tcW w:w="1890" w:type="dxa"/>
            <w:vAlign w:val="center"/>
          </w:tcPr>
          <w:p>
            <w:pPr>
              <w:spacing w:line="360" w:lineRule="auto"/>
              <w:rPr>
                <w:rFonts w:ascii="宋体" w:hAnsi="宋体" w:cs="宋体"/>
                <w:sz w:val="24"/>
                <w:szCs w:val="24"/>
              </w:rPr>
            </w:pPr>
          </w:p>
        </w:tc>
        <w:tc>
          <w:tcPr>
            <w:tcW w:w="1229" w:type="dxa"/>
            <w:vAlign w:val="center"/>
          </w:tcPr>
          <w:p>
            <w:pPr>
              <w:spacing w:line="360" w:lineRule="auto"/>
              <w:rPr>
                <w:rFonts w:ascii="宋体" w:hAnsi="宋体" w:cs="宋体"/>
                <w:sz w:val="24"/>
                <w:szCs w:val="24"/>
              </w:rPr>
            </w:pPr>
          </w:p>
        </w:tc>
        <w:tc>
          <w:tcPr>
            <w:tcW w:w="928"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59" w:type="dxa"/>
            <w:vAlign w:val="center"/>
          </w:tcPr>
          <w:p>
            <w:pPr>
              <w:spacing w:line="360" w:lineRule="auto"/>
              <w:rPr>
                <w:rFonts w:ascii="宋体" w:hAnsi="宋体" w:cs="宋体"/>
                <w:sz w:val="24"/>
                <w:szCs w:val="24"/>
              </w:rPr>
            </w:pPr>
          </w:p>
        </w:tc>
        <w:tc>
          <w:tcPr>
            <w:tcW w:w="1713" w:type="dxa"/>
            <w:vAlign w:val="center"/>
          </w:tcPr>
          <w:p>
            <w:pPr>
              <w:spacing w:line="360" w:lineRule="auto"/>
              <w:rPr>
                <w:rFonts w:ascii="宋体" w:hAnsi="宋体" w:cs="宋体"/>
                <w:sz w:val="24"/>
                <w:szCs w:val="24"/>
              </w:rPr>
            </w:pPr>
          </w:p>
        </w:tc>
        <w:tc>
          <w:tcPr>
            <w:tcW w:w="2250" w:type="dxa"/>
            <w:vAlign w:val="center"/>
          </w:tcPr>
          <w:p>
            <w:pPr>
              <w:spacing w:line="360" w:lineRule="auto"/>
              <w:rPr>
                <w:rFonts w:ascii="宋体" w:hAnsi="宋体" w:cs="宋体"/>
                <w:sz w:val="24"/>
                <w:szCs w:val="24"/>
              </w:rPr>
            </w:pPr>
          </w:p>
        </w:tc>
        <w:tc>
          <w:tcPr>
            <w:tcW w:w="2085" w:type="dxa"/>
            <w:vAlign w:val="center"/>
          </w:tcPr>
          <w:p>
            <w:pPr>
              <w:spacing w:line="360" w:lineRule="auto"/>
              <w:rPr>
                <w:rFonts w:ascii="宋体" w:hAnsi="宋体" w:cs="宋体"/>
                <w:sz w:val="24"/>
                <w:szCs w:val="24"/>
              </w:rPr>
            </w:pPr>
          </w:p>
        </w:tc>
        <w:tc>
          <w:tcPr>
            <w:tcW w:w="2084" w:type="dxa"/>
            <w:vAlign w:val="center"/>
          </w:tcPr>
          <w:p>
            <w:pPr>
              <w:spacing w:line="360" w:lineRule="auto"/>
              <w:rPr>
                <w:rFonts w:ascii="宋体" w:hAnsi="宋体" w:cs="宋体"/>
                <w:sz w:val="24"/>
                <w:szCs w:val="24"/>
              </w:rPr>
            </w:pPr>
          </w:p>
        </w:tc>
        <w:tc>
          <w:tcPr>
            <w:tcW w:w="818" w:type="dxa"/>
            <w:vAlign w:val="center"/>
          </w:tcPr>
          <w:p>
            <w:pPr>
              <w:spacing w:line="360" w:lineRule="auto"/>
              <w:rPr>
                <w:rFonts w:ascii="宋体" w:hAnsi="宋体" w:cs="宋体"/>
                <w:sz w:val="24"/>
                <w:szCs w:val="24"/>
              </w:rPr>
            </w:pPr>
          </w:p>
        </w:tc>
        <w:tc>
          <w:tcPr>
            <w:tcW w:w="1890" w:type="dxa"/>
            <w:vAlign w:val="center"/>
          </w:tcPr>
          <w:p>
            <w:pPr>
              <w:spacing w:line="360" w:lineRule="auto"/>
              <w:rPr>
                <w:rFonts w:ascii="宋体" w:hAnsi="宋体" w:cs="宋体"/>
                <w:sz w:val="24"/>
                <w:szCs w:val="24"/>
              </w:rPr>
            </w:pPr>
          </w:p>
        </w:tc>
        <w:tc>
          <w:tcPr>
            <w:tcW w:w="1229" w:type="dxa"/>
            <w:vAlign w:val="center"/>
          </w:tcPr>
          <w:p>
            <w:pPr>
              <w:spacing w:line="360" w:lineRule="auto"/>
              <w:rPr>
                <w:rFonts w:ascii="宋体" w:hAnsi="宋体" w:cs="宋体"/>
                <w:sz w:val="24"/>
                <w:szCs w:val="24"/>
              </w:rPr>
            </w:pPr>
          </w:p>
        </w:tc>
        <w:tc>
          <w:tcPr>
            <w:tcW w:w="928" w:type="dxa"/>
            <w:vAlign w:val="center"/>
          </w:tcPr>
          <w:p>
            <w:pPr>
              <w:spacing w:line="360" w:lineRule="auto"/>
              <w:rPr>
                <w:rFonts w:ascii="宋体" w:hAnsi="宋体" w:cs="宋体"/>
                <w:sz w:val="24"/>
                <w:szCs w:val="24"/>
              </w:rPr>
            </w:pPr>
          </w:p>
        </w:tc>
      </w:tr>
    </w:tbl>
    <w:p>
      <w:pPr>
        <w:spacing w:line="360" w:lineRule="auto"/>
        <w:ind w:firstLine="480" w:firstLineChars="200"/>
        <w:rPr>
          <w:rFonts w:ascii="宋体" w:hAnsi="宋体" w:cs="宋体"/>
          <w:sz w:val="24"/>
          <w:szCs w:val="24"/>
        </w:rPr>
      </w:pPr>
      <w:r>
        <w:rPr>
          <w:rFonts w:hint="eastAsia" w:ascii="宋体" w:hAnsi="宋体" w:cs="宋体"/>
          <w:sz w:val="24"/>
          <w:szCs w:val="24"/>
        </w:rPr>
        <w:t xml:space="preserve">供应商法定代表人或授权代表签字：                                                </w:t>
      </w:r>
    </w:p>
    <w:p>
      <w:pPr>
        <w:spacing w:line="360" w:lineRule="auto"/>
        <w:ind w:firstLine="480" w:firstLineChars="200"/>
        <w:rPr>
          <w:rFonts w:ascii="宋体" w:hAnsi="宋体" w:cs="宋体"/>
          <w:sz w:val="24"/>
          <w:szCs w:val="24"/>
        </w:rPr>
      </w:pPr>
      <w:r>
        <w:rPr>
          <w:rFonts w:hint="eastAsia" w:ascii="宋体" w:hAnsi="宋体" w:cs="宋体"/>
          <w:sz w:val="24"/>
          <w:szCs w:val="24"/>
        </w:rPr>
        <w:t>供应商盖章：</w:t>
      </w:r>
    </w:p>
    <w:p>
      <w:pPr>
        <w:spacing w:line="360" w:lineRule="auto"/>
        <w:ind w:firstLine="480" w:firstLineChars="200"/>
      </w:pPr>
      <w:r>
        <w:rPr>
          <w:rFonts w:hint="eastAsia" w:ascii="宋体" w:hAnsi="宋体" w:cs="宋体"/>
          <w:sz w:val="24"/>
          <w:szCs w:val="24"/>
        </w:rPr>
        <w:t>日期：    年   月   日</w:t>
      </w:r>
    </w:p>
    <w:p>
      <w:pPr>
        <w:pStyle w:val="120"/>
        <w:spacing w:line="360" w:lineRule="auto"/>
        <w:ind w:firstLine="480" w:firstLineChars="200"/>
        <w:jc w:val="both"/>
        <w:rPr>
          <w:rFonts w:ascii="宋体" w:hAnsi="宋体" w:cs="宋体"/>
          <w:b/>
          <w:color w:val="auto"/>
          <w:sz w:val="24"/>
        </w:rPr>
        <w:sectPr>
          <w:pgSz w:w="16838" w:h="11906" w:orient="landscape"/>
          <w:pgMar w:top="1418" w:right="1418" w:bottom="1418" w:left="1418" w:header="851" w:footer="851" w:gutter="0"/>
          <w:cols w:space="720" w:num="1"/>
          <w:docGrid w:type="linesAndChars" w:linePitch="312" w:charSpace="0"/>
        </w:sectPr>
      </w:pPr>
      <w:r>
        <w:rPr>
          <w:rFonts w:hint="eastAsia" w:ascii="宋体" w:hAnsi="宋体" w:cs="宋体"/>
          <w:b/>
          <w:color w:val="auto"/>
          <w:sz w:val="24"/>
        </w:rPr>
        <w:t>注: 技术所有参数及规格不允许负偏离，否则予以无效磋商。</w:t>
      </w:r>
    </w:p>
    <w:p>
      <w:pPr>
        <w:pStyle w:val="3"/>
        <w:jc w:val="left"/>
        <w:rPr>
          <w:rFonts w:ascii="宋体" w:hAnsi="宋体" w:eastAsia="宋体" w:cs="宋体"/>
          <w:b/>
          <w:bCs/>
          <w:sz w:val="32"/>
          <w:szCs w:val="32"/>
        </w:rPr>
      </w:pPr>
      <w:bookmarkStart w:id="170" w:name="_Toc12836"/>
      <w:r>
        <w:rPr>
          <w:rFonts w:hint="eastAsia" w:ascii="宋体" w:hAnsi="宋体" w:eastAsia="宋体" w:cs="宋体"/>
          <w:b/>
          <w:bCs/>
          <w:sz w:val="32"/>
          <w:szCs w:val="32"/>
        </w:rPr>
        <w:t>（附件七）</w:t>
      </w:r>
      <w:bookmarkEnd w:id="170"/>
    </w:p>
    <w:p>
      <w:pPr>
        <w:jc w:val="center"/>
        <w:rPr>
          <w:rFonts w:ascii="宋体" w:hAnsi="宋体" w:cs="宋体"/>
          <w:b/>
          <w:bCs/>
          <w:sz w:val="28"/>
          <w:szCs w:val="28"/>
        </w:rPr>
      </w:pPr>
      <w:r>
        <w:rPr>
          <w:rFonts w:hint="eastAsia" w:ascii="宋体" w:hAnsi="宋体" w:cs="宋体"/>
          <w:b/>
          <w:bCs/>
          <w:sz w:val="28"/>
          <w:szCs w:val="28"/>
        </w:rPr>
        <w:t>关于资格的声明函</w:t>
      </w:r>
    </w:p>
    <w:p>
      <w:pPr>
        <w:rPr>
          <w:rFonts w:ascii="宋体" w:hAnsi="宋体" w:cs="宋体"/>
          <w:b/>
          <w:sz w:val="24"/>
          <w:szCs w:val="24"/>
        </w:rPr>
      </w:pPr>
    </w:p>
    <w:p>
      <w:pPr>
        <w:pStyle w:val="19"/>
        <w:spacing w:line="360" w:lineRule="auto"/>
        <w:ind w:left="0" w:leftChars="0" w:firstLine="0" w:firstLineChars="0"/>
        <w:rPr>
          <w:rFonts w:ascii="宋体" w:hAnsi="宋体" w:eastAsia="宋体" w:cs="宋体"/>
          <w:sz w:val="24"/>
          <w:szCs w:val="24"/>
        </w:rPr>
      </w:pPr>
      <w:r>
        <w:rPr>
          <w:rFonts w:hint="eastAsia" w:ascii="宋体" w:hAnsi="宋体" w:eastAsia="宋体" w:cs="宋体"/>
          <w:sz w:val="24"/>
          <w:szCs w:val="24"/>
        </w:rPr>
        <w:t>致：新疆国文弘业招标有限公司</w:t>
      </w:r>
    </w:p>
    <w:p>
      <w:pPr>
        <w:pStyle w:val="19"/>
        <w:spacing w:line="360" w:lineRule="auto"/>
        <w:ind w:left="0" w:leftChars="0" w:firstLine="480" w:firstLineChars="200"/>
        <w:rPr>
          <w:rFonts w:ascii="宋体" w:hAnsi="宋体" w:eastAsia="宋体" w:cs="宋体"/>
          <w:sz w:val="24"/>
          <w:szCs w:val="24"/>
        </w:rPr>
      </w:pPr>
      <w:r>
        <w:rPr>
          <w:rFonts w:hint="eastAsia" w:ascii="宋体" w:hAnsi="宋体" w:eastAsia="宋体" w:cs="宋体"/>
          <w:sz w:val="24"/>
          <w:szCs w:val="24"/>
        </w:rPr>
        <w:t>关于贵方20</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日采购公告关于</w:t>
      </w:r>
      <w:r>
        <w:rPr>
          <w:rFonts w:hint="eastAsia" w:ascii="宋体" w:hAnsi="宋体" w:eastAsia="宋体" w:cs="宋体"/>
          <w:sz w:val="24"/>
          <w:szCs w:val="24"/>
          <w:u w:val="single"/>
        </w:rPr>
        <w:t xml:space="preserve">                  </w:t>
      </w:r>
      <w:r>
        <w:rPr>
          <w:rFonts w:hint="eastAsia" w:ascii="宋体" w:hAnsi="宋体" w:eastAsia="宋体" w:cs="宋体"/>
          <w:sz w:val="24"/>
          <w:szCs w:val="24"/>
        </w:rPr>
        <w:t>的采购项目，本签字人愿意参加磋商，并有能力提供</w:t>
      </w:r>
      <w:r>
        <w:rPr>
          <w:rFonts w:hint="eastAsia" w:ascii="宋体" w:hAnsi="宋体" w:eastAsia="宋体" w:cs="宋体"/>
          <w:sz w:val="24"/>
          <w:szCs w:val="24"/>
          <w:u w:val="single"/>
        </w:rPr>
        <w:t xml:space="preserve">                      </w:t>
      </w:r>
      <w:r>
        <w:rPr>
          <w:rFonts w:hint="eastAsia" w:ascii="宋体" w:hAnsi="宋体" w:eastAsia="宋体" w:cs="宋体"/>
          <w:sz w:val="24"/>
          <w:szCs w:val="24"/>
        </w:rPr>
        <w:t>项目中的采购服务及相关服务，并保证所提交的所有文件和说明是真实和准确的。</w:t>
      </w:r>
    </w:p>
    <w:p>
      <w:pPr>
        <w:pStyle w:val="19"/>
        <w:spacing w:line="360" w:lineRule="auto"/>
        <w:ind w:left="0" w:leftChars="0" w:firstLine="480" w:firstLineChars="200"/>
        <w:rPr>
          <w:rFonts w:ascii="宋体" w:hAnsi="宋体" w:eastAsia="宋体" w:cs="宋体"/>
          <w:sz w:val="24"/>
          <w:szCs w:val="24"/>
        </w:rPr>
      </w:pPr>
    </w:p>
    <w:p>
      <w:pPr>
        <w:pStyle w:val="19"/>
        <w:spacing w:line="360" w:lineRule="auto"/>
        <w:ind w:left="0" w:leftChars="0" w:firstLine="480" w:firstLineChars="200"/>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　</w:t>
      </w:r>
    </w:p>
    <w:p>
      <w:pPr>
        <w:pStyle w:val="19"/>
        <w:spacing w:line="360" w:lineRule="auto"/>
        <w:ind w:left="0" w:leftChars="0" w:firstLine="480" w:firstLineChars="200"/>
        <w:rPr>
          <w:rFonts w:ascii="宋体" w:hAnsi="宋体" w:eastAsia="宋体" w:cs="宋体"/>
          <w:sz w:val="24"/>
          <w:szCs w:val="24"/>
          <w:u w:val="single"/>
        </w:rPr>
      </w:pPr>
      <w:r>
        <w:rPr>
          <w:rFonts w:hint="eastAsia" w:ascii="宋体" w:hAnsi="宋体" w:eastAsia="宋体" w:cs="宋体"/>
          <w:sz w:val="24"/>
          <w:szCs w:val="24"/>
        </w:rPr>
        <w:t>签字人姓名：</w:t>
      </w:r>
      <w:r>
        <w:rPr>
          <w:rFonts w:hint="eastAsia" w:ascii="宋体" w:hAnsi="宋体" w:eastAsia="宋体" w:cs="宋体"/>
          <w:sz w:val="24"/>
          <w:szCs w:val="24"/>
          <w:u w:val="single"/>
        </w:rPr>
        <w:t xml:space="preserve">                    </w:t>
      </w:r>
    </w:p>
    <w:p>
      <w:pPr>
        <w:pStyle w:val="19"/>
        <w:spacing w:line="360" w:lineRule="auto"/>
        <w:ind w:left="0" w:leftChars="0" w:firstLine="480" w:firstLineChars="200"/>
        <w:rPr>
          <w:rFonts w:ascii="宋体" w:hAnsi="宋体" w:eastAsia="宋体" w:cs="宋体"/>
          <w:sz w:val="24"/>
          <w:szCs w:val="24"/>
          <w:u w:val="single"/>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pStyle w:val="19"/>
        <w:spacing w:line="360" w:lineRule="auto"/>
        <w:ind w:left="0" w:leftChars="0" w:firstLine="480" w:firstLineChars="200"/>
        <w:rPr>
          <w:rFonts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pPr>
        <w:pStyle w:val="19"/>
        <w:spacing w:line="360" w:lineRule="auto"/>
        <w:ind w:left="0" w:leftChars="0" w:firstLine="480" w:firstLineChars="200"/>
        <w:rPr>
          <w:rFonts w:ascii="宋体" w:hAnsi="宋体" w:eastAsia="宋体" w:cs="宋体"/>
          <w:sz w:val="24"/>
          <w:szCs w:val="24"/>
          <w:u w:val="single"/>
        </w:rPr>
      </w:pPr>
      <w:r>
        <w:rPr>
          <w:rFonts w:hint="eastAsia" w:ascii="宋体" w:hAnsi="宋体" w:eastAsia="宋体" w:cs="宋体"/>
          <w:sz w:val="24"/>
          <w:szCs w:val="24"/>
        </w:rPr>
        <w:t>授权签署本资格文件人：</w:t>
      </w:r>
      <w:r>
        <w:rPr>
          <w:rFonts w:hint="eastAsia" w:ascii="宋体" w:hAnsi="宋体" w:eastAsia="宋体" w:cs="宋体"/>
          <w:sz w:val="24"/>
          <w:szCs w:val="24"/>
          <w:u w:val="single"/>
        </w:rPr>
        <w:t xml:space="preserve">          </w:t>
      </w:r>
      <w:r>
        <w:rPr>
          <w:rFonts w:hint="eastAsia" w:ascii="宋体" w:hAnsi="宋体" w:eastAsia="宋体" w:cs="宋体"/>
          <w:sz w:val="24"/>
          <w:szCs w:val="24"/>
        </w:rPr>
        <w:t>　　　　　　　　　　　　</w:t>
      </w:r>
    </w:p>
    <w:p>
      <w:pPr>
        <w:pStyle w:val="19"/>
        <w:spacing w:line="360" w:lineRule="auto"/>
        <w:ind w:left="0" w:leftChars="0" w:firstLine="480" w:firstLineChars="200"/>
        <w:rPr>
          <w:rFonts w:ascii="宋体" w:hAnsi="宋体" w:eastAsia="宋体" w:cs="宋体"/>
          <w:sz w:val="24"/>
          <w:szCs w:val="24"/>
        </w:rPr>
      </w:pPr>
      <w:r>
        <w:rPr>
          <w:rFonts w:hint="eastAsia" w:ascii="宋体" w:hAnsi="宋体" w:eastAsia="宋体" w:cs="宋体"/>
          <w:sz w:val="24"/>
          <w:szCs w:val="24"/>
        </w:rPr>
        <w:t>邮编：</w:t>
      </w:r>
      <w:r>
        <w:rPr>
          <w:rFonts w:hint="eastAsia" w:ascii="宋体" w:hAnsi="宋体" w:eastAsia="宋体" w:cs="宋体"/>
          <w:sz w:val="24"/>
          <w:szCs w:val="24"/>
          <w:u w:val="single"/>
        </w:rPr>
        <w:t xml:space="preserve">               </w:t>
      </w:r>
      <w:r>
        <w:rPr>
          <w:rFonts w:hint="eastAsia" w:ascii="宋体" w:hAnsi="宋体" w:eastAsia="宋体" w:cs="宋体"/>
          <w:sz w:val="24"/>
          <w:szCs w:val="24"/>
        </w:rPr>
        <w:t>　</w:t>
      </w:r>
    </w:p>
    <w:p>
      <w:pPr>
        <w:pStyle w:val="19"/>
        <w:spacing w:line="360" w:lineRule="auto"/>
        <w:ind w:left="0" w:leftChars="0" w:firstLine="480" w:firstLineChars="200"/>
        <w:rPr>
          <w:rFonts w:ascii="宋体" w:hAnsi="宋体" w:eastAsia="宋体" w:cs="宋体"/>
          <w:sz w:val="24"/>
          <w:szCs w:val="24"/>
          <w:u w:val="single"/>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p>
    <w:p>
      <w:pPr>
        <w:pStyle w:val="19"/>
        <w:spacing w:line="360" w:lineRule="auto"/>
        <w:ind w:left="0" w:leftChars="0" w:firstLine="480" w:firstLineChars="200"/>
        <w:rPr>
          <w:rFonts w:ascii="宋体" w:hAnsi="宋体" w:eastAsia="宋体" w:cs="宋体"/>
          <w:sz w:val="24"/>
          <w:szCs w:val="24"/>
          <w:u w:val="single"/>
        </w:rPr>
      </w:pPr>
      <w:r>
        <w:rPr>
          <w:rFonts w:hint="eastAsia" w:ascii="宋体" w:hAnsi="宋体" w:eastAsia="宋体" w:cs="宋体"/>
          <w:sz w:val="24"/>
          <w:szCs w:val="24"/>
        </w:rPr>
        <w:t xml:space="preserve">盖章： </w:t>
      </w:r>
      <w:r>
        <w:rPr>
          <w:rFonts w:hint="eastAsia" w:ascii="宋体" w:hAnsi="宋体" w:eastAsia="宋体" w:cs="宋体"/>
          <w:sz w:val="24"/>
          <w:szCs w:val="24"/>
          <w:u w:val="single"/>
        </w:rPr>
        <w:t xml:space="preserve">                         </w:t>
      </w:r>
    </w:p>
    <w:p>
      <w:pPr>
        <w:pStyle w:val="24"/>
        <w:spacing w:line="360" w:lineRule="auto"/>
        <w:ind w:firstLine="480" w:firstLineChars="200"/>
        <w:rPr>
          <w:rFonts w:cs="宋体"/>
          <w:sz w:val="24"/>
          <w:szCs w:val="24"/>
        </w:rPr>
      </w:pPr>
    </w:p>
    <w:p>
      <w:pPr>
        <w:pStyle w:val="24"/>
        <w:spacing w:line="360" w:lineRule="auto"/>
        <w:ind w:firstLine="480" w:firstLineChars="200"/>
        <w:rPr>
          <w:rFonts w:cs="宋体"/>
          <w:sz w:val="24"/>
          <w:szCs w:val="24"/>
        </w:rPr>
      </w:pPr>
    </w:p>
    <w:p>
      <w:pPr>
        <w:pStyle w:val="24"/>
        <w:spacing w:line="360" w:lineRule="auto"/>
        <w:ind w:firstLine="480" w:firstLineChars="200"/>
        <w:rPr>
          <w:rFonts w:cs="宋体"/>
          <w:sz w:val="24"/>
          <w:szCs w:val="24"/>
        </w:rPr>
      </w:pPr>
    </w:p>
    <w:p>
      <w:pPr>
        <w:pStyle w:val="24"/>
        <w:spacing w:line="360" w:lineRule="auto"/>
        <w:ind w:firstLine="480" w:firstLineChars="200"/>
        <w:rPr>
          <w:rFonts w:cs="宋体"/>
          <w:sz w:val="24"/>
          <w:szCs w:val="24"/>
        </w:rPr>
      </w:pPr>
    </w:p>
    <w:p>
      <w:pPr>
        <w:pStyle w:val="24"/>
        <w:spacing w:line="360" w:lineRule="auto"/>
        <w:ind w:firstLine="480" w:firstLineChars="200"/>
        <w:rPr>
          <w:rFonts w:cs="宋体"/>
          <w:sz w:val="24"/>
          <w:szCs w:val="24"/>
        </w:rPr>
      </w:pPr>
    </w:p>
    <w:p>
      <w:pPr>
        <w:pStyle w:val="24"/>
        <w:spacing w:line="360" w:lineRule="auto"/>
        <w:ind w:firstLine="480" w:firstLineChars="200"/>
        <w:jc w:val="center"/>
        <w:rPr>
          <w:rFonts w:cs="宋体"/>
          <w:sz w:val="24"/>
          <w:szCs w:val="24"/>
        </w:rPr>
      </w:pPr>
    </w:p>
    <w:p>
      <w:pPr>
        <w:pStyle w:val="24"/>
        <w:spacing w:line="360" w:lineRule="auto"/>
        <w:ind w:firstLine="480" w:firstLineChars="200"/>
        <w:jc w:val="right"/>
        <w:rPr>
          <w:rFonts w:cs="宋体"/>
          <w:bCs/>
          <w:sz w:val="24"/>
          <w:szCs w:val="24"/>
        </w:rPr>
      </w:pPr>
      <w:r>
        <w:rPr>
          <w:rFonts w:hint="eastAsia" w:cs="宋体"/>
          <w:sz w:val="24"/>
          <w:szCs w:val="24"/>
        </w:rPr>
        <w:t>　　　　　　　　　　　　　　　　　　</w:t>
      </w:r>
      <w:r>
        <w:rPr>
          <w:rFonts w:hint="eastAsia" w:cs="宋体"/>
          <w:bCs/>
          <w:sz w:val="24"/>
          <w:szCs w:val="24"/>
        </w:rPr>
        <w:t>20</w:t>
      </w:r>
      <w:r>
        <w:rPr>
          <w:rFonts w:hint="eastAsia" w:cs="宋体"/>
          <w:bCs/>
          <w:sz w:val="24"/>
          <w:szCs w:val="24"/>
          <w:u w:val="single"/>
        </w:rPr>
        <w:t xml:space="preserve">   </w:t>
      </w:r>
      <w:r>
        <w:rPr>
          <w:rFonts w:hint="eastAsia" w:cs="宋体"/>
          <w:bCs/>
          <w:sz w:val="24"/>
          <w:szCs w:val="24"/>
        </w:rPr>
        <w:t>年</w:t>
      </w:r>
      <w:r>
        <w:rPr>
          <w:rFonts w:hint="eastAsia" w:cs="宋体"/>
          <w:bCs/>
          <w:sz w:val="24"/>
          <w:szCs w:val="24"/>
          <w:u w:val="single"/>
        </w:rPr>
        <w:t xml:space="preserve">   </w:t>
      </w:r>
      <w:r>
        <w:rPr>
          <w:rFonts w:hint="eastAsia" w:cs="宋体"/>
          <w:bCs/>
          <w:sz w:val="24"/>
          <w:szCs w:val="24"/>
        </w:rPr>
        <w:t>月</w:t>
      </w:r>
      <w:r>
        <w:rPr>
          <w:rFonts w:hint="eastAsia" w:cs="宋体"/>
          <w:bCs/>
          <w:sz w:val="24"/>
          <w:szCs w:val="24"/>
          <w:u w:val="single"/>
        </w:rPr>
        <w:t xml:space="preserve">    </w:t>
      </w:r>
      <w:r>
        <w:rPr>
          <w:rFonts w:hint="eastAsia" w:cs="宋体"/>
          <w:bCs/>
          <w:sz w:val="24"/>
          <w:szCs w:val="24"/>
        </w:rPr>
        <w:t>日</w:t>
      </w:r>
    </w:p>
    <w:p>
      <w:pPr>
        <w:pStyle w:val="91"/>
        <w:rPr>
          <w:rFonts w:ascii="宋体" w:hAnsi="宋体" w:cs="宋体"/>
          <w:color w:val="auto"/>
          <w:sz w:val="28"/>
          <w:szCs w:val="28"/>
        </w:rPr>
      </w:pPr>
    </w:p>
    <w:p>
      <w:pPr>
        <w:pStyle w:val="91"/>
        <w:rPr>
          <w:rFonts w:ascii="宋体" w:hAnsi="宋体" w:cs="宋体"/>
          <w:color w:val="auto"/>
          <w:sz w:val="28"/>
          <w:szCs w:val="28"/>
        </w:rPr>
      </w:pPr>
    </w:p>
    <w:p>
      <w:pPr>
        <w:pStyle w:val="91"/>
        <w:rPr>
          <w:rFonts w:ascii="宋体" w:hAnsi="宋体" w:cs="宋体"/>
          <w:color w:val="auto"/>
          <w:sz w:val="28"/>
          <w:szCs w:val="28"/>
        </w:rPr>
      </w:pPr>
    </w:p>
    <w:p>
      <w:pPr>
        <w:pStyle w:val="91"/>
        <w:rPr>
          <w:rFonts w:ascii="宋体" w:hAnsi="宋体" w:cs="宋体"/>
          <w:color w:val="auto"/>
          <w:sz w:val="28"/>
          <w:szCs w:val="28"/>
        </w:rPr>
      </w:pPr>
    </w:p>
    <w:p>
      <w:pPr>
        <w:pStyle w:val="91"/>
        <w:rPr>
          <w:rFonts w:ascii="宋体" w:hAnsi="宋体" w:cs="宋体"/>
          <w:color w:val="auto"/>
          <w:sz w:val="28"/>
          <w:szCs w:val="28"/>
        </w:rPr>
      </w:pPr>
    </w:p>
    <w:p>
      <w:pPr>
        <w:pStyle w:val="3"/>
        <w:spacing w:line="360" w:lineRule="auto"/>
        <w:jc w:val="left"/>
        <w:rPr>
          <w:rFonts w:ascii="宋体" w:hAnsi="宋体" w:eastAsia="宋体" w:cs="宋体"/>
          <w:b/>
          <w:bCs/>
          <w:sz w:val="32"/>
          <w:szCs w:val="32"/>
        </w:rPr>
      </w:pPr>
      <w:bookmarkStart w:id="171" w:name="_Toc10975"/>
      <w:bookmarkStart w:id="172" w:name="_Toc1180_WPSOffice_Level1"/>
      <w:bookmarkStart w:id="173" w:name="_Toc12075"/>
      <w:bookmarkStart w:id="174" w:name="_Toc14858"/>
      <w:bookmarkStart w:id="175" w:name="_Toc8038"/>
      <w:bookmarkStart w:id="176" w:name="_Toc8180"/>
      <w:bookmarkStart w:id="177" w:name="_Toc19171"/>
      <w:r>
        <w:rPr>
          <w:rFonts w:hint="eastAsia" w:ascii="宋体" w:hAnsi="宋体" w:eastAsia="宋体" w:cs="宋体"/>
          <w:b/>
          <w:bCs/>
          <w:sz w:val="32"/>
          <w:szCs w:val="32"/>
        </w:rPr>
        <w:t>（附件八）</w:t>
      </w:r>
      <w:bookmarkEnd w:id="171"/>
      <w:bookmarkEnd w:id="172"/>
      <w:bookmarkEnd w:id="173"/>
      <w:bookmarkEnd w:id="174"/>
      <w:bookmarkEnd w:id="175"/>
      <w:bookmarkEnd w:id="176"/>
      <w:bookmarkEnd w:id="177"/>
    </w:p>
    <w:p>
      <w:pPr>
        <w:spacing w:line="360" w:lineRule="auto"/>
        <w:jc w:val="center"/>
        <w:rPr>
          <w:rFonts w:ascii="宋体" w:hAnsi="宋体" w:cs="宋体"/>
          <w:b/>
          <w:sz w:val="28"/>
          <w:szCs w:val="28"/>
        </w:rPr>
      </w:pPr>
      <w:r>
        <w:rPr>
          <w:rFonts w:hint="eastAsia" w:ascii="宋体" w:hAnsi="宋体" w:cs="宋体"/>
          <w:b/>
          <w:bCs/>
          <w:sz w:val="28"/>
          <w:szCs w:val="28"/>
        </w:rPr>
        <w:t>拟投入项目人员情况表</w:t>
      </w:r>
    </w:p>
    <w:p>
      <w:pPr>
        <w:spacing w:line="360" w:lineRule="auto"/>
        <w:rPr>
          <w:rFonts w:ascii="宋体" w:hAnsi="宋体" w:cs="宋体"/>
          <w:sz w:val="24"/>
          <w:szCs w:val="24"/>
        </w:rPr>
      </w:pPr>
      <w:bookmarkStart w:id="178" w:name="_Toc2532"/>
      <w:bookmarkStart w:id="179" w:name="_Toc648"/>
      <w:r>
        <w:rPr>
          <w:rFonts w:hint="eastAsia" w:ascii="宋体" w:hAnsi="宋体" w:cs="宋体"/>
          <w:sz w:val="24"/>
          <w:szCs w:val="24"/>
        </w:rPr>
        <w:t>1、项目负责人简历表</w:t>
      </w:r>
      <w:bookmarkEnd w:id="178"/>
      <w:bookmarkEnd w:id="179"/>
    </w:p>
    <w:tbl>
      <w:tblPr>
        <w:tblStyle w:val="43"/>
        <w:tblW w:w="9153" w:type="dxa"/>
        <w:jc w:val="center"/>
        <w:tblLayout w:type="fixed"/>
        <w:tblCellMar>
          <w:top w:w="0" w:type="dxa"/>
          <w:left w:w="108" w:type="dxa"/>
          <w:bottom w:w="0" w:type="dxa"/>
          <w:right w:w="108" w:type="dxa"/>
        </w:tblCellMar>
      </w:tblPr>
      <w:tblGrid>
        <w:gridCol w:w="1182"/>
        <w:gridCol w:w="1963"/>
        <w:gridCol w:w="709"/>
        <w:gridCol w:w="1932"/>
        <w:gridCol w:w="1593"/>
        <w:gridCol w:w="1774"/>
      </w:tblGrid>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196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年龄</w:t>
            </w:r>
          </w:p>
        </w:tc>
        <w:tc>
          <w:tcPr>
            <w:tcW w:w="193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159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身份证号码</w:t>
            </w:r>
          </w:p>
        </w:tc>
        <w:tc>
          <w:tcPr>
            <w:tcW w:w="177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r>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毕业学校</w:t>
            </w:r>
          </w:p>
        </w:tc>
        <w:tc>
          <w:tcPr>
            <w:tcW w:w="4604"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159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专     业</w:t>
            </w:r>
          </w:p>
        </w:tc>
        <w:tc>
          <w:tcPr>
            <w:tcW w:w="177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r>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学位</w:t>
            </w:r>
          </w:p>
        </w:tc>
        <w:tc>
          <w:tcPr>
            <w:tcW w:w="196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职称</w:t>
            </w:r>
          </w:p>
        </w:tc>
        <w:tc>
          <w:tcPr>
            <w:tcW w:w="193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159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职     务</w:t>
            </w:r>
          </w:p>
        </w:tc>
        <w:tc>
          <w:tcPr>
            <w:tcW w:w="177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r>
      <w:tr>
        <w:trPr>
          <w:jc w:val="center"/>
        </w:trPr>
        <w:tc>
          <w:tcPr>
            <w:tcW w:w="118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现所在机构或部门</w:t>
            </w:r>
          </w:p>
        </w:tc>
        <w:tc>
          <w:tcPr>
            <w:tcW w:w="4604"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c>
          <w:tcPr>
            <w:tcW w:w="159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服务时间</w:t>
            </w:r>
          </w:p>
        </w:tc>
        <w:tc>
          <w:tcPr>
            <w:tcW w:w="177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r>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主要经历</w:t>
            </w:r>
          </w:p>
          <w:p>
            <w:pPr>
              <w:spacing w:line="360" w:lineRule="auto"/>
              <w:jc w:val="center"/>
              <w:rPr>
                <w:rFonts w:ascii="宋体" w:hAnsi="宋体" w:cs="宋体"/>
                <w:sz w:val="24"/>
                <w:szCs w:val="24"/>
              </w:rPr>
            </w:pPr>
          </w:p>
        </w:tc>
        <w:tc>
          <w:tcPr>
            <w:tcW w:w="7971" w:type="dxa"/>
            <w:gridSpan w:val="5"/>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p>
        </w:tc>
      </w:tr>
      <w:tr>
        <w:tblPrEx>
          <w:tblCellMar>
            <w:top w:w="0" w:type="dxa"/>
            <w:left w:w="108" w:type="dxa"/>
            <w:bottom w:w="0" w:type="dxa"/>
            <w:right w:w="108" w:type="dxa"/>
          </w:tblCellMar>
        </w:tblPrEx>
        <w:trPr>
          <w:trHeight w:val="207" w:hRule="atLeast"/>
          <w:jc w:val="center"/>
        </w:trPr>
        <w:tc>
          <w:tcPr>
            <w:tcW w:w="118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日期</w:t>
            </w:r>
          </w:p>
        </w:tc>
        <w:tc>
          <w:tcPr>
            <w:tcW w:w="2672"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参加过的项目名称</w:t>
            </w:r>
          </w:p>
        </w:tc>
        <w:tc>
          <w:tcPr>
            <w:tcW w:w="3525"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担任何职务</w:t>
            </w:r>
          </w:p>
        </w:tc>
        <w:tc>
          <w:tcPr>
            <w:tcW w:w="177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szCs w:val="24"/>
              </w:rPr>
            </w:pPr>
          </w:p>
        </w:tc>
        <w:tc>
          <w:tcPr>
            <w:tcW w:w="2672"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szCs w:val="24"/>
              </w:rPr>
            </w:pPr>
          </w:p>
        </w:tc>
        <w:tc>
          <w:tcPr>
            <w:tcW w:w="3525"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szCs w:val="24"/>
              </w:rPr>
            </w:pPr>
          </w:p>
        </w:tc>
        <w:tc>
          <w:tcPr>
            <w:tcW w:w="177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szCs w:val="24"/>
              </w:rPr>
            </w:pPr>
          </w:p>
        </w:tc>
        <w:tc>
          <w:tcPr>
            <w:tcW w:w="2672"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szCs w:val="24"/>
              </w:rPr>
            </w:pPr>
          </w:p>
        </w:tc>
        <w:tc>
          <w:tcPr>
            <w:tcW w:w="3525"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szCs w:val="24"/>
              </w:rPr>
            </w:pPr>
          </w:p>
        </w:tc>
        <w:tc>
          <w:tcPr>
            <w:tcW w:w="177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szCs w:val="24"/>
              </w:rPr>
            </w:pPr>
          </w:p>
        </w:tc>
        <w:tc>
          <w:tcPr>
            <w:tcW w:w="2672"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szCs w:val="24"/>
              </w:rPr>
            </w:pPr>
          </w:p>
        </w:tc>
        <w:tc>
          <w:tcPr>
            <w:tcW w:w="3525"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szCs w:val="24"/>
              </w:rPr>
            </w:pPr>
          </w:p>
        </w:tc>
        <w:tc>
          <w:tcPr>
            <w:tcW w:w="177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szCs w:val="24"/>
              </w:rPr>
            </w:pPr>
          </w:p>
        </w:tc>
      </w:tr>
    </w:tbl>
    <w:p>
      <w:pPr>
        <w:spacing w:line="360" w:lineRule="auto"/>
        <w:rPr>
          <w:rFonts w:ascii="宋体" w:hAnsi="宋体" w:cs="宋体"/>
          <w:sz w:val="24"/>
          <w:szCs w:val="24"/>
        </w:rPr>
      </w:pPr>
      <w:bookmarkStart w:id="180" w:name="_Toc22383"/>
      <w:bookmarkStart w:id="181" w:name="_Toc9073"/>
      <w:r>
        <w:rPr>
          <w:rFonts w:hint="eastAsia" w:ascii="宋体" w:hAnsi="宋体" w:cs="宋体"/>
          <w:sz w:val="24"/>
          <w:szCs w:val="24"/>
        </w:rPr>
        <w:t>2、拟投入本项目的主要成员表</w:t>
      </w:r>
      <w:bookmarkEnd w:id="180"/>
      <w:bookmarkEnd w:id="181"/>
    </w:p>
    <w:tbl>
      <w:tblPr>
        <w:tblStyle w:val="4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08"/>
        <w:gridCol w:w="1066"/>
        <w:gridCol w:w="1974"/>
        <w:gridCol w:w="1559"/>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807" w:type="dxa"/>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1708" w:type="dxa"/>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1066" w:type="dxa"/>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1974" w:type="dxa"/>
            <w:vAlign w:val="center"/>
          </w:tcPr>
          <w:p>
            <w:pPr>
              <w:spacing w:line="360" w:lineRule="auto"/>
              <w:jc w:val="center"/>
              <w:rPr>
                <w:rFonts w:ascii="宋体" w:hAnsi="宋体" w:cs="宋体"/>
                <w:sz w:val="24"/>
                <w:szCs w:val="24"/>
              </w:rPr>
            </w:pPr>
            <w:r>
              <w:rPr>
                <w:rFonts w:hint="eastAsia" w:ascii="宋体" w:hAnsi="宋体" w:cs="宋体"/>
                <w:sz w:val="24"/>
                <w:szCs w:val="24"/>
              </w:rPr>
              <w:t>职称</w:t>
            </w:r>
          </w:p>
        </w:tc>
        <w:tc>
          <w:tcPr>
            <w:tcW w:w="1559" w:type="dxa"/>
            <w:vAlign w:val="center"/>
          </w:tcPr>
          <w:p>
            <w:pPr>
              <w:spacing w:line="360" w:lineRule="auto"/>
              <w:jc w:val="center"/>
              <w:rPr>
                <w:rFonts w:ascii="宋体" w:hAnsi="宋体" w:cs="宋体"/>
                <w:sz w:val="24"/>
                <w:szCs w:val="24"/>
              </w:rPr>
            </w:pPr>
            <w:r>
              <w:rPr>
                <w:rFonts w:hint="eastAsia" w:ascii="宋体" w:hAnsi="宋体" w:cs="宋体"/>
                <w:sz w:val="24"/>
                <w:szCs w:val="24"/>
              </w:rPr>
              <w:t>岗位</w:t>
            </w:r>
          </w:p>
        </w:tc>
        <w:tc>
          <w:tcPr>
            <w:tcW w:w="1946" w:type="dxa"/>
            <w:vAlign w:val="center"/>
          </w:tcPr>
          <w:p>
            <w:pPr>
              <w:spacing w:line="360" w:lineRule="auto"/>
              <w:jc w:val="center"/>
              <w:rPr>
                <w:rFonts w:ascii="宋体" w:hAnsi="宋体" w:cs="宋体"/>
                <w:sz w:val="24"/>
                <w:szCs w:val="24"/>
              </w:rPr>
            </w:pPr>
            <w:r>
              <w:rPr>
                <w:rFonts w:hint="eastAsia" w:ascii="宋体" w:hAnsi="宋体" w:cs="宋体"/>
                <w:sz w:val="24"/>
                <w:szCs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807" w:type="dxa"/>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1708" w:type="dxa"/>
            <w:vAlign w:val="center"/>
          </w:tcPr>
          <w:p>
            <w:pPr>
              <w:spacing w:line="360" w:lineRule="auto"/>
              <w:jc w:val="center"/>
              <w:rPr>
                <w:rFonts w:ascii="宋体" w:hAnsi="宋体" w:cs="宋体"/>
                <w:sz w:val="24"/>
                <w:szCs w:val="24"/>
              </w:rPr>
            </w:pPr>
          </w:p>
        </w:tc>
        <w:tc>
          <w:tcPr>
            <w:tcW w:w="1066" w:type="dxa"/>
            <w:vAlign w:val="center"/>
          </w:tcPr>
          <w:p>
            <w:pPr>
              <w:spacing w:line="360" w:lineRule="auto"/>
              <w:jc w:val="center"/>
              <w:rPr>
                <w:rFonts w:ascii="宋体" w:hAnsi="宋体" w:cs="宋体"/>
                <w:sz w:val="24"/>
                <w:szCs w:val="24"/>
              </w:rPr>
            </w:pPr>
          </w:p>
        </w:tc>
        <w:tc>
          <w:tcPr>
            <w:tcW w:w="1974" w:type="dxa"/>
            <w:vAlign w:val="center"/>
          </w:tcPr>
          <w:p>
            <w:pPr>
              <w:spacing w:line="360" w:lineRule="auto"/>
              <w:jc w:val="center"/>
              <w:rPr>
                <w:rFonts w:ascii="宋体" w:hAnsi="宋体" w:cs="宋体"/>
                <w:sz w:val="24"/>
                <w:szCs w:val="24"/>
              </w:rPr>
            </w:pPr>
          </w:p>
        </w:tc>
        <w:tc>
          <w:tcPr>
            <w:tcW w:w="1559" w:type="dxa"/>
            <w:vAlign w:val="center"/>
          </w:tcPr>
          <w:p>
            <w:pPr>
              <w:spacing w:line="360" w:lineRule="auto"/>
              <w:jc w:val="center"/>
              <w:rPr>
                <w:rFonts w:ascii="宋体" w:hAnsi="宋体" w:cs="宋体"/>
                <w:sz w:val="24"/>
                <w:szCs w:val="24"/>
              </w:rPr>
            </w:pPr>
          </w:p>
        </w:tc>
        <w:tc>
          <w:tcPr>
            <w:tcW w:w="1946"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807" w:type="dxa"/>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1708" w:type="dxa"/>
            <w:vAlign w:val="center"/>
          </w:tcPr>
          <w:p>
            <w:pPr>
              <w:spacing w:line="360" w:lineRule="auto"/>
              <w:jc w:val="center"/>
              <w:rPr>
                <w:rFonts w:ascii="宋体" w:hAnsi="宋体" w:cs="宋体"/>
                <w:sz w:val="24"/>
                <w:szCs w:val="24"/>
              </w:rPr>
            </w:pPr>
          </w:p>
        </w:tc>
        <w:tc>
          <w:tcPr>
            <w:tcW w:w="1066" w:type="dxa"/>
            <w:vAlign w:val="center"/>
          </w:tcPr>
          <w:p>
            <w:pPr>
              <w:spacing w:line="360" w:lineRule="auto"/>
              <w:jc w:val="center"/>
              <w:rPr>
                <w:rFonts w:ascii="宋体" w:hAnsi="宋体" w:cs="宋体"/>
                <w:sz w:val="24"/>
                <w:szCs w:val="24"/>
              </w:rPr>
            </w:pPr>
          </w:p>
        </w:tc>
        <w:tc>
          <w:tcPr>
            <w:tcW w:w="1974" w:type="dxa"/>
            <w:vAlign w:val="center"/>
          </w:tcPr>
          <w:p>
            <w:pPr>
              <w:spacing w:line="360" w:lineRule="auto"/>
              <w:jc w:val="center"/>
              <w:rPr>
                <w:rFonts w:ascii="宋体" w:hAnsi="宋体" w:cs="宋体"/>
                <w:sz w:val="24"/>
                <w:szCs w:val="24"/>
              </w:rPr>
            </w:pPr>
          </w:p>
        </w:tc>
        <w:tc>
          <w:tcPr>
            <w:tcW w:w="1559" w:type="dxa"/>
            <w:vAlign w:val="center"/>
          </w:tcPr>
          <w:p>
            <w:pPr>
              <w:spacing w:line="360" w:lineRule="auto"/>
              <w:jc w:val="center"/>
              <w:rPr>
                <w:rFonts w:ascii="宋体" w:hAnsi="宋体" w:cs="宋体"/>
                <w:sz w:val="24"/>
                <w:szCs w:val="24"/>
              </w:rPr>
            </w:pPr>
          </w:p>
        </w:tc>
        <w:tc>
          <w:tcPr>
            <w:tcW w:w="1946"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807" w:type="dxa"/>
            <w:vAlign w:val="center"/>
          </w:tcPr>
          <w:p>
            <w:pPr>
              <w:spacing w:line="360" w:lineRule="auto"/>
              <w:jc w:val="center"/>
              <w:rPr>
                <w:rFonts w:ascii="宋体" w:hAnsi="宋体" w:cs="宋体"/>
                <w:sz w:val="24"/>
                <w:szCs w:val="24"/>
              </w:rPr>
            </w:pPr>
            <w:r>
              <w:rPr>
                <w:rFonts w:hint="eastAsia" w:ascii="宋体" w:hAnsi="宋体" w:cs="宋体"/>
                <w:sz w:val="24"/>
                <w:szCs w:val="24"/>
              </w:rPr>
              <w:t>3</w:t>
            </w:r>
          </w:p>
        </w:tc>
        <w:tc>
          <w:tcPr>
            <w:tcW w:w="1708" w:type="dxa"/>
            <w:vAlign w:val="center"/>
          </w:tcPr>
          <w:p>
            <w:pPr>
              <w:spacing w:line="360" w:lineRule="auto"/>
              <w:jc w:val="center"/>
              <w:rPr>
                <w:rFonts w:ascii="宋体" w:hAnsi="宋体" w:cs="宋体"/>
                <w:sz w:val="24"/>
                <w:szCs w:val="24"/>
              </w:rPr>
            </w:pPr>
          </w:p>
        </w:tc>
        <w:tc>
          <w:tcPr>
            <w:tcW w:w="1066" w:type="dxa"/>
            <w:vAlign w:val="center"/>
          </w:tcPr>
          <w:p>
            <w:pPr>
              <w:spacing w:line="360" w:lineRule="auto"/>
              <w:jc w:val="center"/>
              <w:rPr>
                <w:rFonts w:ascii="宋体" w:hAnsi="宋体" w:cs="宋体"/>
                <w:sz w:val="24"/>
                <w:szCs w:val="24"/>
              </w:rPr>
            </w:pPr>
          </w:p>
        </w:tc>
        <w:tc>
          <w:tcPr>
            <w:tcW w:w="1974" w:type="dxa"/>
            <w:vAlign w:val="center"/>
          </w:tcPr>
          <w:p>
            <w:pPr>
              <w:spacing w:line="360" w:lineRule="auto"/>
              <w:jc w:val="center"/>
              <w:rPr>
                <w:rFonts w:ascii="宋体" w:hAnsi="宋体" w:cs="宋体"/>
                <w:sz w:val="24"/>
                <w:szCs w:val="24"/>
              </w:rPr>
            </w:pPr>
          </w:p>
        </w:tc>
        <w:tc>
          <w:tcPr>
            <w:tcW w:w="1559" w:type="dxa"/>
            <w:vAlign w:val="center"/>
          </w:tcPr>
          <w:p>
            <w:pPr>
              <w:spacing w:line="360" w:lineRule="auto"/>
              <w:jc w:val="center"/>
              <w:rPr>
                <w:rFonts w:ascii="宋体" w:hAnsi="宋体" w:cs="宋体"/>
                <w:sz w:val="24"/>
                <w:szCs w:val="24"/>
              </w:rPr>
            </w:pPr>
          </w:p>
        </w:tc>
        <w:tc>
          <w:tcPr>
            <w:tcW w:w="1946"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807" w:type="dxa"/>
            <w:vAlign w:val="center"/>
          </w:tcPr>
          <w:p>
            <w:pPr>
              <w:spacing w:line="360" w:lineRule="auto"/>
              <w:jc w:val="center"/>
              <w:rPr>
                <w:rFonts w:ascii="宋体" w:hAnsi="宋体" w:cs="宋体"/>
                <w:sz w:val="24"/>
                <w:szCs w:val="24"/>
              </w:rPr>
            </w:pPr>
            <w:r>
              <w:rPr>
                <w:rFonts w:hint="eastAsia" w:ascii="宋体" w:hAnsi="宋体" w:cs="宋体"/>
                <w:sz w:val="24"/>
                <w:szCs w:val="24"/>
              </w:rPr>
              <w:t>4</w:t>
            </w:r>
          </w:p>
        </w:tc>
        <w:tc>
          <w:tcPr>
            <w:tcW w:w="1708" w:type="dxa"/>
            <w:vAlign w:val="center"/>
          </w:tcPr>
          <w:p>
            <w:pPr>
              <w:spacing w:line="360" w:lineRule="auto"/>
              <w:jc w:val="center"/>
              <w:rPr>
                <w:rFonts w:ascii="宋体" w:hAnsi="宋体" w:cs="宋体"/>
                <w:sz w:val="24"/>
                <w:szCs w:val="24"/>
              </w:rPr>
            </w:pPr>
          </w:p>
        </w:tc>
        <w:tc>
          <w:tcPr>
            <w:tcW w:w="1066" w:type="dxa"/>
            <w:vAlign w:val="center"/>
          </w:tcPr>
          <w:p>
            <w:pPr>
              <w:spacing w:line="360" w:lineRule="auto"/>
              <w:jc w:val="center"/>
              <w:rPr>
                <w:rFonts w:ascii="宋体" w:hAnsi="宋体" w:cs="宋体"/>
                <w:sz w:val="24"/>
                <w:szCs w:val="24"/>
              </w:rPr>
            </w:pPr>
          </w:p>
        </w:tc>
        <w:tc>
          <w:tcPr>
            <w:tcW w:w="1974" w:type="dxa"/>
            <w:vAlign w:val="center"/>
          </w:tcPr>
          <w:p>
            <w:pPr>
              <w:spacing w:line="360" w:lineRule="auto"/>
              <w:jc w:val="center"/>
              <w:rPr>
                <w:rFonts w:ascii="宋体" w:hAnsi="宋体" w:cs="宋体"/>
                <w:sz w:val="24"/>
                <w:szCs w:val="24"/>
              </w:rPr>
            </w:pPr>
          </w:p>
        </w:tc>
        <w:tc>
          <w:tcPr>
            <w:tcW w:w="1559" w:type="dxa"/>
            <w:vAlign w:val="center"/>
          </w:tcPr>
          <w:p>
            <w:pPr>
              <w:spacing w:line="360" w:lineRule="auto"/>
              <w:jc w:val="center"/>
              <w:rPr>
                <w:rFonts w:ascii="宋体" w:hAnsi="宋体" w:cs="宋体"/>
                <w:sz w:val="24"/>
                <w:szCs w:val="24"/>
              </w:rPr>
            </w:pPr>
          </w:p>
        </w:tc>
        <w:tc>
          <w:tcPr>
            <w:tcW w:w="1946"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807" w:type="dxa"/>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708" w:type="dxa"/>
            <w:vAlign w:val="center"/>
          </w:tcPr>
          <w:p>
            <w:pPr>
              <w:spacing w:line="360" w:lineRule="auto"/>
              <w:jc w:val="center"/>
              <w:rPr>
                <w:rFonts w:ascii="宋体" w:hAnsi="宋体" w:cs="宋体"/>
                <w:sz w:val="24"/>
                <w:szCs w:val="24"/>
              </w:rPr>
            </w:pPr>
          </w:p>
        </w:tc>
        <w:tc>
          <w:tcPr>
            <w:tcW w:w="1066" w:type="dxa"/>
            <w:vAlign w:val="center"/>
          </w:tcPr>
          <w:p>
            <w:pPr>
              <w:spacing w:line="360" w:lineRule="auto"/>
              <w:jc w:val="center"/>
              <w:rPr>
                <w:rFonts w:ascii="宋体" w:hAnsi="宋体" w:cs="宋体"/>
                <w:sz w:val="24"/>
                <w:szCs w:val="24"/>
              </w:rPr>
            </w:pPr>
          </w:p>
        </w:tc>
        <w:tc>
          <w:tcPr>
            <w:tcW w:w="1974" w:type="dxa"/>
            <w:vAlign w:val="center"/>
          </w:tcPr>
          <w:p>
            <w:pPr>
              <w:spacing w:line="360" w:lineRule="auto"/>
              <w:jc w:val="center"/>
              <w:rPr>
                <w:rFonts w:ascii="宋体" w:hAnsi="宋体" w:cs="宋体"/>
                <w:sz w:val="24"/>
                <w:szCs w:val="24"/>
              </w:rPr>
            </w:pPr>
          </w:p>
        </w:tc>
        <w:tc>
          <w:tcPr>
            <w:tcW w:w="1559" w:type="dxa"/>
            <w:vAlign w:val="center"/>
          </w:tcPr>
          <w:p>
            <w:pPr>
              <w:spacing w:line="360" w:lineRule="auto"/>
              <w:jc w:val="center"/>
              <w:rPr>
                <w:rFonts w:ascii="宋体" w:hAnsi="宋体" w:cs="宋体"/>
                <w:sz w:val="24"/>
                <w:szCs w:val="24"/>
              </w:rPr>
            </w:pPr>
          </w:p>
        </w:tc>
        <w:tc>
          <w:tcPr>
            <w:tcW w:w="1946" w:type="dxa"/>
            <w:vAlign w:val="center"/>
          </w:tcPr>
          <w:p>
            <w:pPr>
              <w:spacing w:line="360" w:lineRule="auto"/>
              <w:jc w:val="center"/>
              <w:rPr>
                <w:rFonts w:ascii="宋体" w:hAnsi="宋体" w:cs="宋体"/>
                <w:sz w:val="24"/>
                <w:szCs w:val="24"/>
              </w:rPr>
            </w:pPr>
          </w:p>
        </w:tc>
      </w:tr>
    </w:tbl>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ind w:firstLine="480" w:firstLineChars="200"/>
        <w:rPr>
          <w:rFonts w:ascii="宋体" w:hAnsi="宋体" w:cs="宋体"/>
          <w:b/>
          <w:sz w:val="24"/>
          <w:szCs w:val="24"/>
        </w:rPr>
      </w:pPr>
      <w:r>
        <w:rPr>
          <w:rFonts w:hint="eastAsia" w:ascii="宋体" w:hAnsi="宋体" w:cs="宋体"/>
          <w:b/>
          <w:sz w:val="24"/>
          <w:szCs w:val="24"/>
        </w:rPr>
        <w:t>附：主要成员及项目负责人相关证书其他证明材料文件。</w:t>
      </w:r>
    </w:p>
    <w:p>
      <w:pPr>
        <w:rPr>
          <w:rFonts w:ascii="宋体" w:hAnsi="宋体" w:cs="宋体"/>
          <w:b/>
          <w:sz w:val="24"/>
          <w:szCs w:val="21"/>
        </w:rPr>
      </w:pPr>
    </w:p>
    <w:p>
      <w:pPr>
        <w:pStyle w:val="91"/>
        <w:rPr>
          <w:rFonts w:ascii="宋体" w:hAnsi="宋体" w:cs="宋体"/>
          <w:color w:val="auto"/>
          <w:sz w:val="28"/>
          <w:szCs w:val="28"/>
        </w:rPr>
      </w:pPr>
    </w:p>
    <w:p>
      <w:pPr>
        <w:pStyle w:val="3"/>
        <w:spacing w:line="360" w:lineRule="auto"/>
        <w:jc w:val="left"/>
        <w:rPr>
          <w:rFonts w:ascii="宋体" w:hAnsi="宋体" w:eastAsia="宋体" w:cs="宋体"/>
          <w:b/>
          <w:bCs/>
          <w:sz w:val="32"/>
          <w:szCs w:val="32"/>
        </w:rPr>
      </w:pPr>
      <w:bookmarkStart w:id="182" w:name="_Toc2431"/>
      <w:bookmarkStart w:id="183" w:name="_Toc11295_WPSOffice_Level1"/>
      <w:bookmarkStart w:id="184" w:name="_Toc12415"/>
      <w:bookmarkStart w:id="185" w:name="_Toc5692"/>
      <w:bookmarkStart w:id="186" w:name="_Toc32127"/>
      <w:bookmarkStart w:id="187" w:name="_Toc28644"/>
      <w:bookmarkStart w:id="188" w:name="_Toc21309"/>
      <w:r>
        <w:rPr>
          <w:rFonts w:hint="eastAsia" w:ascii="宋体" w:hAnsi="宋体" w:eastAsia="宋体" w:cs="宋体"/>
          <w:b/>
          <w:bCs/>
          <w:sz w:val="32"/>
          <w:szCs w:val="32"/>
        </w:rPr>
        <w:t>（附件九）</w:t>
      </w:r>
      <w:bookmarkEnd w:id="182"/>
      <w:bookmarkEnd w:id="183"/>
      <w:bookmarkEnd w:id="184"/>
      <w:bookmarkEnd w:id="185"/>
      <w:bookmarkEnd w:id="186"/>
      <w:bookmarkEnd w:id="187"/>
      <w:bookmarkEnd w:id="188"/>
    </w:p>
    <w:p>
      <w:pPr>
        <w:jc w:val="center"/>
        <w:rPr>
          <w:rFonts w:ascii="宋体" w:hAnsi="宋体" w:cs="宋体"/>
          <w:b/>
          <w:bCs/>
          <w:sz w:val="28"/>
          <w:szCs w:val="28"/>
        </w:rPr>
      </w:pPr>
      <w:r>
        <w:rPr>
          <w:rFonts w:hint="eastAsia" w:ascii="宋体" w:hAnsi="宋体" w:cs="宋体"/>
          <w:b/>
          <w:bCs/>
          <w:sz w:val="28"/>
          <w:szCs w:val="28"/>
        </w:rPr>
        <w:t>近三年业绩表</w:t>
      </w:r>
    </w:p>
    <w:p>
      <w:pPr>
        <w:jc w:val="center"/>
        <w:rPr>
          <w:rFonts w:ascii="宋体" w:hAnsi="宋体" w:cs="宋体"/>
          <w:b/>
          <w:sz w:val="24"/>
          <w:szCs w:val="21"/>
        </w:rPr>
      </w:pPr>
    </w:p>
    <w:p>
      <w:pPr>
        <w:spacing w:line="360" w:lineRule="auto"/>
        <w:rPr>
          <w:rFonts w:ascii="宋体" w:hAnsi="宋体" w:cs="宋体"/>
          <w:b/>
          <w:sz w:val="24"/>
          <w:szCs w:val="24"/>
        </w:rPr>
      </w:pPr>
      <w:r>
        <w:rPr>
          <w:rFonts w:hint="eastAsia" w:ascii="宋体" w:hAnsi="宋体" w:cs="宋体"/>
          <w:sz w:val="24"/>
          <w:szCs w:val="24"/>
        </w:rPr>
        <w:t>供应商名称（公章）：</w:t>
      </w:r>
      <w:r>
        <w:rPr>
          <w:rFonts w:hint="eastAsia" w:ascii="宋体" w:hAnsi="宋体" w:cs="宋体"/>
          <w:sz w:val="24"/>
          <w:szCs w:val="24"/>
          <w:u w:val="single"/>
        </w:rPr>
        <w:t xml:space="preserve">                                 </w:t>
      </w:r>
    </w:p>
    <w:tbl>
      <w:tblPr>
        <w:tblStyle w:val="43"/>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3551"/>
        <w:gridCol w:w="2033"/>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92" w:type="dxa"/>
            <w:shd w:val="clear" w:color="auto" w:fill="E6E6E6"/>
            <w:vAlign w:val="center"/>
          </w:tcPr>
          <w:p>
            <w:pPr>
              <w:pStyle w:val="91"/>
              <w:spacing w:line="360" w:lineRule="auto"/>
              <w:jc w:val="center"/>
              <w:rPr>
                <w:rFonts w:ascii="宋体" w:hAnsi="宋体" w:cs="宋体"/>
                <w:b/>
                <w:bCs/>
                <w:color w:val="auto"/>
              </w:rPr>
            </w:pPr>
            <w:r>
              <w:rPr>
                <w:rFonts w:hint="eastAsia" w:ascii="宋体" w:hAnsi="宋体" w:cs="宋体"/>
                <w:b/>
                <w:bCs/>
                <w:color w:val="auto"/>
              </w:rPr>
              <w:t>地　区</w:t>
            </w:r>
          </w:p>
        </w:tc>
        <w:tc>
          <w:tcPr>
            <w:tcW w:w="3551" w:type="dxa"/>
            <w:shd w:val="clear" w:color="auto" w:fill="E6E6E6"/>
            <w:vAlign w:val="center"/>
          </w:tcPr>
          <w:p>
            <w:pPr>
              <w:pStyle w:val="91"/>
              <w:spacing w:line="360" w:lineRule="auto"/>
              <w:jc w:val="center"/>
              <w:rPr>
                <w:rFonts w:ascii="宋体" w:hAnsi="宋体" w:cs="宋体"/>
                <w:b/>
                <w:bCs/>
                <w:color w:val="auto"/>
              </w:rPr>
            </w:pPr>
            <w:r>
              <w:rPr>
                <w:rFonts w:hint="eastAsia" w:ascii="宋体" w:hAnsi="宋体" w:cs="宋体"/>
                <w:b/>
                <w:bCs/>
                <w:color w:val="auto"/>
              </w:rPr>
              <w:t>项目名称</w:t>
            </w:r>
          </w:p>
        </w:tc>
        <w:tc>
          <w:tcPr>
            <w:tcW w:w="2033" w:type="dxa"/>
            <w:shd w:val="clear" w:color="auto" w:fill="E6E6E6"/>
            <w:vAlign w:val="center"/>
          </w:tcPr>
          <w:p>
            <w:pPr>
              <w:pStyle w:val="91"/>
              <w:spacing w:line="360" w:lineRule="auto"/>
              <w:jc w:val="center"/>
              <w:rPr>
                <w:rFonts w:ascii="宋体" w:hAnsi="宋体" w:cs="宋体"/>
                <w:b/>
                <w:bCs/>
                <w:color w:val="auto"/>
              </w:rPr>
            </w:pPr>
            <w:r>
              <w:rPr>
                <w:rFonts w:hint="eastAsia" w:ascii="宋体" w:hAnsi="宋体" w:cs="宋体"/>
                <w:b/>
                <w:bCs/>
                <w:color w:val="auto"/>
              </w:rPr>
              <w:t>金　额</w:t>
            </w:r>
          </w:p>
        </w:tc>
        <w:tc>
          <w:tcPr>
            <w:tcW w:w="1622" w:type="dxa"/>
            <w:shd w:val="clear" w:color="auto" w:fill="E6E6E6"/>
            <w:vAlign w:val="center"/>
          </w:tcPr>
          <w:p>
            <w:pPr>
              <w:pStyle w:val="91"/>
              <w:spacing w:line="360" w:lineRule="auto"/>
              <w:jc w:val="center"/>
              <w:rPr>
                <w:rFonts w:ascii="宋体" w:hAnsi="宋体" w:cs="宋体"/>
                <w:b/>
                <w:bCs/>
                <w:color w:val="auto"/>
              </w:rPr>
            </w:pPr>
            <w:r>
              <w:rPr>
                <w:rFonts w:hint="eastAsia" w:ascii="宋体" w:hAnsi="宋体" w:cs="宋体"/>
                <w:b/>
                <w:bCs/>
                <w:color w:val="auto"/>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92" w:type="dxa"/>
            <w:vAlign w:val="center"/>
          </w:tcPr>
          <w:p>
            <w:pPr>
              <w:spacing w:line="360" w:lineRule="auto"/>
              <w:rPr>
                <w:rFonts w:ascii="宋体" w:hAnsi="宋体" w:cs="宋体"/>
                <w:sz w:val="24"/>
                <w:szCs w:val="24"/>
              </w:rPr>
            </w:pPr>
          </w:p>
        </w:tc>
        <w:tc>
          <w:tcPr>
            <w:tcW w:w="3551" w:type="dxa"/>
            <w:vAlign w:val="center"/>
          </w:tcPr>
          <w:p>
            <w:pPr>
              <w:spacing w:line="360" w:lineRule="auto"/>
              <w:rPr>
                <w:rFonts w:ascii="宋体" w:hAnsi="宋体" w:cs="宋体"/>
                <w:sz w:val="24"/>
                <w:szCs w:val="24"/>
              </w:rPr>
            </w:pPr>
          </w:p>
        </w:tc>
        <w:tc>
          <w:tcPr>
            <w:tcW w:w="2033" w:type="dxa"/>
            <w:vAlign w:val="center"/>
          </w:tcPr>
          <w:p>
            <w:pPr>
              <w:spacing w:line="360" w:lineRule="auto"/>
              <w:rPr>
                <w:rFonts w:ascii="宋体" w:hAnsi="宋体" w:cs="宋体"/>
                <w:sz w:val="24"/>
                <w:szCs w:val="24"/>
              </w:rPr>
            </w:pPr>
          </w:p>
        </w:tc>
        <w:tc>
          <w:tcPr>
            <w:tcW w:w="1622"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92" w:type="dxa"/>
            <w:vAlign w:val="center"/>
          </w:tcPr>
          <w:p>
            <w:pPr>
              <w:spacing w:line="0" w:lineRule="atLeast"/>
              <w:rPr>
                <w:rFonts w:ascii="宋体" w:hAnsi="宋体" w:cs="宋体"/>
                <w:sz w:val="24"/>
                <w:szCs w:val="24"/>
              </w:rPr>
            </w:pPr>
          </w:p>
        </w:tc>
        <w:tc>
          <w:tcPr>
            <w:tcW w:w="3551" w:type="dxa"/>
            <w:vAlign w:val="center"/>
          </w:tcPr>
          <w:p>
            <w:pPr>
              <w:spacing w:line="0" w:lineRule="atLeast"/>
              <w:rPr>
                <w:rFonts w:ascii="宋体" w:hAnsi="宋体" w:cs="宋体"/>
                <w:sz w:val="24"/>
                <w:szCs w:val="24"/>
              </w:rPr>
            </w:pPr>
          </w:p>
        </w:tc>
        <w:tc>
          <w:tcPr>
            <w:tcW w:w="2033" w:type="dxa"/>
            <w:vAlign w:val="center"/>
          </w:tcPr>
          <w:p>
            <w:pPr>
              <w:spacing w:line="0" w:lineRule="atLeast"/>
              <w:rPr>
                <w:rFonts w:ascii="宋体" w:hAnsi="宋体" w:cs="宋体"/>
                <w:sz w:val="24"/>
                <w:szCs w:val="24"/>
              </w:rPr>
            </w:pPr>
          </w:p>
        </w:tc>
        <w:tc>
          <w:tcPr>
            <w:tcW w:w="1622" w:type="dxa"/>
            <w:vAlign w:val="center"/>
          </w:tcPr>
          <w:p>
            <w:pPr>
              <w:spacing w:line="0" w:lineRule="atLeas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092" w:type="dxa"/>
            <w:vAlign w:val="center"/>
          </w:tcPr>
          <w:p>
            <w:pPr>
              <w:spacing w:line="0" w:lineRule="atLeast"/>
              <w:rPr>
                <w:rFonts w:ascii="宋体" w:hAnsi="宋体" w:cs="宋体"/>
                <w:sz w:val="24"/>
                <w:szCs w:val="24"/>
              </w:rPr>
            </w:pPr>
          </w:p>
        </w:tc>
        <w:tc>
          <w:tcPr>
            <w:tcW w:w="3551" w:type="dxa"/>
            <w:vAlign w:val="center"/>
          </w:tcPr>
          <w:p>
            <w:pPr>
              <w:spacing w:line="0" w:lineRule="atLeast"/>
              <w:rPr>
                <w:rFonts w:ascii="宋体" w:hAnsi="宋体" w:cs="宋体"/>
                <w:sz w:val="24"/>
                <w:szCs w:val="24"/>
              </w:rPr>
            </w:pPr>
          </w:p>
        </w:tc>
        <w:tc>
          <w:tcPr>
            <w:tcW w:w="2033" w:type="dxa"/>
            <w:vAlign w:val="center"/>
          </w:tcPr>
          <w:p>
            <w:pPr>
              <w:spacing w:line="0" w:lineRule="atLeast"/>
              <w:rPr>
                <w:rFonts w:ascii="宋体" w:hAnsi="宋体" w:cs="宋体"/>
                <w:sz w:val="24"/>
                <w:szCs w:val="24"/>
              </w:rPr>
            </w:pPr>
          </w:p>
        </w:tc>
        <w:tc>
          <w:tcPr>
            <w:tcW w:w="1622" w:type="dxa"/>
            <w:vAlign w:val="center"/>
          </w:tcPr>
          <w:p>
            <w:pPr>
              <w:spacing w:line="0" w:lineRule="atLeas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2092" w:type="dxa"/>
            <w:vAlign w:val="center"/>
          </w:tcPr>
          <w:p>
            <w:pPr>
              <w:spacing w:line="0" w:lineRule="atLeast"/>
              <w:rPr>
                <w:rFonts w:ascii="宋体" w:hAnsi="宋体" w:cs="宋体"/>
                <w:sz w:val="24"/>
                <w:szCs w:val="24"/>
              </w:rPr>
            </w:pPr>
          </w:p>
        </w:tc>
        <w:tc>
          <w:tcPr>
            <w:tcW w:w="3551" w:type="dxa"/>
            <w:vAlign w:val="center"/>
          </w:tcPr>
          <w:p>
            <w:pPr>
              <w:spacing w:line="0" w:lineRule="atLeast"/>
              <w:rPr>
                <w:rFonts w:ascii="宋体" w:hAnsi="宋体" w:cs="宋体"/>
                <w:sz w:val="24"/>
                <w:szCs w:val="24"/>
              </w:rPr>
            </w:pPr>
          </w:p>
        </w:tc>
        <w:tc>
          <w:tcPr>
            <w:tcW w:w="2033" w:type="dxa"/>
            <w:vAlign w:val="center"/>
          </w:tcPr>
          <w:p>
            <w:pPr>
              <w:spacing w:line="0" w:lineRule="atLeast"/>
              <w:rPr>
                <w:rFonts w:ascii="宋体" w:hAnsi="宋体" w:cs="宋体"/>
                <w:sz w:val="24"/>
                <w:szCs w:val="24"/>
              </w:rPr>
            </w:pPr>
          </w:p>
        </w:tc>
        <w:tc>
          <w:tcPr>
            <w:tcW w:w="1622" w:type="dxa"/>
            <w:vAlign w:val="center"/>
          </w:tcPr>
          <w:p>
            <w:pPr>
              <w:spacing w:line="0" w:lineRule="atLeas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2092" w:type="dxa"/>
            <w:vAlign w:val="center"/>
          </w:tcPr>
          <w:p>
            <w:pPr>
              <w:spacing w:line="0" w:lineRule="atLeast"/>
              <w:rPr>
                <w:rFonts w:ascii="宋体" w:hAnsi="宋体" w:cs="宋体"/>
                <w:sz w:val="24"/>
                <w:szCs w:val="24"/>
              </w:rPr>
            </w:pPr>
          </w:p>
        </w:tc>
        <w:tc>
          <w:tcPr>
            <w:tcW w:w="3551" w:type="dxa"/>
            <w:vAlign w:val="center"/>
          </w:tcPr>
          <w:p>
            <w:pPr>
              <w:spacing w:line="0" w:lineRule="atLeast"/>
              <w:rPr>
                <w:rFonts w:ascii="宋体" w:hAnsi="宋体" w:cs="宋体"/>
                <w:sz w:val="24"/>
                <w:szCs w:val="24"/>
              </w:rPr>
            </w:pPr>
          </w:p>
        </w:tc>
        <w:tc>
          <w:tcPr>
            <w:tcW w:w="2033" w:type="dxa"/>
            <w:vAlign w:val="center"/>
          </w:tcPr>
          <w:p>
            <w:pPr>
              <w:spacing w:line="0" w:lineRule="atLeast"/>
              <w:rPr>
                <w:rFonts w:ascii="宋体" w:hAnsi="宋体" w:cs="宋体"/>
                <w:sz w:val="24"/>
                <w:szCs w:val="24"/>
              </w:rPr>
            </w:pPr>
          </w:p>
        </w:tc>
        <w:tc>
          <w:tcPr>
            <w:tcW w:w="1622" w:type="dxa"/>
            <w:vAlign w:val="center"/>
          </w:tcPr>
          <w:p>
            <w:pPr>
              <w:spacing w:line="0" w:lineRule="atLeas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2092" w:type="dxa"/>
            <w:vAlign w:val="center"/>
          </w:tcPr>
          <w:p>
            <w:pPr>
              <w:spacing w:line="0" w:lineRule="atLeast"/>
              <w:rPr>
                <w:rFonts w:ascii="宋体" w:hAnsi="宋体" w:cs="宋体"/>
                <w:sz w:val="24"/>
                <w:szCs w:val="24"/>
              </w:rPr>
            </w:pPr>
          </w:p>
        </w:tc>
        <w:tc>
          <w:tcPr>
            <w:tcW w:w="3551" w:type="dxa"/>
            <w:vAlign w:val="center"/>
          </w:tcPr>
          <w:p>
            <w:pPr>
              <w:spacing w:line="0" w:lineRule="atLeast"/>
              <w:rPr>
                <w:rFonts w:ascii="宋体" w:hAnsi="宋体" w:cs="宋体"/>
                <w:sz w:val="24"/>
                <w:szCs w:val="24"/>
              </w:rPr>
            </w:pPr>
          </w:p>
        </w:tc>
        <w:tc>
          <w:tcPr>
            <w:tcW w:w="2033" w:type="dxa"/>
            <w:vAlign w:val="center"/>
          </w:tcPr>
          <w:p>
            <w:pPr>
              <w:spacing w:line="0" w:lineRule="atLeast"/>
              <w:rPr>
                <w:rFonts w:ascii="宋体" w:hAnsi="宋体" w:cs="宋体"/>
                <w:sz w:val="24"/>
                <w:szCs w:val="24"/>
              </w:rPr>
            </w:pPr>
          </w:p>
        </w:tc>
        <w:tc>
          <w:tcPr>
            <w:tcW w:w="1622" w:type="dxa"/>
            <w:vAlign w:val="center"/>
          </w:tcPr>
          <w:p>
            <w:pPr>
              <w:spacing w:line="0" w:lineRule="atLeas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2092" w:type="dxa"/>
            <w:vAlign w:val="center"/>
          </w:tcPr>
          <w:p>
            <w:pPr>
              <w:spacing w:line="0" w:lineRule="atLeast"/>
              <w:rPr>
                <w:rFonts w:ascii="宋体" w:hAnsi="宋体" w:cs="宋体"/>
                <w:sz w:val="24"/>
                <w:szCs w:val="24"/>
              </w:rPr>
            </w:pPr>
          </w:p>
        </w:tc>
        <w:tc>
          <w:tcPr>
            <w:tcW w:w="3551" w:type="dxa"/>
            <w:vAlign w:val="center"/>
          </w:tcPr>
          <w:p>
            <w:pPr>
              <w:spacing w:line="0" w:lineRule="atLeast"/>
              <w:rPr>
                <w:rFonts w:ascii="宋体" w:hAnsi="宋体" w:cs="宋体"/>
                <w:sz w:val="24"/>
                <w:szCs w:val="24"/>
              </w:rPr>
            </w:pPr>
          </w:p>
        </w:tc>
        <w:tc>
          <w:tcPr>
            <w:tcW w:w="2033" w:type="dxa"/>
            <w:vAlign w:val="center"/>
          </w:tcPr>
          <w:p>
            <w:pPr>
              <w:spacing w:line="0" w:lineRule="atLeast"/>
              <w:rPr>
                <w:rFonts w:ascii="宋体" w:hAnsi="宋体" w:cs="宋体"/>
                <w:sz w:val="24"/>
                <w:szCs w:val="24"/>
              </w:rPr>
            </w:pPr>
            <w:r>
              <w:rPr>
                <w:rFonts w:hint="eastAsia" w:ascii="宋体" w:hAnsi="宋体" w:cs="宋体"/>
                <w:sz w:val="24"/>
                <w:szCs w:val="24"/>
              </w:rPr>
              <w:t xml:space="preserve"> </w:t>
            </w:r>
          </w:p>
        </w:tc>
        <w:tc>
          <w:tcPr>
            <w:tcW w:w="1622" w:type="dxa"/>
            <w:vAlign w:val="center"/>
          </w:tcPr>
          <w:p>
            <w:pPr>
              <w:spacing w:line="0" w:lineRule="atLeas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2092" w:type="dxa"/>
            <w:vAlign w:val="center"/>
          </w:tcPr>
          <w:p>
            <w:pPr>
              <w:spacing w:line="0" w:lineRule="atLeast"/>
              <w:rPr>
                <w:rFonts w:ascii="宋体" w:hAnsi="宋体" w:cs="宋体"/>
                <w:sz w:val="24"/>
                <w:szCs w:val="24"/>
              </w:rPr>
            </w:pPr>
          </w:p>
        </w:tc>
        <w:tc>
          <w:tcPr>
            <w:tcW w:w="3551" w:type="dxa"/>
            <w:vAlign w:val="center"/>
          </w:tcPr>
          <w:p>
            <w:pPr>
              <w:spacing w:line="0" w:lineRule="atLeast"/>
              <w:rPr>
                <w:rFonts w:ascii="宋体" w:hAnsi="宋体" w:cs="宋体"/>
                <w:sz w:val="24"/>
                <w:szCs w:val="24"/>
              </w:rPr>
            </w:pPr>
          </w:p>
        </w:tc>
        <w:tc>
          <w:tcPr>
            <w:tcW w:w="2033" w:type="dxa"/>
            <w:vAlign w:val="center"/>
          </w:tcPr>
          <w:p>
            <w:pPr>
              <w:spacing w:line="0" w:lineRule="atLeast"/>
              <w:rPr>
                <w:rFonts w:ascii="宋体" w:hAnsi="宋体" w:cs="宋体"/>
                <w:sz w:val="24"/>
                <w:szCs w:val="24"/>
              </w:rPr>
            </w:pPr>
          </w:p>
        </w:tc>
        <w:tc>
          <w:tcPr>
            <w:tcW w:w="1622" w:type="dxa"/>
            <w:vAlign w:val="center"/>
          </w:tcPr>
          <w:p>
            <w:pPr>
              <w:spacing w:line="0" w:lineRule="atLeas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2092" w:type="dxa"/>
            <w:vAlign w:val="center"/>
          </w:tcPr>
          <w:p>
            <w:pPr>
              <w:spacing w:line="0" w:lineRule="atLeast"/>
              <w:rPr>
                <w:rFonts w:ascii="宋体" w:hAnsi="宋体" w:cs="宋体"/>
                <w:sz w:val="24"/>
                <w:szCs w:val="24"/>
              </w:rPr>
            </w:pPr>
          </w:p>
        </w:tc>
        <w:tc>
          <w:tcPr>
            <w:tcW w:w="3551" w:type="dxa"/>
            <w:vAlign w:val="center"/>
          </w:tcPr>
          <w:p>
            <w:pPr>
              <w:spacing w:line="0" w:lineRule="atLeast"/>
              <w:rPr>
                <w:rFonts w:ascii="宋体" w:hAnsi="宋体" w:cs="宋体"/>
                <w:sz w:val="24"/>
                <w:szCs w:val="24"/>
              </w:rPr>
            </w:pPr>
          </w:p>
        </w:tc>
        <w:tc>
          <w:tcPr>
            <w:tcW w:w="2033" w:type="dxa"/>
            <w:vAlign w:val="center"/>
          </w:tcPr>
          <w:p>
            <w:pPr>
              <w:spacing w:line="0" w:lineRule="atLeast"/>
              <w:rPr>
                <w:rFonts w:ascii="宋体" w:hAnsi="宋体" w:cs="宋体"/>
                <w:sz w:val="24"/>
                <w:szCs w:val="24"/>
              </w:rPr>
            </w:pPr>
          </w:p>
        </w:tc>
        <w:tc>
          <w:tcPr>
            <w:tcW w:w="1622" w:type="dxa"/>
            <w:vAlign w:val="center"/>
          </w:tcPr>
          <w:p>
            <w:pPr>
              <w:spacing w:line="0" w:lineRule="atLeas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092" w:type="dxa"/>
            <w:vAlign w:val="center"/>
          </w:tcPr>
          <w:p>
            <w:pPr>
              <w:spacing w:line="0" w:lineRule="atLeast"/>
              <w:rPr>
                <w:rFonts w:ascii="宋体" w:hAnsi="宋体" w:cs="宋体"/>
                <w:sz w:val="24"/>
                <w:szCs w:val="24"/>
              </w:rPr>
            </w:pPr>
          </w:p>
        </w:tc>
        <w:tc>
          <w:tcPr>
            <w:tcW w:w="3551" w:type="dxa"/>
            <w:vAlign w:val="center"/>
          </w:tcPr>
          <w:p>
            <w:pPr>
              <w:spacing w:line="0" w:lineRule="atLeast"/>
              <w:rPr>
                <w:rFonts w:ascii="宋体" w:hAnsi="宋体" w:cs="宋体"/>
                <w:sz w:val="24"/>
                <w:szCs w:val="24"/>
              </w:rPr>
            </w:pPr>
          </w:p>
        </w:tc>
        <w:tc>
          <w:tcPr>
            <w:tcW w:w="2033" w:type="dxa"/>
            <w:vAlign w:val="center"/>
          </w:tcPr>
          <w:p>
            <w:pPr>
              <w:spacing w:line="0" w:lineRule="atLeast"/>
              <w:rPr>
                <w:rFonts w:ascii="宋体" w:hAnsi="宋体" w:cs="宋体"/>
                <w:sz w:val="24"/>
                <w:szCs w:val="24"/>
              </w:rPr>
            </w:pPr>
          </w:p>
        </w:tc>
        <w:tc>
          <w:tcPr>
            <w:tcW w:w="1622" w:type="dxa"/>
            <w:vAlign w:val="center"/>
          </w:tcPr>
          <w:p>
            <w:pPr>
              <w:spacing w:line="0" w:lineRule="atLeast"/>
              <w:rPr>
                <w:rFonts w:ascii="宋体" w:hAnsi="宋体" w:cs="宋体"/>
                <w:sz w:val="24"/>
                <w:szCs w:val="24"/>
              </w:rPr>
            </w:pPr>
          </w:p>
        </w:tc>
      </w:tr>
    </w:tbl>
    <w:p>
      <w:pPr>
        <w:rPr>
          <w:rFonts w:ascii="宋体" w:hAnsi="宋体" w:cs="宋体"/>
          <w:b/>
          <w:sz w:val="24"/>
          <w:szCs w:val="21"/>
        </w:rPr>
      </w:pPr>
    </w:p>
    <w:p>
      <w:pPr>
        <w:rPr>
          <w:rFonts w:ascii="宋体" w:hAnsi="宋体" w:cs="宋体"/>
          <w:b/>
          <w:sz w:val="24"/>
          <w:szCs w:val="21"/>
        </w:rPr>
      </w:pPr>
      <w:r>
        <w:rPr>
          <w:rFonts w:hint="eastAsia" w:ascii="宋体" w:hAnsi="宋体" w:cs="宋体"/>
          <w:b/>
          <w:sz w:val="24"/>
          <w:szCs w:val="21"/>
        </w:rPr>
        <w:t xml:space="preserve">注：2019年至今，附成交通知书或合同复印件。（原件备查）   </w:t>
      </w:r>
    </w:p>
    <w:p>
      <w:pPr>
        <w:pStyle w:val="91"/>
        <w:rPr>
          <w:rFonts w:ascii="宋体" w:hAnsi="宋体" w:cs="宋体"/>
          <w:color w:val="auto"/>
          <w:sz w:val="28"/>
          <w:szCs w:val="28"/>
        </w:rPr>
      </w:pPr>
    </w:p>
    <w:p>
      <w:pPr>
        <w:pStyle w:val="91"/>
        <w:rPr>
          <w:rFonts w:ascii="宋体" w:hAnsi="宋体" w:cs="宋体"/>
          <w:color w:val="auto"/>
          <w:sz w:val="28"/>
          <w:szCs w:val="28"/>
        </w:rPr>
      </w:pPr>
    </w:p>
    <w:p>
      <w:pPr>
        <w:pStyle w:val="91"/>
        <w:rPr>
          <w:rFonts w:ascii="宋体" w:hAnsi="宋体" w:cs="宋体"/>
          <w:color w:val="auto"/>
          <w:sz w:val="28"/>
          <w:szCs w:val="28"/>
        </w:rPr>
      </w:pPr>
    </w:p>
    <w:p>
      <w:pPr>
        <w:pStyle w:val="3"/>
        <w:jc w:val="left"/>
        <w:rPr>
          <w:rFonts w:ascii="宋体" w:hAnsi="宋体" w:eastAsia="宋体" w:cs="宋体"/>
          <w:b/>
          <w:bCs/>
          <w:sz w:val="32"/>
          <w:szCs w:val="32"/>
        </w:rPr>
      </w:pPr>
      <w:bookmarkStart w:id="189" w:name="_Toc18780"/>
      <w:bookmarkStart w:id="190" w:name="_Toc5939"/>
      <w:bookmarkStart w:id="191" w:name="_Toc16712"/>
      <w:bookmarkStart w:id="192" w:name="_Toc24830_WPSOffice_Level1"/>
      <w:bookmarkStart w:id="193" w:name="_Toc521430519"/>
      <w:bookmarkStart w:id="194" w:name="_Toc9472"/>
      <w:bookmarkStart w:id="195" w:name="_Toc30705"/>
      <w:bookmarkStart w:id="196" w:name="_Toc18551"/>
      <w:r>
        <w:rPr>
          <w:rFonts w:hint="eastAsia" w:ascii="宋体" w:hAnsi="宋体" w:eastAsia="宋体" w:cs="宋体"/>
          <w:b/>
          <w:bCs/>
          <w:sz w:val="32"/>
          <w:szCs w:val="32"/>
        </w:rPr>
        <w:t>(附件十)</w:t>
      </w:r>
      <w:bookmarkEnd w:id="189"/>
      <w:bookmarkEnd w:id="190"/>
      <w:bookmarkEnd w:id="191"/>
      <w:bookmarkEnd w:id="192"/>
      <w:bookmarkEnd w:id="193"/>
      <w:bookmarkEnd w:id="194"/>
      <w:bookmarkEnd w:id="195"/>
      <w:bookmarkEnd w:id="196"/>
    </w:p>
    <w:p>
      <w:pPr>
        <w:jc w:val="center"/>
        <w:rPr>
          <w:rFonts w:ascii="宋体" w:hAnsi="宋体" w:cs="宋体"/>
          <w:b/>
          <w:spacing w:val="-20"/>
          <w:kern w:val="0"/>
          <w:sz w:val="32"/>
        </w:rPr>
      </w:pPr>
      <w:r>
        <w:rPr>
          <w:rFonts w:hint="eastAsia" w:ascii="宋体" w:hAnsi="宋体" w:cs="宋体"/>
          <w:b/>
          <w:bCs/>
          <w:sz w:val="28"/>
          <w:szCs w:val="28"/>
        </w:rPr>
        <w:t>中小企业声明函（若无可不提供）</w:t>
      </w:r>
    </w:p>
    <w:p>
      <w:pPr>
        <w:ind w:firstLine="480" w:firstLineChars="200"/>
        <w:rPr>
          <w:rFonts w:ascii="宋体" w:hAnsi="宋体" w:cs="宋体"/>
          <w:sz w:val="24"/>
          <w:szCs w:val="24"/>
        </w:rPr>
      </w:pP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本公司</w:t>
      </w:r>
      <w:r>
        <w:rPr>
          <w:rFonts w:hint="eastAsia" w:ascii="宋体" w:hAnsi="宋体" w:cs="宋体"/>
          <w:sz w:val="24"/>
          <w:szCs w:val="24"/>
          <w:u w:val="single"/>
        </w:rPr>
        <w:t xml:space="preserve">        (单位名称)</w:t>
      </w:r>
      <w:r>
        <w:rPr>
          <w:rFonts w:hint="eastAsia" w:ascii="宋体" w:hAnsi="宋体" w:cs="宋体"/>
          <w:sz w:val="24"/>
          <w:szCs w:val="24"/>
        </w:rPr>
        <w:t>郑重声明，根据《政府采购促进中小企业发展管理办法》（财库〔2020）46 号）的规定，本公司参加</w:t>
      </w:r>
      <w:r>
        <w:rPr>
          <w:rFonts w:hint="eastAsia" w:ascii="宋体" w:hAnsi="宋体" w:cs="宋体"/>
          <w:sz w:val="24"/>
          <w:szCs w:val="24"/>
          <w:u w:val="single"/>
        </w:rPr>
        <w:t xml:space="preserve">        </w:t>
      </w:r>
      <w:r>
        <w:rPr>
          <w:rFonts w:hint="eastAsia" w:ascii="宋体" w:hAnsi="宋体" w:cs="宋体"/>
          <w:sz w:val="24"/>
          <w:szCs w:val="24"/>
        </w:rPr>
        <w:t>（项目名称）采购活动，提供的货物全部由符合政策要求的中小企业制造。相关企业（含联合体中的中小企业、签订分包意向协议的中小企业）的具体情况如下：</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 xml:space="preserve">            </w:t>
      </w:r>
      <w:r>
        <w:rPr>
          <w:rFonts w:hint="eastAsia" w:ascii="宋体" w:hAnsi="宋体" w:cs="宋体"/>
          <w:sz w:val="24"/>
          <w:szCs w:val="24"/>
        </w:rPr>
        <w:t>（项目名称），属于（采购文件中明确</w:t>
      </w:r>
      <w:r>
        <w:rPr>
          <w:rFonts w:hint="eastAsia" w:ascii="宋体" w:hAnsi="宋体" w:cs="宋体"/>
          <w:sz w:val="24"/>
          <w:szCs w:val="24"/>
          <w:u w:val="single"/>
        </w:rPr>
        <w:t xml:space="preserve">      </w:t>
      </w:r>
      <w:r>
        <w:rPr>
          <w:rFonts w:hint="eastAsia" w:ascii="宋体" w:hAnsi="宋体" w:cs="宋体"/>
          <w:sz w:val="24"/>
          <w:szCs w:val="24"/>
        </w:rPr>
        <w:t>的所属行业）行业；制造商为（企业名称），从业人员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万元，属于（中型企业、小型企业、微型企业）；</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widowControl/>
        <w:spacing w:line="360" w:lineRule="auto"/>
        <w:ind w:firstLine="480" w:firstLineChars="200"/>
        <w:rPr>
          <w:rFonts w:ascii="宋体" w:hAnsi="宋体" w:cs="宋体"/>
          <w:sz w:val="24"/>
          <w:szCs w:val="24"/>
        </w:rPr>
      </w:pPr>
    </w:p>
    <w:p>
      <w:pPr>
        <w:widowControl/>
        <w:spacing w:line="360" w:lineRule="auto"/>
        <w:ind w:firstLine="480" w:firstLineChars="200"/>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widowControl/>
        <w:spacing w:line="360" w:lineRule="auto"/>
        <w:ind w:firstLine="480" w:firstLineChars="200"/>
        <w:rPr>
          <w:rFonts w:ascii="宋体" w:hAnsi="宋体" w:cs="宋体"/>
          <w:sz w:val="24"/>
          <w:szCs w:val="24"/>
        </w:rPr>
      </w:pPr>
    </w:p>
    <w:p>
      <w:pPr>
        <w:widowControl/>
        <w:spacing w:line="480" w:lineRule="auto"/>
        <w:ind w:firstLine="480" w:firstLineChars="200"/>
        <w:jc w:val="center"/>
        <w:rPr>
          <w:rFonts w:ascii="宋体" w:hAnsi="宋体" w:cs="宋体"/>
          <w:sz w:val="24"/>
          <w:szCs w:val="24"/>
        </w:rPr>
      </w:pPr>
      <w:r>
        <w:rPr>
          <w:rFonts w:hint="eastAsia" w:ascii="宋体" w:hAnsi="宋体" w:cs="宋体"/>
          <w:sz w:val="24"/>
          <w:szCs w:val="24"/>
        </w:rPr>
        <w:t>企业名称（盖章）∶</w:t>
      </w:r>
    </w:p>
    <w:p>
      <w:pPr>
        <w:widowControl/>
        <w:spacing w:line="480" w:lineRule="auto"/>
        <w:ind w:firstLine="480" w:firstLineChars="200"/>
        <w:jc w:val="center"/>
        <w:rPr>
          <w:rFonts w:ascii="宋体" w:hAnsi="宋体" w:cs="宋体"/>
          <w:sz w:val="24"/>
          <w:szCs w:val="24"/>
        </w:rPr>
      </w:pPr>
      <w:r>
        <w:rPr>
          <w:rFonts w:hint="eastAsia" w:ascii="宋体" w:hAnsi="宋体" w:cs="宋体"/>
          <w:sz w:val="24"/>
          <w:szCs w:val="24"/>
        </w:rPr>
        <w:t xml:space="preserve">            日期∶</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1.从业人员、营业收入、资产总额填报上一年度数据，无上一年度数据的新成立企业可不填报，</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bookmarkStart w:id="197" w:name="_Toc28063_WPSOffice_Level1"/>
      <w:bookmarkStart w:id="198" w:name="_Toc17138"/>
      <w:bookmarkStart w:id="199" w:name="_Toc8502_WPSOffice_Level1"/>
      <w:bookmarkStart w:id="200" w:name="_Toc26904_WPSOffice_Level1"/>
      <w:bookmarkStart w:id="201" w:name="_Toc27255"/>
      <w:bookmarkStart w:id="202" w:name="_Toc1418_WPSOffice_Level1"/>
      <w:bookmarkStart w:id="203" w:name="_Toc2501_WPSOffice_Level1"/>
      <w:r>
        <w:rPr>
          <w:rFonts w:hint="eastAsia" w:ascii="宋体" w:hAnsi="宋体" w:cs="宋体"/>
          <w:b/>
          <w:bCs/>
          <w:sz w:val="24"/>
          <w:szCs w:val="24"/>
        </w:rPr>
        <w:t>备注:后附相关证明资料</w:t>
      </w:r>
      <w:r>
        <w:rPr>
          <w:rFonts w:hint="eastAsia" w:ascii="宋体" w:hAnsi="宋体" w:cs="宋体"/>
          <w:sz w:val="24"/>
          <w:szCs w:val="24"/>
        </w:rPr>
        <w:t>。</w:t>
      </w:r>
      <w:bookmarkEnd w:id="197"/>
      <w:bookmarkEnd w:id="198"/>
      <w:bookmarkEnd w:id="199"/>
      <w:bookmarkEnd w:id="200"/>
      <w:bookmarkEnd w:id="201"/>
      <w:bookmarkEnd w:id="202"/>
      <w:bookmarkEnd w:id="203"/>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pStyle w:val="6"/>
        <w:rPr>
          <w:rFonts w:ascii="宋体" w:hAnsi="宋体" w:cs="宋体"/>
          <w:sz w:val="24"/>
        </w:rPr>
      </w:pPr>
    </w:p>
    <w:p>
      <w:pPr>
        <w:rPr>
          <w:rFonts w:ascii="宋体" w:hAnsi="宋体" w:cs="宋体"/>
          <w:sz w:val="24"/>
        </w:rPr>
      </w:pPr>
    </w:p>
    <w:p>
      <w:pPr>
        <w:pStyle w:val="6"/>
        <w:rPr>
          <w:rFonts w:ascii="宋体" w:hAnsi="宋体" w:cs="宋体"/>
          <w:sz w:val="24"/>
        </w:rPr>
      </w:pPr>
    </w:p>
    <w:p>
      <w:pPr>
        <w:rPr>
          <w:rFonts w:ascii="宋体" w:hAnsi="宋体" w:cs="宋体"/>
          <w:sz w:val="24"/>
        </w:rPr>
      </w:pPr>
    </w:p>
    <w:p>
      <w:pPr>
        <w:pStyle w:val="91"/>
        <w:outlineLvl w:val="1"/>
        <w:rPr>
          <w:rFonts w:ascii="宋体" w:hAnsi="宋体" w:cs="宋体"/>
          <w:b/>
          <w:color w:val="auto"/>
          <w:sz w:val="32"/>
          <w:szCs w:val="32"/>
        </w:rPr>
      </w:pPr>
      <w:bookmarkStart w:id="204" w:name="_Toc9795"/>
      <w:bookmarkStart w:id="205" w:name="_Toc14901"/>
      <w:bookmarkStart w:id="206" w:name="_Toc6556_WPSOffice_Level1"/>
      <w:bookmarkStart w:id="207" w:name="_Toc521496155"/>
      <w:bookmarkStart w:id="208" w:name="_Toc521430520"/>
      <w:bookmarkStart w:id="209" w:name="_Toc15421"/>
      <w:bookmarkStart w:id="210" w:name="_Toc30226"/>
      <w:bookmarkStart w:id="211" w:name="_Toc25806"/>
      <w:bookmarkStart w:id="212" w:name="_Toc520572651"/>
    </w:p>
    <w:p>
      <w:pPr>
        <w:pStyle w:val="3"/>
        <w:jc w:val="left"/>
        <w:rPr>
          <w:rFonts w:ascii="宋体" w:hAnsi="宋体" w:eastAsia="宋体" w:cs="宋体"/>
          <w:b/>
          <w:bCs/>
          <w:sz w:val="32"/>
          <w:szCs w:val="32"/>
        </w:rPr>
      </w:pPr>
      <w:bookmarkStart w:id="213" w:name="_Toc22010"/>
      <w:r>
        <w:rPr>
          <w:rFonts w:hint="eastAsia" w:ascii="宋体" w:hAnsi="宋体" w:eastAsia="宋体" w:cs="宋体"/>
          <w:b/>
          <w:bCs/>
          <w:sz w:val="32"/>
          <w:szCs w:val="32"/>
        </w:rPr>
        <w:t>(附件十一)</w:t>
      </w:r>
      <w:bookmarkEnd w:id="204"/>
      <w:bookmarkEnd w:id="205"/>
      <w:bookmarkEnd w:id="206"/>
      <w:bookmarkEnd w:id="207"/>
      <w:bookmarkEnd w:id="208"/>
      <w:bookmarkEnd w:id="209"/>
      <w:bookmarkEnd w:id="210"/>
      <w:bookmarkEnd w:id="211"/>
      <w:bookmarkEnd w:id="212"/>
      <w:bookmarkEnd w:id="213"/>
      <w:r>
        <w:rPr>
          <w:rFonts w:hint="eastAsia" w:ascii="宋体" w:hAnsi="宋体" w:eastAsia="宋体" w:cs="宋体"/>
          <w:b/>
          <w:bCs/>
          <w:sz w:val="32"/>
          <w:szCs w:val="32"/>
        </w:rPr>
        <w:t xml:space="preserve"> </w:t>
      </w:r>
      <w:bookmarkStart w:id="214" w:name="OLE_LINK13"/>
      <w:bookmarkStart w:id="215" w:name="OLE_LINK14"/>
    </w:p>
    <w:p>
      <w:pPr>
        <w:jc w:val="center"/>
        <w:rPr>
          <w:rFonts w:ascii="宋体" w:hAnsi="宋体" w:cs="宋体"/>
          <w:b/>
          <w:bCs/>
          <w:sz w:val="28"/>
          <w:szCs w:val="28"/>
        </w:rPr>
      </w:pPr>
      <w:r>
        <w:rPr>
          <w:rFonts w:hint="eastAsia" w:ascii="宋体" w:hAnsi="宋体" w:cs="宋体"/>
          <w:b/>
          <w:bCs/>
          <w:sz w:val="28"/>
          <w:szCs w:val="28"/>
        </w:rPr>
        <w:t>残疾人福利性单位声明函（若无可不提供）</w:t>
      </w:r>
    </w:p>
    <w:bookmarkEnd w:id="214"/>
    <w:bookmarkEnd w:id="215"/>
    <w:p>
      <w:pPr>
        <w:rPr>
          <w:rFonts w:ascii="宋体" w:hAnsi="宋体" w:cs="宋体"/>
          <w:b/>
          <w:spacing w:val="6"/>
          <w:sz w:val="30"/>
          <w:szCs w:val="30"/>
        </w:rPr>
      </w:pPr>
    </w:p>
    <w:p>
      <w:pPr>
        <w:spacing w:line="360" w:lineRule="auto"/>
        <w:ind w:firstLine="504" w:firstLineChars="200"/>
        <w:jc w:val="left"/>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jc w:val="left"/>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pPr>
        <w:spacing w:line="360" w:lineRule="auto"/>
        <w:ind w:firstLine="504" w:firstLineChars="200"/>
        <w:rPr>
          <w:rFonts w:ascii="宋体" w:hAnsi="宋体" w:cs="宋体"/>
          <w:spacing w:val="6"/>
          <w:sz w:val="24"/>
          <w:szCs w:val="24"/>
        </w:rPr>
      </w:pPr>
    </w:p>
    <w:p>
      <w:pPr>
        <w:spacing w:line="360" w:lineRule="auto"/>
        <w:ind w:firstLine="504" w:firstLineChars="200"/>
        <w:rPr>
          <w:rFonts w:ascii="宋体" w:hAnsi="宋体" w:cs="宋体"/>
          <w:spacing w:val="6"/>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供应商名称（盖章）：</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日    期：</w:t>
      </w:r>
    </w:p>
    <w:p>
      <w:pPr>
        <w:pStyle w:val="6"/>
        <w:spacing w:line="360" w:lineRule="auto"/>
        <w:ind w:left="0" w:firstLine="480" w:firstLineChars="200"/>
        <w:rPr>
          <w:rFonts w:ascii="宋体" w:hAnsi="宋体" w:cs="宋体"/>
          <w:sz w:val="24"/>
        </w:rPr>
      </w:pPr>
    </w:p>
    <w:p>
      <w:pPr>
        <w:spacing w:line="360" w:lineRule="auto"/>
        <w:rPr>
          <w:rFonts w:ascii="宋体" w:hAnsi="宋体" w:cs="宋体"/>
          <w:sz w:val="24"/>
        </w:rPr>
      </w:pPr>
      <w:bookmarkStart w:id="216" w:name="_Toc20111_WPSOffice_Level1"/>
      <w:bookmarkStart w:id="217" w:name="_Toc14719"/>
      <w:bookmarkStart w:id="218" w:name="_Toc4408"/>
      <w:bookmarkStart w:id="219" w:name="_Toc8119_WPSOffice_Level1"/>
      <w:bookmarkStart w:id="220" w:name="_Toc32378_WPSOffice_Level1"/>
      <w:bookmarkStart w:id="221" w:name="_Toc18720_WPSOffice_Level1"/>
      <w:bookmarkStart w:id="222" w:name="_Toc9701_WPSOffice_Level1"/>
      <w:r>
        <w:rPr>
          <w:rFonts w:hint="eastAsia" w:ascii="宋体" w:hAnsi="宋体" w:cs="宋体"/>
          <w:b/>
          <w:bCs/>
          <w:sz w:val="24"/>
          <w:szCs w:val="24"/>
        </w:rPr>
        <w:t>备注:后附相关证明资料。</w:t>
      </w:r>
      <w:bookmarkEnd w:id="216"/>
      <w:bookmarkEnd w:id="217"/>
      <w:bookmarkEnd w:id="218"/>
      <w:bookmarkEnd w:id="219"/>
      <w:bookmarkEnd w:id="220"/>
      <w:bookmarkEnd w:id="221"/>
      <w:bookmarkEnd w:id="222"/>
    </w:p>
    <w:p>
      <w:pPr>
        <w:rPr>
          <w:rFonts w:ascii="宋体" w:hAnsi="宋体" w:cs="宋体"/>
          <w:sz w:val="24"/>
          <w:szCs w:val="21"/>
        </w:rPr>
      </w:pPr>
    </w:p>
    <w:p>
      <w:pPr>
        <w:rPr>
          <w:rFonts w:ascii="宋体" w:hAnsi="宋体" w:cs="宋体"/>
          <w:sz w:val="24"/>
          <w:szCs w:val="21"/>
        </w:rPr>
      </w:pPr>
    </w:p>
    <w:p>
      <w:pPr>
        <w:rPr>
          <w:rFonts w:ascii="宋体" w:hAnsi="宋体" w:cs="宋体"/>
          <w:sz w:val="24"/>
          <w:szCs w:val="21"/>
        </w:rPr>
      </w:pPr>
    </w:p>
    <w:p>
      <w:pPr>
        <w:pStyle w:val="6"/>
        <w:rPr>
          <w:rFonts w:ascii="宋体" w:hAnsi="宋体" w:cs="宋体"/>
          <w:sz w:val="24"/>
          <w:szCs w:val="21"/>
        </w:rPr>
      </w:pPr>
    </w:p>
    <w:p>
      <w:pPr>
        <w:rPr>
          <w:rFonts w:ascii="宋体" w:hAnsi="宋体" w:cs="宋体"/>
          <w:sz w:val="24"/>
          <w:szCs w:val="21"/>
        </w:rPr>
      </w:pPr>
    </w:p>
    <w:p>
      <w:pPr>
        <w:pStyle w:val="6"/>
        <w:rPr>
          <w:rFonts w:ascii="宋体" w:hAnsi="宋体" w:cs="宋体"/>
          <w:sz w:val="24"/>
          <w:szCs w:val="21"/>
        </w:rPr>
      </w:pPr>
    </w:p>
    <w:p>
      <w:pPr>
        <w:rPr>
          <w:rFonts w:ascii="宋体" w:hAnsi="宋体" w:cs="宋体"/>
          <w:sz w:val="24"/>
          <w:szCs w:val="21"/>
        </w:rPr>
      </w:pPr>
    </w:p>
    <w:p>
      <w:pPr>
        <w:pStyle w:val="6"/>
        <w:rPr>
          <w:rFonts w:ascii="宋体" w:hAnsi="宋体" w:cs="宋体"/>
          <w:sz w:val="24"/>
          <w:szCs w:val="21"/>
        </w:rPr>
      </w:pPr>
    </w:p>
    <w:p>
      <w:pPr>
        <w:rPr>
          <w:rFonts w:ascii="宋体" w:hAnsi="宋体" w:cs="宋体"/>
          <w:sz w:val="24"/>
          <w:szCs w:val="21"/>
        </w:rPr>
      </w:pPr>
    </w:p>
    <w:p>
      <w:pPr>
        <w:pStyle w:val="6"/>
        <w:rPr>
          <w:rFonts w:ascii="宋体" w:hAnsi="宋体" w:cs="宋体"/>
          <w:sz w:val="24"/>
          <w:szCs w:val="21"/>
        </w:rPr>
      </w:pPr>
    </w:p>
    <w:p>
      <w:pPr>
        <w:rPr>
          <w:rFonts w:ascii="宋体" w:hAnsi="宋体" w:cs="宋体"/>
          <w:sz w:val="24"/>
          <w:szCs w:val="21"/>
        </w:rPr>
      </w:pPr>
    </w:p>
    <w:p>
      <w:pPr>
        <w:pStyle w:val="6"/>
        <w:rPr>
          <w:rFonts w:ascii="宋体" w:hAnsi="宋体" w:cs="宋体"/>
          <w:sz w:val="24"/>
          <w:szCs w:val="21"/>
        </w:rPr>
      </w:pPr>
    </w:p>
    <w:p>
      <w:pPr>
        <w:rPr>
          <w:rFonts w:ascii="宋体" w:hAnsi="宋体" w:cs="宋体"/>
          <w:sz w:val="24"/>
          <w:szCs w:val="21"/>
        </w:rPr>
      </w:pPr>
    </w:p>
    <w:p>
      <w:pPr>
        <w:pStyle w:val="6"/>
      </w:pPr>
    </w:p>
    <w:p>
      <w:pPr>
        <w:rPr>
          <w:rFonts w:ascii="宋体" w:hAnsi="宋体" w:cs="宋体"/>
          <w:sz w:val="24"/>
          <w:szCs w:val="21"/>
        </w:rPr>
      </w:pPr>
    </w:p>
    <w:p>
      <w:pPr>
        <w:rPr>
          <w:rFonts w:ascii="宋体" w:hAnsi="宋体" w:cs="宋体"/>
          <w:sz w:val="24"/>
          <w:szCs w:val="21"/>
        </w:rPr>
      </w:pPr>
    </w:p>
    <w:p>
      <w:pPr>
        <w:rPr>
          <w:rFonts w:ascii="宋体" w:hAnsi="宋体" w:cs="宋体"/>
          <w:sz w:val="24"/>
          <w:szCs w:val="21"/>
        </w:rPr>
      </w:pPr>
    </w:p>
    <w:p>
      <w:pPr>
        <w:pStyle w:val="91"/>
        <w:jc w:val="both"/>
        <w:outlineLvl w:val="1"/>
        <w:rPr>
          <w:rFonts w:ascii="宋体" w:hAnsi="宋体" w:cs="宋体"/>
          <w:b/>
          <w:bCs/>
          <w:sz w:val="28"/>
        </w:rPr>
      </w:pPr>
      <w:bookmarkStart w:id="223" w:name="_Toc705"/>
      <w:bookmarkStart w:id="224" w:name="_Toc18030"/>
      <w:bookmarkStart w:id="225" w:name="_Toc19256"/>
      <w:bookmarkStart w:id="226" w:name="_Toc31755"/>
      <w:bookmarkStart w:id="227" w:name="_Toc3312"/>
      <w:bookmarkStart w:id="228" w:name="_Toc7621_WPSOffice_Level1"/>
      <w:bookmarkStart w:id="229" w:name="_Toc29045_WPSOffice_Level1"/>
      <w:bookmarkStart w:id="230" w:name="_Toc9712"/>
      <w:bookmarkStart w:id="231" w:name="_Toc23020"/>
      <w:r>
        <w:rPr>
          <w:rStyle w:val="167"/>
          <w:rFonts w:hint="eastAsia" w:ascii="宋体" w:hAnsi="宋体" w:eastAsia="宋体" w:cs="宋体"/>
          <w:b/>
          <w:bCs/>
          <w:sz w:val="32"/>
          <w:szCs w:val="32"/>
        </w:rPr>
        <w:t>（附件十二）</w:t>
      </w:r>
      <w:bookmarkEnd w:id="223"/>
      <w:bookmarkEnd w:id="224"/>
      <w:bookmarkEnd w:id="225"/>
      <w:bookmarkEnd w:id="226"/>
      <w:bookmarkEnd w:id="227"/>
      <w:bookmarkEnd w:id="228"/>
      <w:r>
        <w:rPr>
          <w:rFonts w:hint="eastAsia" w:ascii="宋体" w:hAnsi="宋体" w:cs="宋体"/>
          <w:b/>
          <w:bCs/>
          <w:color w:val="auto"/>
          <w:kern w:val="2"/>
          <w:sz w:val="32"/>
          <w:szCs w:val="32"/>
        </w:rPr>
        <w:t xml:space="preserve"> </w:t>
      </w:r>
      <w:bookmarkStart w:id="232" w:name="_Toc13350"/>
      <w:bookmarkStart w:id="233" w:name="_Toc22920"/>
      <w:r>
        <w:rPr>
          <w:rFonts w:hint="eastAsia" w:ascii="宋体" w:hAnsi="宋体" w:cs="宋体"/>
          <w:b/>
          <w:bCs/>
          <w:sz w:val="32"/>
          <w:szCs w:val="32"/>
        </w:rPr>
        <w:t xml:space="preserve"> </w:t>
      </w:r>
      <w:r>
        <w:rPr>
          <w:rFonts w:hint="eastAsia" w:ascii="宋体" w:hAnsi="宋体" w:cs="宋体"/>
          <w:b/>
          <w:bCs/>
          <w:sz w:val="28"/>
        </w:rPr>
        <w:t xml:space="preserve"> </w:t>
      </w:r>
      <w:r>
        <w:rPr>
          <w:rStyle w:val="57"/>
          <w:rFonts w:hint="eastAsia" w:ascii="宋体" w:hAnsi="宋体" w:eastAsia="宋体" w:cs="宋体"/>
        </w:rPr>
        <w:t xml:space="preserve"> </w:t>
      </w:r>
      <w:bookmarkEnd w:id="229"/>
      <w:bookmarkEnd w:id="230"/>
      <w:bookmarkEnd w:id="232"/>
      <w:bookmarkEnd w:id="233"/>
    </w:p>
    <w:p>
      <w:pPr>
        <w:jc w:val="center"/>
        <w:rPr>
          <w:rFonts w:ascii="宋体" w:hAnsi="宋体" w:cs="宋体"/>
          <w:b/>
          <w:bCs/>
          <w:sz w:val="28"/>
          <w:szCs w:val="28"/>
        </w:rPr>
      </w:pPr>
      <w:r>
        <w:rPr>
          <w:rFonts w:hint="eastAsia" w:ascii="宋体" w:hAnsi="宋体" w:cs="宋体"/>
          <w:b/>
          <w:bCs/>
          <w:sz w:val="28"/>
          <w:szCs w:val="28"/>
        </w:rPr>
        <w:t>供应商《反商业贿赂承诺书》</w:t>
      </w:r>
    </w:p>
    <w:p>
      <w:pPr>
        <w:autoSpaceDE w:val="0"/>
        <w:autoSpaceDN w:val="0"/>
        <w:adjustRightInd w:val="0"/>
        <w:jc w:val="left"/>
        <w:rPr>
          <w:rFonts w:ascii="宋体" w:hAnsi="宋体" w:cs="宋体"/>
          <w:kern w:val="0"/>
          <w:sz w:val="20"/>
        </w:rPr>
      </w:pP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我公司承诺在</w:t>
      </w:r>
      <w:r>
        <w:rPr>
          <w:rFonts w:hint="eastAsia" w:ascii="宋体" w:hAnsi="宋体" w:cs="宋体"/>
          <w:spacing w:val="-2"/>
          <w:kern w:val="0"/>
          <w:sz w:val="24"/>
          <w:szCs w:val="24"/>
          <w:u w:val="single"/>
        </w:rPr>
        <w:t>（</w:t>
      </w:r>
      <w:r>
        <w:rPr>
          <w:rFonts w:hint="eastAsia" w:ascii="宋体" w:hAnsi="宋体" w:cs="宋体"/>
          <w:kern w:val="0"/>
          <w:sz w:val="24"/>
          <w:szCs w:val="24"/>
          <w:u w:val="single"/>
        </w:rPr>
        <w:t>项目编号、项目名称）</w:t>
      </w:r>
      <w:r>
        <w:rPr>
          <w:rFonts w:hint="eastAsia" w:ascii="宋体" w:hAnsi="宋体" w:cs="宋体"/>
          <w:kern w:val="0"/>
          <w:sz w:val="24"/>
          <w:szCs w:val="24"/>
        </w:rPr>
        <w:t>采购活动中，不给予国家工作人员以及中介机构工作人员及其亲属各种形式的商业贿赂（包括送礼金礼品、有价证券、购物券、 回扣、佣金、咨询费、劳务费、赞助费、宣传费、支付旅游费用、报销各种消费凭证、 宴请、娱乐等</w:t>
      </w:r>
      <w:r>
        <w:rPr>
          <w:rFonts w:hint="eastAsia" w:ascii="宋体" w:hAnsi="宋体" w:cs="宋体"/>
          <w:spacing w:val="-120"/>
          <w:kern w:val="0"/>
          <w:sz w:val="24"/>
          <w:szCs w:val="24"/>
        </w:rPr>
        <w:t>）</w:t>
      </w:r>
      <w:r>
        <w:rPr>
          <w:rFonts w:hint="eastAsia" w:ascii="宋体" w:hAnsi="宋体" w:cs="宋体"/>
          <w:kern w:val="0"/>
          <w:sz w:val="24"/>
          <w:szCs w:val="24"/>
        </w:rPr>
        <w:t>，如有上述行为，我公司及项目参与人员愿意按照《反不正当竞争法》 的有关规定接受处罚。</w:t>
      </w:r>
    </w:p>
    <w:p>
      <w:pPr>
        <w:autoSpaceDE w:val="0"/>
        <w:autoSpaceDN w:val="0"/>
        <w:adjustRightInd w:val="0"/>
        <w:spacing w:line="360" w:lineRule="auto"/>
        <w:ind w:firstLine="480" w:firstLineChars="200"/>
        <w:jc w:val="left"/>
        <w:rPr>
          <w:rFonts w:ascii="宋体" w:hAnsi="宋体" w:cs="宋体"/>
          <w:kern w:val="0"/>
          <w:sz w:val="24"/>
          <w:szCs w:val="24"/>
        </w:rPr>
      </w:pP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供应商（供应商）承诺书</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position w:val="-1"/>
          <w:sz w:val="24"/>
          <w:szCs w:val="24"/>
        </w:rPr>
        <w:t>我公司承诺在参加本次报价前三年内，无以下行为：</w:t>
      </w:r>
    </w:p>
    <w:p>
      <w:pPr>
        <w:autoSpaceDE w:val="0"/>
        <w:autoSpaceDN w:val="0"/>
        <w:adjustRightInd w:val="0"/>
        <w:spacing w:line="360" w:lineRule="auto"/>
        <w:ind w:firstLine="480" w:firstLineChars="200"/>
        <w:jc w:val="left"/>
        <w:rPr>
          <w:rFonts w:ascii="宋体" w:hAnsi="宋体" w:cs="宋体"/>
          <w:kern w:val="0"/>
          <w:sz w:val="24"/>
          <w:szCs w:val="24"/>
        </w:rPr>
      </w:pPr>
      <w:bookmarkStart w:id="234" w:name="_Toc15912_WPSOffice_Level2"/>
      <w:bookmarkStart w:id="235" w:name="_Toc14595_WPSOffice_Level2"/>
      <w:bookmarkStart w:id="236" w:name="_Toc20905_WPSOffice_Level2"/>
      <w:r>
        <w:rPr>
          <w:rFonts w:hint="eastAsia" w:ascii="宋体" w:hAnsi="宋体" w:cs="宋体"/>
          <w:kern w:val="0"/>
          <w:position w:val="-1"/>
          <w:sz w:val="24"/>
          <w:szCs w:val="24"/>
        </w:rPr>
        <w:t>1、重大违法行为；</w:t>
      </w:r>
      <w:bookmarkEnd w:id="234"/>
      <w:bookmarkEnd w:id="235"/>
      <w:bookmarkEnd w:id="236"/>
    </w:p>
    <w:p>
      <w:pPr>
        <w:autoSpaceDE w:val="0"/>
        <w:autoSpaceDN w:val="0"/>
        <w:adjustRightInd w:val="0"/>
        <w:spacing w:line="360" w:lineRule="auto"/>
        <w:ind w:firstLine="480" w:firstLineChars="200"/>
        <w:jc w:val="left"/>
        <w:rPr>
          <w:rFonts w:ascii="宋体" w:hAnsi="宋体" w:cs="宋体"/>
          <w:kern w:val="0"/>
          <w:sz w:val="24"/>
          <w:szCs w:val="24"/>
        </w:rPr>
      </w:pPr>
      <w:bookmarkStart w:id="237" w:name="_Toc26404_WPSOffice_Level2"/>
      <w:bookmarkStart w:id="238" w:name="_Toc31701_WPSOffice_Level2"/>
      <w:bookmarkStart w:id="239" w:name="_Toc18172_WPSOffice_Level2"/>
      <w:r>
        <w:rPr>
          <w:rFonts w:hint="eastAsia" w:ascii="宋体" w:hAnsi="宋体" w:cs="宋体"/>
          <w:kern w:val="0"/>
          <w:position w:val="-1"/>
          <w:sz w:val="24"/>
          <w:szCs w:val="24"/>
        </w:rPr>
        <w:t>2、商业贿赂行为；</w:t>
      </w:r>
      <w:bookmarkEnd w:id="237"/>
      <w:bookmarkEnd w:id="238"/>
      <w:bookmarkEnd w:id="239"/>
    </w:p>
    <w:p>
      <w:pPr>
        <w:autoSpaceDE w:val="0"/>
        <w:autoSpaceDN w:val="0"/>
        <w:adjustRightInd w:val="0"/>
        <w:spacing w:line="360" w:lineRule="auto"/>
        <w:ind w:firstLine="480" w:firstLineChars="200"/>
        <w:jc w:val="left"/>
        <w:rPr>
          <w:rFonts w:ascii="宋体" w:hAnsi="宋体" w:cs="宋体"/>
          <w:kern w:val="0"/>
          <w:sz w:val="24"/>
          <w:szCs w:val="24"/>
        </w:rPr>
      </w:pPr>
      <w:bookmarkStart w:id="240" w:name="_Toc13760_WPSOffice_Level2"/>
      <w:bookmarkStart w:id="241" w:name="_Toc1648_WPSOffice_Level2"/>
      <w:bookmarkStart w:id="242" w:name="_Toc17024_WPSOffice_Level2"/>
      <w:r>
        <w:rPr>
          <w:rFonts w:hint="eastAsia" w:ascii="宋体" w:hAnsi="宋体" w:cs="宋体"/>
          <w:kern w:val="0"/>
          <w:position w:val="-1"/>
          <w:sz w:val="24"/>
          <w:szCs w:val="24"/>
        </w:rPr>
        <w:t>3、政府采购法《第七十七条</w:t>
      </w:r>
      <w:r>
        <w:rPr>
          <w:rFonts w:hint="eastAsia" w:ascii="宋体" w:hAnsi="宋体" w:cs="宋体"/>
          <w:spacing w:val="-120"/>
          <w:kern w:val="0"/>
          <w:position w:val="-1"/>
          <w:sz w:val="24"/>
          <w:szCs w:val="24"/>
        </w:rPr>
        <w:t>》</w:t>
      </w:r>
      <w:r>
        <w:rPr>
          <w:rFonts w:hint="eastAsia" w:ascii="宋体" w:hAnsi="宋体" w:cs="宋体"/>
          <w:kern w:val="0"/>
          <w:position w:val="-1"/>
          <w:sz w:val="24"/>
          <w:szCs w:val="24"/>
        </w:rPr>
        <w:t>，列入不良行为记录名单的各种行为；</w:t>
      </w:r>
      <w:bookmarkEnd w:id="240"/>
      <w:bookmarkEnd w:id="241"/>
      <w:bookmarkEnd w:id="242"/>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position w:val="-1"/>
          <w:sz w:val="24"/>
          <w:szCs w:val="24"/>
        </w:rPr>
        <w:t>如有上述行为</w:t>
      </w:r>
      <w:r>
        <w:rPr>
          <w:rFonts w:hint="eastAsia" w:ascii="宋体" w:hAnsi="宋体" w:cs="宋体"/>
          <w:spacing w:val="-84"/>
          <w:kern w:val="0"/>
          <w:position w:val="-1"/>
          <w:sz w:val="24"/>
          <w:szCs w:val="24"/>
        </w:rPr>
        <w:t>，</w:t>
      </w:r>
      <w:r>
        <w:rPr>
          <w:rFonts w:hint="eastAsia" w:ascii="宋体" w:hAnsi="宋体" w:cs="宋体"/>
          <w:kern w:val="0"/>
          <w:position w:val="-1"/>
          <w:sz w:val="24"/>
          <w:szCs w:val="24"/>
        </w:rPr>
        <w:t>我公司及项目参与人员自愿放弃本次项目的报价资格</w:t>
      </w:r>
      <w:r>
        <w:rPr>
          <w:rFonts w:hint="eastAsia" w:ascii="宋体" w:hAnsi="宋体" w:cs="宋体"/>
          <w:spacing w:val="-84"/>
          <w:kern w:val="0"/>
          <w:position w:val="-1"/>
          <w:sz w:val="24"/>
          <w:szCs w:val="24"/>
        </w:rPr>
        <w:t>，</w:t>
      </w:r>
      <w:r>
        <w:rPr>
          <w:rFonts w:hint="eastAsia" w:ascii="宋体" w:hAnsi="宋体" w:cs="宋体"/>
          <w:kern w:val="0"/>
          <w:position w:val="-1"/>
          <w:sz w:val="24"/>
          <w:szCs w:val="24"/>
        </w:rPr>
        <w:t>若为成交人，</w:t>
      </w:r>
      <w:r>
        <w:rPr>
          <w:rFonts w:hint="eastAsia" w:ascii="宋体" w:hAnsi="宋体" w:cs="宋体"/>
          <w:kern w:val="0"/>
          <w:sz w:val="24"/>
          <w:szCs w:val="24"/>
        </w:rPr>
        <w:t>也自愿放弃成交资格。</w:t>
      </w:r>
    </w:p>
    <w:p>
      <w:pPr>
        <w:autoSpaceDE w:val="0"/>
        <w:autoSpaceDN w:val="0"/>
        <w:adjustRightInd w:val="0"/>
        <w:spacing w:line="360" w:lineRule="auto"/>
        <w:ind w:firstLine="480" w:firstLineChars="200"/>
        <w:jc w:val="left"/>
        <w:rPr>
          <w:rFonts w:ascii="宋体" w:hAnsi="宋体" w:cs="宋体"/>
          <w:kern w:val="0"/>
          <w:sz w:val="24"/>
          <w:szCs w:val="24"/>
        </w:rPr>
      </w:pPr>
    </w:p>
    <w:p>
      <w:pPr>
        <w:autoSpaceDE w:val="0"/>
        <w:autoSpaceDN w:val="0"/>
        <w:adjustRightInd w:val="0"/>
        <w:spacing w:line="360" w:lineRule="auto"/>
        <w:ind w:firstLine="480" w:firstLineChars="200"/>
        <w:jc w:val="left"/>
        <w:rPr>
          <w:rFonts w:ascii="宋体" w:hAnsi="宋体" w:cs="宋体"/>
          <w:kern w:val="0"/>
          <w:sz w:val="24"/>
          <w:szCs w:val="24"/>
        </w:rPr>
      </w:pPr>
    </w:p>
    <w:p>
      <w:pPr>
        <w:autoSpaceDE w:val="0"/>
        <w:autoSpaceDN w:val="0"/>
        <w:adjustRightInd w:val="0"/>
        <w:spacing w:line="360" w:lineRule="auto"/>
        <w:ind w:firstLine="480" w:firstLineChars="200"/>
        <w:jc w:val="left"/>
        <w:rPr>
          <w:rFonts w:ascii="宋体" w:hAnsi="宋体" w:cs="宋体"/>
          <w:kern w:val="0"/>
          <w:sz w:val="24"/>
          <w:szCs w:val="24"/>
        </w:rPr>
      </w:pP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法定代表人签字：</w:t>
      </w:r>
    </w:p>
    <w:p>
      <w:pPr>
        <w:autoSpaceDE w:val="0"/>
        <w:autoSpaceDN w:val="0"/>
        <w:adjustRightInd w:val="0"/>
        <w:spacing w:line="360" w:lineRule="auto"/>
        <w:ind w:firstLine="480" w:firstLineChars="200"/>
        <w:jc w:val="left"/>
        <w:rPr>
          <w:rFonts w:ascii="宋体" w:hAnsi="宋体" w:cs="宋体"/>
          <w:kern w:val="0"/>
          <w:sz w:val="24"/>
          <w:szCs w:val="24"/>
        </w:rPr>
      </w:pP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单位（公章）：</w:t>
      </w:r>
      <w:bookmarkStart w:id="243" w:name="_Toc30824"/>
      <w:bookmarkStart w:id="244" w:name="_Toc26046"/>
    </w:p>
    <w:p>
      <w:pPr>
        <w:autoSpaceDE w:val="0"/>
        <w:autoSpaceDN w:val="0"/>
        <w:adjustRightInd w:val="0"/>
        <w:spacing w:line="360" w:lineRule="auto"/>
        <w:ind w:firstLine="480" w:firstLineChars="200"/>
        <w:jc w:val="left"/>
        <w:rPr>
          <w:rFonts w:ascii="宋体" w:hAnsi="宋体" w:cs="宋体"/>
          <w:sz w:val="24"/>
          <w:szCs w:val="24"/>
        </w:rPr>
      </w:pPr>
    </w:p>
    <w:p>
      <w:pPr>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日      期：</w:t>
      </w:r>
      <w:bookmarkEnd w:id="243"/>
      <w:bookmarkEnd w:id="244"/>
    </w:p>
    <w:p>
      <w:pPr>
        <w:autoSpaceDE w:val="0"/>
        <w:autoSpaceDN w:val="0"/>
        <w:adjustRightInd w:val="0"/>
        <w:jc w:val="center"/>
        <w:rPr>
          <w:rFonts w:ascii="宋体" w:hAnsi="宋体" w:cs="宋体"/>
          <w:b/>
          <w:bCs/>
          <w:spacing w:val="2"/>
          <w:kern w:val="0"/>
          <w:sz w:val="30"/>
        </w:rPr>
      </w:pPr>
    </w:p>
    <w:p>
      <w:pPr>
        <w:pStyle w:val="6"/>
        <w:rPr>
          <w:rFonts w:ascii="宋体" w:hAnsi="宋体" w:cs="宋体"/>
          <w:bCs/>
          <w:spacing w:val="2"/>
          <w:kern w:val="0"/>
          <w:sz w:val="30"/>
        </w:rPr>
      </w:pPr>
    </w:p>
    <w:p>
      <w:pPr>
        <w:rPr>
          <w:rFonts w:ascii="宋体" w:hAnsi="宋体" w:cs="宋体"/>
          <w:b/>
          <w:bCs/>
          <w:spacing w:val="2"/>
          <w:kern w:val="0"/>
          <w:sz w:val="30"/>
        </w:rPr>
      </w:pPr>
    </w:p>
    <w:p>
      <w:pPr>
        <w:autoSpaceDE w:val="0"/>
        <w:autoSpaceDN w:val="0"/>
        <w:adjustRightInd w:val="0"/>
        <w:jc w:val="center"/>
        <w:rPr>
          <w:rFonts w:ascii="宋体" w:hAnsi="宋体" w:cs="宋体"/>
          <w:kern w:val="0"/>
          <w:position w:val="-3"/>
          <w:sz w:val="24"/>
        </w:rPr>
      </w:pPr>
    </w:p>
    <w:p>
      <w:pPr>
        <w:autoSpaceDE w:val="0"/>
        <w:autoSpaceDN w:val="0"/>
        <w:adjustRightInd w:val="0"/>
        <w:jc w:val="center"/>
        <w:rPr>
          <w:rFonts w:ascii="宋体" w:hAnsi="宋体" w:cs="宋体"/>
          <w:kern w:val="0"/>
          <w:position w:val="-3"/>
          <w:sz w:val="24"/>
        </w:rPr>
      </w:pPr>
    </w:p>
    <w:p>
      <w:pPr>
        <w:pStyle w:val="3"/>
        <w:jc w:val="left"/>
        <w:rPr>
          <w:rFonts w:ascii="宋体" w:hAnsi="宋体" w:eastAsia="宋体" w:cs="宋体"/>
          <w:b/>
          <w:bCs/>
          <w:sz w:val="32"/>
          <w:szCs w:val="32"/>
        </w:rPr>
      </w:pPr>
      <w:bookmarkStart w:id="245" w:name="_Toc596"/>
      <w:bookmarkStart w:id="246" w:name="_Toc2965"/>
      <w:bookmarkStart w:id="247" w:name="_Toc11308_WPSOffice_Level1"/>
      <w:bookmarkStart w:id="248" w:name="_Toc22251"/>
      <w:bookmarkStart w:id="249" w:name="_Toc7770"/>
      <w:bookmarkStart w:id="250" w:name="_Toc1435"/>
      <w:r>
        <w:rPr>
          <w:rFonts w:hint="eastAsia" w:ascii="宋体" w:hAnsi="宋体" w:eastAsia="宋体" w:cs="宋体"/>
          <w:b/>
          <w:bCs/>
          <w:sz w:val="32"/>
          <w:szCs w:val="32"/>
        </w:rPr>
        <w:t>（附件十三）</w:t>
      </w:r>
      <w:bookmarkEnd w:id="231"/>
      <w:bookmarkEnd w:id="245"/>
      <w:bookmarkEnd w:id="246"/>
      <w:bookmarkEnd w:id="247"/>
      <w:bookmarkEnd w:id="248"/>
      <w:bookmarkEnd w:id="249"/>
      <w:bookmarkEnd w:id="250"/>
    </w:p>
    <w:p>
      <w:pPr>
        <w:rPr>
          <w:rFonts w:ascii="宋体" w:hAnsi="宋体" w:cs="宋体"/>
        </w:rPr>
      </w:pPr>
    </w:p>
    <w:p>
      <w:pPr>
        <w:jc w:val="center"/>
        <w:rPr>
          <w:rFonts w:ascii="宋体" w:hAnsi="宋体" w:cs="宋体"/>
          <w:b/>
          <w:bCs/>
          <w:sz w:val="28"/>
          <w:szCs w:val="28"/>
        </w:rPr>
      </w:pPr>
      <w:r>
        <w:rPr>
          <w:rFonts w:hint="eastAsia" w:ascii="宋体" w:hAnsi="宋体" w:cs="宋体"/>
          <w:b/>
          <w:bCs/>
          <w:sz w:val="28"/>
          <w:szCs w:val="28"/>
        </w:rPr>
        <w:t>售后服务方案及合理化建议</w:t>
      </w:r>
    </w:p>
    <w:p>
      <w:pPr>
        <w:jc w:val="center"/>
        <w:rPr>
          <w:rFonts w:ascii="宋体" w:hAnsi="宋体" w:cs="宋体"/>
          <w:b/>
          <w:sz w:val="24"/>
          <w:szCs w:val="21"/>
        </w:rPr>
      </w:pPr>
    </w:p>
    <w:p>
      <w:pPr>
        <w:ind w:firstLine="6000" w:firstLineChars="2500"/>
        <w:rPr>
          <w:rFonts w:ascii="宋体" w:hAnsi="宋体" w:cs="宋体"/>
          <w:sz w:val="24"/>
          <w:szCs w:val="21"/>
        </w:rPr>
      </w:pPr>
    </w:p>
    <w:p>
      <w:pPr>
        <w:spacing w:line="360" w:lineRule="auto"/>
        <w:ind w:firstLine="480" w:firstLineChars="200"/>
        <w:rPr>
          <w:rFonts w:ascii="宋体" w:hAnsi="宋体" w:cs="宋体"/>
          <w:b/>
          <w:sz w:val="24"/>
          <w:szCs w:val="21"/>
        </w:rPr>
      </w:pPr>
      <w:r>
        <w:rPr>
          <w:rFonts w:hint="eastAsia" w:ascii="宋体" w:hAnsi="宋体" w:cs="宋体"/>
          <w:b/>
          <w:sz w:val="24"/>
          <w:szCs w:val="21"/>
        </w:rPr>
        <w:t>无格式要求，供应商自行拟定</w:t>
      </w:r>
    </w:p>
    <w:p>
      <w:pPr>
        <w:ind w:firstLine="6000" w:firstLineChars="2500"/>
        <w:rPr>
          <w:rFonts w:ascii="宋体" w:hAnsi="宋体" w:cs="宋体"/>
          <w:sz w:val="24"/>
          <w:szCs w:val="21"/>
        </w:rPr>
      </w:pPr>
    </w:p>
    <w:p>
      <w:pPr>
        <w:pStyle w:val="91"/>
        <w:rPr>
          <w:rFonts w:ascii="宋体" w:hAnsi="宋体" w:cs="宋体"/>
          <w:color w:val="auto"/>
          <w:sz w:val="28"/>
          <w:szCs w:val="28"/>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tabs>
          <w:tab w:val="left" w:pos="1027"/>
        </w:tabs>
        <w:jc w:val="left"/>
        <w:rPr>
          <w:rFonts w:ascii="宋体" w:hAnsi="宋体" w:cs="宋体"/>
        </w:rPr>
      </w:pPr>
      <w:r>
        <w:rPr>
          <w:rFonts w:hint="eastAsia" w:ascii="宋体" w:hAnsi="宋体" w:cs="宋体"/>
        </w:rPr>
        <w:tab/>
      </w:r>
    </w:p>
    <w:p>
      <w:pPr>
        <w:tabs>
          <w:tab w:val="left" w:pos="1027"/>
        </w:tabs>
        <w:jc w:val="left"/>
        <w:rPr>
          <w:rFonts w:ascii="宋体" w:hAnsi="宋体" w:cs="宋体"/>
        </w:rPr>
      </w:pPr>
    </w:p>
    <w:p>
      <w:pPr>
        <w:tabs>
          <w:tab w:val="left" w:pos="1027"/>
        </w:tabs>
        <w:jc w:val="left"/>
        <w:rPr>
          <w:rFonts w:ascii="宋体" w:hAnsi="宋体" w:cs="宋体"/>
        </w:rPr>
      </w:pPr>
    </w:p>
    <w:p>
      <w:pPr>
        <w:tabs>
          <w:tab w:val="left" w:pos="1027"/>
        </w:tabs>
        <w:jc w:val="left"/>
        <w:rPr>
          <w:rFonts w:ascii="宋体" w:hAnsi="宋体" w:cs="宋体"/>
        </w:rPr>
      </w:pPr>
    </w:p>
    <w:p>
      <w:pPr>
        <w:tabs>
          <w:tab w:val="left" w:pos="1027"/>
        </w:tabs>
        <w:jc w:val="left"/>
        <w:rPr>
          <w:rFonts w:ascii="宋体" w:hAnsi="宋体" w:cs="宋体"/>
        </w:rPr>
      </w:pPr>
    </w:p>
    <w:p>
      <w:pPr>
        <w:pStyle w:val="3"/>
        <w:jc w:val="left"/>
        <w:rPr>
          <w:rFonts w:ascii="宋体" w:hAnsi="宋体" w:eastAsia="宋体" w:cs="宋体"/>
          <w:b/>
          <w:bCs/>
          <w:sz w:val="32"/>
          <w:szCs w:val="32"/>
        </w:rPr>
      </w:pPr>
      <w:bookmarkStart w:id="251" w:name="_Toc2059"/>
      <w:bookmarkStart w:id="252" w:name="_Toc5678"/>
      <w:bookmarkStart w:id="253" w:name="_Toc15620"/>
      <w:bookmarkStart w:id="254" w:name="_Toc385_WPSOffice_Level1"/>
      <w:bookmarkStart w:id="255" w:name="_Toc27871"/>
      <w:bookmarkStart w:id="256" w:name="_Toc11176"/>
      <w:bookmarkStart w:id="257" w:name="_Toc3338"/>
      <w:r>
        <w:rPr>
          <w:rFonts w:hint="eastAsia" w:ascii="宋体" w:hAnsi="宋体" w:eastAsia="宋体" w:cs="宋体"/>
          <w:b/>
          <w:bCs/>
          <w:sz w:val="32"/>
          <w:szCs w:val="32"/>
        </w:rPr>
        <w:t>(附件十四）</w:t>
      </w:r>
      <w:bookmarkEnd w:id="251"/>
      <w:bookmarkEnd w:id="252"/>
      <w:bookmarkEnd w:id="253"/>
      <w:bookmarkEnd w:id="254"/>
      <w:bookmarkEnd w:id="255"/>
      <w:bookmarkEnd w:id="256"/>
      <w:bookmarkEnd w:id="257"/>
    </w:p>
    <w:p>
      <w:pPr>
        <w:jc w:val="center"/>
        <w:rPr>
          <w:rFonts w:ascii="宋体" w:hAnsi="宋体" w:cs="宋体"/>
          <w:b/>
          <w:bCs/>
          <w:sz w:val="28"/>
          <w:szCs w:val="28"/>
        </w:rPr>
      </w:pPr>
      <w:r>
        <w:rPr>
          <w:rFonts w:hint="eastAsia" w:ascii="宋体" w:hAnsi="宋体" w:cs="宋体"/>
          <w:b/>
          <w:bCs/>
          <w:sz w:val="28"/>
          <w:szCs w:val="28"/>
        </w:rPr>
        <w:t>需要提供的其他证明材料</w:t>
      </w:r>
    </w:p>
    <w:p>
      <w:pPr>
        <w:tabs>
          <w:tab w:val="left" w:pos="1027"/>
        </w:tabs>
        <w:jc w:val="left"/>
        <w:rPr>
          <w:rFonts w:ascii="宋体" w:hAnsi="宋体" w:cs="宋体"/>
        </w:rPr>
      </w:pPr>
    </w:p>
    <w:sectPr>
      <w:pgSz w:w="11906" w:h="16838"/>
      <w:pgMar w:top="1417" w:right="1418" w:bottom="1417" w:left="1418" w:header="851" w:footer="850" w:gutter="0"/>
      <w:cols w:space="0" w:num="1"/>
      <w:docGrid w:type="linesAndChars" w:linePitch="312" w:charSpace="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U-F1">
    <w:altName w:val="黑体"/>
    <w:panose1 w:val="00000000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pStyle w:val="29"/>
                </w:pPr>
                <w:r>
                  <w:fldChar w:fldCharType="begin"/>
                </w:r>
                <w:r>
                  <w:instrText xml:space="preserve"> PAGE  \* MERGEFORMAT </w:instrText>
                </w:r>
                <w:r>
                  <w:fldChar w:fldCharType="separate"/>
                </w:r>
                <w:r>
                  <w:t>31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02AE4C"/>
    <w:multiLevelType w:val="singleLevel"/>
    <w:tmpl w:val="B102AE4C"/>
    <w:lvl w:ilvl="0" w:tentative="0">
      <w:start w:val="1"/>
      <w:numFmt w:val="chineseCounting"/>
      <w:suff w:val="nothing"/>
      <w:lvlText w:val="%1、"/>
      <w:lvlJc w:val="left"/>
      <w:pPr>
        <w:ind w:left="120" w:firstLine="0"/>
      </w:pPr>
      <w:rPr>
        <w:rFonts w:hint="eastAsia"/>
      </w:rPr>
    </w:lvl>
  </w:abstractNum>
  <w:abstractNum w:abstractNumId="1">
    <w:nsid w:val="B27CEFB5"/>
    <w:multiLevelType w:val="singleLevel"/>
    <w:tmpl w:val="B27CEFB5"/>
    <w:lvl w:ilvl="0" w:tentative="0">
      <w:start w:val="2"/>
      <w:numFmt w:val="decimal"/>
      <w:suff w:val="space"/>
      <w:lvlText w:val="%1."/>
      <w:lvlJc w:val="left"/>
    </w:lvl>
  </w:abstractNum>
  <w:abstractNum w:abstractNumId="2">
    <w:nsid w:val="ED7997E0"/>
    <w:multiLevelType w:val="singleLevel"/>
    <w:tmpl w:val="ED7997E0"/>
    <w:lvl w:ilvl="0" w:tentative="0">
      <w:start w:val="1"/>
      <w:numFmt w:val="chineseCounting"/>
      <w:suff w:val="space"/>
      <w:lvlText w:val="第%1章"/>
      <w:lvlJc w:val="left"/>
      <w:rPr>
        <w:rFonts w:hint="eastAsia"/>
      </w:rPr>
    </w:lvl>
  </w:abstractNum>
  <w:abstractNum w:abstractNumId="3">
    <w:nsid w:val="EDE2E145"/>
    <w:multiLevelType w:val="singleLevel"/>
    <w:tmpl w:val="EDE2E145"/>
    <w:lvl w:ilvl="0" w:tentative="0">
      <w:start w:val="1"/>
      <w:numFmt w:val="decimal"/>
      <w:suff w:val="nothing"/>
      <w:lvlText w:val="（%1）"/>
      <w:lvlJc w:val="left"/>
    </w:lvl>
  </w:abstractNum>
  <w:abstractNum w:abstractNumId="4">
    <w:nsid w:val="64A087E6"/>
    <w:multiLevelType w:val="singleLevel"/>
    <w:tmpl w:val="64A087E6"/>
    <w:lvl w:ilvl="0" w:tentative="0">
      <w:start w:val="2"/>
      <w:numFmt w:val="decimal"/>
      <w:suff w:val="nothing"/>
      <w:lvlText w:val="%1、"/>
      <w:lvlJc w:val="left"/>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Y1NzJkNGRmN2VmZWQ4ODdlYTVjYTY4MWU0OWU4NzEifQ=="/>
  </w:docVars>
  <w:rsids>
    <w:rsidRoot w:val="00172A27"/>
    <w:rsid w:val="00002958"/>
    <w:rsid w:val="0000410D"/>
    <w:rsid w:val="000042F6"/>
    <w:rsid w:val="00007CE3"/>
    <w:rsid w:val="00007D52"/>
    <w:rsid w:val="0001428B"/>
    <w:rsid w:val="00015676"/>
    <w:rsid w:val="0001575D"/>
    <w:rsid w:val="000164C5"/>
    <w:rsid w:val="00020BBC"/>
    <w:rsid w:val="00021149"/>
    <w:rsid w:val="00023198"/>
    <w:rsid w:val="000245DA"/>
    <w:rsid w:val="00024C92"/>
    <w:rsid w:val="00025131"/>
    <w:rsid w:val="0003438C"/>
    <w:rsid w:val="00034838"/>
    <w:rsid w:val="00036D18"/>
    <w:rsid w:val="000405FA"/>
    <w:rsid w:val="00042D90"/>
    <w:rsid w:val="00043313"/>
    <w:rsid w:val="000465DD"/>
    <w:rsid w:val="00046923"/>
    <w:rsid w:val="00063AA6"/>
    <w:rsid w:val="000749FB"/>
    <w:rsid w:val="00074CFA"/>
    <w:rsid w:val="00074DBB"/>
    <w:rsid w:val="00082085"/>
    <w:rsid w:val="0008282D"/>
    <w:rsid w:val="00083114"/>
    <w:rsid w:val="00083F26"/>
    <w:rsid w:val="00084C0A"/>
    <w:rsid w:val="0008632D"/>
    <w:rsid w:val="0008747F"/>
    <w:rsid w:val="000920A6"/>
    <w:rsid w:val="0009273D"/>
    <w:rsid w:val="00092A0D"/>
    <w:rsid w:val="00094AF7"/>
    <w:rsid w:val="00095934"/>
    <w:rsid w:val="000A0CAB"/>
    <w:rsid w:val="000A32DB"/>
    <w:rsid w:val="000A61BA"/>
    <w:rsid w:val="000A64A5"/>
    <w:rsid w:val="000A6A6A"/>
    <w:rsid w:val="000A7A13"/>
    <w:rsid w:val="000B302C"/>
    <w:rsid w:val="000B422C"/>
    <w:rsid w:val="000B5D99"/>
    <w:rsid w:val="000B772E"/>
    <w:rsid w:val="000B7E11"/>
    <w:rsid w:val="000C0E24"/>
    <w:rsid w:val="000C24E3"/>
    <w:rsid w:val="000C257C"/>
    <w:rsid w:val="000C2EAA"/>
    <w:rsid w:val="000C6DAF"/>
    <w:rsid w:val="000D09B7"/>
    <w:rsid w:val="000D322A"/>
    <w:rsid w:val="000D61B9"/>
    <w:rsid w:val="000E0AFE"/>
    <w:rsid w:val="000E0C15"/>
    <w:rsid w:val="000E1E4C"/>
    <w:rsid w:val="000E3817"/>
    <w:rsid w:val="000F29A1"/>
    <w:rsid w:val="000F50B5"/>
    <w:rsid w:val="000F6FBF"/>
    <w:rsid w:val="000F7ADF"/>
    <w:rsid w:val="001027AB"/>
    <w:rsid w:val="00103B90"/>
    <w:rsid w:val="001120FA"/>
    <w:rsid w:val="00113E5B"/>
    <w:rsid w:val="001141AC"/>
    <w:rsid w:val="00117AED"/>
    <w:rsid w:val="00120412"/>
    <w:rsid w:val="00124834"/>
    <w:rsid w:val="00127434"/>
    <w:rsid w:val="0013377B"/>
    <w:rsid w:val="0014404B"/>
    <w:rsid w:val="00145F67"/>
    <w:rsid w:val="001513A3"/>
    <w:rsid w:val="00152D17"/>
    <w:rsid w:val="00153F10"/>
    <w:rsid w:val="0015628F"/>
    <w:rsid w:val="001577AB"/>
    <w:rsid w:val="001608A3"/>
    <w:rsid w:val="00162456"/>
    <w:rsid w:val="00164095"/>
    <w:rsid w:val="0016700B"/>
    <w:rsid w:val="00171A64"/>
    <w:rsid w:val="001724E7"/>
    <w:rsid w:val="00172A27"/>
    <w:rsid w:val="0017763E"/>
    <w:rsid w:val="00181BD0"/>
    <w:rsid w:val="00181C36"/>
    <w:rsid w:val="00182746"/>
    <w:rsid w:val="00182D78"/>
    <w:rsid w:val="00185787"/>
    <w:rsid w:val="00185DCE"/>
    <w:rsid w:val="00185FDF"/>
    <w:rsid w:val="00187CDD"/>
    <w:rsid w:val="00193C1B"/>
    <w:rsid w:val="001947C2"/>
    <w:rsid w:val="00195375"/>
    <w:rsid w:val="001A33C2"/>
    <w:rsid w:val="001B1C83"/>
    <w:rsid w:val="001B2A6B"/>
    <w:rsid w:val="001B3671"/>
    <w:rsid w:val="001B7153"/>
    <w:rsid w:val="001B7772"/>
    <w:rsid w:val="001D2306"/>
    <w:rsid w:val="001D7DC7"/>
    <w:rsid w:val="001E02B1"/>
    <w:rsid w:val="001E095E"/>
    <w:rsid w:val="001E340B"/>
    <w:rsid w:val="001E3B6A"/>
    <w:rsid w:val="001E4C3B"/>
    <w:rsid w:val="001E6C26"/>
    <w:rsid w:val="001E7225"/>
    <w:rsid w:val="001E7300"/>
    <w:rsid w:val="001F05C3"/>
    <w:rsid w:val="001F2E69"/>
    <w:rsid w:val="001F2FE5"/>
    <w:rsid w:val="001F3676"/>
    <w:rsid w:val="001F3DC6"/>
    <w:rsid w:val="001F6FD8"/>
    <w:rsid w:val="002006EA"/>
    <w:rsid w:val="002020EE"/>
    <w:rsid w:val="00206A0F"/>
    <w:rsid w:val="00207843"/>
    <w:rsid w:val="00210642"/>
    <w:rsid w:val="00213A87"/>
    <w:rsid w:val="00213E21"/>
    <w:rsid w:val="0021591D"/>
    <w:rsid w:val="00215A4B"/>
    <w:rsid w:val="002166FD"/>
    <w:rsid w:val="0022016C"/>
    <w:rsid w:val="00221A9C"/>
    <w:rsid w:val="00222AF6"/>
    <w:rsid w:val="002244CA"/>
    <w:rsid w:val="0022567D"/>
    <w:rsid w:val="00230E79"/>
    <w:rsid w:val="00232FC0"/>
    <w:rsid w:val="00233544"/>
    <w:rsid w:val="00233D47"/>
    <w:rsid w:val="0023501A"/>
    <w:rsid w:val="002528CF"/>
    <w:rsid w:val="002529A1"/>
    <w:rsid w:val="002536D0"/>
    <w:rsid w:val="0025624E"/>
    <w:rsid w:val="00260007"/>
    <w:rsid w:val="00263777"/>
    <w:rsid w:val="0026643E"/>
    <w:rsid w:val="002715DA"/>
    <w:rsid w:val="00271660"/>
    <w:rsid w:val="00276272"/>
    <w:rsid w:val="00282BD6"/>
    <w:rsid w:val="002838A3"/>
    <w:rsid w:val="0028398C"/>
    <w:rsid w:val="00284151"/>
    <w:rsid w:val="00284B15"/>
    <w:rsid w:val="00284FFA"/>
    <w:rsid w:val="00290C67"/>
    <w:rsid w:val="00295F8C"/>
    <w:rsid w:val="002A0DA4"/>
    <w:rsid w:val="002A1BAB"/>
    <w:rsid w:val="002A2898"/>
    <w:rsid w:val="002A3B32"/>
    <w:rsid w:val="002A5540"/>
    <w:rsid w:val="002A7458"/>
    <w:rsid w:val="002A76C6"/>
    <w:rsid w:val="002A7A07"/>
    <w:rsid w:val="002A7EE3"/>
    <w:rsid w:val="002B12D6"/>
    <w:rsid w:val="002B4824"/>
    <w:rsid w:val="002C0610"/>
    <w:rsid w:val="002C7F21"/>
    <w:rsid w:val="002D037D"/>
    <w:rsid w:val="002D07D0"/>
    <w:rsid w:val="002D3204"/>
    <w:rsid w:val="002D443F"/>
    <w:rsid w:val="002D6424"/>
    <w:rsid w:val="002E0100"/>
    <w:rsid w:val="002E218C"/>
    <w:rsid w:val="002E3019"/>
    <w:rsid w:val="002E70C2"/>
    <w:rsid w:val="002E7C57"/>
    <w:rsid w:val="002F2DDE"/>
    <w:rsid w:val="002F3FE4"/>
    <w:rsid w:val="002F744F"/>
    <w:rsid w:val="002F7C03"/>
    <w:rsid w:val="0030008B"/>
    <w:rsid w:val="00301266"/>
    <w:rsid w:val="00301FC2"/>
    <w:rsid w:val="00304B12"/>
    <w:rsid w:val="00311717"/>
    <w:rsid w:val="00314C51"/>
    <w:rsid w:val="00315823"/>
    <w:rsid w:val="00316FEF"/>
    <w:rsid w:val="003202EE"/>
    <w:rsid w:val="00320BB5"/>
    <w:rsid w:val="00321199"/>
    <w:rsid w:val="0032230A"/>
    <w:rsid w:val="0032431D"/>
    <w:rsid w:val="003246E7"/>
    <w:rsid w:val="00337C17"/>
    <w:rsid w:val="00340702"/>
    <w:rsid w:val="00343885"/>
    <w:rsid w:val="00343BE0"/>
    <w:rsid w:val="00353BD6"/>
    <w:rsid w:val="00360DDF"/>
    <w:rsid w:val="003648EB"/>
    <w:rsid w:val="00364DF6"/>
    <w:rsid w:val="003662BF"/>
    <w:rsid w:val="003746CF"/>
    <w:rsid w:val="00377FD1"/>
    <w:rsid w:val="00380C6C"/>
    <w:rsid w:val="003842C1"/>
    <w:rsid w:val="00385F32"/>
    <w:rsid w:val="003973BE"/>
    <w:rsid w:val="003976FC"/>
    <w:rsid w:val="003A2818"/>
    <w:rsid w:val="003A6325"/>
    <w:rsid w:val="003A65C6"/>
    <w:rsid w:val="003B4CCF"/>
    <w:rsid w:val="003C10C4"/>
    <w:rsid w:val="003C19A1"/>
    <w:rsid w:val="003C47AA"/>
    <w:rsid w:val="003D1FAD"/>
    <w:rsid w:val="003D3258"/>
    <w:rsid w:val="003D37EF"/>
    <w:rsid w:val="003D7C10"/>
    <w:rsid w:val="003D7D91"/>
    <w:rsid w:val="003E082F"/>
    <w:rsid w:val="003E2283"/>
    <w:rsid w:val="003E3345"/>
    <w:rsid w:val="003E54C2"/>
    <w:rsid w:val="003E68FB"/>
    <w:rsid w:val="003E6CAB"/>
    <w:rsid w:val="003E7141"/>
    <w:rsid w:val="003F13BB"/>
    <w:rsid w:val="003F6C62"/>
    <w:rsid w:val="00402216"/>
    <w:rsid w:val="00405F7E"/>
    <w:rsid w:val="00406EDE"/>
    <w:rsid w:val="00407155"/>
    <w:rsid w:val="00407308"/>
    <w:rsid w:val="00411E33"/>
    <w:rsid w:val="004127FB"/>
    <w:rsid w:val="00412DE5"/>
    <w:rsid w:val="00413B0E"/>
    <w:rsid w:val="00415038"/>
    <w:rsid w:val="00416E0A"/>
    <w:rsid w:val="004170D4"/>
    <w:rsid w:val="0042256D"/>
    <w:rsid w:val="0042365A"/>
    <w:rsid w:val="00423AD4"/>
    <w:rsid w:val="00424084"/>
    <w:rsid w:val="00424C7D"/>
    <w:rsid w:val="00425A35"/>
    <w:rsid w:val="00425B1A"/>
    <w:rsid w:val="004262EE"/>
    <w:rsid w:val="00430BC9"/>
    <w:rsid w:val="00432117"/>
    <w:rsid w:val="0043225A"/>
    <w:rsid w:val="00432721"/>
    <w:rsid w:val="00432B43"/>
    <w:rsid w:val="00435A0E"/>
    <w:rsid w:val="0043710D"/>
    <w:rsid w:val="004408AE"/>
    <w:rsid w:val="00441D83"/>
    <w:rsid w:val="004449B5"/>
    <w:rsid w:val="00445107"/>
    <w:rsid w:val="0045001C"/>
    <w:rsid w:val="004513BB"/>
    <w:rsid w:val="004514AD"/>
    <w:rsid w:val="00453CB1"/>
    <w:rsid w:val="004565A9"/>
    <w:rsid w:val="004724EA"/>
    <w:rsid w:val="00472863"/>
    <w:rsid w:val="00475D44"/>
    <w:rsid w:val="004816CB"/>
    <w:rsid w:val="00482C3C"/>
    <w:rsid w:val="00483A2D"/>
    <w:rsid w:val="00483B56"/>
    <w:rsid w:val="00491888"/>
    <w:rsid w:val="004927A0"/>
    <w:rsid w:val="00492D10"/>
    <w:rsid w:val="0049348C"/>
    <w:rsid w:val="00494483"/>
    <w:rsid w:val="00495B77"/>
    <w:rsid w:val="00495D3F"/>
    <w:rsid w:val="004961E5"/>
    <w:rsid w:val="004A002E"/>
    <w:rsid w:val="004A489F"/>
    <w:rsid w:val="004A49FD"/>
    <w:rsid w:val="004B018F"/>
    <w:rsid w:val="004B0EDB"/>
    <w:rsid w:val="004B1995"/>
    <w:rsid w:val="004B6FDC"/>
    <w:rsid w:val="004C2B0C"/>
    <w:rsid w:val="004C3EFB"/>
    <w:rsid w:val="004D102B"/>
    <w:rsid w:val="004D11C8"/>
    <w:rsid w:val="004D18A4"/>
    <w:rsid w:val="004D1EE8"/>
    <w:rsid w:val="004D47A9"/>
    <w:rsid w:val="004D5A53"/>
    <w:rsid w:val="004F4A65"/>
    <w:rsid w:val="004F4F57"/>
    <w:rsid w:val="004F64B9"/>
    <w:rsid w:val="00505211"/>
    <w:rsid w:val="0050785B"/>
    <w:rsid w:val="00513BFD"/>
    <w:rsid w:val="00514340"/>
    <w:rsid w:val="0052039E"/>
    <w:rsid w:val="005204A4"/>
    <w:rsid w:val="0052140B"/>
    <w:rsid w:val="00522AD3"/>
    <w:rsid w:val="00523D98"/>
    <w:rsid w:val="0052484C"/>
    <w:rsid w:val="005249EF"/>
    <w:rsid w:val="00525488"/>
    <w:rsid w:val="0052732F"/>
    <w:rsid w:val="005277C0"/>
    <w:rsid w:val="0053134E"/>
    <w:rsid w:val="005326D9"/>
    <w:rsid w:val="00543D3D"/>
    <w:rsid w:val="00547576"/>
    <w:rsid w:val="00550A15"/>
    <w:rsid w:val="00550CFF"/>
    <w:rsid w:val="00554F42"/>
    <w:rsid w:val="00555B85"/>
    <w:rsid w:val="00560388"/>
    <w:rsid w:val="00560EA2"/>
    <w:rsid w:val="0056297C"/>
    <w:rsid w:val="00564E89"/>
    <w:rsid w:val="00566DA0"/>
    <w:rsid w:val="00570279"/>
    <w:rsid w:val="005715CB"/>
    <w:rsid w:val="005723C3"/>
    <w:rsid w:val="00576024"/>
    <w:rsid w:val="005765D9"/>
    <w:rsid w:val="0059060E"/>
    <w:rsid w:val="0059062E"/>
    <w:rsid w:val="005907DC"/>
    <w:rsid w:val="00592FF5"/>
    <w:rsid w:val="0059584A"/>
    <w:rsid w:val="005963C3"/>
    <w:rsid w:val="00596A2C"/>
    <w:rsid w:val="0059719C"/>
    <w:rsid w:val="005A0990"/>
    <w:rsid w:val="005A19FA"/>
    <w:rsid w:val="005A2423"/>
    <w:rsid w:val="005A384C"/>
    <w:rsid w:val="005A4A72"/>
    <w:rsid w:val="005A5B6C"/>
    <w:rsid w:val="005A7679"/>
    <w:rsid w:val="005B0A35"/>
    <w:rsid w:val="005B1104"/>
    <w:rsid w:val="005B2354"/>
    <w:rsid w:val="005B2616"/>
    <w:rsid w:val="005C0AFE"/>
    <w:rsid w:val="005C7F97"/>
    <w:rsid w:val="005D5667"/>
    <w:rsid w:val="005D6DD0"/>
    <w:rsid w:val="005E43F3"/>
    <w:rsid w:val="005F5D0C"/>
    <w:rsid w:val="005F6D56"/>
    <w:rsid w:val="00600F89"/>
    <w:rsid w:val="00601596"/>
    <w:rsid w:val="00603CEF"/>
    <w:rsid w:val="00604351"/>
    <w:rsid w:val="00607102"/>
    <w:rsid w:val="0060784B"/>
    <w:rsid w:val="00607C31"/>
    <w:rsid w:val="006139D8"/>
    <w:rsid w:val="00620A37"/>
    <w:rsid w:val="00620B6E"/>
    <w:rsid w:val="00622AC8"/>
    <w:rsid w:val="00623135"/>
    <w:rsid w:val="006257E8"/>
    <w:rsid w:val="006335BD"/>
    <w:rsid w:val="0063652D"/>
    <w:rsid w:val="00636AE0"/>
    <w:rsid w:val="0063706C"/>
    <w:rsid w:val="00641AF0"/>
    <w:rsid w:val="00643E91"/>
    <w:rsid w:val="00644792"/>
    <w:rsid w:val="00647377"/>
    <w:rsid w:val="00647948"/>
    <w:rsid w:val="006637E2"/>
    <w:rsid w:val="006654CE"/>
    <w:rsid w:val="00666936"/>
    <w:rsid w:val="00666EB8"/>
    <w:rsid w:val="00670293"/>
    <w:rsid w:val="00671D45"/>
    <w:rsid w:val="00680408"/>
    <w:rsid w:val="006841B0"/>
    <w:rsid w:val="00684C13"/>
    <w:rsid w:val="00684D7B"/>
    <w:rsid w:val="00685B64"/>
    <w:rsid w:val="006866CC"/>
    <w:rsid w:val="0069201A"/>
    <w:rsid w:val="00694F8C"/>
    <w:rsid w:val="0069689C"/>
    <w:rsid w:val="006975E4"/>
    <w:rsid w:val="006A13AF"/>
    <w:rsid w:val="006A3DDD"/>
    <w:rsid w:val="006A775C"/>
    <w:rsid w:val="006B0392"/>
    <w:rsid w:val="006B13FD"/>
    <w:rsid w:val="006B1719"/>
    <w:rsid w:val="006B4184"/>
    <w:rsid w:val="006B498A"/>
    <w:rsid w:val="006B58E7"/>
    <w:rsid w:val="006B6090"/>
    <w:rsid w:val="006B6B2F"/>
    <w:rsid w:val="006C019C"/>
    <w:rsid w:val="006C3EF3"/>
    <w:rsid w:val="006C4445"/>
    <w:rsid w:val="006C54D0"/>
    <w:rsid w:val="006C5B29"/>
    <w:rsid w:val="006C767A"/>
    <w:rsid w:val="006D1519"/>
    <w:rsid w:val="006D5FCC"/>
    <w:rsid w:val="006E1497"/>
    <w:rsid w:val="006E7052"/>
    <w:rsid w:val="006F0F52"/>
    <w:rsid w:val="006F345A"/>
    <w:rsid w:val="006F47C6"/>
    <w:rsid w:val="006F534D"/>
    <w:rsid w:val="006F6135"/>
    <w:rsid w:val="006F7C2A"/>
    <w:rsid w:val="006F7C4A"/>
    <w:rsid w:val="007011E5"/>
    <w:rsid w:val="007026DB"/>
    <w:rsid w:val="00702924"/>
    <w:rsid w:val="00704BE4"/>
    <w:rsid w:val="00705ACB"/>
    <w:rsid w:val="007066CE"/>
    <w:rsid w:val="00707C19"/>
    <w:rsid w:val="0071057E"/>
    <w:rsid w:val="00713E92"/>
    <w:rsid w:val="007200F1"/>
    <w:rsid w:val="00721AB1"/>
    <w:rsid w:val="0072458B"/>
    <w:rsid w:val="007262AA"/>
    <w:rsid w:val="00727842"/>
    <w:rsid w:val="00731D6A"/>
    <w:rsid w:val="00734DA5"/>
    <w:rsid w:val="00740C8D"/>
    <w:rsid w:val="007453AE"/>
    <w:rsid w:val="00745C76"/>
    <w:rsid w:val="007467D2"/>
    <w:rsid w:val="007500BE"/>
    <w:rsid w:val="0075154E"/>
    <w:rsid w:val="0075230D"/>
    <w:rsid w:val="00752E69"/>
    <w:rsid w:val="007542C6"/>
    <w:rsid w:val="007560F5"/>
    <w:rsid w:val="00756860"/>
    <w:rsid w:val="00757496"/>
    <w:rsid w:val="00767B9E"/>
    <w:rsid w:val="00770CEE"/>
    <w:rsid w:val="007736F6"/>
    <w:rsid w:val="00780679"/>
    <w:rsid w:val="007837B7"/>
    <w:rsid w:val="0078380A"/>
    <w:rsid w:val="007841E0"/>
    <w:rsid w:val="00784F30"/>
    <w:rsid w:val="00787D2D"/>
    <w:rsid w:val="00790F39"/>
    <w:rsid w:val="00791553"/>
    <w:rsid w:val="0079392E"/>
    <w:rsid w:val="007A05B0"/>
    <w:rsid w:val="007A1E9F"/>
    <w:rsid w:val="007A28F8"/>
    <w:rsid w:val="007A321C"/>
    <w:rsid w:val="007A394A"/>
    <w:rsid w:val="007A759D"/>
    <w:rsid w:val="007B4204"/>
    <w:rsid w:val="007B4F7F"/>
    <w:rsid w:val="007B5E38"/>
    <w:rsid w:val="007C0375"/>
    <w:rsid w:val="007C0610"/>
    <w:rsid w:val="007C28DA"/>
    <w:rsid w:val="007C2DD5"/>
    <w:rsid w:val="007C58F0"/>
    <w:rsid w:val="007D2619"/>
    <w:rsid w:val="007D5520"/>
    <w:rsid w:val="007D7B8D"/>
    <w:rsid w:val="007E03EE"/>
    <w:rsid w:val="007E16D9"/>
    <w:rsid w:val="007F13E1"/>
    <w:rsid w:val="007F3982"/>
    <w:rsid w:val="007F3C30"/>
    <w:rsid w:val="007F4C31"/>
    <w:rsid w:val="007F4CE4"/>
    <w:rsid w:val="007F77EB"/>
    <w:rsid w:val="007F79DF"/>
    <w:rsid w:val="00801240"/>
    <w:rsid w:val="00804759"/>
    <w:rsid w:val="00810F2C"/>
    <w:rsid w:val="00813722"/>
    <w:rsid w:val="00814A80"/>
    <w:rsid w:val="00816826"/>
    <w:rsid w:val="008170CE"/>
    <w:rsid w:val="00820EEF"/>
    <w:rsid w:val="00824912"/>
    <w:rsid w:val="008254B5"/>
    <w:rsid w:val="00830668"/>
    <w:rsid w:val="00837837"/>
    <w:rsid w:val="00843716"/>
    <w:rsid w:val="00843E22"/>
    <w:rsid w:val="00844DD9"/>
    <w:rsid w:val="0084538A"/>
    <w:rsid w:val="00846D08"/>
    <w:rsid w:val="00852B1B"/>
    <w:rsid w:val="008553CB"/>
    <w:rsid w:val="00855E5B"/>
    <w:rsid w:val="00857006"/>
    <w:rsid w:val="00857B79"/>
    <w:rsid w:val="008664CF"/>
    <w:rsid w:val="0086787A"/>
    <w:rsid w:val="008723FF"/>
    <w:rsid w:val="00872C5B"/>
    <w:rsid w:val="00873775"/>
    <w:rsid w:val="0087627E"/>
    <w:rsid w:val="0087691D"/>
    <w:rsid w:val="00877FA3"/>
    <w:rsid w:val="00882028"/>
    <w:rsid w:val="00886341"/>
    <w:rsid w:val="008875FA"/>
    <w:rsid w:val="0089102F"/>
    <w:rsid w:val="00893F50"/>
    <w:rsid w:val="0089530C"/>
    <w:rsid w:val="00897428"/>
    <w:rsid w:val="008A0554"/>
    <w:rsid w:val="008A4703"/>
    <w:rsid w:val="008A76AE"/>
    <w:rsid w:val="008B22AA"/>
    <w:rsid w:val="008B2D9E"/>
    <w:rsid w:val="008B67BC"/>
    <w:rsid w:val="008B78AF"/>
    <w:rsid w:val="008B7B29"/>
    <w:rsid w:val="008B7BE1"/>
    <w:rsid w:val="008C16CC"/>
    <w:rsid w:val="008C4292"/>
    <w:rsid w:val="008C4410"/>
    <w:rsid w:val="008C5BF6"/>
    <w:rsid w:val="008C6279"/>
    <w:rsid w:val="008D0491"/>
    <w:rsid w:val="008D06DC"/>
    <w:rsid w:val="008D1129"/>
    <w:rsid w:val="008D7750"/>
    <w:rsid w:val="008E19CB"/>
    <w:rsid w:val="008E1CE8"/>
    <w:rsid w:val="008E21D8"/>
    <w:rsid w:val="008E228B"/>
    <w:rsid w:val="008E398C"/>
    <w:rsid w:val="008E49C2"/>
    <w:rsid w:val="008E50B1"/>
    <w:rsid w:val="008E5C34"/>
    <w:rsid w:val="008E62DF"/>
    <w:rsid w:val="008E7C39"/>
    <w:rsid w:val="008F1E89"/>
    <w:rsid w:val="008F61E4"/>
    <w:rsid w:val="008F724A"/>
    <w:rsid w:val="009000FE"/>
    <w:rsid w:val="0090145A"/>
    <w:rsid w:val="00903F1F"/>
    <w:rsid w:val="00904AE0"/>
    <w:rsid w:val="00906130"/>
    <w:rsid w:val="00916377"/>
    <w:rsid w:val="00921901"/>
    <w:rsid w:val="0092248D"/>
    <w:rsid w:val="009236B1"/>
    <w:rsid w:val="0092570C"/>
    <w:rsid w:val="0092582A"/>
    <w:rsid w:val="009266CF"/>
    <w:rsid w:val="00930B24"/>
    <w:rsid w:val="009326B0"/>
    <w:rsid w:val="00937D91"/>
    <w:rsid w:val="00941512"/>
    <w:rsid w:val="009449F7"/>
    <w:rsid w:val="00945152"/>
    <w:rsid w:val="00945F04"/>
    <w:rsid w:val="009463D8"/>
    <w:rsid w:val="009548B0"/>
    <w:rsid w:val="009550EA"/>
    <w:rsid w:val="009566F7"/>
    <w:rsid w:val="00961267"/>
    <w:rsid w:val="009621E9"/>
    <w:rsid w:val="009643D2"/>
    <w:rsid w:val="00966329"/>
    <w:rsid w:val="00967280"/>
    <w:rsid w:val="00972303"/>
    <w:rsid w:val="00974EBD"/>
    <w:rsid w:val="00975C9F"/>
    <w:rsid w:val="00976084"/>
    <w:rsid w:val="00984E9F"/>
    <w:rsid w:val="00987521"/>
    <w:rsid w:val="00992F46"/>
    <w:rsid w:val="00994CDA"/>
    <w:rsid w:val="00994E0A"/>
    <w:rsid w:val="00996560"/>
    <w:rsid w:val="00996C68"/>
    <w:rsid w:val="009A0C38"/>
    <w:rsid w:val="009A17AC"/>
    <w:rsid w:val="009A1B98"/>
    <w:rsid w:val="009A2296"/>
    <w:rsid w:val="009A2D92"/>
    <w:rsid w:val="009A2DFE"/>
    <w:rsid w:val="009A432A"/>
    <w:rsid w:val="009A48B8"/>
    <w:rsid w:val="009A6F48"/>
    <w:rsid w:val="009B1A25"/>
    <w:rsid w:val="009B4FE6"/>
    <w:rsid w:val="009B5C8C"/>
    <w:rsid w:val="009B61E1"/>
    <w:rsid w:val="009B6711"/>
    <w:rsid w:val="009B7FEC"/>
    <w:rsid w:val="009C1730"/>
    <w:rsid w:val="009C30E7"/>
    <w:rsid w:val="009D1F14"/>
    <w:rsid w:val="009D2C85"/>
    <w:rsid w:val="009D30C3"/>
    <w:rsid w:val="009D42FD"/>
    <w:rsid w:val="009D4669"/>
    <w:rsid w:val="009D57F3"/>
    <w:rsid w:val="009D64D2"/>
    <w:rsid w:val="009E0167"/>
    <w:rsid w:val="009E0A5E"/>
    <w:rsid w:val="009E1E51"/>
    <w:rsid w:val="009E2088"/>
    <w:rsid w:val="009E339C"/>
    <w:rsid w:val="009E37A4"/>
    <w:rsid w:val="009E49AD"/>
    <w:rsid w:val="009E6FFE"/>
    <w:rsid w:val="009F11D5"/>
    <w:rsid w:val="009F1BA4"/>
    <w:rsid w:val="00A0257E"/>
    <w:rsid w:val="00A02774"/>
    <w:rsid w:val="00A02C5C"/>
    <w:rsid w:val="00A05023"/>
    <w:rsid w:val="00A064F0"/>
    <w:rsid w:val="00A10928"/>
    <w:rsid w:val="00A128EB"/>
    <w:rsid w:val="00A13285"/>
    <w:rsid w:val="00A212B4"/>
    <w:rsid w:val="00A21FDE"/>
    <w:rsid w:val="00A22374"/>
    <w:rsid w:val="00A250B0"/>
    <w:rsid w:val="00A26671"/>
    <w:rsid w:val="00A27268"/>
    <w:rsid w:val="00A313E3"/>
    <w:rsid w:val="00A31C54"/>
    <w:rsid w:val="00A33B95"/>
    <w:rsid w:val="00A414B2"/>
    <w:rsid w:val="00A45DD8"/>
    <w:rsid w:val="00A470F3"/>
    <w:rsid w:val="00A55B2D"/>
    <w:rsid w:val="00A579CF"/>
    <w:rsid w:val="00A622EA"/>
    <w:rsid w:val="00A62855"/>
    <w:rsid w:val="00A63D48"/>
    <w:rsid w:val="00A660C9"/>
    <w:rsid w:val="00A66378"/>
    <w:rsid w:val="00A71415"/>
    <w:rsid w:val="00A771A9"/>
    <w:rsid w:val="00A84D99"/>
    <w:rsid w:val="00A8620C"/>
    <w:rsid w:val="00A86645"/>
    <w:rsid w:val="00A9061C"/>
    <w:rsid w:val="00A91EDA"/>
    <w:rsid w:val="00A979EF"/>
    <w:rsid w:val="00A97C1C"/>
    <w:rsid w:val="00AA29E2"/>
    <w:rsid w:val="00AB0BAB"/>
    <w:rsid w:val="00AB3429"/>
    <w:rsid w:val="00AB53EB"/>
    <w:rsid w:val="00AB5C80"/>
    <w:rsid w:val="00AB699E"/>
    <w:rsid w:val="00AC0190"/>
    <w:rsid w:val="00AC1036"/>
    <w:rsid w:val="00AC3FE6"/>
    <w:rsid w:val="00AC444A"/>
    <w:rsid w:val="00AC4761"/>
    <w:rsid w:val="00AC4982"/>
    <w:rsid w:val="00AC5B65"/>
    <w:rsid w:val="00AC7036"/>
    <w:rsid w:val="00AD1838"/>
    <w:rsid w:val="00AD21F5"/>
    <w:rsid w:val="00AD3FF5"/>
    <w:rsid w:val="00AD7A1A"/>
    <w:rsid w:val="00AE05CB"/>
    <w:rsid w:val="00AF05C4"/>
    <w:rsid w:val="00AF0962"/>
    <w:rsid w:val="00AF1032"/>
    <w:rsid w:val="00AF19B7"/>
    <w:rsid w:val="00AF40FE"/>
    <w:rsid w:val="00AF6D47"/>
    <w:rsid w:val="00AF785C"/>
    <w:rsid w:val="00B002BF"/>
    <w:rsid w:val="00B013CE"/>
    <w:rsid w:val="00B02643"/>
    <w:rsid w:val="00B0496C"/>
    <w:rsid w:val="00B059AB"/>
    <w:rsid w:val="00B101C8"/>
    <w:rsid w:val="00B1079D"/>
    <w:rsid w:val="00B10B89"/>
    <w:rsid w:val="00B11666"/>
    <w:rsid w:val="00B13E1E"/>
    <w:rsid w:val="00B13FA2"/>
    <w:rsid w:val="00B14BC7"/>
    <w:rsid w:val="00B1598F"/>
    <w:rsid w:val="00B1616E"/>
    <w:rsid w:val="00B1771C"/>
    <w:rsid w:val="00B17D91"/>
    <w:rsid w:val="00B20BDA"/>
    <w:rsid w:val="00B219B8"/>
    <w:rsid w:val="00B23191"/>
    <w:rsid w:val="00B238BE"/>
    <w:rsid w:val="00B26808"/>
    <w:rsid w:val="00B26947"/>
    <w:rsid w:val="00B2771B"/>
    <w:rsid w:val="00B305DF"/>
    <w:rsid w:val="00B3105A"/>
    <w:rsid w:val="00B326D3"/>
    <w:rsid w:val="00B3525C"/>
    <w:rsid w:val="00B356AD"/>
    <w:rsid w:val="00B35723"/>
    <w:rsid w:val="00B36B0D"/>
    <w:rsid w:val="00B42A67"/>
    <w:rsid w:val="00B42D20"/>
    <w:rsid w:val="00B450EF"/>
    <w:rsid w:val="00B458BC"/>
    <w:rsid w:val="00B52151"/>
    <w:rsid w:val="00B53A7E"/>
    <w:rsid w:val="00B574B7"/>
    <w:rsid w:val="00B60257"/>
    <w:rsid w:val="00B60B6A"/>
    <w:rsid w:val="00B615D6"/>
    <w:rsid w:val="00B62900"/>
    <w:rsid w:val="00B651A7"/>
    <w:rsid w:val="00B709DD"/>
    <w:rsid w:val="00B811BE"/>
    <w:rsid w:val="00B8181C"/>
    <w:rsid w:val="00B81AF4"/>
    <w:rsid w:val="00B831CB"/>
    <w:rsid w:val="00B85BCF"/>
    <w:rsid w:val="00B90B7A"/>
    <w:rsid w:val="00B93E0B"/>
    <w:rsid w:val="00B94882"/>
    <w:rsid w:val="00B9516C"/>
    <w:rsid w:val="00B9542C"/>
    <w:rsid w:val="00B9636D"/>
    <w:rsid w:val="00B9706C"/>
    <w:rsid w:val="00BA2993"/>
    <w:rsid w:val="00BA4351"/>
    <w:rsid w:val="00BB0C10"/>
    <w:rsid w:val="00BB1888"/>
    <w:rsid w:val="00BB4D14"/>
    <w:rsid w:val="00BB54E4"/>
    <w:rsid w:val="00BC3BC1"/>
    <w:rsid w:val="00BC51E1"/>
    <w:rsid w:val="00BC5B7D"/>
    <w:rsid w:val="00BD121E"/>
    <w:rsid w:val="00BD2F3F"/>
    <w:rsid w:val="00BE030A"/>
    <w:rsid w:val="00BE0596"/>
    <w:rsid w:val="00BE2AB2"/>
    <w:rsid w:val="00BE48C9"/>
    <w:rsid w:val="00BE55D0"/>
    <w:rsid w:val="00BF3447"/>
    <w:rsid w:val="00C037CC"/>
    <w:rsid w:val="00C03D15"/>
    <w:rsid w:val="00C05514"/>
    <w:rsid w:val="00C107E5"/>
    <w:rsid w:val="00C1141F"/>
    <w:rsid w:val="00C12305"/>
    <w:rsid w:val="00C143B8"/>
    <w:rsid w:val="00C151E7"/>
    <w:rsid w:val="00C16720"/>
    <w:rsid w:val="00C17051"/>
    <w:rsid w:val="00C1745C"/>
    <w:rsid w:val="00C204CA"/>
    <w:rsid w:val="00C217FF"/>
    <w:rsid w:val="00C218B4"/>
    <w:rsid w:val="00C2217A"/>
    <w:rsid w:val="00C22A2C"/>
    <w:rsid w:val="00C267FC"/>
    <w:rsid w:val="00C26B25"/>
    <w:rsid w:val="00C26D42"/>
    <w:rsid w:val="00C26E72"/>
    <w:rsid w:val="00C3051E"/>
    <w:rsid w:val="00C3192B"/>
    <w:rsid w:val="00C33550"/>
    <w:rsid w:val="00C34E87"/>
    <w:rsid w:val="00C40AFC"/>
    <w:rsid w:val="00C420DF"/>
    <w:rsid w:val="00C42111"/>
    <w:rsid w:val="00C42E1F"/>
    <w:rsid w:val="00C52B03"/>
    <w:rsid w:val="00C53D3C"/>
    <w:rsid w:val="00C54EE7"/>
    <w:rsid w:val="00C61AD0"/>
    <w:rsid w:val="00C620DD"/>
    <w:rsid w:val="00C62743"/>
    <w:rsid w:val="00C62F75"/>
    <w:rsid w:val="00C6360A"/>
    <w:rsid w:val="00C64D61"/>
    <w:rsid w:val="00C66896"/>
    <w:rsid w:val="00C66CA9"/>
    <w:rsid w:val="00C7058F"/>
    <w:rsid w:val="00C71DBF"/>
    <w:rsid w:val="00C77551"/>
    <w:rsid w:val="00C776BC"/>
    <w:rsid w:val="00C82252"/>
    <w:rsid w:val="00C825BB"/>
    <w:rsid w:val="00C8533E"/>
    <w:rsid w:val="00C91880"/>
    <w:rsid w:val="00C91892"/>
    <w:rsid w:val="00C95DAC"/>
    <w:rsid w:val="00C969F4"/>
    <w:rsid w:val="00C97A7F"/>
    <w:rsid w:val="00C97EAE"/>
    <w:rsid w:val="00CA092F"/>
    <w:rsid w:val="00CA12E6"/>
    <w:rsid w:val="00CA234D"/>
    <w:rsid w:val="00CA2E37"/>
    <w:rsid w:val="00CA5E14"/>
    <w:rsid w:val="00CB0474"/>
    <w:rsid w:val="00CB2253"/>
    <w:rsid w:val="00CB6228"/>
    <w:rsid w:val="00CB6BD0"/>
    <w:rsid w:val="00CB755F"/>
    <w:rsid w:val="00CC3CC8"/>
    <w:rsid w:val="00CC4841"/>
    <w:rsid w:val="00CC62AA"/>
    <w:rsid w:val="00CD053C"/>
    <w:rsid w:val="00CD19BC"/>
    <w:rsid w:val="00CD44AF"/>
    <w:rsid w:val="00CE2B09"/>
    <w:rsid w:val="00CE3149"/>
    <w:rsid w:val="00CE6CCA"/>
    <w:rsid w:val="00CE7BAE"/>
    <w:rsid w:val="00CE7F9D"/>
    <w:rsid w:val="00CF0EAE"/>
    <w:rsid w:val="00CF22A8"/>
    <w:rsid w:val="00CF2DA6"/>
    <w:rsid w:val="00CF4D62"/>
    <w:rsid w:val="00D00CF9"/>
    <w:rsid w:val="00D0106F"/>
    <w:rsid w:val="00D01B8A"/>
    <w:rsid w:val="00D0751D"/>
    <w:rsid w:val="00D12260"/>
    <w:rsid w:val="00D15425"/>
    <w:rsid w:val="00D16E24"/>
    <w:rsid w:val="00D176A1"/>
    <w:rsid w:val="00D2194D"/>
    <w:rsid w:val="00D22F1F"/>
    <w:rsid w:val="00D23C82"/>
    <w:rsid w:val="00D261C7"/>
    <w:rsid w:val="00D26A95"/>
    <w:rsid w:val="00D2741A"/>
    <w:rsid w:val="00D27BBB"/>
    <w:rsid w:val="00D31123"/>
    <w:rsid w:val="00D3493B"/>
    <w:rsid w:val="00D37A6B"/>
    <w:rsid w:val="00D407D8"/>
    <w:rsid w:val="00D45E3D"/>
    <w:rsid w:val="00D46F47"/>
    <w:rsid w:val="00D4731E"/>
    <w:rsid w:val="00D50E40"/>
    <w:rsid w:val="00D50E4E"/>
    <w:rsid w:val="00D66756"/>
    <w:rsid w:val="00D67588"/>
    <w:rsid w:val="00D7089C"/>
    <w:rsid w:val="00D72D75"/>
    <w:rsid w:val="00D74D13"/>
    <w:rsid w:val="00D77537"/>
    <w:rsid w:val="00D81E0E"/>
    <w:rsid w:val="00D82468"/>
    <w:rsid w:val="00D831E9"/>
    <w:rsid w:val="00D848E6"/>
    <w:rsid w:val="00D86717"/>
    <w:rsid w:val="00D8733D"/>
    <w:rsid w:val="00D91BB0"/>
    <w:rsid w:val="00D92C75"/>
    <w:rsid w:val="00D92FEC"/>
    <w:rsid w:val="00D9589C"/>
    <w:rsid w:val="00D979FC"/>
    <w:rsid w:val="00DA311C"/>
    <w:rsid w:val="00DA4B3D"/>
    <w:rsid w:val="00DA50DC"/>
    <w:rsid w:val="00DA5F4A"/>
    <w:rsid w:val="00DA666D"/>
    <w:rsid w:val="00DB41E4"/>
    <w:rsid w:val="00DB779C"/>
    <w:rsid w:val="00DC0156"/>
    <w:rsid w:val="00DC105F"/>
    <w:rsid w:val="00DC40CF"/>
    <w:rsid w:val="00DC4657"/>
    <w:rsid w:val="00DC62E9"/>
    <w:rsid w:val="00DC7DC9"/>
    <w:rsid w:val="00DC7E9E"/>
    <w:rsid w:val="00DD10A3"/>
    <w:rsid w:val="00DD15C6"/>
    <w:rsid w:val="00DD2C7B"/>
    <w:rsid w:val="00DD3212"/>
    <w:rsid w:val="00DD49F1"/>
    <w:rsid w:val="00DE015E"/>
    <w:rsid w:val="00DE3861"/>
    <w:rsid w:val="00DE79C1"/>
    <w:rsid w:val="00DF2020"/>
    <w:rsid w:val="00DF399A"/>
    <w:rsid w:val="00DF4689"/>
    <w:rsid w:val="00DF52AF"/>
    <w:rsid w:val="00DF79E9"/>
    <w:rsid w:val="00E011A9"/>
    <w:rsid w:val="00E02D0B"/>
    <w:rsid w:val="00E02F25"/>
    <w:rsid w:val="00E03F42"/>
    <w:rsid w:val="00E041E5"/>
    <w:rsid w:val="00E1115C"/>
    <w:rsid w:val="00E1307A"/>
    <w:rsid w:val="00E13249"/>
    <w:rsid w:val="00E17BA8"/>
    <w:rsid w:val="00E17F92"/>
    <w:rsid w:val="00E20C09"/>
    <w:rsid w:val="00E21CF1"/>
    <w:rsid w:val="00E31564"/>
    <w:rsid w:val="00E324A0"/>
    <w:rsid w:val="00E32573"/>
    <w:rsid w:val="00E342C8"/>
    <w:rsid w:val="00E343EF"/>
    <w:rsid w:val="00E37E8E"/>
    <w:rsid w:val="00E41EAC"/>
    <w:rsid w:val="00E4260B"/>
    <w:rsid w:val="00E47FDB"/>
    <w:rsid w:val="00E5316B"/>
    <w:rsid w:val="00E54259"/>
    <w:rsid w:val="00E54451"/>
    <w:rsid w:val="00E62296"/>
    <w:rsid w:val="00E67DA4"/>
    <w:rsid w:val="00E73AE3"/>
    <w:rsid w:val="00E753AC"/>
    <w:rsid w:val="00E762A4"/>
    <w:rsid w:val="00E77612"/>
    <w:rsid w:val="00E803D3"/>
    <w:rsid w:val="00E80792"/>
    <w:rsid w:val="00E852EE"/>
    <w:rsid w:val="00E8542C"/>
    <w:rsid w:val="00E865A3"/>
    <w:rsid w:val="00E868EA"/>
    <w:rsid w:val="00E87DC5"/>
    <w:rsid w:val="00E90099"/>
    <w:rsid w:val="00E913E0"/>
    <w:rsid w:val="00E93EFF"/>
    <w:rsid w:val="00E95F4E"/>
    <w:rsid w:val="00E96C22"/>
    <w:rsid w:val="00EA1837"/>
    <w:rsid w:val="00EA42DD"/>
    <w:rsid w:val="00EA4F00"/>
    <w:rsid w:val="00EA6051"/>
    <w:rsid w:val="00EB19D9"/>
    <w:rsid w:val="00EB2840"/>
    <w:rsid w:val="00EC2C6C"/>
    <w:rsid w:val="00EC5999"/>
    <w:rsid w:val="00EC6B2B"/>
    <w:rsid w:val="00ED0359"/>
    <w:rsid w:val="00ED09F2"/>
    <w:rsid w:val="00ED1B79"/>
    <w:rsid w:val="00ED1FD7"/>
    <w:rsid w:val="00ED4085"/>
    <w:rsid w:val="00ED426B"/>
    <w:rsid w:val="00EE02AA"/>
    <w:rsid w:val="00EE06AC"/>
    <w:rsid w:val="00EE0728"/>
    <w:rsid w:val="00EE3FAE"/>
    <w:rsid w:val="00EE4110"/>
    <w:rsid w:val="00EE57DB"/>
    <w:rsid w:val="00EE71FF"/>
    <w:rsid w:val="00EE7A00"/>
    <w:rsid w:val="00EF11C7"/>
    <w:rsid w:val="00EF248F"/>
    <w:rsid w:val="00EF6F36"/>
    <w:rsid w:val="00EF7B25"/>
    <w:rsid w:val="00F02295"/>
    <w:rsid w:val="00F02327"/>
    <w:rsid w:val="00F07EF5"/>
    <w:rsid w:val="00F12A03"/>
    <w:rsid w:val="00F12DFE"/>
    <w:rsid w:val="00F21E04"/>
    <w:rsid w:val="00F23BC2"/>
    <w:rsid w:val="00F23E92"/>
    <w:rsid w:val="00F30B4F"/>
    <w:rsid w:val="00F3604B"/>
    <w:rsid w:val="00F36174"/>
    <w:rsid w:val="00F36EA3"/>
    <w:rsid w:val="00F37F10"/>
    <w:rsid w:val="00F421EC"/>
    <w:rsid w:val="00F42F44"/>
    <w:rsid w:val="00F4564A"/>
    <w:rsid w:val="00F4566B"/>
    <w:rsid w:val="00F46B06"/>
    <w:rsid w:val="00F5388E"/>
    <w:rsid w:val="00F5624F"/>
    <w:rsid w:val="00F65767"/>
    <w:rsid w:val="00F71EC8"/>
    <w:rsid w:val="00F7521E"/>
    <w:rsid w:val="00F77C25"/>
    <w:rsid w:val="00F80144"/>
    <w:rsid w:val="00F82922"/>
    <w:rsid w:val="00F83172"/>
    <w:rsid w:val="00F933B0"/>
    <w:rsid w:val="00F96576"/>
    <w:rsid w:val="00FA109B"/>
    <w:rsid w:val="00FA5F06"/>
    <w:rsid w:val="00FA5F37"/>
    <w:rsid w:val="00FA7F09"/>
    <w:rsid w:val="00FB4A85"/>
    <w:rsid w:val="00FB656E"/>
    <w:rsid w:val="00FB7BFB"/>
    <w:rsid w:val="00FC1740"/>
    <w:rsid w:val="00FC18C9"/>
    <w:rsid w:val="00FC19A5"/>
    <w:rsid w:val="00FC3536"/>
    <w:rsid w:val="00FC3CB8"/>
    <w:rsid w:val="00FC4285"/>
    <w:rsid w:val="00FC4837"/>
    <w:rsid w:val="00FC4DD2"/>
    <w:rsid w:val="00FC59F8"/>
    <w:rsid w:val="00FD0F80"/>
    <w:rsid w:val="00FD2899"/>
    <w:rsid w:val="00FD7B22"/>
    <w:rsid w:val="00FE05B3"/>
    <w:rsid w:val="00FE288C"/>
    <w:rsid w:val="00FE4201"/>
    <w:rsid w:val="00FE54DA"/>
    <w:rsid w:val="00FF253D"/>
    <w:rsid w:val="00FF3B09"/>
    <w:rsid w:val="010B6D8A"/>
    <w:rsid w:val="012727D0"/>
    <w:rsid w:val="01315960"/>
    <w:rsid w:val="0158370F"/>
    <w:rsid w:val="01D403CE"/>
    <w:rsid w:val="01F16A95"/>
    <w:rsid w:val="020236B3"/>
    <w:rsid w:val="023E5320"/>
    <w:rsid w:val="02407C4C"/>
    <w:rsid w:val="0263605A"/>
    <w:rsid w:val="029504F6"/>
    <w:rsid w:val="02A85FDA"/>
    <w:rsid w:val="02AE7397"/>
    <w:rsid w:val="02E55E46"/>
    <w:rsid w:val="02E91DBE"/>
    <w:rsid w:val="02FF41F8"/>
    <w:rsid w:val="031734D6"/>
    <w:rsid w:val="03676964"/>
    <w:rsid w:val="03824AAC"/>
    <w:rsid w:val="03877DF9"/>
    <w:rsid w:val="03A47CA3"/>
    <w:rsid w:val="03C652EA"/>
    <w:rsid w:val="03EB0220"/>
    <w:rsid w:val="03F27A95"/>
    <w:rsid w:val="040C15DA"/>
    <w:rsid w:val="041D64AC"/>
    <w:rsid w:val="041F7DB9"/>
    <w:rsid w:val="042648A0"/>
    <w:rsid w:val="04932ABD"/>
    <w:rsid w:val="04C52A94"/>
    <w:rsid w:val="04D94367"/>
    <w:rsid w:val="05033D51"/>
    <w:rsid w:val="0505696F"/>
    <w:rsid w:val="05090E02"/>
    <w:rsid w:val="05097AD0"/>
    <w:rsid w:val="05097E6D"/>
    <w:rsid w:val="05305214"/>
    <w:rsid w:val="0530521E"/>
    <w:rsid w:val="0579451C"/>
    <w:rsid w:val="05797D0E"/>
    <w:rsid w:val="058E18F0"/>
    <w:rsid w:val="05902C12"/>
    <w:rsid w:val="05C277F8"/>
    <w:rsid w:val="05CC560F"/>
    <w:rsid w:val="05E3575F"/>
    <w:rsid w:val="05F470B5"/>
    <w:rsid w:val="05F6056C"/>
    <w:rsid w:val="062D43AF"/>
    <w:rsid w:val="06690B29"/>
    <w:rsid w:val="066C576F"/>
    <w:rsid w:val="06B06E25"/>
    <w:rsid w:val="06B86A37"/>
    <w:rsid w:val="06BB2D1A"/>
    <w:rsid w:val="06E04994"/>
    <w:rsid w:val="06F123C7"/>
    <w:rsid w:val="071666A1"/>
    <w:rsid w:val="072B6D7F"/>
    <w:rsid w:val="073D08E8"/>
    <w:rsid w:val="075E059D"/>
    <w:rsid w:val="077110D7"/>
    <w:rsid w:val="07AB0D44"/>
    <w:rsid w:val="07D900C6"/>
    <w:rsid w:val="07E805FF"/>
    <w:rsid w:val="07E95BF8"/>
    <w:rsid w:val="07F85F15"/>
    <w:rsid w:val="084F183D"/>
    <w:rsid w:val="08524148"/>
    <w:rsid w:val="08813B8D"/>
    <w:rsid w:val="089D323D"/>
    <w:rsid w:val="08A3063C"/>
    <w:rsid w:val="08B84D5E"/>
    <w:rsid w:val="08C65F66"/>
    <w:rsid w:val="08E444B6"/>
    <w:rsid w:val="090129E1"/>
    <w:rsid w:val="090573DB"/>
    <w:rsid w:val="094928F2"/>
    <w:rsid w:val="095B4567"/>
    <w:rsid w:val="097F64D7"/>
    <w:rsid w:val="09815735"/>
    <w:rsid w:val="09822282"/>
    <w:rsid w:val="09855EF7"/>
    <w:rsid w:val="09882AB7"/>
    <w:rsid w:val="09E92ED1"/>
    <w:rsid w:val="0A303B36"/>
    <w:rsid w:val="0A596BBD"/>
    <w:rsid w:val="0A954CDF"/>
    <w:rsid w:val="0AD46948"/>
    <w:rsid w:val="0B0D77B0"/>
    <w:rsid w:val="0B3C7110"/>
    <w:rsid w:val="0B524CE5"/>
    <w:rsid w:val="0B645E69"/>
    <w:rsid w:val="0B7061D0"/>
    <w:rsid w:val="0B722365"/>
    <w:rsid w:val="0BAD10AA"/>
    <w:rsid w:val="0BD70908"/>
    <w:rsid w:val="0C696DB1"/>
    <w:rsid w:val="0C84641A"/>
    <w:rsid w:val="0CBD3586"/>
    <w:rsid w:val="0CF008DF"/>
    <w:rsid w:val="0D0C6F90"/>
    <w:rsid w:val="0D2365FE"/>
    <w:rsid w:val="0D2459D6"/>
    <w:rsid w:val="0D2F59DC"/>
    <w:rsid w:val="0D425015"/>
    <w:rsid w:val="0D5C09C6"/>
    <w:rsid w:val="0D76301D"/>
    <w:rsid w:val="0D842EA4"/>
    <w:rsid w:val="0D92571B"/>
    <w:rsid w:val="0DB82AE5"/>
    <w:rsid w:val="0DC10F6C"/>
    <w:rsid w:val="0DC40C23"/>
    <w:rsid w:val="0DC738CF"/>
    <w:rsid w:val="0DCC57AE"/>
    <w:rsid w:val="0DE279E8"/>
    <w:rsid w:val="0E677938"/>
    <w:rsid w:val="0EB3632D"/>
    <w:rsid w:val="0ED77861"/>
    <w:rsid w:val="0EEE49CC"/>
    <w:rsid w:val="0F0912BA"/>
    <w:rsid w:val="0F221ADF"/>
    <w:rsid w:val="0F5E5A34"/>
    <w:rsid w:val="0F735BF1"/>
    <w:rsid w:val="0FA0462E"/>
    <w:rsid w:val="0FAA0B81"/>
    <w:rsid w:val="0FE270AC"/>
    <w:rsid w:val="0FF54858"/>
    <w:rsid w:val="1036727B"/>
    <w:rsid w:val="10D1600E"/>
    <w:rsid w:val="10E33360"/>
    <w:rsid w:val="1102423A"/>
    <w:rsid w:val="11043581"/>
    <w:rsid w:val="111B7ADE"/>
    <w:rsid w:val="11216E42"/>
    <w:rsid w:val="114338A7"/>
    <w:rsid w:val="11603382"/>
    <w:rsid w:val="11B978B1"/>
    <w:rsid w:val="11C158F8"/>
    <w:rsid w:val="11CC076B"/>
    <w:rsid w:val="11E33D35"/>
    <w:rsid w:val="11E978F4"/>
    <w:rsid w:val="120D4A8F"/>
    <w:rsid w:val="12332F7F"/>
    <w:rsid w:val="123E64D4"/>
    <w:rsid w:val="126A1F3C"/>
    <w:rsid w:val="12887C05"/>
    <w:rsid w:val="12977E48"/>
    <w:rsid w:val="12C353F7"/>
    <w:rsid w:val="12D95C71"/>
    <w:rsid w:val="13111216"/>
    <w:rsid w:val="1328154C"/>
    <w:rsid w:val="13373F49"/>
    <w:rsid w:val="13443F4A"/>
    <w:rsid w:val="136A7F28"/>
    <w:rsid w:val="138D4E7D"/>
    <w:rsid w:val="13BA3234"/>
    <w:rsid w:val="13C72D15"/>
    <w:rsid w:val="13EE5FCD"/>
    <w:rsid w:val="13FF0EED"/>
    <w:rsid w:val="14130E77"/>
    <w:rsid w:val="14184FB8"/>
    <w:rsid w:val="1424564B"/>
    <w:rsid w:val="144855BD"/>
    <w:rsid w:val="146E09FD"/>
    <w:rsid w:val="14A515D8"/>
    <w:rsid w:val="14A5684C"/>
    <w:rsid w:val="14B225AE"/>
    <w:rsid w:val="14B77FAE"/>
    <w:rsid w:val="14B9661C"/>
    <w:rsid w:val="14C20D2D"/>
    <w:rsid w:val="14C65B78"/>
    <w:rsid w:val="14F20CBB"/>
    <w:rsid w:val="14F65EA1"/>
    <w:rsid w:val="154C7ACB"/>
    <w:rsid w:val="15517106"/>
    <w:rsid w:val="155B0D1A"/>
    <w:rsid w:val="155C295A"/>
    <w:rsid w:val="15762777"/>
    <w:rsid w:val="15835487"/>
    <w:rsid w:val="15B51D2C"/>
    <w:rsid w:val="16282410"/>
    <w:rsid w:val="17171557"/>
    <w:rsid w:val="174356EF"/>
    <w:rsid w:val="175A5E16"/>
    <w:rsid w:val="17807C4D"/>
    <w:rsid w:val="17A37DB0"/>
    <w:rsid w:val="17E56329"/>
    <w:rsid w:val="17F23B6C"/>
    <w:rsid w:val="184D2E9A"/>
    <w:rsid w:val="1856202C"/>
    <w:rsid w:val="186C62BD"/>
    <w:rsid w:val="188F77BC"/>
    <w:rsid w:val="18D04911"/>
    <w:rsid w:val="19111349"/>
    <w:rsid w:val="19170735"/>
    <w:rsid w:val="19256A87"/>
    <w:rsid w:val="192A77D5"/>
    <w:rsid w:val="195F4B05"/>
    <w:rsid w:val="197003E1"/>
    <w:rsid w:val="19E1642C"/>
    <w:rsid w:val="1A057D8D"/>
    <w:rsid w:val="1A2D5F17"/>
    <w:rsid w:val="1ABE7E69"/>
    <w:rsid w:val="1AC46B89"/>
    <w:rsid w:val="1AF04E18"/>
    <w:rsid w:val="1B812A80"/>
    <w:rsid w:val="1BB107B3"/>
    <w:rsid w:val="1BC0081E"/>
    <w:rsid w:val="1BE91528"/>
    <w:rsid w:val="1C111E8F"/>
    <w:rsid w:val="1C45638C"/>
    <w:rsid w:val="1C7440C0"/>
    <w:rsid w:val="1C746B04"/>
    <w:rsid w:val="1C76313D"/>
    <w:rsid w:val="1C7B1A17"/>
    <w:rsid w:val="1CB112A1"/>
    <w:rsid w:val="1CD834A8"/>
    <w:rsid w:val="1CE01871"/>
    <w:rsid w:val="1CF245F9"/>
    <w:rsid w:val="1D4F1BEC"/>
    <w:rsid w:val="1DB0410B"/>
    <w:rsid w:val="1DB530CD"/>
    <w:rsid w:val="1DB77987"/>
    <w:rsid w:val="1DD37DF4"/>
    <w:rsid w:val="1DE32A10"/>
    <w:rsid w:val="1DE4047F"/>
    <w:rsid w:val="1DE54610"/>
    <w:rsid w:val="1DEC0E3D"/>
    <w:rsid w:val="1E3E37E6"/>
    <w:rsid w:val="1E85569E"/>
    <w:rsid w:val="1E865021"/>
    <w:rsid w:val="1EC304A0"/>
    <w:rsid w:val="1ECA1C4E"/>
    <w:rsid w:val="1EE822E3"/>
    <w:rsid w:val="1EED353C"/>
    <w:rsid w:val="1F1C61F7"/>
    <w:rsid w:val="1F1F544D"/>
    <w:rsid w:val="1F932A0B"/>
    <w:rsid w:val="1F9C0E9E"/>
    <w:rsid w:val="1FAF1061"/>
    <w:rsid w:val="1FBE07C2"/>
    <w:rsid w:val="1FC86932"/>
    <w:rsid w:val="1FE57408"/>
    <w:rsid w:val="20366690"/>
    <w:rsid w:val="20623843"/>
    <w:rsid w:val="206B3D3B"/>
    <w:rsid w:val="20AA033F"/>
    <w:rsid w:val="21387D07"/>
    <w:rsid w:val="215356D4"/>
    <w:rsid w:val="21984081"/>
    <w:rsid w:val="21C506EC"/>
    <w:rsid w:val="21C83764"/>
    <w:rsid w:val="21D363F5"/>
    <w:rsid w:val="21EA16A9"/>
    <w:rsid w:val="22192301"/>
    <w:rsid w:val="222F467D"/>
    <w:rsid w:val="224C739D"/>
    <w:rsid w:val="22511DC1"/>
    <w:rsid w:val="225C42C2"/>
    <w:rsid w:val="22651E0D"/>
    <w:rsid w:val="22E3610C"/>
    <w:rsid w:val="22F80BF8"/>
    <w:rsid w:val="23044B55"/>
    <w:rsid w:val="230F09C9"/>
    <w:rsid w:val="2380240C"/>
    <w:rsid w:val="23DC68D7"/>
    <w:rsid w:val="23FF330A"/>
    <w:rsid w:val="240472FB"/>
    <w:rsid w:val="24540C40"/>
    <w:rsid w:val="24667EA3"/>
    <w:rsid w:val="24782A07"/>
    <w:rsid w:val="248D6533"/>
    <w:rsid w:val="249E2CA0"/>
    <w:rsid w:val="250C4542"/>
    <w:rsid w:val="2537478C"/>
    <w:rsid w:val="256E2074"/>
    <w:rsid w:val="256E7A03"/>
    <w:rsid w:val="259057E9"/>
    <w:rsid w:val="25A00923"/>
    <w:rsid w:val="25D7082F"/>
    <w:rsid w:val="25F21C39"/>
    <w:rsid w:val="25FE4476"/>
    <w:rsid w:val="26000CAE"/>
    <w:rsid w:val="26273E38"/>
    <w:rsid w:val="264035E4"/>
    <w:rsid w:val="265E2445"/>
    <w:rsid w:val="266F483B"/>
    <w:rsid w:val="268F283A"/>
    <w:rsid w:val="26995560"/>
    <w:rsid w:val="26A26BA6"/>
    <w:rsid w:val="26C97D80"/>
    <w:rsid w:val="26D01039"/>
    <w:rsid w:val="270318A7"/>
    <w:rsid w:val="27742F68"/>
    <w:rsid w:val="27997E4B"/>
    <w:rsid w:val="27A218FD"/>
    <w:rsid w:val="27BC75F9"/>
    <w:rsid w:val="27EB05C2"/>
    <w:rsid w:val="28677585"/>
    <w:rsid w:val="2896001A"/>
    <w:rsid w:val="289C5F21"/>
    <w:rsid w:val="28BC0562"/>
    <w:rsid w:val="28C0170D"/>
    <w:rsid w:val="28D92189"/>
    <w:rsid w:val="291C3426"/>
    <w:rsid w:val="294D56EB"/>
    <w:rsid w:val="29546155"/>
    <w:rsid w:val="296115CA"/>
    <w:rsid w:val="29AB6C86"/>
    <w:rsid w:val="29E92550"/>
    <w:rsid w:val="2A096ACB"/>
    <w:rsid w:val="2A2850B2"/>
    <w:rsid w:val="2A2B2837"/>
    <w:rsid w:val="2A583C4F"/>
    <w:rsid w:val="2A6C5548"/>
    <w:rsid w:val="2A785700"/>
    <w:rsid w:val="2A916E63"/>
    <w:rsid w:val="2A9A0072"/>
    <w:rsid w:val="2A9D3699"/>
    <w:rsid w:val="2AB9757F"/>
    <w:rsid w:val="2AC8274C"/>
    <w:rsid w:val="2ACA6442"/>
    <w:rsid w:val="2B762899"/>
    <w:rsid w:val="2B876854"/>
    <w:rsid w:val="2BD233C4"/>
    <w:rsid w:val="2BDB3339"/>
    <w:rsid w:val="2BE350F5"/>
    <w:rsid w:val="2C35087A"/>
    <w:rsid w:val="2C7C0E51"/>
    <w:rsid w:val="2C87370B"/>
    <w:rsid w:val="2CC15C0D"/>
    <w:rsid w:val="2CD619DC"/>
    <w:rsid w:val="2CE43643"/>
    <w:rsid w:val="2D072130"/>
    <w:rsid w:val="2D362A70"/>
    <w:rsid w:val="2D3A4BC3"/>
    <w:rsid w:val="2D5115E7"/>
    <w:rsid w:val="2D527980"/>
    <w:rsid w:val="2D8423B0"/>
    <w:rsid w:val="2DBE7C66"/>
    <w:rsid w:val="2DD1437F"/>
    <w:rsid w:val="2DDE0E41"/>
    <w:rsid w:val="2DF23699"/>
    <w:rsid w:val="2DF857E7"/>
    <w:rsid w:val="2E3371F8"/>
    <w:rsid w:val="2E5D0363"/>
    <w:rsid w:val="2E804D8E"/>
    <w:rsid w:val="2EA10433"/>
    <w:rsid w:val="2EA2289D"/>
    <w:rsid w:val="2EAA18AD"/>
    <w:rsid w:val="2ED3590C"/>
    <w:rsid w:val="2F271D32"/>
    <w:rsid w:val="2F2D4FF3"/>
    <w:rsid w:val="2F47462F"/>
    <w:rsid w:val="2F7D50B0"/>
    <w:rsid w:val="2F880A92"/>
    <w:rsid w:val="2FDF71E5"/>
    <w:rsid w:val="2FE5013F"/>
    <w:rsid w:val="2FEC79BA"/>
    <w:rsid w:val="30055365"/>
    <w:rsid w:val="301340DA"/>
    <w:rsid w:val="30146D95"/>
    <w:rsid w:val="30325183"/>
    <w:rsid w:val="307B2909"/>
    <w:rsid w:val="309C6BDA"/>
    <w:rsid w:val="30A3568A"/>
    <w:rsid w:val="30A7714F"/>
    <w:rsid w:val="30B66D6A"/>
    <w:rsid w:val="30C742BB"/>
    <w:rsid w:val="30E84402"/>
    <w:rsid w:val="310B07AD"/>
    <w:rsid w:val="310D7081"/>
    <w:rsid w:val="3125398A"/>
    <w:rsid w:val="312B1841"/>
    <w:rsid w:val="316268E0"/>
    <w:rsid w:val="31663C2B"/>
    <w:rsid w:val="317A27DD"/>
    <w:rsid w:val="318317A9"/>
    <w:rsid w:val="31BE0302"/>
    <w:rsid w:val="31D3267B"/>
    <w:rsid w:val="31E55CFA"/>
    <w:rsid w:val="320B6263"/>
    <w:rsid w:val="3222654B"/>
    <w:rsid w:val="3226230F"/>
    <w:rsid w:val="32611513"/>
    <w:rsid w:val="32BA4ABA"/>
    <w:rsid w:val="32C509CC"/>
    <w:rsid w:val="32DA096D"/>
    <w:rsid w:val="32F72C4E"/>
    <w:rsid w:val="332B6F2D"/>
    <w:rsid w:val="334677F3"/>
    <w:rsid w:val="3366524E"/>
    <w:rsid w:val="336B14D6"/>
    <w:rsid w:val="338031C3"/>
    <w:rsid w:val="338F3B65"/>
    <w:rsid w:val="3390201E"/>
    <w:rsid w:val="34717A71"/>
    <w:rsid w:val="349B2D78"/>
    <w:rsid w:val="34CA73B2"/>
    <w:rsid w:val="34D170C7"/>
    <w:rsid w:val="34D970E4"/>
    <w:rsid w:val="3505201C"/>
    <w:rsid w:val="3511262E"/>
    <w:rsid w:val="3534442D"/>
    <w:rsid w:val="35391F04"/>
    <w:rsid w:val="354240A7"/>
    <w:rsid w:val="35497838"/>
    <w:rsid w:val="358E0895"/>
    <w:rsid w:val="35A126EE"/>
    <w:rsid w:val="35B74887"/>
    <w:rsid w:val="35BF5AEF"/>
    <w:rsid w:val="35DF103A"/>
    <w:rsid w:val="35E751D6"/>
    <w:rsid w:val="35EF5C1E"/>
    <w:rsid w:val="36223DA5"/>
    <w:rsid w:val="365B0532"/>
    <w:rsid w:val="3698652F"/>
    <w:rsid w:val="371B2276"/>
    <w:rsid w:val="373C022C"/>
    <w:rsid w:val="37695962"/>
    <w:rsid w:val="376F35AD"/>
    <w:rsid w:val="378A2A72"/>
    <w:rsid w:val="37A52859"/>
    <w:rsid w:val="37C609EA"/>
    <w:rsid w:val="381953D2"/>
    <w:rsid w:val="381F11DB"/>
    <w:rsid w:val="382F0719"/>
    <w:rsid w:val="38376D10"/>
    <w:rsid w:val="38517CB2"/>
    <w:rsid w:val="389131E7"/>
    <w:rsid w:val="389B2275"/>
    <w:rsid w:val="38D4310C"/>
    <w:rsid w:val="38DD2FE1"/>
    <w:rsid w:val="38FC7373"/>
    <w:rsid w:val="39284D56"/>
    <w:rsid w:val="39507FC7"/>
    <w:rsid w:val="397B50EE"/>
    <w:rsid w:val="39DB4BA7"/>
    <w:rsid w:val="3A03340D"/>
    <w:rsid w:val="3A064C55"/>
    <w:rsid w:val="3A240434"/>
    <w:rsid w:val="3A4318D6"/>
    <w:rsid w:val="3A7C5B70"/>
    <w:rsid w:val="3A8E7721"/>
    <w:rsid w:val="3A932352"/>
    <w:rsid w:val="3A9541BA"/>
    <w:rsid w:val="3AC40E44"/>
    <w:rsid w:val="3ACE3990"/>
    <w:rsid w:val="3B3043FD"/>
    <w:rsid w:val="3B683AED"/>
    <w:rsid w:val="3B6A1F95"/>
    <w:rsid w:val="3B6D5A7C"/>
    <w:rsid w:val="3B8C57A3"/>
    <w:rsid w:val="3B975EE8"/>
    <w:rsid w:val="3B9A6C78"/>
    <w:rsid w:val="3B9F413D"/>
    <w:rsid w:val="3BA651C1"/>
    <w:rsid w:val="3BCB6DA0"/>
    <w:rsid w:val="3BCC0E13"/>
    <w:rsid w:val="3BD370E7"/>
    <w:rsid w:val="3BFE1B94"/>
    <w:rsid w:val="3C1A4D1D"/>
    <w:rsid w:val="3C2C593F"/>
    <w:rsid w:val="3C58291C"/>
    <w:rsid w:val="3C604882"/>
    <w:rsid w:val="3C616466"/>
    <w:rsid w:val="3C764C8F"/>
    <w:rsid w:val="3CA01523"/>
    <w:rsid w:val="3CD1711C"/>
    <w:rsid w:val="3D131D80"/>
    <w:rsid w:val="3D203FD6"/>
    <w:rsid w:val="3D264B7F"/>
    <w:rsid w:val="3D301F15"/>
    <w:rsid w:val="3D314871"/>
    <w:rsid w:val="3D3640BE"/>
    <w:rsid w:val="3D490998"/>
    <w:rsid w:val="3D641A04"/>
    <w:rsid w:val="3D717B30"/>
    <w:rsid w:val="3D855F4A"/>
    <w:rsid w:val="3D99732F"/>
    <w:rsid w:val="3DA74BDD"/>
    <w:rsid w:val="3DE41321"/>
    <w:rsid w:val="3EA56260"/>
    <w:rsid w:val="3EAD3CCA"/>
    <w:rsid w:val="3EDC6A5F"/>
    <w:rsid w:val="3F081909"/>
    <w:rsid w:val="3F23643C"/>
    <w:rsid w:val="3F764E27"/>
    <w:rsid w:val="3F8205BE"/>
    <w:rsid w:val="3F981C01"/>
    <w:rsid w:val="3F9D25F0"/>
    <w:rsid w:val="400C1B09"/>
    <w:rsid w:val="40163B19"/>
    <w:rsid w:val="40211F80"/>
    <w:rsid w:val="406A46F1"/>
    <w:rsid w:val="40BD56FF"/>
    <w:rsid w:val="40BD6F8F"/>
    <w:rsid w:val="40E55B37"/>
    <w:rsid w:val="40FE2569"/>
    <w:rsid w:val="412C05B7"/>
    <w:rsid w:val="412C60F2"/>
    <w:rsid w:val="414508EB"/>
    <w:rsid w:val="418A4550"/>
    <w:rsid w:val="419B1C9E"/>
    <w:rsid w:val="41A601BB"/>
    <w:rsid w:val="41C90AF4"/>
    <w:rsid w:val="41CA49EF"/>
    <w:rsid w:val="41E82D84"/>
    <w:rsid w:val="41ED33CF"/>
    <w:rsid w:val="41EE0F83"/>
    <w:rsid w:val="422A1A61"/>
    <w:rsid w:val="4290002D"/>
    <w:rsid w:val="42A525C1"/>
    <w:rsid w:val="431B0299"/>
    <w:rsid w:val="43267E73"/>
    <w:rsid w:val="43394480"/>
    <w:rsid w:val="435C4E5E"/>
    <w:rsid w:val="435E0F95"/>
    <w:rsid w:val="438B37B2"/>
    <w:rsid w:val="43B901D0"/>
    <w:rsid w:val="43BA1040"/>
    <w:rsid w:val="43D26CFE"/>
    <w:rsid w:val="43E02198"/>
    <w:rsid w:val="43FE2B8B"/>
    <w:rsid w:val="441E4EE2"/>
    <w:rsid w:val="4432125B"/>
    <w:rsid w:val="446A5AC3"/>
    <w:rsid w:val="447E5AA4"/>
    <w:rsid w:val="44B3153C"/>
    <w:rsid w:val="44C37A92"/>
    <w:rsid w:val="450D5370"/>
    <w:rsid w:val="45620E43"/>
    <w:rsid w:val="45AF60C6"/>
    <w:rsid w:val="45B81A33"/>
    <w:rsid w:val="45E61688"/>
    <w:rsid w:val="45E745BD"/>
    <w:rsid w:val="4602328E"/>
    <w:rsid w:val="46221F24"/>
    <w:rsid w:val="466A1DCB"/>
    <w:rsid w:val="466F4E1D"/>
    <w:rsid w:val="469221D1"/>
    <w:rsid w:val="469559DB"/>
    <w:rsid w:val="46E147D5"/>
    <w:rsid w:val="46F56323"/>
    <w:rsid w:val="47087CCE"/>
    <w:rsid w:val="473547A1"/>
    <w:rsid w:val="473F7D1E"/>
    <w:rsid w:val="47401F77"/>
    <w:rsid w:val="474B2F8B"/>
    <w:rsid w:val="47651AB2"/>
    <w:rsid w:val="478706ED"/>
    <w:rsid w:val="479E7FE4"/>
    <w:rsid w:val="47AF7846"/>
    <w:rsid w:val="47CB0846"/>
    <w:rsid w:val="480F241F"/>
    <w:rsid w:val="48104E1E"/>
    <w:rsid w:val="48192A33"/>
    <w:rsid w:val="4826706B"/>
    <w:rsid w:val="48A479A6"/>
    <w:rsid w:val="48E04ECB"/>
    <w:rsid w:val="48E935C3"/>
    <w:rsid w:val="48FD5679"/>
    <w:rsid w:val="49627D37"/>
    <w:rsid w:val="499B602D"/>
    <w:rsid w:val="4A212B24"/>
    <w:rsid w:val="4A8413DB"/>
    <w:rsid w:val="4A885633"/>
    <w:rsid w:val="4AC029F4"/>
    <w:rsid w:val="4AEC26CB"/>
    <w:rsid w:val="4AEE5565"/>
    <w:rsid w:val="4AF229B2"/>
    <w:rsid w:val="4B0778FC"/>
    <w:rsid w:val="4B0B103A"/>
    <w:rsid w:val="4B644F98"/>
    <w:rsid w:val="4B672638"/>
    <w:rsid w:val="4B9C37FE"/>
    <w:rsid w:val="4BB412A5"/>
    <w:rsid w:val="4BB570CF"/>
    <w:rsid w:val="4BF36D63"/>
    <w:rsid w:val="4C1C0832"/>
    <w:rsid w:val="4C226976"/>
    <w:rsid w:val="4C294501"/>
    <w:rsid w:val="4C4656AB"/>
    <w:rsid w:val="4C596AD0"/>
    <w:rsid w:val="4C851F99"/>
    <w:rsid w:val="4CA842D0"/>
    <w:rsid w:val="4CAF3156"/>
    <w:rsid w:val="4CB33797"/>
    <w:rsid w:val="4CBA1304"/>
    <w:rsid w:val="4CE62ED8"/>
    <w:rsid w:val="4D1D113D"/>
    <w:rsid w:val="4D3A19EB"/>
    <w:rsid w:val="4D424DC0"/>
    <w:rsid w:val="4D5C4B3E"/>
    <w:rsid w:val="4D9A0B86"/>
    <w:rsid w:val="4DC04A39"/>
    <w:rsid w:val="4DC13767"/>
    <w:rsid w:val="4E055990"/>
    <w:rsid w:val="4E1713A6"/>
    <w:rsid w:val="4E2058DE"/>
    <w:rsid w:val="4E291D0A"/>
    <w:rsid w:val="4E4F5742"/>
    <w:rsid w:val="4E72491D"/>
    <w:rsid w:val="4E961201"/>
    <w:rsid w:val="4EA606D3"/>
    <w:rsid w:val="4EB7680B"/>
    <w:rsid w:val="4EE80FCA"/>
    <w:rsid w:val="4EF4459B"/>
    <w:rsid w:val="4FA669F9"/>
    <w:rsid w:val="4FB17B68"/>
    <w:rsid w:val="504F233D"/>
    <w:rsid w:val="50666159"/>
    <w:rsid w:val="507A5B57"/>
    <w:rsid w:val="50EC11B9"/>
    <w:rsid w:val="50F23EB0"/>
    <w:rsid w:val="515D758B"/>
    <w:rsid w:val="516350D2"/>
    <w:rsid w:val="516E2495"/>
    <w:rsid w:val="519D387E"/>
    <w:rsid w:val="51C55D72"/>
    <w:rsid w:val="51DA078C"/>
    <w:rsid w:val="51E021FD"/>
    <w:rsid w:val="51E36955"/>
    <w:rsid w:val="51EA0030"/>
    <w:rsid w:val="520F24BE"/>
    <w:rsid w:val="527B33D2"/>
    <w:rsid w:val="529D2558"/>
    <w:rsid w:val="52A97F2F"/>
    <w:rsid w:val="52D95492"/>
    <w:rsid w:val="52EA7FA3"/>
    <w:rsid w:val="52ED093E"/>
    <w:rsid w:val="52F932E4"/>
    <w:rsid w:val="538044AC"/>
    <w:rsid w:val="53B10062"/>
    <w:rsid w:val="53C42871"/>
    <w:rsid w:val="53F8550B"/>
    <w:rsid w:val="53FA4104"/>
    <w:rsid w:val="5455155E"/>
    <w:rsid w:val="545C6276"/>
    <w:rsid w:val="54A808F4"/>
    <w:rsid w:val="54C41BFA"/>
    <w:rsid w:val="54C45D24"/>
    <w:rsid w:val="54D616D9"/>
    <w:rsid w:val="54D93CAD"/>
    <w:rsid w:val="550B1458"/>
    <w:rsid w:val="550D4E9A"/>
    <w:rsid w:val="55377827"/>
    <w:rsid w:val="55382E68"/>
    <w:rsid w:val="55507827"/>
    <w:rsid w:val="55553AD2"/>
    <w:rsid w:val="55736002"/>
    <w:rsid w:val="5578256E"/>
    <w:rsid w:val="557A0465"/>
    <w:rsid w:val="55932DF3"/>
    <w:rsid w:val="55E34DF9"/>
    <w:rsid w:val="561A7368"/>
    <w:rsid w:val="562548AC"/>
    <w:rsid w:val="56326065"/>
    <w:rsid w:val="56391FCF"/>
    <w:rsid w:val="56426B2B"/>
    <w:rsid w:val="56520149"/>
    <w:rsid w:val="565242CD"/>
    <w:rsid w:val="56861D14"/>
    <w:rsid w:val="56A26BA7"/>
    <w:rsid w:val="56C63B6F"/>
    <w:rsid w:val="56D03231"/>
    <w:rsid w:val="56DC5010"/>
    <w:rsid w:val="576B6B45"/>
    <w:rsid w:val="57900D68"/>
    <w:rsid w:val="579155C5"/>
    <w:rsid w:val="57B13408"/>
    <w:rsid w:val="57BB7115"/>
    <w:rsid w:val="57C94D2F"/>
    <w:rsid w:val="57D15F58"/>
    <w:rsid w:val="57D457F5"/>
    <w:rsid w:val="57E122C1"/>
    <w:rsid w:val="57EF6C9D"/>
    <w:rsid w:val="57F819B0"/>
    <w:rsid w:val="57FD689A"/>
    <w:rsid w:val="583A4DC4"/>
    <w:rsid w:val="58714631"/>
    <w:rsid w:val="587B1080"/>
    <w:rsid w:val="5891201A"/>
    <w:rsid w:val="589E2CBD"/>
    <w:rsid w:val="58BF6054"/>
    <w:rsid w:val="58DB694D"/>
    <w:rsid w:val="58E65065"/>
    <w:rsid w:val="593C0012"/>
    <w:rsid w:val="598900F2"/>
    <w:rsid w:val="599E0097"/>
    <w:rsid w:val="59B7765B"/>
    <w:rsid w:val="59C13323"/>
    <w:rsid w:val="59D15051"/>
    <w:rsid w:val="5A0A6F76"/>
    <w:rsid w:val="5A2A7448"/>
    <w:rsid w:val="5A585989"/>
    <w:rsid w:val="5A5A4D9A"/>
    <w:rsid w:val="5A677C92"/>
    <w:rsid w:val="5A82030A"/>
    <w:rsid w:val="5A9F7E4A"/>
    <w:rsid w:val="5B321A89"/>
    <w:rsid w:val="5B3D003B"/>
    <w:rsid w:val="5B430CBF"/>
    <w:rsid w:val="5B514138"/>
    <w:rsid w:val="5B5C74AE"/>
    <w:rsid w:val="5BDE1D14"/>
    <w:rsid w:val="5BE30CD0"/>
    <w:rsid w:val="5C0D65D7"/>
    <w:rsid w:val="5CA03B6D"/>
    <w:rsid w:val="5CAF5061"/>
    <w:rsid w:val="5CBC4E7A"/>
    <w:rsid w:val="5CC70596"/>
    <w:rsid w:val="5D111F5F"/>
    <w:rsid w:val="5D900CE9"/>
    <w:rsid w:val="5D9A411F"/>
    <w:rsid w:val="5DF875D5"/>
    <w:rsid w:val="5DFA2A3F"/>
    <w:rsid w:val="5DFE099F"/>
    <w:rsid w:val="5E1B7F18"/>
    <w:rsid w:val="5E917654"/>
    <w:rsid w:val="5EAC4CA4"/>
    <w:rsid w:val="5EC21376"/>
    <w:rsid w:val="5ECE2AF1"/>
    <w:rsid w:val="5EF174CF"/>
    <w:rsid w:val="5F0E1C44"/>
    <w:rsid w:val="5F1020E1"/>
    <w:rsid w:val="5F881BA6"/>
    <w:rsid w:val="5F8B27B2"/>
    <w:rsid w:val="5F9C5C1B"/>
    <w:rsid w:val="5FB342CB"/>
    <w:rsid w:val="5FF162B8"/>
    <w:rsid w:val="60055270"/>
    <w:rsid w:val="60153A39"/>
    <w:rsid w:val="601545A5"/>
    <w:rsid w:val="602F58AD"/>
    <w:rsid w:val="60467201"/>
    <w:rsid w:val="60474EF1"/>
    <w:rsid w:val="60495361"/>
    <w:rsid w:val="609279EB"/>
    <w:rsid w:val="60CE1228"/>
    <w:rsid w:val="60E311A1"/>
    <w:rsid w:val="61121639"/>
    <w:rsid w:val="612F5F0D"/>
    <w:rsid w:val="61354AEF"/>
    <w:rsid w:val="613F2925"/>
    <w:rsid w:val="616B2BCF"/>
    <w:rsid w:val="617E0BF1"/>
    <w:rsid w:val="618E26F0"/>
    <w:rsid w:val="61924E68"/>
    <w:rsid w:val="61980229"/>
    <w:rsid w:val="61C214DD"/>
    <w:rsid w:val="61E75821"/>
    <w:rsid w:val="61F4439D"/>
    <w:rsid w:val="62131E29"/>
    <w:rsid w:val="621B2EA7"/>
    <w:rsid w:val="62845069"/>
    <w:rsid w:val="6287563B"/>
    <w:rsid w:val="62C8115F"/>
    <w:rsid w:val="62FB2EED"/>
    <w:rsid w:val="630107CA"/>
    <w:rsid w:val="631F710C"/>
    <w:rsid w:val="63204A40"/>
    <w:rsid w:val="63296F1A"/>
    <w:rsid w:val="6342234E"/>
    <w:rsid w:val="634A2CF1"/>
    <w:rsid w:val="635A1B7D"/>
    <w:rsid w:val="6366177A"/>
    <w:rsid w:val="63903BD4"/>
    <w:rsid w:val="639B5B0B"/>
    <w:rsid w:val="63A11A05"/>
    <w:rsid w:val="63A250C7"/>
    <w:rsid w:val="63BB02B5"/>
    <w:rsid w:val="63E543C4"/>
    <w:rsid w:val="63F6404B"/>
    <w:rsid w:val="63FB2F12"/>
    <w:rsid w:val="64075A3A"/>
    <w:rsid w:val="64141341"/>
    <w:rsid w:val="64321008"/>
    <w:rsid w:val="64572487"/>
    <w:rsid w:val="6463312C"/>
    <w:rsid w:val="64746990"/>
    <w:rsid w:val="64841394"/>
    <w:rsid w:val="648876C4"/>
    <w:rsid w:val="64B25121"/>
    <w:rsid w:val="64BE5921"/>
    <w:rsid w:val="64D54460"/>
    <w:rsid w:val="64DE23F3"/>
    <w:rsid w:val="64F41B5D"/>
    <w:rsid w:val="65325B6B"/>
    <w:rsid w:val="6567306B"/>
    <w:rsid w:val="656E79B0"/>
    <w:rsid w:val="65C85924"/>
    <w:rsid w:val="65D376D0"/>
    <w:rsid w:val="65E14CE1"/>
    <w:rsid w:val="65F231CB"/>
    <w:rsid w:val="65FD485D"/>
    <w:rsid w:val="662E6B73"/>
    <w:rsid w:val="663D15FE"/>
    <w:rsid w:val="66432D9C"/>
    <w:rsid w:val="664B2CF0"/>
    <w:rsid w:val="66763229"/>
    <w:rsid w:val="667E1DBF"/>
    <w:rsid w:val="66970927"/>
    <w:rsid w:val="66BA3637"/>
    <w:rsid w:val="66C91E76"/>
    <w:rsid w:val="66FC36BD"/>
    <w:rsid w:val="67005FB1"/>
    <w:rsid w:val="67046310"/>
    <w:rsid w:val="67380427"/>
    <w:rsid w:val="674B5238"/>
    <w:rsid w:val="6753302D"/>
    <w:rsid w:val="675D6BBC"/>
    <w:rsid w:val="67C476EC"/>
    <w:rsid w:val="67D10DFC"/>
    <w:rsid w:val="67F130FB"/>
    <w:rsid w:val="67FE1AB4"/>
    <w:rsid w:val="67FF7414"/>
    <w:rsid w:val="680207F6"/>
    <w:rsid w:val="682678E3"/>
    <w:rsid w:val="683055A2"/>
    <w:rsid w:val="68314DEE"/>
    <w:rsid w:val="68401A33"/>
    <w:rsid w:val="6864680B"/>
    <w:rsid w:val="68800C74"/>
    <w:rsid w:val="688B657D"/>
    <w:rsid w:val="68913798"/>
    <w:rsid w:val="68AD52BA"/>
    <w:rsid w:val="68D33351"/>
    <w:rsid w:val="68D91AE0"/>
    <w:rsid w:val="68EE1A8B"/>
    <w:rsid w:val="69001BD9"/>
    <w:rsid w:val="690A384A"/>
    <w:rsid w:val="690D797B"/>
    <w:rsid w:val="69212B7C"/>
    <w:rsid w:val="693B5375"/>
    <w:rsid w:val="6956580E"/>
    <w:rsid w:val="695A1BB0"/>
    <w:rsid w:val="697A4F7E"/>
    <w:rsid w:val="697D453B"/>
    <w:rsid w:val="698414AB"/>
    <w:rsid w:val="698841DE"/>
    <w:rsid w:val="69967AAA"/>
    <w:rsid w:val="69980FE3"/>
    <w:rsid w:val="69C02731"/>
    <w:rsid w:val="69C14163"/>
    <w:rsid w:val="69D501AF"/>
    <w:rsid w:val="69DB28BB"/>
    <w:rsid w:val="69DE7A6F"/>
    <w:rsid w:val="69E5008F"/>
    <w:rsid w:val="69F05A5E"/>
    <w:rsid w:val="6A0D33BE"/>
    <w:rsid w:val="6A6B3C15"/>
    <w:rsid w:val="6A8348E5"/>
    <w:rsid w:val="6AAA163C"/>
    <w:rsid w:val="6ACB3448"/>
    <w:rsid w:val="6AF9454E"/>
    <w:rsid w:val="6AFA59F3"/>
    <w:rsid w:val="6B172F03"/>
    <w:rsid w:val="6B846237"/>
    <w:rsid w:val="6B99002D"/>
    <w:rsid w:val="6BC33FB9"/>
    <w:rsid w:val="6BF57954"/>
    <w:rsid w:val="6C0F7FD7"/>
    <w:rsid w:val="6C374800"/>
    <w:rsid w:val="6C57444C"/>
    <w:rsid w:val="6C7B1330"/>
    <w:rsid w:val="6C9C4FB4"/>
    <w:rsid w:val="6CB02DFB"/>
    <w:rsid w:val="6CBE0E5C"/>
    <w:rsid w:val="6D2E6A3B"/>
    <w:rsid w:val="6D595D35"/>
    <w:rsid w:val="6D6A3304"/>
    <w:rsid w:val="6D715F11"/>
    <w:rsid w:val="6D741A8D"/>
    <w:rsid w:val="6D7E03B9"/>
    <w:rsid w:val="6D8A02AF"/>
    <w:rsid w:val="6DBC26FA"/>
    <w:rsid w:val="6DDD417D"/>
    <w:rsid w:val="6DE70A12"/>
    <w:rsid w:val="6E305AD0"/>
    <w:rsid w:val="6E393DE4"/>
    <w:rsid w:val="6E4E51BF"/>
    <w:rsid w:val="6EA1170D"/>
    <w:rsid w:val="6EBE4235"/>
    <w:rsid w:val="6EC22E1E"/>
    <w:rsid w:val="6ED2525C"/>
    <w:rsid w:val="6F172A9C"/>
    <w:rsid w:val="6F1B40F8"/>
    <w:rsid w:val="6F1F3C82"/>
    <w:rsid w:val="6F3658C1"/>
    <w:rsid w:val="6FB65AE8"/>
    <w:rsid w:val="6FD37BF3"/>
    <w:rsid w:val="6FE24F6B"/>
    <w:rsid w:val="6FEC1B99"/>
    <w:rsid w:val="6FED71B2"/>
    <w:rsid w:val="700233CF"/>
    <w:rsid w:val="70700922"/>
    <w:rsid w:val="70743C3D"/>
    <w:rsid w:val="707460F1"/>
    <w:rsid w:val="70B66D55"/>
    <w:rsid w:val="70CC0DB3"/>
    <w:rsid w:val="7104402A"/>
    <w:rsid w:val="711E32B9"/>
    <w:rsid w:val="71B4498C"/>
    <w:rsid w:val="71E56EF5"/>
    <w:rsid w:val="71F46364"/>
    <w:rsid w:val="72094371"/>
    <w:rsid w:val="72114B65"/>
    <w:rsid w:val="722825A1"/>
    <w:rsid w:val="727300BB"/>
    <w:rsid w:val="72B47744"/>
    <w:rsid w:val="72B9503D"/>
    <w:rsid w:val="72D577DE"/>
    <w:rsid w:val="72D75C6A"/>
    <w:rsid w:val="72F90EAF"/>
    <w:rsid w:val="731B240B"/>
    <w:rsid w:val="737230F7"/>
    <w:rsid w:val="73AC2E89"/>
    <w:rsid w:val="73BE7F06"/>
    <w:rsid w:val="73D46DDB"/>
    <w:rsid w:val="73DD49A4"/>
    <w:rsid w:val="73E82D35"/>
    <w:rsid w:val="7406459F"/>
    <w:rsid w:val="744B7595"/>
    <w:rsid w:val="74C13174"/>
    <w:rsid w:val="74E106D8"/>
    <w:rsid w:val="74EF2A49"/>
    <w:rsid w:val="7531207A"/>
    <w:rsid w:val="75427AEF"/>
    <w:rsid w:val="75785EFC"/>
    <w:rsid w:val="75903347"/>
    <w:rsid w:val="75CF09D8"/>
    <w:rsid w:val="75E64D79"/>
    <w:rsid w:val="75E94F76"/>
    <w:rsid w:val="760C5FA6"/>
    <w:rsid w:val="7628048B"/>
    <w:rsid w:val="76834999"/>
    <w:rsid w:val="76E75977"/>
    <w:rsid w:val="76F90128"/>
    <w:rsid w:val="7703685D"/>
    <w:rsid w:val="771939D1"/>
    <w:rsid w:val="77307ACB"/>
    <w:rsid w:val="773F40BA"/>
    <w:rsid w:val="777D1CE0"/>
    <w:rsid w:val="77931FF4"/>
    <w:rsid w:val="779F40EB"/>
    <w:rsid w:val="77AA55DE"/>
    <w:rsid w:val="77CA1799"/>
    <w:rsid w:val="77FA2901"/>
    <w:rsid w:val="78326FD3"/>
    <w:rsid w:val="783C59EE"/>
    <w:rsid w:val="784B288F"/>
    <w:rsid w:val="787D5483"/>
    <w:rsid w:val="78C42097"/>
    <w:rsid w:val="78C8124D"/>
    <w:rsid w:val="78CA42E6"/>
    <w:rsid w:val="78CA4BDD"/>
    <w:rsid w:val="78D37C04"/>
    <w:rsid w:val="79190BED"/>
    <w:rsid w:val="79827639"/>
    <w:rsid w:val="7989246C"/>
    <w:rsid w:val="79A643BB"/>
    <w:rsid w:val="79B002F1"/>
    <w:rsid w:val="79B15EF0"/>
    <w:rsid w:val="79B90847"/>
    <w:rsid w:val="79D36504"/>
    <w:rsid w:val="7A052323"/>
    <w:rsid w:val="7A084177"/>
    <w:rsid w:val="7A0A3F3B"/>
    <w:rsid w:val="7A4B3B7F"/>
    <w:rsid w:val="7A5F710E"/>
    <w:rsid w:val="7A6128C6"/>
    <w:rsid w:val="7A613435"/>
    <w:rsid w:val="7A645DAF"/>
    <w:rsid w:val="7AA57273"/>
    <w:rsid w:val="7AAE779B"/>
    <w:rsid w:val="7AB003B9"/>
    <w:rsid w:val="7AC33222"/>
    <w:rsid w:val="7B43183C"/>
    <w:rsid w:val="7B4A6717"/>
    <w:rsid w:val="7B516D0B"/>
    <w:rsid w:val="7B6C3940"/>
    <w:rsid w:val="7BA265E9"/>
    <w:rsid w:val="7BBB7267"/>
    <w:rsid w:val="7BC76B2F"/>
    <w:rsid w:val="7BD67FB8"/>
    <w:rsid w:val="7BEC31C9"/>
    <w:rsid w:val="7C1408DD"/>
    <w:rsid w:val="7C680F5A"/>
    <w:rsid w:val="7C701F90"/>
    <w:rsid w:val="7C702B72"/>
    <w:rsid w:val="7CD037F3"/>
    <w:rsid w:val="7CD42728"/>
    <w:rsid w:val="7CDB284A"/>
    <w:rsid w:val="7D512A53"/>
    <w:rsid w:val="7D523203"/>
    <w:rsid w:val="7D7A3E15"/>
    <w:rsid w:val="7D966272"/>
    <w:rsid w:val="7DB572AA"/>
    <w:rsid w:val="7DB85BC2"/>
    <w:rsid w:val="7DD659BF"/>
    <w:rsid w:val="7E084A5D"/>
    <w:rsid w:val="7E1C3707"/>
    <w:rsid w:val="7E2A2A0B"/>
    <w:rsid w:val="7E524654"/>
    <w:rsid w:val="7ECF7700"/>
    <w:rsid w:val="7EF919EF"/>
    <w:rsid w:val="7F2E7713"/>
    <w:rsid w:val="7F590EFE"/>
    <w:rsid w:val="7F675D04"/>
    <w:rsid w:val="7F747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79"/>
    <w:qFormat/>
    <w:uiPriority w:val="0"/>
    <w:pPr>
      <w:keepNext/>
      <w:jc w:val="center"/>
      <w:outlineLvl w:val="0"/>
    </w:pPr>
    <w:rPr>
      <w:rFonts w:ascii="仿宋_GB2312" w:eastAsia="仿宋_GB2312"/>
      <w:sz w:val="28"/>
    </w:rPr>
  </w:style>
  <w:style w:type="paragraph" w:styleId="4">
    <w:name w:val="heading 2"/>
    <w:basedOn w:val="1"/>
    <w:next w:val="1"/>
    <w:link w:val="77"/>
    <w:qFormat/>
    <w:uiPriority w:val="0"/>
    <w:pPr>
      <w:keepNext/>
      <w:tabs>
        <w:tab w:val="left" w:pos="420"/>
      </w:tabs>
      <w:spacing w:line="360" w:lineRule="auto"/>
      <w:ind w:left="420" w:hanging="330"/>
      <w:outlineLvl w:val="1"/>
    </w:pPr>
    <w:rPr>
      <w:b/>
      <w:sz w:val="24"/>
      <w:szCs w:val="24"/>
    </w:rPr>
  </w:style>
  <w:style w:type="paragraph" w:styleId="5">
    <w:name w:val="heading 3"/>
    <w:basedOn w:val="1"/>
    <w:next w:val="1"/>
    <w:link w:val="69"/>
    <w:qFormat/>
    <w:uiPriority w:val="0"/>
    <w:pPr>
      <w:keepNext/>
      <w:tabs>
        <w:tab w:val="left" w:pos="468"/>
      </w:tabs>
      <w:ind w:left="468" w:hanging="468"/>
      <w:outlineLvl w:val="2"/>
    </w:pPr>
    <w:rPr>
      <w:b/>
      <w:bCs/>
      <w:sz w:val="28"/>
      <w:szCs w:val="24"/>
    </w:rPr>
  </w:style>
  <w:style w:type="paragraph" w:styleId="6">
    <w:name w:val="heading 4"/>
    <w:basedOn w:val="1"/>
    <w:next w:val="1"/>
    <w:link w:val="92"/>
    <w:qFormat/>
    <w:uiPriority w:val="0"/>
    <w:pPr>
      <w:keepNext/>
      <w:tabs>
        <w:tab w:val="left" w:pos="435"/>
      </w:tabs>
      <w:ind w:left="435" w:hanging="435"/>
      <w:outlineLvl w:val="3"/>
    </w:pPr>
    <w:rPr>
      <w:b/>
      <w:color w:val="000000"/>
      <w:sz w:val="28"/>
      <w:szCs w:val="24"/>
      <w:u w:val="single"/>
    </w:rPr>
  </w:style>
  <w:style w:type="paragraph" w:styleId="7">
    <w:name w:val="heading 5"/>
    <w:basedOn w:val="1"/>
    <w:next w:val="2"/>
    <w:link w:val="60"/>
    <w:qFormat/>
    <w:uiPriority w:val="0"/>
    <w:pPr>
      <w:keepNext/>
      <w:adjustRightInd w:val="0"/>
      <w:spacing w:line="360" w:lineRule="auto"/>
      <w:jc w:val="left"/>
      <w:textAlignment w:val="baseline"/>
      <w:outlineLvl w:val="4"/>
    </w:pPr>
    <w:rPr>
      <w:rFonts w:ascii="宋体"/>
      <w:b/>
      <w:kern w:val="0"/>
      <w:sz w:val="28"/>
    </w:rPr>
  </w:style>
  <w:style w:type="paragraph" w:styleId="8">
    <w:name w:val="heading 6"/>
    <w:basedOn w:val="1"/>
    <w:next w:val="1"/>
    <w:link w:val="95"/>
    <w:qFormat/>
    <w:uiPriority w:val="0"/>
    <w:pPr>
      <w:tabs>
        <w:tab w:val="left" w:pos="814"/>
      </w:tabs>
      <w:spacing w:before="240" w:after="64" w:line="317" w:lineRule="auto"/>
      <w:ind w:left="454" w:firstLine="200" w:firstLineChars="200"/>
      <w:outlineLvl w:val="5"/>
    </w:pPr>
    <w:rPr>
      <w:bCs/>
      <w:sz w:val="28"/>
    </w:rPr>
  </w:style>
  <w:style w:type="paragraph" w:styleId="9">
    <w:name w:val="heading 7"/>
    <w:basedOn w:val="1"/>
    <w:next w:val="1"/>
    <w:link w:val="82"/>
    <w:qFormat/>
    <w:uiPriority w:val="0"/>
    <w:pPr>
      <w:keepNext/>
      <w:tabs>
        <w:tab w:val="left" w:pos="900"/>
      </w:tabs>
      <w:ind w:left="900" w:hanging="300"/>
      <w:outlineLvl w:val="6"/>
    </w:pPr>
    <w:rPr>
      <w:rFonts w:ascii="宋体" w:hAnsi="宋体"/>
      <w:b/>
      <w:sz w:val="28"/>
      <w:szCs w:val="24"/>
    </w:rPr>
  </w:style>
  <w:style w:type="paragraph" w:styleId="10">
    <w:name w:val="heading 8"/>
    <w:basedOn w:val="1"/>
    <w:next w:val="1"/>
    <w:link w:val="89"/>
    <w:qFormat/>
    <w:uiPriority w:val="0"/>
    <w:pPr>
      <w:keepNext/>
      <w:widowControl/>
      <w:tabs>
        <w:tab w:val="left" w:pos="1260"/>
        <w:tab w:val="left" w:pos="1995"/>
        <w:tab w:val="left" w:pos="2520"/>
        <w:tab w:val="left" w:pos="2730"/>
      </w:tabs>
      <w:spacing w:before="100" w:after="100" w:line="400" w:lineRule="exact"/>
      <w:ind w:left="600" w:hanging="600"/>
      <w:jc w:val="left"/>
      <w:outlineLvl w:val="7"/>
    </w:pPr>
    <w:rPr>
      <w:b/>
      <w:sz w:val="28"/>
      <w:szCs w:val="24"/>
      <w:u w:val="single"/>
    </w:rPr>
  </w:style>
  <w:style w:type="paragraph" w:styleId="11">
    <w:name w:val="heading 9"/>
    <w:basedOn w:val="1"/>
    <w:next w:val="1"/>
    <w:link w:val="58"/>
    <w:qFormat/>
    <w:uiPriority w:val="0"/>
    <w:pPr>
      <w:keepNext/>
      <w:keepLines/>
      <w:tabs>
        <w:tab w:val="left" w:pos="1584"/>
      </w:tabs>
      <w:spacing w:before="240" w:after="64" w:line="317" w:lineRule="auto"/>
      <w:ind w:left="1584" w:hanging="1584" w:firstLineChars="200"/>
      <w:outlineLvl w:val="8"/>
    </w:pPr>
    <w:rPr>
      <w:rFonts w:ascii="Arial" w:hAnsi="Arial" w:eastAsia="黑体"/>
      <w:sz w:val="24"/>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4"/>
    </w:rPr>
  </w:style>
  <w:style w:type="paragraph" w:styleId="12">
    <w:name w:val="toc 7"/>
    <w:basedOn w:val="1"/>
    <w:next w:val="1"/>
    <w:semiHidden/>
    <w:qFormat/>
    <w:uiPriority w:val="0"/>
    <w:pPr>
      <w:ind w:left="1260"/>
      <w:jc w:val="left"/>
    </w:pPr>
    <w:rPr>
      <w:sz w:val="18"/>
      <w:szCs w:val="18"/>
    </w:rPr>
  </w:style>
  <w:style w:type="paragraph" w:styleId="13">
    <w:name w:val="List Number"/>
    <w:basedOn w:val="1"/>
    <w:qFormat/>
    <w:uiPriority w:val="0"/>
    <w:pPr>
      <w:tabs>
        <w:tab w:val="left" w:pos="1890"/>
      </w:tabs>
      <w:ind w:hanging="420"/>
    </w:pPr>
    <w:rPr>
      <w:szCs w:val="24"/>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cs="Arial"/>
      <w:sz w:val="24"/>
    </w:rPr>
  </w:style>
  <w:style w:type="paragraph" w:styleId="16">
    <w:name w:val="annotation text"/>
    <w:basedOn w:val="1"/>
    <w:link w:val="81"/>
    <w:qFormat/>
    <w:uiPriority w:val="0"/>
    <w:pPr>
      <w:jc w:val="left"/>
    </w:pPr>
    <w:rPr>
      <w:szCs w:val="24"/>
    </w:rPr>
  </w:style>
  <w:style w:type="paragraph" w:styleId="17">
    <w:name w:val="Body Text 3"/>
    <w:basedOn w:val="1"/>
    <w:qFormat/>
    <w:uiPriority w:val="0"/>
    <w:pPr>
      <w:spacing w:after="120"/>
    </w:pPr>
    <w:rPr>
      <w:sz w:val="16"/>
      <w:szCs w:val="16"/>
    </w:rPr>
  </w:style>
  <w:style w:type="paragraph" w:styleId="18">
    <w:name w:val="Body Text"/>
    <w:basedOn w:val="1"/>
    <w:next w:val="1"/>
    <w:link w:val="55"/>
    <w:qFormat/>
    <w:uiPriority w:val="0"/>
    <w:pPr>
      <w:spacing w:after="120"/>
    </w:pPr>
  </w:style>
  <w:style w:type="paragraph" w:styleId="19">
    <w:name w:val="Body Text Indent"/>
    <w:basedOn w:val="1"/>
    <w:link w:val="57"/>
    <w:qFormat/>
    <w:uiPriority w:val="0"/>
    <w:pPr>
      <w:spacing w:line="800" w:lineRule="exact"/>
      <w:ind w:left="315" w:leftChars="150" w:firstLine="664" w:firstLineChars="237"/>
    </w:pPr>
    <w:rPr>
      <w:rFonts w:ascii="仿宋_GB2312" w:eastAsia="仿宋_GB2312"/>
      <w:sz w:val="28"/>
    </w:rPr>
  </w:style>
  <w:style w:type="paragraph" w:styleId="20">
    <w:name w:val="Block Text"/>
    <w:basedOn w:val="1"/>
    <w:unhideWhenUsed/>
    <w:qFormat/>
    <w:uiPriority w:val="99"/>
    <w:pPr>
      <w:spacing w:after="120"/>
      <w:ind w:left="1440" w:leftChars="700" w:right="1440" w:rightChars="700"/>
    </w:pPr>
  </w:style>
  <w:style w:type="paragraph" w:styleId="21">
    <w:name w:val="HTML Address"/>
    <w:basedOn w:val="1"/>
    <w:link w:val="76"/>
    <w:qFormat/>
    <w:uiPriority w:val="0"/>
    <w:rPr>
      <w:i/>
      <w:iCs/>
      <w:szCs w:val="24"/>
    </w:rPr>
  </w:style>
  <w:style w:type="paragraph" w:styleId="22">
    <w:name w:val="toc 5"/>
    <w:basedOn w:val="1"/>
    <w:next w:val="1"/>
    <w:semiHidden/>
    <w:qFormat/>
    <w:uiPriority w:val="0"/>
    <w:pPr>
      <w:ind w:left="840"/>
      <w:jc w:val="left"/>
    </w:pPr>
    <w:rPr>
      <w:sz w:val="18"/>
      <w:szCs w:val="18"/>
    </w:rPr>
  </w:style>
  <w:style w:type="paragraph" w:styleId="23">
    <w:name w:val="toc 3"/>
    <w:basedOn w:val="1"/>
    <w:next w:val="1"/>
    <w:qFormat/>
    <w:uiPriority w:val="0"/>
    <w:pPr>
      <w:ind w:left="420"/>
      <w:jc w:val="left"/>
    </w:pPr>
    <w:rPr>
      <w:i/>
      <w:iCs/>
      <w:sz w:val="20"/>
    </w:rPr>
  </w:style>
  <w:style w:type="paragraph" w:styleId="24">
    <w:name w:val="Plain Text"/>
    <w:basedOn w:val="1"/>
    <w:link w:val="70"/>
    <w:qFormat/>
    <w:uiPriority w:val="0"/>
    <w:rPr>
      <w:rFonts w:ascii="宋体" w:hAnsi="宋体"/>
    </w:rPr>
  </w:style>
  <w:style w:type="paragraph" w:styleId="25">
    <w:name w:val="toc 8"/>
    <w:basedOn w:val="1"/>
    <w:next w:val="1"/>
    <w:semiHidden/>
    <w:qFormat/>
    <w:uiPriority w:val="0"/>
    <w:pPr>
      <w:ind w:left="1470"/>
      <w:jc w:val="left"/>
    </w:pPr>
    <w:rPr>
      <w:sz w:val="18"/>
      <w:szCs w:val="18"/>
    </w:rPr>
  </w:style>
  <w:style w:type="paragraph" w:styleId="26">
    <w:name w:val="Date"/>
    <w:basedOn w:val="1"/>
    <w:next w:val="1"/>
    <w:link w:val="68"/>
    <w:qFormat/>
    <w:uiPriority w:val="0"/>
    <w:rPr>
      <w:color w:val="000000"/>
      <w:kern w:val="0"/>
      <w:sz w:val="30"/>
    </w:rPr>
  </w:style>
  <w:style w:type="paragraph" w:styleId="27">
    <w:name w:val="Body Text Indent 2"/>
    <w:basedOn w:val="1"/>
    <w:link w:val="66"/>
    <w:qFormat/>
    <w:uiPriority w:val="0"/>
    <w:pPr>
      <w:spacing w:line="360" w:lineRule="auto"/>
      <w:ind w:firstLine="555"/>
    </w:pPr>
    <w:rPr>
      <w:rFonts w:ascii="仿宋_GB2312" w:eastAsia="仿宋_GB2312"/>
      <w:sz w:val="28"/>
    </w:rPr>
  </w:style>
  <w:style w:type="paragraph" w:styleId="28">
    <w:name w:val="Balloon Text"/>
    <w:basedOn w:val="1"/>
    <w:link w:val="75"/>
    <w:qFormat/>
    <w:uiPriority w:val="0"/>
    <w:rPr>
      <w:sz w:val="18"/>
      <w:szCs w:val="18"/>
    </w:rPr>
  </w:style>
  <w:style w:type="paragraph" w:styleId="29">
    <w:name w:val="footer"/>
    <w:basedOn w:val="1"/>
    <w:link w:val="56"/>
    <w:qFormat/>
    <w:uiPriority w:val="99"/>
    <w:pPr>
      <w:tabs>
        <w:tab w:val="center" w:pos="4153"/>
        <w:tab w:val="right" w:pos="8306"/>
      </w:tabs>
      <w:snapToGrid w:val="0"/>
      <w:jc w:val="left"/>
    </w:pPr>
    <w:rPr>
      <w:sz w:val="18"/>
      <w:szCs w:val="18"/>
    </w:rPr>
  </w:style>
  <w:style w:type="paragraph" w:styleId="30">
    <w:name w:val="header"/>
    <w:basedOn w:val="1"/>
    <w:link w:val="88"/>
    <w:qFormat/>
    <w:uiPriority w:val="99"/>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pPr>
      <w:spacing w:before="120" w:after="120"/>
      <w:jc w:val="left"/>
    </w:pPr>
    <w:rPr>
      <w:b/>
      <w:bCs/>
      <w:caps/>
      <w:sz w:val="20"/>
    </w:rPr>
  </w:style>
  <w:style w:type="paragraph" w:styleId="32">
    <w:name w:val="toc 4"/>
    <w:basedOn w:val="1"/>
    <w:next w:val="1"/>
    <w:semiHidden/>
    <w:qFormat/>
    <w:uiPriority w:val="0"/>
    <w:pPr>
      <w:ind w:left="630"/>
      <w:jc w:val="left"/>
    </w:pPr>
    <w:rPr>
      <w:sz w:val="18"/>
      <w:szCs w:val="18"/>
    </w:rPr>
  </w:style>
  <w:style w:type="paragraph" w:styleId="33">
    <w:name w:val="footnote text"/>
    <w:basedOn w:val="1"/>
    <w:qFormat/>
    <w:uiPriority w:val="0"/>
    <w:pPr>
      <w:adjustRightInd w:val="0"/>
      <w:snapToGrid w:val="0"/>
      <w:spacing w:line="312" w:lineRule="atLeast"/>
      <w:jc w:val="left"/>
      <w:textAlignment w:val="baseline"/>
    </w:pPr>
    <w:rPr>
      <w:rFonts w:eastAsia="仿宋"/>
      <w:kern w:val="0"/>
      <w:sz w:val="18"/>
      <w:szCs w:val="18"/>
    </w:rPr>
  </w:style>
  <w:style w:type="paragraph" w:styleId="34">
    <w:name w:val="toc 6"/>
    <w:basedOn w:val="1"/>
    <w:next w:val="1"/>
    <w:semiHidden/>
    <w:qFormat/>
    <w:uiPriority w:val="0"/>
    <w:pPr>
      <w:ind w:left="1050"/>
      <w:jc w:val="left"/>
    </w:pPr>
    <w:rPr>
      <w:sz w:val="18"/>
      <w:szCs w:val="18"/>
    </w:rPr>
  </w:style>
  <w:style w:type="paragraph" w:styleId="35">
    <w:name w:val="Body Text Indent 3"/>
    <w:basedOn w:val="1"/>
    <w:link w:val="74"/>
    <w:qFormat/>
    <w:uiPriority w:val="0"/>
    <w:pPr>
      <w:spacing w:line="360" w:lineRule="auto"/>
      <w:ind w:firstLine="480" w:firstLineChars="200"/>
    </w:pPr>
    <w:rPr>
      <w:rFonts w:ascii="宋体"/>
      <w:sz w:val="24"/>
      <w:szCs w:val="24"/>
    </w:rPr>
  </w:style>
  <w:style w:type="paragraph" w:styleId="36">
    <w:name w:val="toc 2"/>
    <w:basedOn w:val="1"/>
    <w:next w:val="1"/>
    <w:qFormat/>
    <w:uiPriority w:val="39"/>
    <w:pPr>
      <w:ind w:left="210"/>
      <w:jc w:val="left"/>
    </w:pPr>
    <w:rPr>
      <w:smallCaps/>
      <w:sz w:val="20"/>
    </w:rPr>
  </w:style>
  <w:style w:type="paragraph" w:styleId="37">
    <w:name w:val="toc 9"/>
    <w:basedOn w:val="1"/>
    <w:next w:val="1"/>
    <w:semiHidden/>
    <w:qFormat/>
    <w:uiPriority w:val="0"/>
    <w:pPr>
      <w:ind w:left="1680"/>
      <w:jc w:val="left"/>
    </w:pPr>
    <w:rPr>
      <w:sz w:val="18"/>
      <w:szCs w:val="18"/>
    </w:rPr>
  </w:style>
  <w:style w:type="paragraph" w:styleId="38">
    <w:name w:val="Body Text 2"/>
    <w:basedOn w:val="1"/>
    <w:link w:val="67"/>
    <w:qFormat/>
    <w:uiPriority w:val="0"/>
    <w:pPr>
      <w:spacing w:after="120" w:line="480" w:lineRule="auto"/>
    </w:pPr>
    <w:rPr>
      <w:szCs w:val="24"/>
    </w:rPr>
  </w:style>
  <w:style w:type="paragraph" w:styleId="39">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40">
    <w:name w:val="annotation subject"/>
    <w:basedOn w:val="16"/>
    <w:next w:val="16"/>
    <w:link w:val="72"/>
    <w:qFormat/>
    <w:uiPriority w:val="0"/>
    <w:rPr>
      <w:b/>
      <w:bCs/>
    </w:rPr>
  </w:style>
  <w:style w:type="paragraph" w:styleId="41">
    <w:name w:val="Body Text First Indent"/>
    <w:basedOn w:val="1"/>
    <w:link w:val="80"/>
    <w:qFormat/>
    <w:uiPriority w:val="0"/>
    <w:pPr>
      <w:autoSpaceDE w:val="0"/>
      <w:autoSpaceDN w:val="0"/>
      <w:adjustRightInd w:val="0"/>
      <w:spacing w:after="120" w:line="312" w:lineRule="atLeast"/>
      <w:ind w:firstLine="420"/>
    </w:pPr>
    <w:rPr>
      <w:rFonts w:ascii="宋体"/>
      <w:kern w:val="0"/>
    </w:rPr>
  </w:style>
  <w:style w:type="paragraph" w:styleId="42">
    <w:name w:val="Body Text First Indent 2"/>
    <w:basedOn w:val="19"/>
    <w:link w:val="62"/>
    <w:qFormat/>
    <w:uiPriority w:val="0"/>
    <w:pPr>
      <w:spacing w:after="120" w:line="240" w:lineRule="auto"/>
      <w:ind w:left="420" w:leftChars="200" w:firstLine="420" w:firstLineChars="200"/>
    </w:pPr>
    <w:rPr>
      <w:rFonts w:eastAsia="宋体"/>
      <w:sz w:val="21"/>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qFormat/>
    <w:uiPriority w:val="22"/>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line number"/>
    <w:basedOn w:val="45"/>
    <w:qFormat/>
    <w:uiPriority w:val="0"/>
  </w:style>
  <w:style w:type="character" w:styleId="50">
    <w:name w:val="Hyperlink"/>
    <w:basedOn w:val="45"/>
    <w:qFormat/>
    <w:uiPriority w:val="99"/>
    <w:rPr>
      <w:color w:val="0000FF"/>
      <w:u w:val="single"/>
    </w:rPr>
  </w:style>
  <w:style w:type="character" w:styleId="51">
    <w:name w:val="annotation reference"/>
    <w:qFormat/>
    <w:uiPriority w:val="0"/>
    <w:rPr>
      <w:sz w:val="21"/>
      <w:szCs w:val="21"/>
    </w:rPr>
  </w:style>
  <w:style w:type="character" w:styleId="52">
    <w:name w:val="HTML Sample"/>
    <w:basedOn w:val="45"/>
    <w:qFormat/>
    <w:uiPriority w:val="0"/>
    <w:rPr>
      <w:rFonts w:ascii="Courier New" w:hAnsi="Courier New"/>
    </w:rPr>
  </w:style>
  <w:style w:type="paragraph" w:customStyle="1" w:styleId="53">
    <w:name w:val="首行缩进"/>
    <w:basedOn w:val="1"/>
    <w:qFormat/>
    <w:uiPriority w:val="0"/>
    <w:pPr>
      <w:ind w:firstLine="480" w:firstLineChars="200"/>
    </w:pPr>
    <w:rPr>
      <w:lang w:val="zh-CN"/>
    </w:rPr>
  </w:style>
  <w:style w:type="paragraph" w:customStyle="1" w:styleId="54">
    <w:name w:val="TOAHeading"/>
    <w:basedOn w:val="1"/>
    <w:next w:val="1"/>
    <w:qFormat/>
    <w:uiPriority w:val="0"/>
    <w:pPr>
      <w:spacing w:before="120"/>
    </w:pPr>
    <w:rPr>
      <w:rFonts w:ascii="Arial" w:hAnsi="Arial"/>
      <w:sz w:val="24"/>
    </w:rPr>
  </w:style>
  <w:style w:type="character" w:customStyle="1" w:styleId="55">
    <w:name w:val="正文文本 Char"/>
    <w:link w:val="18"/>
    <w:qFormat/>
    <w:uiPriority w:val="0"/>
    <w:rPr>
      <w:rFonts w:eastAsia="宋体"/>
      <w:kern w:val="2"/>
      <w:sz w:val="21"/>
      <w:lang w:val="en-US" w:eastAsia="zh-CN" w:bidi="ar-SA"/>
    </w:rPr>
  </w:style>
  <w:style w:type="character" w:customStyle="1" w:styleId="56">
    <w:name w:val="页脚 Char"/>
    <w:link w:val="29"/>
    <w:qFormat/>
    <w:uiPriority w:val="99"/>
    <w:rPr>
      <w:rFonts w:eastAsia="宋体"/>
      <w:kern w:val="2"/>
      <w:sz w:val="18"/>
      <w:szCs w:val="18"/>
      <w:lang w:val="en-US" w:eastAsia="zh-CN" w:bidi="ar-SA"/>
    </w:rPr>
  </w:style>
  <w:style w:type="character" w:customStyle="1" w:styleId="57">
    <w:name w:val="正文文本缩进 Char"/>
    <w:link w:val="19"/>
    <w:qFormat/>
    <w:uiPriority w:val="0"/>
    <w:rPr>
      <w:rFonts w:ascii="仿宋_GB2312" w:eastAsia="仿宋_GB2312"/>
      <w:kern w:val="2"/>
      <w:sz w:val="28"/>
      <w:lang w:val="en-US" w:eastAsia="zh-CN" w:bidi="ar-SA"/>
    </w:rPr>
  </w:style>
  <w:style w:type="character" w:customStyle="1" w:styleId="58">
    <w:name w:val="标题 9 Char"/>
    <w:link w:val="11"/>
    <w:qFormat/>
    <w:uiPriority w:val="0"/>
    <w:rPr>
      <w:rFonts w:ascii="Arial" w:hAnsi="Arial" w:eastAsia="黑体"/>
      <w:kern w:val="2"/>
      <w:sz w:val="24"/>
      <w:szCs w:val="21"/>
      <w:lang w:val="en-US" w:eastAsia="zh-CN" w:bidi="ar-SA"/>
    </w:rPr>
  </w:style>
  <w:style w:type="character" w:customStyle="1" w:styleId="59">
    <w:name w:val="font51"/>
    <w:qFormat/>
    <w:uiPriority w:val="0"/>
    <w:rPr>
      <w:rFonts w:hint="eastAsia" w:ascii="宋体" w:hAnsi="宋体" w:eastAsia="宋体" w:cs="宋体"/>
      <w:color w:val="000000"/>
      <w:sz w:val="44"/>
      <w:szCs w:val="44"/>
      <w:u w:val="none"/>
    </w:rPr>
  </w:style>
  <w:style w:type="character" w:customStyle="1" w:styleId="60">
    <w:name w:val="标题 5 Char"/>
    <w:link w:val="7"/>
    <w:qFormat/>
    <w:uiPriority w:val="0"/>
    <w:rPr>
      <w:rFonts w:ascii="宋体" w:eastAsia="宋体"/>
      <w:b/>
      <w:sz w:val="28"/>
      <w:lang w:val="en-US" w:eastAsia="zh-CN" w:bidi="ar-SA"/>
    </w:rPr>
  </w:style>
  <w:style w:type="character" w:customStyle="1" w:styleId="61">
    <w:name w:val="正文 + 行距: 1.5 倍行距 Char"/>
    <w:qFormat/>
    <w:uiPriority w:val="0"/>
    <w:rPr>
      <w:rFonts w:ascii="Arial" w:hAnsi="Arial" w:eastAsia="宋体" w:cs="Arial"/>
      <w:kern w:val="2"/>
      <w:sz w:val="21"/>
      <w:szCs w:val="21"/>
      <w:lang w:val="en-US" w:eastAsia="zh-CN" w:bidi="ar-SA"/>
    </w:rPr>
  </w:style>
  <w:style w:type="character" w:customStyle="1" w:styleId="62">
    <w:name w:val="正文首行缩进 2 Char"/>
    <w:link w:val="42"/>
    <w:qFormat/>
    <w:uiPriority w:val="0"/>
    <w:rPr>
      <w:rFonts w:ascii="仿宋_GB2312" w:eastAsia="宋体"/>
      <w:kern w:val="2"/>
      <w:sz w:val="21"/>
      <w:szCs w:val="24"/>
      <w:lang w:val="en-US" w:eastAsia="zh-CN" w:bidi="ar-SA"/>
    </w:rPr>
  </w:style>
  <w:style w:type="character" w:customStyle="1" w:styleId="63">
    <w:name w:val="small1"/>
    <w:qFormat/>
    <w:uiPriority w:val="0"/>
    <w:rPr>
      <w:rFonts w:hint="default" w:ascii="Arial" w:hAnsi="Arial" w:cs="Arial"/>
      <w:sz w:val="16"/>
      <w:szCs w:val="16"/>
    </w:rPr>
  </w:style>
  <w:style w:type="character" w:customStyle="1" w:styleId="64">
    <w:name w:val="Char Char4"/>
    <w:qFormat/>
    <w:uiPriority w:val="0"/>
    <w:rPr>
      <w:rFonts w:eastAsia="宋体"/>
      <w:kern w:val="2"/>
      <w:sz w:val="18"/>
      <w:szCs w:val="18"/>
      <w:lang w:val="en-US" w:eastAsia="zh-CN" w:bidi="ar-SA"/>
    </w:rPr>
  </w:style>
  <w:style w:type="character" w:customStyle="1" w:styleId="65">
    <w:name w:val="标题 3 Char Char"/>
    <w:qFormat/>
    <w:uiPriority w:val="0"/>
    <w:rPr>
      <w:b/>
      <w:bCs/>
      <w:sz w:val="32"/>
      <w:szCs w:val="32"/>
    </w:rPr>
  </w:style>
  <w:style w:type="character" w:customStyle="1" w:styleId="66">
    <w:name w:val="正文文本缩进 2 Char"/>
    <w:link w:val="27"/>
    <w:qFormat/>
    <w:uiPriority w:val="0"/>
    <w:rPr>
      <w:rFonts w:ascii="仿宋_GB2312" w:eastAsia="仿宋_GB2312"/>
      <w:kern w:val="2"/>
      <w:sz w:val="28"/>
      <w:lang w:val="en-US" w:eastAsia="zh-CN" w:bidi="ar-SA"/>
    </w:rPr>
  </w:style>
  <w:style w:type="character" w:customStyle="1" w:styleId="67">
    <w:name w:val="正文文本 2 Char"/>
    <w:link w:val="38"/>
    <w:qFormat/>
    <w:uiPriority w:val="0"/>
    <w:rPr>
      <w:rFonts w:eastAsia="宋体"/>
      <w:kern w:val="2"/>
      <w:sz w:val="21"/>
      <w:szCs w:val="24"/>
      <w:lang w:val="en-US" w:eastAsia="zh-CN" w:bidi="ar-SA"/>
    </w:rPr>
  </w:style>
  <w:style w:type="character" w:customStyle="1" w:styleId="68">
    <w:name w:val="日期 Char"/>
    <w:link w:val="26"/>
    <w:qFormat/>
    <w:uiPriority w:val="0"/>
    <w:rPr>
      <w:rFonts w:eastAsia="宋体"/>
      <w:color w:val="000000"/>
      <w:sz w:val="30"/>
      <w:lang w:val="en-US" w:eastAsia="zh-CN" w:bidi="ar-SA"/>
    </w:rPr>
  </w:style>
  <w:style w:type="character" w:customStyle="1" w:styleId="69">
    <w:name w:val="标题 3 Char"/>
    <w:link w:val="5"/>
    <w:qFormat/>
    <w:uiPriority w:val="0"/>
    <w:rPr>
      <w:b/>
      <w:bCs/>
      <w:kern w:val="2"/>
      <w:sz w:val="28"/>
      <w:szCs w:val="24"/>
    </w:rPr>
  </w:style>
  <w:style w:type="character" w:customStyle="1" w:styleId="70">
    <w:name w:val="纯文本 Char"/>
    <w:link w:val="24"/>
    <w:qFormat/>
    <w:uiPriority w:val="0"/>
    <w:rPr>
      <w:rFonts w:ascii="宋体" w:hAnsi="宋体" w:eastAsia="宋体"/>
      <w:kern w:val="2"/>
      <w:sz w:val="21"/>
      <w:lang w:val="en-US" w:eastAsia="zh-CN" w:bidi="ar-SA"/>
    </w:rPr>
  </w:style>
  <w:style w:type="character" w:customStyle="1" w:styleId="71">
    <w:name w:val="纯文本 Char Char"/>
    <w:qFormat/>
    <w:uiPriority w:val="0"/>
    <w:rPr>
      <w:rFonts w:ascii="宋体" w:hAnsi="Courier New" w:eastAsia="宋体" w:cs="Courier New"/>
      <w:szCs w:val="21"/>
    </w:rPr>
  </w:style>
  <w:style w:type="character" w:customStyle="1" w:styleId="72">
    <w:name w:val="批注主题 Char"/>
    <w:link w:val="40"/>
    <w:qFormat/>
    <w:uiPriority w:val="0"/>
    <w:rPr>
      <w:rFonts w:eastAsia="宋体"/>
      <w:b/>
      <w:bCs/>
      <w:kern w:val="2"/>
      <w:sz w:val="21"/>
      <w:szCs w:val="24"/>
      <w:lang w:val="en-US" w:eastAsia="zh-CN" w:bidi="ar-SA"/>
    </w:rPr>
  </w:style>
  <w:style w:type="character" w:customStyle="1" w:styleId="73">
    <w:name w:val="font01"/>
    <w:qFormat/>
    <w:uiPriority w:val="0"/>
    <w:rPr>
      <w:rFonts w:hint="eastAsia" w:ascii="宋体" w:hAnsi="宋体" w:eastAsia="宋体" w:cs="宋体"/>
      <w:color w:val="000000"/>
      <w:sz w:val="24"/>
      <w:szCs w:val="24"/>
      <w:u w:val="none"/>
    </w:rPr>
  </w:style>
  <w:style w:type="character" w:customStyle="1" w:styleId="74">
    <w:name w:val="正文文本缩进 3 Char"/>
    <w:link w:val="35"/>
    <w:qFormat/>
    <w:uiPriority w:val="0"/>
    <w:rPr>
      <w:rFonts w:ascii="宋体" w:eastAsia="宋体"/>
      <w:kern w:val="2"/>
      <w:sz w:val="24"/>
      <w:szCs w:val="24"/>
      <w:lang w:val="en-US" w:eastAsia="zh-CN" w:bidi="ar-SA"/>
    </w:rPr>
  </w:style>
  <w:style w:type="character" w:customStyle="1" w:styleId="75">
    <w:name w:val="批注框文本 Char"/>
    <w:link w:val="28"/>
    <w:qFormat/>
    <w:uiPriority w:val="0"/>
    <w:rPr>
      <w:rFonts w:eastAsia="宋体"/>
      <w:kern w:val="2"/>
      <w:sz w:val="18"/>
      <w:szCs w:val="18"/>
      <w:lang w:val="en-US" w:eastAsia="zh-CN" w:bidi="ar-SA"/>
    </w:rPr>
  </w:style>
  <w:style w:type="character" w:customStyle="1" w:styleId="76">
    <w:name w:val="HTML 地址 Char"/>
    <w:link w:val="21"/>
    <w:qFormat/>
    <w:uiPriority w:val="0"/>
    <w:rPr>
      <w:rFonts w:eastAsia="宋体"/>
      <w:i/>
      <w:iCs/>
      <w:kern w:val="2"/>
      <w:sz w:val="21"/>
      <w:szCs w:val="24"/>
      <w:lang w:val="en-US" w:eastAsia="zh-CN" w:bidi="ar-SA"/>
    </w:rPr>
  </w:style>
  <w:style w:type="character" w:customStyle="1" w:styleId="77">
    <w:name w:val="标题 2 Char"/>
    <w:link w:val="4"/>
    <w:qFormat/>
    <w:uiPriority w:val="0"/>
    <w:rPr>
      <w:b/>
      <w:kern w:val="2"/>
      <w:sz w:val="24"/>
      <w:szCs w:val="24"/>
    </w:rPr>
  </w:style>
  <w:style w:type="character" w:customStyle="1" w:styleId="78">
    <w:name w:val="b Char"/>
    <w:link w:val="79"/>
    <w:qFormat/>
    <w:uiPriority w:val="0"/>
    <w:rPr>
      <w:rFonts w:ascii="EU-F1" w:eastAsia="黑体"/>
      <w:sz w:val="21"/>
      <w:szCs w:val="21"/>
      <w:lang w:val="en-US" w:eastAsia="zh-CN" w:bidi="ar-SA"/>
    </w:rPr>
  </w:style>
  <w:style w:type="paragraph" w:customStyle="1" w:styleId="79">
    <w:name w:val="b"/>
    <w:basedOn w:val="1"/>
    <w:link w:val="78"/>
    <w:qFormat/>
    <w:uiPriority w:val="0"/>
    <w:pPr>
      <w:tabs>
        <w:tab w:val="center" w:pos="4706"/>
        <w:tab w:val="right" w:pos="9044"/>
      </w:tabs>
      <w:topLinePunct/>
      <w:spacing w:before="160" w:after="60" w:line="312" w:lineRule="exact"/>
      <w:jc w:val="center"/>
    </w:pPr>
    <w:rPr>
      <w:rFonts w:ascii="EU-F1" w:eastAsia="黑体"/>
      <w:kern w:val="0"/>
      <w:szCs w:val="21"/>
    </w:rPr>
  </w:style>
  <w:style w:type="character" w:customStyle="1" w:styleId="80">
    <w:name w:val="正文首行缩进 Char"/>
    <w:link w:val="41"/>
    <w:qFormat/>
    <w:uiPriority w:val="0"/>
    <w:rPr>
      <w:rFonts w:ascii="宋体" w:eastAsia="宋体"/>
      <w:sz w:val="21"/>
      <w:lang w:val="en-US" w:eastAsia="zh-CN" w:bidi="ar-SA"/>
    </w:rPr>
  </w:style>
  <w:style w:type="character" w:customStyle="1" w:styleId="81">
    <w:name w:val="批注文字 Char"/>
    <w:link w:val="16"/>
    <w:qFormat/>
    <w:uiPriority w:val="0"/>
    <w:rPr>
      <w:rFonts w:eastAsia="宋体"/>
      <w:kern w:val="2"/>
      <w:sz w:val="21"/>
      <w:szCs w:val="24"/>
      <w:lang w:val="en-US" w:eastAsia="zh-CN" w:bidi="ar-SA"/>
    </w:rPr>
  </w:style>
  <w:style w:type="character" w:customStyle="1" w:styleId="82">
    <w:name w:val="标题 7 Char"/>
    <w:link w:val="9"/>
    <w:qFormat/>
    <w:uiPriority w:val="0"/>
    <w:rPr>
      <w:rFonts w:ascii="宋体" w:hAnsi="宋体"/>
      <w:b/>
      <w:kern w:val="2"/>
      <w:sz w:val="28"/>
      <w:szCs w:val="24"/>
    </w:rPr>
  </w:style>
  <w:style w:type="character" w:customStyle="1" w:styleId="83">
    <w:name w:val="标题 1 Char"/>
    <w:qFormat/>
    <w:uiPriority w:val="0"/>
    <w:rPr>
      <w:rFonts w:ascii="仿宋_GB2312" w:eastAsia="仿宋_GB2312"/>
      <w:kern w:val="2"/>
      <w:sz w:val="28"/>
      <w:lang w:val="en-US" w:eastAsia="zh-CN" w:bidi="ar-SA"/>
    </w:rPr>
  </w:style>
  <w:style w:type="character" w:customStyle="1" w:styleId="84">
    <w:name w:val="Char Char Char"/>
    <w:qFormat/>
    <w:uiPriority w:val="0"/>
    <w:rPr>
      <w:rFonts w:ascii="Arial Black" w:hAnsi="Arial Black" w:eastAsia="黑体"/>
      <w:b/>
      <w:bCs/>
      <w:kern w:val="2"/>
      <w:sz w:val="32"/>
      <w:szCs w:val="32"/>
      <w:lang w:val="en-US" w:eastAsia="zh-CN" w:bidi="ar-SA"/>
    </w:rPr>
  </w:style>
  <w:style w:type="character" w:customStyle="1" w:styleId="85">
    <w:name w:val="default1"/>
    <w:qFormat/>
    <w:uiPriority w:val="0"/>
    <w:rPr>
      <w:rFonts w:hint="default" w:ascii="Arial" w:hAnsi="Arial" w:cs="Arial"/>
      <w:sz w:val="20"/>
      <w:szCs w:val="20"/>
    </w:rPr>
  </w:style>
  <w:style w:type="character" w:customStyle="1" w:styleId="86">
    <w:name w:val="页脚 Char1"/>
    <w:qFormat/>
    <w:uiPriority w:val="0"/>
    <w:rPr>
      <w:kern w:val="2"/>
      <w:sz w:val="18"/>
      <w:szCs w:val="18"/>
    </w:rPr>
  </w:style>
  <w:style w:type="character" w:customStyle="1" w:styleId="87">
    <w:name w:val="H2 Char"/>
    <w:qFormat/>
    <w:uiPriority w:val="0"/>
    <w:rPr>
      <w:rFonts w:ascii="Arial" w:hAnsi="Arial" w:eastAsia="黑体" w:cs="Times New Roman"/>
      <w:b/>
      <w:bCs/>
      <w:kern w:val="0"/>
      <w:sz w:val="32"/>
      <w:szCs w:val="32"/>
    </w:rPr>
  </w:style>
  <w:style w:type="character" w:customStyle="1" w:styleId="88">
    <w:name w:val="页眉 Char"/>
    <w:link w:val="30"/>
    <w:qFormat/>
    <w:uiPriority w:val="99"/>
    <w:rPr>
      <w:rFonts w:eastAsia="宋体"/>
      <w:kern w:val="2"/>
      <w:sz w:val="18"/>
      <w:lang w:val="en-US" w:eastAsia="zh-CN" w:bidi="ar-SA"/>
    </w:rPr>
  </w:style>
  <w:style w:type="character" w:customStyle="1" w:styleId="89">
    <w:name w:val="标题 8 Char"/>
    <w:link w:val="10"/>
    <w:qFormat/>
    <w:uiPriority w:val="0"/>
    <w:rPr>
      <w:b/>
      <w:kern w:val="2"/>
      <w:sz w:val="28"/>
      <w:szCs w:val="24"/>
      <w:u w:val="single"/>
    </w:rPr>
  </w:style>
  <w:style w:type="character" w:customStyle="1" w:styleId="90">
    <w:name w:val="Default Text Char"/>
    <w:link w:val="91"/>
    <w:qFormat/>
    <w:locked/>
    <w:uiPriority w:val="0"/>
    <w:rPr>
      <w:color w:val="000000"/>
      <w:sz w:val="24"/>
      <w:szCs w:val="24"/>
      <w:lang w:val="en-US" w:eastAsia="zh-CN" w:bidi="ar-SA"/>
    </w:rPr>
  </w:style>
  <w:style w:type="paragraph" w:customStyle="1" w:styleId="91">
    <w:name w:val="Default Text"/>
    <w:link w:val="9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92">
    <w:name w:val="标题 4 Char"/>
    <w:link w:val="6"/>
    <w:qFormat/>
    <w:uiPriority w:val="0"/>
    <w:rPr>
      <w:b/>
      <w:color w:val="000000"/>
      <w:kern w:val="2"/>
      <w:sz w:val="28"/>
      <w:szCs w:val="24"/>
      <w:u w:val="single"/>
    </w:rPr>
  </w:style>
  <w:style w:type="character" w:customStyle="1" w:styleId="93">
    <w:name w:val="p21"/>
    <w:qFormat/>
    <w:uiPriority w:val="0"/>
    <w:rPr>
      <w:rFonts w:hint="default" w:ascii="Arial" w:hAnsi="Arial" w:cs="Arial"/>
      <w:color w:val="333333"/>
      <w:sz w:val="18"/>
      <w:szCs w:val="18"/>
      <w:u w:val="none"/>
    </w:rPr>
  </w:style>
  <w:style w:type="character" w:customStyle="1" w:styleId="94">
    <w:name w:val="Char Char6"/>
    <w:qFormat/>
    <w:uiPriority w:val="0"/>
    <w:rPr>
      <w:rFonts w:ascii="Times New Roman" w:hAnsi="Times New Roman"/>
      <w:b/>
      <w:bCs/>
      <w:kern w:val="2"/>
      <w:sz w:val="28"/>
      <w:szCs w:val="28"/>
    </w:rPr>
  </w:style>
  <w:style w:type="character" w:customStyle="1" w:styleId="95">
    <w:name w:val="标题 6 Char"/>
    <w:link w:val="8"/>
    <w:qFormat/>
    <w:uiPriority w:val="0"/>
    <w:rPr>
      <w:rFonts w:eastAsia="宋体"/>
      <w:bCs/>
      <w:kern w:val="2"/>
      <w:sz w:val="28"/>
      <w:lang w:val="en-US" w:eastAsia="zh-CN" w:bidi="ar-SA"/>
    </w:rPr>
  </w:style>
  <w:style w:type="character" w:customStyle="1" w:styleId="96">
    <w:name w:val="正文 + Arial Char"/>
    <w:qFormat/>
    <w:uiPriority w:val="0"/>
    <w:rPr>
      <w:rFonts w:ascii="Arial" w:hAnsi="Arial" w:eastAsia="宋体" w:cs="Arial"/>
      <w:kern w:val="2"/>
      <w:sz w:val="21"/>
      <w:szCs w:val="21"/>
      <w:lang w:val="en-US" w:eastAsia="zh-CN" w:bidi="ar-SA"/>
    </w:rPr>
  </w:style>
  <w:style w:type="character" w:customStyle="1" w:styleId="97">
    <w:name w:val="链接"/>
    <w:qFormat/>
    <w:uiPriority w:val="0"/>
    <w:rPr>
      <w:rFonts w:ascii="Times New Roman" w:eastAsia="宋体"/>
      <w:color w:val="0000FF"/>
      <w:sz w:val="21"/>
      <w:u w:val="single" w:color="0000FF"/>
      <w:vertAlign w:val="baseline"/>
      <w:lang w:val="en-US" w:eastAsia="zh-CN"/>
    </w:rPr>
  </w:style>
  <w:style w:type="paragraph" w:customStyle="1" w:styleId="98">
    <w:name w:val="font11"/>
    <w:basedOn w:val="1"/>
    <w:qFormat/>
    <w:uiPriority w:val="0"/>
    <w:pPr>
      <w:widowControl/>
      <w:spacing w:before="100" w:beforeAutospacing="1" w:after="100" w:afterAutospacing="1"/>
      <w:jc w:val="left"/>
    </w:pPr>
    <w:rPr>
      <w:kern w:val="0"/>
      <w:sz w:val="22"/>
      <w:szCs w:val="22"/>
    </w:rPr>
  </w:style>
  <w:style w:type="paragraph" w:customStyle="1" w:styleId="99">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100">
    <w:name w:val="标题 4。1"/>
    <w:basedOn w:val="6"/>
    <w:qFormat/>
    <w:uiPriority w:val="0"/>
    <w:pPr>
      <w:keepLines/>
      <w:tabs>
        <w:tab w:val="left" w:pos="864"/>
        <w:tab w:val="clear" w:pos="435"/>
      </w:tabs>
      <w:spacing w:before="280" w:after="290" w:line="372" w:lineRule="auto"/>
      <w:ind w:left="567" w:hanging="567"/>
    </w:pPr>
    <w:rPr>
      <w:rFonts w:ascii="Arial" w:hAnsi="Arial" w:eastAsia="黑体"/>
      <w:bCs/>
      <w:color w:val="auto"/>
      <w:szCs w:val="28"/>
      <w:u w:val="none"/>
    </w:rPr>
  </w:style>
  <w:style w:type="paragraph" w:customStyle="1" w:styleId="101">
    <w:name w:val="font10"/>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102">
    <w:name w:val="项目编号3"/>
    <w:basedOn w:val="1"/>
    <w:qFormat/>
    <w:uiPriority w:val="0"/>
    <w:pPr>
      <w:spacing w:line="360" w:lineRule="auto"/>
    </w:pPr>
    <w:rPr>
      <w:rFonts w:cs="宋体"/>
      <w:sz w:val="24"/>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04">
    <w:name w:val="标题 2.1"/>
    <w:basedOn w:val="4"/>
    <w:qFormat/>
    <w:uiPriority w:val="0"/>
    <w:pPr>
      <w:keepNext w:val="0"/>
      <w:autoSpaceDE w:val="0"/>
      <w:autoSpaceDN w:val="0"/>
      <w:adjustRightInd w:val="0"/>
      <w:spacing w:before="240" w:line="240" w:lineRule="auto"/>
      <w:ind w:left="0" w:firstLine="0"/>
      <w:jc w:val="center"/>
    </w:pPr>
    <w:rPr>
      <w:rFonts w:ascii="黑体" w:eastAsia="黑体"/>
      <w:b w:val="0"/>
      <w:kern w:val="0"/>
      <w:sz w:val="30"/>
      <w:szCs w:val="30"/>
    </w:rPr>
  </w:style>
  <w:style w:type="paragraph" w:customStyle="1" w:styleId="105">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106">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07">
    <w:name w:val="默认段落字体 Para Char Char Char Char Char Char Char"/>
    <w:basedOn w:val="1"/>
    <w:qFormat/>
    <w:uiPriority w:val="0"/>
    <w:rPr>
      <w:rFonts w:ascii="Tahoma" w:hAnsi="Tahoma"/>
      <w:sz w:val="24"/>
    </w:rPr>
  </w:style>
  <w:style w:type="paragraph" w:customStyle="1" w:styleId="108">
    <w:name w:val="xl45"/>
    <w:basedOn w:val="1"/>
    <w:qFormat/>
    <w:uiPriority w:val="0"/>
    <w:pPr>
      <w:widowControl/>
      <w:spacing w:before="100" w:beforeAutospacing="1" w:after="100" w:afterAutospacing="1"/>
      <w:jc w:val="left"/>
      <w:textAlignment w:val="center"/>
    </w:pPr>
    <w:rPr>
      <w:rFonts w:ascii="宋体" w:hAnsi="宋体"/>
      <w:kern w:val="0"/>
      <w:sz w:val="20"/>
    </w:rPr>
  </w:style>
  <w:style w:type="paragraph" w:customStyle="1" w:styleId="109">
    <w:name w:val="文档正文"/>
    <w:basedOn w:val="1"/>
    <w:qFormat/>
    <w:uiPriority w:val="0"/>
    <w:pPr>
      <w:adjustRightInd w:val="0"/>
      <w:spacing w:line="480" w:lineRule="atLeast"/>
      <w:ind w:firstLine="567"/>
      <w:textAlignment w:val="baseline"/>
    </w:pPr>
    <w:rPr>
      <w:rFonts w:eastAsia="楷体_GB2312"/>
      <w:kern w:val="0"/>
      <w:sz w:val="28"/>
    </w:rPr>
  </w:style>
  <w:style w:type="paragraph" w:customStyle="1" w:styleId="110">
    <w:name w:val="tabletext"/>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111">
    <w:name w:val="正文文本样式 加粗"/>
    <w:basedOn w:val="1"/>
    <w:qFormat/>
    <w:uiPriority w:val="0"/>
    <w:pPr>
      <w:spacing w:line="360" w:lineRule="auto"/>
      <w:ind w:firstLine="482"/>
    </w:pPr>
    <w:rPr>
      <w:b/>
      <w:kern w:val="0"/>
      <w:sz w:val="24"/>
    </w:rPr>
  </w:style>
  <w:style w:type="paragraph" w:customStyle="1" w:styleId="11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rPr>
  </w:style>
  <w:style w:type="paragraph" w:customStyle="1" w:styleId="113">
    <w:name w:val="font9"/>
    <w:basedOn w:val="1"/>
    <w:qFormat/>
    <w:uiPriority w:val="0"/>
    <w:pPr>
      <w:widowControl/>
      <w:spacing w:before="100" w:beforeAutospacing="1" w:after="100" w:afterAutospacing="1"/>
      <w:jc w:val="left"/>
    </w:pPr>
    <w:rPr>
      <w:rFonts w:hint="eastAsia" w:ascii="宋体" w:hAnsi="宋体"/>
      <w:b/>
      <w:bCs/>
      <w:color w:val="FF0000"/>
      <w:kern w:val="0"/>
      <w:sz w:val="20"/>
    </w:rPr>
  </w:style>
  <w:style w:type="paragraph" w:styleId="114">
    <w:name w:val="List Paragraph"/>
    <w:basedOn w:val="1"/>
    <w:qFormat/>
    <w:uiPriority w:val="34"/>
    <w:pPr>
      <w:ind w:firstLine="420" w:firstLineChars="200"/>
    </w:pPr>
    <w:rPr>
      <w:szCs w:val="24"/>
    </w:rPr>
  </w:style>
  <w:style w:type="paragraph" w:customStyle="1" w:styleId="11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800000"/>
      <w:kern w:val="0"/>
      <w:sz w:val="20"/>
    </w:rPr>
  </w:style>
  <w:style w:type="paragraph" w:customStyle="1" w:styleId="116">
    <w:name w:val="H-TextFormat"/>
    <w:qFormat/>
    <w:uiPriority w:val="0"/>
    <w:pPr>
      <w:autoSpaceDE w:val="0"/>
      <w:autoSpaceDN w:val="0"/>
      <w:adjustRightInd w:val="0"/>
    </w:pPr>
    <w:rPr>
      <w:rFonts w:ascii="Arial" w:hAnsi="Arial" w:eastAsia="宋体" w:cs="Arial"/>
      <w:sz w:val="22"/>
      <w:szCs w:val="22"/>
      <w:lang w:val="en-US" w:eastAsia="zh-CN" w:bidi="ar-SA"/>
    </w:rPr>
  </w:style>
  <w:style w:type="paragraph" w:customStyle="1" w:styleId="11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0000FF"/>
      <w:kern w:val="0"/>
      <w:sz w:val="20"/>
    </w:rPr>
  </w:style>
  <w:style w:type="paragraph" w:customStyle="1" w:styleId="11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19">
    <w:name w:val="font7"/>
    <w:basedOn w:val="1"/>
    <w:qFormat/>
    <w:uiPriority w:val="0"/>
    <w:pPr>
      <w:widowControl/>
      <w:spacing w:before="100" w:beforeAutospacing="1" w:after="100" w:afterAutospacing="1"/>
      <w:jc w:val="left"/>
    </w:pPr>
    <w:rPr>
      <w:rFonts w:hint="eastAsia" w:ascii="宋体" w:hAnsi="宋体"/>
      <w:color w:val="000000"/>
      <w:kern w:val="0"/>
      <w:sz w:val="20"/>
    </w:rPr>
  </w:style>
  <w:style w:type="paragraph" w:customStyle="1" w:styleId="12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21">
    <w:name w:val="Item List in Table"/>
    <w:basedOn w:val="1"/>
    <w:qFormat/>
    <w:uiPriority w:val="0"/>
    <w:pPr>
      <w:widowControl/>
      <w:tabs>
        <w:tab w:val="left" w:pos="284"/>
      </w:tabs>
      <w:topLinePunct/>
      <w:adjustRightInd w:val="0"/>
      <w:snapToGrid w:val="0"/>
      <w:spacing w:before="80" w:after="80" w:line="240" w:lineRule="atLeast"/>
      <w:jc w:val="left"/>
    </w:pPr>
    <w:rPr>
      <w:rFonts w:cs="Arial"/>
      <w:kern w:val="0"/>
      <w:szCs w:val="21"/>
    </w:rPr>
  </w:style>
  <w:style w:type="paragraph" w:customStyle="1" w:styleId="122">
    <w:name w:val="Char1 Char Char Char"/>
    <w:basedOn w:val="1"/>
    <w:qFormat/>
    <w:uiPriority w:val="0"/>
    <w:rPr>
      <w:rFonts w:ascii="Tahoma" w:hAnsi="Tahoma"/>
      <w:sz w:val="24"/>
    </w:rPr>
  </w:style>
  <w:style w:type="paragraph" w:customStyle="1" w:styleId="12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0000FF"/>
      <w:kern w:val="0"/>
      <w:sz w:val="20"/>
    </w:rPr>
  </w:style>
  <w:style w:type="paragraph" w:customStyle="1" w:styleId="124">
    <w:name w:val="xl50"/>
    <w:basedOn w:val="1"/>
    <w:qFormat/>
    <w:uiPriority w:val="0"/>
    <w:pPr>
      <w:widowControl/>
      <w:spacing w:before="100" w:beforeAutospacing="1" w:after="100" w:afterAutospacing="1"/>
      <w:jc w:val="left"/>
      <w:textAlignment w:val="center"/>
    </w:pPr>
    <w:rPr>
      <w:rFonts w:ascii="宋体" w:hAnsi="宋体"/>
      <w:b/>
      <w:bCs/>
      <w:color w:val="0000FF"/>
      <w:kern w:val="0"/>
      <w:sz w:val="32"/>
      <w:szCs w:val="32"/>
    </w:rPr>
  </w:style>
  <w:style w:type="paragraph" w:customStyle="1" w:styleId="12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6">
    <w:name w:val="表格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7">
    <w:name w:val="标题3。1"/>
    <w:basedOn w:val="125"/>
    <w:qFormat/>
    <w:uiPriority w:val="0"/>
    <w:rPr>
      <w:b/>
      <w:bCs/>
      <w:kern w:val="2"/>
      <w:sz w:val="28"/>
      <w:szCs w:val="24"/>
    </w:rPr>
  </w:style>
  <w:style w:type="paragraph" w:customStyle="1" w:styleId="128">
    <w:name w:val="注明要点 Char Char"/>
    <w:basedOn w:val="1"/>
    <w:qFormat/>
    <w:uiPriority w:val="0"/>
    <w:pPr>
      <w:adjustRightInd w:val="0"/>
      <w:spacing w:beforeLines="50" w:afterLines="50" w:line="400" w:lineRule="exact"/>
      <w:textAlignment w:val="baseline"/>
    </w:pPr>
    <w:rPr>
      <w:b/>
      <w:sz w:val="24"/>
      <w:szCs w:val="24"/>
    </w:rPr>
  </w:style>
  <w:style w:type="paragraph" w:customStyle="1" w:styleId="129">
    <w:name w:val="xl44"/>
    <w:basedOn w:val="1"/>
    <w:qFormat/>
    <w:uiPriority w:val="0"/>
    <w:pPr>
      <w:widowControl/>
      <w:spacing w:before="100" w:beforeAutospacing="1" w:after="100" w:afterAutospacing="1"/>
      <w:jc w:val="center"/>
      <w:textAlignment w:val="center"/>
    </w:pPr>
    <w:rPr>
      <w:rFonts w:ascii="宋体" w:hAnsi="宋体"/>
      <w:b/>
      <w:bCs/>
      <w:color w:val="0000FF"/>
      <w:kern w:val="0"/>
      <w:sz w:val="20"/>
    </w:rPr>
  </w:style>
  <w:style w:type="paragraph" w:customStyle="1" w:styleId="130">
    <w:name w:val="图"/>
    <w:basedOn w:val="1"/>
    <w:qFormat/>
    <w:uiPriority w:val="0"/>
    <w:pPr>
      <w:keepNext/>
      <w:adjustRightInd w:val="0"/>
      <w:snapToGrid w:val="0"/>
      <w:spacing w:before="60" w:after="60" w:line="300" w:lineRule="auto"/>
      <w:jc w:val="center"/>
    </w:pPr>
    <w:rPr>
      <w:spacing w:val="20"/>
      <w:kern w:val="0"/>
      <w:sz w:val="24"/>
    </w:rPr>
  </w:style>
  <w:style w:type="paragraph" w:customStyle="1" w:styleId="13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3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0000FF"/>
      <w:kern w:val="0"/>
      <w:sz w:val="20"/>
    </w:rPr>
  </w:style>
  <w:style w:type="paragraph" w:customStyle="1" w:styleId="13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0000FF"/>
      <w:kern w:val="0"/>
      <w:sz w:val="20"/>
    </w:rPr>
  </w:style>
  <w:style w:type="paragraph" w:customStyle="1" w:styleId="13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8000"/>
      <w:kern w:val="0"/>
      <w:sz w:val="20"/>
    </w:rPr>
  </w:style>
  <w:style w:type="paragraph" w:customStyle="1" w:styleId="13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37">
    <w:name w:val="font12"/>
    <w:basedOn w:val="1"/>
    <w:qFormat/>
    <w:uiPriority w:val="0"/>
    <w:pPr>
      <w:widowControl/>
      <w:spacing w:before="100" w:beforeAutospacing="1" w:after="100" w:afterAutospacing="1"/>
      <w:jc w:val="left"/>
    </w:pPr>
    <w:rPr>
      <w:rFonts w:hint="eastAsia" w:ascii="楷体_GB2312" w:hAnsi="宋体" w:eastAsia="楷体_GB2312"/>
      <w:b/>
      <w:bCs/>
      <w:color w:val="FF0000"/>
      <w:kern w:val="0"/>
      <w:sz w:val="22"/>
      <w:szCs w:val="22"/>
    </w:rPr>
  </w:style>
  <w:style w:type="paragraph" w:customStyle="1" w:styleId="138">
    <w:name w:val="xl43"/>
    <w:basedOn w:val="1"/>
    <w:qFormat/>
    <w:uiPriority w:val="0"/>
    <w:pPr>
      <w:widowControl/>
      <w:spacing w:before="100" w:beforeAutospacing="1" w:after="100" w:afterAutospacing="1"/>
      <w:jc w:val="left"/>
    </w:pPr>
    <w:rPr>
      <w:rFonts w:ascii="宋体" w:hAnsi="宋体"/>
      <w:kern w:val="0"/>
      <w:sz w:val="20"/>
    </w:rPr>
  </w:style>
  <w:style w:type="paragraph" w:customStyle="1" w:styleId="139">
    <w:name w:val="font13"/>
    <w:basedOn w:val="1"/>
    <w:qFormat/>
    <w:uiPriority w:val="0"/>
    <w:pPr>
      <w:widowControl/>
      <w:spacing w:before="100" w:beforeAutospacing="1" w:after="100" w:afterAutospacing="1"/>
      <w:jc w:val="left"/>
    </w:pPr>
    <w:rPr>
      <w:b/>
      <w:bCs/>
      <w:color w:val="FF0000"/>
      <w:kern w:val="0"/>
      <w:sz w:val="22"/>
      <w:szCs w:val="22"/>
    </w:rPr>
  </w:style>
  <w:style w:type="paragraph" w:customStyle="1" w:styleId="140">
    <w:name w:val="font8"/>
    <w:basedOn w:val="1"/>
    <w:qFormat/>
    <w:uiPriority w:val="0"/>
    <w:pPr>
      <w:widowControl/>
      <w:spacing w:before="100" w:beforeAutospacing="1" w:after="100" w:afterAutospacing="1"/>
      <w:jc w:val="left"/>
    </w:pPr>
    <w:rPr>
      <w:rFonts w:hint="eastAsia" w:ascii="宋体" w:hAnsi="宋体"/>
      <w:b/>
      <w:bCs/>
      <w:color w:val="0000FF"/>
      <w:kern w:val="0"/>
      <w:sz w:val="20"/>
    </w:rPr>
  </w:style>
  <w:style w:type="paragraph" w:customStyle="1" w:styleId="14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000000"/>
      <w:kern w:val="0"/>
      <w:sz w:val="20"/>
    </w:rPr>
  </w:style>
  <w:style w:type="paragraph" w:customStyle="1" w:styleId="14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0000"/>
      <w:kern w:val="0"/>
      <w:sz w:val="20"/>
    </w:rPr>
  </w:style>
  <w:style w:type="paragraph" w:customStyle="1" w:styleId="14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44">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FF"/>
      <w:kern w:val="0"/>
      <w:sz w:val="20"/>
    </w:rPr>
  </w:style>
  <w:style w:type="paragraph" w:customStyle="1" w:styleId="145">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4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00FF"/>
      <w:kern w:val="0"/>
      <w:sz w:val="20"/>
    </w:rPr>
  </w:style>
  <w:style w:type="paragraph" w:customStyle="1" w:styleId="14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49">
    <w:name w:val="Char"/>
    <w:basedOn w:val="1"/>
    <w:qFormat/>
    <w:uiPriority w:val="0"/>
    <w:pPr>
      <w:widowControl/>
      <w:spacing w:after="160" w:line="240" w:lineRule="exact"/>
      <w:jc w:val="left"/>
    </w:pPr>
    <w:rPr>
      <w:rFonts w:ascii="Verdana" w:hAnsi="Verdana"/>
      <w:kern w:val="0"/>
      <w:sz w:val="20"/>
      <w:lang w:eastAsia="en-US"/>
    </w:rPr>
  </w:style>
  <w:style w:type="paragraph" w:customStyle="1" w:styleId="150">
    <w:name w:val="文档正文 Char"/>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151">
    <w:name w:val="tableheading"/>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152">
    <w:name w:val="xl51"/>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15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800000"/>
      <w:kern w:val="0"/>
      <w:sz w:val="20"/>
    </w:rPr>
  </w:style>
  <w:style w:type="paragraph" w:customStyle="1" w:styleId="154">
    <w:name w:val="Char Char Char1"/>
    <w:basedOn w:val="1"/>
    <w:qFormat/>
    <w:uiPriority w:val="0"/>
    <w:rPr>
      <w:rFonts w:ascii="Tahoma" w:hAnsi="Tahoma"/>
      <w:sz w:val="24"/>
    </w:rPr>
  </w:style>
  <w:style w:type="paragraph" w:customStyle="1" w:styleId="15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800000"/>
      <w:kern w:val="0"/>
      <w:sz w:val="20"/>
    </w:rPr>
  </w:style>
  <w:style w:type="paragraph" w:customStyle="1" w:styleId="156">
    <w:name w:val="默认段落字体 Para Char Char Char Char Char Char Char Char Char Char"/>
    <w:basedOn w:val="1"/>
    <w:qFormat/>
    <w:uiPriority w:val="0"/>
    <w:rPr>
      <w:rFonts w:ascii="Tahoma" w:hAnsi="Tahoma"/>
      <w:sz w:val="24"/>
    </w:rPr>
  </w:style>
  <w:style w:type="paragraph" w:customStyle="1" w:styleId="15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rPr>
  </w:style>
  <w:style w:type="paragraph" w:customStyle="1" w:styleId="15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59">
    <w:name w:val="È±Ê¡ÎÄ±¾"/>
    <w:basedOn w:val="1"/>
    <w:qFormat/>
    <w:uiPriority w:val="0"/>
    <w:pPr>
      <w:widowControl/>
      <w:overflowPunct w:val="0"/>
      <w:autoSpaceDE w:val="0"/>
      <w:autoSpaceDN w:val="0"/>
      <w:adjustRightInd w:val="0"/>
      <w:jc w:val="left"/>
    </w:pPr>
    <w:rPr>
      <w:kern w:val="0"/>
      <w:sz w:val="24"/>
    </w:rPr>
  </w:style>
  <w:style w:type="paragraph" w:customStyle="1" w:styleId="160">
    <w:name w:val="列表－视讯"/>
    <w:basedOn w:val="13"/>
    <w:qFormat/>
    <w:uiPriority w:val="0"/>
    <w:pPr>
      <w:tabs>
        <w:tab w:val="left" w:pos="360"/>
        <w:tab w:val="clear" w:pos="1890"/>
      </w:tabs>
      <w:adjustRightInd w:val="0"/>
      <w:spacing w:line="360" w:lineRule="atLeast"/>
      <w:ind w:left="360" w:hanging="360" w:hangingChars="200"/>
      <w:textAlignment w:val="baseline"/>
    </w:pPr>
    <w:rPr>
      <w:sz w:val="24"/>
    </w:rPr>
  </w:style>
  <w:style w:type="paragraph" w:customStyle="1" w:styleId="16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styleId="162">
    <w:name w:val="No Spacing"/>
    <w:link w:val="163"/>
    <w:qFormat/>
    <w:uiPriority w:val="1"/>
    <w:rPr>
      <w:rFonts w:ascii="Calibri" w:hAnsi="Calibri" w:eastAsia="宋体" w:cs="Times New Roman"/>
      <w:sz w:val="22"/>
      <w:szCs w:val="22"/>
      <w:lang w:val="en-US" w:eastAsia="zh-CN" w:bidi="ar-SA"/>
    </w:rPr>
  </w:style>
  <w:style w:type="character" w:customStyle="1" w:styleId="163">
    <w:name w:val="无间隔 Char"/>
    <w:basedOn w:val="45"/>
    <w:link w:val="162"/>
    <w:qFormat/>
    <w:uiPriority w:val="1"/>
    <w:rPr>
      <w:rFonts w:ascii="Calibri" w:hAnsi="Calibri" w:eastAsia="宋体" w:cs="Times New Roman"/>
      <w:sz w:val="22"/>
      <w:szCs w:val="22"/>
      <w:lang w:val="en-US" w:eastAsia="zh-CN" w:bidi="ar-SA"/>
    </w:rPr>
  </w:style>
  <w:style w:type="paragraph" w:customStyle="1" w:styleId="164">
    <w:name w:val="WPSOffice手动目录 1"/>
    <w:qFormat/>
    <w:uiPriority w:val="0"/>
    <w:rPr>
      <w:rFonts w:ascii="Times New Roman" w:hAnsi="Times New Roman" w:eastAsia="宋体" w:cs="Times New Roman"/>
      <w:lang w:val="en-US" w:eastAsia="zh-CN" w:bidi="ar-SA"/>
    </w:rPr>
  </w:style>
  <w:style w:type="paragraph" w:customStyle="1" w:styleId="16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66">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167">
    <w:name w:val="标题 1 字符"/>
    <w:link w:val="3"/>
    <w:qFormat/>
    <w:uiPriority w:val="0"/>
    <w:rPr>
      <w:rFonts w:ascii="仿宋_GB2312" w:eastAsia="仿宋_GB2312"/>
      <w:kern w:val="2"/>
      <w:sz w:val="28"/>
      <w:lang w:val="en-US" w:eastAsia="zh-CN" w:bidi="ar-SA"/>
    </w:rPr>
  </w:style>
  <w:style w:type="paragraph" w:customStyle="1" w:styleId="168">
    <w:name w:val="样式2"/>
    <w:basedOn w:val="1"/>
    <w:qFormat/>
    <w:uiPriority w:val="0"/>
    <w:pPr>
      <w:widowControl/>
      <w:spacing w:line="360" w:lineRule="auto"/>
      <w:jc w:val="left"/>
    </w:pPr>
    <w:rPr>
      <w:rFonts w:ascii="宋体" w:hAnsi="宋体"/>
      <w:kern w:val="0"/>
      <w:sz w:val="24"/>
    </w:rPr>
  </w:style>
  <w:style w:type="paragraph" w:customStyle="1" w:styleId="169">
    <w:name w:val="UserStyle_0"/>
    <w:basedOn w:val="1"/>
    <w:qFormat/>
    <w:uiPriority w:val="0"/>
    <w:pPr>
      <w:widowControl/>
      <w:spacing w:before="60" w:after="60" w:line="360" w:lineRule="exact"/>
      <w:textAlignment w:val="baseline"/>
    </w:pPr>
    <w:rPr>
      <w:rFonts w:cs="宋体"/>
      <w:spacing w:val="-2"/>
      <w:sz w:val="24"/>
    </w:rPr>
  </w:style>
  <w:style w:type="character" w:customStyle="1" w:styleId="170">
    <w:name w:val="NormalCharacter"/>
    <w:semiHidden/>
    <w:qFormat/>
    <w:uiPriority w:val="0"/>
  </w:style>
  <w:style w:type="character" w:customStyle="1" w:styleId="171">
    <w:name w:val="font61"/>
    <w:basedOn w:val="45"/>
    <w:qFormat/>
    <w:uiPriority w:val="0"/>
    <w:rPr>
      <w:rFonts w:hint="eastAsia" w:ascii="宋体" w:hAnsi="宋体" w:eastAsia="宋体" w:cs="宋体"/>
      <w:b/>
      <w:bCs/>
      <w:color w:val="000000"/>
      <w:sz w:val="20"/>
      <w:szCs w:val="20"/>
      <w:u w:val="none"/>
    </w:rPr>
  </w:style>
  <w:style w:type="paragraph" w:customStyle="1" w:styleId="172">
    <w:name w:val="Other|1"/>
    <w:basedOn w:val="1"/>
    <w:qFormat/>
    <w:uiPriority w:val="0"/>
    <w:rPr>
      <w:sz w:val="19"/>
      <w:szCs w:val="19"/>
    </w:rPr>
  </w:style>
  <w:style w:type="paragraph" w:customStyle="1" w:styleId="173">
    <w:name w:val="Body text|2"/>
    <w:basedOn w:val="1"/>
    <w:qFormat/>
    <w:uiPriority w:val="0"/>
    <w:pPr>
      <w:spacing w:after="450"/>
    </w:pPr>
    <w:rPr>
      <w:rFonts w:ascii="宋体" w:hAnsi="宋体" w:cs="宋体"/>
      <w:sz w:val="32"/>
      <w:szCs w:val="32"/>
      <w:lang w:val="zh-TW" w:eastAsia="zh-TW" w:bidi="zh-TW"/>
    </w:rPr>
  </w:style>
  <w:style w:type="paragraph" w:customStyle="1" w:styleId="174">
    <w:name w:val="Body text|1"/>
    <w:basedOn w:val="1"/>
    <w:qFormat/>
    <w:uiPriority w:val="0"/>
    <w:pPr>
      <w:spacing w:line="310" w:lineRule="auto"/>
      <w:ind w:firstLine="70"/>
    </w:pPr>
    <w:rPr>
      <w:rFonts w:ascii="宋体" w:hAnsi="宋体" w:cs="宋体"/>
      <w:lang w:val="zh-TW" w:eastAsia="zh-TW" w:bidi="zh-TW"/>
    </w:rPr>
  </w:style>
  <w:style w:type="paragraph" w:customStyle="1" w:styleId="175">
    <w:name w:val="列出段落1"/>
    <w:basedOn w:val="176"/>
    <w:next w:val="1"/>
    <w:qFormat/>
    <w:uiPriority w:val="0"/>
    <w:pPr>
      <w:ind w:firstLine="420" w:firstLineChars="200"/>
    </w:pPr>
    <w:rPr>
      <w:rFonts w:ascii="Calibri" w:hAnsi="Calibri"/>
      <w:szCs w:val="22"/>
    </w:rPr>
  </w:style>
  <w:style w:type="paragraph" w:customStyle="1" w:styleId="176">
    <w:name w:val="正文 New"/>
    <w:next w:val="17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7">
    <w:name w:val="Table Paragraph"/>
    <w:basedOn w:val="1"/>
    <w:qFormat/>
    <w:uiPriority w:val="1"/>
    <w:rPr>
      <w:rFonts w:ascii="宋体" w:hAnsi="宋体" w:cs="宋体"/>
      <w:lang w:val="zh-CN" w:bidi="zh-CN"/>
    </w:rPr>
  </w:style>
  <w:style w:type="table" w:customStyle="1" w:styleId="178">
    <w:name w:val="Table Normal"/>
    <w:unhideWhenUsed/>
    <w:qFormat/>
    <w:uiPriority w:val="0"/>
    <w:tblPr>
      <w:tblCellMar>
        <w:top w:w="0" w:type="dxa"/>
        <w:left w:w="0" w:type="dxa"/>
        <w:bottom w:w="0" w:type="dxa"/>
        <w:right w:w="0" w:type="dxa"/>
      </w:tblCellMar>
    </w:tblPr>
  </w:style>
  <w:style w:type="character" w:customStyle="1" w:styleId="179">
    <w:name w:val="标题 1 Char1"/>
    <w:link w:val="3"/>
    <w:qFormat/>
    <w:uiPriority w:val="9"/>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6"/>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90AF8-1A5B-4996-887B-AE2402AB234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58</Pages>
  <Words>27796</Words>
  <Characters>29881</Characters>
  <Lines>67</Lines>
  <Paragraphs>72</Paragraphs>
  <TotalTime>34</TotalTime>
  <ScaleCrop>false</ScaleCrop>
  <LinksUpToDate>false</LinksUpToDate>
  <CharactersWithSpaces>32401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2021-10-23T13:54:00Z</dcterms:created>
  <dc:creator>User</dc:creator>
  <cp:lastModifiedBy>jhg</cp:lastModifiedBy>
  <cp:lastPrinted>2020-10-28T08:50:00Z</cp:lastPrinted>
  <dcterms:modified xsi:type="dcterms:W3CDTF">2022-04-28T08:55:43Z</dcterms:modified>
  <dc:title>目    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7044389A479C429599A68962315BB50E</vt:lpwstr>
  </property>
</Properties>
</file>