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color w:val="auto"/>
          <w:sz w:val="44"/>
          <w:szCs w:val="44"/>
        </w:rPr>
      </w:pPr>
      <w:bookmarkStart w:id="202" w:name="_GoBack"/>
      <w:bookmarkEnd w:id="202"/>
    </w:p>
    <w:p>
      <w:pPr>
        <w:spacing w:line="1000" w:lineRule="exact"/>
        <w:ind w:right="-319" w:rightChars="-152"/>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克拉玛依市克拉玛依区市场监督管理局</w:t>
      </w:r>
    </w:p>
    <w:p>
      <w:pPr>
        <w:spacing w:line="1000" w:lineRule="exact"/>
        <w:ind w:right="-319" w:rightChars="-152"/>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202</w:t>
      </w:r>
      <w:r>
        <w:rPr>
          <w:rFonts w:hint="eastAsia" w:ascii="宋体" w:hAnsi="宋体" w:cs="宋体"/>
          <w:b/>
          <w:bCs/>
          <w:color w:val="auto"/>
          <w:sz w:val="44"/>
          <w:szCs w:val="44"/>
          <w:lang w:val="en-US" w:eastAsia="zh-CN"/>
        </w:rPr>
        <w:t>2</w:t>
      </w:r>
      <w:r>
        <w:rPr>
          <w:rFonts w:hint="eastAsia" w:ascii="宋体" w:hAnsi="宋体" w:cs="宋体"/>
          <w:b/>
          <w:bCs/>
          <w:color w:val="auto"/>
          <w:sz w:val="44"/>
          <w:szCs w:val="44"/>
          <w:lang w:eastAsia="zh-CN"/>
        </w:rPr>
        <w:t>年食品安全监督抽检检验项目</w:t>
      </w:r>
    </w:p>
    <w:p>
      <w:pPr>
        <w:spacing w:line="1000" w:lineRule="exact"/>
        <w:ind w:right="-319" w:rightChars="-152"/>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val="en-US" w:eastAsia="zh-CN"/>
        </w:rPr>
        <w:t>竞争性磋商</w:t>
      </w:r>
      <w:r>
        <w:rPr>
          <w:rFonts w:hint="eastAsia" w:ascii="宋体" w:hAnsi="宋体" w:cs="宋体"/>
          <w:b/>
          <w:bCs/>
          <w:color w:val="auto"/>
          <w:sz w:val="44"/>
          <w:szCs w:val="44"/>
        </w:rPr>
        <w:t>文件</w:t>
      </w:r>
    </w:p>
    <w:p>
      <w:pPr>
        <w:spacing w:line="360" w:lineRule="auto"/>
        <w:rPr>
          <w:rFonts w:ascii="宋体" w:hAnsi="宋体" w:cs="宋体"/>
          <w:b/>
          <w:color w:val="auto"/>
          <w:sz w:val="30"/>
          <w:szCs w:val="30"/>
        </w:rPr>
      </w:pPr>
    </w:p>
    <w:p>
      <w:pPr>
        <w:spacing w:line="660" w:lineRule="exact"/>
        <w:jc w:val="center"/>
        <w:rPr>
          <w:rFonts w:ascii="宋体" w:hAnsi="宋体" w:cs="宋体"/>
          <w:color w:val="auto"/>
          <w:sz w:val="24"/>
        </w:rPr>
      </w:pPr>
      <w:r>
        <w:rPr>
          <w:rFonts w:hint="eastAsia" w:ascii="宋体" w:hAnsi="宋体" w:cs="宋体"/>
          <w:b/>
          <w:color w:val="auto"/>
          <w:sz w:val="28"/>
          <w:szCs w:val="28"/>
        </w:rPr>
        <w:t>（编号：</w:t>
      </w:r>
      <w:r>
        <w:rPr>
          <w:rFonts w:hint="eastAsia" w:ascii="宋体" w:hAnsi="宋体" w:cs="宋体"/>
          <w:b/>
          <w:color w:val="auto"/>
          <w:sz w:val="28"/>
          <w:szCs w:val="28"/>
          <w:lang w:eastAsia="zh-CN"/>
        </w:rPr>
        <w:t>YXZB[ZC]2022-05</w:t>
      </w:r>
      <w:r>
        <w:rPr>
          <w:rFonts w:hint="eastAsia" w:ascii="宋体" w:hAnsi="宋体" w:cs="宋体"/>
          <w:b/>
          <w:color w:val="auto"/>
          <w:sz w:val="28"/>
          <w:szCs w:val="28"/>
        </w:rPr>
        <w:t>）</w:t>
      </w:r>
    </w:p>
    <w:p>
      <w:pPr>
        <w:pStyle w:val="7"/>
        <w:rPr>
          <w:rFonts w:ascii="宋体" w:hAnsi="宋体" w:cs="宋体"/>
          <w:b/>
          <w:bCs/>
          <w:color w:val="auto"/>
          <w:sz w:val="32"/>
          <w:szCs w:val="32"/>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pStyle w:val="7"/>
        <w:rPr>
          <w:rFonts w:ascii="宋体" w:hAnsi="宋体" w:cs="宋体"/>
          <w:color w:val="auto"/>
        </w:rPr>
      </w:pPr>
    </w:p>
    <w:p>
      <w:pPr>
        <w:spacing w:line="480" w:lineRule="auto"/>
        <w:ind w:firstLine="1124" w:firstLineChars="400"/>
        <w:rPr>
          <w:rFonts w:hint="eastAsia" w:ascii="宋体" w:hAnsi="宋体" w:eastAsia="宋体" w:cs="宋体"/>
          <w:b/>
          <w:bCs/>
          <w:color w:val="auto"/>
          <w:sz w:val="28"/>
          <w:szCs w:val="28"/>
          <w:lang w:eastAsia="zh-CN"/>
        </w:rPr>
      </w:pPr>
      <w:r>
        <w:rPr>
          <w:rFonts w:hint="eastAsia" w:ascii="宋体" w:hAnsi="宋体" w:cs="宋体"/>
          <w:b/>
          <w:bCs/>
          <w:color w:val="auto"/>
          <w:sz w:val="28"/>
          <w:szCs w:val="28"/>
        </w:rPr>
        <w:t>采 购 人：</w:t>
      </w:r>
      <w:r>
        <w:rPr>
          <w:rFonts w:hint="eastAsia" w:ascii="宋体" w:hAnsi="宋体" w:cs="宋体"/>
          <w:b/>
          <w:bCs/>
          <w:color w:val="auto"/>
          <w:sz w:val="28"/>
          <w:szCs w:val="28"/>
          <w:lang w:eastAsia="zh-CN"/>
        </w:rPr>
        <w:t>克拉玛依市克拉玛依区市场监督管理局</w:t>
      </w:r>
    </w:p>
    <w:p>
      <w:pPr>
        <w:spacing w:line="480" w:lineRule="auto"/>
        <w:ind w:firstLine="1124" w:firstLineChars="400"/>
        <w:rPr>
          <w:rFonts w:hint="eastAsia" w:ascii="宋体" w:hAnsi="宋体" w:eastAsia="宋体" w:cs="宋体"/>
          <w:b/>
          <w:bCs/>
          <w:color w:val="auto"/>
          <w:sz w:val="28"/>
          <w:szCs w:val="28"/>
          <w:lang w:eastAsia="zh-CN"/>
        </w:rPr>
      </w:pPr>
      <w:r>
        <w:rPr>
          <w:rFonts w:hint="eastAsia" w:ascii="宋体" w:hAnsi="宋体" w:cs="宋体"/>
          <w:b/>
          <w:bCs/>
          <w:color w:val="auto"/>
          <w:sz w:val="28"/>
          <w:szCs w:val="28"/>
        </w:rPr>
        <w:t>联 系 人：</w:t>
      </w:r>
      <w:r>
        <w:rPr>
          <w:rFonts w:hint="eastAsia" w:ascii="宋体" w:hAnsi="宋体" w:cs="宋体"/>
          <w:b/>
          <w:bCs/>
          <w:color w:val="auto"/>
          <w:sz w:val="28"/>
          <w:szCs w:val="28"/>
          <w:lang w:eastAsia="zh-CN"/>
        </w:rPr>
        <w:t>宋朋</w:t>
      </w:r>
    </w:p>
    <w:p>
      <w:pPr>
        <w:spacing w:line="480" w:lineRule="auto"/>
        <w:ind w:firstLine="1124" w:firstLineChars="400"/>
        <w:rPr>
          <w:rFonts w:hint="eastAsia" w:ascii="宋体" w:hAnsi="宋体" w:eastAsia="宋体" w:cs="宋体"/>
          <w:b/>
          <w:bCs/>
          <w:color w:val="auto"/>
          <w:sz w:val="28"/>
          <w:szCs w:val="28"/>
          <w:lang w:eastAsia="zh-CN"/>
        </w:rPr>
      </w:pPr>
      <w:r>
        <w:rPr>
          <w:rFonts w:hint="eastAsia" w:ascii="宋体" w:hAnsi="宋体" w:cs="宋体"/>
          <w:b/>
          <w:bCs/>
          <w:color w:val="auto"/>
          <w:sz w:val="28"/>
          <w:szCs w:val="28"/>
        </w:rPr>
        <w:t>联系电话：</w:t>
      </w:r>
      <w:r>
        <w:rPr>
          <w:rFonts w:hint="eastAsia" w:ascii="宋体" w:hAnsi="宋体" w:cs="宋体"/>
          <w:b/>
          <w:bCs/>
          <w:color w:val="auto"/>
          <w:sz w:val="28"/>
          <w:szCs w:val="28"/>
          <w:lang w:eastAsia="zh-CN"/>
        </w:rPr>
        <w:t>0990-6240601</w:t>
      </w:r>
    </w:p>
    <w:p>
      <w:pPr>
        <w:spacing w:line="480" w:lineRule="auto"/>
        <w:ind w:firstLine="1124" w:firstLineChars="400"/>
        <w:rPr>
          <w:rFonts w:ascii="宋体" w:hAnsi="宋体" w:cs="宋体"/>
          <w:b/>
          <w:bCs/>
          <w:color w:val="auto"/>
          <w:sz w:val="28"/>
          <w:szCs w:val="28"/>
        </w:rPr>
      </w:pPr>
      <w:r>
        <w:rPr>
          <w:rFonts w:hint="eastAsia" w:ascii="宋体" w:hAnsi="宋体" w:cs="宋体"/>
          <w:b/>
          <w:bCs/>
          <w:color w:val="auto"/>
          <w:sz w:val="28"/>
          <w:szCs w:val="28"/>
        </w:rPr>
        <w:t>采购代理机构：新疆永信工程造价咨询有限公司</w:t>
      </w:r>
    </w:p>
    <w:p>
      <w:pPr>
        <w:spacing w:line="480" w:lineRule="auto"/>
        <w:ind w:firstLine="1124" w:firstLineChars="400"/>
        <w:rPr>
          <w:rFonts w:ascii="宋体" w:hAnsi="宋体" w:cs="宋体"/>
          <w:b/>
          <w:bCs/>
          <w:color w:val="auto"/>
          <w:sz w:val="28"/>
          <w:szCs w:val="28"/>
        </w:rPr>
      </w:pPr>
      <w:r>
        <w:rPr>
          <w:rFonts w:hint="eastAsia" w:ascii="宋体" w:hAnsi="宋体" w:cs="宋体"/>
          <w:b/>
          <w:bCs/>
          <w:color w:val="auto"/>
          <w:sz w:val="28"/>
          <w:szCs w:val="28"/>
        </w:rPr>
        <w:t>联 系 人：</w:t>
      </w:r>
      <w:r>
        <w:rPr>
          <w:rFonts w:hint="eastAsia" w:ascii="宋体" w:hAnsi="宋体" w:cs="宋体"/>
          <w:b/>
          <w:bCs/>
          <w:color w:val="auto"/>
          <w:sz w:val="28"/>
          <w:szCs w:val="28"/>
          <w:lang w:val="en-US" w:eastAsia="zh-CN"/>
        </w:rPr>
        <w:t>黄艳丽、</w:t>
      </w:r>
      <w:r>
        <w:rPr>
          <w:rFonts w:hint="eastAsia" w:ascii="宋体" w:hAnsi="宋体" w:cs="宋体"/>
          <w:b/>
          <w:bCs/>
          <w:color w:val="auto"/>
          <w:sz w:val="28"/>
          <w:szCs w:val="28"/>
        </w:rPr>
        <w:t>邵彩霞</w:t>
      </w:r>
    </w:p>
    <w:p>
      <w:pPr>
        <w:spacing w:line="480" w:lineRule="auto"/>
        <w:rPr>
          <w:rFonts w:hint="default" w:ascii="宋体" w:hAnsi="宋体" w:eastAsia="宋体" w:cs="宋体"/>
          <w:color w:val="auto"/>
          <w:sz w:val="28"/>
          <w:szCs w:val="28"/>
          <w:lang w:val="en-US" w:eastAsia="zh-CN"/>
        </w:rPr>
      </w:pPr>
      <w:r>
        <w:rPr>
          <w:rFonts w:hint="eastAsia" w:ascii="宋体" w:hAnsi="宋体" w:cs="宋体"/>
          <w:b/>
          <w:bCs/>
          <w:color w:val="auto"/>
          <w:sz w:val="28"/>
          <w:szCs w:val="28"/>
        </w:rPr>
        <w:t xml:space="preserve">        联系电话：</w:t>
      </w:r>
      <w:r>
        <w:rPr>
          <w:rFonts w:hint="eastAsia" w:ascii="宋体" w:hAnsi="宋体" w:cs="宋体"/>
          <w:b/>
          <w:bCs/>
          <w:color w:val="auto"/>
          <w:sz w:val="28"/>
          <w:szCs w:val="28"/>
          <w:lang w:val="en-US" w:eastAsia="zh-CN"/>
        </w:rPr>
        <w:t>15999392492、13899588072</w:t>
      </w:r>
    </w:p>
    <w:p>
      <w:pPr>
        <w:spacing w:line="360" w:lineRule="auto"/>
        <w:jc w:val="center"/>
        <w:rPr>
          <w:rFonts w:ascii="宋体" w:hAnsi="宋体" w:cs="宋体"/>
          <w:b/>
          <w:color w:val="auto"/>
          <w:sz w:val="28"/>
          <w:szCs w:val="28"/>
        </w:rPr>
      </w:pPr>
    </w:p>
    <w:p>
      <w:pPr>
        <w:pStyle w:val="7"/>
        <w:rPr>
          <w:rFonts w:ascii="宋体" w:hAnsi="宋体" w:cs="宋体"/>
          <w:color w:val="auto"/>
        </w:rPr>
      </w:pPr>
    </w:p>
    <w:p>
      <w:pPr>
        <w:spacing w:line="360" w:lineRule="auto"/>
        <w:jc w:val="center"/>
        <w:rPr>
          <w:rFonts w:ascii="宋体" w:hAnsi="宋体" w:cs="宋体"/>
          <w:color w:val="auto"/>
        </w:rPr>
      </w:pPr>
      <w:r>
        <w:rPr>
          <w:rFonts w:hint="eastAsia" w:ascii="宋体" w:hAnsi="宋体" w:cs="宋体"/>
          <w:b/>
          <w:color w:val="auto"/>
          <w:sz w:val="28"/>
          <w:szCs w:val="28"/>
          <w:lang w:val="en-US" w:eastAsia="zh-CN"/>
        </w:rPr>
        <w:t>2022年5</w:t>
      </w:r>
      <w:r>
        <w:rPr>
          <w:rFonts w:hint="eastAsia" w:ascii="宋体" w:hAnsi="宋体" w:cs="宋体"/>
          <w:b/>
          <w:color w:val="auto"/>
          <w:sz w:val="28"/>
          <w:szCs w:val="28"/>
        </w:rPr>
        <w:t>月</w:t>
      </w:r>
    </w:p>
    <w:p>
      <w:pPr>
        <w:pageBreakBefore/>
        <w:spacing w:line="500" w:lineRule="exact"/>
        <w:jc w:val="center"/>
        <w:rPr>
          <w:rFonts w:hint="eastAsia" w:ascii="宋体" w:hAnsi="宋体" w:cs="宋体"/>
          <w:b/>
          <w:bCs/>
          <w:color w:val="auto"/>
          <w:sz w:val="32"/>
          <w:szCs w:val="32"/>
        </w:rPr>
        <w:sectPr>
          <w:headerReference r:id="rId3"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ascii="宋体" w:hAnsi="宋体" w:cs="宋体"/>
          <w:b/>
          <w:color w:val="auto"/>
          <w:kern w:val="2"/>
          <w:sz w:val="24"/>
          <w:szCs w:val="24"/>
          <w:highlight w:val="none"/>
        </w:rPr>
      </w:pPr>
      <w:r>
        <w:rPr>
          <w:rFonts w:hint="eastAsia" w:ascii="宋体" w:hAnsi="宋体" w:cs="宋体"/>
          <w:b/>
          <w:bCs/>
          <w:color w:val="auto"/>
          <w:sz w:val="32"/>
          <w:szCs w:val="32"/>
          <w:highlight w:val="none"/>
        </w:rPr>
        <w:t>总  目  录</w:t>
      </w:r>
    </w:p>
    <w:p>
      <w:pPr>
        <w:pStyle w:val="24"/>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rPr>
        <w:t>第一章、</w:t>
      </w:r>
      <w:r>
        <w:rPr>
          <w:rFonts w:hint="eastAsia" w:ascii="宋体" w:hAnsi="宋体" w:cs="宋体"/>
          <w:b/>
          <w:color w:val="auto"/>
          <w:kern w:val="2"/>
          <w:sz w:val="24"/>
          <w:szCs w:val="24"/>
          <w:highlight w:val="none"/>
        </w:rPr>
        <w:t>竞争性磋商公告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24"/>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w:t>
      </w:r>
    </w:p>
    <w:p>
      <w:pPr>
        <w:pStyle w:val="24"/>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7</w:t>
      </w:r>
    </w:p>
    <w:p>
      <w:pPr>
        <w:pStyle w:val="24"/>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第四章、合同协议书</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47</w:t>
      </w:r>
    </w:p>
    <w:p>
      <w:pPr>
        <w:pStyle w:val="24"/>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49</w:t>
      </w:r>
    </w:p>
    <w:p>
      <w:pPr>
        <w:pStyle w:val="24"/>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第六章、评标标准（综合评估法）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62</w:t>
      </w: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spacing w:line="312" w:lineRule="auto"/>
        <w:jc w:val="center"/>
        <w:rPr>
          <w:rFonts w:ascii="宋体" w:hAnsi="宋体" w:cs="宋体"/>
          <w:b/>
          <w:color w:val="auto"/>
          <w:sz w:val="30"/>
          <w:szCs w:val="30"/>
        </w:rPr>
      </w:pPr>
    </w:p>
    <w:p>
      <w:pPr>
        <w:tabs>
          <w:tab w:val="left" w:pos="1230"/>
          <w:tab w:val="left" w:pos="1275"/>
        </w:tabs>
        <w:spacing w:line="340" w:lineRule="exact"/>
        <w:jc w:val="center"/>
        <w:rPr>
          <w:rFonts w:hint="eastAsia" w:ascii="宋体" w:hAnsi="宋体" w:cs="宋体"/>
          <w:b/>
          <w:bCs/>
          <w:color w:val="auto"/>
          <w:sz w:val="32"/>
          <w:szCs w:val="32"/>
        </w:rPr>
      </w:pPr>
      <w:r>
        <w:rPr>
          <w:rFonts w:hint="eastAsia" w:ascii="宋体" w:hAnsi="宋体" w:cs="宋体"/>
          <w:b/>
          <w:bCs/>
          <w:color w:val="auto"/>
          <w:sz w:val="32"/>
          <w:szCs w:val="32"/>
        </w:rPr>
        <w:br w:type="page"/>
      </w:r>
    </w:p>
    <w:p>
      <w:pPr>
        <w:spacing w:line="360" w:lineRule="auto"/>
        <w:jc w:val="center"/>
        <w:rPr>
          <w:rFonts w:ascii="宋体" w:hAnsi="宋体" w:cs="宋体"/>
          <w:b/>
          <w:color w:val="auto"/>
          <w:sz w:val="28"/>
          <w:szCs w:val="28"/>
        </w:rPr>
      </w:pPr>
      <w:bookmarkStart w:id="0" w:name="_Toc19876_WPSOffice_Level1"/>
      <w:r>
        <w:rPr>
          <w:rFonts w:hint="eastAsia" w:ascii="宋体" w:hAnsi="宋体" w:cs="宋体"/>
          <w:b/>
          <w:color w:val="auto"/>
          <w:sz w:val="28"/>
          <w:szCs w:val="28"/>
        </w:rPr>
        <w:t>前</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附</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表</w:t>
      </w:r>
      <w:bookmarkEnd w:id="0"/>
    </w:p>
    <w:tbl>
      <w:tblPr>
        <w:tblStyle w:val="18"/>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项号</w:t>
            </w:r>
          </w:p>
        </w:tc>
        <w:tc>
          <w:tcPr>
            <w:tcW w:w="9378" w:type="dxa"/>
            <w:vAlign w:val="center"/>
          </w:tcPr>
          <w:p>
            <w:pPr>
              <w:pStyle w:val="9"/>
              <w:spacing w:line="360" w:lineRule="exact"/>
              <w:jc w:val="center"/>
              <w:rPr>
                <w:rFonts w:hAnsi="宋体" w:cs="宋体"/>
                <w:color w:val="auto"/>
              </w:rPr>
            </w:pPr>
            <w:r>
              <w:rPr>
                <w:rFonts w:hint="eastAsia" w:hAnsi="宋体" w:cs="宋体"/>
                <w:color w:val="auto"/>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1</w:t>
            </w:r>
          </w:p>
        </w:tc>
        <w:tc>
          <w:tcPr>
            <w:tcW w:w="9378" w:type="dxa"/>
            <w:vAlign w:val="center"/>
          </w:tcPr>
          <w:p>
            <w:pPr>
              <w:pStyle w:val="9"/>
              <w:spacing w:line="360" w:lineRule="exact"/>
              <w:jc w:val="left"/>
              <w:rPr>
                <w:rFonts w:hint="eastAsia" w:hAnsi="宋体" w:eastAsia="宋体" w:cs="宋体"/>
                <w:color w:val="auto"/>
                <w:kern w:val="0"/>
                <w:lang w:eastAsia="zh-CN"/>
              </w:rPr>
            </w:pPr>
            <w:r>
              <w:rPr>
                <w:rFonts w:hint="eastAsia" w:hAnsi="宋体" w:cs="宋体"/>
                <w:color w:val="auto"/>
                <w:highlight w:val="none"/>
              </w:rPr>
              <w:t>采购项目名称：</w:t>
            </w:r>
            <w:r>
              <w:rPr>
                <w:rFonts w:hint="eastAsia" w:hAnsi="宋体" w:cs="宋体"/>
                <w:color w:val="auto"/>
                <w:lang w:eastAsia="zh-CN"/>
              </w:rPr>
              <w:t>克拉玛依市克拉玛依区市场监督管理局202</w:t>
            </w:r>
            <w:r>
              <w:rPr>
                <w:rFonts w:hint="eastAsia" w:hAnsi="宋体" w:cs="宋体"/>
                <w:color w:val="auto"/>
                <w:lang w:val="en-US" w:eastAsia="zh-CN"/>
              </w:rPr>
              <w:t>2</w:t>
            </w:r>
            <w:r>
              <w:rPr>
                <w:rFonts w:hint="eastAsia" w:hAnsi="宋体" w:cs="宋体"/>
                <w:color w:val="auto"/>
                <w:lang w:eastAsia="zh-CN"/>
              </w:rPr>
              <w:t>年食品安全监督抽检检验项目</w:t>
            </w:r>
          </w:p>
          <w:p>
            <w:pPr>
              <w:pStyle w:val="9"/>
              <w:spacing w:line="360" w:lineRule="exact"/>
              <w:jc w:val="left"/>
              <w:rPr>
                <w:rFonts w:hint="default" w:hAnsi="宋体" w:eastAsia="宋体" w:cs="宋体"/>
                <w:color w:val="auto"/>
                <w:lang w:val="en-US" w:eastAsia="zh-CN"/>
              </w:rPr>
            </w:pPr>
            <w:r>
              <w:rPr>
                <w:rFonts w:hint="eastAsia" w:hAnsi="宋体" w:cs="宋体"/>
                <w:color w:val="auto"/>
                <w:highlight w:val="none"/>
              </w:rPr>
              <w:t>竞争性磋商文件编号：</w:t>
            </w:r>
            <w:r>
              <w:rPr>
                <w:rFonts w:hint="eastAsia" w:hAnsi="宋体" w:cs="宋体"/>
                <w:color w:val="auto"/>
                <w:lang w:eastAsia="zh-CN"/>
              </w:rPr>
              <w:t>YXZB[ZC]2022-05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2</w:t>
            </w:r>
          </w:p>
        </w:tc>
        <w:tc>
          <w:tcPr>
            <w:tcW w:w="9378"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Style w:val="21"/>
                <w:rFonts w:hint="eastAsia" w:ascii="宋体" w:hAnsi="宋体" w:eastAsia="宋体" w:cs="宋体"/>
                <w:b w:val="0"/>
                <w:color w:val="auto"/>
                <w:kern w:val="0"/>
                <w:szCs w:val="21"/>
                <w:lang w:eastAsia="zh-CN"/>
              </w:rPr>
            </w:pPr>
            <w:r>
              <w:rPr>
                <w:rStyle w:val="21"/>
                <w:rFonts w:hint="eastAsia" w:ascii="宋体" w:hAnsi="宋体" w:cs="宋体"/>
                <w:b w:val="0"/>
                <w:color w:val="auto"/>
                <w:kern w:val="0"/>
                <w:szCs w:val="21"/>
              </w:rPr>
              <w:t>采购人：</w:t>
            </w:r>
            <w:r>
              <w:rPr>
                <w:rStyle w:val="21"/>
                <w:rFonts w:hint="eastAsia" w:ascii="宋体" w:hAnsi="宋体" w:cs="宋体"/>
                <w:b w:val="0"/>
                <w:color w:val="auto"/>
                <w:kern w:val="0"/>
                <w:szCs w:val="21"/>
                <w:lang w:eastAsia="zh-CN"/>
              </w:rPr>
              <w:t>克拉玛依市克拉玛依区市场监督管理局</w:t>
            </w:r>
          </w:p>
          <w:p>
            <w:pPr>
              <w:keepNext w:val="0"/>
              <w:keepLines w:val="0"/>
              <w:pageBreakBefore w:val="0"/>
              <w:kinsoku/>
              <w:wordWrap/>
              <w:overflowPunct/>
              <w:topLinePunct w:val="0"/>
              <w:autoSpaceDE/>
              <w:autoSpaceDN/>
              <w:bidi w:val="0"/>
              <w:adjustRightInd/>
              <w:snapToGrid/>
              <w:spacing w:line="280" w:lineRule="exact"/>
              <w:jc w:val="left"/>
              <w:textAlignment w:val="auto"/>
              <w:rPr>
                <w:rStyle w:val="21"/>
                <w:rFonts w:hint="eastAsia" w:ascii="宋体" w:hAnsi="宋体" w:eastAsia="宋体" w:cs="宋体"/>
                <w:b w:val="0"/>
                <w:color w:val="auto"/>
                <w:kern w:val="0"/>
                <w:szCs w:val="21"/>
                <w:lang w:eastAsia="zh-CN"/>
              </w:rPr>
            </w:pPr>
            <w:r>
              <w:rPr>
                <w:rStyle w:val="21"/>
                <w:rFonts w:hint="eastAsia" w:ascii="宋体" w:hAnsi="宋体" w:cs="宋体"/>
                <w:b w:val="0"/>
                <w:color w:val="auto"/>
                <w:kern w:val="0"/>
                <w:szCs w:val="21"/>
              </w:rPr>
              <w:t>联系人：</w:t>
            </w:r>
            <w:r>
              <w:rPr>
                <w:rStyle w:val="21"/>
                <w:rFonts w:hint="eastAsia" w:ascii="宋体" w:hAnsi="宋体" w:cs="宋体"/>
                <w:b w:val="0"/>
                <w:color w:val="auto"/>
                <w:kern w:val="0"/>
                <w:szCs w:val="21"/>
                <w:lang w:eastAsia="zh-CN"/>
              </w:rPr>
              <w:t>宋朋</w:t>
            </w:r>
          </w:p>
          <w:p>
            <w:pPr>
              <w:keepNext w:val="0"/>
              <w:keepLines w:val="0"/>
              <w:pageBreakBefore w:val="0"/>
              <w:kinsoku/>
              <w:wordWrap/>
              <w:overflowPunct/>
              <w:topLinePunct w:val="0"/>
              <w:autoSpaceDE/>
              <w:autoSpaceDN/>
              <w:bidi w:val="0"/>
              <w:adjustRightInd/>
              <w:snapToGrid/>
              <w:spacing w:line="280" w:lineRule="exact"/>
              <w:jc w:val="left"/>
              <w:textAlignment w:val="auto"/>
              <w:rPr>
                <w:rStyle w:val="21"/>
                <w:rFonts w:hint="eastAsia" w:ascii="宋体" w:hAnsi="宋体" w:eastAsia="宋体" w:cs="宋体"/>
                <w:b w:val="0"/>
                <w:color w:val="auto"/>
                <w:kern w:val="0"/>
                <w:szCs w:val="21"/>
                <w:lang w:eastAsia="zh-CN"/>
              </w:rPr>
            </w:pPr>
            <w:r>
              <w:rPr>
                <w:rStyle w:val="21"/>
                <w:rFonts w:hint="eastAsia" w:ascii="宋体" w:hAnsi="宋体" w:cs="宋体"/>
                <w:b w:val="0"/>
                <w:color w:val="auto"/>
                <w:kern w:val="0"/>
                <w:szCs w:val="21"/>
              </w:rPr>
              <w:t>联系电话：</w:t>
            </w:r>
            <w:r>
              <w:rPr>
                <w:rStyle w:val="21"/>
                <w:rFonts w:hint="eastAsia" w:ascii="宋体" w:hAnsi="宋体" w:cs="宋体"/>
                <w:b w:val="0"/>
                <w:color w:val="auto"/>
                <w:kern w:val="0"/>
                <w:szCs w:val="21"/>
                <w:lang w:eastAsia="zh-CN"/>
              </w:rPr>
              <w:t>0990-6240601</w:t>
            </w:r>
          </w:p>
          <w:p>
            <w:pPr>
              <w:pStyle w:val="15"/>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Style w:val="21"/>
                <w:rFonts w:hint="eastAsia" w:cs="宋体"/>
                <w:b w:val="0"/>
                <w:color w:val="auto"/>
                <w:sz w:val="21"/>
                <w:szCs w:val="21"/>
              </w:rPr>
              <w:t>地址：</w:t>
            </w:r>
            <w:r>
              <w:rPr>
                <w:rStyle w:val="21"/>
                <w:rFonts w:hint="eastAsia" w:cs="宋体"/>
                <w:b w:val="0"/>
                <w:color w:val="auto"/>
                <w:kern w:val="0"/>
                <w:sz w:val="21"/>
                <w:szCs w:val="21"/>
                <w:lang w:val="en-US" w:eastAsia="zh-CN" w:bidi="ar-SA"/>
              </w:rPr>
              <w:t>克拉玛依区天山路42号</w:t>
            </w:r>
            <w:r>
              <w:rPr>
                <w:rStyle w:val="21"/>
                <w:rFonts w:hint="eastAsia" w:ascii="宋体" w:hAnsi="宋体" w:eastAsia="宋体" w:cs="宋体"/>
                <w:b w:val="0"/>
                <w:color w:val="auto"/>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3</w:t>
            </w:r>
          </w:p>
        </w:tc>
        <w:tc>
          <w:tcPr>
            <w:tcW w:w="9378" w:type="dxa"/>
            <w:vAlign w:val="center"/>
          </w:tcPr>
          <w:p>
            <w:pPr>
              <w:pStyle w:val="15"/>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Fonts w:hint="eastAsia" w:cs="宋体"/>
                <w:color w:val="auto"/>
                <w:sz w:val="21"/>
                <w:szCs w:val="21"/>
              </w:rPr>
              <w:t>采购代理机构：新疆永信工程造价咨询有限公司 </w:t>
            </w:r>
          </w:p>
          <w:p>
            <w:pPr>
              <w:pStyle w:val="15"/>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cs="宋体"/>
                <w:color w:val="auto"/>
                <w:sz w:val="21"/>
                <w:szCs w:val="21"/>
              </w:rPr>
            </w:pPr>
            <w:r>
              <w:rPr>
                <w:rStyle w:val="21"/>
                <w:rFonts w:hint="eastAsia" w:cs="宋体"/>
                <w:b w:val="0"/>
                <w:color w:val="auto"/>
                <w:sz w:val="21"/>
                <w:szCs w:val="21"/>
              </w:rPr>
              <w:t>联系人：</w:t>
            </w:r>
            <w:r>
              <w:rPr>
                <w:rStyle w:val="21"/>
                <w:rFonts w:hint="eastAsia" w:cs="宋体"/>
                <w:b w:val="0"/>
                <w:color w:val="auto"/>
                <w:sz w:val="21"/>
                <w:szCs w:val="21"/>
                <w:lang w:val="en-US" w:eastAsia="zh-CN"/>
              </w:rPr>
              <w:t>黄艳丽、</w:t>
            </w:r>
            <w:r>
              <w:rPr>
                <w:rFonts w:hint="eastAsia" w:cs="宋体"/>
                <w:color w:val="auto"/>
                <w:sz w:val="21"/>
                <w:szCs w:val="21"/>
              </w:rPr>
              <w:t>邵彩霞</w:t>
            </w:r>
          </w:p>
          <w:p>
            <w:pPr>
              <w:pStyle w:val="15"/>
              <w:keepNext w:val="0"/>
              <w:keepLines w:val="0"/>
              <w:pageBreakBefore w:val="0"/>
              <w:kinsoku/>
              <w:wordWrap/>
              <w:overflowPunct/>
              <w:topLinePunct w:val="0"/>
              <w:autoSpaceDE/>
              <w:autoSpaceDN/>
              <w:bidi w:val="0"/>
              <w:adjustRightInd/>
              <w:snapToGrid/>
              <w:spacing w:before="75" w:beforeAutospacing="0" w:after="75" w:afterAutospacing="0" w:line="280" w:lineRule="exact"/>
              <w:textAlignment w:val="auto"/>
              <w:rPr>
                <w:rFonts w:hint="eastAsia" w:cs="宋体"/>
                <w:color w:val="auto"/>
                <w:sz w:val="21"/>
                <w:szCs w:val="21"/>
              </w:rPr>
            </w:pPr>
            <w:r>
              <w:rPr>
                <w:rStyle w:val="21"/>
                <w:rFonts w:hint="eastAsia" w:cs="宋体"/>
                <w:b w:val="0"/>
                <w:color w:val="auto"/>
                <w:sz w:val="21"/>
                <w:szCs w:val="21"/>
              </w:rPr>
              <w:t>联系电话：</w:t>
            </w:r>
            <w:r>
              <w:rPr>
                <w:rFonts w:hint="eastAsia" w:cs="宋体"/>
                <w:color w:val="auto"/>
                <w:sz w:val="21"/>
                <w:szCs w:val="21"/>
                <w:lang w:val="en-US" w:eastAsia="zh-CN"/>
              </w:rPr>
              <w:t>15999392492、13899588072</w:t>
            </w:r>
            <w:r>
              <w:rPr>
                <w:rFonts w:hint="eastAsia" w:cs="宋体"/>
                <w:color w:val="auto"/>
                <w:sz w:val="21"/>
                <w:szCs w:val="21"/>
              </w:rPr>
              <w:t>  </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宋体" w:hAnsi="宋体" w:cs="宋体"/>
                <w:color w:val="auto"/>
                <w:szCs w:val="21"/>
              </w:rPr>
            </w:pPr>
            <w:r>
              <w:rPr>
                <w:rStyle w:val="21"/>
                <w:rFonts w:hint="eastAsia" w:ascii="宋体" w:hAnsi="宋体" w:cs="宋体"/>
                <w:b w:val="0"/>
                <w:color w:val="auto"/>
                <w:szCs w:val="21"/>
              </w:rPr>
              <w:t>地址：</w:t>
            </w:r>
            <w:r>
              <w:rPr>
                <w:rFonts w:hint="eastAsia" w:ascii="宋体" w:hAnsi="宋体" w:cs="宋体"/>
                <w:color w:val="auto"/>
                <w:szCs w:val="21"/>
              </w:rPr>
              <w:t>新疆克拉玛依市胜利路47号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4</w:t>
            </w:r>
          </w:p>
        </w:tc>
        <w:tc>
          <w:tcPr>
            <w:tcW w:w="9378" w:type="dxa"/>
            <w:vAlign w:val="center"/>
          </w:tcPr>
          <w:p>
            <w:pPr>
              <w:pStyle w:val="9"/>
              <w:spacing w:line="360" w:lineRule="exact"/>
              <w:jc w:val="left"/>
              <w:rPr>
                <w:rFonts w:hAnsi="宋体" w:cs="宋体"/>
                <w:color w:val="auto"/>
              </w:rPr>
            </w:pPr>
            <w:r>
              <w:rPr>
                <w:rFonts w:hint="eastAsia" w:hAnsi="宋体" w:cs="宋体"/>
                <w:color w:val="auto"/>
                <w:highlight w:val="none"/>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5</w:t>
            </w:r>
          </w:p>
        </w:tc>
        <w:tc>
          <w:tcPr>
            <w:tcW w:w="9378" w:type="dxa"/>
            <w:vAlign w:val="center"/>
          </w:tcPr>
          <w:p>
            <w:pPr>
              <w:pStyle w:val="9"/>
              <w:spacing w:line="360" w:lineRule="exact"/>
              <w:jc w:val="left"/>
              <w:rPr>
                <w:rFonts w:hAnsi="宋体" w:cs="宋体"/>
                <w:color w:val="auto"/>
              </w:rPr>
            </w:pPr>
            <w:r>
              <w:rPr>
                <w:rFonts w:hint="eastAsia" w:hAnsi="宋体" w:cs="宋体"/>
                <w:color w:val="auto"/>
                <w:highlight w:val="none"/>
              </w:rPr>
              <w:t>响应文件的份数：</w:t>
            </w:r>
            <w:r>
              <w:rPr>
                <w:rFonts w:hint="eastAsia" w:hAnsi="宋体" w:cs="宋体"/>
                <w:b/>
                <w:bCs/>
                <w:color w:val="auto"/>
                <w:highlight w:val="none"/>
                <w:lang w:eastAsia="zh-CN"/>
              </w:rPr>
              <w:t>在</w:t>
            </w:r>
            <w:r>
              <w:rPr>
                <w:rFonts w:hint="eastAsia" w:hAnsi="宋体" w:cs="宋体"/>
                <w:b/>
                <w:bCs/>
                <w:color w:val="auto"/>
                <w:highlight w:val="none"/>
              </w:rPr>
              <w:t>递交</w:t>
            </w:r>
            <w:r>
              <w:rPr>
                <w:rFonts w:hint="eastAsia" w:hAnsi="宋体" w:cs="宋体"/>
                <w:b/>
                <w:bCs/>
                <w:color w:val="auto"/>
                <w:highlight w:val="none"/>
                <w:lang w:val="en-US" w:eastAsia="zh-CN"/>
              </w:rPr>
              <w:t>响应</w:t>
            </w:r>
            <w:r>
              <w:rPr>
                <w:rFonts w:hint="eastAsia" w:hAnsi="宋体" w:cs="宋体"/>
                <w:b/>
                <w:bCs/>
                <w:color w:val="auto"/>
                <w:highlight w:val="none"/>
                <w:lang w:eastAsia="zh-CN"/>
              </w:rPr>
              <w:t>文件</w:t>
            </w:r>
            <w:r>
              <w:rPr>
                <w:rFonts w:hint="eastAsia" w:hAnsi="宋体" w:cs="宋体"/>
                <w:b/>
                <w:bCs/>
                <w:color w:val="auto"/>
                <w:highlight w:val="none"/>
              </w:rPr>
              <w:t>时间</w:t>
            </w:r>
            <w:r>
              <w:rPr>
                <w:rFonts w:hint="eastAsia" w:hAnsi="宋体" w:cs="宋体"/>
                <w:b/>
                <w:bCs/>
                <w:color w:val="auto"/>
                <w:highlight w:val="none"/>
                <w:lang w:eastAsia="zh-CN"/>
              </w:rPr>
              <w:t>内各供应商在“新疆政府采购网政采云平台”递交电子版</w:t>
            </w:r>
            <w:r>
              <w:rPr>
                <w:rFonts w:hint="eastAsia" w:hAnsi="宋体" w:cs="宋体"/>
                <w:b/>
                <w:bCs/>
                <w:color w:val="auto"/>
                <w:highlight w:val="none"/>
                <w:lang w:val="en-US" w:eastAsia="zh-CN"/>
              </w:rPr>
              <w:t>响应</w:t>
            </w:r>
            <w:r>
              <w:rPr>
                <w:rFonts w:hint="eastAsia" w:hAnsi="宋体" w:cs="宋体"/>
                <w:b/>
                <w:bCs/>
                <w:color w:val="auto"/>
                <w:highlight w:val="none"/>
                <w:lang w:eastAsia="zh-CN"/>
              </w:rPr>
              <w:t>文件，供应商递交</w:t>
            </w:r>
            <w:r>
              <w:rPr>
                <w:rFonts w:hint="eastAsia" w:hAnsi="宋体" w:cs="宋体"/>
                <w:b/>
                <w:bCs/>
                <w:color w:val="auto"/>
                <w:highlight w:val="none"/>
              </w:rPr>
              <w:t>的</w:t>
            </w:r>
            <w:r>
              <w:rPr>
                <w:rFonts w:hint="eastAsia" w:hAnsi="宋体" w:cs="宋体"/>
                <w:b/>
                <w:bCs/>
                <w:color w:val="auto"/>
                <w:highlight w:val="none"/>
                <w:lang w:eastAsia="zh-CN"/>
              </w:rPr>
              <w:t>电子版响应文件</w:t>
            </w:r>
            <w:r>
              <w:rPr>
                <w:rFonts w:hint="eastAsia" w:hAnsi="宋体" w:cs="宋体"/>
                <w:b/>
                <w:bCs/>
                <w:color w:val="auto"/>
                <w:highlight w:val="none"/>
              </w:rPr>
              <w:t>必须唯一有效，</w:t>
            </w:r>
            <w:r>
              <w:rPr>
                <w:rFonts w:hint="eastAsia" w:hAnsi="宋体" w:cs="宋体"/>
                <w:b/>
                <w:bCs/>
                <w:color w:val="auto"/>
                <w:highlight w:val="none"/>
                <w:lang w:eastAsia="zh-CN"/>
              </w:rPr>
              <w:t>响应文件</w:t>
            </w:r>
            <w:r>
              <w:rPr>
                <w:rFonts w:hint="eastAsia" w:hAnsi="宋体" w:cs="宋体"/>
                <w:b/>
                <w:bCs/>
                <w:color w:val="auto"/>
                <w:highlight w:val="none"/>
              </w:rPr>
              <w:t>内要求有盖章及签字的必须有盖章签字，所盖章必须是红章。各</w:t>
            </w:r>
            <w:r>
              <w:rPr>
                <w:rFonts w:hint="eastAsia" w:hAnsi="宋体" w:cs="宋体"/>
                <w:b/>
                <w:bCs/>
                <w:color w:val="auto"/>
                <w:highlight w:val="none"/>
                <w:lang w:eastAsia="zh-CN"/>
              </w:rPr>
              <w:t>供应商</w:t>
            </w:r>
            <w:r>
              <w:rPr>
                <w:rFonts w:hint="eastAsia" w:hAnsi="宋体" w:cs="宋体"/>
                <w:b/>
                <w:bCs/>
                <w:color w:val="auto"/>
                <w:highlight w:val="none"/>
              </w:rPr>
              <w:t>须承诺无论</w:t>
            </w:r>
            <w:r>
              <w:rPr>
                <w:rFonts w:hint="eastAsia" w:hAnsi="宋体" w:cs="宋体"/>
                <w:b/>
                <w:bCs/>
                <w:color w:val="auto"/>
                <w:highlight w:val="none"/>
                <w:lang w:eastAsia="zh-CN"/>
              </w:rPr>
              <w:t>成交</w:t>
            </w:r>
            <w:r>
              <w:rPr>
                <w:rFonts w:hint="eastAsia" w:hAnsi="宋体" w:cs="宋体"/>
                <w:b/>
                <w:bCs/>
                <w:color w:val="auto"/>
                <w:highlight w:val="none"/>
              </w:rPr>
              <w:t>与否，开标后</w:t>
            </w:r>
            <w:r>
              <w:rPr>
                <w:rFonts w:hint="eastAsia" w:hAnsi="宋体" w:cs="宋体"/>
                <w:b/>
                <w:bCs/>
                <w:color w:val="auto"/>
                <w:highlight w:val="none"/>
                <w:lang w:val="en-US" w:eastAsia="zh-CN"/>
              </w:rPr>
              <w:t>第二天</w:t>
            </w:r>
            <w:r>
              <w:rPr>
                <w:rFonts w:hint="eastAsia" w:hAnsi="宋体" w:cs="宋体"/>
                <w:b/>
                <w:bCs/>
                <w:color w:val="auto"/>
                <w:highlight w:val="none"/>
              </w:rPr>
              <w:t>须将纸质版</w:t>
            </w:r>
            <w:r>
              <w:rPr>
                <w:rFonts w:hint="eastAsia" w:hAnsi="宋体" w:cs="宋体"/>
                <w:b/>
                <w:bCs/>
                <w:color w:val="auto"/>
                <w:highlight w:val="none"/>
                <w:lang w:val="en-US" w:eastAsia="zh-CN"/>
              </w:rPr>
              <w:t>响应文件</w:t>
            </w:r>
            <w:r>
              <w:rPr>
                <w:rFonts w:hint="eastAsia" w:hAnsi="宋体" w:cs="宋体"/>
                <w:b/>
                <w:bCs/>
                <w:color w:val="auto"/>
                <w:highlight w:val="none"/>
                <w:lang w:eastAsia="zh-CN"/>
              </w:rPr>
              <w:t>、</w:t>
            </w:r>
            <w:r>
              <w:rPr>
                <w:rFonts w:hint="eastAsia" w:hAnsi="宋体" w:cs="宋体"/>
                <w:b/>
                <w:bCs/>
                <w:color w:val="auto"/>
                <w:highlight w:val="none"/>
                <w:lang w:val="en-US" w:eastAsia="zh-CN"/>
              </w:rPr>
              <w:t>解密后</w:t>
            </w:r>
            <w:r>
              <w:rPr>
                <w:rFonts w:hint="eastAsia" w:hAnsi="宋体" w:cs="宋体"/>
                <w:b/>
                <w:bCs/>
                <w:color w:val="auto"/>
                <w:highlight w:val="none"/>
              </w:rPr>
              <w:t>电子文档</w:t>
            </w:r>
            <w:r>
              <w:rPr>
                <w:rFonts w:hint="eastAsia" w:hAnsi="宋体" w:cs="宋体"/>
                <w:b/>
                <w:bCs/>
                <w:color w:val="auto"/>
                <w:highlight w:val="none"/>
                <w:lang w:eastAsia="zh-CN"/>
              </w:rPr>
              <w:t>（</w:t>
            </w:r>
            <w:r>
              <w:rPr>
                <w:rFonts w:hint="eastAsia" w:hAnsi="宋体" w:cs="宋体"/>
                <w:b/>
                <w:bCs/>
                <w:color w:val="auto"/>
                <w:highlight w:val="none"/>
                <w:lang w:val="en-US" w:eastAsia="zh-CN"/>
              </w:rPr>
              <w:t>光盘或U盘</w:t>
            </w:r>
            <w:r>
              <w:rPr>
                <w:rFonts w:hint="eastAsia" w:hAnsi="宋体" w:cs="宋体"/>
                <w:b/>
                <w:bCs/>
                <w:color w:val="auto"/>
                <w:highlight w:val="none"/>
                <w:lang w:eastAsia="zh-CN"/>
              </w:rPr>
              <w:t>）</w:t>
            </w:r>
            <w:r>
              <w:rPr>
                <w:rFonts w:hint="eastAsia" w:hAnsi="宋体" w:cs="宋体"/>
                <w:b/>
                <w:bCs/>
                <w:color w:val="auto"/>
                <w:highlight w:val="none"/>
              </w:rPr>
              <w:t>等统一按要求</w:t>
            </w:r>
            <w:r>
              <w:rPr>
                <w:rFonts w:hint="eastAsia" w:hAnsi="宋体" w:cs="宋体"/>
                <w:b/>
                <w:bCs/>
                <w:color w:val="auto"/>
                <w:highlight w:val="none"/>
                <w:lang w:val="en-US" w:eastAsia="zh-CN"/>
              </w:rPr>
              <w:t>邮寄采购代理机构。成交单位提供2套纸质版响应文件和电子文档；未成交单位提供1套纸质版响应文件和电子文档。如未及时按照以上要求完成工作，后果各供应商自行承担</w:t>
            </w:r>
            <w:r>
              <w:rPr>
                <w:rFonts w:hint="eastAsia" w:hAnsi="宋体" w:cs="宋体"/>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6</w:t>
            </w:r>
          </w:p>
        </w:tc>
        <w:tc>
          <w:tcPr>
            <w:tcW w:w="9378" w:type="dxa"/>
            <w:vAlign w:val="center"/>
          </w:tcPr>
          <w:p>
            <w:pPr>
              <w:pStyle w:val="9"/>
              <w:spacing w:line="360" w:lineRule="exact"/>
              <w:jc w:val="left"/>
              <w:rPr>
                <w:rFonts w:hAnsi="宋体" w:cs="宋体"/>
                <w:color w:val="auto"/>
              </w:rPr>
            </w:pPr>
            <w:r>
              <w:rPr>
                <w:rFonts w:hint="eastAsia" w:ascii="宋体" w:hAnsi="宋体" w:eastAsia="宋体" w:cs="宋体"/>
                <w:color w:val="auto"/>
              </w:rPr>
              <w:t>采购人不统一组织各供应商实地考察。</w:t>
            </w:r>
            <w:r>
              <w:rPr>
                <w:rFonts w:hint="eastAsia" w:hAnsi="宋体" w:cs="宋体"/>
                <w:color w:val="auto"/>
              </w:rPr>
              <w:t>于</w:t>
            </w:r>
            <w:r>
              <w:rPr>
                <w:rFonts w:hint="eastAsia" w:hAnsi="宋体" w:cs="宋体"/>
                <w:color w:val="auto"/>
                <w:lang w:val="en-US" w:eastAsia="zh-CN"/>
              </w:rPr>
              <w:t>规定截止时间前</w:t>
            </w:r>
            <w:r>
              <w:rPr>
                <w:rFonts w:hint="eastAsia" w:hAnsi="宋体" w:cs="宋体"/>
                <w:color w:val="auto"/>
              </w:rPr>
              <w:t>以书面形式</w:t>
            </w:r>
            <w:r>
              <w:rPr>
                <w:rFonts w:hint="eastAsia" w:ascii="宋体" w:hAnsi="宋体" w:eastAsia="宋体" w:cs="宋体"/>
                <w:color w:val="auto"/>
              </w:rPr>
              <w:t>（必须加盖供应商公章）送达或传真至采购代理机构（同时将疑问电子版发</w:t>
            </w:r>
            <w:r>
              <w:rPr>
                <w:rFonts w:hint="eastAsia" w:hAnsi="宋体" w:cs="宋体"/>
                <w:color w:val="auto"/>
                <w:lang w:val="en-US" w:eastAsia="zh-CN"/>
              </w:rPr>
              <w:t>353715545</w:t>
            </w:r>
            <w:r>
              <w:rPr>
                <w:rFonts w:hint="eastAsia" w:ascii="宋体" w:hAnsi="宋体" w:eastAsia="宋体" w:cs="宋体"/>
                <w:color w:val="auto"/>
              </w:rPr>
              <w:t>@qq.com）。</w:t>
            </w:r>
            <w:r>
              <w:rPr>
                <w:rFonts w:hint="eastAsia" w:hAnsi="宋体" w:cs="宋体"/>
                <w:color w:val="auto"/>
              </w:rPr>
              <w:t>采购人和采购代理机构将视情况以书面形式予以答复，</w:t>
            </w:r>
            <w:r>
              <w:rPr>
                <w:rFonts w:hint="eastAsia" w:ascii="宋体" w:hAnsi="宋体" w:eastAsia="宋体" w:cs="宋体"/>
                <w:color w:val="auto"/>
              </w:rPr>
              <w:t>并发至</w:t>
            </w:r>
            <w:r>
              <w:rPr>
                <w:rFonts w:hint="eastAsia" w:hAnsi="宋体" w:cs="宋体"/>
                <w:color w:val="auto"/>
                <w:lang w:eastAsia="zh-CN"/>
              </w:rPr>
              <w:t>新疆政府采购网政采云平台</w:t>
            </w:r>
            <w:r>
              <w:rPr>
                <w:rFonts w:hint="eastAsia" w:ascii="宋体" w:hAnsi="宋体" w:eastAsia="宋体" w:cs="宋体"/>
                <w:color w:val="auto"/>
              </w:rPr>
              <w:t>各供应商</w:t>
            </w:r>
            <w:r>
              <w:rPr>
                <w:rFonts w:hint="eastAsia" w:hAnsi="宋体" w:eastAsia="宋体" w:cs="宋体"/>
                <w:color w:val="auto"/>
                <w:lang w:eastAsia="zh-CN"/>
              </w:rPr>
              <w:t>自行查阅下载</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7</w:t>
            </w:r>
          </w:p>
        </w:tc>
        <w:tc>
          <w:tcPr>
            <w:tcW w:w="9378" w:type="dxa"/>
            <w:vAlign w:val="center"/>
          </w:tcPr>
          <w:p>
            <w:pPr>
              <w:pStyle w:val="9"/>
              <w:spacing w:line="360" w:lineRule="exact"/>
              <w:jc w:val="left"/>
              <w:rPr>
                <w:rFonts w:hAnsi="宋体" w:cs="宋体"/>
                <w:color w:val="auto"/>
                <w:highlight w:val="none"/>
              </w:rPr>
            </w:pPr>
            <w:r>
              <w:rPr>
                <w:rFonts w:hint="eastAsia" w:hAnsi="宋体" w:cs="宋体"/>
                <w:color w:val="auto"/>
                <w:highlight w:val="none"/>
              </w:rPr>
              <w:t>递交</w:t>
            </w:r>
            <w:r>
              <w:rPr>
                <w:rFonts w:hint="eastAsia" w:hAnsi="宋体" w:cs="宋体"/>
                <w:color w:val="auto"/>
                <w:highlight w:val="none"/>
                <w:lang w:eastAsia="zh-CN"/>
              </w:rPr>
              <w:t>响应文件</w:t>
            </w:r>
            <w:r>
              <w:rPr>
                <w:rFonts w:hint="eastAsia" w:hAnsi="宋体" w:cs="宋体"/>
                <w:color w:val="auto"/>
                <w:highlight w:val="none"/>
              </w:rPr>
              <w:t>时间：</w:t>
            </w:r>
            <w:r>
              <w:rPr>
                <w:rFonts w:hint="eastAsia" w:hAnsi="宋体" w:cs="宋体"/>
                <w:color w:val="auto"/>
                <w:highlight w:val="none"/>
                <w:lang w:val="en-US" w:eastAsia="zh-CN"/>
              </w:rPr>
              <w:t>2022年5</w:t>
            </w:r>
            <w:r>
              <w:rPr>
                <w:rFonts w:hint="eastAsia" w:hAnsi="宋体" w:cs="宋体"/>
                <w:color w:val="auto"/>
                <w:highlight w:val="none"/>
              </w:rPr>
              <w:t>月</w:t>
            </w:r>
            <w:r>
              <w:rPr>
                <w:rFonts w:hint="eastAsia" w:hAnsi="宋体" w:cs="宋体"/>
                <w:color w:val="auto"/>
                <w:highlight w:val="none"/>
                <w:lang w:val="en-US" w:eastAsia="zh-CN"/>
              </w:rPr>
              <w:t>17</w:t>
            </w:r>
            <w:r>
              <w:rPr>
                <w:rFonts w:hint="eastAsia" w:hAnsi="宋体" w:cs="宋体"/>
                <w:color w:val="auto"/>
                <w:highlight w:val="none"/>
              </w:rPr>
              <w:t>日1</w:t>
            </w:r>
            <w:r>
              <w:rPr>
                <w:rFonts w:hint="eastAsia" w:hAnsi="宋体" w:cs="宋体"/>
                <w:color w:val="auto"/>
                <w:highlight w:val="none"/>
                <w:lang w:val="en-US" w:eastAsia="zh-CN"/>
              </w:rPr>
              <w:t>0</w:t>
            </w:r>
            <w:r>
              <w:rPr>
                <w:rFonts w:hint="eastAsia" w:hAnsi="宋体" w:cs="宋体"/>
                <w:color w:val="auto"/>
                <w:highlight w:val="none"/>
              </w:rPr>
              <w:t>:00-1</w:t>
            </w:r>
            <w:r>
              <w:rPr>
                <w:rFonts w:hint="eastAsia" w:hAnsi="宋体" w:cs="宋体"/>
                <w:color w:val="auto"/>
                <w:highlight w:val="none"/>
                <w:lang w:val="en-US" w:eastAsia="zh-CN"/>
              </w:rPr>
              <w:t>0</w:t>
            </w:r>
            <w:r>
              <w:rPr>
                <w:rFonts w:hint="eastAsia" w:hAnsi="宋体" w:cs="宋体"/>
                <w:color w:val="auto"/>
                <w:highlight w:val="none"/>
              </w:rPr>
              <w:t>:30</w:t>
            </w:r>
          </w:p>
          <w:p>
            <w:pPr>
              <w:pStyle w:val="9"/>
              <w:spacing w:line="360" w:lineRule="exact"/>
              <w:jc w:val="left"/>
              <w:rPr>
                <w:rFonts w:hAnsi="宋体" w:cs="宋体"/>
                <w:color w:val="auto"/>
                <w:highlight w:val="none"/>
              </w:rPr>
            </w:pPr>
            <w:r>
              <w:rPr>
                <w:rFonts w:hint="eastAsia" w:hAnsi="宋体" w:cs="宋体"/>
                <w:color w:val="auto"/>
                <w:highlight w:val="none"/>
              </w:rPr>
              <w:t>递交</w:t>
            </w:r>
            <w:r>
              <w:rPr>
                <w:rFonts w:hint="eastAsia" w:hAnsi="宋体" w:cs="宋体"/>
                <w:color w:val="auto"/>
                <w:highlight w:val="none"/>
                <w:lang w:eastAsia="zh-CN"/>
              </w:rPr>
              <w:t>响应文件</w:t>
            </w:r>
            <w:r>
              <w:rPr>
                <w:rFonts w:hint="eastAsia" w:hAnsi="宋体" w:cs="宋体"/>
                <w:color w:val="auto"/>
                <w:highlight w:val="none"/>
              </w:rPr>
              <w:t>截止时间：</w:t>
            </w:r>
            <w:r>
              <w:rPr>
                <w:rFonts w:hint="eastAsia" w:hAnsi="宋体" w:cs="宋体"/>
                <w:color w:val="auto"/>
                <w:highlight w:val="none"/>
                <w:lang w:val="en-US" w:eastAsia="zh-CN"/>
              </w:rPr>
              <w:t>2022年5</w:t>
            </w:r>
            <w:r>
              <w:rPr>
                <w:rFonts w:hint="eastAsia" w:hAnsi="宋体" w:cs="宋体"/>
                <w:color w:val="auto"/>
                <w:highlight w:val="none"/>
              </w:rPr>
              <w:t>月</w:t>
            </w:r>
            <w:r>
              <w:rPr>
                <w:rFonts w:hint="eastAsia" w:hAnsi="宋体" w:cs="宋体"/>
                <w:color w:val="auto"/>
                <w:highlight w:val="none"/>
                <w:lang w:val="en-US" w:eastAsia="zh-CN"/>
              </w:rPr>
              <w:t>17</w:t>
            </w:r>
            <w:r>
              <w:rPr>
                <w:rFonts w:hint="eastAsia" w:hAnsi="宋体" w:cs="宋体"/>
                <w:color w:val="auto"/>
                <w:highlight w:val="none"/>
              </w:rPr>
              <w:t>日1</w:t>
            </w:r>
            <w:r>
              <w:rPr>
                <w:rFonts w:hint="eastAsia" w:hAnsi="宋体" w:cs="宋体"/>
                <w:color w:val="auto"/>
                <w:highlight w:val="none"/>
                <w:lang w:val="en-US" w:eastAsia="zh-CN"/>
              </w:rPr>
              <w:t>0</w:t>
            </w:r>
            <w:r>
              <w:rPr>
                <w:rFonts w:hint="eastAsia" w:hAnsi="宋体" w:cs="宋体"/>
                <w:color w:val="auto"/>
                <w:highlight w:val="none"/>
              </w:rPr>
              <w:t>:30</w:t>
            </w:r>
          </w:p>
          <w:p>
            <w:pPr>
              <w:pStyle w:val="9"/>
              <w:spacing w:line="360" w:lineRule="exact"/>
              <w:jc w:val="left"/>
              <w:rPr>
                <w:rFonts w:hAnsi="宋体" w:cs="宋体"/>
                <w:color w:val="auto"/>
                <w:highlight w:val="none"/>
              </w:rPr>
            </w:pPr>
            <w:r>
              <w:rPr>
                <w:rFonts w:hint="eastAsia" w:hAnsi="宋体" w:cs="宋体"/>
                <w:color w:val="auto"/>
                <w:highlight w:val="none"/>
              </w:rPr>
              <w:t>递交</w:t>
            </w:r>
            <w:r>
              <w:rPr>
                <w:rFonts w:hint="eastAsia" w:hAnsi="宋体" w:cs="宋体"/>
                <w:color w:val="auto"/>
                <w:highlight w:val="none"/>
                <w:lang w:eastAsia="zh-CN"/>
              </w:rPr>
              <w:t>响应文件</w:t>
            </w:r>
            <w:r>
              <w:rPr>
                <w:rFonts w:hint="eastAsia" w:hAnsi="宋体" w:cs="宋体"/>
                <w:color w:val="auto"/>
                <w:highlight w:val="none"/>
              </w:rPr>
              <w:t>地点：</w:t>
            </w:r>
            <w:r>
              <w:rPr>
                <w:rFonts w:hint="eastAsia" w:hAnsi="宋体" w:cs="宋体"/>
                <w:color w:val="auto"/>
                <w:lang w:val="en-US" w:eastAsia="zh-CN"/>
              </w:rPr>
              <w:t>新疆政府采购网政采云平台</w:t>
            </w:r>
            <w:r>
              <w:rPr>
                <w:rFonts w:hint="eastAsia" w:hAnsi="宋体" w:eastAsia="宋体" w:cs="宋体"/>
                <w:color w:val="auto"/>
                <w:lang w:val="en-US" w:eastAsia="zh-CN"/>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8</w:t>
            </w:r>
          </w:p>
        </w:tc>
        <w:tc>
          <w:tcPr>
            <w:tcW w:w="9378" w:type="dxa"/>
            <w:vAlign w:val="center"/>
          </w:tcPr>
          <w:p>
            <w:pPr>
              <w:pStyle w:val="9"/>
              <w:spacing w:line="360" w:lineRule="exact"/>
              <w:jc w:val="left"/>
              <w:rPr>
                <w:rFonts w:hAnsi="宋体" w:cs="宋体"/>
                <w:color w:val="auto"/>
                <w:highlight w:val="none"/>
              </w:rPr>
            </w:pPr>
            <w:r>
              <w:rPr>
                <w:rFonts w:hint="eastAsia" w:hAnsi="宋体" w:cs="宋体"/>
                <w:color w:val="auto"/>
                <w:highlight w:val="none"/>
              </w:rPr>
              <w:t>磋商时间：</w:t>
            </w:r>
            <w:r>
              <w:rPr>
                <w:rFonts w:hint="eastAsia" w:hAnsi="宋体" w:cs="宋体"/>
                <w:color w:val="auto"/>
                <w:highlight w:val="none"/>
                <w:lang w:val="en-US" w:eastAsia="zh-CN"/>
              </w:rPr>
              <w:t>2022年5</w:t>
            </w:r>
            <w:r>
              <w:rPr>
                <w:rFonts w:hint="eastAsia" w:hAnsi="宋体" w:cs="宋体"/>
                <w:color w:val="auto"/>
                <w:highlight w:val="none"/>
              </w:rPr>
              <w:t>月</w:t>
            </w:r>
            <w:r>
              <w:rPr>
                <w:rFonts w:hint="eastAsia" w:hAnsi="宋体" w:cs="宋体"/>
                <w:color w:val="auto"/>
                <w:highlight w:val="none"/>
                <w:lang w:val="en-US" w:eastAsia="zh-CN"/>
              </w:rPr>
              <w:t>17</w:t>
            </w:r>
            <w:r>
              <w:rPr>
                <w:rFonts w:hint="eastAsia" w:hAnsi="宋体" w:cs="宋体"/>
                <w:color w:val="auto"/>
                <w:highlight w:val="none"/>
              </w:rPr>
              <w:t>日1</w:t>
            </w:r>
            <w:r>
              <w:rPr>
                <w:rFonts w:hint="eastAsia" w:hAnsi="宋体" w:cs="宋体"/>
                <w:color w:val="auto"/>
                <w:highlight w:val="none"/>
                <w:lang w:val="en-US" w:eastAsia="zh-CN"/>
              </w:rPr>
              <w:t>0</w:t>
            </w:r>
            <w:r>
              <w:rPr>
                <w:rFonts w:hint="eastAsia" w:hAnsi="宋体" w:cs="宋体"/>
                <w:color w:val="auto"/>
                <w:highlight w:val="none"/>
              </w:rPr>
              <w:t>:30</w:t>
            </w:r>
          </w:p>
          <w:p>
            <w:pPr>
              <w:pStyle w:val="9"/>
              <w:spacing w:line="360" w:lineRule="exact"/>
              <w:jc w:val="left"/>
              <w:rPr>
                <w:rFonts w:hAnsi="宋体" w:cs="宋体"/>
                <w:color w:val="auto"/>
                <w:highlight w:val="none"/>
              </w:rPr>
            </w:pPr>
            <w:r>
              <w:rPr>
                <w:rFonts w:hint="eastAsia" w:hAnsi="宋体" w:cs="宋体"/>
                <w:color w:val="auto"/>
                <w:highlight w:val="none"/>
              </w:rPr>
              <w:t>磋商地点：</w:t>
            </w:r>
            <w:r>
              <w:rPr>
                <w:rFonts w:hint="eastAsia" w:hAnsi="宋体" w:cs="宋体"/>
                <w:color w:val="auto"/>
                <w:highlight w:val="none"/>
                <w:lang w:val="zh-CN"/>
              </w:rPr>
              <w:t>新疆永信工程造价咨询有限公司</w:t>
            </w:r>
            <w:r>
              <w:rPr>
                <w:rFonts w:hint="eastAsia" w:hAnsi="宋体" w:cs="宋体"/>
                <w:color w:val="auto"/>
                <w:highlight w:val="none"/>
              </w:rPr>
              <w:t>4楼401-3开标室</w:t>
            </w:r>
            <w:r>
              <w:rPr>
                <w:rFonts w:hint="eastAsia" w:hAnsi="宋体" w:cs="宋体"/>
                <w:color w:val="auto"/>
                <w:highlight w:val="none"/>
                <w:lang w:val="zh-CN"/>
              </w:rPr>
              <w:t>（克拉玛依市胜利路47号）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61" w:type="dxa"/>
            <w:vAlign w:val="center"/>
          </w:tcPr>
          <w:p>
            <w:pPr>
              <w:pStyle w:val="9"/>
              <w:spacing w:line="360" w:lineRule="exact"/>
              <w:jc w:val="center"/>
              <w:rPr>
                <w:rFonts w:hAnsi="宋体" w:cs="宋体"/>
                <w:color w:val="auto"/>
              </w:rPr>
            </w:pPr>
            <w:r>
              <w:rPr>
                <w:rFonts w:hint="eastAsia" w:hAnsi="宋体" w:cs="宋体"/>
                <w:color w:val="auto"/>
              </w:rPr>
              <w:t>9</w:t>
            </w:r>
          </w:p>
        </w:tc>
        <w:tc>
          <w:tcPr>
            <w:tcW w:w="9378" w:type="dxa"/>
            <w:vAlign w:val="center"/>
          </w:tcPr>
          <w:p>
            <w:pPr>
              <w:pStyle w:val="9"/>
              <w:spacing w:line="360" w:lineRule="exact"/>
              <w:jc w:val="left"/>
              <w:rPr>
                <w:rFonts w:hAnsi="宋体" w:cs="宋体"/>
                <w:color w:val="auto"/>
              </w:rPr>
            </w:pPr>
            <w:r>
              <w:rPr>
                <w:rFonts w:hint="eastAsia" w:hAnsi="宋体" w:cs="宋体"/>
                <w:b/>
                <w:bCs/>
                <w:color w:val="auto"/>
              </w:rPr>
              <w:t>采购项目</w:t>
            </w:r>
            <w:r>
              <w:rPr>
                <w:rFonts w:hint="eastAsia" w:hAnsi="宋体" w:cs="宋体"/>
                <w:b/>
                <w:bCs/>
                <w:color w:val="auto"/>
                <w:lang w:eastAsia="zh-CN"/>
              </w:rPr>
              <w:t>总</w:t>
            </w:r>
            <w:r>
              <w:rPr>
                <w:rFonts w:hint="eastAsia" w:hAnsi="宋体" w:cs="宋体"/>
                <w:b/>
                <w:bCs/>
                <w:color w:val="auto"/>
              </w:rPr>
              <w:t>预算</w:t>
            </w:r>
            <w:r>
              <w:rPr>
                <w:rFonts w:hint="eastAsia" w:hAnsi="宋体" w:cs="宋体"/>
                <w:b/>
                <w:bCs/>
                <w:color w:val="auto"/>
                <w:lang w:val="en-US" w:eastAsia="zh-CN"/>
              </w:rPr>
              <w:t>：¥121.5万元（大写：人民币壹佰贰拾壹万伍仟元整）</w:t>
            </w:r>
            <w:r>
              <w:rPr>
                <w:rFonts w:hint="eastAsia" w:hAnsi="宋体" w:cs="宋体"/>
                <w:b/>
                <w:bCs/>
                <w:color w:val="auto"/>
              </w:rPr>
              <w:t>，供应商的商务报价如超过采购预算，则该供应商的</w:t>
            </w:r>
            <w:r>
              <w:rPr>
                <w:rFonts w:hint="eastAsia" w:hAnsi="宋体" w:cs="宋体"/>
                <w:b/>
                <w:bCs/>
                <w:color w:val="auto"/>
                <w:lang w:eastAsia="zh-CN"/>
              </w:rPr>
              <w:t>响应文件</w:t>
            </w:r>
            <w:r>
              <w:rPr>
                <w:rFonts w:hint="eastAsia" w:hAnsi="宋体" w:cs="宋体"/>
                <w:b/>
                <w:bCs/>
                <w:color w:val="auto"/>
              </w:rPr>
              <w:t>作废标处理。</w:t>
            </w:r>
          </w:p>
        </w:tc>
      </w:tr>
    </w:tbl>
    <w:p>
      <w:pPr>
        <w:tabs>
          <w:tab w:val="left" w:pos="1230"/>
          <w:tab w:val="left" w:pos="1275"/>
        </w:tabs>
        <w:spacing w:line="340" w:lineRule="exact"/>
        <w:jc w:val="both"/>
        <w:rPr>
          <w:rFonts w:hint="eastAsia" w:ascii="宋体" w:hAnsi="宋体" w:cs="宋体"/>
          <w:b/>
          <w:bCs/>
          <w:color w:val="auto"/>
          <w:sz w:val="32"/>
          <w:szCs w:val="32"/>
          <w:highlight w:val="none"/>
        </w:rPr>
      </w:pP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28"/>
          <w:szCs w:val="28"/>
          <w:highlight w:val="none"/>
        </w:rPr>
        <w:t>第一章、竞争性磋商公告</w:t>
      </w:r>
    </w:p>
    <w:p>
      <w:pPr>
        <w:pStyle w:val="7"/>
        <w:rPr>
          <w:rFonts w:hint="eastAsia"/>
          <w:color w:val="auto"/>
          <w:lang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4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highlight w:val="none"/>
          <w:u w:val="single"/>
        </w:rPr>
        <w:t>(</w:t>
      </w:r>
      <w:r>
        <w:rPr>
          <w:rFonts w:hint="eastAsia" w:ascii="宋体" w:hAnsi="宋体" w:cs="宋体"/>
          <w:color w:val="auto"/>
          <w:sz w:val="24"/>
          <w:szCs w:val="24"/>
          <w:u w:val="single"/>
          <w:lang w:eastAsia="zh-CN"/>
        </w:rPr>
        <w:t>克拉玛依市克拉玛依区市场监督管理局202</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lang w:eastAsia="zh-CN"/>
        </w:rPr>
        <w:t>年食品安全监督抽检检验项目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新疆政府采购网政采云平台（www.zcygov.cn）</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获取采购文件，并于</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lang w:eastAsia="zh-CN"/>
        </w:rPr>
        <w:t>日</w:t>
      </w:r>
      <w:r>
        <w:rPr>
          <w:rFonts w:hint="eastAsia"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0</w:t>
      </w:r>
      <w:r>
        <w:rPr>
          <w:rFonts w:hint="eastAsia" w:ascii="宋体" w:hAnsi="宋体" w:cs="宋体"/>
          <w:bCs/>
          <w:color w:val="auto"/>
          <w:sz w:val="24"/>
          <w:highlight w:val="none"/>
          <w:u w:val="single"/>
        </w:rPr>
        <w:t>点30分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1" w:name="_Toc35393798"/>
      <w:bookmarkStart w:id="2" w:name="_Toc35393629"/>
      <w:bookmarkStart w:id="3" w:name="_Toc28359012"/>
      <w:bookmarkStart w:id="4" w:name="_Toc28359089"/>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highlight w:val="none"/>
          <w:lang w:eastAsia="zh-CN"/>
        </w:rPr>
        <w:t>YXZB[ZC]2022-05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克拉玛依市克拉玛依区市场监督管理局202</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年食品安全监督抽检检验项目</w:t>
      </w:r>
    </w:p>
    <w:p>
      <w:pPr>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highlight w:val="none"/>
        </w:rPr>
        <w:t>采购方式：</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竞争性谈判 ☑竞争性磋商 </w:t>
      </w:r>
      <w:r>
        <w:rPr>
          <w:rFonts w:hint="eastAsia" w:ascii="宋体" w:hAnsi="宋体" w:cs="宋体"/>
          <w:color w:val="auto"/>
          <w:sz w:val="24"/>
          <w:highlight w:val="none"/>
          <w:lang w:eastAsia="zh-CN"/>
        </w:rPr>
        <w:sym w:font="Wingdings 2" w:char="00A3"/>
      </w:r>
      <w:r>
        <w:rPr>
          <w:rFonts w:hint="eastAsia" w:ascii="宋体" w:hAnsi="宋体" w:cs="宋体"/>
          <w:color w:val="auto"/>
          <w:sz w:val="24"/>
          <w:highlight w:val="none"/>
        </w:rPr>
        <w:t>询价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w:t>
      </w:r>
      <w:r>
        <w:rPr>
          <w:rFonts w:hint="eastAsia" w:ascii="宋体" w:hAnsi="宋体" w:cs="宋体"/>
          <w:color w:val="auto"/>
          <w:sz w:val="24"/>
          <w:szCs w:val="24"/>
          <w:highlight w:val="none"/>
          <w:lang w:val="en-US" w:eastAsia="zh-CN"/>
        </w:rPr>
        <w:t>¥121.5</w:t>
      </w:r>
      <w:r>
        <w:rPr>
          <w:rFonts w:hint="eastAsia" w:ascii="宋体" w:hAnsi="宋体" w:eastAsia="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最高限价（如有）：</w:t>
      </w:r>
      <w:r>
        <w:rPr>
          <w:rFonts w:hint="eastAsia" w:ascii="宋体" w:hAnsi="宋体" w:eastAsia="宋体" w:cs="宋体"/>
          <w:color w:val="auto"/>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采购需求：详见</w:t>
      </w:r>
      <w:r>
        <w:rPr>
          <w:rFonts w:hint="eastAsia" w:ascii="宋体" w:hAnsi="宋体" w:cs="宋体"/>
          <w:color w:val="auto"/>
          <w:sz w:val="24"/>
          <w:szCs w:val="24"/>
          <w:lang w:eastAsia="zh-CN"/>
        </w:rPr>
        <w:t>竞争性磋商文件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合同履行期限：详见</w:t>
      </w:r>
      <w:r>
        <w:rPr>
          <w:rFonts w:hint="eastAsia" w:ascii="宋体" w:hAnsi="宋体" w:cs="宋体"/>
          <w:color w:val="auto"/>
          <w:sz w:val="24"/>
          <w:szCs w:val="24"/>
          <w:lang w:eastAsia="zh-CN"/>
        </w:rPr>
        <w:t>竞争性磋商文件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5" w:name="_Toc35393799"/>
      <w:bookmarkStart w:id="6" w:name="_Toc28359013"/>
      <w:bookmarkStart w:id="7" w:name="_Toc35393630"/>
      <w:bookmarkStart w:id="8" w:name="_Toc28359090"/>
      <w:r>
        <w:rPr>
          <w:rFonts w:hint="eastAsia" w:ascii="宋体" w:hAnsi="宋体" w:eastAsia="宋体" w:cs="宋体"/>
          <w:b/>
          <w:bCs/>
          <w:color w:val="auto"/>
          <w:sz w:val="24"/>
          <w:szCs w:val="24"/>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9" w:name="_Toc28359091"/>
      <w:bookmarkStart w:id="10" w:name="_Toc28359014"/>
      <w:r>
        <w:rPr>
          <w:rFonts w:hint="eastAsia" w:ascii="宋体" w:hAnsi="宋体" w:cs="宋体"/>
          <w:color w:val="auto"/>
          <w:sz w:val="24"/>
          <w:highlight w:val="none"/>
        </w:rPr>
        <w:t>1.满足《中华人民共和国政府采购法》第二十二条规定；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none"/>
        </w:rPr>
        <w:t>2.落实政府采购政策需满足的资格要求：</w:t>
      </w:r>
      <w:r>
        <w:rPr>
          <w:rFonts w:hint="eastAsia" w:ascii="宋体" w:hAnsi="宋体" w:cs="宋体"/>
          <w:color w:val="auto"/>
          <w:sz w:val="24"/>
          <w:highlight w:val="none"/>
        </w:rPr>
        <w:t>按照《财政部 工业和信息化部关于印发&lt;政府采购促进中小企业发展暂行办法&gt;的通知》（财库〔2020〕46号）的规定，落实促进中小企业发展政策。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color w:val="auto"/>
          <w:sz w:val="24"/>
          <w:highlight w:val="none"/>
        </w:rPr>
        <w:t>具有有效的食品检验机构资质认定合格证书（CMAF）及CMAF资质认定证书附表的相关内容，附表内容必须完全涵盖所有待检商品及检验项目；或食品检验机构资质认定证书（CMA）及CMA资质认定证书附表的相关内容，附表内容必须完全涵盖所有待检商品及检验项目</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.本项目不接受联合体投标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11" w:name="_Toc35393800"/>
      <w:bookmarkStart w:id="12" w:name="_Toc35393631"/>
      <w:r>
        <w:rPr>
          <w:rFonts w:hint="eastAsia" w:ascii="宋体" w:hAnsi="宋体" w:eastAsia="宋体" w:cs="宋体"/>
          <w:b/>
          <w:bCs/>
          <w:color w:val="auto"/>
          <w:sz w:val="24"/>
          <w:szCs w:val="24"/>
        </w:rPr>
        <w:t>三、获取</w:t>
      </w:r>
      <w:r>
        <w:rPr>
          <w:rFonts w:hint="eastAsia" w:ascii="宋体" w:hAnsi="宋体" w:cs="宋体"/>
          <w:b/>
          <w:bCs/>
          <w:color w:val="auto"/>
          <w:sz w:val="24"/>
          <w:highlight w:val="none"/>
        </w:rPr>
        <w:t>采购</w:t>
      </w:r>
      <w:r>
        <w:rPr>
          <w:rFonts w:hint="eastAsia" w:ascii="宋体" w:hAnsi="宋体" w:eastAsia="宋体" w:cs="宋体"/>
          <w:b/>
          <w:bCs/>
          <w:color w:val="auto"/>
          <w:sz w:val="24"/>
          <w:szCs w:val="24"/>
        </w:rPr>
        <w:t>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2022年5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2022年5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 xml:space="preserve">13:00 </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16:00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19:00</w:t>
      </w:r>
      <w:r>
        <w:rPr>
          <w:rFonts w:hint="eastAsia" w:ascii="宋体" w:hAnsi="宋体" w:eastAsia="宋体" w:cs="宋体"/>
          <w:color w:val="auto"/>
          <w:sz w:val="24"/>
          <w:szCs w:val="24"/>
          <w:highlight w:val="none"/>
        </w:rPr>
        <w:t>（北京时间，法定节假日除外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新疆政府采购网政采云平台（www.zcygov.cn）。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线上</w:t>
      </w:r>
      <w:r>
        <w:rPr>
          <w:rFonts w:hint="eastAsia"/>
          <w:color w:val="auto"/>
          <w:sz w:val="24"/>
          <w:szCs w:val="24"/>
        </w:rPr>
        <w:t>获取</w:t>
      </w:r>
      <w:r>
        <w:rPr>
          <w:rFonts w:hint="eastAsia"/>
          <w:color w:val="auto"/>
          <w:sz w:val="24"/>
          <w:szCs w:val="24"/>
          <w:lang w:eastAsia="zh-CN"/>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CN"/>
        </w:rPr>
        <w:t>登录政采云平台https://www.zcygov.cn/</w:t>
      </w:r>
      <w:r>
        <w:rPr>
          <w:rFonts w:hint="eastAsia" w:ascii="宋体" w:hAnsi="宋体" w:eastAsia="宋体" w:cs="宋体"/>
          <w:color w:val="auto"/>
          <w:sz w:val="24"/>
          <w:szCs w:val="24"/>
          <w:lang w:eastAsia="zh-CN"/>
        </w:rPr>
        <w:t>,在线申请获取</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eastAsia="zh-CN"/>
        </w:rPr>
        <w:t>文件（登录政府采购云平台→采购项目→获取招标文件→申请，审核通过后可下载招标文件，如有操作性问题，可与政采云在线客服进行咨询，咨询电话400-881-7190）</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cs="宋体"/>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3" w:name="_Toc28359092"/>
      <w:bookmarkStart w:id="14" w:name="_Toc28359015"/>
      <w:bookmarkStart w:id="15" w:name="_Toc35393801"/>
      <w:bookmarkStart w:id="16" w:name="_Toc35393632"/>
      <w:r>
        <w:rPr>
          <w:rFonts w:hint="eastAsia" w:ascii="宋体" w:hAnsi="宋体" w:eastAsia="宋体" w:cs="宋体"/>
          <w:b/>
          <w:bCs/>
          <w:color w:val="auto"/>
          <w:sz w:val="24"/>
          <w:szCs w:val="24"/>
        </w:rPr>
        <w:t>四、</w:t>
      </w:r>
      <w:r>
        <w:rPr>
          <w:rFonts w:hint="eastAsia" w:ascii="宋体" w:hAnsi="宋体" w:cs="宋体"/>
          <w:b/>
          <w:bCs/>
          <w:color w:val="auto"/>
          <w:sz w:val="24"/>
          <w:szCs w:val="24"/>
          <w:lang w:eastAsia="zh-CN"/>
        </w:rPr>
        <w:t>响应文件</w:t>
      </w:r>
      <w:r>
        <w:rPr>
          <w:rFonts w:hint="eastAsia" w:ascii="宋体" w:hAnsi="宋体" w:eastAsia="宋体" w:cs="宋体"/>
          <w:b/>
          <w:bCs/>
          <w:color w:val="auto"/>
          <w:sz w:val="24"/>
          <w:szCs w:val="24"/>
          <w:highlight w:val="none"/>
        </w:rPr>
        <w:t>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2022年5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rPr>
        <w:t>投标地点（网</w:t>
      </w:r>
      <w:r>
        <w:rPr>
          <w:rFonts w:hint="eastAsia" w:ascii="宋体" w:hAnsi="宋体" w:eastAsia="宋体" w:cs="宋体"/>
          <w:color w:val="auto"/>
          <w:sz w:val="24"/>
          <w:szCs w:val="24"/>
          <w:highlight w:val="none"/>
        </w:rPr>
        <w:t>址）：新疆政府采购网政采云平台（www.zcygov.cn）</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bookmarkStart w:id="17" w:name="_Toc28359016"/>
      <w:bookmarkStart w:id="18" w:name="_Toc35393633"/>
      <w:bookmarkStart w:id="19" w:name="_Toc35393802"/>
      <w:bookmarkStart w:id="20" w:name="_Toc28359093"/>
      <w:r>
        <w:rPr>
          <w:rFonts w:hint="eastAsia" w:ascii="宋体" w:hAnsi="宋体" w:eastAsia="宋体" w:cs="宋体"/>
          <w:b/>
          <w:bCs/>
          <w:color w:val="auto"/>
          <w:sz w:val="24"/>
          <w:szCs w:val="24"/>
          <w:highlight w:val="none"/>
        </w:rPr>
        <w:t>五、开启</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2022年5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地</w:t>
      </w:r>
      <w:r>
        <w:rPr>
          <w:rFonts w:hint="eastAsia" w:ascii="宋体" w:hAnsi="宋体" w:eastAsia="宋体" w:cs="宋体"/>
          <w:color w:val="auto"/>
          <w:sz w:val="24"/>
          <w:szCs w:val="24"/>
          <w:highlight w:val="none"/>
        </w:rPr>
        <w:t>点：新疆政府采购网政采云平台（www.zcygov.cn）</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1" w:name="_Toc35393803"/>
      <w:bookmarkStart w:id="22" w:name="_Toc28359094"/>
      <w:bookmarkStart w:id="23" w:name="_Toc28359017"/>
      <w:bookmarkStart w:id="24" w:name="_Toc35393634"/>
      <w:r>
        <w:rPr>
          <w:rFonts w:hint="eastAsia" w:ascii="宋体" w:hAnsi="宋体" w:eastAsia="宋体" w:cs="宋体"/>
          <w:b/>
          <w:bCs/>
          <w:color w:val="auto"/>
          <w:sz w:val="24"/>
          <w:szCs w:val="24"/>
        </w:rPr>
        <w:t>六、公告期限</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5" w:name="_Toc35393804"/>
      <w:bookmarkStart w:id="26" w:name="_Toc35393635"/>
      <w:r>
        <w:rPr>
          <w:rFonts w:hint="eastAsia" w:ascii="宋体" w:hAnsi="宋体" w:eastAsia="宋体" w:cs="宋体"/>
          <w:b/>
          <w:bCs/>
          <w:color w:val="auto"/>
          <w:sz w:val="24"/>
          <w:szCs w:val="24"/>
        </w:rPr>
        <w:t>七、其他补充事宜</w:t>
      </w:r>
      <w:bookmarkEnd w:id="25"/>
      <w:bookmarkEnd w:id="2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w:t>
      </w:r>
      <w:r>
        <w:rPr>
          <w:rFonts w:hint="eastAsia" w:cs="宋体"/>
          <w:color w:val="auto"/>
          <w:kern w:val="2"/>
          <w:sz w:val="24"/>
          <w:szCs w:val="24"/>
          <w:highlight w:val="none"/>
          <w:lang w:val="en-US" w:eastAsia="zh-CN" w:bidi="ar-SA"/>
        </w:rPr>
        <w:t>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eastAsia="宋体" w:cs="宋体"/>
          <w:color w:val="auto"/>
          <w:kern w:val="2"/>
          <w:sz w:val="24"/>
          <w:szCs w:val="24"/>
          <w:highlight w:val="none"/>
          <w:lang w:val="en-US" w:eastAsia="zh-CN" w:bidi="ar-SA"/>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2、本项目实行网上投标，采用电子投标文件，若供应商参与投标，应自行承担投标一切费用。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auto"/>
          <w:kern w:val="2"/>
          <w:sz w:val="24"/>
          <w:szCs w:val="24"/>
          <w:highlight w:val="none"/>
          <w:lang w:val="en-US" w:eastAsia="zh-CN" w:bidi="ar-SA"/>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5.供应商应当在投标截止时间前，将生成的“电子加密投标文件”上传递交至“政府采购云平台”，投标截止时间以后上传递交的响应文件将被“政府采购云平台”拒收。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6.供应商登录政采云平台，在开标时间后30分钟内用“项目采购-开标评标”功能进行解密响应文件。若供应商在规定时间内未按时解密的，视为无效投标。解密与加密响应文件须使用同一个CA。</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.疫情防控期间，开标时间、地点、要求等变动较大，请各供应商随时关注网站发布的澄清、修改通知等。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bookmarkStart w:id="27" w:name="_Toc28359018"/>
      <w:bookmarkStart w:id="28" w:name="_Toc35393805"/>
      <w:bookmarkStart w:id="29" w:name="_Toc28359095"/>
      <w:bookmarkStart w:id="30" w:name="_Toc35393636"/>
      <w:r>
        <w:rPr>
          <w:rFonts w:hint="eastAsia" w:ascii="宋体" w:hAnsi="宋体" w:eastAsia="宋体" w:cs="宋体"/>
          <w:b/>
          <w:bCs/>
          <w:color w:val="auto"/>
          <w:sz w:val="24"/>
          <w:szCs w:val="24"/>
        </w:rPr>
        <w:t>八、凡对本次采购提出询问，请按以下方式联系。</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1" w:name="_Toc35393637"/>
      <w:bookmarkStart w:id="32" w:name="_Toc28359019"/>
      <w:bookmarkStart w:id="33" w:name="_Toc35393806"/>
      <w:bookmarkStart w:id="34" w:name="_Toc28359096"/>
      <w:r>
        <w:rPr>
          <w:rFonts w:hint="eastAsia" w:ascii="宋体" w:hAnsi="宋体" w:eastAsia="宋体" w:cs="宋体"/>
          <w:color w:val="auto"/>
          <w:sz w:val="24"/>
          <w:szCs w:val="24"/>
          <w:u w:val="none"/>
        </w:rPr>
        <w:t>1.采购人信息</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cs="宋体"/>
          <w:color w:val="auto"/>
          <w:sz w:val="24"/>
          <w:szCs w:val="24"/>
          <w:u w:val="none"/>
          <w:lang w:eastAsia="zh-CN"/>
        </w:rPr>
        <w:t>克拉玛依市克拉玛依区市场监督管理局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cs="宋体"/>
          <w:color w:val="auto"/>
          <w:sz w:val="24"/>
          <w:szCs w:val="24"/>
          <w:u w:val="none"/>
          <w:lang w:eastAsia="zh-CN"/>
        </w:rPr>
        <w:t>克拉玛依区天山路42号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cs="宋体"/>
          <w:color w:val="auto"/>
          <w:sz w:val="24"/>
          <w:szCs w:val="24"/>
          <w:u w:val="none"/>
          <w:lang w:eastAsia="zh-CN"/>
        </w:rPr>
        <w:t>0990-6240601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bookmarkStart w:id="35" w:name="_Toc35393807"/>
      <w:bookmarkStart w:id="36" w:name="_Toc28359097"/>
      <w:bookmarkStart w:id="37" w:name="_Toc28359020"/>
      <w:bookmarkStart w:id="38" w:name="_Toc35393638"/>
      <w:r>
        <w:rPr>
          <w:rFonts w:hint="eastAsia" w:ascii="宋体" w:hAnsi="宋体" w:eastAsia="宋体" w:cs="宋体"/>
          <w:color w:val="auto"/>
          <w:sz w:val="24"/>
          <w:szCs w:val="24"/>
          <w:u w:val="none"/>
        </w:rPr>
        <w:t>2.采购代理机构信息</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新疆永信工程造价咨询有限公司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eastAsia="zh-CN"/>
        </w:rPr>
        <w:t>新疆克拉玛依市胜利路47号</w:t>
      </w:r>
    </w:p>
    <w:p>
      <w:pPr>
        <w:pStyle w:val="15"/>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联系方式：15999392492　</w:t>
      </w:r>
    </w:p>
    <w:p>
      <w:pPr>
        <w:pStyle w:val="15"/>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bookmarkStart w:id="39" w:name="_Toc35393808"/>
      <w:bookmarkStart w:id="40" w:name="_Toc35393639"/>
      <w:bookmarkStart w:id="41" w:name="_Toc28359021"/>
      <w:bookmarkStart w:id="42" w:name="_Toc28359098"/>
      <w:r>
        <w:rPr>
          <w:rFonts w:hint="eastAsia" w:ascii="宋体" w:hAnsi="宋体" w:eastAsia="宋体" w:cs="宋体"/>
          <w:color w:val="auto"/>
          <w:sz w:val="24"/>
          <w:szCs w:val="24"/>
          <w:u w:val="none"/>
          <w:lang w:val="en-US" w:eastAsia="zh-CN"/>
        </w:rPr>
        <w:t>3.项目联系方式</w:t>
      </w:r>
      <w:bookmarkEnd w:id="39"/>
      <w:bookmarkEnd w:id="40"/>
      <w:bookmarkEnd w:id="41"/>
      <w:bookmarkEnd w:id="42"/>
    </w:p>
    <w:p>
      <w:pPr>
        <w:pStyle w:val="15"/>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项目联系人：黄艳丽、邵彩霞</w:t>
      </w:r>
    </w:p>
    <w:p>
      <w:pPr>
        <w:pStyle w:val="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Style w:val="21"/>
          <w:rFonts w:hint="eastAsia" w:ascii="宋体" w:hAnsi="宋体" w:eastAsia="宋体" w:cs="宋体"/>
          <w:b w:val="0"/>
          <w:bCs/>
          <w:color w:val="auto"/>
          <w:sz w:val="24"/>
          <w:lang w:eastAsia="zh-CN"/>
        </w:rPr>
      </w:pPr>
      <w:r>
        <w:rPr>
          <w:rFonts w:hint="eastAsia" w:ascii="宋体" w:hAnsi="宋体" w:eastAsia="宋体" w:cs="宋体"/>
          <w:color w:val="auto"/>
          <w:sz w:val="24"/>
          <w:szCs w:val="24"/>
          <w:u w:val="none"/>
          <w:lang w:val="en-US" w:eastAsia="zh-CN"/>
        </w:rPr>
        <w:t>电　　 话：15999392492、13899588072</w:t>
      </w:r>
      <w:r>
        <w:rPr>
          <w:rStyle w:val="21"/>
          <w:rFonts w:hint="eastAsia" w:ascii="宋体" w:hAnsi="宋体" w:cs="宋体"/>
          <w:b w:val="0"/>
          <w:bCs/>
          <w:color w:val="auto"/>
          <w:sz w:val="24"/>
          <w:szCs w:val="24"/>
          <w:lang w:val="en-US" w:eastAsia="zh-CN"/>
        </w:rPr>
        <w:t xml:space="preserve"> </w:t>
      </w:r>
    </w:p>
    <w:p>
      <w:pPr>
        <w:keepNext w:val="0"/>
        <w:keepLines w:val="0"/>
        <w:pageBreakBefore/>
        <w:widowControl w:val="0"/>
        <w:kinsoku/>
        <w:wordWrap/>
        <w:overflowPunct/>
        <w:topLinePunct w:val="0"/>
        <w:autoSpaceDE/>
        <w:autoSpaceDN/>
        <w:bidi w:val="0"/>
        <w:adjustRightInd/>
        <w:snapToGrid/>
        <w:jc w:val="center"/>
        <w:textAlignment w:val="auto"/>
        <w:rPr>
          <w:rFonts w:ascii="宋体" w:hAnsi="宋体" w:cs="宋体"/>
          <w:b/>
          <w:bCs/>
          <w:color w:val="auto"/>
          <w:sz w:val="24"/>
        </w:rPr>
      </w:pPr>
      <w:bookmarkStart w:id="43" w:name="_Toc17277_WPSOffice_Level1"/>
      <w:r>
        <w:rPr>
          <w:rFonts w:hint="eastAsia" w:ascii="宋体" w:hAnsi="宋体" w:cs="宋体"/>
          <w:b/>
          <w:bCs/>
          <w:color w:val="auto"/>
          <w:sz w:val="30"/>
          <w:szCs w:val="30"/>
        </w:rPr>
        <w:t>第二章、供应商须知</w:t>
      </w:r>
      <w:bookmarkEnd w:id="43"/>
    </w:p>
    <w:p>
      <w:pPr>
        <w:rPr>
          <w:rFonts w:ascii="宋体" w:hAnsi="宋体" w:cs="宋体"/>
          <w:b/>
          <w:bCs/>
          <w:color w:val="auto"/>
          <w:sz w:val="24"/>
        </w:rPr>
      </w:pPr>
      <w:r>
        <w:rPr>
          <w:rFonts w:hint="eastAsia" w:ascii="宋体" w:hAnsi="宋体" w:cs="宋体"/>
          <w:b/>
          <w:bCs/>
          <w:color w:val="auto"/>
          <w:sz w:val="24"/>
        </w:rPr>
        <w:t>一、说明</w:t>
      </w:r>
    </w:p>
    <w:p>
      <w:pPr>
        <w:pStyle w:val="9"/>
        <w:spacing w:line="360" w:lineRule="auto"/>
        <w:ind w:firstLine="480" w:firstLineChars="200"/>
        <w:outlineLvl w:val="1"/>
        <w:rPr>
          <w:rFonts w:hAnsi="宋体" w:cs="宋体"/>
          <w:color w:val="auto"/>
          <w:sz w:val="24"/>
        </w:rPr>
      </w:pPr>
      <w:bookmarkStart w:id="44" w:name="_Toc246216180"/>
      <w:bookmarkStart w:id="45" w:name="_Toc243907571"/>
      <w:bookmarkStart w:id="46" w:name="_Toc233274811"/>
      <w:bookmarkStart w:id="47" w:name="_Toc243906311"/>
      <w:bookmarkStart w:id="48" w:name="_Toc6629"/>
      <w:r>
        <w:rPr>
          <w:rFonts w:hint="eastAsia" w:hAnsi="宋体" w:cs="宋体"/>
          <w:color w:val="auto"/>
          <w:sz w:val="24"/>
        </w:rPr>
        <w:t>1、适用范围</w:t>
      </w:r>
      <w:bookmarkEnd w:id="44"/>
      <w:bookmarkEnd w:id="45"/>
      <w:bookmarkEnd w:id="46"/>
      <w:bookmarkEnd w:id="47"/>
      <w:r>
        <w:rPr>
          <w:rFonts w:hint="eastAsia" w:hAnsi="宋体" w:cs="宋体"/>
          <w:color w:val="auto"/>
          <w:sz w:val="24"/>
        </w:rPr>
        <w:t>及招标依据</w:t>
      </w:r>
      <w:bookmarkEnd w:id="48"/>
    </w:p>
    <w:p>
      <w:pPr>
        <w:pStyle w:val="9"/>
        <w:spacing w:line="360" w:lineRule="auto"/>
        <w:ind w:firstLine="480" w:firstLineChars="200"/>
        <w:rPr>
          <w:rFonts w:hAnsi="宋体" w:cs="宋体"/>
          <w:color w:val="auto"/>
          <w:sz w:val="24"/>
        </w:rPr>
      </w:pPr>
      <w:r>
        <w:rPr>
          <w:rFonts w:hint="eastAsia" w:hAnsi="宋体" w:cs="宋体"/>
          <w:color w:val="auto"/>
          <w:sz w:val="24"/>
        </w:rPr>
        <w:t>1.1 适用范围</w:t>
      </w:r>
    </w:p>
    <w:p>
      <w:pPr>
        <w:pStyle w:val="9"/>
        <w:spacing w:line="360" w:lineRule="auto"/>
        <w:ind w:firstLine="480" w:firstLineChars="200"/>
        <w:rPr>
          <w:rFonts w:hAnsi="宋体" w:cs="宋体"/>
          <w:color w:val="auto"/>
          <w:sz w:val="24"/>
        </w:rPr>
      </w:pPr>
      <w:r>
        <w:rPr>
          <w:rFonts w:hint="eastAsia" w:hAnsi="宋体" w:cs="宋体"/>
          <w:color w:val="auto"/>
          <w:sz w:val="24"/>
        </w:rPr>
        <w:t>本</w:t>
      </w:r>
      <w:r>
        <w:rPr>
          <w:rFonts w:hint="eastAsia" w:hAnsi="宋体" w:cs="宋体"/>
          <w:color w:val="auto"/>
          <w:sz w:val="24"/>
          <w:lang w:eastAsia="zh-CN"/>
        </w:rPr>
        <w:t>竞争性磋商文件</w:t>
      </w:r>
      <w:r>
        <w:rPr>
          <w:rFonts w:hint="eastAsia" w:hAnsi="宋体" w:cs="宋体"/>
          <w:color w:val="auto"/>
          <w:sz w:val="24"/>
        </w:rPr>
        <w:t>仅适用于</w:t>
      </w:r>
      <w:r>
        <w:rPr>
          <w:rFonts w:hint="eastAsia" w:hAnsi="宋体" w:cs="宋体"/>
          <w:color w:val="auto"/>
          <w:sz w:val="24"/>
          <w:lang w:eastAsia="zh-CN"/>
        </w:rPr>
        <w:t>克拉玛依市克拉玛依区市场监督管理局202</w:t>
      </w:r>
      <w:r>
        <w:rPr>
          <w:rFonts w:hint="eastAsia" w:hAnsi="宋体" w:cs="宋体"/>
          <w:color w:val="auto"/>
          <w:sz w:val="24"/>
          <w:lang w:val="en-US" w:eastAsia="zh-CN"/>
        </w:rPr>
        <w:t>2</w:t>
      </w:r>
      <w:r>
        <w:rPr>
          <w:rFonts w:hint="eastAsia" w:hAnsi="宋体" w:cs="宋体"/>
          <w:color w:val="auto"/>
          <w:sz w:val="24"/>
          <w:lang w:eastAsia="zh-CN"/>
        </w:rPr>
        <w:t>年食品安全监督抽检检验项目</w:t>
      </w:r>
      <w:r>
        <w:rPr>
          <w:rFonts w:hint="eastAsia" w:hAnsi="宋体" w:cs="宋体"/>
          <w:color w:val="auto"/>
          <w:sz w:val="24"/>
          <w:szCs w:val="24"/>
        </w:rPr>
        <w:t>。</w:t>
      </w:r>
    </w:p>
    <w:p>
      <w:pPr>
        <w:pStyle w:val="9"/>
        <w:spacing w:line="360" w:lineRule="auto"/>
        <w:ind w:firstLine="480" w:firstLineChars="200"/>
        <w:rPr>
          <w:rFonts w:hAnsi="宋体" w:cs="宋体"/>
          <w:color w:val="auto"/>
          <w:sz w:val="24"/>
        </w:rPr>
      </w:pPr>
      <w:r>
        <w:rPr>
          <w:rFonts w:hint="eastAsia" w:hAnsi="宋体" w:cs="宋体"/>
          <w:color w:val="auto"/>
          <w:sz w:val="24"/>
        </w:rPr>
        <w:t>1.2招标依据</w:t>
      </w:r>
    </w:p>
    <w:p>
      <w:pPr>
        <w:widowControl/>
        <w:spacing w:line="360" w:lineRule="auto"/>
        <w:ind w:firstLine="480" w:firstLineChars="200"/>
        <w:rPr>
          <w:rFonts w:hint="eastAsia" w:ascii="宋体" w:hAnsi="宋体" w:eastAsia="宋体" w:cs="宋体"/>
          <w:color w:val="auto"/>
          <w:kern w:val="2"/>
          <w:sz w:val="24"/>
          <w:szCs w:val="21"/>
          <w:lang w:val="en-US" w:eastAsia="zh-CN" w:bidi="ar-SA"/>
        </w:rPr>
      </w:pPr>
      <w:bookmarkStart w:id="49" w:name="_Toc246216181"/>
      <w:bookmarkStart w:id="50" w:name="_Toc20877"/>
      <w:bookmarkStart w:id="51" w:name="_Toc233274812"/>
      <w:bookmarkStart w:id="52" w:name="_Toc243906312"/>
      <w:bookmarkStart w:id="53" w:name="_Toc243907572"/>
      <w:r>
        <w:rPr>
          <w:rFonts w:hint="eastAsia" w:ascii="宋体" w:hAnsi="宋体" w:cs="宋体"/>
          <w:color w:val="auto"/>
          <w:sz w:val="24"/>
          <w:highlight w:val="none"/>
        </w:rPr>
        <w:t>根据《中华人民共和国政府采购法》、《中华人民共和国政府采购法实施条例》、《财政部关于印发〈政府采购竞争性磋商采购方式管理暂行办法〉的通知》（财库〔2014〕214号）及有关法律、法规。</w:t>
      </w:r>
    </w:p>
    <w:p>
      <w:pPr>
        <w:pStyle w:val="9"/>
        <w:spacing w:line="360" w:lineRule="auto"/>
        <w:ind w:firstLine="480" w:firstLineChars="200"/>
        <w:outlineLvl w:val="1"/>
        <w:rPr>
          <w:rFonts w:hAnsi="宋体" w:cs="宋体"/>
          <w:color w:val="auto"/>
          <w:sz w:val="24"/>
        </w:rPr>
      </w:pPr>
      <w:r>
        <w:rPr>
          <w:rFonts w:hint="eastAsia" w:hAnsi="宋体" w:cs="宋体"/>
          <w:color w:val="auto"/>
          <w:sz w:val="24"/>
        </w:rPr>
        <w:t>2、定义</w:t>
      </w:r>
      <w:bookmarkEnd w:id="49"/>
      <w:bookmarkEnd w:id="50"/>
      <w:bookmarkEnd w:id="51"/>
      <w:bookmarkEnd w:id="52"/>
      <w:bookmarkEnd w:id="53"/>
    </w:p>
    <w:p>
      <w:pPr>
        <w:pStyle w:val="9"/>
        <w:spacing w:line="360" w:lineRule="auto"/>
        <w:ind w:firstLine="480" w:firstLineChars="200"/>
        <w:rPr>
          <w:rFonts w:hAnsi="宋体" w:cs="宋体"/>
          <w:color w:val="auto"/>
          <w:sz w:val="24"/>
        </w:rPr>
      </w:pPr>
      <w:r>
        <w:rPr>
          <w:rFonts w:hint="eastAsia" w:hAnsi="宋体" w:cs="宋体"/>
          <w:color w:val="auto"/>
          <w:sz w:val="24"/>
        </w:rPr>
        <w:t>2.1 “采购人”系指</w:t>
      </w:r>
      <w:r>
        <w:rPr>
          <w:rFonts w:hint="eastAsia" w:hAnsi="宋体" w:cs="宋体"/>
          <w:color w:val="auto"/>
          <w:sz w:val="24"/>
          <w:lang w:eastAsia="zh-CN"/>
        </w:rPr>
        <w:t>克拉玛依市克拉玛依区市场监督管理局</w:t>
      </w:r>
      <w:r>
        <w:rPr>
          <w:rFonts w:hint="eastAsia" w:hAnsi="宋体" w:cs="宋体"/>
          <w:color w:val="auto"/>
          <w:sz w:val="24"/>
        </w:rPr>
        <w:t>，在签订和执行合同阶段称“买方”。</w:t>
      </w:r>
    </w:p>
    <w:p>
      <w:pPr>
        <w:pStyle w:val="9"/>
        <w:spacing w:line="360" w:lineRule="auto"/>
        <w:ind w:firstLine="480" w:firstLineChars="200"/>
        <w:rPr>
          <w:rFonts w:hAnsi="宋体" w:cs="宋体"/>
          <w:color w:val="auto"/>
          <w:sz w:val="24"/>
        </w:rPr>
      </w:pPr>
      <w:r>
        <w:rPr>
          <w:rFonts w:hint="eastAsia" w:hAnsi="宋体" w:cs="宋体"/>
          <w:color w:val="auto"/>
          <w:sz w:val="24"/>
        </w:rPr>
        <w:t xml:space="preserve">2.2 </w:t>
      </w:r>
      <w:r>
        <w:rPr>
          <w:rFonts w:hint="eastAsia" w:hAnsi="宋体" w:cs="宋体"/>
          <w:color w:val="auto"/>
          <w:sz w:val="24"/>
          <w:szCs w:val="24"/>
        </w:rPr>
        <w:t>“采购代理机构”</w:t>
      </w:r>
      <w:r>
        <w:rPr>
          <w:rFonts w:hint="eastAsia" w:hAnsi="宋体" w:cs="宋体"/>
          <w:color w:val="auto"/>
          <w:sz w:val="24"/>
        </w:rPr>
        <w:t>系指</w:t>
      </w:r>
      <w:r>
        <w:rPr>
          <w:rFonts w:hint="eastAsia" w:hAnsi="宋体" w:cs="宋体"/>
          <w:color w:val="auto"/>
          <w:sz w:val="24"/>
          <w:lang w:val="zh-CN"/>
        </w:rPr>
        <w:t>新疆永信工程造价咨询有限公司</w:t>
      </w:r>
      <w:r>
        <w:rPr>
          <w:rFonts w:hint="eastAsia" w:hAnsi="宋体" w:cs="宋体"/>
          <w:color w:val="auto"/>
          <w:sz w:val="24"/>
        </w:rPr>
        <w:t>。</w:t>
      </w:r>
    </w:p>
    <w:p>
      <w:pPr>
        <w:pStyle w:val="9"/>
        <w:spacing w:line="360" w:lineRule="auto"/>
        <w:ind w:firstLine="480" w:firstLineChars="200"/>
        <w:rPr>
          <w:rFonts w:hAnsi="宋体" w:cs="宋体"/>
          <w:color w:val="auto"/>
          <w:sz w:val="24"/>
          <w:lang w:val="zh-CN"/>
        </w:rPr>
      </w:pPr>
      <w:bookmarkStart w:id="54" w:name="_Toc246216182"/>
      <w:bookmarkStart w:id="55" w:name="_Toc233274813"/>
      <w:bookmarkStart w:id="56" w:name="_Toc243906313"/>
      <w:bookmarkStart w:id="57" w:name="_Toc243907573"/>
      <w:r>
        <w:rPr>
          <w:rFonts w:hint="eastAsia" w:hAnsi="宋体" w:cs="宋体"/>
          <w:color w:val="auto"/>
          <w:sz w:val="24"/>
          <w:lang w:val="zh-CN"/>
        </w:rPr>
        <w:t>2.3 “供应商”系指具备资格并响应竞争性磋商文件要求提交响应文件的法人，供应商若成交，在签订和执行合同阶段称“卖方”。</w:t>
      </w:r>
    </w:p>
    <w:p>
      <w:pPr>
        <w:pStyle w:val="9"/>
        <w:spacing w:line="360" w:lineRule="auto"/>
        <w:ind w:firstLine="480" w:firstLineChars="200"/>
        <w:rPr>
          <w:rFonts w:hAnsi="宋体" w:cs="宋体"/>
          <w:color w:val="auto"/>
          <w:sz w:val="24"/>
          <w:lang w:val="zh-CN"/>
        </w:rPr>
      </w:pPr>
      <w:r>
        <w:rPr>
          <w:rFonts w:hint="eastAsia" w:hAnsi="宋体" w:cs="宋体"/>
          <w:color w:val="auto"/>
          <w:sz w:val="24"/>
          <w:lang w:val="zh-CN"/>
        </w:rPr>
        <w:t>2.4 “竞争性磋商文件”系指由采购人向供应商发出的本采购项目的全部文件（包括修改文件、项目采购需求、补充文件、答疑纪要、各种通知和附件等）。</w:t>
      </w:r>
    </w:p>
    <w:p>
      <w:pPr>
        <w:pStyle w:val="9"/>
        <w:spacing w:line="360" w:lineRule="auto"/>
        <w:ind w:firstLine="480" w:firstLineChars="200"/>
        <w:rPr>
          <w:rFonts w:hAnsi="宋体" w:cs="宋体"/>
          <w:color w:val="auto"/>
          <w:sz w:val="24"/>
          <w:shd w:val="clear" w:color="FFFFFF" w:fill="D9D9D9"/>
          <w:lang w:val="zh-CN"/>
        </w:rPr>
      </w:pPr>
      <w:r>
        <w:rPr>
          <w:rFonts w:hint="eastAsia" w:hAnsi="宋体" w:cs="宋体"/>
          <w:color w:val="auto"/>
          <w:sz w:val="24"/>
          <w:lang w:val="zh-CN"/>
        </w:rPr>
        <w:t>2.5 “响应文件”系指供应商根据竞争性磋商文件提交的所有文件及电子文档</w:t>
      </w:r>
      <w:r>
        <w:rPr>
          <w:rFonts w:hint="eastAsia" w:hAnsi="宋体" w:cs="宋体"/>
          <w:color w:val="auto"/>
          <w:sz w:val="24"/>
          <w:szCs w:val="24"/>
        </w:rPr>
        <w:t>（不加密光盘或U盘）</w:t>
      </w:r>
      <w:r>
        <w:rPr>
          <w:rFonts w:hint="eastAsia" w:hAnsi="宋体" w:cs="宋体"/>
          <w:color w:val="auto"/>
          <w:sz w:val="24"/>
          <w:lang w:val="zh-CN"/>
        </w:rPr>
        <w:t>。</w:t>
      </w:r>
    </w:p>
    <w:p>
      <w:pPr>
        <w:pStyle w:val="9"/>
        <w:spacing w:line="360" w:lineRule="auto"/>
        <w:ind w:firstLine="480" w:firstLineChars="200"/>
        <w:rPr>
          <w:rFonts w:hint="eastAsia" w:hAnsi="宋体" w:cs="宋体"/>
          <w:color w:val="auto"/>
          <w:sz w:val="24"/>
        </w:rPr>
      </w:pPr>
      <w:r>
        <w:rPr>
          <w:rFonts w:hint="eastAsia" w:hAnsi="宋体" w:cs="宋体"/>
          <w:color w:val="auto"/>
          <w:sz w:val="24"/>
          <w:lang w:val="zh-CN"/>
        </w:rPr>
        <w:t>2.</w:t>
      </w:r>
      <w:r>
        <w:rPr>
          <w:rFonts w:hint="eastAsia" w:hAnsi="宋体" w:cs="宋体"/>
          <w:color w:val="auto"/>
          <w:sz w:val="24"/>
          <w:lang w:val="en-US" w:eastAsia="zh-CN"/>
        </w:rPr>
        <w:t>6</w:t>
      </w:r>
      <w:r>
        <w:rPr>
          <w:rFonts w:hint="eastAsia" w:hAnsi="宋体" w:cs="宋体"/>
          <w:color w:val="auto"/>
          <w:sz w:val="24"/>
          <w:lang w:val="zh-CN"/>
        </w:rPr>
        <w:t xml:space="preserve"> “服务”</w:t>
      </w:r>
      <w:r>
        <w:rPr>
          <w:rFonts w:hint="eastAsia" w:hAnsi="宋体" w:cs="宋体"/>
          <w:color w:val="auto"/>
          <w:sz w:val="24"/>
        </w:rPr>
        <w:t>系指按合同条款、技术规范及标准、项目采购需求、本</w:t>
      </w:r>
      <w:r>
        <w:rPr>
          <w:rFonts w:hint="eastAsia" w:hAnsi="宋体" w:cs="宋体"/>
          <w:color w:val="auto"/>
          <w:sz w:val="24"/>
          <w:lang w:eastAsia="zh-CN"/>
        </w:rPr>
        <w:t>竞争性磋商文件</w:t>
      </w:r>
      <w:r>
        <w:rPr>
          <w:rFonts w:hint="eastAsia" w:hAnsi="宋体" w:cs="宋体"/>
          <w:color w:val="auto"/>
          <w:sz w:val="24"/>
        </w:rPr>
        <w:t>规定，</w:t>
      </w:r>
      <w:r>
        <w:rPr>
          <w:rFonts w:hint="eastAsia" w:hAnsi="宋体" w:cs="宋体"/>
          <w:color w:val="auto"/>
          <w:sz w:val="24"/>
          <w:highlight w:val="none"/>
        </w:rPr>
        <w:t>为认真履行食品安全监督管理职能，切实维护食品安全，成交供应商</w:t>
      </w:r>
      <w:r>
        <w:rPr>
          <w:rFonts w:hint="eastAsia" w:hAnsi="宋体" w:cs="宋体"/>
          <w:color w:val="auto"/>
          <w:sz w:val="24"/>
          <w:highlight w:val="none"/>
          <w:lang w:val="en-US" w:eastAsia="zh-CN"/>
        </w:rPr>
        <w:t>保证</w:t>
      </w:r>
      <w:r>
        <w:rPr>
          <w:rFonts w:hint="eastAsia" w:hAnsi="宋体" w:cs="宋体"/>
          <w:color w:val="auto"/>
          <w:sz w:val="24"/>
          <w:highlight w:val="none"/>
          <w:lang w:eastAsia="zh-CN"/>
        </w:rPr>
        <w:t>完成克拉玛依市克拉玛依区市场监督管理局202</w:t>
      </w:r>
      <w:r>
        <w:rPr>
          <w:rFonts w:hint="eastAsia" w:hAnsi="宋体" w:cs="宋体"/>
          <w:color w:val="auto"/>
          <w:sz w:val="24"/>
          <w:highlight w:val="none"/>
          <w:lang w:val="en-US" w:eastAsia="zh-CN"/>
        </w:rPr>
        <w:t>2</w:t>
      </w:r>
      <w:r>
        <w:rPr>
          <w:rFonts w:hint="eastAsia" w:hAnsi="宋体" w:cs="宋体"/>
          <w:color w:val="auto"/>
          <w:sz w:val="24"/>
          <w:highlight w:val="none"/>
          <w:lang w:eastAsia="zh-CN"/>
        </w:rPr>
        <w:t>年食品安全监督抽检检验项目</w:t>
      </w:r>
      <w:r>
        <w:rPr>
          <w:rFonts w:hint="eastAsia" w:hAnsi="宋体" w:cs="宋体"/>
          <w:color w:val="auto"/>
          <w:sz w:val="24"/>
          <w:highlight w:val="none"/>
          <w:lang w:val="en-US" w:eastAsia="zh-CN"/>
        </w:rPr>
        <w:t>所包含的全部工作内容。</w:t>
      </w:r>
      <w:r>
        <w:rPr>
          <w:rFonts w:hint="eastAsia" w:hAnsi="宋体" w:cs="宋体"/>
          <w:color w:val="auto"/>
          <w:sz w:val="24"/>
          <w:highlight w:val="none"/>
          <w:lang w:eastAsia="zh-CN"/>
        </w:rPr>
        <w:t>依据中华人民共和国食品安全法》、《中华人民共和国食品安全法实施条例》、《食品安全抽样检验管理办法》等相关法律法规要求，根据自治区、</w:t>
      </w:r>
      <w:r>
        <w:rPr>
          <w:rFonts w:hint="eastAsia" w:hAnsi="宋体" w:cs="宋体"/>
          <w:color w:val="auto"/>
          <w:sz w:val="24"/>
          <w:highlight w:val="none"/>
          <w:lang w:val="en-US" w:eastAsia="zh-CN"/>
        </w:rPr>
        <w:t>市</w:t>
      </w:r>
      <w:r>
        <w:rPr>
          <w:rFonts w:hint="eastAsia" w:hAnsi="宋体" w:cs="宋体"/>
          <w:color w:val="auto"/>
          <w:sz w:val="24"/>
          <w:highlight w:val="none"/>
          <w:lang w:eastAsia="zh-CN"/>
        </w:rPr>
        <w:t>市场监督管理局</w:t>
      </w:r>
      <w:r>
        <w:rPr>
          <w:rFonts w:hint="eastAsia" w:hAnsi="宋体" w:cs="宋体"/>
          <w:color w:val="auto"/>
          <w:sz w:val="24"/>
          <w:highlight w:val="none"/>
          <w:lang w:val="en-US" w:eastAsia="zh-CN"/>
        </w:rPr>
        <w:t>2022年</w:t>
      </w:r>
      <w:r>
        <w:rPr>
          <w:rFonts w:hint="eastAsia" w:hAnsi="宋体" w:cs="宋体"/>
          <w:color w:val="auto"/>
          <w:sz w:val="24"/>
          <w:highlight w:val="none"/>
          <w:lang w:eastAsia="zh-CN"/>
        </w:rPr>
        <w:t>食品安全监督抽检工作要求，</w:t>
      </w:r>
      <w:r>
        <w:rPr>
          <w:rFonts w:hint="eastAsia" w:hAnsi="宋体" w:cs="宋体"/>
          <w:color w:val="auto"/>
          <w:sz w:val="24"/>
          <w:highlight w:val="none"/>
          <w:lang w:val="en-US" w:eastAsia="zh-CN"/>
        </w:rPr>
        <w:t>结合克拉玛依区</w:t>
      </w:r>
      <w:r>
        <w:rPr>
          <w:rFonts w:hint="eastAsia" w:hAnsi="宋体" w:cs="宋体"/>
          <w:color w:val="auto"/>
          <w:sz w:val="24"/>
          <w:highlight w:val="none"/>
          <w:lang w:eastAsia="zh-CN"/>
        </w:rPr>
        <w:t>实际</w:t>
      </w:r>
      <w:r>
        <w:rPr>
          <w:rFonts w:hint="eastAsia" w:hAnsi="宋体" w:cs="宋体"/>
          <w:color w:val="auto"/>
          <w:sz w:val="24"/>
          <w:highlight w:val="none"/>
          <w:lang w:val="en-US" w:eastAsia="zh-CN"/>
        </w:rPr>
        <w:t>情况</w:t>
      </w:r>
      <w:r>
        <w:rPr>
          <w:rFonts w:hint="eastAsia" w:hAnsi="宋体" w:cs="宋体"/>
          <w:color w:val="auto"/>
          <w:sz w:val="24"/>
          <w:highlight w:val="none"/>
          <w:lang w:eastAsia="zh-CN"/>
        </w:rPr>
        <w:t>完成克拉玛依市克拉玛依区市场监督管理局2022年食品安全监管抽检采购项目</w:t>
      </w:r>
      <w:r>
        <w:rPr>
          <w:rFonts w:hint="eastAsia" w:hAnsi="宋体" w:cs="宋体"/>
          <w:color w:val="auto"/>
          <w:sz w:val="24"/>
          <w:highlight w:val="none"/>
          <w:lang w:val="en-US" w:eastAsia="zh-CN"/>
        </w:rPr>
        <w:t>食品抽检工作并出具检验报告，</w:t>
      </w:r>
      <w:r>
        <w:rPr>
          <w:rFonts w:hint="eastAsia" w:hAnsi="宋体" w:cs="宋体"/>
          <w:color w:val="auto"/>
          <w:sz w:val="24"/>
          <w:highlight w:val="none"/>
          <w:lang w:eastAsia="zh-CN"/>
        </w:rPr>
        <w:t>以及合同条款、技术规范及标准、项目采购需求、本竞争性磋商文件约定的全部内容及责任和义务</w:t>
      </w:r>
      <w:r>
        <w:rPr>
          <w:rFonts w:hint="eastAsia" w:hAnsi="宋体" w:cs="宋体"/>
          <w:color w:val="auto"/>
          <w:sz w:val="24"/>
          <w:lang w:eastAsia="zh-CN"/>
        </w:rPr>
        <w:t>。</w:t>
      </w:r>
    </w:p>
    <w:p>
      <w:pPr>
        <w:pStyle w:val="9"/>
        <w:spacing w:line="360" w:lineRule="auto"/>
        <w:ind w:firstLine="480" w:firstLineChars="200"/>
        <w:rPr>
          <w:rFonts w:hAnsi="宋体" w:cs="宋体"/>
          <w:color w:val="auto"/>
          <w:sz w:val="24"/>
          <w:lang w:val="zh-CN"/>
        </w:rPr>
      </w:pPr>
      <w:r>
        <w:rPr>
          <w:rFonts w:hint="eastAsia" w:hAnsi="宋体" w:cs="宋体"/>
          <w:color w:val="auto"/>
          <w:sz w:val="24"/>
          <w:lang w:val="zh-CN"/>
        </w:rPr>
        <w:t>2.</w:t>
      </w:r>
      <w:r>
        <w:rPr>
          <w:rFonts w:hint="eastAsia" w:hAnsi="宋体" w:cs="宋体"/>
          <w:color w:val="auto"/>
          <w:sz w:val="24"/>
          <w:lang w:val="en-US" w:eastAsia="zh-CN"/>
        </w:rPr>
        <w:t>7</w:t>
      </w:r>
      <w:r>
        <w:rPr>
          <w:rFonts w:hint="eastAsia" w:hAnsi="宋体" w:cs="宋体"/>
          <w:color w:val="auto"/>
          <w:sz w:val="24"/>
        </w:rPr>
        <w:t xml:space="preserve"> </w:t>
      </w:r>
      <w:r>
        <w:rPr>
          <w:rFonts w:hint="eastAsia" w:hAnsi="宋体" w:cs="宋体"/>
          <w:color w:val="auto"/>
          <w:sz w:val="24"/>
          <w:lang w:val="zh-CN"/>
        </w:rPr>
        <w:t xml:space="preserve">凡提及的“天、日期、星期、月份和年份”系指公历日历的日历天、日期、星期、月份和年份。 </w:t>
      </w:r>
    </w:p>
    <w:p>
      <w:pPr>
        <w:pStyle w:val="9"/>
        <w:spacing w:line="360" w:lineRule="auto"/>
        <w:ind w:firstLine="482" w:firstLineChars="200"/>
        <w:rPr>
          <w:rFonts w:hAnsi="宋体" w:cs="宋体"/>
          <w:b/>
          <w:bCs/>
          <w:color w:val="auto"/>
          <w:sz w:val="24"/>
        </w:rPr>
      </w:pPr>
      <w:r>
        <w:rPr>
          <w:rFonts w:hint="eastAsia" w:hAnsi="宋体" w:cs="宋体"/>
          <w:b/>
          <w:bCs/>
          <w:color w:val="auto"/>
          <w:sz w:val="24"/>
        </w:rPr>
        <w:t>3、</w:t>
      </w:r>
      <w:bookmarkEnd w:id="54"/>
      <w:bookmarkEnd w:id="55"/>
      <w:bookmarkEnd w:id="56"/>
      <w:bookmarkEnd w:id="57"/>
      <w:r>
        <w:rPr>
          <w:rFonts w:hint="eastAsia" w:hAnsi="宋体" w:cs="宋体"/>
          <w:b/>
          <w:bCs/>
          <w:color w:val="auto"/>
          <w:sz w:val="24"/>
        </w:rPr>
        <w:t>采购范围及服务期限</w:t>
      </w:r>
    </w:p>
    <w:p>
      <w:pPr>
        <w:spacing w:line="360" w:lineRule="auto"/>
        <w:ind w:firstLine="482" w:firstLineChars="200"/>
        <w:rPr>
          <w:rFonts w:hint="eastAsia" w:ascii="Times New Roman" w:hAnsi="宋体" w:cs="宋体"/>
          <w:color w:val="auto"/>
          <w:sz w:val="24"/>
          <w:lang w:eastAsia="zh-CN"/>
        </w:rPr>
      </w:pPr>
      <w:r>
        <w:rPr>
          <w:rFonts w:hint="eastAsia" w:ascii="宋体" w:hAnsi="宋体" w:cs="宋体"/>
          <w:b/>
          <w:bCs/>
          <w:color w:val="auto"/>
          <w:sz w:val="24"/>
        </w:rPr>
        <w:t>3.1采购范围</w:t>
      </w:r>
      <w:r>
        <w:rPr>
          <w:rFonts w:hint="eastAsia" w:ascii="宋体" w:hAnsi="宋体" w:cs="宋体"/>
          <w:color w:val="auto"/>
          <w:sz w:val="24"/>
        </w:rPr>
        <w:t>：</w:t>
      </w:r>
      <w:r>
        <w:rPr>
          <w:rFonts w:hint="eastAsia" w:hAnsi="宋体" w:cs="宋体"/>
          <w:color w:val="auto"/>
          <w:sz w:val="24"/>
          <w:highlight w:val="none"/>
        </w:rPr>
        <w:t>为认真履行食品安全监督管理职能，切实维护食品安全，成交供应商</w:t>
      </w:r>
      <w:r>
        <w:rPr>
          <w:rFonts w:hint="eastAsia" w:hAnsi="宋体" w:cs="宋体"/>
          <w:color w:val="auto"/>
          <w:sz w:val="24"/>
          <w:highlight w:val="none"/>
          <w:lang w:val="en-US" w:eastAsia="zh-CN"/>
        </w:rPr>
        <w:t>保证</w:t>
      </w:r>
      <w:r>
        <w:rPr>
          <w:rFonts w:hint="eastAsia" w:hAnsi="宋体" w:cs="宋体"/>
          <w:color w:val="auto"/>
          <w:sz w:val="24"/>
          <w:highlight w:val="none"/>
          <w:lang w:eastAsia="zh-CN"/>
        </w:rPr>
        <w:t>完成克拉玛依市克拉玛依区市场监督管理局202</w:t>
      </w:r>
      <w:r>
        <w:rPr>
          <w:rFonts w:hint="eastAsia" w:hAnsi="宋体" w:cs="宋体"/>
          <w:color w:val="auto"/>
          <w:sz w:val="24"/>
          <w:highlight w:val="none"/>
          <w:lang w:val="en-US" w:eastAsia="zh-CN"/>
        </w:rPr>
        <w:t>2</w:t>
      </w:r>
      <w:r>
        <w:rPr>
          <w:rFonts w:hint="eastAsia" w:hAnsi="宋体" w:cs="宋体"/>
          <w:color w:val="auto"/>
          <w:sz w:val="24"/>
          <w:highlight w:val="none"/>
          <w:lang w:eastAsia="zh-CN"/>
        </w:rPr>
        <w:t>年食品安全监督抽检检验项目</w:t>
      </w:r>
      <w:r>
        <w:rPr>
          <w:rFonts w:hint="eastAsia" w:hAnsi="宋体" w:cs="宋体"/>
          <w:color w:val="auto"/>
          <w:sz w:val="24"/>
          <w:highlight w:val="none"/>
          <w:lang w:val="en-US" w:eastAsia="zh-CN"/>
        </w:rPr>
        <w:t>所包含的全部工作内容。</w:t>
      </w:r>
      <w:r>
        <w:rPr>
          <w:rFonts w:hint="eastAsia" w:hAnsi="宋体" w:cs="宋体"/>
          <w:color w:val="auto"/>
          <w:sz w:val="24"/>
          <w:highlight w:val="none"/>
          <w:lang w:eastAsia="zh-CN"/>
        </w:rPr>
        <w:t>依据中华人民共和国食品安全法》、《中华人民共和国食品安全法实施条例》、《食品安全抽样检验管理办法》等相关法律法规要求，根据自治区、</w:t>
      </w:r>
      <w:r>
        <w:rPr>
          <w:rFonts w:hint="eastAsia" w:hAnsi="宋体" w:cs="宋体"/>
          <w:color w:val="auto"/>
          <w:sz w:val="24"/>
          <w:highlight w:val="none"/>
          <w:lang w:val="en-US" w:eastAsia="zh-CN"/>
        </w:rPr>
        <w:t>市</w:t>
      </w:r>
      <w:r>
        <w:rPr>
          <w:rFonts w:hint="eastAsia" w:hAnsi="宋体" w:cs="宋体"/>
          <w:color w:val="auto"/>
          <w:sz w:val="24"/>
          <w:highlight w:val="none"/>
          <w:lang w:eastAsia="zh-CN"/>
        </w:rPr>
        <w:t>市场监督管理局</w:t>
      </w:r>
      <w:r>
        <w:rPr>
          <w:rFonts w:hint="eastAsia" w:hAnsi="宋体" w:cs="宋体"/>
          <w:color w:val="auto"/>
          <w:sz w:val="24"/>
          <w:highlight w:val="none"/>
          <w:lang w:val="en-US" w:eastAsia="zh-CN"/>
        </w:rPr>
        <w:t>2022年</w:t>
      </w:r>
      <w:r>
        <w:rPr>
          <w:rFonts w:hint="eastAsia" w:hAnsi="宋体" w:cs="宋体"/>
          <w:color w:val="auto"/>
          <w:sz w:val="24"/>
          <w:highlight w:val="none"/>
          <w:lang w:eastAsia="zh-CN"/>
        </w:rPr>
        <w:t>食品安全监督抽检工作要求，</w:t>
      </w:r>
      <w:r>
        <w:rPr>
          <w:rFonts w:hint="eastAsia" w:hAnsi="宋体" w:cs="宋体"/>
          <w:color w:val="auto"/>
          <w:sz w:val="24"/>
          <w:highlight w:val="none"/>
          <w:lang w:val="en-US" w:eastAsia="zh-CN"/>
        </w:rPr>
        <w:t>结合克拉玛依区</w:t>
      </w:r>
      <w:r>
        <w:rPr>
          <w:rFonts w:hint="eastAsia" w:hAnsi="宋体" w:cs="宋体"/>
          <w:color w:val="auto"/>
          <w:sz w:val="24"/>
          <w:highlight w:val="none"/>
          <w:lang w:eastAsia="zh-CN"/>
        </w:rPr>
        <w:t>实际</w:t>
      </w:r>
      <w:r>
        <w:rPr>
          <w:rFonts w:hint="eastAsia" w:hAnsi="宋体" w:cs="宋体"/>
          <w:color w:val="auto"/>
          <w:sz w:val="24"/>
          <w:highlight w:val="none"/>
          <w:lang w:val="en-US" w:eastAsia="zh-CN"/>
        </w:rPr>
        <w:t>情况</w:t>
      </w:r>
      <w:r>
        <w:rPr>
          <w:rFonts w:hint="eastAsia" w:hAnsi="宋体" w:cs="宋体"/>
          <w:color w:val="auto"/>
          <w:sz w:val="24"/>
          <w:highlight w:val="none"/>
          <w:lang w:eastAsia="zh-CN"/>
        </w:rPr>
        <w:t>完成克拉玛依市克拉玛依区市场监督管理局2022年食品安全监管抽检采购项目</w:t>
      </w:r>
      <w:r>
        <w:rPr>
          <w:rFonts w:hint="eastAsia" w:hAnsi="宋体" w:cs="宋体"/>
          <w:color w:val="auto"/>
          <w:sz w:val="24"/>
          <w:highlight w:val="none"/>
          <w:lang w:val="en-US" w:eastAsia="zh-CN"/>
        </w:rPr>
        <w:t>食品抽检工作并出具检验报告，</w:t>
      </w:r>
      <w:r>
        <w:rPr>
          <w:rFonts w:hint="eastAsia" w:hAnsi="宋体" w:cs="宋体"/>
          <w:color w:val="auto"/>
          <w:sz w:val="24"/>
          <w:highlight w:val="none"/>
          <w:lang w:eastAsia="zh-CN"/>
        </w:rPr>
        <w:t>以及合同条款、技术规范及标准、项目采购需求、本竞争性磋商文件约定的全部内容及责任和义务</w:t>
      </w:r>
      <w:r>
        <w:rPr>
          <w:rFonts w:hint="eastAsia" w:ascii="Times New Roman" w:hAnsi="宋体" w:cs="宋体"/>
          <w:color w:val="auto"/>
          <w:sz w:val="24"/>
          <w:lang w:eastAsia="zh-CN"/>
        </w:rPr>
        <w:t>。</w:t>
      </w:r>
      <w:r>
        <w:rPr>
          <w:rFonts w:hint="eastAsia" w:hAnsi="宋体" w:cs="宋体"/>
          <w:color w:val="auto"/>
          <w:sz w:val="24"/>
          <w:highlight w:val="none"/>
          <w:lang w:val="en-US" w:eastAsia="zh-CN"/>
        </w:rPr>
        <w:t>具体采购明细和要求详见“采购项目内容及规格要求”。</w:t>
      </w:r>
    </w:p>
    <w:p>
      <w:pPr>
        <w:pStyle w:val="7"/>
        <w:spacing w:line="360" w:lineRule="auto"/>
        <w:rPr>
          <w:rFonts w:hint="default" w:ascii="Times New Roman" w:hAnsi="宋体" w:eastAsia="宋体" w:cs="宋体"/>
          <w:b/>
          <w:bCs/>
          <w:color w:val="auto"/>
          <w:kern w:val="2"/>
          <w:sz w:val="24"/>
          <w:szCs w:val="24"/>
          <w:highlight w:val="none"/>
          <w:lang w:val="en-US" w:eastAsia="zh-CN" w:bidi="ar-SA"/>
        </w:rPr>
      </w:pPr>
      <w:r>
        <w:rPr>
          <w:rFonts w:hint="eastAsia" w:ascii="宋体" w:hAnsi="宋体" w:cs="宋体"/>
          <w:b/>
          <w:bCs/>
          <w:color w:val="auto"/>
          <w:sz w:val="24"/>
          <w:lang w:val="en-US" w:eastAsia="zh-CN"/>
        </w:rPr>
        <w:t xml:space="preserve">    </w:t>
      </w:r>
      <w:r>
        <w:rPr>
          <w:rFonts w:hint="eastAsia" w:ascii="宋体" w:hAnsi="宋体" w:eastAsia="宋体" w:cs="宋体"/>
          <w:b/>
          <w:bCs/>
          <w:color w:val="auto"/>
          <w:kern w:val="2"/>
          <w:sz w:val="24"/>
          <w:szCs w:val="24"/>
          <w:lang w:val="en-US" w:eastAsia="zh-CN" w:bidi="ar-SA"/>
        </w:rPr>
        <w:t>3.2采购</w:t>
      </w:r>
      <w:r>
        <w:rPr>
          <w:rFonts w:hint="eastAsia" w:ascii="宋体" w:hAnsi="宋体" w:cs="宋体"/>
          <w:b/>
          <w:bCs/>
          <w:color w:val="auto"/>
          <w:kern w:val="2"/>
          <w:sz w:val="24"/>
          <w:szCs w:val="24"/>
          <w:lang w:val="en-US" w:eastAsia="zh-CN" w:bidi="ar-SA"/>
        </w:rPr>
        <w:t>总</w:t>
      </w:r>
      <w:r>
        <w:rPr>
          <w:rFonts w:hint="eastAsia" w:ascii="宋体" w:hAnsi="宋体" w:eastAsia="宋体" w:cs="宋体"/>
          <w:b/>
          <w:bCs/>
          <w:color w:val="auto"/>
          <w:kern w:val="2"/>
          <w:sz w:val="24"/>
          <w:szCs w:val="24"/>
          <w:lang w:val="en-US" w:eastAsia="zh-CN" w:bidi="ar-SA"/>
        </w:rPr>
        <w:t>预</w:t>
      </w:r>
      <w:r>
        <w:rPr>
          <w:rFonts w:hint="eastAsia" w:ascii="宋体" w:hAnsi="宋体" w:eastAsia="宋体" w:cs="宋体"/>
          <w:b/>
          <w:bCs/>
          <w:color w:val="auto"/>
          <w:kern w:val="2"/>
          <w:sz w:val="24"/>
          <w:szCs w:val="24"/>
          <w:highlight w:val="none"/>
          <w:lang w:val="en-US" w:eastAsia="zh-CN" w:bidi="ar-SA"/>
        </w:rPr>
        <w:t>算：</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121.5</w:t>
      </w:r>
      <w:r>
        <w:rPr>
          <w:rFonts w:hint="eastAsia" w:ascii="宋体" w:hAnsi="宋体" w:eastAsia="宋体" w:cs="宋体"/>
          <w:color w:val="auto"/>
          <w:kern w:val="2"/>
          <w:sz w:val="24"/>
          <w:szCs w:val="24"/>
          <w:highlight w:val="none"/>
          <w:lang w:val="en-US" w:eastAsia="zh-CN" w:bidi="ar-SA"/>
        </w:rPr>
        <w:t>万元（大写：人民币</w:t>
      </w:r>
      <w:r>
        <w:rPr>
          <w:rFonts w:hint="eastAsia" w:ascii="宋体" w:hAnsi="宋体" w:cs="宋体"/>
          <w:color w:val="auto"/>
          <w:kern w:val="2"/>
          <w:sz w:val="24"/>
          <w:szCs w:val="24"/>
          <w:highlight w:val="none"/>
          <w:lang w:val="en-US" w:eastAsia="zh-CN" w:bidi="ar-SA"/>
        </w:rPr>
        <w:t>壹佰贰拾壹万伍仟元</w:t>
      </w:r>
      <w:r>
        <w:rPr>
          <w:rFonts w:hint="eastAsia" w:ascii="宋体" w:hAnsi="宋体" w:eastAsia="宋体" w:cs="宋体"/>
          <w:color w:val="auto"/>
          <w:kern w:val="2"/>
          <w:sz w:val="24"/>
          <w:szCs w:val="24"/>
          <w:highlight w:val="none"/>
          <w:lang w:val="en-US" w:eastAsia="zh-CN" w:bidi="ar-SA"/>
        </w:rPr>
        <w:t>整）；</w:t>
      </w:r>
    </w:p>
    <w:p>
      <w:pPr>
        <w:pStyle w:val="6"/>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服务期限：</w:t>
      </w:r>
      <w:r>
        <w:rPr>
          <w:rFonts w:hint="eastAsia" w:ascii="宋体" w:hAnsi="宋体" w:eastAsia="宋体" w:cs="宋体"/>
          <w:color w:val="auto"/>
          <w:kern w:val="2"/>
          <w:sz w:val="24"/>
          <w:szCs w:val="24"/>
          <w:highlight w:val="none"/>
          <w:lang w:val="en-US" w:eastAsia="zh-CN" w:bidi="ar-SA"/>
        </w:rPr>
        <w:t>合同签订日期至202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31</w:t>
      </w:r>
      <w:r>
        <w:rPr>
          <w:rFonts w:hint="eastAsia" w:ascii="宋体" w:hAnsi="宋体" w:eastAsia="宋体" w:cs="宋体"/>
          <w:color w:val="auto"/>
          <w:kern w:val="2"/>
          <w:sz w:val="24"/>
          <w:szCs w:val="24"/>
          <w:highlight w:val="none"/>
          <w:lang w:val="en-US" w:eastAsia="zh-CN" w:bidi="ar-SA"/>
        </w:rPr>
        <w:t>日</w:t>
      </w:r>
    </w:p>
    <w:p>
      <w:pPr>
        <w:pStyle w:val="6"/>
        <w:spacing w:line="360" w:lineRule="auto"/>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2022年6月30日前完成50%抽样任务。202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31</w:t>
      </w:r>
      <w:r>
        <w:rPr>
          <w:rFonts w:hint="eastAsia" w:ascii="宋体" w:hAnsi="宋体" w:eastAsia="宋体" w:cs="宋体"/>
          <w:color w:val="auto"/>
          <w:kern w:val="2"/>
          <w:sz w:val="24"/>
          <w:szCs w:val="24"/>
          <w:highlight w:val="none"/>
          <w:lang w:val="en-US" w:eastAsia="zh-CN" w:bidi="ar-SA"/>
        </w:rPr>
        <w:t>日前完成100%抽样任务。</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4</w:t>
      </w:r>
      <w:r>
        <w:rPr>
          <w:rFonts w:hint="eastAsia" w:ascii="宋体" w:hAnsi="宋体" w:cs="宋体"/>
          <w:color w:val="auto"/>
          <w:sz w:val="24"/>
        </w:rPr>
        <w:t>、合格供应商资格要求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4.1详见第一章“</w:t>
      </w:r>
      <w:r>
        <w:rPr>
          <w:rFonts w:hint="eastAsia" w:ascii="宋体" w:hAnsi="宋体" w:cs="宋体"/>
          <w:color w:val="auto"/>
          <w:sz w:val="24"/>
          <w:lang w:eastAsia="zh-CN"/>
        </w:rPr>
        <w:t>竞争性磋商公告</w:t>
      </w:r>
      <w:r>
        <w:rPr>
          <w:rFonts w:hint="eastAsia" w:ascii="宋体" w:hAnsi="宋体" w:cs="宋体"/>
          <w:color w:val="auto"/>
          <w:sz w:val="24"/>
        </w:rPr>
        <w:t>”中的供应商资格要求。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4.2采购有关规定</w:t>
      </w:r>
    </w:p>
    <w:p>
      <w:pPr>
        <w:snapToGrid w:val="0"/>
        <w:spacing w:line="360" w:lineRule="auto"/>
        <w:ind w:firstLine="472" w:firstLineChars="196"/>
        <w:rPr>
          <w:rFonts w:ascii="宋体" w:hAnsi="宋体" w:cs="宋体"/>
          <w:b/>
          <w:bCs/>
          <w:color w:val="auto"/>
          <w:sz w:val="24"/>
        </w:rPr>
      </w:pPr>
      <w:r>
        <w:rPr>
          <w:rFonts w:hint="eastAsia" w:ascii="宋体" w:hAnsi="宋体" w:cs="宋体"/>
          <w:b/>
          <w:bCs/>
          <w:color w:val="auto"/>
          <w:sz w:val="24"/>
        </w:rPr>
        <w:t>4.2.1供应商负责人为同一人或者存在直接控股、管理关系的不同供应商，不得参加同一合同项下的政府采购活动。</w:t>
      </w:r>
    </w:p>
    <w:p>
      <w:pPr>
        <w:snapToGrid w:val="0"/>
        <w:spacing w:line="360" w:lineRule="auto"/>
        <w:ind w:firstLine="479" w:firstLineChars="199"/>
        <w:rPr>
          <w:rFonts w:ascii="宋体" w:hAnsi="宋体" w:cs="宋体"/>
          <w:b/>
          <w:bCs/>
          <w:color w:val="auto"/>
          <w:sz w:val="24"/>
        </w:rPr>
      </w:pPr>
      <w:r>
        <w:rPr>
          <w:rFonts w:hint="eastAsia" w:ascii="宋体" w:hAnsi="宋体" w:cs="宋体"/>
          <w:b/>
          <w:bCs/>
          <w:color w:val="auto"/>
          <w:sz w:val="24"/>
        </w:rPr>
        <w:t>4.2.2为采购项目提供整体设计、规范编制或者项目管理、监理、检测等服务的供应商，不得再参加该采购项目的其他采购活动。</w:t>
      </w:r>
    </w:p>
    <w:p>
      <w:pPr>
        <w:snapToGrid w:val="0"/>
        <w:spacing w:line="360" w:lineRule="auto"/>
        <w:ind w:firstLine="479" w:firstLineChars="199"/>
        <w:rPr>
          <w:rFonts w:ascii="宋体" w:hAnsi="宋体" w:cs="宋体"/>
          <w:b/>
          <w:bCs/>
          <w:color w:val="auto"/>
          <w:sz w:val="24"/>
        </w:rPr>
      </w:pPr>
      <w:r>
        <w:rPr>
          <w:rFonts w:hint="eastAsia" w:ascii="宋体" w:hAnsi="宋体" w:cs="宋体"/>
          <w:b/>
          <w:bCs/>
          <w:color w:val="auto"/>
          <w:sz w:val="24"/>
        </w:rPr>
        <w:t>4.2.3在单一品目的货物采购招标中，同一品牌同一型号的产品有多家供应商参加采购，只能按照一家供应商计算。</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4.2.4同一分包的货物，制造商参与采购的，不得再委托代理商参与采购。</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5、回避。政府采购活动中，采购人员及相关人员与供应商有下列利害关系之一的，应当回避：</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5.1参加采购活动前3年内与供应商存在劳动关系；</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5.2参加采购活动前3年内担任供应商的董事、监事；</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5.3参加采购活动前3年内是供应商的控股股东或者实际控制人；</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5.4与供应商的法定代表人或者负责人有夫妻、直系血亲、三代以内旁系血亲或者近姻亲关系；</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5.5与供应商有其他可能影响政府采购活动公平、公正进行的关系。</w:t>
      </w:r>
    </w:p>
    <w:p>
      <w:pPr>
        <w:pStyle w:val="31"/>
        <w:spacing w:line="360" w:lineRule="auto"/>
        <w:ind w:left="1" w:firstLine="480" w:firstLineChars="200"/>
        <w:rPr>
          <w:rFonts w:hAnsi="宋体" w:cs="宋体"/>
          <w:color w:val="auto"/>
          <w:kern w:val="2"/>
          <w:sz w:val="24"/>
          <w:szCs w:val="24"/>
        </w:rPr>
      </w:pPr>
      <w:r>
        <w:rPr>
          <w:rFonts w:hint="eastAsia" w:hAnsi="宋体" w:cs="宋体"/>
          <w:color w:val="auto"/>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cs="宋体"/>
          <w:color w:val="auto"/>
          <w:kern w:val="2"/>
          <w:sz w:val="24"/>
          <w:szCs w:val="24"/>
          <w:lang w:eastAsia="zh-CN"/>
        </w:rPr>
        <w:t>评标</w:t>
      </w:r>
      <w:r>
        <w:rPr>
          <w:rFonts w:hint="eastAsia" w:hAnsi="宋体" w:cs="宋体"/>
          <w:color w:val="auto"/>
          <w:kern w:val="2"/>
          <w:sz w:val="24"/>
          <w:szCs w:val="24"/>
        </w:rPr>
        <w:t>小组成员。</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ind w:firstLine="480" w:firstLineChars="200"/>
        <w:rPr>
          <w:rFonts w:hAnsi="宋体" w:cs="宋体"/>
          <w:color w:val="auto"/>
          <w:sz w:val="24"/>
        </w:rPr>
      </w:pPr>
      <w:bookmarkStart w:id="58" w:name="_Toc243906316"/>
      <w:bookmarkStart w:id="59" w:name="_Toc245897276"/>
      <w:bookmarkStart w:id="60" w:name="_Toc243907576"/>
      <w:bookmarkStart w:id="61" w:name="_Toc233274816"/>
      <w:r>
        <w:rPr>
          <w:rFonts w:hint="eastAsia" w:hAnsi="宋体" w:cs="宋体"/>
          <w:color w:val="auto"/>
          <w:sz w:val="24"/>
        </w:rPr>
        <w:t>6、实地考察和费用</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6.1实地考察</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hAnsi="宋体" w:cs="宋体"/>
          <w:color w:val="auto"/>
          <w:sz w:val="24"/>
          <w:szCs w:val="24"/>
          <w:lang w:eastAsia="zh-CN"/>
        </w:rPr>
        <w:t>投标</w:t>
      </w:r>
      <w:r>
        <w:rPr>
          <w:rFonts w:hint="eastAsia" w:hAnsi="宋体" w:cs="宋体"/>
          <w:color w:val="auto"/>
          <w:sz w:val="24"/>
          <w:szCs w:val="24"/>
        </w:rPr>
        <w:t>和实施</w:t>
      </w:r>
      <w:r>
        <w:rPr>
          <w:rFonts w:hint="eastAsia" w:hAnsi="宋体" w:cs="宋体"/>
          <w:color w:val="auto"/>
          <w:sz w:val="24"/>
          <w:szCs w:val="24"/>
          <w:lang w:eastAsia="zh-CN"/>
        </w:rPr>
        <w:t>投标</w:t>
      </w:r>
      <w:r>
        <w:rPr>
          <w:rFonts w:hint="eastAsia" w:hAnsi="宋体" w:cs="宋体"/>
          <w:color w:val="auto"/>
          <w:sz w:val="24"/>
          <w:szCs w:val="24"/>
        </w:rPr>
        <w:t>有关的必要资料及信息。实地考察所发生的任何费用均由供应商自理。</w:t>
      </w:r>
    </w:p>
    <w:p>
      <w:pPr>
        <w:pStyle w:val="9"/>
        <w:spacing w:line="360" w:lineRule="auto"/>
        <w:ind w:firstLine="480" w:firstLineChars="200"/>
        <w:rPr>
          <w:rFonts w:hAnsi="宋体" w:cs="宋体"/>
          <w:color w:val="auto"/>
          <w:sz w:val="24"/>
        </w:rPr>
      </w:pPr>
      <w:r>
        <w:rPr>
          <w:rFonts w:hint="eastAsia" w:hAnsi="宋体" w:cs="宋体"/>
          <w:color w:val="auto"/>
          <w:sz w:val="24"/>
        </w:rPr>
        <w:t>6.2参与</w:t>
      </w:r>
      <w:r>
        <w:rPr>
          <w:rFonts w:hint="eastAsia" w:hAnsi="宋体" w:cs="宋体"/>
          <w:color w:val="auto"/>
          <w:sz w:val="24"/>
          <w:lang w:eastAsia="zh-CN"/>
        </w:rPr>
        <w:t>投标</w:t>
      </w:r>
      <w:r>
        <w:rPr>
          <w:rFonts w:hint="eastAsia" w:hAnsi="宋体" w:cs="宋体"/>
          <w:color w:val="auto"/>
          <w:sz w:val="24"/>
        </w:rPr>
        <w:t>费用</w:t>
      </w:r>
    </w:p>
    <w:p>
      <w:pPr>
        <w:pStyle w:val="9"/>
        <w:spacing w:line="360" w:lineRule="auto"/>
        <w:ind w:firstLine="480" w:firstLineChars="200"/>
        <w:rPr>
          <w:rFonts w:hAnsi="宋体" w:cs="宋体"/>
          <w:color w:val="auto"/>
          <w:sz w:val="24"/>
        </w:rPr>
      </w:pPr>
      <w:r>
        <w:rPr>
          <w:rFonts w:hint="eastAsia" w:hAnsi="宋体" w:cs="宋体"/>
          <w:color w:val="auto"/>
          <w:sz w:val="24"/>
        </w:rPr>
        <w:t>6.2.1供应商应承担所有与</w:t>
      </w:r>
      <w:r>
        <w:rPr>
          <w:rFonts w:hint="eastAsia" w:hAnsi="宋体" w:cs="宋体"/>
          <w:color w:val="auto"/>
          <w:sz w:val="24"/>
          <w:lang w:eastAsia="zh-CN"/>
        </w:rPr>
        <w:t>投标</w:t>
      </w:r>
      <w:r>
        <w:rPr>
          <w:rFonts w:hint="eastAsia" w:hAnsi="宋体" w:cs="宋体"/>
          <w:color w:val="auto"/>
          <w:sz w:val="24"/>
        </w:rPr>
        <w:t>准备和</w:t>
      </w:r>
      <w:r>
        <w:rPr>
          <w:rFonts w:hint="eastAsia" w:hAnsi="宋体" w:cs="宋体"/>
          <w:color w:val="auto"/>
          <w:sz w:val="24"/>
          <w:lang w:eastAsia="zh-CN"/>
        </w:rPr>
        <w:t>投标</w:t>
      </w:r>
      <w:r>
        <w:rPr>
          <w:rFonts w:hint="eastAsia" w:hAnsi="宋体" w:cs="宋体"/>
          <w:color w:val="auto"/>
          <w:sz w:val="24"/>
        </w:rPr>
        <w:t>有关的全部费用，不论</w:t>
      </w:r>
      <w:r>
        <w:rPr>
          <w:rFonts w:hint="eastAsia" w:hAnsi="宋体" w:cs="宋体"/>
          <w:color w:val="auto"/>
          <w:sz w:val="24"/>
          <w:lang w:eastAsia="zh-CN"/>
        </w:rPr>
        <w:t>投标</w:t>
      </w:r>
      <w:r>
        <w:rPr>
          <w:rFonts w:hint="eastAsia" w:hAnsi="宋体" w:cs="宋体"/>
          <w:color w:val="auto"/>
          <w:sz w:val="24"/>
        </w:rPr>
        <w:t>结果如何，采购人和采购代理机构无义务和责任承担供应商所发生的一切费用。</w:t>
      </w:r>
    </w:p>
    <w:p>
      <w:pPr>
        <w:pStyle w:val="9"/>
        <w:spacing w:line="360" w:lineRule="auto"/>
        <w:ind w:firstLine="480" w:firstLineChars="200"/>
        <w:rPr>
          <w:rFonts w:hAnsi="宋体" w:cs="宋体"/>
          <w:color w:val="auto"/>
          <w:sz w:val="24"/>
        </w:rPr>
      </w:pPr>
      <w:r>
        <w:rPr>
          <w:rFonts w:hint="eastAsia" w:hAnsi="宋体" w:cs="宋体"/>
          <w:color w:val="auto"/>
          <w:sz w:val="24"/>
        </w:rPr>
        <w:t>6.2.2供应商在</w:t>
      </w:r>
      <w:r>
        <w:rPr>
          <w:rFonts w:hint="eastAsia" w:hAnsi="宋体" w:cs="宋体"/>
          <w:color w:val="auto"/>
          <w:sz w:val="24"/>
          <w:lang w:eastAsia="zh-CN"/>
        </w:rPr>
        <w:t>投标</w:t>
      </w:r>
      <w:r>
        <w:rPr>
          <w:rFonts w:hint="eastAsia" w:hAnsi="宋体" w:cs="宋体"/>
          <w:color w:val="auto"/>
          <w:sz w:val="24"/>
        </w:rPr>
        <w:t>准备、实地考察和</w:t>
      </w:r>
      <w:r>
        <w:rPr>
          <w:rFonts w:hint="eastAsia" w:hAnsi="宋体" w:cs="宋体"/>
          <w:color w:val="auto"/>
          <w:sz w:val="24"/>
          <w:lang w:eastAsia="zh-CN"/>
        </w:rPr>
        <w:t>投标</w:t>
      </w:r>
      <w:r>
        <w:rPr>
          <w:rFonts w:hint="eastAsia" w:hAnsi="宋体" w:cs="宋体"/>
          <w:color w:val="auto"/>
          <w:sz w:val="24"/>
        </w:rPr>
        <w:t>的全过程中，如果发生人身伤亡、财物或其它任何损失，不论何种原因所造成，均由供应商自行承担全部责任和损失。</w:t>
      </w:r>
    </w:p>
    <w:p>
      <w:pPr>
        <w:pStyle w:val="9"/>
        <w:spacing w:line="360" w:lineRule="auto"/>
        <w:ind w:firstLine="480" w:firstLineChars="200"/>
        <w:rPr>
          <w:rFonts w:hAnsi="宋体" w:cs="宋体"/>
          <w:color w:val="auto"/>
          <w:sz w:val="24"/>
          <w:lang w:val="zh-CN"/>
        </w:rPr>
      </w:pPr>
      <w:r>
        <w:rPr>
          <w:rFonts w:hint="eastAsia" w:hAnsi="宋体" w:cs="宋体"/>
          <w:color w:val="auto"/>
          <w:sz w:val="24"/>
        </w:rPr>
        <w:t>7</w:t>
      </w:r>
      <w:r>
        <w:rPr>
          <w:rFonts w:hint="eastAsia" w:hAnsi="宋体" w:cs="宋体"/>
          <w:color w:val="auto"/>
          <w:sz w:val="24"/>
          <w:lang w:val="zh-CN"/>
        </w:rPr>
        <w:t>、法律适用</w:t>
      </w:r>
      <w:bookmarkEnd w:id="58"/>
      <w:bookmarkEnd w:id="59"/>
      <w:bookmarkEnd w:id="60"/>
      <w:bookmarkEnd w:id="61"/>
    </w:p>
    <w:p>
      <w:pPr>
        <w:pStyle w:val="9"/>
        <w:spacing w:line="360" w:lineRule="auto"/>
        <w:ind w:firstLine="480" w:firstLineChars="200"/>
        <w:rPr>
          <w:rFonts w:hAnsi="宋体" w:cs="宋体"/>
          <w:color w:val="auto"/>
          <w:sz w:val="24"/>
          <w:lang w:val="zh-CN"/>
        </w:rPr>
      </w:pPr>
      <w:r>
        <w:rPr>
          <w:rFonts w:hint="eastAsia" w:hAnsi="宋体" w:cs="宋体"/>
          <w:color w:val="auto"/>
          <w:sz w:val="24"/>
        </w:rPr>
        <w:t>7</w:t>
      </w:r>
      <w:r>
        <w:rPr>
          <w:rFonts w:hint="eastAsia" w:hAnsi="宋体" w:cs="宋体"/>
          <w:color w:val="auto"/>
          <w:sz w:val="24"/>
          <w:lang w:val="zh-CN"/>
        </w:rPr>
        <w:t>.1本次</w:t>
      </w:r>
      <w:r>
        <w:rPr>
          <w:rFonts w:hint="eastAsia" w:hAnsi="宋体" w:cs="宋体"/>
          <w:color w:val="auto"/>
          <w:sz w:val="24"/>
          <w:lang w:eastAsia="zh-CN"/>
        </w:rPr>
        <w:t>投标</w:t>
      </w:r>
      <w:r>
        <w:rPr>
          <w:rFonts w:hint="eastAsia" w:hAnsi="宋体" w:cs="宋体"/>
          <w:color w:val="auto"/>
          <w:sz w:val="24"/>
          <w:lang w:val="zh-CN"/>
        </w:rPr>
        <w:t>活动及由本次</w:t>
      </w:r>
      <w:r>
        <w:rPr>
          <w:rFonts w:hint="eastAsia" w:hAnsi="宋体" w:cs="宋体"/>
          <w:color w:val="auto"/>
          <w:sz w:val="24"/>
          <w:lang w:eastAsia="zh-CN"/>
        </w:rPr>
        <w:t>投标</w:t>
      </w:r>
      <w:r>
        <w:rPr>
          <w:rFonts w:hint="eastAsia" w:hAnsi="宋体" w:cs="宋体"/>
          <w:color w:val="auto"/>
          <w:sz w:val="24"/>
          <w:lang w:val="zh-CN"/>
        </w:rPr>
        <w:t>产生的合同受中国法律制约和保护。</w:t>
      </w:r>
    </w:p>
    <w:p>
      <w:pPr>
        <w:pStyle w:val="9"/>
        <w:spacing w:line="360" w:lineRule="auto"/>
        <w:ind w:firstLine="480" w:firstLineChars="200"/>
        <w:rPr>
          <w:rFonts w:hAnsi="宋体" w:cs="宋体"/>
          <w:color w:val="auto"/>
          <w:sz w:val="24"/>
          <w:lang w:val="zh-CN"/>
        </w:rPr>
      </w:pPr>
      <w:bookmarkStart w:id="62" w:name="_Toc245897277"/>
      <w:bookmarkStart w:id="63" w:name="_Toc243907577"/>
      <w:bookmarkStart w:id="64" w:name="_Toc243906317"/>
      <w:bookmarkStart w:id="65" w:name="_Toc233274817"/>
      <w:r>
        <w:rPr>
          <w:rFonts w:hint="eastAsia" w:hAnsi="宋体" w:cs="宋体"/>
          <w:color w:val="auto"/>
          <w:sz w:val="24"/>
        </w:rPr>
        <w:t>8</w:t>
      </w:r>
      <w:r>
        <w:rPr>
          <w:rFonts w:hint="eastAsia" w:hAnsi="宋体" w:cs="宋体"/>
          <w:color w:val="auto"/>
          <w:sz w:val="24"/>
          <w:lang w:val="zh-CN"/>
        </w:rPr>
        <w:t>、磋商文件的约束力</w:t>
      </w:r>
      <w:bookmarkEnd w:id="62"/>
      <w:bookmarkEnd w:id="63"/>
      <w:bookmarkEnd w:id="64"/>
      <w:bookmarkEnd w:id="65"/>
    </w:p>
    <w:p>
      <w:pPr>
        <w:pStyle w:val="9"/>
        <w:spacing w:line="360" w:lineRule="auto"/>
        <w:ind w:firstLine="480" w:firstLineChars="200"/>
        <w:rPr>
          <w:rFonts w:hAnsi="宋体" w:cs="宋体"/>
          <w:color w:val="auto"/>
          <w:sz w:val="24"/>
          <w:lang w:val="zh-CN"/>
        </w:rPr>
      </w:pPr>
      <w:r>
        <w:rPr>
          <w:rFonts w:hint="eastAsia" w:hAnsi="宋体" w:cs="宋体"/>
          <w:color w:val="auto"/>
          <w:sz w:val="24"/>
        </w:rPr>
        <w:t>8</w:t>
      </w:r>
      <w:r>
        <w:rPr>
          <w:rFonts w:hint="eastAsia" w:hAnsi="宋体" w:cs="宋体"/>
          <w:color w:val="auto"/>
          <w:sz w:val="24"/>
          <w:lang w:val="zh-CN"/>
        </w:rPr>
        <w:t>.1供应商若成交，即被认为接受了本磋商文件中的所有条件和规定。是采购人与成交供应商签订合同的依据且是合同的组成部分。</w:t>
      </w:r>
    </w:p>
    <w:p>
      <w:pPr>
        <w:pStyle w:val="9"/>
        <w:spacing w:line="360" w:lineRule="auto"/>
        <w:rPr>
          <w:rFonts w:hAnsi="宋体" w:cs="宋体"/>
          <w:b/>
          <w:bCs/>
          <w:color w:val="auto"/>
          <w:sz w:val="28"/>
          <w:szCs w:val="28"/>
        </w:rPr>
      </w:pPr>
      <w:r>
        <w:rPr>
          <w:rFonts w:hint="eastAsia" w:hAnsi="宋体" w:cs="宋体"/>
          <w:b/>
          <w:bCs/>
          <w:color w:val="auto"/>
          <w:sz w:val="28"/>
          <w:szCs w:val="28"/>
        </w:rPr>
        <w:t>二、</w:t>
      </w:r>
      <w:r>
        <w:rPr>
          <w:rFonts w:hint="eastAsia" w:hAnsi="宋体" w:cs="宋体"/>
          <w:b/>
          <w:bCs/>
          <w:color w:val="auto"/>
          <w:sz w:val="28"/>
          <w:szCs w:val="28"/>
          <w:lang w:eastAsia="zh-CN"/>
        </w:rPr>
        <w:t>竞争性磋商文件</w:t>
      </w:r>
    </w:p>
    <w:p>
      <w:pPr>
        <w:pStyle w:val="9"/>
        <w:spacing w:line="360" w:lineRule="auto"/>
        <w:ind w:firstLine="480" w:firstLineChars="200"/>
        <w:rPr>
          <w:rFonts w:hAnsi="宋体" w:cs="宋体"/>
          <w:color w:val="auto"/>
          <w:sz w:val="24"/>
        </w:rPr>
      </w:pPr>
      <w:bookmarkStart w:id="66" w:name="_Toc243907579"/>
      <w:bookmarkStart w:id="67" w:name="_Toc243906319"/>
      <w:bookmarkStart w:id="68" w:name="_Toc246216188"/>
      <w:bookmarkStart w:id="69" w:name="_Toc233274819"/>
      <w:r>
        <w:rPr>
          <w:rFonts w:hint="eastAsia" w:hAnsi="宋体" w:cs="宋体"/>
          <w:color w:val="auto"/>
          <w:sz w:val="24"/>
        </w:rPr>
        <w:t>9、</w:t>
      </w:r>
      <w:r>
        <w:rPr>
          <w:rFonts w:hint="eastAsia" w:hAnsi="宋体" w:cs="宋体"/>
          <w:color w:val="auto"/>
          <w:sz w:val="24"/>
          <w:lang w:eastAsia="zh-CN"/>
        </w:rPr>
        <w:t>竞争性磋商文件</w:t>
      </w:r>
      <w:r>
        <w:rPr>
          <w:rFonts w:hint="eastAsia" w:hAnsi="宋体" w:cs="宋体"/>
          <w:color w:val="auto"/>
          <w:sz w:val="24"/>
        </w:rPr>
        <w:t>的组成</w:t>
      </w:r>
      <w:bookmarkEnd w:id="66"/>
      <w:bookmarkEnd w:id="67"/>
      <w:bookmarkEnd w:id="68"/>
      <w:bookmarkEnd w:id="69"/>
    </w:p>
    <w:p>
      <w:pPr>
        <w:pStyle w:val="9"/>
        <w:spacing w:line="360" w:lineRule="auto"/>
        <w:ind w:firstLine="480" w:firstLineChars="200"/>
        <w:rPr>
          <w:rFonts w:hAnsi="宋体" w:cs="宋体"/>
          <w:color w:val="auto"/>
          <w:sz w:val="24"/>
        </w:rPr>
      </w:pPr>
      <w:r>
        <w:rPr>
          <w:rFonts w:hint="eastAsia" w:hAnsi="宋体" w:cs="宋体"/>
          <w:color w:val="auto"/>
          <w:sz w:val="24"/>
        </w:rPr>
        <w:t>9.1 本</w:t>
      </w:r>
      <w:r>
        <w:rPr>
          <w:rFonts w:hint="eastAsia" w:hAnsi="宋体" w:cs="宋体"/>
          <w:color w:val="auto"/>
          <w:sz w:val="24"/>
          <w:lang w:eastAsia="zh-CN"/>
        </w:rPr>
        <w:t>竞争性磋商文件</w:t>
      </w:r>
      <w:r>
        <w:rPr>
          <w:rFonts w:hint="eastAsia" w:hAnsi="宋体" w:cs="宋体"/>
          <w:color w:val="auto"/>
          <w:sz w:val="24"/>
        </w:rPr>
        <w:t>是对</w:t>
      </w:r>
      <w:r>
        <w:rPr>
          <w:rFonts w:hint="eastAsia" w:hAnsi="宋体" w:cs="宋体"/>
          <w:color w:val="auto"/>
          <w:sz w:val="24"/>
          <w:lang w:eastAsia="zh-CN"/>
        </w:rPr>
        <w:t>克拉玛依市克拉玛依区市场监督管理局2022年食品安全监督抽检检验项目招标</w:t>
      </w:r>
      <w:r>
        <w:rPr>
          <w:rFonts w:hint="eastAsia" w:hAnsi="宋体" w:cs="宋体"/>
          <w:color w:val="auto"/>
          <w:sz w:val="24"/>
        </w:rPr>
        <w:t>程序、合同条款进行说明。</w:t>
      </w:r>
      <w:r>
        <w:rPr>
          <w:rFonts w:hint="eastAsia" w:hAnsi="宋体" w:cs="宋体"/>
          <w:color w:val="auto"/>
          <w:sz w:val="24"/>
          <w:lang w:eastAsia="zh-CN"/>
        </w:rPr>
        <w:t>竞争性磋商文件</w:t>
      </w:r>
      <w:r>
        <w:rPr>
          <w:rFonts w:hint="eastAsia" w:hAnsi="宋体" w:cs="宋体"/>
          <w:color w:val="auto"/>
          <w:sz w:val="24"/>
        </w:rPr>
        <w:t>包括下列内容：</w:t>
      </w:r>
    </w:p>
    <w:p>
      <w:pPr>
        <w:pStyle w:val="9"/>
        <w:spacing w:line="360" w:lineRule="auto"/>
        <w:ind w:firstLine="480" w:firstLineChars="200"/>
        <w:rPr>
          <w:rFonts w:hint="eastAsia" w:hAnsi="宋体" w:cs="宋体"/>
          <w:color w:val="auto"/>
          <w:sz w:val="24"/>
        </w:rPr>
      </w:pPr>
      <w:r>
        <w:rPr>
          <w:rFonts w:hint="eastAsia" w:hAnsi="宋体" w:cs="宋体"/>
          <w:color w:val="auto"/>
          <w:sz w:val="24"/>
        </w:rPr>
        <w:t>第一章、</w:t>
      </w:r>
      <w:r>
        <w:rPr>
          <w:rFonts w:hint="eastAsia" w:hAnsi="宋体" w:cs="宋体"/>
          <w:color w:val="auto"/>
          <w:sz w:val="24"/>
          <w:lang w:eastAsia="zh-CN"/>
        </w:rPr>
        <w:t>竞争性磋商公告</w:t>
      </w:r>
    </w:p>
    <w:p>
      <w:pPr>
        <w:pStyle w:val="9"/>
        <w:spacing w:line="360" w:lineRule="auto"/>
        <w:ind w:firstLine="480" w:firstLineChars="200"/>
        <w:rPr>
          <w:rFonts w:hint="eastAsia" w:hAnsi="宋体" w:cs="宋体"/>
          <w:color w:val="auto"/>
          <w:sz w:val="24"/>
        </w:rPr>
      </w:pPr>
      <w:r>
        <w:rPr>
          <w:rFonts w:hint="eastAsia" w:hAnsi="宋体" w:cs="宋体"/>
          <w:color w:val="auto"/>
          <w:sz w:val="24"/>
        </w:rPr>
        <w:t>第二章、供应商须知</w:t>
      </w:r>
    </w:p>
    <w:p>
      <w:pPr>
        <w:pStyle w:val="9"/>
        <w:spacing w:line="360" w:lineRule="auto"/>
        <w:ind w:firstLine="480" w:firstLineChars="200"/>
        <w:rPr>
          <w:rFonts w:hint="eastAsia" w:hAnsi="宋体" w:cs="宋体"/>
          <w:color w:val="auto"/>
          <w:sz w:val="24"/>
        </w:rPr>
      </w:pPr>
      <w:r>
        <w:rPr>
          <w:rFonts w:hint="eastAsia" w:hAnsi="宋体" w:cs="宋体"/>
          <w:color w:val="auto"/>
          <w:sz w:val="24"/>
        </w:rPr>
        <w:t>第三章、项目采购需求</w:t>
      </w:r>
    </w:p>
    <w:p>
      <w:pPr>
        <w:pStyle w:val="9"/>
        <w:spacing w:line="360" w:lineRule="auto"/>
        <w:ind w:firstLine="480" w:firstLineChars="200"/>
        <w:rPr>
          <w:rFonts w:hint="eastAsia" w:hAnsi="宋体" w:cs="宋体"/>
          <w:color w:val="auto"/>
          <w:sz w:val="24"/>
        </w:rPr>
      </w:pPr>
      <w:r>
        <w:rPr>
          <w:rFonts w:hint="eastAsia" w:hAnsi="宋体" w:cs="宋体"/>
          <w:color w:val="auto"/>
          <w:sz w:val="24"/>
        </w:rPr>
        <w:t>第四章、合同协议书</w:t>
      </w:r>
    </w:p>
    <w:p>
      <w:pPr>
        <w:pStyle w:val="9"/>
        <w:spacing w:line="360" w:lineRule="auto"/>
        <w:ind w:firstLine="480" w:firstLineChars="200"/>
        <w:rPr>
          <w:rFonts w:hint="eastAsia" w:hAnsi="宋体" w:cs="宋体"/>
          <w:color w:val="auto"/>
          <w:sz w:val="24"/>
        </w:rPr>
      </w:pPr>
      <w:r>
        <w:rPr>
          <w:rFonts w:hint="eastAsia" w:hAnsi="宋体" w:cs="宋体"/>
          <w:color w:val="auto"/>
          <w:sz w:val="24"/>
        </w:rPr>
        <w:t>第五章、</w:t>
      </w:r>
      <w:r>
        <w:rPr>
          <w:rFonts w:hint="eastAsia" w:hAnsi="宋体" w:cs="宋体"/>
          <w:color w:val="auto"/>
          <w:sz w:val="24"/>
          <w:lang w:eastAsia="zh-CN"/>
        </w:rPr>
        <w:t>响应文件</w:t>
      </w:r>
      <w:r>
        <w:rPr>
          <w:rFonts w:hint="eastAsia" w:hAnsi="宋体" w:cs="宋体"/>
          <w:color w:val="auto"/>
          <w:sz w:val="24"/>
        </w:rPr>
        <w:t>格式</w:t>
      </w:r>
    </w:p>
    <w:p>
      <w:pPr>
        <w:pStyle w:val="9"/>
        <w:spacing w:line="360" w:lineRule="auto"/>
        <w:ind w:firstLine="480" w:firstLineChars="200"/>
        <w:rPr>
          <w:rFonts w:hAnsi="宋体" w:cs="宋体"/>
          <w:color w:val="auto"/>
          <w:sz w:val="24"/>
        </w:rPr>
      </w:pPr>
      <w:r>
        <w:rPr>
          <w:rFonts w:hint="eastAsia" w:hAnsi="宋体" w:cs="宋体"/>
          <w:color w:val="auto"/>
          <w:sz w:val="24"/>
        </w:rPr>
        <w:t>第六章、评标标准（综合评估法）</w:t>
      </w:r>
    </w:p>
    <w:p>
      <w:pPr>
        <w:pStyle w:val="9"/>
        <w:spacing w:line="360" w:lineRule="auto"/>
        <w:ind w:firstLine="480" w:firstLineChars="200"/>
        <w:rPr>
          <w:rFonts w:hAnsi="宋体" w:cs="宋体"/>
          <w:color w:val="auto"/>
          <w:sz w:val="24"/>
        </w:rPr>
      </w:pPr>
      <w:r>
        <w:rPr>
          <w:rFonts w:hint="eastAsia" w:hAnsi="宋体" w:cs="宋体"/>
          <w:color w:val="auto"/>
          <w:sz w:val="24"/>
        </w:rPr>
        <w:t xml:space="preserve">9.2 </w:t>
      </w:r>
      <w:r>
        <w:rPr>
          <w:rFonts w:hint="eastAsia" w:hAnsi="宋体" w:cs="宋体"/>
          <w:color w:val="auto"/>
          <w:sz w:val="24"/>
          <w:lang w:eastAsia="zh-CN"/>
        </w:rPr>
        <w:t>竞争性磋商文件</w:t>
      </w:r>
      <w:r>
        <w:rPr>
          <w:rFonts w:hint="eastAsia" w:hAnsi="宋体" w:cs="宋体"/>
          <w:color w:val="auto"/>
          <w:sz w:val="24"/>
        </w:rPr>
        <w:t>以中文编印，以中文文本为准。</w:t>
      </w:r>
    </w:p>
    <w:p>
      <w:pPr>
        <w:pStyle w:val="9"/>
        <w:spacing w:line="360" w:lineRule="auto"/>
        <w:ind w:firstLine="480" w:firstLineChars="200"/>
        <w:rPr>
          <w:rFonts w:hAnsi="宋体" w:cs="宋体"/>
          <w:color w:val="auto"/>
          <w:sz w:val="24"/>
        </w:rPr>
      </w:pPr>
      <w:r>
        <w:rPr>
          <w:rFonts w:hint="eastAsia" w:hAnsi="宋体" w:cs="宋体"/>
          <w:color w:val="auto"/>
          <w:sz w:val="24"/>
        </w:rPr>
        <w:t>9.3 除非有特殊要求，</w:t>
      </w:r>
      <w:r>
        <w:rPr>
          <w:rFonts w:hint="eastAsia" w:hAnsi="宋体" w:cs="宋体"/>
          <w:color w:val="auto"/>
          <w:sz w:val="24"/>
          <w:lang w:eastAsia="zh-CN"/>
        </w:rPr>
        <w:t>竞争性磋商文件</w:t>
      </w:r>
      <w:r>
        <w:rPr>
          <w:rFonts w:hint="eastAsia" w:hAnsi="宋体" w:cs="宋体"/>
          <w:color w:val="auto"/>
          <w:sz w:val="24"/>
        </w:rPr>
        <w:t>不单独提供采购项目使用地的自然环境、气候条件、劳动力及公用设施等情况，供应商被视为熟悉上述条件或若</w:t>
      </w:r>
      <w:r>
        <w:rPr>
          <w:rFonts w:hint="eastAsia" w:hAnsi="宋体" w:cs="宋体"/>
          <w:color w:val="auto"/>
          <w:sz w:val="24"/>
          <w:lang w:val="zh-CN"/>
        </w:rPr>
        <w:t>成交</w:t>
      </w:r>
      <w:r>
        <w:rPr>
          <w:rFonts w:hint="eastAsia" w:hAnsi="宋体" w:cs="宋体"/>
          <w:color w:val="auto"/>
          <w:sz w:val="24"/>
        </w:rPr>
        <w:t>履行合同有关的一切情况。</w:t>
      </w:r>
    </w:p>
    <w:p>
      <w:pPr>
        <w:pStyle w:val="9"/>
        <w:spacing w:line="360" w:lineRule="auto"/>
        <w:ind w:firstLine="480" w:firstLineChars="200"/>
        <w:rPr>
          <w:rFonts w:hAnsi="宋体" w:cs="宋体"/>
          <w:color w:val="auto"/>
          <w:sz w:val="24"/>
        </w:rPr>
      </w:pPr>
      <w:r>
        <w:rPr>
          <w:rFonts w:hint="eastAsia" w:hAnsi="宋体" w:cs="宋体"/>
          <w:color w:val="auto"/>
          <w:sz w:val="24"/>
        </w:rPr>
        <w:t>9.4采购人向供应商提供的有关数据和资料，是采购人现有的能被供应商利用的资料，供应商对此做出的推论、理解和结论自行负责。</w:t>
      </w:r>
    </w:p>
    <w:p>
      <w:pPr>
        <w:pStyle w:val="9"/>
        <w:spacing w:line="360" w:lineRule="auto"/>
        <w:ind w:firstLine="480" w:firstLineChars="200"/>
        <w:rPr>
          <w:rFonts w:hAnsi="宋体" w:cs="宋体"/>
          <w:color w:val="auto"/>
          <w:sz w:val="24"/>
        </w:rPr>
      </w:pPr>
      <w:bookmarkStart w:id="70" w:name="_Toc245897280"/>
      <w:bookmarkStart w:id="71" w:name="_Toc233274820"/>
      <w:bookmarkStart w:id="72" w:name="_Toc243906320"/>
      <w:bookmarkStart w:id="73" w:name="_Toc243907580"/>
      <w:r>
        <w:rPr>
          <w:rFonts w:hint="eastAsia" w:hAnsi="宋体" w:cs="宋体"/>
          <w:color w:val="auto"/>
          <w:sz w:val="24"/>
        </w:rPr>
        <w:t>10、</w:t>
      </w:r>
      <w:r>
        <w:rPr>
          <w:rFonts w:hint="eastAsia" w:hAnsi="宋体" w:cs="宋体"/>
          <w:color w:val="auto"/>
          <w:sz w:val="24"/>
          <w:lang w:eastAsia="zh-CN"/>
        </w:rPr>
        <w:t>竞争性磋商文件</w:t>
      </w:r>
      <w:r>
        <w:rPr>
          <w:rFonts w:hint="eastAsia" w:hAnsi="宋体" w:cs="宋体"/>
          <w:color w:val="auto"/>
          <w:sz w:val="24"/>
        </w:rPr>
        <w:t>的澄清</w:t>
      </w:r>
      <w:bookmarkEnd w:id="70"/>
      <w:bookmarkEnd w:id="71"/>
      <w:bookmarkEnd w:id="72"/>
      <w:bookmarkEnd w:id="73"/>
    </w:p>
    <w:p>
      <w:pPr>
        <w:pStyle w:val="9"/>
        <w:spacing w:line="360" w:lineRule="auto"/>
        <w:ind w:firstLine="480" w:firstLineChars="200"/>
        <w:rPr>
          <w:rFonts w:hAnsi="宋体" w:cs="宋体"/>
          <w:color w:val="auto"/>
          <w:sz w:val="24"/>
        </w:rPr>
      </w:pPr>
      <w:r>
        <w:rPr>
          <w:rFonts w:hint="eastAsia" w:hAnsi="宋体" w:cs="宋体"/>
          <w:color w:val="auto"/>
          <w:sz w:val="24"/>
        </w:rPr>
        <w:t>10.1 供应商对</w:t>
      </w:r>
      <w:r>
        <w:rPr>
          <w:rFonts w:hint="eastAsia" w:hAnsi="宋体" w:cs="宋体"/>
          <w:color w:val="auto"/>
          <w:sz w:val="24"/>
          <w:lang w:eastAsia="zh-CN"/>
        </w:rPr>
        <w:t>竞争性磋商文件</w:t>
      </w:r>
      <w:r>
        <w:rPr>
          <w:rFonts w:hint="eastAsia" w:hAnsi="宋体" w:cs="宋体"/>
          <w:color w:val="auto"/>
          <w:sz w:val="24"/>
        </w:rPr>
        <w:t>如有疑问，可要求澄清，应按</w:t>
      </w:r>
      <w:r>
        <w:rPr>
          <w:rFonts w:hint="eastAsia" w:hAnsi="宋体" w:cs="宋体"/>
          <w:color w:val="auto"/>
          <w:sz w:val="24"/>
          <w:lang w:eastAsia="zh-CN"/>
        </w:rPr>
        <w:t>竞争性磋商文件</w:t>
      </w:r>
      <w:r>
        <w:rPr>
          <w:rFonts w:hint="eastAsia" w:hAnsi="宋体" w:cs="宋体"/>
          <w:color w:val="auto"/>
          <w:sz w:val="24"/>
        </w:rPr>
        <w:t>“供应商须知前附表第6条”以书面形式（必须加盖供应商公章）送达或传真至采购代理机构（同时将疑问电子版发至</w:t>
      </w:r>
      <w:r>
        <w:rPr>
          <w:rFonts w:hint="eastAsia" w:hAnsi="宋体" w:cs="宋体"/>
          <w:color w:val="auto"/>
          <w:sz w:val="24"/>
          <w:lang w:val="en-US" w:eastAsia="zh-CN"/>
        </w:rPr>
        <w:t>353715545</w:t>
      </w:r>
      <w:r>
        <w:rPr>
          <w:rFonts w:hint="eastAsia" w:hAnsi="宋体" w:cs="宋体"/>
          <w:color w:val="auto"/>
          <w:sz w:val="24"/>
        </w:rPr>
        <w:t>@qq.com）。采购人和采购代理机构将视情况予以答复，</w:t>
      </w:r>
      <w:r>
        <w:rPr>
          <w:rFonts w:hint="eastAsia" w:ascii="宋体" w:hAnsi="宋体" w:eastAsia="宋体" w:cs="宋体"/>
          <w:color w:val="auto"/>
          <w:sz w:val="24"/>
        </w:rPr>
        <w:t>并发至</w:t>
      </w:r>
      <w:r>
        <w:rPr>
          <w:rFonts w:hint="eastAsia" w:hAnsi="宋体" w:cs="宋体"/>
          <w:color w:val="auto"/>
          <w:sz w:val="24"/>
          <w:lang w:val="en-US" w:eastAsia="zh-CN"/>
        </w:rPr>
        <w:t>新疆政府采购网政采云平台</w:t>
      </w:r>
      <w:r>
        <w:rPr>
          <w:rFonts w:hint="eastAsia" w:hAnsi="宋体" w:eastAsia="宋体" w:cs="宋体"/>
          <w:color w:val="auto"/>
          <w:sz w:val="24"/>
          <w:lang w:eastAsia="zh-CN"/>
        </w:rPr>
        <w:t>各</w:t>
      </w:r>
      <w:r>
        <w:rPr>
          <w:rFonts w:hint="eastAsia" w:ascii="宋体" w:hAnsi="宋体" w:eastAsia="宋体" w:cs="宋体"/>
          <w:color w:val="auto"/>
          <w:sz w:val="24"/>
        </w:rPr>
        <w:t>位供应商</w:t>
      </w:r>
      <w:r>
        <w:rPr>
          <w:rFonts w:hint="eastAsia" w:ascii="宋体" w:hAnsi="宋体" w:cs="宋体"/>
          <w:color w:val="auto"/>
          <w:sz w:val="24"/>
          <w:lang w:val="en-US" w:eastAsia="zh-CN"/>
        </w:rPr>
        <w:t>自行登录网站查阅。</w:t>
      </w:r>
      <w:r>
        <w:rPr>
          <w:rFonts w:hint="eastAsia" w:hAnsi="宋体" w:cs="宋体"/>
          <w:color w:val="auto"/>
          <w:sz w:val="24"/>
        </w:rPr>
        <w:t>答复中包括所提问题，但不包括问题的来源。</w:t>
      </w:r>
    </w:p>
    <w:p>
      <w:pPr>
        <w:pStyle w:val="9"/>
        <w:spacing w:line="360" w:lineRule="auto"/>
        <w:ind w:firstLine="480" w:firstLineChars="200"/>
        <w:rPr>
          <w:rFonts w:hAnsi="宋体" w:cs="宋体"/>
          <w:color w:val="auto"/>
          <w:sz w:val="24"/>
        </w:rPr>
      </w:pPr>
      <w:r>
        <w:rPr>
          <w:rFonts w:hint="eastAsia" w:hAnsi="宋体" w:cs="宋体"/>
          <w:color w:val="auto"/>
          <w:sz w:val="24"/>
        </w:rPr>
        <w:t>10.2 如果上述答复涉及对</w:t>
      </w:r>
      <w:r>
        <w:rPr>
          <w:rFonts w:hint="eastAsia" w:hAnsi="宋体" w:cs="宋体"/>
          <w:color w:val="auto"/>
          <w:sz w:val="24"/>
          <w:lang w:eastAsia="zh-CN"/>
        </w:rPr>
        <w:t>竞争性磋商文件</w:t>
      </w:r>
      <w:r>
        <w:rPr>
          <w:rFonts w:hint="eastAsia" w:hAnsi="宋体" w:cs="宋体"/>
          <w:color w:val="auto"/>
          <w:sz w:val="24"/>
        </w:rPr>
        <w:t>的修改或补充，则它将被视为</w:t>
      </w:r>
      <w:r>
        <w:rPr>
          <w:rFonts w:hint="eastAsia" w:hAnsi="宋体" w:cs="宋体"/>
          <w:color w:val="auto"/>
          <w:sz w:val="24"/>
          <w:lang w:eastAsia="zh-CN"/>
        </w:rPr>
        <w:t>竞争性磋商文件</w:t>
      </w:r>
      <w:r>
        <w:rPr>
          <w:rFonts w:hint="eastAsia" w:hAnsi="宋体" w:cs="宋体"/>
          <w:color w:val="auto"/>
          <w:sz w:val="24"/>
        </w:rPr>
        <w:t>的组成部分。凡原先所发</w:t>
      </w:r>
      <w:r>
        <w:rPr>
          <w:rFonts w:hint="eastAsia" w:hAnsi="宋体" w:cs="宋体"/>
          <w:color w:val="auto"/>
          <w:sz w:val="24"/>
          <w:lang w:eastAsia="zh-CN"/>
        </w:rPr>
        <w:t>竞争性磋商文件</w:t>
      </w:r>
      <w:r>
        <w:rPr>
          <w:rFonts w:hint="eastAsia" w:hAnsi="宋体" w:cs="宋体"/>
          <w:color w:val="auto"/>
          <w:sz w:val="24"/>
        </w:rPr>
        <w:t>中的内容与答复中的内容不一致之处，以最后</w:t>
      </w:r>
      <w:r>
        <w:rPr>
          <w:rFonts w:hint="eastAsia" w:hAnsi="宋体" w:cs="宋体"/>
          <w:color w:val="auto"/>
          <w:sz w:val="24"/>
          <w:lang w:eastAsia="zh-CN"/>
        </w:rPr>
        <w:t>发布</w:t>
      </w:r>
      <w:r>
        <w:rPr>
          <w:rFonts w:hint="eastAsia" w:hAnsi="宋体" w:cs="宋体"/>
          <w:color w:val="auto"/>
          <w:sz w:val="24"/>
        </w:rPr>
        <w:t>答复为准。任何电话或口头咨询和答复的意思解释均不具有法律约束力。</w:t>
      </w:r>
    </w:p>
    <w:p>
      <w:pPr>
        <w:pStyle w:val="9"/>
        <w:spacing w:line="360" w:lineRule="auto"/>
        <w:ind w:firstLine="480" w:firstLineChars="200"/>
        <w:rPr>
          <w:rFonts w:hAnsi="宋体" w:cs="宋体"/>
          <w:color w:val="auto"/>
          <w:sz w:val="24"/>
        </w:rPr>
      </w:pPr>
      <w:bookmarkStart w:id="74" w:name="_Toc233274821"/>
      <w:bookmarkStart w:id="75" w:name="_Toc243906321"/>
      <w:bookmarkStart w:id="76" w:name="_Toc243907581"/>
      <w:bookmarkStart w:id="77" w:name="_Toc245897281"/>
      <w:r>
        <w:rPr>
          <w:rFonts w:hint="eastAsia" w:hAnsi="宋体" w:cs="宋体"/>
          <w:color w:val="auto"/>
          <w:sz w:val="24"/>
        </w:rPr>
        <w:t>11、</w:t>
      </w:r>
      <w:r>
        <w:rPr>
          <w:rFonts w:hint="eastAsia" w:hAnsi="宋体" w:cs="宋体"/>
          <w:color w:val="auto"/>
          <w:sz w:val="24"/>
          <w:lang w:eastAsia="zh-CN"/>
        </w:rPr>
        <w:t>竞争性磋商文件</w:t>
      </w:r>
      <w:r>
        <w:rPr>
          <w:rFonts w:hint="eastAsia" w:hAnsi="宋体" w:cs="宋体"/>
          <w:color w:val="auto"/>
          <w:sz w:val="24"/>
        </w:rPr>
        <w:t>的修改和补充</w:t>
      </w:r>
      <w:bookmarkEnd w:id="74"/>
      <w:bookmarkEnd w:id="75"/>
      <w:bookmarkEnd w:id="76"/>
      <w:bookmarkEnd w:id="77"/>
    </w:p>
    <w:p>
      <w:pPr>
        <w:pStyle w:val="9"/>
        <w:spacing w:line="360" w:lineRule="auto"/>
        <w:ind w:firstLine="480" w:firstLineChars="200"/>
        <w:rPr>
          <w:rFonts w:hAnsi="宋体" w:cs="宋体"/>
          <w:color w:val="auto"/>
          <w:sz w:val="24"/>
        </w:rPr>
      </w:pPr>
      <w:r>
        <w:rPr>
          <w:rFonts w:hint="eastAsia" w:hAnsi="宋体" w:cs="宋体"/>
          <w:color w:val="auto"/>
          <w:sz w:val="24"/>
        </w:rPr>
        <w:t>11.1在递交</w:t>
      </w:r>
      <w:r>
        <w:rPr>
          <w:rFonts w:hint="eastAsia" w:hAnsi="宋体" w:cs="宋体"/>
          <w:color w:val="auto"/>
          <w:sz w:val="24"/>
          <w:lang w:eastAsia="zh-CN"/>
        </w:rPr>
        <w:t>响应文件</w:t>
      </w:r>
      <w:r>
        <w:rPr>
          <w:rFonts w:hint="eastAsia" w:hAnsi="宋体" w:cs="宋体"/>
          <w:color w:val="auto"/>
          <w:sz w:val="24"/>
        </w:rPr>
        <w:t>截止日期3个工作日前的任何时候，采购人可主动地或依据供应商要求澄清的疑问而修改、补充</w:t>
      </w:r>
      <w:r>
        <w:rPr>
          <w:rFonts w:hint="eastAsia" w:hAnsi="宋体" w:cs="宋体"/>
          <w:color w:val="auto"/>
          <w:sz w:val="24"/>
          <w:lang w:eastAsia="zh-CN"/>
        </w:rPr>
        <w:t>竞争性磋商文件</w:t>
      </w:r>
      <w:r>
        <w:rPr>
          <w:rFonts w:hint="eastAsia" w:hAnsi="宋体" w:cs="宋体"/>
          <w:color w:val="auto"/>
          <w:sz w:val="24"/>
        </w:rPr>
        <w:t>，采购代理机构将对修改和补充的内容</w:t>
      </w:r>
      <w:r>
        <w:rPr>
          <w:rFonts w:hint="eastAsia" w:ascii="宋体" w:hAnsi="宋体" w:eastAsia="宋体" w:cs="宋体"/>
          <w:color w:val="auto"/>
          <w:sz w:val="24"/>
        </w:rPr>
        <w:t>发至</w:t>
      </w:r>
      <w:r>
        <w:rPr>
          <w:rFonts w:hint="eastAsia" w:hAnsi="宋体" w:cs="宋体"/>
          <w:color w:val="auto"/>
          <w:sz w:val="24"/>
          <w:lang w:val="en-US" w:eastAsia="zh-CN"/>
        </w:rPr>
        <w:t>新疆政府采购网政采云平台</w:t>
      </w:r>
      <w:r>
        <w:rPr>
          <w:rFonts w:hint="eastAsia" w:ascii="宋体" w:hAnsi="宋体" w:eastAsia="宋体" w:cs="宋体"/>
          <w:color w:val="auto"/>
          <w:sz w:val="24"/>
          <w:lang w:val="en-US" w:eastAsia="zh-CN"/>
        </w:rPr>
        <w:t>，</w:t>
      </w:r>
      <w:r>
        <w:rPr>
          <w:rFonts w:hint="eastAsia" w:ascii="宋体" w:hAnsi="宋体" w:cs="宋体"/>
          <w:color w:val="auto"/>
          <w:sz w:val="24"/>
        </w:rPr>
        <w:t>所有获取</w:t>
      </w:r>
      <w:r>
        <w:rPr>
          <w:rFonts w:hint="eastAsia" w:hAnsi="宋体" w:cs="宋体"/>
          <w:color w:val="auto"/>
          <w:sz w:val="24"/>
          <w:lang w:eastAsia="zh-CN"/>
        </w:rPr>
        <w:t>竞争性磋商文件</w:t>
      </w:r>
      <w:r>
        <w:rPr>
          <w:rFonts w:hint="eastAsia" w:ascii="宋体" w:hAnsi="宋体" w:cs="宋体"/>
          <w:color w:val="auto"/>
          <w:sz w:val="24"/>
        </w:rPr>
        <w:t>的每位</w:t>
      </w:r>
      <w:r>
        <w:rPr>
          <w:rFonts w:hint="eastAsia" w:hAnsi="宋体" w:cs="宋体"/>
          <w:color w:val="auto"/>
          <w:sz w:val="24"/>
          <w:lang w:eastAsia="zh-CN"/>
        </w:rPr>
        <w:t>供应商</w:t>
      </w:r>
      <w:r>
        <w:rPr>
          <w:rFonts w:hint="eastAsia" w:ascii="宋体" w:hAnsi="宋体" w:cs="宋体"/>
          <w:color w:val="auto"/>
          <w:sz w:val="24"/>
          <w:lang w:val="en-US" w:eastAsia="zh-CN"/>
        </w:rPr>
        <w:t>自行登录网站查阅</w:t>
      </w:r>
      <w:r>
        <w:rPr>
          <w:rFonts w:hint="eastAsia" w:ascii="宋体" w:hAnsi="宋体" w:cs="宋体"/>
          <w:color w:val="auto"/>
          <w:sz w:val="24"/>
        </w:rPr>
        <w:t>，</w:t>
      </w:r>
      <w:r>
        <w:rPr>
          <w:rFonts w:hint="eastAsia" w:hAnsi="宋体" w:cs="宋体"/>
          <w:color w:val="auto"/>
          <w:sz w:val="24"/>
        </w:rPr>
        <w:t>修改和/或补充文件将作为</w:t>
      </w:r>
      <w:r>
        <w:rPr>
          <w:rFonts w:hint="eastAsia" w:hAnsi="宋体" w:cs="宋体"/>
          <w:color w:val="auto"/>
          <w:sz w:val="24"/>
          <w:lang w:eastAsia="zh-CN"/>
        </w:rPr>
        <w:t>竞争性磋商文件</w:t>
      </w:r>
      <w:r>
        <w:rPr>
          <w:rFonts w:hint="eastAsia" w:hAnsi="宋体" w:cs="宋体"/>
          <w:color w:val="auto"/>
          <w:sz w:val="24"/>
        </w:rPr>
        <w:t>的组成部分，对所有供应商具有约束力。</w:t>
      </w:r>
    </w:p>
    <w:p>
      <w:pPr>
        <w:pStyle w:val="9"/>
        <w:spacing w:line="360" w:lineRule="auto"/>
        <w:ind w:firstLine="480" w:firstLineChars="200"/>
        <w:rPr>
          <w:rFonts w:hAnsi="宋体" w:cs="宋体"/>
          <w:color w:val="auto"/>
          <w:sz w:val="24"/>
        </w:rPr>
      </w:pPr>
      <w:r>
        <w:rPr>
          <w:rFonts w:hint="eastAsia" w:hAnsi="宋体" w:cs="宋体"/>
          <w:color w:val="auto"/>
          <w:sz w:val="24"/>
        </w:rPr>
        <w:t>11.2为使供应商在准备</w:t>
      </w:r>
      <w:r>
        <w:rPr>
          <w:rFonts w:hint="eastAsia" w:hAnsi="宋体" w:cs="宋体"/>
          <w:color w:val="auto"/>
          <w:sz w:val="24"/>
          <w:lang w:eastAsia="zh-CN"/>
        </w:rPr>
        <w:t>响应文件</w:t>
      </w:r>
      <w:r>
        <w:rPr>
          <w:rFonts w:hint="eastAsia" w:hAnsi="宋体" w:cs="宋体"/>
          <w:color w:val="auto"/>
          <w:sz w:val="24"/>
        </w:rPr>
        <w:t>时有合理的时间考虑</w:t>
      </w:r>
      <w:r>
        <w:rPr>
          <w:rFonts w:hint="eastAsia" w:hAnsi="宋体" w:cs="宋体"/>
          <w:color w:val="auto"/>
          <w:sz w:val="24"/>
          <w:lang w:eastAsia="zh-CN"/>
        </w:rPr>
        <w:t>竞争性磋商文件</w:t>
      </w:r>
      <w:r>
        <w:rPr>
          <w:rFonts w:hint="eastAsia" w:hAnsi="宋体" w:cs="宋体"/>
          <w:color w:val="auto"/>
          <w:sz w:val="24"/>
        </w:rPr>
        <w:t>的修改和/或补充，采购代理机构可延长递交</w:t>
      </w:r>
      <w:r>
        <w:rPr>
          <w:rFonts w:hint="eastAsia" w:hAnsi="宋体" w:cs="宋体"/>
          <w:color w:val="auto"/>
          <w:sz w:val="24"/>
          <w:lang w:eastAsia="zh-CN"/>
        </w:rPr>
        <w:t>响应文件</w:t>
      </w:r>
      <w:r>
        <w:rPr>
          <w:rFonts w:hint="eastAsia" w:hAnsi="宋体" w:cs="宋体"/>
          <w:color w:val="auto"/>
          <w:sz w:val="24"/>
        </w:rPr>
        <w:t>截止时间和开启时间，但至少应当在规定的递交</w:t>
      </w:r>
      <w:r>
        <w:rPr>
          <w:rFonts w:hint="eastAsia" w:hAnsi="宋体" w:cs="宋体"/>
          <w:color w:val="auto"/>
          <w:sz w:val="24"/>
          <w:lang w:eastAsia="zh-CN"/>
        </w:rPr>
        <w:t>响应文件</w:t>
      </w:r>
      <w:r>
        <w:rPr>
          <w:rFonts w:hint="eastAsia" w:hAnsi="宋体" w:cs="宋体"/>
          <w:color w:val="auto"/>
          <w:sz w:val="24"/>
        </w:rPr>
        <w:t>的截止时间3个工作日前</w:t>
      </w:r>
      <w:r>
        <w:rPr>
          <w:rFonts w:hint="eastAsia" w:ascii="宋体" w:hAnsi="宋体" w:cs="宋体"/>
          <w:color w:val="auto"/>
          <w:sz w:val="24"/>
          <w:lang w:val="en-US" w:eastAsia="zh-CN"/>
        </w:rPr>
        <w:t>在</w:t>
      </w:r>
      <w:r>
        <w:rPr>
          <w:rFonts w:hint="eastAsia" w:hAnsi="宋体" w:cs="宋体"/>
          <w:color w:val="auto"/>
          <w:sz w:val="24"/>
          <w:lang w:val="en-US" w:eastAsia="zh-CN"/>
        </w:rPr>
        <w:t>新疆政府采购网政采云平台</w:t>
      </w:r>
      <w:r>
        <w:rPr>
          <w:rFonts w:hint="eastAsia" w:hAnsi="宋体" w:cs="宋体"/>
          <w:color w:val="auto"/>
          <w:sz w:val="24"/>
        </w:rPr>
        <w:t>通知所有领取</w:t>
      </w:r>
      <w:r>
        <w:rPr>
          <w:rFonts w:hint="eastAsia" w:hAnsi="宋体" w:cs="宋体"/>
          <w:color w:val="auto"/>
          <w:sz w:val="24"/>
          <w:lang w:eastAsia="zh-CN"/>
        </w:rPr>
        <w:t>竞争性磋商文件</w:t>
      </w:r>
      <w:r>
        <w:rPr>
          <w:rFonts w:hint="eastAsia" w:hAnsi="宋体" w:cs="宋体"/>
          <w:color w:val="auto"/>
          <w:sz w:val="24"/>
        </w:rPr>
        <w:t>的每位供应商。</w:t>
      </w:r>
    </w:p>
    <w:p>
      <w:pPr>
        <w:pStyle w:val="9"/>
        <w:numPr>
          <w:ilvl w:val="0"/>
          <w:numId w:val="2"/>
        </w:numPr>
        <w:spacing w:line="360" w:lineRule="auto"/>
        <w:rPr>
          <w:rFonts w:hAnsi="宋体" w:cs="宋体"/>
          <w:b/>
          <w:bCs/>
          <w:color w:val="auto"/>
          <w:sz w:val="24"/>
        </w:rPr>
      </w:pPr>
      <w:r>
        <w:rPr>
          <w:rFonts w:hint="eastAsia" w:hAnsi="宋体" w:cs="宋体"/>
          <w:b/>
          <w:bCs/>
          <w:color w:val="auto"/>
          <w:sz w:val="24"/>
          <w:lang w:eastAsia="zh-CN"/>
        </w:rPr>
        <w:t>响应文件</w:t>
      </w:r>
      <w:r>
        <w:rPr>
          <w:rFonts w:hint="eastAsia" w:hAnsi="宋体" w:cs="宋体"/>
          <w:b/>
          <w:bCs/>
          <w:color w:val="auto"/>
          <w:sz w:val="24"/>
        </w:rPr>
        <w:t>的编写</w:t>
      </w:r>
    </w:p>
    <w:p>
      <w:pPr>
        <w:pStyle w:val="9"/>
        <w:spacing w:line="360" w:lineRule="auto"/>
        <w:ind w:firstLine="480" w:firstLineChars="200"/>
        <w:outlineLvl w:val="1"/>
        <w:rPr>
          <w:rFonts w:hAnsi="宋体" w:cs="宋体"/>
          <w:color w:val="auto"/>
          <w:sz w:val="24"/>
          <w:szCs w:val="24"/>
        </w:rPr>
      </w:pPr>
      <w:bookmarkStart w:id="78" w:name="_Toc233274823"/>
      <w:bookmarkStart w:id="79" w:name="_Toc243906323"/>
      <w:bookmarkStart w:id="80" w:name="_Toc243907583"/>
      <w:bookmarkStart w:id="81" w:name="_Toc245897283"/>
      <w:bookmarkStart w:id="82" w:name="_Toc24796"/>
      <w:r>
        <w:rPr>
          <w:rFonts w:hint="eastAsia" w:hAnsi="宋体" w:cs="宋体"/>
          <w:color w:val="auto"/>
          <w:sz w:val="24"/>
          <w:szCs w:val="24"/>
        </w:rPr>
        <w:t>1</w:t>
      </w:r>
      <w:bookmarkEnd w:id="78"/>
      <w:r>
        <w:rPr>
          <w:rFonts w:hint="eastAsia" w:hAnsi="宋体" w:cs="宋体"/>
          <w:color w:val="auto"/>
          <w:sz w:val="24"/>
          <w:szCs w:val="24"/>
        </w:rPr>
        <w:t>2、</w:t>
      </w:r>
      <w:r>
        <w:rPr>
          <w:rFonts w:hint="eastAsia" w:hAnsi="宋体" w:cs="宋体"/>
          <w:color w:val="auto"/>
          <w:sz w:val="24"/>
          <w:szCs w:val="24"/>
          <w:lang w:eastAsia="zh-CN"/>
        </w:rPr>
        <w:t>响应文件</w:t>
      </w:r>
      <w:r>
        <w:rPr>
          <w:rFonts w:hint="eastAsia" w:hAnsi="宋体" w:cs="宋体"/>
          <w:color w:val="auto"/>
          <w:sz w:val="24"/>
          <w:szCs w:val="24"/>
        </w:rPr>
        <w:t>的编写</w:t>
      </w:r>
      <w:bookmarkEnd w:id="79"/>
      <w:bookmarkEnd w:id="80"/>
      <w:bookmarkEnd w:id="81"/>
    </w:p>
    <w:p>
      <w:pPr>
        <w:spacing w:line="360" w:lineRule="auto"/>
        <w:ind w:firstLine="481"/>
        <w:rPr>
          <w:rFonts w:ascii="宋体" w:hAnsi="宋体" w:cs="宋体"/>
          <w:color w:val="auto"/>
          <w:sz w:val="24"/>
        </w:rPr>
      </w:pPr>
      <w:r>
        <w:rPr>
          <w:rFonts w:hint="eastAsia" w:ascii="宋体" w:hAnsi="宋体" w:cs="宋体"/>
          <w:color w:val="auto"/>
          <w:sz w:val="24"/>
        </w:rPr>
        <w:t>12.1供应商必须详细阅读</w:t>
      </w:r>
      <w:r>
        <w:rPr>
          <w:rFonts w:hint="eastAsia" w:ascii="宋体" w:hAnsi="宋体" w:cs="宋体"/>
          <w:color w:val="auto"/>
          <w:sz w:val="24"/>
          <w:lang w:eastAsia="zh-CN"/>
        </w:rPr>
        <w:t>竞争性磋商文件</w:t>
      </w:r>
      <w:r>
        <w:rPr>
          <w:rFonts w:hint="eastAsia" w:ascii="宋体" w:hAnsi="宋体" w:cs="宋体"/>
          <w:color w:val="auto"/>
          <w:sz w:val="24"/>
        </w:rPr>
        <w:t>的章、节、条款、格式等所有内容，按</w:t>
      </w:r>
      <w:r>
        <w:rPr>
          <w:rFonts w:hint="eastAsia" w:ascii="宋体" w:hAnsi="宋体" w:cs="宋体"/>
          <w:color w:val="auto"/>
          <w:sz w:val="24"/>
          <w:lang w:eastAsia="zh-CN"/>
        </w:rPr>
        <w:t>竞争性磋商文件</w:t>
      </w:r>
      <w:r>
        <w:rPr>
          <w:rFonts w:hint="eastAsia" w:ascii="宋体" w:hAnsi="宋体" w:cs="宋体"/>
          <w:color w:val="auto"/>
          <w:sz w:val="24"/>
        </w:rPr>
        <w:t>的要求提交</w:t>
      </w:r>
      <w:r>
        <w:rPr>
          <w:rFonts w:hint="eastAsia" w:ascii="宋体" w:hAnsi="宋体" w:cs="宋体"/>
          <w:color w:val="auto"/>
          <w:sz w:val="24"/>
          <w:lang w:eastAsia="zh-CN"/>
        </w:rPr>
        <w:t>响应文件</w:t>
      </w:r>
      <w:r>
        <w:rPr>
          <w:rFonts w:hint="eastAsia" w:ascii="宋体" w:hAnsi="宋体" w:cs="宋体"/>
          <w:color w:val="auto"/>
          <w:sz w:val="24"/>
        </w:rPr>
        <w:t>，并保证所提供的全部文件及相关资料的真实性，以使其对</w:t>
      </w:r>
      <w:r>
        <w:rPr>
          <w:rFonts w:hint="eastAsia" w:ascii="宋体" w:hAnsi="宋体" w:cs="宋体"/>
          <w:color w:val="auto"/>
          <w:sz w:val="24"/>
          <w:lang w:eastAsia="zh-CN"/>
        </w:rPr>
        <w:t>竞争性磋商文件</w:t>
      </w:r>
      <w:r>
        <w:rPr>
          <w:rFonts w:hint="eastAsia" w:ascii="宋体" w:hAnsi="宋体" w:cs="宋体"/>
          <w:color w:val="auto"/>
          <w:sz w:val="24"/>
        </w:rPr>
        <w:t>做出实质性响应。供应商应仔细阅读并充分理解</w:t>
      </w:r>
      <w:r>
        <w:rPr>
          <w:rFonts w:hint="eastAsia" w:ascii="宋体" w:hAnsi="宋体" w:cs="宋体"/>
          <w:color w:val="auto"/>
          <w:sz w:val="24"/>
          <w:lang w:eastAsia="zh-CN"/>
        </w:rPr>
        <w:t>竞争性磋商文件</w:t>
      </w:r>
      <w:r>
        <w:rPr>
          <w:rFonts w:hint="eastAsia" w:ascii="宋体" w:hAnsi="宋体" w:cs="宋体"/>
          <w:color w:val="auto"/>
          <w:sz w:val="24"/>
        </w:rPr>
        <w:t>、技术规范及标准、项目采购需求、合同条款后编制</w:t>
      </w:r>
      <w:r>
        <w:rPr>
          <w:rFonts w:hint="eastAsia" w:ascii="宋体" w:hAnsi="宋体" w:cs="宋体"/>
          <w:color w:val="auto"/>
          <w:sz w:val="24"/>
          <w:lang w:eastAsia="zh-CN"/>
        </w:rPr>
        <w:t>响应文件</w:t>
      </w:r>
      <w:r>
        <w:rPr>
          <w:rFonts w:hint="eastAsia" w:ascii="宋体" w:hAnsi="宋体" w:cs="宋体"/>
          <w:color w:val="auto"/>
          <w:sz w:val="24"/>
        </w:rPr>
        <w:t>。</w:t>
      </w:r>
    </w:p>
    <w:p>
      <w:pPr>
        <w:pStyle w:val="9"/>
        <w:spacing w:line="360" w:lineRule="auto"/>
        <w:ind w:firstLine="480" w:firstLineChars="200"/>
        <w:outlineLvl w:val="1"/>
        <w:rPr>
          <w:rFonts w:hAnsi="宋体" w:cs="宋体"/>
          <w:color w:val="auto"/>
          <w:sz w:val="24"/>
          <w:szCs w:val="24"/>
        </w:rPr>
      </w:pPr>
      <w:bookmarkStart w:id="83" w:name="_Toc233274824"/>
      <w:bookmarkStart w:id="84" w:name="_Toc243906324"/>
      <w:bookmarkStart w:id="85" w:name="_Toc243907584"/>
      <w:bookmarkStart w:id="86" w:name="_Toc245897284"/>
      <w:r>
        <w:rPr>
          <w:rFonts w:hint="eastAsia" w:hAnsi="宋体" w:cs="宋体"/>
          <w:color w:val="auto"/>
          <w:sz w:val="24"/>
          <w:szCs w:val="24"/>
        </w:rPr>
        <w:t>13、</w:t>
      </w:r>
      <w:r>
        <w:rPr>
          <w:rFonts w:hint="eastAsia" w:hAnsi="宋体" w:cs="宋体"/>
          <w:color w:val="auto"/>
          <w:sz w:val="24"/>
          <w:szCs w:val="24"/>
          <w:lang w:eastAsia="zh-CN"/>
        </w:rPr>
        <w:t>响应文件</w:t>
      </w:r>
      <w:r>
        <w:rPr>
          <w:rFonts w:hint="eastAsia" w:hAnsi="宋体" w:cs="宋体"/>
          <w:color w:val="auto"/>
          <w:sz w:val="24"/>
          <w:szCs w:val="24"/>
        </w:rPr>
        <w:t>的语言及计量单位</w:t>
      </w:r>
      <w:bookmarkEnd w:id="83"/>
      <w:bookmarkEnd w:id="84"/>
      <w:bookmarkEnd w:id="85"/>
      <w:bookmarkEnd w:id="86"/>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 xml:space="preserve">13.1 </w:t>
      </w:r>
      <w:r>
        <w:rPr>
          <w:rFonts w:hint="eastAsia" w:hAnsi="宋体" w:cs="宋体"/>
          <w:color w:val="auto"/>
          <w:sz w:val="24"/>
          <w:szCs w:val="24"/>
          <w:lang w:eastAsia="zh-CN"/>
        </w:rPr>
        <w:t>响应文件</w:t>
      </w:r>
      <w:r>
        <w:rPr>
          <w:rFonts w:hint="eastAsia" w:hAnsi="宋体" w:cs="宋体"/>
          <w:color w:val="auto"/>
          <w:sz w:val="24"/>
          <w:szCs w:val="24"/>
        </w:rPr>
        <w:t>及供应商和采购人及采购代理机构就有关</w:t>
      </w:r>
      <w:r>
        <w:rPr>
          <w:rFonts w:hint="eastAsia" w:hAnsi="宋体" w:cs="宋体"/>
          <w:color w:val="auto"/>
          <w:sz w:val="24"/>
          <w:szCs w:val="24"/>
          <w:lang w:eastAsia="zh-CN"/>
        </w:rPr>
        <w:t>发布</w:t>
      </w:r>
      <w:r>
        <w:rPr>
          <w:rFonts w:hint="eastAsia" w:hAnsi="宋体" w:cs="宋体"/>
          <w:color w:val="auto"/>
          <w:sz w:val="24"/>
          <w:szCs w:val="24"/>
        </w:rPr>
        <w:t>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13.2 除在</w:t>
      </w:r>
      <w:r>
        <w:rPr>
          <w:rFonts w:hint="eastAsia" w:hAnsi="宋体" w:cs="宋体"/>
          <w:color w:val="auto"/>
          <w:sz w:val="24"/>
          <w:szCs w:val="24"/>
          <w:lang w:eastAsia="zh-CN"/>
        </w:rPr>
        <w:t>竞争性磋商文件</w:t>
      </w:r>
      <w:r>
        <w:rPr>
          <w:rFonts w:hint="eastAsia" w:hAnsi="宋体" w:cs="宋体"/>
          <w:color w:val="auto"/>
          <w:sz w:val="24"/>
          <w:szCs w:val="24"/>
        </w:rPr>
        <w:t>的项目采购需求中另有规定外，计量单位应使用中华人民共和国法定计量单位（国际单位制和国家选定的其它计量单位）。如供应商采用其它计量单位，需事先得到采购人的同意。</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14、知识产权</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14.2 采购人享有本项目实施过程中产生的知识成果及知识产权。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14.3供应商如欲在项目实施过程中采用自有知识成果，需在</w:t>
      </w:r>
      <w:r>
        <w:rPr>
          <w:rFonts w:hint="eastAsia" w:ascii="宋体" w:hAnsi="宋体" w:cs="宋体"/>
          <w:color w:val="auto"/>
          <w:sz w:val="24"/>
          <w:lang w:eastAsia="zh-CN"/>
        </w:rPr>
        <w:t>响应文件</w:t>
      </w:r>
      <w:r>
        <w:rPr>
          <w:rFonts w:hint="eastAsia" w:ascii="宋体" w:hAnsi="宋体" w:cs="宋体"/>
          <w:color w:val="auto"/>
          <w:sz w:val="24"/>
        </w:rPr>
        <w:t>中声明，并提供相关知识产权证明文件。使用该知识成果后，供应商需承诺提供无限期技术支持，采购人享有永久使用权。</w:t>
      </w:r>
    </w:p>
    <w:p>
      <w:pPr>
        <w:spacing w:line="360" w:lineRule="auto"/>
        <w:ind w:firstLine="460" w:firstLineChars="192"/>
        <w:rPr>
          <w:rFonts w:ascii="宋体" w:hAnsi="宋体" w:cs="宋体"/>
          <w:color w:val="auto"/>
          <w:sz w:val="24"/>
        </w:rPr>
      </w:pPr>
      <w:r>
        <w:rPr>
          <w:rFonts w:hint="eastAsia" w:ascii="宋体" w:hAnsi="宋体" w:cs="宋体"/>
          <w:color w:val="auto"/>
          <w:sz w:val="24"/>
        </w:rPr>
        <w:t xml:space="preserve">14.4 供应商如采用其所不拥有的知识产权，则在其商务报价中必须包括合法获取该知识产权的相关费用。 </w:t>
      </w:r>
    </w:p>
    <w:p>
      <w:pPr>
        <w:pStyle w:val="9"/>
        <w:spacing w:line="360" w:lineRule="auto"/>
        <w:ind w:firstLine="480" w:firstLineChars="200"/>
        <w:outlineLvl w:val="1"/>
        <w:rPr>
          <w:rFonts w:hAnsi="宋体" w:cs="宋体"/>
          <w:b/>
          <w:color w:val="auto"/>
          <w:sz w:val="24"/>
          <w:szCs w:val="24"/>
        </w:rPr>
      </w:pPr>
      <w:bookmarkStart w:id="87" w:name="_Toc243907585"/>
      <w:bookmarkStart w:id="88" w:name="_Toc233274825"/>
      <w:bookmarkStart w:id="89" w:name="_Toc243906325"/>
      <w:bookmarkStart w:id="90" w:name="_Toc245897285"/>
      <w:r>
        <w:rPr>
          <w:rFonts w:hint="eastAsia" w:hAnsi="宋体" w:cs="宋体"/>
          <w:color w:val="auto"/>
          <w:sz w:val="24"/>
          <w:szCs w:val="24"/>
        </w:rPr>
        <w:t>15、</w:t>
      </w:r>
      <w:r>
        <w:rPr>
          <w:rFonts w:hint="eastAsia" w:hAnsi="宋体" w:cs="宋体"/>
          <w:color w:val="auto"/>
          <w:sz w:val="24"/>
          <w:szCs w:val="24"/>
          <w:lang w:eastAsia="zh-CN"/>
        </w:rPr>
        <w:t>响应文件</w:t>
      </w:r>
      <w:r>
        <w:rPr>
          <w:rFonts w:hint="eastAsia" w:hAnsi="宋体" w:cs="宋体"/>
          <w:color w:val="auto"/>
          <w:sz w:val="24"/>
          <w:szCs w:val="24"/>
        </w:rPr>
        <w:t>的组成</w:t>
      </w:r>
      <w:bookmarkEnd w:id="87"/>
      <w:bookmarkEnd w:id="88"/>
      <w:bookmarkEnd w:id="89"/>
      <w:bookmarkEnd w:id="90"/>
    </w:p>
    <w:p>
      <w:pPr>
        <w:pStyle w:val="9"/>
        <w:spacing w:line="360" w:lineRule="auto"/>
        <w:ind w:firstLine="482" w:firstLineChars="200"/>
        <w:outlineLvl w:val="1"/>
        <w:rPr>
          <w:rFonts w:hAnsi="宋体" w:cs="宋体"/>
          <w:b/>
          <w:color w:val="auto"/>
          <w:sz w:val="24"/>
          <w:szCs w:val="24"/>
        </w:rPr>
      </w:pPr>
      <w:r>
        <w:rPr>
          <w:rFonts w:hint="eastAsia" w:hAnsi="宋体" w:cs="宋体"/>
          <w:b/>
          <w:bCs/>
          <w:color w:val="auto"/>
          <w:sz w:val="24"/>
          <w:lang w:eastAsia="zh-CN"/>
        </w:rPr>
        <w:t>投标文件</w:t>
      </w:r>
      <w:r>
        <w:rPr>
          <w:rFonts w:hint="eastAsia" w:ascii="宋体" w:hAnsi="宋体" w:cs="宋体"/>
          <w:b/>
          <w:bCs/>
          <w:color w:val="auto"/>
          <w:sz w:val="24"/>
        </w:rPr>
        <w:t>由商务</w:t>
      </w:r>
      <w:r>
        <w:rPr>
          <w:rFonts w:hint="eastAsia" w:hAnsi="宋体" w:cs="宋体"/>
          <w:b/>
          <w:bCs/>
          <w:color w:val="auto"/>
          <w:sz w:val="24"/>
          <w:lang w:eastAsia="zh-CN"/>
        </w:rPr>
        <w:t>部分</w:t>
      </w:r>
      <w:r>
        <w:rPr>
          <w:rFonts w:hint="eastAsia" w:ascii="宋体" w:hAnsi="宋体" w:cs="宋体"/>
          <w:b/>
          <w:bCs/>
          <w:color w:val="auto"/>
          <w:sz w:val="24"/>
        </w:rPr>
        <w:t>和技术</w:t>
      </w:r>
      <w:r>
        <w:rPr>
          <w:rFonts w:hint="eastAsia" w:hAnsi="宋体" w:cs="宋体"/>
          <w:b/>
          <w:bCs/>
          <w:color w:val="auto"/>
          <w:sz w:val="24"/>
          <w:lang w:eastAsia="zh-CN"/>
        </w:rPr>
        <w:t>部分</w:t>
      </w:r>
      <w:r>
        <w:rPr>
          <w:rFonts w:hint="eastAsia" w:ascii="宋体" w:hAnsi="宋体" w:cs="宋体"/>
          <w:b/>
          <w:bCs/>
          <w:color w:val="auto"/>
          <w:sz w:val="24"/>
        </w:rPr>
        <w:t>组成，商务</w:t>
      </w:r>
      <w:r>
        <w:rPr>
          <w:rFonts w:hint="eastAsia" w:hAnsi="宋体" w:cs="宋体"/>
          <w:b/>
          <w:bCs/>
          <w:color w:val="auto"/>
          <w:sz w:val="24"/>
          <w:lang w:eastAsia="zh-CN"/>
        </w:rPr>
        <w:t>部分</w:t>
      </w:r>
      <w:r>
        <w:rPr>
          <w:rFonts w:hint="eastAsia" w:ascii="宋体" w:hAnsi="宋体" w:cs="宋体"/>
          <w:b/>
          <w:bCs/>
          <w:color w:val="auto"/>
          <w:sz w:val="24"/>
        </w:rPr>
        <w:t>与技术</w:t>
      </w:r>
      <w:r>
        <w:rPr>
          <w:rFonts w:hint="eastAsia" w:hAnsi="宋体" w:cs="宋体"/>
          <w:b/>
          <w:bCs/>
          <w:color w:val="auto"/>
          <w:sz w:val="24"/>
          <w:lang w:eastAsia="zh-CN"/>
        </w:rPr>
        <w:t>部分</w:t>
      </w:r>
      <w:r>
        <w:rPr>
          <w:rFonts w:hint="eastAsia" w:ascii="宋体" w:hAnsi="宋体" w:cs="宋体"/>
          <w:b/>
          <w:bCs/>
          <w:color w:val="auto"/>
          <w:sz w:val="24"/>
        </w:rPr>
        <w:t>装订在一起，采用明标的形式。</w:t>
      </w:r>
      <w:r>
        <w:rPr>
          <w:rFonts w:hint="eastAsia" w:hAnsi="宋体" w:cs="宋体"/>
          <w:b/>
          <w:color w:val="auto"/>
          <w:sz w:val="24"/>
          <w:szCs w:val="24"/>
          <w:lang w:eastAsia="zh-CN"/>
        </w:rPr>
        <w:t>投标文件</w:t>
      </w:r>
      <w:r>
        <w:rPr>
          <w:rFonts w:hint="eastAsia" w:hAnsi="宋体" w:cs="宋体"/>
          <w:b/>
          <w:color w:val="auto"/>
          <w:sz w:val="24"/>
          <w:szCs w:val="24"/>
        </w:rPr>
        <w:t>需编制目录及页码。</w:t>
      </w:r>
      <w:r>
        <w:rPr>
          <w:rFonts w:hint="eastAsia" w:hAnsi="宋体" w:cs="宋体"/>
          <w:b/>
          <w:color w:val="auto"/>
          <w:sz w:val="24"/>
          <w:szCs w:val="24"/>
          <w:lang w:eastAsia="zh-CN"/>
        </w:rPr>
        <w:t>投标文件</w:t>
      </w:r>
      <w:r>
        <w:rPr>
          <w:rFonts w:hint="eastAsia" w:hAnsi="宋体" w:cs="宋体"/>
          <w:b/>
          <w:color w:val="auto"/>
          <w:sz w:val="24"/>
          <w:szCs w:val="24"/>
        </w:rPr>
        <w:t>包括但不限于以下内容，各供应商应对照“第三章、项目采购需求”及“第六章、评标标准（综合评估法）”提供相关的证明资料：</w:t>
      </w:r>
    </w:p>
    <w:p>
      <w:pPr>
        <w:numPr>
          <w:ilvl w:val="0"/>
          <w:numId w:val="3"/>
        </w:numPr>
        <w:spacing w:line="360" w:lineRule="auto"/>
        <w:jc w:val="left"/>
        <w:rPr>
          <w:rFonts w:ascii="宋体" w:hAnsi="宋体" w:cs="宋体"/>
          <w:color w:val="auto"/>
          <w:sz w:val="24"/>
        </w:rPr>
      </w:pPr>
      <w:r>
        <w:rPr>
          <w:rFonts w:hint="eastAsia" w:ascii="宋体" w:hAnsi="宋体" w:cs="宋体"/>
          <w:color w:val="auto"/>
          <w:sz w:val="24"/>
          <w:lang w:eastAsia="zh-CN"/>
        </w:rPr>
        <w:t>响应文件</w:t>
      </w:r>
      <w:r>
        <w:rPr>
          <w:rFonts w:hint="eastAsia" w:ascii="宋体" w:hAnsi="宋体" w:cs="宋体"/>
          <w:color w:val="auto"/>
          <w:sz w:val="24"/>
        </w:rPr>
        <w:t>封面；</w:t>
      </w:r>
    </w:p>
    <w:p>
      <w:pPr>
        <w:numPr>
          <w:ilvl w:val="0"/>
          <w:numId w:val="3"/>
        </w:numPr>
        <w:spacing w:line="360" w:lineRule="auto"/>
        <w:jc w:val="left"/>
        <w:rPr>
          <w:rFonts w:ascii="宋体" w:hAnsi="宋体" w:cs="宋体"/>
          <w:color w:val="auto"/>
          <w:sz w:val="24"/>
        </w:rPr>
      </w:pPr>
      <w:r>
        <w:rPr>
          <w:rFonts w:hint="eastAsia" w:ascii="宋体" w:hAnsi="宋体" w:cs="宋体"/>
          <w:color w:val="auto"/>
          <w:sz w:val="24"/>
          <w:highlight w:val="none"/>
        </w:rPr>
        <w:t>响应函</w:t>
      </w:r>
      <w:r>
        <w:rPr>
          <w:rFonts w:hint="eastAsia" w:ascii="宋体" w:hAnsi="宋体" w:cs="宋体"/>
          <w:color w:val="auto"/>
          <w:sz w:val="24"/>
        </w:rPr>
        <w:t>（详见格式1）；</w:t>
      </w:r>
    </w:p>
    <w:p>
      <w:pPr>
        <w:numPr>
          <w:ilvl w:val="0"/>
          <w:numId w:val="3"/>
        </w:numPr>
        <w:spacing w:line="360" w:lineRule="auto"/>
        <w:rPr>
          <w:rFonts w:ascii="宋体" w:hAnsi="宋体" w:cs="宋体"/>
          <w:bCs/>
          <w:color w:val="auto"/>
          <w:sz w:val="24"/>
        </w:rPr>
      </w:pPr>
      <w:r>
        <w:rPr>
          <w:rFonts w:hint="eastAsia" w:ascii="宋体" w:hAnsi="宋体" w:cs="宋体"/>
          <w:b/>
          <w:bCs/>
          <w:color w:val="auto"/>
          <w:sz w:val="24"/>
        </w:rPr>
        <w:t>商务报价一览表（详见格式2）</w:t>
      </w:r>
      <w:r>
        <w:rPr>
          <w:rFonts w:hint="eastAsia" w:ascii="宋体" w:hAnsi="宋体" w:cs="宋体"/>
          <w:b/>
          <w:bCs/>
          <w:color w:val="auto"/>
          <w:sz w:val="24"/>
          <w:lang w:eastAsia="zh-CN"/>
        </w:rPr>
        <w:t>，</w:t>
      </w:r>
      <w:r>
        <w:rPr>
          <w:rFonts w:hint="eastAsia" w:ascii="宋体" w:hAnsi="宋体" w:cs="宋体"/>
          <w:b/>
          <w:color w:val="auto"/>
          <w:sz w:val="24"/>
          <w:highlight w:val="none"/>
        </w:rPr>
        <w:t>经</w:t>
      </w:r>
      <w:r>
        <w:rPr>
          <w:rFonts w:hint="eastAsia" w:ascii="宋体" w:hAnsi="宋体" w:cs="宋体"/>
          <w:b/>
          <w:color w:val="auto"/>
          <w:sz w:val="24"/>
          <w:highlight w:val="none"/>
          <w:lang w:val="en-US" w:eastAsia="zh-CN"/>
        </w:rPr>
        <w:t>现场评标专家和供应商</w:t>
      </w:r>
      <w:r>
        <w:rPr>
          <w:rFonts w:hint="eastAsia" w:ascii="宋体" w:hAnsi="宋体" w:cs="宋体"/>
          <w:b/>
          <w:color w:val="auto"/>
          <w:sz w:val="24"/>
          <w:highlight w:val="none"/>
        </w:rPr>
        <w:t>磋商后由各供应商填写最后报价</w:t>
      </w:r>
      <w:r>
        <w:rPr>
          <w:rFonts w:hint="eastAsia" w:ascii="宋体" w:hAnsi="宋体" w:cs="宋体"/>
          <w:b/>
          <w:color w:val="auto"/>
          <w:sz w:val="24"/>
          <w:highlight w:val="none"/>
          <w:lang w:eastAsia="zh-CN"/>
        </w:rPr>
        <w:t>，</w:t>
      </w:r>
      <w:r>
        <w:rPr>
          <w:rFonts w:hint="eastAsia" w:ascii="宋体" w:hAnsi="宋体" w:cs="宋体"/>
          <w:b/>
          <w:color w:val="auto"/>
          <w:sz w:val="24"/>
          <w:highlight w:val="none"/>
        </w:rPr>
        <w:t>供应商须按本商务报价一览表格式制作“最后报价表”，并加盖单位公章后</w:t>
      </w:r>
      <w:r>
        <w:rPr>
          <w:rFonts w:hint="eastAsia" w:ascii="宋体" w:hAnsi="宋体" w:cs="宋体"/>
          <w:b/>
          <w:color w:val="auto"/>
          <w:sz w:val="24"/>
          <w:highlight w:val="none"/>
          <w:lang w:val="en-US" w:eastAsia="zh-CN"/>
        </w:rPr>
        <w:t>在开标系统规定时间内上传系统</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如未按照系统要求填报或者未在规定时间内上传最终报价的后果由各供应商承担</w:t>
      </w:r>
      <w:r>
        <w:rPr>
          <w:rFonts w:hint="eastAsia" w:ascii="宋体" w:hAnsi="宋体" w:cs="宋体"/>
          <w:b/>
          <w:color w:val="auto"/>
          <w:sz w:val="24"/>
          <w:highlight w:val="none"/>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商务条款响应偏离表（详见格式</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eastAsia="zh-CN"/>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法定代表人资格证明书（详见格式</w:t>
      </w:r>
      <w:r>
        <w:rPr>
          <w:rFonts w:hint="eastAsia" w:ascii="宋体" w:hAnsi="宋体" w:cs="宋体"/>
          <w:color w:val="auto"/>
          <w:sz w:val="24"/>
          <w:lang w:val="en-US" w:eastAsia="zh-CN"/>
        </w:rPr>
        <w:t>4</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法定代表人授权书（详见格式</w:t>
      </w:r>
      <w:r>
        <w:rPr>
          <w:rFonts w:hint="eastAsia" w:ascii="宋体" w:hAnsi="宋体" w:cs="宋体"/>
          <w:color w:val="auto"/>
          <w:sz w:val="24"/>
          <w:lang w:val="en-US" w:eastAsia="zh-CN"/>
        </w:rPr>
        <w:t>5</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rPr>
      </w:pPr>
      <w:r>
        <w:rPr>
          <w:rFonts w:hint="eastAsia" w:ascii="宋体" w:hAnsi="宋体" w:cs="宋体"/>
          <w:color w:val="auto"/>
          <w:sz w:val="24"/>
        </w:rPr>
        <w:t>供应商资格声明（详见格式</w:t>
      </w:r>
      <w:r>
        <w:rPr>
          <w:rFonts w:hint="eastAsia" w:ascii="宋体" w:hAnsi="宋体" w:cs="宋体"/>
          <w:color w:val="auto"/>
          <w:sz w:val="24"/>
          <w:lang w:val="en-US" w:eastAsia="zh-CN"/>
        </w:rPr>
        <w:t>6</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中小企业声明函（详见格式</w:t>
      </w:r>
      <w:r>
        <w:rPr>
          <w:rFonts w:hint="eastAsia" w:ascii="宋体" w:hAnsi="宋体" w:cs="宋体"/>
          <w:color w:val="auto"/>
          <w:sz w:val="24"/>
          <w:lang w:val="en-US" w:eastAsia="zh-CN"/>
        </w:rPr>
        <w:t>7</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有效期内的企业营业执照（复印件）</w:t>
      </w:r>
      <w:r>
        <w:rPr>
          <w:rStyle w:val="21"/>
          <w:rFonts w:hint="eastAsia" w:ascii="宋体" w:hAnsi="宋体" w:cs="宋体"/>
          <w:b w:val="0"/>
          <w:bCs/>
          <w:color w:val="auto"/>
          <w:sz w:val="24"/>
          <w:highlight w:val="none"/>
        </w:rPr>
        <w:t>；</w:t>
      </w:r>
    </w:p>
    <w:p>
      <w:pPr>
        <w:numPr>
          <w:ilvl w:val="0"/>
          <w:numId w:val="3"/>
        </w:numPr>
        <w:spacing w:line="360" w:lineRule="auto"/>
        <w:rPr>
          <w:rFonts w:ascii="宋体" w:hAnsi="宋体" w:cs="宋体"/>
          <w:color w:val="auto"/>
          <w:sz w:val="24"/>
        </w:rPr>
      </w:pPr>
      <w:r>
        <w:rPr>
          <w:rFonts w:hint="eastAsia" w:ascii="宋体" w:hAnsi="宋体" w:cs="宋体"/>
          <w:color w:val="auto"/>
          <w:sz w:val="24"/>
        </w:rPr>
        <w:t>项目负责人简历表（格式详见附表</w:t>
      </w:r>
      <w:r>
        <w:rPr>
          <w:rFonts w:hint="eastAsia" w:ascii="宋体" w:hAnsi="宋体" w:cs="宋体"/>
          <w:color w:val="auto"/>
          <w:sz w:val="24"/>
          <w:lang w:val="en-US" w:eastAsia="zh-CN"/>
        </w:rPr>
        <w:t>8</w:t>
      </w:r>
      <w:r>
        <w:rPr>
          <w:rFonts w:hint="eastAsia" w:ascii="宋体" w:hAnsi="宋体" w:cs="宋体"/>
          <w:color w:val="auto"/>
          <w:sz w:val="24"/>
        </w:rPr>
        <w:t>）；</w:t>
      </w:r>
    </w:p>
    <w:p>
      <w:pPr>
        <w:numPr>
          <w:ilvl w:val="0"/>
          <w:numId w:val="3"/>
        </w:numPr>
        <w:spacing w:line="360" w:lineRule="auto"/>
        <w:rPr>
          <w:rFonts w:ascii="宋体" w:hAnsi="宋体" w:cs="宋体"/>
          <w:color w:val="auto"/>
          <w:sz w:val="24"/>
        </w:rPr>
      </w:pPr>
      <w:r>
        <w:rPr>
          <w:rFonts w:hint="eastAsia" w:ascii="宋体" w:hAnsi="宋体" w:cs="宋体"/>
          <w:color w:val="auto"/>
          <w:sz w:val="24"/>
        </w:rPr>
        <w:t>项目管理、服务及其它人员情况表（详见格式</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eastAsia="zh-CN"/>
        </w:rPr>
        <w:t>；</w:t>
      </w:r>
    </w:p>
    <w:p>
      <w:pPr>
        <w:numPr>
          <w:ilvl w:val="0"/>
          <w:numId w:val="3"/>
        </w:numPr>
        <w:spacing w:line="360" w:lineRule="auto"/>
        <w:rPr>
          <w:rFonts w:ascii="宋体" w:hAnsi="宋体" w:cs="宋体"/>
          <w:color w:val="auto"/>
          <w:sz w:val="24"/>
        </w:rPr>
      </w:pPr>
      <w:r>
        <w:rPr>
          <w:rFonts w:hint="eastAsia" w:ascii="宋体" w:hAnsi="宋体" w:cs="宋体"/>
          <w:color w:val="auto"/>
          <w:sz w:val="24"/>
        </w:rPr>
        <w:t>近三年（自</w:t>
      </w:r>
      <w:r>
        <w:rPr>
          <w:rFonts w:hint="eastAsia" w:ascii="宋体" w:hAnsi="宋体" w:cs="宋体"/>
          <w:color w:val="auto"/>
          <w:sz w:val="24"/>
          <w:highlight w:val="none"/>
        </w:rPr>
        <w:t>201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月1</w:t>
      </w:r>
      <w:r>
        <w:rPr>
          <w:rFonts w:hint="eastAsia" w:ascii="宋体" w:hAnsi="宋体" w:cs="宋体"/>
          <w:color w:val="auto"/>
          <w:sz w:val="24"/>
        </w:rPr>
        <w:t>日至今）同类项目业绩表（详见格式</w:t>
      </w:r>
      <w:r>
        <w:rPr>
          <w:rFonts w:hint="eastAsia" w:ascii="宋体" w:hAnsi="宋体" w:cs="宋体"/>
          <w:color w:val="auto"/>
          <w:sz w:val="24"/>
          <w:lang w:val="en-US" w:eastAsia="zh-CN"/>
        </w:rPr>
        <w:t>10</w:t>
      </w:r>
      <w:r>
        <w:rPr>
          <w:rFonts w:hint="eastAsia" w:ascii="宋体" w:hAnsi="宋体" w:cs="宋体"/>
          <w:color w:val="auto"/>
          <w:sz w:val="24"/>
        </w:rPr>
        <w:t>）；</w:t>
      </w:r>
    </w:p>
    <w:p>
      <w:pPr>
        <w:numPr>
          <w:ilvl w:val="0"/>
          <w:numId w:val="3"/>
        </w:numPr>
        <w:spacing w:line="360" w:lineRule="auto"/>
        <w:rPr>
          <w:color w:val="auto"/>
        </w:rPr>
      </w:pPr>
      <w:r>
        <w:rPr>
          <w:rFonts w:hint="eastAsia" w:ascii="宋体" w:hAnsi="宋体" w:cs="宋体"/>
          <w:color w:val="auto"/>
          <w:sz w:val="24"/>
        </w:rPr>
        <w:t>提供上一年度的财务报表/财务报告（包括资产负债表、损益表、利润表、现金流量表及财务状况说明书，新成立的公司提供情况说明）；</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项目管理机构运作方法及管理制度：编制项目管理机构、工作职能组织运行图，阐述项目负责人的管理职责、内部管理的职责分工、日常管理制度和考核办法目录</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r>
        <w:rPr>
          <w:rFonts w:hint="eastAsia" w:ascii="宋体" w:hAnsi="宋体" w:cs="宋体"/>
          <w:color w:val="auto"/>
          <w:sz w:val="24"/>
          <w:lang w:val="en-US" w:eastAsia="zh-CN"/>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质量保证措施、服务计划及验收计划</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lang w:val="en-US" w:eastAsia="zh-CN"/>
        </w:rPr>
        <w:t>服务方案及实质性的承诺</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lang w:val="en-US" w:eastAsia="zh-CN"/>
        </w:rPr>
        <w:t>服务和管理的突发状况及应急措施</w:t>
      </w:r>
      <w:r>
        <w:rPr>
          <w:rFonts w:hint="eastAsia" w:ascii="宋体" w:hAnsi="宋体" w:cs="宋体"/>
          <w:color w:val="auto"/>
          <w:sz w:val="24"/>
          <w:lang w:eastAsia="zh-CN"/>
        </w:rPr>
        <w:t>（</w:t>
      </w:r>
      <w:r>
        <w:rPr>
          <w:rFonts w:hint="eastAsia" w:ascii="宋体" w:hAnsi="宋体" w:cs="宋体"/>
          <w:color w:val="auto"/>
          <w:sz w:val="24"/>
          <w:lang w:val="en-US" w:eastAsia="zh-CN"/>
        </w:rPr>
        <w:t>自拟格式</w:t>
      </w:r>
      <w:r>
        <w:rPr>
          <w:rFonts w:hint="eastAsia" w:ascii="宋体" w:hAnsi="宋体" w:cs="宋体"/>
          <w:color w:val="auto"/>
          <w:sz w:val="24"/>
          <w:lang w:eastAsia="zh-CN"/>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资格性/符合性自查表（详见格式</w:t>
      </w:r>
      <w:r>
        <w:rPr>
          <w:rFonts w:hint="eastAsia" w:ascii="宋体" w:hAnsi="宋体" w:cs="宋体"/>
          <w:color w:val="auto"/>
          <w:sz w:val="24"/>
          <w:lang w:val="en-US" w:eastAsia="zh-CN"/>
        </w:rPr>
        <w:t>11</w:t>
      </w:r>
      <w:r>
        <w:rPr>
          <w:rFonts w:hint="eastAsia" w:ascii="宋体" w:hAnsi="宋体" w:cs="宋体"/>
          <w:color w:val="auto"/>
          <w:sz w:val="24"/>
        </w:rPr>
        <w:t>）；</w:t>
      </w:r>
    </w:p>
    <w:p>
      <w:pPr>
        <w:numPr>
          <w:ilvl w:val="0"/>
          <w:numId w:val="3"/>
        </w:numPr>
        <w:tabs>
          <w:tab w:val="left" w:pos="360"/>
          <w:tab w:val="left" w:pos="1800"/>
        </w:tabs>
        <w:spacing w:line="360" w:lineRule="auto"/>
        <w:jc w:val="left"/>
        <w:rPr>
          <w:rFonts w:ascii="宋体" w:hAnsi="宋体" w:cs="宋体"/>
          <w:color w:val="auto"/>
          <w:sz w:val="24"/>
        </w:rPr>
      </w:pPr>
      <w:r>
        <w:rPr>
          <w:rFonts w:hint="eastAsia" w:ascii="宋体" w:hAnsi="宋体" w:cs="宋体"/>
          <w:color w:val="auto"/>
          <w:sz w:val="24"/>
        </w:rPr>
        <w:t>其它与本项目有关的能证明企业实力的各项证明资料；</w:t>
      </w:r>
    </w:p>
    <w:p>
      <w:pPr>
        <w:numPr>
          <w:ilvl w:val="0"/>
          <w:numId w:val="3"/>
        </w:numPr>
        <w:spacing w:line="360" w:lineRule="auto"/>
        <w:rPr>
          <w:rFonts w:ascii="宋体" w:hAnsi="宋体" w:cs="宋体"/>
          <w:color w:val="auto"/>
          <w:sz w:val="24"/>
        </w:rPr>
      </w:pPr>
      <w:r>
        <w:rPr>
          <w:rFonts w:hint="eastAsia" w:ascii="宋体" w:hAnsi="宋体" w:cs="宋体"/>
          <w:color w:val="auto"/>
          <w:sz w:val="24"/>
          <w:lang w:eastAsia="zh-CN"/>
        </w:rPr>
        <w:t>竞争性磋商文件</w:t>
      </w:r>
      <w:r>
        <w:rPr>
          <w:rFonts w:hint="eastAsia" w:ascii="宋体" w:hAnsi="宋体" w:cs="宋体"/>
          <w:color w:val="auto"/>
          <w:sz w:val="24"/>
        </w:rPr>
        <w:t>要求提供的其它材料以及供应商认为需要提交的材料。</w:t>
      </w:r>
    </w:p>
    <w:p>
      <w:pPr>
        <w:pStyle w:val="9"/>
        <w:spacing w:line="360" w:lineRule="auto"/>
        <w:ind w:firstLine="482" w:firstLineChars="200"/>
        <w:rPr>
          <w:rFonts w:hAnsi="宋体" w:cs="宋体"/>
          <w:b/>
          <w:color w:val="auto"/>
          <w:sz w:val="24"/>
          <w:szCs w:val="24"/>
        </w:rPr>
      </w:pPr>
      <w:r>
        <w:rPr>
          <w:rFonts w:hint="eastAsia" w:hAnsi="宋体" w:cs="宋体"/>
          <w:b/>
          <w:color w:val="auto"/>
          <w:sz w:val="24"/>
          <w:szCs w:val="24"/>
        </w:rPr>
        <w:t>特别说明：①上述各种证件、证书复印件须加盖供应商公章。如未按要求加盖供应商公章者，可能导致其</w:t>
      </w:r>
      <w:r>
        <w:rPr>
          <w:rFonts w:hint="eastAsia" w:hAnsi="宋体" w:cs="宋体"/>
          <w:b/>
          <w:color w:val="auto"/>
          <w:sz w:val="24"/>
          <w:szCs w:val="24"/>
          <w:lang w:eastAsia="zh-CN"/>
        </w:rPr>
        <w:t>响应文件</w:t>
      </w:r>
      <w:r>
        <w:rPr>
          <w:rFonts w:hint="eastAsia" w:hAnsi="宋体" w:cs="宋体"/>
          <w:b/>
          <w:color w:val="auto"/>
          <w:sz w:val="24"/>
          <w:szCs w:val="24"/>
        </w:rPr>
        <w:t>无效。</w:t>
      </w:r>
    </w:p>
    <w:p>
      <w:pPr>
        <w:pStyle w:val="9"/>
        <w:spacing w:line="360" w:lineRule="auto"/>
        <w:ind w:firstLine="482" w:firstLineChars="200"/>
        <w:rPr>
          <w:rFonts w:hAnsi="宋体" w:cs="宋体"/>
          <w:b/>
          <w:color w:val="auto"/>
          <w:sz w:val="24"/>
          <w:szCs w:val="24"/>
        </w:rPr>
      </w:pPr>
      <w:r>
        <w:rPr>
          <w:rFonts w:hint="eastAsia" w:hAnsi="宋体" w:cs="宋体"/>
          <w:b/>
          <w:color w:val="auto"/>
          <w:sz w:val="24"/>
          <w:szCs w:val="24"/>
        </w:rPr>
        <w:t>②供应商应如实提供资料，并保证真实可靠，不得弄虚作假。如供应商隐瞒事实真相、弄虚作假，一经查实，取消该供应商的</w:t>
      </w:r>
      <w:r>
        <w:rPr>
          <w:rFonts w:hint="eastAsia" w:hAnsi="宋体" w:cs="宋体"/>
          <w:b/>
          <w:color w:val="auto"/>
          <w:sz w:val="24"/>
          <w:szCs w:val="24"/>
          <w:lang w:eastAsia="zh-CN"/>
        </w:rPr>
        <w:t>投标</w:t>
      </w:r>
      <w:r>
        <w:rPr>
          <w:rFonts w:hint="eastAsia" w:hAnsi="宋体" w:cs="宋体"/>
          <w:b/>
          <w:color w:val="auto"/>
          <w:sz w:val="24"/>
          <w:szCs w:val="24"/>
        </w:rPr>
        <w:t>资格，若</w:t>
      </w:r>
      <w:r>
        <w:rPr>
          <w:rFonts w:hint="eastAsia" w:hAnsi="宋体" w:cs="宋体"/>
          <w:b/>
          <w:color w:val="auto"/>
          <w:sz w:val="24"/>
          <w:szCs w:val="24"/>
          <w:lang w:eastAsia="zh-CN"/>
        </w:rPr>
        <w:t>成交</w:t>
      </w:r>
      <w:r>
        <w:rPr>
          <w:rFonts w:hint="eastAsia" w:hAnsi="宋体" w:cs="宋体"/>
          <w:b/>
          <w:color w:val="auto"/>
          <w:sz w:val="24"/>
          <w:szCs w:val="24"/>
        </w:rPr>
        <w:t>的，取消其</w:t>
      </w:r>
      <w:r>
        <w:rPr>
          <w:rFonts w:hint="eastAsia" w:hAnsi="宋体" w:cs="宋体"/>
          <w:b/>
          <w:color w:val="auto"/>
          <w:sz w:val="24"/>
          <w:szCs w:val="24"/>
          <w:lang w:eastAsia="zh-CN"/>
        </w:rPr>
        <w:t>成交</w:t>
      </w:r>
      <w:r>
        <w:rPr>
          <w:rFonts w:hint="eastAsia" w:hAnsi="宋体" w:cs="宋体"/>
          <w:b/>
          <w:color w:val="auto"/>
          <w:sz w:val="24"/>
          <w:szCs w:val="24"/>
        </w:rPr>
        <w:t>资格。</w:t>
      </w:r>
    </w:p>
    <w:p>
      <w:pPr>
        <w:pStyle w:val="9"/>
        <w:spacing w:line="360" w:lineRule="auto"/>
        <w:ind w:firstLine="480"/>
        <w:outlineLvl w:val="1"/>
        <w:rPr>
          <w:rFonts w:hAnsi="宋体" w:cs="宋体"/>
          <w:color w:val="auto"/>
          <w:sz w:val="24"/>
          <w:szCs w:val="24"/>
        </w:rPr>
      </w:pPr>
      <w:bookmarkStart w:id="91" w:name="_Toc245897286"/>
      <w:bookmarkStart w:id="92" w:name="_Toc243906326"/>
      <w:bookmarkStart w:id="93" w:name="_Toc246216196"/>
      <w:bookmarkStart w:id="94" w:name="_Toc243907587"/>
      <w:bookmarkStart w:id="95" w:name="_Toc233274827"/>
      <w:r>
        <w:rPr>
          <w:rFonts w:hint="eastAsia" w:hAnsi="宋体" w:cs="宋体"/>
          <w:color w:val="auto"/>
          <w:sz w:val="24"/>
          <w:szCs w:val="24"/>
        </w:rPr>
        <w:t>16、</w:t>
      </w:r>
      <w:r>
        <w:rPr>
          <w:rFonts w:hint="eastAsia" w:hAnsi="宋体" w:cs="宋体"/>
          <w:color w:val="auto"/>
          <w:sz w:val="24"/>
          <w:szCs w:val="24"/>
          <w:lang w:eastAsia="zh-CN"/>
        </w:rPr>
        <w:t>响应文件</w:t>
      </w:r>
      <w:r>
        <w:rPr>
          <w:rFonts w:hint="eastAsia" w:hAnsi="宋体" w:cs="宋体"/>
          <w:color w:val="auto"/>
          <w:sz w:val="24"/>
          <w:szCs w:val="24"/>
        </w:rPr>
        <w:t>格式</w:t>
      </w:r>
      <w:bookmarkEnd w:id="91"/>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16.1供应商应按</w:t>
      </w:r>
      <w:r>
        <w:rPr>
          <w:rFonts w:hint="eastAsia" w:hAnsi="宋体" w:cs="宋体"/>
          <w:color w:val="auto"/>
          <w:sz w:val="24"/>
          <w:szCs w:val="24"/>
          <w:lang w:eastAsia="zh-CN"/>
        </w:rPr>
        <w:t>竞争性磋商文件</w:t>
      </w:r>
      <w:r>
        <w:rPr>
          <w:rFonts w:hint="eastAsia" w:hAnsi="宋体" w:cs="宋体"/>
          <w:color w:val="auto"/>
          <w:sz w:val="24"/>
          <w:szCs w:val="24"/>
        </w:rPr>
        <w:t>提供的格式及商务报价说明完整地填写所提供的合同货物、服务以及单价等内容。</w:t>
      </w:r>
    </w:p>
    <w:p>
      <w:pPr>
        <w:pStyle w:val="9"/>
        <w:spacing w:line="360" w:lineRule="auto"/>
        <w:ind w:firstLine="480" w:firstLineChars="200"/>
        <w:outlineLvl w:val="1"/>
        <w:rPr>
          <w:rFonts w:hAnsi="宋体" w:cs="宋体"/>
          <w:color w:val="auto"/>
          <w:sz w:val="24"/>
          <w:szCs w:val="24"/>
        </w:rPr>
      </w:pPr>
      <w:r>
        <w:rPr>
          <w:rFonts w:hint="eastAsia" w:hAnsi="宋体" w:cs="宋体"/>
          <w:color w:val="auto"/>
          <w:sz w:val="24"/>
          <w:szCs w:val="24"/>
        </w:rPr>
        <w:t>17、商务报价</w:t>
      </w:r>
      <w:bookmarkEnd w:id="92"/>
      <w:bookmarkEnd w:id="93"/>
      <w:bookmarkEnd w:id="94"/>
      <w:bookmarkEnd w:id="95"/>
    </w:p>
    <w:p>
      <w:pPr>
        <w:spacing w:line="360" w:lineRule="auto"/>
        <w:ind w:firstLine="480" w:firstLineChars="200"/>
        <w:rPr>
          <w:rFonts w:ascii="宋体" w:hAnsi="宋体" w:cs="宋体"/>
          <w:color w:val="auto"/>
          <w:sz w:val="24"/>
        </w:rPr>
      </w:pPr>
      <w:r>
        <w:rPr>
          <w:rFonts w:hint="eastAsia" w:ascii="宋体" w:hAnsi="宋体" w:cs="宋体"/>
          <w:color w:val="auto"/>
          <w:sz w:val="24"/>
        </w:rPr>
        <w:t>17.1</w:t>
      </w:r>
      <w:r>
        <w:rPr>
          <w:rFonts w:hint="eastAsia" w:ascii="宋体" w:hAnsi="宋体" w:cs="宋体"/>
          <w:color w:val="auto"/>
          <w:sz w:val="24"/>
          <w:highlight w:val="none"/>
        </w:rPr>
        <w:t>供应商的商务报价应是为采购人提供全部服务，以及合同条款、技术规范及标准、项目采购需求、本竞争性磋商文件约定的所有费用的总和</w:t>
      </w:r>
      <w:r>
        <w:rPr>
          <w:rFonts w:hint="eastAsia" w:ascii="宋体" w:hAnsi="宋体" w:cs="宋体"/>
          <w:color w:val="auto"/>
          <w:sz w:val="24"/>
        </w:rPr>
        <w:t>。</w:t>
      </w:r>
    </w:p>
    <w:p>
      <w:pPr>
        <w:spacing w:line="360" w:lineRule="auto"/>
        <w:ind w:firstLine="480" w:firstLineChars="200"/>
        <w:rPr>
          <w:rFonts w:ascii="宋体" w:hAnsi="宋体" w:cs="宋体"/>
          <w:b/>
          <w:color w:val="auto"/>
          <w:sz w:val="24"/>
        </w:rPr>
      </w:pPr>
      <w:r>
        <w:rPr>
          <w:rFonts w:hint="eastAsia" w:ascii="宋体" w:hAnsi="宋体" w:cs="宋体"/>
          <w:color w:val="auto"/>
          <w:sz w:val="24"/>
        </w:rPr>
        <w:t>任何因供应商忽视或误解采购范围、技术规范及标准、项目采购需求、合同条款和项目现场情况，若</w:t>
      </w:r>
      <w:r>
        <w:rPr>
          <w:rFonts w:hint="eastAsia" w:ascii="宋体" w:hAnsi="宋体" w:cs="宋体"/>
          <w:color w:val="auto"/>
          <w:sz w:val="24"/>
          <w:lang w:eastAsia="zh-CN"/>
        </w:rPr>
        <w:t>成交</w:t>
      </w:r>
      <w:r>
        <w:rPr>
          <w:rFonts w:hint="eastAsia" w:ascii="宋体" w:hAnsi="宋体" w:cs="宋体"/>
          <w:color w:val="auto"/>
          <w:sz w:val="24"/>
        </w:rPr>
        <w:t>，采购人将不予批准由此而产生的索赔或服务期限延长申请。</w:t>
      </w:r>
    </w:p>
    <w:p>
      <w:pPr>
        <w:spacing w:line="360" w:lineRule="auto"/>
        <w:ind w:firstLine="482" w:firstLineChars="200"/>
        <w:rPr>
          <w:rFonts w:ascii="宋体" w:hAnsi="宋体" w:cs="宋体"/>
          <w:color w:val="auto"/>
          <w:sz w:val="24"/>
        </w:rPr>
      </w:pPr>
      <w:r>
        <w:rPr>
          <w:rFonts w:hint="eastAsia" w:ascii="宋体" w:hAnsi="宋体" w:cs="宋体"/>
          <w:b/>
          <w:color w:val="auto"/>
          <w:sz w:val="24"/>
        </w:rPr>
        <w:t>商务报价中不得包含合同条款、技术规范及标准、项目采购需求、本</w:t>
      </w:r>
      <w:r>
        <w:rPr>
          <w:rFonts w:hint="eastAsia" w:ascii="宋体" w:hAnsi="宋体" w:cs="宋体"/>
          <w:b/>
          <w:color w:val="auto"/>
          <w:sz w:val="24"/>
          <w:lang w:eastAsia="zh-CN"/>
        </w:rPr>
        <w:t>竞争性磋商文件</w:t>
      </w:r>
      <w:r>
        <w:rPr>
          <w:rFonts w:hint="eastAsia" w:ascii="宋体" w:hAnsi="宋体" w:cs="宋体"/>
          <w:b/>
          <w:color w:val="auto"/>
          <w:sz w:val="24"/>
        </w:rPr>
        <w:t>要求以外的其他内容。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17.2商务报价总价应包括的内容和计价因素</w:t>
      </w:r>
    </w:p>
    <w:p>
      <w:pPr>
        <w:spacing w:line="360" w:lineRule="auto"/>
        <w:ind w:left="360"/>
        <w:rPr>
          <w:rFonts w:hint="eastAsia" w:hAnsi="宋体" w:cs="宋体"/>
          <w:color w:val="auto"/>
          <w:sz w:val="24"/>
          <w:szCs w:val="22"/>
          <w:lang w:val="en-US" w:eastAsia="zh-CN"/>
        </w:rPr>
      </w:pPr>
      <w:r>
        <w:rPr>
          <w:rFonts w:hint="eastAsia" w:hAnsi="宋体" w:cs="宋体"/>
          <w:color w:val="auto"/>
          <w:sz w:val="24"/>
          <w:szCs w:val="22"/>
          <w:lang w:val="en-US" w:eastAsia="zh-CN"/>
        </w:rPr>
        <w:t>（1</w:t>
      </w:r>
      <w:r>
        <w:rPr>
          <w:rFonts w:hint="eastAsia" w:hAnsi="宋体" w:cs="宋体"/>
          <w:color w:val="auto"/>
          <w:sz w:val="24"/>
          <w:szCs w:val="22"/>
          <w:highlight w:val="none"/>
          <w:lang w:val="en-US" w:eastAsia="zh-CN"/>
        </w:rPr>
        <w:t>）</w:t>
      </w:r>
      <w:r>
        <w:rPr>
          <w:rFonts w:hint="eastAsia" w:hAnsi="宋体" w:cs="宋体"/>
          <w:color w:val="auto"/>
          <w:sz w:val="24"/>
          <w:highlight w:val="none"/>
        </w:rPr>
        <w:t>为认真履行食品安全监督管理职能，切实维护食品安全，成交供应商</w:t>
      </w:r>
      <w:r>
        <w:rPr>
          <w:rFonts w:hint="eastAsia" w:hAnsi="宋体" w:cs="宋体"/>
          <w:color w:val="auto"/>
          <w:sz w:val="24"/>
          <w:highlight w:val="none"/>
          <w:lang w:val="en-US" w:eastAsia="zh-CN"/>
        </w:rPr>
        <w:t>保证</w:t>
      </w:r>
      <w:r>
        <w:rPr>
          <w:rFonts w:hint="eastAsia" w:hAnsi="宋体" w:cs="宋体"/>
          <w:color w:val="auto"/>
          <w:sz w:val="24"/>
          <w:highlight w:val="none"/>
          <w:lang w:eastAsia="zh-CN"/>
        </w:rPr>
        <w:t>完成克拉玛依市克拉玛依区市场监督管理局202</w:t>
      </w:r>
      <w:r>
        <w:rPr>
          <w:rFonts w:hint="eastAsia" w:hAnsi="宋体" w:cs="宋体"/>
          <w:color w:val="auto"/>
          <w:sz w:val="24"/>
          <w:highlight w:val="none"/>
          <w:lang w:val="en-US" w:eastAsia="zh-CN"/>
        </w:rPr>
        <w:t>2</w:t>
      </w:r>
      <w:r>
        <w:rPr>
          <w:rFonts w:hint="eastAsia" w:hAnsi="宋体" w:cs="宋体"/>
          <w:color w:val="auto"/>
          <w:sz w:val="24"/>
          <w:highlight w:val="none"/>
          <w:lang w:eastAsia="zh-CN"/>
        </w:rPr>
        <w:t>年食品安全监督抽检检验项目</w:t>
      </w:r>
      <w:r>
        <w:rPr>
          <w:rFonts w:hint="eastAsia" w:hAnsi="宋体" w:cs="宋体"/>
          <w:color w:val="auto"/>
          <w:sz w:val="24"/>
          <w:highlight w:val="none"/>
          <w:lang w:val="en-US" w:eastAsia="zh-CN"/>
        </w:rPr>
        <w:t>所包含的全部工作内容。</w:t>
      </w:r>
      <w:r>
        <w:rPr>
          <w:rFonts w:hint="eastAsia" w:hAnsi="宋体" w:cs="宋体"/>
          <w:color w:val="auto"/>
          <w:sz w:val="24"/>
          <w:highlight w:val="none"/>
          <w:lang w:eastAsia="zh-CN"/>
        </w:rPr>
        <w:t>依据中华人民共和国食品安全法》、《中华人民共和国食品安全法实施条例》、《食品安全抽样检验管理办法》等相关法律法规要求，根据自治区、</w:t>
      </w:r>
      <w:r>
        <w:rPr>
          <w:rFonts w:hint="eastAsia" w:hAnsi="宋体" w:cs="宋体"/>
          <w:color w:val="auto"/>
          <w:sz w:val="24"/>
          <w:highlight w:val="none"/>
          <w:lang w:val="en-US" w:eastAsia="zh-CN"/>
        </w:rPr>
        <w:t>市</w:t>
      </w:r>
      <w:r>
        <w:rPr>
          <w:rFonts w:hint="eastAsia" w:hAnsi="宋体" w:cs="宋体"/>
          <w:color w:val="auto"/>
          <w:sz w:val="24"/>
          <w:highlight w:val="none"/>
          <w:lang w:eastAsia="zh-CN"/>
        </w:rPr>
        <w:t>市场监督管理局</w:t>
      </w:r>
      <w:r>
        <w:rPr>
          <w:rFonts w:hint="eastAsia" w:hAnsi="宋体" w:cs="宋体"/>
          <w:color w:val="auto"/>
          <w:sz w:val="24"/>
          <w:highlight w:val="none"/>
          <w:lang w:val="en-US" w:eastAsia="zh-CN"/>
        </w:rPr>
        <w:t>2022年</w:t>
      </w:r>
      <w:r>
        <w:rPr>
          <w:rFonts w:hint="eastAsia" w:hAnsi="宋体" w:cs="宋体"/>
          <w:color w:val="auto"/>
          <w:sz w:val="24"/>
          <w:highlight w:val="none"/>
          <w:lang w:eastAsia="zh-CN"/>
        </w:rPr>
        <w:t>食品安全监督抽检工作要求，</w:t>
      </w:r>
      <w:r>
        <w:rPr>
          <w:rFonts w:hint="eastAsia" w:hAnsi="宋体" w:cs="宋体"/>
          <w:color w:val="auto"/>
          <w:sz w:val="24"/>
          <w:highlight w:val="none"/>
          <w:lang w:val="en-US" w:eastAsia="zh-CN"/>
        </w:rPr>
        <w:t>结合克拉玛依区</w:t>
      </w:r>
      <w:r>
        <w:rPr>
          <w:rFonts w:hint="eastAsia" w:hAnsi="宋体" w:cs="宋体"/>
          <w:color w:val="auto"/>
          <w:sz w:val="24"/>
          <w:highlight w:val="none"/>
          <w:lang w:eastAsia="zh-CN"/>
        </w:rPr>
        <w:t>实际</w:t>
      </w:r>
      <w:r>
        <w:rPr>
          <w:rFonts w:hint="eastAsia" w:hAnsi="宋体" w:cs="宋体"/>
          <w:color w:val="auto"/>
          <w:sz w:val="24"/>
          <w:highlight w:val="none"/>
          <w:lang w:val="en-US" w:eastAsia="zh-CN"/>
        </w:rPr>
        <w:t>情况</w:t>
      </w:r>
      <w:r>
        <w:rPr>
          <w:rFonts w:hint="eastAsia" w:hAnsi="宋体" w:cs="宋体"/>
          <w:color w:val="auto"/>
          <w:sz w:val="24"/>
          <w:highlight w:val="none"/>
          <w:lang w:eastAsia="zh-CN"/>
        </w:rPr>
        <w:t>完成克拉玛依市克拉玛依区市场监督管理局2022年食品安全监管抽检采购项目</w:t>
      </w:r>
      <w:r>
        <w:rPr>
          <w:rFonts w:hint="eastAsia" w:hAnsi="宋体" w:cs="宋体"/>
          <w:color w:val="auto"/>
          <w:sz w:val="24"/>
          <w:highlight w:val="none"/>
          <w:lang w:val="en-US" w:eastAsia="zh-CN"/>
        </w:rPr>
        <w:t>食品抽检工作并出具检验报告，</w:t>
      </w:r>
      <w:r>
        <w:rPr>
          <w:rFonts w:hint="eastAsia" w:hAnsi="宋体" w:cs="宋体"/>
          <w:color w:val="auto"/>
          <w:sz w:val="24"/>
          <w:highlight w:val="none"/>
          <w:lang w:eastAsia="zh-CN"/>
        </w:rPr>
        <w:t>以及合同条款、技术规范及标准、项目采购需求、本竞争性磋商文件约定的全部内容及责任和义务</w:t>
      </w:r>
      <w:r>
        <w:rPr>
          <w:rFonts w:hint="eastAsia" w:hAnsi="宋体" w:cs="宋体"/>
          <w:color w:val="auto"/>
          <w:sz w:val="24"/>
          <w:szCs w:val="22"/>
          <w:lang w:val="en-US" w:eastAsia="zh-CN"/>
        </w:rPr>
        <w:t>。</w:t>
      </w:r>
    </w:p>
    <w:p>
      <w:pPr>
        <w:spacing w:line="360" w:lineRule="auto"/>
        <w:ind w:firstLine="240" w:firstLineChars="100"/>
        <w:rPr>
          <w:rFonts w:ascii="宋体" w:hAnsi="宋体" w:cs="宋体"/>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2</w:t>
      </w:r>
      <w:r>
        <w:rPr>
          <w:rFonts w:hint="eastAsia" w:ascii="宋体" w:hAnsi="宋体" w:cs="宋体"/>
          <w:bCs/>
          <w:color w:val="auto"/>
          <w:sz w:val="24"/>
        </w:rPr>
        <w:t>）供应商根据对本</w:t>
      </w:r>
      <w:r>
        <w:rPr>
          <w:rFonts w:hint="eastAsia" w:ascii="宋体" w:hAnsi="宋体" w:cs="宋体"/>
          <w:bCs/>
          <w:color w:val="auto"/>
          <w:sz w:val="24"/>
          <w:lang w:eastAsia="zh-CN"/>
        </w:rPr>
        <w:t>竞争性磋商文件</w:t>
      </w:r>
      <w:r>
        <w:rPr>
          <w:rFonts w:hint="eastAsia" w:ascii="宋体" w:hAnsi="宋体" w:cs="宋体"/>
          <w:bCs/>
          <w:color w:val="auto"/>
          <w:sz w:val="24"/>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cs="宋体"/>
          <w:color w:val="auto"/>
          <w:sz w:val="24"/>
        </w:rPr>
      </w:pPr>
      <w:bookmarkStart w:id="96" w:name="_Toc233274828"/>
      <w:bookmarkStart w:id="97" w:name="_Toc243907588"/>
      <w:bookmarkStart w:id="98" w:name="_Toc246216197"/>
      <w:bookmarkStart w:id="99" w:name="_Toc243906327"/>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采购范围、本</w:t>
      </w:r>
      <w:r>
        <w:rPr>
          <w:rFonts w:hint="eastAsia" w:ascii="宋体" w:hAnsi="宋体" w:cs="宋体"/>
          <w:color w:val="auto"/>
          <w:sz w:val="24"/>
          <w:lang w:val="en-US" w:eastAsia="zh-CN"/>
        </w:rPr>
        <w:t>竞争性磋商文件</w:t>
      </w:r>
      <w:r>
        <w:rPr>
          <w:rFonts w:hint="eastAsia" w:ascii="宋体" w:hAnsi="宋体" w:cs="宋体"/>
          <w:color w:val="auto"/>
          <w:sz w:val="24"/>
        </w:rPr>
        <w:t>及合同约定等完成本采购项目的全部费用（包括：调研、勘察、用车、差旅、</w:t>
      </w:r>
      <w:r>
        <w:rPr>
          <w:rFonts w:hint="eastAsia" w:ascii="宋体" w:hAnsi="宋体" w:cs="宋体"/>
          <w:color w:val="auto"/>
          <w:sz w:val="24"/>
          <w:lang w:val="en-US" w:eastAsia="zh-CN"/>
        </w:rPr>
        <w:t>保险、</w:t>
      </w:r>
      <w:r>
        <w:rPr>
          <w:rFonts w:hint="eastAsia" w:ascii="宋体" w:hAnsi="宋体" w:cs="宋体"/>
          <w:color w:val="auto"/>
          <w:sz w:val="24"/>
        </w:rPr>
        <w:t>税</w:t>
      </w:r>
      <w:r>
        <w:rPr>
          <w:rFonts w:hint="eastAsia" w:ascii="宋体" w:hAnsi="宋体" w:cs="宋体"/>
          <w:color w:val="auto"/>
          <w:sz w:val="24"/>
          <w:lang w:val="en-US" w:eastAsia="zh-CN"/>
        </w:rPr>
        <w:t>费</w:t>
      </w:r>
      <w:r>
        <w:rPr>
          <w:rFonts w:hint="eastAsia" w:ascii="宋体" w:hAnsi="宋体" w:cs="宋体"/>
          <w:color w:val="auto"/>
          <w:sz w:val="24"/>
        </w:rPr>
        <w:t>等所有相关费用）</w:t>
      </w:r>
      <w:r>
        <w:rPr>
          <w:rFonts w:hint="eastAsia" w:ascii="宋体" w:hAnsi="宋体" w:cs="宋体"/>
          <w:color w:val="auto"/>
          <w:sz w:val="24"/>
          <w:lang w:val="en-US" w:eastAsia="zh-CN"/>
        </w:rPr>
        <w:t>以及</w:t>
      </w:r>
      <w:r>
        <w:rPr>
          <w:rFonts w:hint="eastAsia" w:ascii="宋体" w:hAnsi="宋体" w:cs="宋体"/>
          <w:color w:val="auto"/>
          <w:sz w:val="24"/>
        </w:rPr>
        <w:t>供应商认为需包含的其它费用</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17.3供应商应按照</w:t>
      </w:r>
      <w:r>
        <w:rPr>
          <w:rFonts w:hint="eastAsia" w:ascii="宋体" w:hAnsi="宋体" w:cs="宋体"/>
          <w:color w:val="auto"/>
          <w:sz w:val="24"/>
          <w:lang w:eastAsia="zh-CN"/>
        </w:rPr>
        <w:t>竞争性磋商文件</w:t>
      </w:r>
      <w:r>
        <w:rPr>
          <w:rFonts w:hint="eastAsia" w:ascii="宋体" w:hAnsi="宋体" w:cs="宋体"/>
          <w:color w:val="auto"/>
          <w:sz w:val="24"/>
        </w:rPr>
        <w:t>所附的格式完整地填写商务报价一览表。供应商应对采购范围内的全部内容进行报价。</w:t>
      </w:r>
    </w:p>
    <w:p>
      <w:pPr>
        <w:pStyle w:val="9"/>
        <w:spacing w:line="400" w:lineRule="exact"/>
        <w:ind w:firstLine="482" w:firstLineChars="200"/>
        <w:jc w:val="left"/>
        <w:rPr>
          <w:rFonts w:hint="eastAsia" w:ascii="Times New Roman" w:hAnsi="宋体" w:eastAsia="宋体" w:cs="宋体"/>
          <w:b/>
          <w:bCs/>
          <w:color w:val="auto"/>
          <w:kern w:val="2"/>
          <w:sz w:val="24"/>
          <w:szCs w:val="24"/>
          <w:highlight w:val="none"/>
          <w:lang w:val="en-US" w:eastAsia="zh-CN" w:bidi="ar-SA"/>
        </w:rPr>
      </w:pPr>
      <w:r>
        <w:rPr>
          <w:rFonts w:hint="eastAsia" w:ascii="Times New Roman" w:hAnsi="宋体" w:eastAsia="宋体" w:cs="宋体"/>
          <w:b/>
          <w:bCs/>
          <w:color w:val="auto"/>
          <w:kern w:val="2"/>
          <w:sz w:val="24"/>
          <w:szCs w:val="24"/>
          <w:highlight w:val="none"/>
          <w:lang w:val="en-US" w:eastAsia="zh-CN" w:bidi="ar-SA"/>
        </w:rPr>
        <w:t>17.4采购代理费：本项目采购代理费经与采购人协调，确定由</w:t>
      </w:r>
      <w:r>
        <w:rPr>
          <w:rFonts w:hint="eastAsia" w:ascii="Times New Roman" w:hAnsi="宋体" w:cs="宋体"/>
          <w:b/>
          <w:bCs/>
          <w:color w:val="auto"/>
          <w:kern w:val="2"/>
          <w:sz w:val="24"/>
          <w:szCs w:val="24"/>
          <w:highlight w:val="none"/>
          <w:lang w:val="en-US" w:eastAsia="zh-CN" w:bidi="ar-SA"/>
        </w:rPr>
        <w:t>成交</w:t>
      </w:r>
      <w:r>
        <w:rPr>
          <w:rFonts w:hint="eastAsia" w:ascii="Times New Roman" w:hAnsi="宋体" w:eastAsia="宋体" w:cs="宋体"/>
          <w:b/>
          <w:bCs/>
          <w:color w:val="auto"/>
          <w:kern w:val="2"/>
          <w:sz w:val="24"/>
          <w:szCs w:val="24"/>
          <w:highlight w:val="none"/>
          <w:lang w:val="en-US" w:eastAsia="zh-CN" w:bidi="ar-SA"/>
        </w:rPr>
        <w:t>供应商进行支付，总金额为人民币</w:t>
      </w:r>
      <w:r>
        <w:rPr>
          <w:rFonts w:hint="eastAsia" w:ascii="Times New Roman" w:hAnsi="宋体" w:cs="宋体"/>
          <w:b/>
          <w:bCs/>
          <w:color w:val="auto"/>
          <w:kern w:val="2"/>
          <w:sz w:val="24"/>
          <w:szCs w:val="24"/>
          <w:highlight w:val="none"/>
          <w:lang w:val="en-US" w:eastAsia="zh-CN" w:bidi="ar-SA"/>
        </w:rPr>
        <w:t>1.5</w:t>
      </w:r>
      <w:r>
        <w:rPr>
          <w:rFonts w:hint="eastAsia" w:ascii="Times New Roman" w:hAnsi="宋体" w:eastAsia="宋体" w:cs="宋体"/>
          <w:b/>
          <w:bCs/>
          <w:color w:val="auto"/>
          <w:kern w:val="2"/>
          <w:sz w:val="24"/>
          <w:szCs w:val="24"/>
          <w:highlight w:val="none"/>
          <w:lang w:val="en-US" w:eastAsia="zh-CN" w:bidi="ar-SA"/>
        </w:rPr>
        <w:t>万元（大写：人民币</w:t>
      </w:r>
      <w:r>
        <w:rPr>
          <w:rFonts w:hint="eastAsia" w:ascii="Times New Roman" w:hAnsi="宋体" w:cs="宋体"/>
          <w:b/>
          <w:bCs/>
          <w:color w:val="auto"/>
          <w:kern w:val="2"/>
          <w:sz w:val="24"/>
          <w:szCs w:val="24"/>
          <w:highlight w:val="none"/>
          <w:lang w:val="en-US" w:eastAsia="zh-CN" w:bidi="ar-SA"/>
        </w:rPr>
        <w:t>壹万伍仟</w:t>
      </w:r>
      <w:r>
        <w:rPr>
          <w:rFonts w:hint="eastAsia" w:ascii="Times New Roman" w:hAnsi="宋体" w:eastAsia="宋体" w:cs="宋体"/>
          <w:b/>
          <w:bCs/>
          <w:color w:val="auto"/>
          <w:kern w:val="2"/>
          <w:sz w:val="24"/>
          <w:szCs w:val="24"/>
          <w:highlight w:val="none"/>
          <w:lang w:val="en-US" w:eastAsia="zh-CN" w:bidi="ar-SA"/>
        </w:rPr>
        <w:t>元整），</w:t>
      </w:r>
      <w:r>
        <w:rPr>
          <w:rFonts w:hint="eastAsia" w:ascii="Times New Roman" w:hAnsi="宋体" w:cs="宋体"/>
          <w:b/>
          <w:bCs/>
          <w:color w:val="auto"/>
          <w:kern w:val="2"/>
          <w:sz w:val="24"/>
          <w:szCs w:val="24"/>
          <w:highlight w:val="none"/>
          <w:lang w:val="en-US" w:eastAsia="zh-CN" w:bidi="ar-SA"/>
        </w:rPr>
        <w:t>成交</w:t>
      </w:r>
      <w:r>
        <w:rPr>
          <w:rFonts w:hint="eastAsia" w:ascii="Times New Roman" w:hAnsi="宋体" w:eastAsia="宋体" w:cs="宋体"/>
          <w:b/>
          <w:bCs/>
          <w:color w:val="auto"/>
          <w:kern w:val="2"/>
          <w:sz w:val="24"/>
          <w:szCs w:val="24"/>
          <w:highlight w:val="none"/>
          <w:lang w:val="en-US" w:eastAsia="zh-CN" w:bidi="ar-SA"/>
        </w:rPr>
        <w:t>供应商领取</w:t>
      </w:r>
      <w:r>
        <w:rPr>
          <w:rFonts w:hint="eastAsia" w:ascii="Times New Roman" w:hAnsi="宋体" w:cs="宋体"/>
          <w:b/>
          <w:bCs/>
          <w:color w:val="auto"/>
          <w:kern w:val="2"/>
          <w:sz w:val="24"/>
          <w:szCs w:val="24"/>
          <w:highlight w:val="none"/>
          <w:lang w:val="en-US" w:eastAsia="zh-CN" w:bidi="ar-SA"/>
        </w:rPr>
        <w:t>成交</w:t>
      </w:r>
      <w:r>
        <w:rPr>
          <w:rFonts w:hint="eastAsia" w:ascii="Times New Roman" w:hAnsi="宋体" w:eastAsia="宋体" w:cs="宋体"/>
          <w:b/>
          <w:bCs/>
          <w:color w:val="auto"/>
          <w:kern w:val="2"/>
          <w:sz w:val="24"/>
          <w:szCs w:val="24"/>
          <w:highlight w:val="none"/>
          <w:lang w:val="en-US" w:eastAsia="zh-CN" w:bidi="ar-SA"/>
        </w:rPr>
        <w:t>通知书时支付采购代理费。此部分费用供应商自行考虑计入本次投标报价中，不因供应商漏报或忽略而后期追加费用。</w:t>
      </w:r>
    </w:p>
    <w:p>
      <w:pPr>
        <w:spacing w:line="360" w:lineRule="auto"/>
        <w:ind w:firstLine="480" w:firstLineChars="200"/>
        <w:rPr>
          <w:rFonts w:ascii="宋体" w:hAnsi="宋体" w:cs="宋体"/>
          <w:color w:val="auto"/>
          <w:sz w:val="24"/>
        </w:rPr>
      </w:pPr>
      <w:r>
        <w:rPr>
          <w:rFonts w:hint="eastAsia" w:ascii="宋体" w:hAnsi="宋体" w:cs="宋体"/>
          <w:color w:val="auto"/>
          <w:sz w:val="24"/>
        </w:rPr>
        <w:t>17.</w:t>
      </w:r>
      <w:r>
        <w:rPr>
          <w:rFonts w:hint="eastAsia" w:ascii="宋体" w:hAnsi="宋体" w:cs="宋体"/>
          <w:color w:val="auto"/>
          <w:sz w:val="24"/>
          <w:lang w:val="en-US" w:eastAsia="zh-CN"/>
        </w:rPr>
        <w:t>5</w:t>
      </w:r>
      <w:r>
        <w:rPr>
          <w:rFonts w:hint="eastAsia" w:ascii="宋体" w:hAnsi="宋体" w:cs="宋体"/>
          <w:color w:val="auto"/>
          <w:sz w:val="24"/>
        </w:rPr>
        <w:t>供应商若</w:t>
      </w:r>
      <w:r>
        <w:rPr>
          <w:rFonts w:hint="eastAsia" w:ascii="宋体" w:hAnsi="宋体" w:cs="宋体"/>
          <w:color w:val="auto"/>
          <w:sz w:val="24"/>
          <w:lang w:eastAsia="zh-CN"/>
        </w:rPr>
        <w:t>成交</w:t>
      </w:r>
      <w:r>
        <w:rPr>
          <w:rFonts w:hint="eastAsia" w:ascii="宋体" w:hAnsi="宋体" w:cs="宋体"/>
          <w:color w:val="auto"/>
          <w:sz w:val="24"/>
        </w:rPr>
        <w:t>，不得以任何理由在合同执行期间予以价格调整。任何包含价格调整的要求将被认为是非响应而予以拒绝。</w:t>
      </w:r>
    </w:p>
    <w:bookmarkEnd w:id="96"/>
    <w:bookmarkEnd w:id="97"/>
    <w:bookmarkEnd w:id="98"/>
    <w:bookmarkEnd w:id="99"/>
    <w:p>
      <w:pPr>
        <w:pStyle w:val="9"/>
        <w:spacing w:line="360" w:lineRule="auto"/>
        <w:ind w:firstLine="480" w:firstLineChars="200"/>
        <w:rPr>
          <w:rFonts w:hAnsi="宋体" w:cs="宋体"/>
          <w:color w:val="auto"/>
          <w:sz w:val="24"/>
          <w:szCs w:val="24"/>
        </w:rPr>
      </w:pPr>
      <w:bookmarkStart w:id="100" w:name="_Toc245897288"/>
      <w:r>
        <w:rPr>
          <w:rFonts w:hint="eastAsia" w:hAnsi="宋体" w:cs="宋体"/>
          <w:color w:val="auto"/>
          <w:sz w:val="24"/>
          <w:szCs w:val="24"/>
        </w:rPr>
        <w:t>18、商务报价货币</w:t>
      </w:r>
      <w:bookmarkEnd w:id="100"/>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18.1商务报价一览表和</w:t>
      </w:r>
      <w:r>
        <w:rPr>
          <w:rFonts w:hint="eastAsia" w:hAnsi="宋体" w:cs="宋体"/>
          <w:color w:val="auto"/>
          <w:sz w:val="24"/>
          <w:szCs w:val="24"/>
          <w:lang w:eastAsia="zh-CN"/>
        </w:rPr>
        <w:t>响应文件</w:t>
      </w:r>
      <w:r>
        <w:rPr>
          <w:rFonts w:hint="eastAsia" w:hAnsi="宋体" w:cs="宋体"/>
          <w:color w:val="auto"/>
          <w:sz w:val="24"/>
          <w:szCs w:val="24"/>
        </w:rPr>
        <w:t>中的所有报价一律使用人民币（RMB）填报。</w:t>
      </w:r>
    </w:p>
    <w:p>
      <w:pPr>
        <w:pStyle w:val="9"/>
        <w:spacing w:line="360" w:lineRule="auto"/>
        <w:ind w:firstLine="480" w:firstLineChars="200"/>
        <w:rPr>
          <w:rFonts w:hAnsi="宋体" w:cs="宋体"/>
          <w:color w:val="auto"/>
          <w:sz w:val="24"/>
          <w:szCs w:val="24"/>
          <w:highlight w:val="red"/>
        </w:rPr>
      </w:pPr>
      <w:bookmarkStart w:id="101" w:name="_Toc243906328"/>
      <w:bookmarkStart w:id="102" w:name="_Toc245897289"/>
      <w:bookmarkStart w:id="103" w:name="_Toc233274829"/>
      <w:bookmarkStart w:id="104" w:name="_Toc243907589"/>
      <w:r>
        <w:rPr>
          <w:rFonts w:hint="eastAsia" w:hAnsi="宋体" w:cs="宋体"/>
          <w:color w:val="auto"/>
          <w:sz w:val="24"/>
          <w:szCs w:val="24"/>
        </w:rPr>
        <w:t>19、供应商资格证明文件</w:t>
      </w:r>
      <w:bookmarkEnd w:id="101"/>
      <w:bookmarkEnd w:id="102"/>
      <w:bookmarkEnd w:id="103"/>
      <w:bookmarkEnd w:id="104"/>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19.1 供应商必须提交证明其有资格参加</w:t>
      </w:r>
      <w:r>
        <w:rPr>
          <w:rFonts w:hint="eastAsia" w:hAnsi="宋体" w:cs="宋体"/>
          <w:color w:val="auto"/>
          <w:sz w:val="24"/>
          <w:szCs w:val="24"/>
          <w:lang w:eastAsia="zh-CN"/>
        </w:rPr>
        <w:t>投标</w:t>
      </w:r>
      <w:r>
        <w:rPr>
          <w:rFonts w:hint="eastAsia" w:hAnsi="宋体" w:cs="宋体"/>
          <w:color w:val="auto"/>
          <w:sz w:val="24"/>
          <w:szCs w:val="24"/>
        </w:rPr>
        <w:t>和</w:t>
      </w:r>
      <w:r>
        <w:rPr>
          <w:rFonts w:hint="eastAsia" w:hAnsi="宋体" w:cs="宋体"/>
          <w:color w:val="auto"/>
          <w:sz w:val="24"/>
          <w:szCs w:val="24"/>
          <w:lang w:eastAsia="zh-CN"/>
        </w:rPr>
        <w:t>成交</w:t>
      </w:r>
      <w:r>
        <w:rPr>
          <w:rFonts w:hint="eastAsia" w:hAnsi="宋体" w:cs="宋体"/>
          <w:color w:val="auto"/>
          <w:sz w:val="24"/>
          <w:szCs w:val="24"/>
        </w:rPr>
        <w:t>后有能力履行合同的文件。</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19.2供应商须提交证明其拟供货物和服务符合</w:t>
      </w:r>
      <w:r>
        <w:rPr>
          <w:rFonts w:hint="eastAsia" w:hAnsi="宋体" w:cs="宋体"/>
          <w:color w:val="auto"/>
          <w:sz w:val="24"/>
          <w:szCs w:val="24"/>
          <w:lang w:eastAsia="zh-CN"/>
        </w:rPr>
        <w:t>竞争性磋商文件</w:t>
      </w:r>
      <w:r>
        <w:rPr>
          <w:rFonts w:hint="eastAsia" w:hAnsi="宋体" w:cs="宋体"/>
          <w:color w:val="auto"/>
          <w:sz w:val="24"/>
          <w:szCs w:val="24"/>
        </w:rPr>
        <w:t>、技术规范及标准、项目采购需求规定的技术</w:t>
      </w:r>
      <w:r>
        <w:rPr>
          <w:rFonts w:hint="eastAsia" w:hAnsi="宋体" w:cs="宋体"/>
          <w:color w:val="auto"/>
          <w:sz w:val="24"/>
          <w:szCs w:val="24"/>
          <w:lang w:eastAsia="zh-CN"/>
        </w:rPr>
        <w:t>响应文件</w:t>
      </w:r>
      <w:r>
        <w:rPr>
          <w:rFonts w:hint="eastAsia" w:hAnsi="宋体" w:cs="宋体"/>
          <w:color w:val="auto"/>
          <w:sz w:val="24"/>
          <w:szCs w:val="24"/>
        </w:rPr>
        <w:t>，作为</w:t>
      </w:r>
      <w:r>
        <w:rPr>
          <w:rFonts w:hint="eastAsia" w:hAnsi="宋体" w:cs="宋体"/>
          <w:color w:val="auto"/>
          <w:sz w:val="24"/>
          <w:szCs w:val="24"/>
          <w:lang w:eastAsia="zh-CN"/>
        </w:rPr>
        <w:t>响应文件</w:t>
      </w:r>
      <w:r>
        <w:rPr>
          <w:rFonts w:hint="eastAsia" w:hAnsi="宋体" w:cs="宋体"/>
          <w:color w:val="auto"/>
          <w:sz w:val="24"/>
          <w:szCs w:val="24"/>
        </w:rPr>
        <w:t>的一部分。</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19.3上述文件可以是文字资料、图纸和数据，并须提供主要技术性能的详细描述及设备清单和所提供服务的详细说明；</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19.4供应商应逐条对</w:t>
      </w:r>
      <w:r>
        <w:rPr>
          <w:rFonts w:hint="eastAsia" w:hAnsi="宋体" w:cs="宋体"/>
          <w:color w:val="auto"/>
          <w:sz w:val="24"/>
          <w:szCs w:val="24"/>
          <w:lang w:eastAsia="zh-CN"/>
        </w:rPr>
        <w:t>竞争性磋商文件</w:t>
      </w:r>
      <w:r>
        <w:rPr>
          <w:rFonts w:hint="eastAsia" w:hAnsi="宋体" w:cs="宋体"/>
          <w:color w:val="auto"/>
          <w:sz w:val="24"/>
          <w:szCs w:val="24"/>
        </w:rPr>
        <w:t>、项目采购需求、合同条款等进行仔细阅读，提出自己提供的服务是否对其做出了实质性的响应。</w:t>
      </w:r>
    </w:p>
    <w:p>
      <w:pPr>
        <w:pStyle w:val="9"/>
        <w:spacing w:line="360" w:lineRule="auto"/>
        <w:ind w:firstLine="480" w:firstLineChars="200"/>
        <w:rPr>
          <w:rFonts w:hAnsi="宋体" w:cs="宋体"/>
          <w:color w:val="auto"/>
          <w:sz w:val="24"/>
          <w:szCs w:val="24"/>
        </w:rPr>
      </w:pPr>
      <w:bookmarkStart w:id="105" w:name="_Toc243907591"/>
      <w:bookmarkStart w:id="106" w:name="_Toc233274831"/>
      <w:bookmarkStart w:id="107" w:name="_Toc243906330"/>
      <w:bookmarkStart w:id="108" w:name="_Toc245897291"/>
      <w:r>
        <w:rPr>
          <w:rFonts w:hint="eastAsia" w:hAnsi="宋体" w:cs="宋体"/>
          <w:color w:val="auto"/>
          <w:sz w:val="24"/>
          <w:szCs w:val="24"/>
        </w:rPr>
        <w:t>20、</w:t>
      </w:r>
      <w:r>
        <w:rPr>
          <w:rFonts w:hint="eastAsia" w:hAnsi="宋体" w:cs="宋体"/>
          <w:color w:val="auto"/>
          <w:sz w:val="24"/>
          <w:szCs w:val="24"/>
          <w:lang w:eastAsia="zh-CN"/>
        </w:rPr>
        <w:t>响应文件</w:t>
      </w:r>
      <w:r>
        <w:rPr>
          <w:rFonts w:hint="eastAsia" w:hAnsi="宋体" w:cs="宋体"/>
          <w:color w:val="auto"/>
          <w:sz w:val="24"/>
          <w:szCs w:val="24"/>
        </w:rPr>
        <w:t>有效期</w:t>
      </w:r>
      <w:bookmarkEnd w:id="105"/>
      <w:bookmarkEnd w:id="106"/>
      <w:bookmarkEnd w:id="107"/>
      <w:bookmarkEnd w:id="108"/>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20.1</w:t>
      </w:r>
      <w:r>
        <w:rPr>
          <w:rFonts w:hint="eastAsia" w:hAnsi="宋体" w:cs="宋体"/>
          <w:color w:val="auto"/>
          <w:sz w:val="24"/>
          <w:szCs w:val="24"/>
          <w:lang w:eastAsia="zh-CN"/>
        </w:rPr>
        <w:t>响应文件</w:t>
      </w:r>
      <w:r>
        <w:rPr>
          <w:rFonts w:hint="eastAsia" w:hAnsi="宋体" w:cs="宋体"/>
          <w:color w:val="auto"/>
          <w:sz w:val="24"/>
          <w:szCs w:val="24"/>
        </w:rPr>
        <w:t>有效期为递交</w:t>
      </w:r>
      <w:r>
        <w:rPr>
          <w:rFonts w:hint="eastAsia" w:hAnsi="宋体" w:cs="宋体"/>
          <w:color w:val="auto"/>
          <w:sz w:val="24"/>
          <w:szCs w:val="24"/>
          <w:lang w:eastAsia="zh-CN"/>
        </w:rPr>
        <w:t>响应文件</w:t>
      </w:r>
      <w:r>
        <w:rPr>
          <w:rFonts w:hint="eastAsia" w:hAnsi="宋体" w:cs="宋体"/>
          <w:color w:val="auto"/>
          <w:sz w:val="24"/>
          <w:szCs w:val="24"/>
        </w:rPr>
        <w:t>截止之日起60天（日历日）。供应商的</w:t>
      </w:r>
      <w:r>
        <w:rPr>
          <w:rFonts w:hint="eastAsia" w:hAnsi="宋体" w:cs="宋体"/>
          <w:color w:val="auto"/>
          <w:sz w:val="24"/>
          <w:szCs w:val="24"/>
          <w:lang w:eastAsia="zh-CN"/>
        </w:rPr>
        <w:t>响应文件</w:t>
      </w:r>
      <w:r>
        <w:rPr>
          <w:rFonts w:hint="eastAsia" w:hAnsi="宋体" w:cs="宋体"/>
          <w:color w:val="auto"/>
          <w:sz w:val="24"/>
          <w:szCs w:val="24"/>
        </w:rPr>
        <w:t>有效期比规定的有效期短的，将被视为非响应而予以拒绝。</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20.2 特殊情况下，在原有效期届满之前，采购人可征得供应商的同意延长其有效期，这种要求与答复均应以书面形式。供应商拒绝延长的，其</w:t>
      </w:r>
      <w:r>
        <w:rPr>
          <w:rFonts w:hint="eastAsia" w:hAnsi="宋体" w:cs="宋体"/>
          <w:color w:val="auto"/>
          <w:sz w:val="24"/>
          <w:szCs w:val="24"/>
          <w:lang w:eastAsia="zh-CN"/>
        </w:rPr>
        <w:t>响应文件</w:t>
      </w:r>
      <w:r>
        <w:rPr>
          <w:rFonts w:hint="eastAsia" w:hAnsi="宋体" w:cs="宋体"/>
          <w:color w:val="auto"/>
          <w:sz w:val="24"/>
          <w:szCs w:val="24"/>
        </w:rPr>
        <w:t>失效。同意延长有效期的供应商，既不要求也不允许其修改</w:t>
      </w:r>
      <w:r>
        <w:rPr>
          <w:rFonts w:hint="eastAsia" w:hAnsi="宋体" w:cs="宋体"/>
          <w:color w:val="auto"/>
          <w:sz w:val="24"/>
          <w:szCs w:val="24"/>
          <w:lang w:eastAsia="zh-CN"/>
        </w:rPr>
        <w:t>响应文件</w:t>
      </w:r>
      <w:r>
        <w:rPr>
          <w:rFonts w:hint="eastAsia" w:hAnsi="宋体" w:cs="宋体"/>
          <w:color w:val="auto"/>
          <w:sz w:val="24"/>
          <w:szCs w:val="24"/>
        </w:rPr>
        <w:t>。</w:t>
      </w:r>
    </w:p>
    <w:p>
      <w:pPr>
        <w:pStyle w:val="9"/>
        <w:spacing w:line="360" w:lineRule="auto"/>
        <w:ind w:firstLine="480" w:firstLineChars="200"/>
        <w:rPr>
          <w:rFonts w:hint="eastAsia" w:hAnsi="宋体" w:cs="宋体"/>
          <w:color w:val="auto"/>
          <w:sz w:val="24"/>
          <w:szCs w:val="24"/>
        </w:rPr>
      </w:pPr>
      <w:r>
        <w:rPr>
          <w:rFonts w:hint="eastAsia" w:hAnsi="宋体" w:cs="宋体"/>
          <w:color w:val="auto"/>
          <w:sz w:val="24"/>
          <w:szCs w:val="24"/>
        </w:rPr>
        <w:t>21、</w:t>
      </w:r>
      <w:r>
        <w:rPr>
          <w:rFonts w:hint="eastAsia" w:hAnsi="宋体" w:cs="宋体"/>
          <w:color w:val="auto"/>
          <w:sz w:val="24"/>
          <w:szCs w:val="24"/>
          <w:lang w:eastAsia="zh-CN"/>
        </w:rPr>
        <w:t>响应文件</w:t>
      </w:r>
      <w:r>
        <w:rPr>
          <w:rFonts w:hint="eastAsia" w:hAnsi="宋体" w:cs="宋体"/>
          <w:color w:val="auto"/>
          <w:sz w:val="24"/>
          <w:szCs w:val="24"/>
        </w:rPr>
        <w:t>的签署及规定</w:t>
      </w:r>
    </w:p>
    <w:p>
      <w:pPr>
        <w:pStyle w:val="9"/>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rPr>
        <w:t>2</w:t>
      </w:r>
      <w:r>
        <w:rPr>
          <w:rFonts w:hint="eastAsia" w:hAnsi="宋体" w:cs="宋体"/>
          <w:color w:val="auto"/>
          <w:sz w:val="24"/>
          <w:lang w:val="en-US" w:eastAsia="zh-CN"/>
        </w:rPr>
        <w:t>1</w:t>
      </w:r>
      <w:r>
        <w:rPr>
          <w:rFonts w:hint="eastAsia" w:hAnsi="宋体" w:cs="宋体"/>
          <w:color w:val="auto"/>
          <w:sz w:val="24"/>
        </w:rPr>
        <w:t>.1供应商应</w:t>
      </w:r>
      <w:r>
        <w:rPr>
          <w:rFonts w:hint="eastAsia" w:hAnsi="宋体" w:cs="宋体"/>
          <w:color w:val="auto"/>
          <w:sz w:val="24"/>
          <w:lang w:val="en-US" w:eastAsia="zh-CN"/>
        </w:rPr>
        <w:t>按</w:t>
      </w:r>
      <w:r>
        <w:rPr>
          <w:rFonts w:hint="eastAsia" w:hAnsi="宋体" w:eastAsia="宋体" w:cs="宋体"/>
          <w:color w:val="auto"/>
          <w:sz w:val="24"/>
          <w:szCs w:val="24"/>
          <w:lang w:eastAsia="zh-CN"/>
        </w:rPr>
        <w:t>前附表</w:t>
      </w:r>
      <w:r>
        <w:rPr>
          <w:rFonts w:hint="eastAsia" w:ascii="宋体" w:hAnsi="宋体" w:eastAsia="宋体" w:cs="宋体"/>
          <w:color w:val="auto"/>
          <w:sz w:val="24"/>
          <w:szCs w:val="24"/>
        </w:rPr>
        <w:t>第5条规定的</w:t>
      </w:r>
      <w:r>
        <w:rPr>
          <w:rFonts w:hint="eastAsia" w:hAnsi="宋体" w:eastAsia="宋体" w:cs="宋体"/>
          <w:color w:val="auto"/>
          <w:sz w:val="24"/>
          <w:szCs w:val="24"/>
          <w:lang w:eastAsia="zh-CN"/>
        </w:rPr>
        <w:t>要求提交</w:t>
      </w:r>
      <w:r>
        <w:rPr>
          <w:rFonts w:hint="eastAsia" w:ascii="宋体" w:hAnsi="宋体" w:eastAsia="宋体" w:cs="宋体"/>
          <w:color w:val="auto"/>
          <w:sz w:val="24"/>
          <w:szCs w:val="24"/>
        </w:rPr>
        <w:t>书面</w:t>
      </w:r>
      <w:r>
        <w:rPr>
          <w:rFonts w:hint="eastAsia" w:hAnsi="宋体" w:cs="宋体"/>
          <w:color w:val="auto"/>
          <w:sz w:val="24"/>
          <w:szCs w:val="24"/>
          <w:lang w:val="en-US" w:eastAsia="zh-CN"/>
        </w:rPr>
        <w:t>响应</w:t>
      </w:r>
      <w:r>
        <w:rPr>
          <w:rFonts w:hint="eastAsia" w:hAnsi="宋体" w:cs="宋体"/>
          <w:color w:val="auto"/>
          <w:sz w:val="24"/>
          <w:szCs w:val="24"/>
          <w:lang w:eastAsia="zh-CN"/>
        </w:rPr>
        <w:t>文件</w:t>
      </w:r>
      <w:r>
        <w:rPr>
          <w:rFonts w:hint="eastAsia" w:hAnsi="宋体" w:eastAsia="宋体" w:cs="宋体"/>
          <w:color w:val="auto"/>
          <w:sz w:val="24"/>
          <w:szCs w:val="24"/>
          <w:lang w:eastAsia="zh-CN"/>
        </w:rPr>
        <w:t>和</w:t>
      </w:r>
      <w:r>
        <w:rPr>
          <w:rFonts w:hint="eastAsia" w:ascii="宋体" w:hAnsi="宋体" w:eastAsia="宋体" w:cs="宋体"/>
          <w:color w:val="auto"/>
          <w:sz w:val="24"/>
          <w:szCs w:val="24"/>
          <w:lang w:eastAsia="zh-CN"/>
        </w:rPr>
        <w:t>电子版文件，</w:t>
      </w:r>
      <w:r>
        <w:rPr>
          <w:rFonts w:hint="eastAsia" w:hAnsi="宋体" w:cs="宋体"/>
          <w:color w:val="auto"/>
          <w:sz w:val="24"/>
          <w:szCs w:val="24"/>
          <w:lang w:val="en-US" w:eastAsia="zh-CN"/>
        </w:rPr>
        <w:t>供应商</w:t>
      </w:r>
      <w:r>
        <w:rPr>
          <w:rFonts w:hint="eastAsia" w:ascii="宋体" w:hAnsi="宋体" w:eastAsia="宋体" w:cs="宋体"/>
          <w:color w:val="auto"/>
          <w:sz w:val="24"/>
          <w:szCs w:val="24"/>
        </w:rPr>
        <w:t>提交的</w:t>
      </w:r>
      <w:r>
        <w:rPr>
          <w:rFonts w:hint="eastAsia" w:hAnsi="宋体" w:cs="宋体"/>
          <w:color w:val="auto"/>
          <w:sz w:val="24"/>
          <w:szCs w:val="24"/>
          <w:lang w:val="en-US" w:eastAsia="zh-CN"/>
        </w:rPr>
        <w:t>响应</w:t>
      </w:r>
      <w:r>
        <w:rPr>
          <w:rFonts w:hint="eastAsia" w:hAnsi="宋体" w:cs="宋体"/>
          <w:color w:val="auto"/>
          <w:sz w:val="24"/>
          <w:szCs w:val="24"/>
          <w:lang w:eastAsia="zh-CN"/>
        </w:rPr>
        <w:t>文件</w:t>
      </w:r>
      <w:r>
        <w:rPr>
          <w:rFonts w:hint="eastAsia" w:ascii="宋体" w:hAnsi="宋体" w:eastAsia="宋体" w:cs="宋体"/>
          <w:color w:val="auto"/>
          <w:sz w:val="24"/>
          <w:szCs w:val="24"/>
        </w:rPr>
        <w:t>必须唯一有效，</w:t>
      </w:r>
      <w:r>
        <w:rPr>
          <w:rFonts w:hint="eastAsia" w:hAnsi="宋体" w:cs="宋体"/>
          <w:color w:val="auto"/>
          <w:sz w:val="24"/>
          <w:szCs w:val="24"/>
          <w:lang w:val="en-US" w:eastAsia="zh-CN"/>
        </w:rPr>
        <w:t>响应</w:t>
      </w:r>
      <w:r>
        <w:rPr>
          <w:rFonts w:hint="eastAsia" w:hAnsi="宋体" w:cs="宋体"/>
          <w:color w:val="auto"/>
          <w:sz w:val="24"/>
          <w:szCs w:val="24"/>
          <w:lang w:eastAsia="zh-CN"/>
        </w:rPr>
        <w:t>文件</w:t>
      </w:r>
      <w:r>
        <w:rPr>
          <w:rFonts w:hint="eastAsia" w:ascii="宋体" w:hAnsi="宋体" w:eastAsia="宋体" w:cs="宋体"/>
          <w:color w:val="auto"/>
          <w:sz w:val="24"/>
          <w:szCs w:val="24"/>
        </w:rPr>
        <w:t>内要求有盖章及签字的必须有盖章签字，所盖章必须是红章。</w:t>
      </w:r>
    </w:p>
    <w:p>
      <w:pPr>
        <w:pStyle w:val="9"/>
        <w:keepNext w:val="0"/>
        <w:keepLines w:val="0"/>
        <w:pageBreakBefore w:val="0"/>
        <w:kinsoku/>
        <w:wordWrap/>
        <w:overflowPunct/>
        <w:topLinePunct w:val="0"/>
        <w:autoSpaceDE/>
        <w:autoSpaceDN/>
        <w:bidi w:val="0"/>
        <w:spacing w:line="440" w:lineRule="exact"/>
        <w:ind w:firstLine="480" w:firstLineChars="200"/>
        <w:rPr>
          <w:rFonts w:hint="eastAsia" w:hAnsi="宋体" w:cs="宋体"/>
          <w:color w:val="auto"/>
          <w:sz w:val="24"/>
        </w:rPr>
      </w:pPr>
      <w:r>
        <w:rPr>
          <w:rFonts w:hint="eastAsia" w:hAnsi="宋体" w:cs="宋体"/>
          <w:color w:val="auto"/>
          <w:sz w:val="24"/>
        </w:rPr>
        <w:t>2</w:t>
      </w:r>
      <w:r>
        <w:rPr>
          <w:rFonts w:hint="eastAsia" w:hAnsi="宋体" w:cs="宋体"/>
          <w:color w:val="auto"/>
          <w:sz w:val="24"/>
          <w:lang w:val="en-US" w:eastAsia="zh-CN"/>
        </w:rPr>
        <w:t>1</w:t>
      </w:r>
      <w:r>
        <w:rPr>
          <w:rFonts w:hint="eastAsia" w:hAnsi="宋体" w:cs="宋体"/>
          <w:color w:val="auto"/>
          <w:sz w:val="24"/>
        </w:rPr>
        <w:t>.</w:t>
      </w:r>
      <w:r>
        <w:rPr>
          <w:rFonts w:hint="eastAsia" w:hAnsi="宋体" w:cs="宋体"/>
          <w:color w:val="auto"/>
          <w:sz w:val="24"/>
          <w:lang w:val="en-US" w:eastAsia="zh-CN"/>
        </w:rPr>
        <w:t>2</w:t>
      </w:r>
      <w:r>
        <w:rPr>
          <w:rFonts w:hint="eastAsia" w:hAnsi="宋体" w:cs="宋体"/>
          <w:color w:val="auto"/>
          <w:sz w:val="24"/>
        </w:rPr>
        <w:t xml:space="preserve"> 除供应商对错误做必要修改外，</w:t>
      </w:r>
      <w:r>
        <w:rPr>
          <w:rFonts w:hint="eastAsia" w:hAnsi="宋体" w:cs="宋体"/>
          <w:color w:val="auto"/>
          <w:sz w:val="24"/>
          <w:lang w:eastAsia="zh-CN"/>
        </w:rPr>
        <w:t>响应文件</w:t>
      </w:r>
      <w:r>
        <w:rPr>
          <w:rFonts w:hint="eastAsia" w:hAnsi="宋体" w:cs="宋体"/>
          <w:color w:val="auto"/>
          <w:sz w:val="24"/>
        </w:rPr>
        <w:t>中不许有增删、涂改或改写。若确有修改必须由签署</w:t>
      </w:r>
      <w:r>
        <w:rPr>
          <w:rFonts w:hint="eastAsia" w:hAnsi="宋体" w:cs="宋体"/>
          <w:color w:val="auto"/>
          <w:sz w:val="24"/>
          <w:lang w:eastAsia="zh-CN"/>
        </w:rPr>
        <w:t>响应文件</w:t>
      </w:r>
      <w:r>
        <w:rPr>
          <w:rFonts w:hint="eastAsia" w:hAnsi="宋体" w:cs="宋体"/>
          <w:color w:val="auto"/>
          <w:sz w:val="24"/>
        </w:rPr>
        <w:t>的委托代理人签字或盖章。</w:t>
      </w:r>
    </w:p>
    <w:p>
      <w:pPr>
        <w:pStyle w:val="9"/>
        <w:keepNext w:val="0"/>
        <w:keepLines w:val="0"/>
        <w:pageBreakBefore w:val="0"/>
        <w:kinsoku/>
        <w:wordWrap/>
        <w:overflowPunct/>
        <w:topLinePunct w:val="0"/>
        <w:autoSpaceDE/>
        <w:autoSpaceDN/>
        <w:bidi w:val="0"/>
        <w:spacing w:line="440" w:lineRule="exact"/>
        <w:ind w:firstLine="480" w:firstLineChars="200"/>
        <w:rPr>
          <w:rFonts w:hAnsi="宋体" w:cs="宋体"/>
          <w:color w:val="auto"/>
          <w:sz w:val="24"/>
          <w:szCs w:val="24"/>
        </w:rPr>
      </w:pPr>
      <w:r>
        <w:rPr>
          <w:rFonts w:hint="eastAsia" w:hAnsi="宋体" w:cs="宋体"/>
          <w:color w:val="auto"/>
          <w:sz w:val="24"/>
        </w:rPr>
        <w:t>2</w:t>
      </w:r>
      <w:r>
        <w:rPr>
          <w:rFonts w:hint="eastAsia" w:hAnsi="宋体" w:cs="宋体"/>
          <w:color w:val="auto"/>
          <w:sz w:val="24"/>
          <w:lang w:val="en-US" w:eastAsia="zh-CN"/>
        </w:rPr>
        <w:t>1</w:t>
      </w:r>
      <w:r>
        <w:rPr>
          <w:rFonts w:hint="eastAsia" w:hAnsi="宋体" w:cs="宋体"/>
          <w:color w:val="auto"/>
          <w:sz w:val="24"/>
        </w:rPr>
        <w:t>.</w:t>
      </w:r>
      <w:r>
        <w:rPr>
          <w:rFonts w:hint="eastAsia" w:hAnsi="宋体" w:cs="宋体"/>
          <w:color w:val="auto"/>
          <w:sz w:val="24"/>
          <w:lang w:val="en-US" w:eastAsia="zh-CN"/>
        </w:rPr>
        <w:t>2</w:t>
      </w:r>
      <w:r>
        <w:rPr>
          <w:rFonts w:hint="eastAsia" w:hAnsi="宋体" w:eastAsia="宋体" w:cs="宋体"/>
          <w:b/>
          <w:bCs/>
          <w:color w:val="auto"/>
          <w:sz w:val="24"/>
          <w:szCs w:val="24"/>
          <w:lang w:eastAsia="zh-CN"/>
        </w:rPr>
        <w:t>各供应商须承诺无论中标与否，开标后</w:t>
      </w:r>
      <w:r>
        <w:rPr>
          <w:rFonts w:hint="eastAsia" w:hAnsi="宋体" w:eastAsia="宋体" w:cs="宋体"/>
          <w:b/>
          <w:bCs/>
          <w:color w:val="auto"/>
          <w:sz w:val="24"/>
          <w:szCs w:val="24"/>
          <w:lang w:val="en-US" w:eastAsia="zh-CN"/>
        </w:rPr>
        <w:t>第二天</w:t>
      </w:r>
      <w:r>
        <w:rPr>
          <w:rFonts w:hint="eastAsia" w:hAnsi="宋体" w:eastAsia="宋体" w:cs="宋体"/>
          <w:b/>
          <w:bCs/>
          <w:color w:val="auto"/>
          <w:sz w:val="24"/>
          <w:szCs w:val="24"/>
          <w:lang w:eastAsia="zh-CN"/>
        </w:rPr>
        <w:t>须将纸质版</w:t>
      </w:r>
      <w:r>
        <w:rPr>
          <w:rFonts w:hint="eastAsia" w:hAnsi="宋体" w:cs="宋体"/>
          <w:b/>
          <w:bCs/>
          <w:color w:val="auto"/>
          <w:sz w:val="24"/>
          <w:szCs w:val="24"/>
          <w:lang w:val="en-US" w:eastAsia="zh-CN"/>
        </w:rPr>
        <w:t>响应</w:t>
      </w:r>
      <w:r>
        <w:rPr>
          <w:rFonts w:hint="eastAsia" w:hAnsi="宋体" w:eastAsia="宋体" w:cs="宋体"/>
          <w:b/>
          <w:bCs/>
          <w:color w:val="auto"/>
          <w:sz w:val="24"/>
          <w:szCs w:val="24"/>
          <w:lang w:val="en-US" w:eastAsia="zh-CN"/>
        </w:rPr>
        <w:t>文件</w:t>
      </w:r>
      <w:r>
        <w:rPr>
          <w:rFonts w:hint="eastAsia" w:hAnsi="宋体" w:eastAsia="宋体" w:cs="宋体"/>
          <w:b/>
          <w:bCs/>
          <w:color w:val="auto"/>
          <w:sz w:val="24"/>
          <w:szCs w:val="24"/>
          <w:lang w:eastAsia="zh-CN"/>
        </w:rPr>
        <w:t>、</w:t>
      </w:r>
      <w:r>
        <w:rPr>
          <w:rFonts w:hint="eastAsia" w:hAnsi="宋体" w:eastAsia="宋体" w:cs="宋体"/>
          <w:b/>
          <w:bCs/>
          <w:color w:val="auto"/>
          <w:sz w:val="24"/>
          <w:szCs w:val="24"/>
          <w:lang w:val="en-US" w:eastAsia="zh-CN"/>
        </w:rPr>
        <w:t>解密后</w:t>
      </w:r>
      <w:r>
        <w:rPr>
          <w:rFonts w:hint="eastAsia" w:hAnsi="宋体" w:eastAsia="宋体" w:cs="宋体"/>
          <w:b/>
          <w:bCs/>
          <w:color w:val="auto"/>
          <w:sz w:val="24"/>
          <w:szCs w:val="24"/>
          <w:lang w:eastAsia="zh-CN"/>
        </w:rPr>
        <w:t>电子文档（</w:t>
      </w:r>
      <w:r>
        <w:rPr>
          <w:rFonts w:hint="eastAsia" w:hAnsi="宋体" w:eastAsia="宋体" w:cs="宋体"/>
          <w:b/>
          <w:bCs/>
          <w:color w:val="auto"/>
          <w:sz w:val="24"/>
          <w:szCs w:val="24"/>
          <w:lang w:val="en-US" w:eastAsia="zh-CN"/>
        </w:rPr>
        <w:t>光盘或U盘</w:t>
      </w:r>
      <w:r>
        <w:rPr>
          <w:rFonts w:hint="eastAsia" w:hAnsi="宋体" w:eastAsia="宋体" w:cs="宋体"/>
          <w:b/>
          <w:bCs/>
          <w:color w:val="auto"/>
          <w:sz w:val="24"/>
          <w:szCs w:val="24"/>
          <w:lang w:eastAsia="zh-CN"/>
        </w:rPr>
        <w:t>）等统一按要求</w:t>
      </w:r>
      <w:r>
        <w:rPr>
          <w:rFonts w:hint="eastAsia" w:hAnsi="宋体" w:eastAsia="宋体" w:cs="宋体"/>
          <w:b/>
          <w:bCs/>
          <w:color w:val="auto"/>
          <w:sz w:val="24"/>
          <w:szCs w:val="24"/>
          <w:lang w:val="en-US" w:eastAsia="zh-CN"/>
        </w:rPr>
        <w:t>开始邮寄采购代理机构。中标单位提供</w:t>
      </w:r>
      <w:r>
        <w:rPr>
          <w:rFonts w:hint="eastAsia" w:hAnsi="宋体" w:cs="宋体"/>
          <w:b/>
          <w:bCs/>
          <w:color w:val="auto"/>
          <w:sz w:val="24"/>
          <w:szCs w:val="24"/>
          <w:lang w:val="en-US" w:eastAsia="zh-CN"/>
        </w:rPr>
        <w:t>2</w:t>
      </w:r>
      <w:r>
        <w:rPr>
          <w:rFonts w:hint="eastAsia" w:hAnsi="宋体" w:eastAsia="宋体" w:cs="宋体"/>
          <w:b/>
          <w:bCs/>
          <w:color w:val="auto"/>
          <w:sz w:val="24"/>
          <w:szCs w:val="24"/>
          <w:lang w:val="en-US" w:eastAsia="zh-CN"/>
        </w:rPr>
        <w:t>套纸质版</w:t>
      </w:r>
      <w:r>
        <w:rPr>
          <w:rFonts w:hint="eastAsia" w:hAnsi="宋体" w:cs="宋体"/>
          <w:b/>
          <w:bCs/>
          <w:color w:val="auto"/>
          <w:sz w:val="24"/>
          <w:szCs w:val="24"/>
          <w:lang w:val="en-US" w:eastAsia="zh-CN"/>
        </w:rPr>
        <w:t>响应</w:t>
      </w:r>
      <w:r>
        <w:rPr>
          <w:rFonts w:hint="eastAsia" w:hAnsi="宋体" w:eastAsia="宋体" w:cs="宋体"/>
          <w:b/>
          <w:bCs/>
          <w:color w:val="auto"/>
          <w:sz w:val="24"/>
          <w:szCs w:val="24"/>
          <w:lang w:val="en-US" w:eastAsia="zh-CN"/>
        </w:rPr>
        <w:t>文件和电子文档；未中标单位提供</w:t>
      </w:r>
      <w:r>
        <w:rPr>
          <w:rFonts w:hint="eastAsia" w:hAnsi="宋体" w:cs="宋体"/>
          <w:b/>
          <w:bCs/>
          <w:color w:val="auto"/>
          <w:sz w:val="24"/>
          <w:szCs w:val="24"/>
          <w:lang w:val="en-US" w:eastAsia="zh-CN"/>
        </w:rPr>
        <w:t>1</w:t>
      </w:r>
      <w:r>
        <w:rPr>
          <w:rFonts w:hint="eastAsia" w:hAnsi="宋体" w:eastAsia="宋体" w:cs="宋体"/>
          <w:b/>
          <w:bCs/>
          <w:color w:val="auto"/>
          <w:sz w:val="24"/>
          <w:szCs w:val="24"/>
          <w:lang w:val="en-US" w:eastAsia="zh-CN"/>
        </w:rPr>
        <w:t>套纸质版投标文件和电子文档。如未及时按照以上要求完成工作，后果各供应商承担</w:t>
      </w:r>
      <w:r>
        <w:rPr>
          <w:rFonts w:hint="eastAsia" w:hAnsi="宋体" w:eastAsia="宋体" w:cs="宋体"/>
          <w:b/>
          <w:bCs/>
          <w:color w:val="auto"/>
          <w:sz w:val="24"/>
          <w:szCs w:val="24"/>
          <w:lang w:eastAsia="zh-CN"/>
        </w:rPr>
        <w:t>。</w:t>
      </w:r>
    </w:p>
    <w:p>
      <w:pPr>
        <w:pStyle w:val="9"/>
        <w:spacing w:line="360" w:lineRule="auto"/>
        <w:outlineLvl w:val="1"/>
        <w:rPr>
          <w:rFonts w:hAnsi="宋体" w:cs="宋体"/>
          <w:b/>
          <w:bCs/>
          <w:color w:val="auto"/>
          <w:sz w:val="24"/>
          <w:szCs w:val="24"/>
        </w:rPr>
      </w:pPr>
      <w:r>
        <w:rPr>
          <w:rFonts w:hint="eastAsia" w:hAnsi="宋体" w:cs="宋体"/>
          <w:b/>
          <w:bCs/>
          <w:color w:val="auto"/>
          <w:sz w:val="24"/>
          <w:szCs w:val="24"/>
        </w:rPr>
        <w:t>四、</w:t>
      </w:r>
      <w:r>
        <w:rPr>
          <w:rFonts w:hint="eastAsia" w:hAnsi="宋体" w:cs="宋体"/>
          <w:b/>
          <w:bCs/>
          <w:color w:val="auto"/>
          <w:sz w:val="24"/>
          <w:szCs w:val="24"/>
          <w:lang w:eastAsia="zh-CN"/>
        </w:rPr>
        <w:t>响应文件</w:t>
      </w:r>
      <w:r>
        <w:rPr>
          <w:rFonts w:hint="eastAsia" w:hAnsi="宋体" w:cs="宋体"/>
          <w:b/>
          <w:bCs/>
          <w:color w:val="auto"/>
          <w:sz w:val="24"/>
          <w:szCs w:val="24"/>
        </w:rPr>
        <w:t>的递交、修改和撤回</w:t>
      </w:r>
      <w:bookmarkEnd w:id="82"/>
    </w:p>
    <w:p>
      <w:pPr>
        <w:spacing w:line="360" w:lineRule="auto"/>
        <w:ind w:firstLine="480" w:firstLineChars="200"/>
        <w:outlineLvl w:val="1"/>
        <w:rPr>
          <w:rFonts w:ascii="宋体" w:hAnsi="宋体" w:cs="宋体"/>
          <w:color w:val="auto"/>
          <w:sz w:val="24"/>
        </w:rPr>
      </w:pPr>
      <w:bookmarkStart w:id="109" w:name="_Toc233274835"/>
      <w:bookmarkStart w:id="110" w:name="_Toc243906334"/>
      <w:bookmarkStart w:id="111" w:name="_Toc245897295"/>
      <w:bookmarkStart w:id="112" w:name="_Toc243907595"/>
      <w:bookmarkStart w:id="113" w:name="_Toc233274840"/>
      <w:bookmarkStart w:id="114" w:name="_Toc246216209"/>
      <w:bookmarkStart w:id="115" w:name="_Toc19823"/>
      <w:bookmarkStart w:id="116" w:name="_Toc243906339"/>
      <w:bookmarkStart w:id="117" w:name="_Toc243907600"/>
      <w:r>
        <w:rPr>
          <w:rFonts w:hint="eastAsia" w:ascii="宋体" w:hAnsi="宋体" w:cs="宋体"/>
          <w:color w:val="auto"/>
          <w:sz w:val="24"/>
        </w:rPr>
        <w:t>22、</w:t>
      </w:r>
      <w:r>
        <w:rPr>
          <w:rFonts w:hint="eastAsia" w:ascii="宋体" w:hAnsi="宋体" w:cs="宋体"/>
          <w:color w:val="auto"/>
          <w:sz w:val="24"/>
          <w:lang w:eastAsia="zh-CN"/>
        </w:rPr>
        <w:t>响应文件</w:t>
      </w:r>
      <w:r>
        <w:rPr>
          <w:rFonts w:hint="eastAsia" w:ascii="宋体" w:hAnsi="宋体" w:cs="宋体"/>
          <w:color w:val="auto"/>
          <w:sz w:val="24"/>
        </w:rPr>
        <w:t>的密封和标记</w:t>
      </w:r>
      <w:bookmarkEnd w:id="109"/>
      <w:bookmarkEnd w:id="110"/>
      <w:bookmarkEnd w:id="111"/>
      <w:bookmarkEnd w:id="112"/>
    </w:p>
    <w:p>
      <w:pPr>
        <w:spacing w:line="360" w:lineRule="auto"/>
        <w:ind w:firstLine="480" w:firstLineChars="200"/>
        <w:outlineLvl w:val="1"/>
        <w:rPr>
          <w:rFonts w:ascii="宋体" w:hAnsi="宋体" w:cs="宋体"/>
          <w:b/>
          <w:color w:val="auto"/>
          <w:sz w:val="24"/>
        </w:rPr>
      </w:pPr>
      <w:r>
        <w:rPr>
          <w:rFonts w:hint="eastAsia" w:ascii="宋体" w:hAnsi="宋体" w:cs="宋体"/>
          <w:color w:val="auto"/>
          <w:sz w:val="24"/>
        </w:rPr>
        <w:t>22.1</w:t>
      </w:r>
      <w:r>
        <w:rPr>
          <w:rFonts w:hint="eastAsia" w:ascii="宋体" w:hAnsi="宋体" w:cs="宋体"/>
          <w:b/>
          <w:color w:val="auto"/>
          <w:sz w:val="24"/>
          <w:lang w:eastAsia="zh-CN"/>
        </w:rPr>
        <w:t>响应文件</w:t>
      </w:r>
      <w:r>
        <w:rPr>
          <w:rFonts w:hint="eastAsia" w:ascii="宋体" w:hAnsi="宋体" w:cs="宋体"/>
          <w:b/>
          <w:color w:val="auto"/>
          <w:sz w:val="24"/>
        </w:rPr>
        <w:t>均按A4复印纸页面编制、装订。所有</w:t>
      </w:r>
      <w:r>
        <w:rPr>
          <w:rFonts w:hint="eastAsia" w:ascii="宋体" w:hAnsi="宋体" w:cs="宋体"/>
          <w:b/>
          <w:color w:val="auto"/>
          <w:sz w:val="24"/>
          <w:lang w:eastAsia="zh-CN"/>
        </w:rPr>
        <w:t>响应文件</w:t>
      </w:r>
      <w:r>
        <w:rPr>
          <w:rFonts w:hint="eastAsia" w:ascii="宋体" w:hAnsi="宋体" w:cs="宋体"/>
          <w:b/>
          <w:color w:val="auto"/>
          <w:sz w:val="24"/>
        </w:rPr>
        <w:t>均为明标。</w:t>
      </w:r>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18" w:name="_Toc29459"/>
      <w:r>
        <w:rPr>
          <w:rFonts w:hint="eastAsia" w:hAnsi="宋体" w:cs="宋体"/>
          <w:color w:val="auto"/>
          <w:sz w:val="24"/>
          <w:szCs w:val="24"/>
        </w:rPr>
        <w:t>2</w:t>
      </w:r>
      <w:r>
        <w:rPr>
          <w:rFonts w:hint="eastAsia" w:hAnsi="宋体" w:cs="宋体"/>
          <w:color w:val="auto"/>
          <w:sz w:val="24"/>
          <w:szCs w:val="24"/>
          <w:lang w:val="en-US" w:eastAsia="zh-CN"/>
        </w:rPr>
        <w:t>2</w:t>
      </w:r>
      <w:r>
        <w:rPr>
          <w:rFonts w:hint="eastAsia" w:hAnsi="宋体" w:cs="宋体"/>
          <w:color w:val="auto"/>
          <w:sz w:val="24"/>
          <w:szCs w:val="24"/>
        </w:rPr>
        <w:t>.2</w:t>
      </w:r>
      <w:bookmarkEnd w:id="118"/>
      <w:r>
        <w:rPr>
          <w:rFonts w:hint="eastAsia" w:hAnsi="宋体" w:cs="宋体"/>
          <w:color w:val="auto"/>
          <w:sz w:val="24"/>
          <w:szCs w:val="24"/>
          <w:lang w:val="en-US" w:eastAsia="zh-CN"/>
        </w:rPr>
        <w:t>开标结束后、响应</w:t>
      </w:r>
      <w:r>
        <w:rPr>
          <w:rFonts w:hint="eastAsia" w:hAnsi="宋体" w:cs="宋体"/>
          <w:color w:val="auto"/>
          <w:sz w:val="24"/>
          <w:szCs w:val="24"/>
          <w:lang w:eastAsia="zh-CN"/>
        </w:rPr>
        <w:t>文件密封袋上均应写明“采购人”、“项目名称”、“</w:t>
      </w:r>
      <w:r>
        <w:rPr>
          <w:rFonts w:hint="eastAsia" w:hAnsi="宋体" w:cs="宋体"/>
          <w:color w:val="auto"/>
          <w:sz w:val="24"/>
          <w:szCs w:val="24"/>
          <w:lang w:val="en-US" w:eastAsia="zh-CN"/>
        </w:rPr>
        <w:t>竞争性磋商</w:t>
      </w:r>
      <w:r>
        <w:rPr>
          <w:rFonts w:hint="eastAsia" w:hAnsi="宋体" w:cs="宋体"/>
          <w:color w:val="auto"/>
          <w:sz w:val="24"/>
          <w:szCs w:val="24"/>
          <w:lang w:eastAsia="zh-CN"/>
        </w:rPr>
        <w:t>文件编号”、“供应商名称”和“地址”等。</w:t>
      </w:r>
    </w:p>
    <w:p>
      <w:pPr>
        <w:widowControl/>
        <w:spacing w:line="360" w:lineRule="auto"/>
        <w:ind w:firstLine="480" w:firstLineChars="200"/>
        <w:rPr>
          <w:rFonts w:ascii="宋体" w:hAnsi="宋体" w:cs="宋体"/>
          <w:color w:val="auto"/>
          <w:sz w:val="24"/>
        </w:rPr>
      </w:pPr>
      <w:bookmarkStart w:id="119" w:name="_Toc245897296"/>
      <w:bookmarkStart w:id="120" w:name="_Toc233274836"/>
      <w:bookmarkStart w:id="121" w:name="_Toc243906335"/>
      <w:bookmarkStart w:id="122" w:name="_Toc243907596"/>
      <w:r>
        <w:rPr>
          <w:rFonts w:hint="eastAsia" w:ascii="宋体" w:hAnsi="宋体" w:cs="宋体"/>
          <w:color w:val="auto"/>
          <w:sz w:val="24"/>
        </w:rPr>
        <w:t>23、递交</w:t>
      </w:r>
      <w:r>
        <w:rPr>
          <w:rFonts w:hint="eastAsia" w:ascii="宋体" w:hAnsi="宋体" w:cs="宋体"/>
          <w:color w:val="auto"/>
          <w:sz w:val="24"/>
          <w:lang w:eastAsia="zh-CN"/>
        </w:rPr>
        <w:t>响应文件</w:t>
      </w:r>
      <w:r>
        <w:rPr>
          <w:rFonts w:hint="eastAsia" w:ascii="宋体" w:hAnsi="宋体" w:cs="宋体"/>
          <w:color w:val="auto"/>
          <w:sz w:val="24"/>
        </w:rPr>
        <w:t>截止时间</w:t>
      </w:r>
      <w:bookmarkEnd w:id="119"/>
      <w:bookmarkEnd w:id="120"/>
      <w:bookmarkEnd w:id="121"/>
      <w:bookmarkEnd w:id="122"/>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23.1 所有</w:t>
      </w:r>
      <w:r>
        <w:rPr>
          <w:rFonts w:hint="eastAsia" w:ascii="宋体" w:hAnsi="宋体" w:cs="宋体"/>
          <w:color w:val="auto"/>
          <w:sz w:val="24"/>
          <w:lang w:eastAsia="zh-CN"/>
        </w:rPr>
        <w:t>响应文件</w:t>
      </w:r>
      <w:r>
        <w:rPr>
          <w:rFonts w:hint="eastAsia" w:ascii="宋体" w:hAnsi="宋体" w:cs="宋体"/>
          <w:color w:val="auto"/>
          <w:sz w:val="24"/>
        </w:rPr>
        <w:t>都必须按采购人在</w:t>
      </w:r>
      <w:r>
        <w:rPr>
          <w:rFonts w:hint="eastAsia" w:ascii="宋体" w:hAnsi="宋体" w:eastAsia="宋体" w:cs="宋体"/>
          <w:color w:val="auto"/>
          <w:sz w:val="24"/>
          <w:lang w:eastAsia="zh-CN"/>
        </w:rPr>
        <w:t>前附表</w:t>
      </w:r>
      <w:r>
        <w:rPr>
          <w:rFonts w:hint="eastAsia" w:ascii="宋体" w:hAnsi="宋体" w:cs="宋体"/>
          <w:color w:val="auto"/>
          <w:sz w:val="24"/>
        </w:rPr>
        <w:t>中规定的截止时间之前</w:t>
      </w:r>
      <w:r>
        <w:rPr>
          <w:rFonts w:hint="eastAsia" w:ascii="宋体" w:hAnsi="宋体" w:eastAsia="宋体" w:cs="宋体"/>
          <w:color w:val="auto"/>
          <w:kern w:val="2"/>
          <w:sz w:val="24"/>
          <w:szCs w:val="24"/>
          <w:lang w:val="en-US" w:eastAsia="zh-CN" w:bidi="ar-SA"/>
        </w:rPr>
        <w:t>电子递交。</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23.2出现因</w:t>
      </w:r>
      <w:r>
        <w:rPr>
          <w:rFonts w:hint="eastAsia" w:ascii="宋体" w:hAnsi="宋体" w:cs="宋体"/>
          <w:color w:val="auto"/>
          <w:sz w:val="24"/>
          <w:lang w:eastAsia="zh-CN"/>
        </w:rPr>
        <w:t>竞争性磋商文件</w:t>
      </w:r>
      <w:r>
        <w:rPr>
          <w:rFonts w:hint="eastAsia" w:ascii="宋体" w:hAnsi="宋体" w:cs="宋体"/>
          <w:color w:val="auto"/>
          <w:sz w:val="24"/>
        </w:rPr>
        <w:t>的修改推迟截止日期时，则按采购代理机构修改通知规定的时间递交</w:t>
      </w:r>
      <w:r>
        <w:rPr>
          <w:rFonts w:hint="eastAsia" w:ascii="宋体" w:hAnsi="宋体" w:cs="宋体"/>
          <w:color w:val="auto"/>
          <w:sz w:val="24"/>
          <w:lang w:eastAsia="zh-CN"/>
        </w:rPr>
        <w:t>响应文件</w:t>
      </w:r>
      <w:r>
        <w:rPr>
          <w:rFonts w:hint="eastAsia" w:ascii="宋体" w:hAnsi="宋体" w:cs="宋体"/>
          <w:color w:val="auto"/>
          <w:sz w:val="24"/>
        </w:rPr>
        <w:t>。在此情况下，采购人和采购代理机构与供应商之间受截止期制约的所有权利和义务应延长至新的截止期。</w:t>
      </w:r>
    </w:p>
    <w:p>
      <w:pPr>
        <w:widowControl/>
        <w:spacing w:line="360" w:lineRule="auto"/>
        <w:ind w:firstLine="480" w:firstLineChars="200"/>
        <w:rPr>
          <w:rFonts w:hint="eastAsia" w:ascii="宋体" w:hAnsi="宋体" w:eastAsia="宋体" w:cs="宋体"/>
          <w:color w:val="auto"/>
          <w:sz w:val="24"/>
          <w:lang w:eastAsia="zh-CN"/>
        </w:rPr>
      </w:pPr>
      <w:bookmarkStart w:id="123" w:name="_Toc243906336"/>
      <w:bookmarkStart w:id="124" w:name="_Toc245897297"/>
      <w:bookmarkStart w:id="125" w:name="_Toc243907597"/>
      <w:bookmarkStart w:id="126" w:name="_Toc233274837"/>
      <w:r>
        <w:rPr>
          <w:rFonts w:hint="eastAsia" w:ascii="宋体" w:hAnsi="宋体" w:cs="宋体"/>
          <w:color w:val="auto"/>
          <w:sz w:val="24"/>
        </w:rPr>
        <w:t>24、迟交的</w:t>
      </w:r>
      <w:bookmarkEnd w:id="123"/>
      <w:bookmarkEnd w:id="124"/>
      <w:bookmarkEnd w:id="125"/>
      <w:bookmarkEnd w:id="126"/>
      <w:r>
        <w:rPr>
          <w:rFonts w:hint="eastAsia" w:ascii="宋体" w:hAnsi="宋体" w:cs="宋体"/>
          <w:color w:val="auto"/>
          <w:sz w:val="24"/>
          <w:lang w:eastAsia="zh-CN"/>
        </w:rPr>
        <w:t>响应文件</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24.1 采购人将拒绝并原封退回在其规定的截止时间后送达的</w:t>
      </w:r>
      <w:r>
        <w:rPr>
          <w:rFonts w:hint="eastAsia" w:ascii="宋体" w:hAnsi="宋体" w:cs="宋体"/>
          <w:color w:val="auto"/>
          <w:sz w:val="24"/>
          <w:lang w:eastAsia="zh-CN"/>
        </w:rPr>
        <w:t>响应文件</w:t>
      </w:r>
      <w:r>
        <w:rPr>
          <w:rFonts w:hint="eastAsia" w:ascii="宋体" w:hAnsi="宋体" w:cs="宋体"/>
          <w:color w:val="auto"/>
          <w:sz w:val="24"/>
        </w:rPr>
        <w:t>。</w:t>
      </w:r>
    </w:p>
    <w:p>
      <w:pPr>
        <w:widowControl/>
        <w:spacing w:line="360" w:lineRule="auto"/>
        <w:ind w:firstLine="480" w:firstLineChars="200"/>
        <w:rPr>
          <w:rFonts w:ascii="宋体" w:hAnsi="宋体" w:cs="宋体"/>
          <w:color w:val="auto"/>
          <w:sz w:val="24"/>
        </w:rPr>
      </w:pPr>
      <w:bookmarkStart w:id="127" w:name="_Toc243906337"/>
      <w:bookmarkStart w:id="128" w:name="_Toc245897298"/>
      <w:bookmarkStart w:id="129" w:name="_Toc233274838"/>
      <w:bookmarkStart w:id="130" w:name="_Toc243907598"/>
      <w:r>
        <w:rPr>
          <w:rFonts w:hint="eastAsia" w:ascii="宋体" w:hAnsi="宋体" w:cs="宋体"/>
          <w:color w:val="auto"/>
          <w:sz w:val="24"/>
        </w:rPr>
        <w:t>25、</w:t>
      </w:r>
      <w:r>
        <w:rPr>
          <w:rFonts w:hint="eastAsia" w:ascii="宋体" w:hAnsi="宋体" w:cs="宋体"/>
          <w:color w:val="auto"/>
          <w:sz w:val="24"/>
          <w:lang w:eastAsia="zh-CN"/>
        </w:rPr>
        <w:t>响应文件</w:t>
      </w:r>
      <w:r>
        <w:rPr>
          <w:rFonts w:hint="eastAsia" w:ascii="宋体" w:hAnsi="宋体" w:cs="宋体"/>
          <w:color w:val="auto"/>
          <w:sz w:val="24"/>
        </w:rPr>
        <w:t>的修改和撤回</w:t>
      </w:r>
      <w:bookmarkEnd w:id="127"/>
      <w:bookmarkEnd w:id="128"/>
      <w:bookmarkEnd w:id="129"/>
      <w:bookmarkEnd w:id="130"/>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25.1 供应商在提交</w:t>
      </w:r>
      <w:r>
        <w:rPr>
          <w:rFonts w:hint="eastAsia" w:ascii="宋体" w:hAnsi="宋体" w:cs="宋体"/>
          <w:color w:val="auto"/>
          <w:sz w:val="24"/>
          <w:lang w:eastAsia="zh-CN"/>
        </w:rPr>
        <w:t>响应文件</w:t>
      </w:r>
      <w:r>
        <w:rPr>
          <w:rFonts w:hint="eastAsia" w:ascii="宋体" w:hAnsi="宋体" w:cs="宋体"/>
          <w:color w:val="auto"/>
          <w:sz w:val="24"/>
        </w:rPr>
        <w:t>后可在截止时间前对其</w:t>
      </w:r>
      <w:r>
        <w:rPr>
          <w:rFonts w:hint="eastAsia" w:ascii="宋体" w:hAnsi="宋体" w:cs="宋体"/>
          <w:color w:val="auto"/>
          <w:sz w:val="24"/>
          <w:lang w:eastAsia="zh-CN"/>
        </w:rPr>
        <w:t>响应文件</w:t>
      </w:r>
      <w:r>
        <w:rPr>
          <w:rFonts w:hint="eastAsia" w:ascii="宋体" w:hAnsi="宋体" w:cs="宋体"/>
          <w:color w:val="auto"/>
          <w:sz w:val="24"/>
        </w:rPr>
        <w:t>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25.2 供应商对</w:t>
      </w:r>
      <w:r>
        <w:rPr>
          <w:rFonts w:hint="eastAsia" w:ascii="宋体" w:hAnsi="宋体" w:cs="宋体"/>
          <w:color w:val="auto"/>
          <w:sz w:val="24"/>
          <w:lang w:eastAsia="zh-CN"/>
        </w:rPr>
        <w:t>响应文件</w:t>
      </w:r>
      <w:r>
        <w:rPr>
          <w:rFonts w:hint="eastAsia" w:ascii="宋体" w:hAnsi="宋体" w:cs="宋体"/>
          <w:color w:val="auto"/>
          <w:sz w:val="24"/>
        </w:rPr>
        <w:t>修改的书面材料或撤回的通知应按第22条和第23条规定进行编写、密封、标记和递交，并注明“修改</w:t>
      </w:r>
      <w:r>
        <w:rPr>
          <w:rFonts w:hint="eastAsia" w:ascii="宋体" w:hAnsi="宋体" w:cs="宋体"/>
          <w:color w:val="auto"/>
          <w:sz w:val="24"/>
          <w:lang w:eastAsia="zh-CN"/>
        </w:rPr>
        <w:t>响应文件</w:t>
      </w:r>
      <w:r>
        <w:rPr>
          <w:rFonts w:hint="eastAsia" w:ascii="宋体" w:hAnsi="宋体" w:cs="宋体"/>
          <w:color w:val="auto"/>
          <w:sz w:val="24"/>
        </w:rPr>
        <w:t>”或“撤回</w:t>
      </w:r>
      <w:r>
        <w:rPr>
          <w:rFonts w:hint="eastAsia" w:ascii="宋体" w:hAnsi="宋体" w:cs="宋体"/>
          <w:color w:val="auto"/>
          <w:sz w:val="24"/>
          <w:lang w:eastAsia="zh-CN"/>
        </w:rPr>
        <w:t>响应文件</w:t>
      </w:r>
      <w:r>
        <w:rPr>
          <w:rFonts w:hint="eastAsia" w:ascii="宋体" w:hAnsi="宋体" w:cs="宋体"/>
          <w:color w:val="auto"/>
          <w:sz w:val="24"/>
        </w:rPr>
        <w:t>”字样。</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25.3截止时间之后，供应商不得对</w:t>
      </w:r>
      <w:r>
        <w:rPr>
          <w:rFonts w:hint="eastAsia" w:ascii="宋体" w:hAnsi="宋体" w:cs="宋体"/>
          <w:color w:val="auto"/>
          <w:sz w:val="24"/>
          <w:lang w:eastAsia="zh-CN"/>
        </w:rPr>
        <w:t>响应文件</w:t>
      </w:r>
      <w:r>
        <w:rPr>
          <w:rFonts w:hint="eastAsia" w:ascii="宋体" w:hAnsi="宋体" w:cs="宋体"/>
          <w:color w:val="auto"/>
          <w:sz w:val="24"/>
        </w:rPr>
        <w:t>做任何修改。</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25.4 供应商不得在截止时间起至</w:t>
      </w:r>
      <w:r>
        <w:rPr>
          <w:rFonts w:hint="eastAsia" w:ascii="宋体" w:hAnsi="宋体" w:cs="宋体"/>
          <w:color w:val="auto"/>
          <w:sz w:val="24"/>
          <w:lang w:eastAsia="zh-CN"/>
        </w:rPr>
        <w:t>响应文件</w:t>
      </w:r>
      <w:r>
        <w:rPr>
          <w:rFonts w:hint="eastAsia" w:ascii="宋体" w:hAnsi="宋体" w:cs="宋体"/>
          <w:color w:val="auto"/>
          <w:sz w:val="24"/>
        </w:rPr>
        <w:t>有效期期满前撤回</w:t>
      </w:r>
      <w:r>
        <w:rPr>
          <w:rFonts w:hint="eastAsia" w:ascii="宋体" w:hAnsi="宋体" w:cs="宋体"/>
          <w:color w:val="auto"/>
          <w:sz w:val="24"/>
          <w:lang w:eastAsia="zh-CN"/>
        </w:rPr>
        <w:t>响应文件</w:t>
      </w:r>
      <w:r>
        <w:rPr>
          <w:rFonts w:hint="eastAsia" w:ascii="宋体" w:hAnsi="宋体" w:cs="宋体"/>
          <w:color w:val="auto"/>
          <w:sz w:val="24"/>
        </w:rPr>
        <w:t>。</w:t>
      </w:r>
    </w:p>
    <w:p>
      <w:pPr>
        <w:widowControl/>
        <w:spacing w:line="360" w:lineRule="auto"/>
        <w:ind w:firstLine="480" w:firstLineChars="200"/>
        <w:rPr>
          <w:rFonts w:hint="eastAsia" w:ascii="宋体" w:hAnsi="宋体" w:eastAsia="宋体" w:cs="宋体"/>
          <w:color w:val="auto"/>
          <w:sz w:val="24"/>
          <w:lang w:eastAsia="zh-CN"/>
        </w:rPr>
      </w:pPr>
      <w:bookmarkStart w:id="131" w:name="_Toc243907599"/>
      <w:bookmarkStart w:id="132" w:name="_Toc233274839"/>
      <w:bookmarkStart w:id="133" w:name="_Toc245897299"/>
      <w:bookmarkStart w:id="134" w:name="_Toc243906338"/>
      <w:r>
        <w:rPr>
          <w:rFonts w:hint="eastAsia" w:ascii="宋体" w:hAnsi="宋体" w:cs="宋体"/>
          <w:color w:val="auto"/>
          <w:sz w:val="24"/>
        </w:rPr>
        <w:t>26、递交</w:t>
      </w:r>
      <w:bookmarkEnd w:id="131"/>
      <w:bookmarkEnd w:id="132"/>
      <w:bookmarkEnd w:id="133"/>
      <w:bookmarkEnd w:id="134"/>
      <w:r>
        <w:rPr>
          <w:rFonts w:hint="eastAsia" w:ascii="宋体" w:hAnsi="宋体" w:cs="宋体"/>
          <w:color w:val="auto"/>
          <w:sz w:val="24"/>
          <w:lang w:eastAsia="zh-CN"/>
        </w:rPr>
        <w:t>响应文件</w:t>
      </w:r>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35" w:name="_Toc28405"/>
      <w:r>
        <w:rPr>
          <w:rFonts w:hint="eastAsia" w:hAnsi="宋体" w:cs="宋体"/>
          <w:color w:val="auto"/>
          <w:sz w:val="24"/>
          <w:szCs w:val="24"/>
          <w:lang w:val="en-US" w:eastAsia="zh-CN"/>
        </w:rPr>
        <w:t>26</w:t>
      </w:r>
      <w:r>
        <w:rPr>
          <w:rFonts w:hint="eastAsia" w:hAnsi="宋体" w:cs="宋体"/>
          <w:color w:val="auto"/>
          <w:sz w:val="24"/>
          <w:szCs w:val="24"/>
        </w:rPr>
        <w:t>.1</w:t>
      </w:r>
      <w:r>
        <w:rPr>
          <w:rFonts w:hint="eastAsia" w:ascii="宋体" w:hAnsi="宋体" w:cs="宋体"/>
          <w:color w:val="auto"/>
          <w:sz w:val="24"/>
        </w:rPr>
        <w:t>本项目实行“不见面”网上评标系统，</w:t>
      </w:r>
      <w:r>
        <w:rPr>
          <w:rFonts w:hint="eastAsia" w:ascii="宋体" w:hAnsi="宋体" w:cs="宋体"/>
          <w:color w:val="auto"/>
          <w:sz w:val="24"/>
          <w:lang w:eastAsia="zh-CN"/>
        </w:rPr>
        <w:t>供应商</w:t>
      </w:r>
      <w:r>
        <w:rPr>
          <w:rFonts w:hint="eastAsia" w:ascii="宋体" w:hAnsi="宋体" w:cs="宋体"/>
          <w:color w:val="auto"/>
          <w:sz w:val="24"/>
        </w:rPr>
        <w:t>的法</w:t>
      </w:r>
      <w:r>
        <w:rPr>
          <w:rFonts w:hint="eastAsia" w:ascii="宋体" w:hAnsi="宋体" w:cs="宋体"/>
          <w:color w:val="auto"/>
          <w:sz w:val="24"/>
          <w:lang w:val="en-US" w:eastAsia="zh-CN"/>
        </w:rPr>
        <w:t>定</w:t>
      </w:r>
      <w:r>
        <w:rPr>
          <w:rFonts w:hint="eastAsia" w:ascii="宋体" w:hAnsi="宋体" w:cs="宋体"/>
          <w:color w:val="auto"/>
          <w:sz w:val="24"/>
        </w:rPr>
        <w:t>代表人或其委托代理人无需到开标现场递交投标文件</w:t>
      </w:r>
      <w:r>
        <w:rPr>
          <w:rFonts w:hint="eastAsia" w:ascii="宋体" w:hAnsi="宋体" w:cs="宋体"/>
          <w:color w:val="auto"/>
          <w:sz w:val="24"/>
          <w:lang w:eastAsia="zh-CN"/>
        </w:rPr>
        <w:t>，但</w:t>
      </w:r>
      <w:r>
        <w:rPr>
          <w:rFonts w:hint="eastAsia" w:ascii="宋体" w:hAnsi="宋体" w:cs="宋体"/>
          <w:color w:val="auto"/>
          <w:sz w:val="24"/>
          <w:lang w:val="en-US" w:eastAsia="zh-CN"/>
        </w:rPr>
        <w:t>在开标、评标过程中请各供应商</w:t>
      </w:r>
      <w:r>
        <w:rPr>
          <w:rFonts w:hint="eastAsia" w:ascii="宋体" w:hAnsi="宋体" w:cs="宋体"/>
          <w:color w:val="auto"/>
          <w:sz w:val="24"/>
        </w:rPr>
        <w:t>法定代表人或授权委托人</w:t>
      </w:r>
      <w:r>
        <w:rPr>
          <w:rFonts w:hint="eastAsia" w:ascii="宋体" w:hAnsi="宋体" w:cs="宋体"/>
          <w:color w:val="auto"/>
          <w:sz w:val="24"/>
          <w:lang w:val="en-US" w:eastAsia="zh-CN"/>
        </w:rPr>
        <w:t>等待在电脑屏幕跟前，及时配合开标、评标过程中的工作，直至采购代理机构告知开标、评标结束，如在开标、评标过程中未及时处理造成影响的后果由供应商自行承担</w:t>
      </w:r>
      <w:r>
        <w:rPr>
          <w:rFonts w:hint="eastAsia" w:ascii="宋体" w:hAnsi="宋体" w:cs="宋体"/>
          <w:color w:val="auto"/>
          <w:sz w:val="24"/>
        </w:rPr>
        <w:t>。</w:t>
      </w:r>
      <w:bookmarkEnd w:id="135"/>
    </w:p>
    <w:p>
      <w:pPr>
        <w:pStyle w:val="9"/>
        <w:keepNext w:val="0"/>
        <w:keepLines w:val="0"/>
        <w:pageBreakBefore w:val="0"/>
        <w:kinsoku/>
        <w:wordWrap/>
        <w:overflowPunct/>
        <w:topLinePunct w:val="0"/>
        <w:autoSpaceDE/>
        <w:autoSpaceDN/>
        <w:bidi w:val="0"/>
        <w:spacing w:line="440" w:lineRule="exact"/>
        <w:ind w:firstLine="482" w:firstLineChars="200"/>
        <w:outlineLvl w:val="1"/>
        <w:rPr>
          <w:rFonts w:hint="eastAsia" w:hAnsi="宋体" w:cs="宋体"/>
          <w:b/>
          <w:bCs/>
          <w:color w:val="auto"/>
          <w:sz w:val="24"/>
          <w:szCs w:val="24"/>
        </w:rPr>
      </w:pPr>
      <w:bookmarkStart w:id="136" w:name="_Toc27757"/>
      <w:r>
        <w:rPr>
          <w:rFonts w:hint="eastAsia" w:hAnsi="宋体" w:cs="宋体"/>
          <w:b/>
          <w:bCs/>
          <w:color w:val="auto"/>
          <w:sz w:val="24"/>
          <w:szCs w:val="24"/>
        </w:rPr>
        <w:t>2</w:t>
      </w:r>
      <w:r>
        <w:rPr>
          <w:rFonts w:hint="eastAsia" w:hAnsi="宋体" w:cs="宋体"/>
          <w:b/>
          <w:bCs/>
          <w:color w:val="auto"/>
          <w:sz w:val="24"/>
          <w:szCs w:val="24"/>
          <w:lang w:val="en-US" w:eastAsia="zh-CN"/>
        </w:rPr>
        <w:t>6</w:t>
      </w:r>
      <w:r>
        <w:rPr>
          <w:rFonts w:hint="eastAsia" w:hAnsi="宋体" w:cs="宋体"/>
          <w:b/>
          <w:bCs/>
          <w:color w:val="auto"/>
          <w:sz w:val="24"/>
          <w:szCs w:val="24"/>
        </w:rPr>
        <w:t>.2有下列情形之一的，采购人不予接收其</w:t>
      </w:r>
      <w:r>
        <w:rPr>
          <w:rFonts w:hint="eastAsia" w:hAnsi="宋体" w:cs="宋体"/>
          <w:b/>
          <w:bCs/>
          <w:color w:val="auto"/>
          <w:sz w:val="24"/>
          <w:szCs w:val="24"/>
          <w:lang w:eastAsia="zh-CN"/>
        </w:rPr>
        <w:t>响应文件</w:t>
      </w:r>
      <w:r>
        <w:rPr>
          <w:rFonts w:hint="eastAsia" w:hAnsi="宋体" w:cs="宋体"/>
          <w:b/>
          <w:bCs/>
          <w:color w:val="auto"/>
          <w:sz w:val="24"/>
          <w:szCs w:val="24"/>
        </w:rPr>
        <w:t>：</w:t>
      </w:r>
      <w:bookmarkEnd w:id="136"/>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37" w:name="_Toc7211"/>
      <w:r>
        <w:rPr>
          <w:rFonts w:hint="eastAsia" w:hAnsi="宋体" w:cs="宋体"/>
          <w:color w:val="auto"/>
          <w:sz w:val="24"/>
          <w:szCs w:val="24"/>
        </w:rPr>
        <w:t>2</w:t>
      </w:r>
      <w:r>
        <w:rPr>
          <w:rFonts w:hint="eastAsia" w:hAnsi="宋体" w:cs="宋体"/>
          <w:color w:val="auto"/>
          <w:sz w:val="24"/>
          <w:szCs w:val="24"/>
          <w:lang w:val="en-US" w:eastAsia="zh-CN"/>
        </w:rPr>
        <w:t>6</w:t>
      </w:r>
      <w:r>
        <w:rPr>
          <w:rFonts w:hint="eastAsia" w:hAnsi="宋体" w:cs="宋体"/>
          <w:color w:val="auto"/>
          <w:sz w:val="24"/>
          <w:szCs w:val="24"/>
        </w:rPr>
        <w:t>.2.1供应商在递交</w:t>
      </w:r>
      <w:r>
        <w:rPr>
          <w:rFonts w:hint="eastAsia" w:hAnsi="宋体" w:cs="宋体"/>
          <w:color w:val="auto"/>
          <w:sz w:val="24"/>
          <w:szCs w:val="24"/>
          <w:lang w:eastAsia="zh-CN"/>
        </w:rPr>
        <w:t>响应文件</w:t>
      </w:r>
      <w:r>
        <w:rPr>
          <w:rFonts w:hint="eastAsia" w:hAnsi="宋体" w:cs="宋体"/>
          <w:color w:val="auto"/>
          <w:sz w:val="24"/>
          <w:szCs w:val="24"/>
        </w:rPr>
        <w:t>截止时间后</w:t>
      </w:r>
      <w:r>
        <w:rPr>
          <w:rFonts w:hint="eastAsia" w:ascii="宋体" w:hAnsi="宋体" w:eastAsia="宋体" w:cs="宋体"/>
          <w:color w:val="auto"/>
          <w:kern w:val="2"/>
          <w:sz w:val="24"/>
          <w:szCs w:val="24"/>
          <w:lang w:val="en-US" w:eastAsia="zh-CN" w:bidi="ar-SA"/>
        </w:rPr>
        <w:t>电子递交</w:t>
      </w:r>
      <w:r>
        <w:rPr>
          <w:rFonts w:hint="eastAsia" w:hAnsi="宋体" w:cs="宋体"/>
          <w:color w:val="auto"/>
          <w:sz w:val="24"/>
          <w:szCs w:val="24"/>
        </w:rPr>
        <w:t>或未</w:t>
      </w:r>
      <w:r>
        <w:rPr>
          <w:rFonts w:hint="eastAsia" w:ascii="宋体" w:hAnsi="宋体" w:eastAsia="宋体" w:cs="宋体"/>
          <w:color w:val="auto"/>
          <w:kern w:val="2"/>
          <w:sz w:val="24"/>
          <w:szCs w:val="24"/>
          <w:lang w:val="en-US" w:eastAsia="zh-CN" w:bidi="ar-SA"/>
        </w:rPr>
        <w:t>电子递交</w:t>
      </w:r>
      <w:r>
        <w:rPr>
          <w:rFonts w:hint="eastAsia" w:hAnsi="宋体" w:cs="宋体"/>
          <w:color w:val="auto"/>
          <w:sz w:val="24"/>
          <w:szCs w:val="24"/>
        </w:rPr>
        <w:t>到指定地点的</w:t>
      </w:r>
      <w:r>
        <w:rPr>
          <w:rFonts w:hint="eastAsia" w:hAnsi="宋体" w:cs="宋体"/>
          <w:color w:val="auto"/>
          <w:sz w:val="24"/>
          <w:szCs w:val="24"/>
          <w:lang w:eastAsia="zh-CN"/>
        </w:rPr>
        <w:t>响应文件</w:t>
      </w:r>
      <w:r>
        <w:rPr>
          <w:rFonts w:hint="eastAsia" w:hAnsi="宋体" w:cs="宋体"/>
          <w:color w:val="auto"/>
          <w:sz w:val="24"/>
          <w:szCs w:val="24"/>
        </w:rPr>
        <w:t>；</w:t>
      </w:r>
      <w:bookmarkEnd w:id="137"/>
    </w:p>
    <w:p>
      <w:pPr>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五、</w:t>
      </w:r>
      <w:bookmarkEnd w:id="113"/>
      <w:bookmarkEnd w:id="114"/>
      <w:bookmarkEnd w:id="115"/>
      <w:bookmarkEnd w:id="116"/>
      <w:bookmarkEnd w:id="117"/>
      <w:r>
        <w:rPr>
          <w:rFonts w:hint="eastAsia" w:ascii="宋体" w:hAnsi="宋体" w:cs="宋体"/>
          <w:b/>
          <w:bCs/>
          <w:color w:val="auto"/>
          <w:sz w:val="24"/>
          <w:highlight w:val="none"/>
          <w:lang w:val="en-US" w:eastAsia="zh-CN"/>
        </w:rPr>
        <w:t>磋商</w:t>
      </w:r>
      <w:r>
        <w:rPr>
          <w:rFonts w:hint="eastAsia" w:ascii="宋体" w:hAnsi="宋体" w:cs="宋体"/>
          <w:b/>
          <w:bCs/>
          <w:color w:val="auto"/>
          <w:sz w:val="24"/>
          <w:highlight w:val="none"/>
        </w:rPr>
        <w:t>、</w:t>
      </w:r>
      <w:r>
        <w:rPr>
          <w:rFonts w:hint="eastAsia" w:ascii="宋体" w:hAnsi="宋体" w:cs="宋体"/>
          <w:b/>
          <w:color w:val="auto"/>
          <w:sz w:val="24"/>
          <w:highlight w:val="none"/>
        </w:rPr>
        <w:t>评标</w:t>
      </w:r>
      <w:r>
        <w:rPr>
          <w:rFonts w:hint="eastAsia" w:ascii="宋体" w:hAnsi="宋体" w:cs="宋体"/>
          <w:b/>
          <w:bCs/>
          <w:color w:val="auto"/>
          <w:sz w:val="24"/>
          <w:highlight w:val="none"/>
        </w:rPr>
        <w:t>、确定</w:t>
      </w:r>
      <w:r>
        <w:rPr>
          <w:rFonts w:hint="eastAsia" w:ascii="宋体" w:hAnsi="宋体" w:cs="宋体"/>
          <w:b/>
          <w:bCs/>
          <w:color w:val="auto"/>
          <w:sz w:val="24"/>
          <w:highlight w:val="none"/>
          <w:lang w:eastAsia="zh-CN"/>
        </w:rPr>
        <w:t>成交</w:t>
      </w:r>
      <w:r>
        <w:rPr>
          <w:rFonts w:hint="eastAsia" w:ascii="宋体" w:hAnsi="宋体" w:cs="宋体"/>
          <w:b/>
          <w:bCs/>
          <w:color w:val="auto"/>
          <w:sz w:val="24"/>
          <w:highlight w:val="none"/>
        </w:rPr>
        <w:t>供应商</w:t>
      </w:r>
    </w:p>
    <w:p>
      <w:pPr>
        <w:spacing w:line="360" w:lineRule="auto"/>
        <w:ind w:firstLine="480" w:firstLineChars="200"/>
        <w:outlineLvl w:val="1"/>
        <w:rPr>
          <w:rFonts w:ascii="宋体" w:hAnsi="宋体" w:cs="宋体"/>
          <w:color w:val="auto"/>
          <w:sz w:val="24"/>
        </w:rPr>
      </w:pPr>
      <w:bookmarkStart w:id="138" w:name="_Toc243906340"/>
      <w:bookmarkStart w:id="139" w:name="_Toc243907601"/>
      <w:bookmarkStart w:id="140" w:name="_Toc245897301"/>
      <w:bookmarkStart w:id="141" w:name="_Toc233274841"/>
      <w:bookmarkStart w:id="142" w:name="_Toc243906348"/>
      <w:bookmarkStart w:id="143" w:name="_Toc245897308"/>
      <w:bookmarkStart w:id="144" w:name="_Toc233274847"/>
      <w:bookmarkStart w:id="145" w:name="_Toc243907609"/>
      <w:bookmarkStart w:id="146" w:name="_Toc22731"/>
      <w:r>
        <w:rPr>
          <w:rFonts w:hint="eastAsia" w:ascii="宋体" w:hAnsi="宋体" w:cs="宋体"/>
          <w:color w:val="auto"/>
          <w:sz w:val="24"/>
        </w:rPr>
        <w:t>27、</w:t>
      </w:r>
      <w:bookmarkEnd w:id="138"/>
      <w:bookmarkEnd w:id="139"/>
      <w:bookmarkEnd w:id="140"/>
      <w:bookmarkEnd w:id="141"/>
      <w:r>
        <w:rPr>
          <w:rFonts w:hint="eastAsia" w:ascii="宋体" w:hAnsi="宋体" w:cs="宋体"/>
          <w:color w:val="auto"/>
          <w:sz w:val="24"/>
          <w:highlight w:val="none"/>
        </w:rPr>
        <w:t>磋商</w:t>
      </w:r>
      <w:r>
        <w:rPr>
          <w:rFonts w:hint="eastAsia" w:ascii="宋体" w:hAnsi="宋体" w:cs="宋体"/>
          <w:color w:val="auto"/>
          <w:sz w:val="24"/>
        </w:rPr>
        <w:t>会议</w:t>
      </w:r>
    </w:p>
    <w:p>
      <w:pPr>
        <w:spacing w:line="360" w:lineRule="auto"/>
        <w:ind w:firstLine="480" w:firstLineChars="200"/>
        <w:rPr>
          <w:rFonts w:ascii="宋体" w:hAnsi="宋体" w:cs="宋体"/>
          <w:color w:val="auto"/>
          <w:sz w:val="24"/>
        </w:rPr>
      </w:pPr>
      <w:r>
        <w:rPr>
          <w:rFonts w:hint="eastAsia" w:ascii="宋体" w:hAnsi="宋体" w:cs="宋体"/>
          <w:color w:val="auto"/>
          <w:sz w:val="24"/>
        </w:rPr>
        <w:t>27.1采购人在本供应商须知前附表第8项规定的时间和地点组织</w:t>
      </w:r>
      <w:r>
        <w:rPr>
          <w:rFonts w:hint="eastAsia" w:ascii="宋体" w:hAnsi="宋体" w:cs="宋体"/>
          <w:color w:val="auto"/>
          <w:sz w:val="24"/>
          <w:highlight w:val="none"/>
        </w:rPr>
        <w:t>磋商</w:t>
      </w:r>
      <w:r>
        <w:rPr>
          <w:rFonts w:hint="eastAsia" w:ascii="宋体" w:hAnsi="宋体" w:cs="宋体"/>
          <w:color w:val="auto"/>
          <w:sz w:val="24"/>
        </w:rPr>
        <w:t>会议。</w:t>
      </w:r>
    </w:p>
    <w:p>
      <w:pPr>
        <w:spacing w:line="360" w:lineRule="auto"/>
        <w:ind w:firstLine="480" w:firstLineChars="200"/>
        <w:rPr>
          <w:rFonts w:ascii="宋体" w:hAnsi="宋体" w:cs="宋体"/>
          <w:color w:val="auto"/>
          <w:sz w:val="24"/>
        </w:rPr>
      </w:pPr>
      <w:r>
        <w:rPr>
          <w:rFonts w:hint="eastAsia" w:ascii="宋体" w:hAnsi="宋体" w:cs="宋体"/>
          <w:color w:val="auto"/>
          <w:sz w:val="24"/>
        </w:rPr>
        <w:t>27.2</w:t>
      </w:r>
      <w:r>
        <w:rPr>
          <w:rFonts w:hint="eastAsia" w:ascii="宋体" w:hAnsi="宋体" w:eastAsia="宋体" w:cs="宋体"/>
          <w:b/>
          <w:color w:val="auto"/>
          <w:kern w:val="2"/>
          <w:sz w:val="24"/>
          <w:szCs w:val="24"/>
          <w:lang w:val="en-US" w:eastAsia="zh-CN" w:bidi="ar-SA"/>
        </w:rPr>
        <w:t>本项目实行“不见面”网上评标系统，供应商的法定代表人或其委托代理人无需到开标现场递交投标文件</w:t>
      </w:r>
      <w:r>
        <w:rPr>
          <w:rFonts w:hint="eastAsia" w:ascii="宋体" w:hAnsi="宋体" w:cs="宋体"/>
          <w:color w:val="auto"/>
          <w:sz w:val="24"/>
        </w:rPr>
        <w:t>。</w:t>
      </w:r>
    </w:p>
    <w:p>
      <w:pPr>
        <w:pStyle w:val="7"/>
        <w:ind w:firstLine="482" w:firstLineChars="200"/>
        <w:rPr>
          <w:rFonts w:ascii="宋体" w:hAnsi="宋体" w:cs="宋体"/>
          <w:b/>
          <w:color w:val="auto"/>
          <w:sz w:val="24"/>
        </w:rPr>
      </w:pPr>
      <w:r>
        <w:rPr>
          <w:rFonts w:hint="eastAsia" w:ascii="宋体" w:hAnsi="宋体" w:cs="宋体"/>
          <w:b/>
          <w:color w:val="auto"/>
          <w:sz w:val="24"/>
        </w:rPr>
        <w:t>27.3供应商法定代表人委托代理人须是本企业的人员。</w:t>
      </w:r>
    </w:p>
    <w:p>
      <w:pPr>
        <w:spacing w:line="360" w:lineRule="auto"/>
        <w:ind w:firstLine="480" w:firstLineChars="200"/>
        <w:rPr>
          <w:rFonts w:ascii="宋体" w:hAnsi="宋体" w:cs="宋体"/>
          <w:color w:val="auto"/>
          <w:sz w:val="24"/>
        </w:rPr>
      </w:pPr>
      <w:r>
        <w:rPr>
          <w:rFonts w:hint="eastAsia" w:ascii="宋体" w:hAnsi="宋体" w:cs="宋体"/>
          <w:color w:val="auto"/>
          <w:sz w:val="24"/>
        </w:rPr>
        <w:t>27.4</w:t>
      </w:r>
      <w:r>
        <w:rPr>
          <w:rFonts w:hint="eastAsia" w:ascii="宋体" w:hAnsi="宋体" w:cs="宋体"/>
          <w:color w:val="auto"/>
          <w:sz w:val="24"/>
          <w:highlight w:val="none"/>
        </w:rPr>
        <w:t>磋商</w:t>
      </w:r>
      <w:r>
        <w:rPr>
          <w:rFonts w:hint="eastAsia" w:ascii="宋体" w:hAnsi="宋体" w:cs="宋体"/>
          <w:color w:val="auto"/>
          <w:sz w:val="24"/>
        </w:rPr>
        <w:t>会议由采购代理机构组织并主持。</w:t>
      </w:r>
    </w:p>
    <w:p>
      <w:pPr>
        <w:spacing w:line="360" w:lineRule="auto"/>
        <w:ind w:firstLine="480" w:firstLineChars="200"/>
        <w:rPr>
          <w:rFonts w:ascii="宋体" w:hAnsi="宋体" w:cs="宋体"/>
          <w:color w:val="auto"/>
          <w:sz w:val="24"/>
        </w:rPr>
      </w:pPr>
      <w:r>
        <w:rPr>
          <w:rFonts w:hint="eastAsia" w:ascii="宋体" w:hAnsi="宋体" w:cs="宋体"/>
          <w:color w:val="auto"/>
          <w:sz w:val="24"/>
        </w:rPr>
        <w:t>27.5在</w:t>
      </w:r>
      <w:r>
        <w:rPr>
          <w:rFonts w:hint="eastAsia" w:ascii="宋体" w:hAnsi="宋体" w:cs="宋体"/>
          <w:color w:val="auto"/>
          <w:sz w:val="24"/>
          <w:highlight w:val="none"/>
        </w:rPr>
        <w:t>磋商</w:t>
      </w:r>
      <w:r>
        <w:rPr>
          <w:rFonts w:hint="eastAsia" w:ascii="宋体" w:hAnsi="宋体" w:cs="宋体"/>
          <w:color w:val="auto"/>
          <w:sz w:val="24"/>
        </w:rPr>
        <w:t>过程中，工作人员如发现</w:t>
      </w:r>
      <w:r>
        <w:rPr>
          <w:rFonts w:hint="eastAsia" w:ascii="宋体" w:hAnsi="宋体" w:cs="宋体"/>
          <w:color w:val="auto"/>
          <w:sz w:val="24"/>
          <w:lang w:eastAsia="zh-CN"/>
        </w:rPr>
        <w:t>响应文件</w:t>
      </w:r>
      <w:r>
        <w:rPr>
          <w:rFonts w:hint="eastAsia" w:ascii="宋体" w:hAnsi="宋体" w:cs="宋体"/>
          <w:color w:val="auto"/>
          <w:sz w:val="24"/>
        </w:rPr>
        <w:t>组成部分不齐全，由</w:t>
      </w:r>
      <w:r>
        <w:rPr>
          <w:rFonts w:hint="eastAsia" w:ascii="宋体" w:hAnsi="宋体" w:cs="宋体"/>
          <w:color w:val="auto"/>
          <w:sz w:val="24"/>
          <w:highlight w:val="none"/>
        </w:rPr>
        <w:t>磋商</w:t>
      </w:r>
      <w:r>
        <w:rPr>
          <w:rFonts w:hint="eastAsia" w:ascii="宋体" w:hAnsi="宋体" w:cs="宋体"/>
          <w:color w:val="auto"/>
          <w:sz w:val="24"/>
          <w:highlight w:val="none"/>
          <w:lang w:val="en-US" w:eastAsia="zh-CN"/>
        </w:rPr>
        <w:t>小组</w:t>
      </w:r>
      <w:r>
        <w:rPr>
          <w:rFonts w:hint="eastAsia" w:ascii="宋体" w:hAnsi="宋体" w:cs="宋体"/>
          <w:color w:val="auto"/>
          <w:sz w:val="24"/>
        </w:rPr>
        <w:t>认定其有效性。</w:t>
      </w:r>
      <w:r>
        <w:rPr>
          <w:rFonts w:hint="eastAsia" w:ascii="宋体" w:hAnsi="宋体" w:cs="宋体"/>
          <w:color w:val="auto"/>
          <w:sz w:val="24"/>
          <w:highlight w:val="none"/>
        </w:rPr>
        <w:t>磋商</w:t>
      </w:r>
      <w:r>
        <w:rPr>
          <w:rFonts w:hint="eastAsia" w:ascii="宋体" w:hAnsi="宋体" w:cs="宋体"/>
          <w:color w:val="auto"/>
          <w:sz w:val="24"/>
          <w:highlight w:val="none"/>
          <w:lang w:val="en-US" w:eastAsia="zh-CN"/>
        </w:rPr>
        <w:t>小组</w:t>
      </w:r>
      <w:r>
        <w:rPr>
          <w:rFonts w:hint="eastAsia" w:ascii="宋体" w:hAnsi="宋体" w:cs="宋体"/>
          <w:color w:val="auto"/>
          <w:sz w:val="24"/>
        </w:rPr>
        <w:t>认定的无效</w:t>
      </w:r>
      <w:r>
        <w:rPr>
          <w:rFonts w:hint="eastAsia" w:ascii="宋体" w:hAnsi="宋体" w:cs="宋体"/>
          <w:color w:val="auto"/>
          <w:sz w:val="24"/>
          <w:lang w:eastAsia="zh-CN"/>
        </w:rPr>
        <w:t>响应文件</w:t>
      </w:r>
      <w:r>
        <w:rPr>
          <w:rFonts w:hint="eastAsia" w:ascii="宋体" w:hAnsi="宋体" w:cs="宋体"/>
          <w:color w:val="auto"/>
          <w:sz w:val="24"/>
        </w:rPr>
        <w:t>将不进入</w:t>
      </w:r>
      <w:r>
        <w:rPr>
          <w:rFonts w:hint="eastAsia" w:ascii="宋体" w:hAnsi="宋体" w:cs="宋体"/>
          <w:color w:val="auto"/>
          <w:sz w:val="24"/>
          <w:highlight w:val="none"/>
        </w:rPr>
        <w:t>磋商、评审阶段</w:t>
      </w:r>
      <w:r>
        <w:rPr>
          <w:rFonts w:hint="eastAsia" w:ascii="宋体" w:hAnsi="宋体" w:cs="宋体"/>
          <w:color w:val="auto"/>
          <w:sz w:val="24"/>
        </w:rPr>
        <w:t>。</w:t>
      </w:r>
    </w:p>
    <w:p>
      <w:pPr>
        <w:spacing w:line="360" w:lineRule="auto"/>
        <w:ind w:firstLine="480" w:firstLineChars="200"/>
        <w:outlineLvl w:val="1"/>
        <w:rPr>
          <w:rFonts w:ascii="宋体" w:hAnsi="宋体" w:cs="宋体"/>
          <w:color w:val="auto"/>
          <w:sz w:val="24"/>
        </w:rPr>
      </w:pPr>
      <w:bookmarkStart w:id="147" w:name="_Toc233274842"/>
      <w:bookmarkStart w:id="148" w:name="_Toc245897302"/>
      <w:bookmarkStart w:id="149" w:name="_Toc243906341"/>
      <w:bookmarkStart w:id="150" w:name="_Toc243907602"/>
      <w:bookmarkStart w:id="151" w:name="_Toc243907605"/>
      <w:bookmarkStart w:id="152" w:name="_Toc233274843"/>
      <w:bookmarkStart w:id="153" w:name="_Toc243906344"/>
      <w:bookmarkStart w:id="154" w:name="_Toc245897304"/>
      <w:r>
        <w:rPr>
          <w:rFonts w:hint="eastAsia" w:ascii="宋体" w:hAnsi="宋体" w:cs="宋体"/>
          <w:color w:val="auto"/>
          <w:sz w:val="24"/>
        </w:rPr>
        <w:t>28、</w:t>
      </w:r>
      <w:bookmarkEnd w:id="147"/>
      <w:bookmarkEnd w:id="148"/>
      <w:bookmarkEnd w:id="149"/>
      <w:bookmarkEnd w:id="150"/>
      <w:r>
        <w:rPr>
          <w:rFonts w:hint="eastAsia" w:ascii="宋体" w:hAnsi="宋体" w:cs="宋体"/>
          <w:color w:val="auto"/>
          <w:sz w:val="24"/>
          <w:highlight w:val="none"/>
        </w:rPr>
        <w:t>磋商小组</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28</w:t>
      </w:r>
      <w:r>
        <w:rPr>
          <w:rFonts w:hint="eastAsia" w:ascii="宋体" w:hAnsi="宋体" w:cs="宋体"/>
          <w:color w:val="auto"/>
          <w:sz w:val="24"/>
        </w:rPr>
        <w:t>.1</w:t>
      </w:r>
      <w:r>
        <w:rPr>
          <w:rFonts w:hint="eastAsia" w:ascii="宋体" w:hAnsi="宋体" w:cs="宋体"/>
          <w:color w:val="auto"/>
          <w:sz w:val="24"/>
          <w:highlight w:val="none"/>
        </w:rPr>
        <w:t>磋商小组成员组成：按照《中华人民共和国政府采购法》、《中华人民共和国政府采购实施条例》、《政府采购竞争性磋商采购方式管理暂行办法》（中华人民共和国财政部文件财库[2014]214号）及相关法律、法规规定组建，由采购人代表和评审专家组成。磋商小组将负责对供应商提交的响应文件进行磋商、评审，确保磋商、评审过程公正、合法、保密，并向采购人推荐成交候选供应商</w:t>
      </w:r>
      <w:r>
        <w:rPr>
          <w:rFonts w:hint="eastAsia" w:ascii="宋体" w:hAnsi="宋体" w:cs="宋体"/>
          <w:color w:val="auto"/>
          <w:sz w:val="24"/>
        </w:rPr>
        <w:t>。</w:t>
      </w:r>
    </w:p>
    <w:p>
      <w:pPr>
        <w:keepNext w:val="0"/>
        <w:keepLines w:val="0"/>
        <w:pageBreakBefore w:val="0"/>
        <w:kinsoku/>
        <w:wordWrap/>
        <w:overflowPunct/>
        <w:topLinePunct w:val="0"/>
        <w:autoSpaceDE/>
        <w:autoSpaceDN/>
        <w:bidi w:val="0"/>
        <w:spacing w:line="440" w:lineRule="exact"/>
        <w:ind w:firstLine="482" w:firstLineChars="200"/>
        <w:rPr>
          <w:rFonts w:hint="eastAsia"/>
          <w:b/>
          <w:bCs w:val="0"/>
          <w:color w:val="auto"/>
        </w:rPr>
      </w:pPr>
      <w:r>
        <w:rPr>
          <w:rFonts w:hint="eastAsia" w:ascii="宋体" w:hAnsi="宋体" w:cs="宋体"/>
          <w:b/>
          <w:bCs w:val="0"/>
          <w:color w:val="auto"/>
          <w:sz w:val="24"/>
          <w:lang w:val="en-US" w:eastAsia="zh-CN"/>
        </w:rPr>
        <w:t>29</w:t>
      </w:r>
      <w:r>
        <w:rPr>
          <w:rFonts w:hint="eastAsia" w:ascii="宋体" w:hAnsi="宋体" w:cs="宋体"/>
          <w:b/>
          <w:bCs w:val="0"/>
          <w:color w:val="auto"/>
          <w:sz w:val="24"/>
        </w:rPr>
        <w:t>、</w:t>
      </w:r>
      <w:r>
        <w:rPr>
          <w:rFonts w:hint="eastAsia" w:ascii="宋体" w:hAnsi="宋体" w:cs="宋体"/>
          <w:b/>
          <w:bCs w:val="0"/>
          <w:color w:val="auto"/>
          <w:sz w:val="24"/>
          <w:highlight w:val="none"/>
        </w:rPr>
        <w:t>磋商</w:t>
      </w:r>
    </w:p>
    <w:bookmarkEnd w:id="142"/>
    <w:bookmarkEnd w:id="143"/>
    <w:bookmarkEnd w:id="144"/>
    <w:bookmarkEnd w:id="145"/>
    <w:bookmarkEnd w:id="151"/>
    <w:bookmarkEnd w:id="152"/>
    <w:bookmarkEnd w:id="153"/>
    <w:bookmarkEnd w:id="154"/>
    <w:p>
      <w:pPr>
        <w:widowControl/>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29.1</w:t>
      </w:r>
      <w:r>
        <w:rPr>
          <w:rFonts w:hint="eastAsia" w:ascii="宋体" w:hAnsi="宋体" w:cs="宋体"/>
          <w:color w:val="auto"/>
          <w:sz w:val="24"/>
          <w:lang w:val="en-US" w:eastAsia="zh-CN"/>
        </w:rPr>
        <w:t>磋商</w:t>
      </w:r>
      <w:r>
        <w:rPr>
          <w:rFonts w:hint="eastAsia" w:ascii="宋体" w:hAnsi="宋体" w:eastAsia="宋体" w:cs="宋体"/>
          <w:color w:val="auto"/>
          <w:sz w:val="24"/>
          <w:lang w:eastAsia="zh-CN"/>
        </w:rPr>
        <w:t>程序</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A登录开标系统。 </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B递交</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。供应商</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须在</w:t>
      </w:r>
      <w:r>
        <w:rPr>
          <w:rFonts w:hint="eastAsia" w:ascii="宋体" w:hAnsi="宋体" w:cs="宋体"/>
          <w:color w:val="auto"/>
          <w:sz w:val="24"/>
          <w:lang w:val="en-US" w:eastAsia="zh-CN"/>
        </w:rPr>
        <w:t>响应</w:t>
      </w:r>
      <w:r>
        <w:rPr>
          <w:rFonts w:hint="eastAsia" w:ascii="宋体" w:hAnsi="宋体" w:eastAsia="宋体" w:cs="宋体"/>
          <w:color w:val="auto"/>
          <w:sz w:val="24"/>
          <w:lang w:val="en-US" w:eastAsia="zh-CN"/>
        </w:rPr>
        <w:t>截止时间前上传电子版</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，否则为无效</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 xml:space="preserve">。 </w:t>
      </w:r>
    </w:p>
    <w:p>
      <w:pPr>
        <w:widowControl/>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注：有时间限制，</w:t>
      </w:r>
      <w:r>
        <w:rPr>
          <w:rFonts w:hint="eastAsia" w:ascii="宋体" w:hAnsi="宋体" w:cs="宋体"/>
          <w:color w:val="auto"/>
          <w:sz w:val="24"/>
          <w:lang w:val="en-US" w:eastAsia="zh-CN"/>
        </w:rPr>
        <w:t>响应</w:t>
      </w:r>
      <w:r>
        <w:rPr>
          <w:rFonts w:hint="eastAsia" w:ascii="宋体" w:hAnsi="宋体" w:eastAsia="宋体" w:cs="宋体"/>
          <w:color w:val="auto"/>
          <w:sz w:val="24"/>
          <w:lang w:val="en-US" w:eastAsia="zh-CN"/>
        </w:rPr>
        <w:t>截止时间止不允许供应商上传</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包括截止时间临界点。供应商必须在</w:t>
      </w:r>
      <w:r>
        <w:rPr>
          <w:rFonts w:hint="eastAsia" w:ascii="宋体" w:hAnsi="宋体" w:cs="宋体"/>
          <w:color w:val="auto"/>
          <w:sz w:val="24"/>
          <w:lang w:val="en-US" w:eastAsia="zh-CN"/>
        </w:rPr>
        <w:t>新疆政府采购网政采云平台</w:t>
      </w:r>
      <w:r>
        <w:rPr>
          <w:rFonts w:hint="eastAsia" w:ascii="宋体" w:hAnsi="宋体" w:eastAsia="宋体" w:cs="宋体"/>
          <w:color w:val="auto"/>
          <w:sz w:val="24"/>
          <w:lang w:val="en-US" w:eastAsia="zh-CN"/>
        </w:rPr>
        <w:t>系统规定的</w:t>
      </w:r>
      <w:r>
        <w:rPr>
          <w:rFonts w:hint="eastAsia" w:ascii="宋体" w:hAnsi="宋体" w:cs="宋体"/>
          <w:color w:val="auto"/>
          <w:sz w:val="24"/>
          <w:lang w:val="en-US" w:eastAsia="zh-CN"/>
        </w:rPr>
        <w:t>投标</w:t>
      </w:r>
      <w:r>
        <w:rPr>
          <w:rFonts w:hint="eastAsia" w:ascii="宋体" w:hAnsi="宋体" w:eastAsia="宋体" w:cs="宋体"/>
          <w:color w:val="auto"/>
          <w:sz w:val="24"/>
          <w:lang w:val="en-US" w:eastAsia="zh-CN"/>
        </w:rPr>
        <w:t>时间内上传</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C</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解密。采购代理机构在</w:t>
      </w:r>
      <w:r>
        <w:rPr>
          <w:rFonts w:hint="eastAsia" w:ascii="宋体" w:hAnsi="宋体" w:cs="宋体"/>
          <w:color w:val="auto"/>
          <w:sz w:val="24"/>
          <w:lang w:val="en-US" w:eastAsia="zh-CN"/>
        </w:rPr>
        <w:t>开标</w:t>
      </w:r>
      <w:r>
        <w:rPr>
          <w:rFonts w:hint="eastAsia" w:ascii="宋体" w:hAnsi="宋体" w:eastAsia="宋体" w:cs="宋体"/>
          <w:color w:val="auto"/>
          <w:sz w:val="24"/>
          <w:lang w:val="en-US" w:eastAsia="zh-CN"/>
        </w:rPr>
        <w:t>过程中触发“开始解密”功能后，供应商在有效的解密时间（30分钟）内对自家</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 xml:space="preserve">及时进行解密。 </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注：供应商登录开标系统后，系统会提示信息通知供应商进行</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的解密工作，如果</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在有效时间内未进行解密，则系统默认供应商放弃此项目投标资格。</w:t>
      </w:r>
    </w:p>
    <w:p>
      <w:pPr>
        <w:widowControl/>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lang w:val="en-US" w:eastAsia="zh-CN"/>
        </w:rPr>
        <w:t>D开启报价签字时间规定在20分钟之内，请各供应商及时进行签字确认。</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E本项目采取竞争性磋商形式，评审过程中会发起视频评审，请各供应商提前调配好设备，在开标、评标过程中及时配合工作，直至采购代理机构告知开标、评标结束，如在开标、评标过程中未及时处理造成影响的后果由供应商自行承担。</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磋商小组所有成员</w:t>
      </w:r>
      <w:r>
        <w:rPr>
          <w:rFonts w:hint="eastAsia" w:ascii="宋体" w:hAnsi="宋体" w:eastAsia="宋体" w:cs="宋体"/>
          <w:color w:val="auto"/>
          <w:sz w:val="24"/>
          <w:lang w:val="en-US" w:eastAsia="zh-CN"/>
        </w:rPr>
        <w:t>在</w:t>
      </w:r>
      <w:r>
        <w:rPr>
          <w:rFonts w:hint="eastAsia" w:ascii="宋体" w:hAnsi="宋体" w:cs="宋体"/>
          <w:color w:val="auto"/>
          <w:sz w:val="24"/>
          <w:lang w:val="en-US" w:eastAsia="zh-CN"/>
        </w:rPr>
        <w:t>新疆政府采购网政采云平台</w:t>
      </w:r>
      <w:r>
        <w:rPr>
          <w:rFonts w:hint="eastAsia" w:ascii="宋体" w:hAnsi="宋体" w:eastAsia="宋体" w:cs="宋体"/>
          <w:color w:val="auto"/>
          <w:sz w:val="24"/>
          <w:lang w:val="en-US" w:eastAsia="zh-CN"/>
        </w:rPr>
        <w:t>系统</w:t>
      </w:r>
      <w:r>
        <w:rPr>
          <w:rFonts w:hint="eastAsia" w:ascii="宋体" w:hAnsi="宋体" w:cs="宋体"/>
          <w:color w:val="auto"/>
          <w:sz w:val="24"/>
          <w:highlight w:val="none"/>
        </w:rPr>
        <w:t>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已提交响应文件的供应商，在提交最后报价之前，可以根据磋商情况退出磋商。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磋商小组判断响应文件的响应性仅基于响应文件本身而不依靠任何外部证据，但响应文件有不真实、不正确的内容除外。</w:t>
      </w:r>
    </w:p>
    <w:p>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如果响应文件实质上没有响应磋商文件的要求，磋商小组将予以拒绝，供应商不得通过修正或撤消不符合要求的偏离或保留，而使其成为实质上响应。</w:t>
      </w:r>
    </w:p>
    <w:p>
      <w:pPr>
        <w:spacing w:line="360" w:lineRule="auto"/>
        <w:ind w:firstLine="480" w:firstLineChars="200"/>
        <w:outlineLvl w:val="1"/>
        <w:rPr>
          <w:rFonts w:ascii="宋体" w:hAnsi="宋体" w:cs="宋体"/>
          <w:color w:val="auto"/>
          <w:sz w:val="24"/>
          <w:highlight w:val="none"/>
        </w:rPr>
      </w:pPr>
      <w:bookmarkStart w:id="155" w:name="_Toc224620150"/>
      <w:bookmarkStart w:id="156" w:name="_Toc224624628"/>
      <w:bookmarkStart w:id="157" w:name="_Toc224623557"/>
      <w:bookmarkStart w:id="158" w:name="_Toc224624488"/>
      <w:bookmarkStart w:id="159" w:name="_Toc243906345"/>
      <w:bookmarkStart w:id="160" w:name="_Toc224622928"/>
      <w:bookmarkStart w:id="161" w:name="_Toc243907606"/>
      <w:bookmarkStart w:id="162" w:name="_Toc224623663"/>
      <w:bookmarkStart w:id="163" w:name="_Toc224620071"/>
      <w:bookmarkStart w:id="164" w:name="_Toc224623451"/>
      <w:bookmarkStart w:id="165" w:name="_Toc245897305"/>
      <w:bookmarkStart w:id="166" w:name="_Toc224624767"/>
      <w:r>
        <w:rPr>
          <w:rFonts w:hint="eastAsia" w:ascii="宋体" w:hAnsi="宋体" w:cs="宋体"/>
          <w:color w:val="auto"/>
          <w:sz w:val="24"/>
          <w:highlight w:val="none"/>
        </w:rPr>
        <w:t>30、评审</w:t>
      </w:r>
    </w:p>
    <w:p>
      <w:pPr>
        <w:spacing w:line="360" w:lineRule="auto"/>
        <w:ind w:firstLine="480" w:firstLineChars="200"/>
        <w:outlineLvl w:val="1"/>
        <w:rPr>
          <w:rFonts w:ascii="宋体" w:hAnsi="宋体" w:cs="宋体"/>
          <w:b/>
          <w:bCs/>
          <w:color w:val="auto"/>
          <w:sz w:val="24"/>
          <w:highlight w:val="none"/>
        </w:rPr>
      </w:pPr>
      <w:r>
        <w:rPr>
          <w:rFonts w:hint="eastAsia" w:ascii="宋体" w:hAnsi="宋体" w:cs="宋体"/>
          <w:color w:val="auto"/>
          <w:sz w:val="24"/>
          <w:highlight w:val="none"/>
        </w:rPr>
        <w:t>30.1经磋商确定最终采购需求和提交最后报价的供应商后，</w:t>
      </w:r>
      <w:r>
        <w:rPr>
          <w:rFonts w:hint="eastAsia" w:ascii="宋体" w:hAnsi="宋体" w:cs="宋体"/>
          <w:b/>
          <w:bCs/>
          <w:color w:val="auto"/>
          <w:sz w:val="24"/>
          <w:highlight w:val="none"/>
        </w:rPr>
        <w:t>由磋商小组采用综合评分法对提交最后报价的供应商响应文件和最后报价进行综合评分。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30.3商务报价错误的修正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如果发现商务报价存在计算或表达上错误，则按下列原则进行修正：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（1）用数字表示的数额与用文字表示的数额不一致时，以文字数额为准；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（2）单价与工程量的乘积与总价之间不一致时，以单价为准。若单价有明显小数点错位，应以总价为准，并修改单价。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30.4磋商小组将按第30.3条原则修正商务报价，并要求供应商进行确认。确认后的报价和文件将对供应商具有约束力。并以修正后的报价作为评审的依据。</w:t>
      </w:r>
    </w:p>
    <w:bookmarkEnd w:id="155"/>
    <w:bookmarkEnd w:id="156"/>
    <w:bookmarkEnd w:id="157"/>
    <w:bookmarkEnd w:id="158"/>
    <w:bookmarkEnd w:id="159"/>
    <w:bookmarkEnd w:id="160"/>
    <w:bookmarkEnd w:id="161"/>
    <w:bookmarkEnd w:id="162"/>
    <w:bookmarkEnd w:id="163"/>
    <w:bookmarkEnd w:id="164"/>
    <w:bookmarkEnd w:id="165"/>
    <w:bookmarkEnd w:id="166"/>
    <w:p>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31、响应文件的澄清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ascii="宋体" w:hAnsi="宋体" w:cs="宋体"/>
          <w:color w:val="auto"/>
          <w:sz w:val="24"/>
          <w:highlight w:val="none"/>
        </w:rPr>
      </w:pPr>
      <w:bookmarkStart w:id="167" w:name="_Toc243907607"/>
      <w:bookmarkStart w:id="168" w:name="_Toc243906346"/>
      <w:bookmarkStart w:id="169" w:name="_Toc245897306"/>
      <w:bookmarkStart w:id="170" w:name="_Toc233274845"/>
      <w:r>
        <w:rPr>
          <w:rFonts w:hint="eastAsia" w:ascii="宋体" w:hAnsi="宋体" w:cs="宋体"/>
          <w:b/>
          <w:color w:val="auto"/>
          <w:sz w:val="24"/>
          <w:highlight w:val="none"/>
        </w:rPr>
        <w:t>32、重大偏离</w:t>
      </w:r>
      <w:bookmarkEnd w:id="167"/>
      <w:bookmarkEnd w:id="168"/>
      <w:bookmarkEnd w:id="169"/>
      <w:bookmarkEnd w:id="170"/>
    </w:p>
    <w:p>
      <w:pPr>
        <w:spacing w:line="360" w:lineRule="auto"/>
        <w:ind w:firstLine="482" w:firstLineChars="200"/>
        <w:rPr>
          <w:rFonts w:ascii="宋体" w:hAnsi="宋体" w:cs="宋体"/>
          <w:b/>
          <w:color w:val="auto"/>
          <w:sz w:val="24"/>
          <w:highlight w:val="none"/>
        </w:rPr>
      </w:pPr>
      <w:bookmarkStart w:id="171" w:name="_Toc243906347"/>
      <w:bookmarkStart w:id="172" w:name="_Toc245897307"/>
      <w:bookmarkStart w:id="173" w:name="_Toc233274846"/>
      <w:bookmarkStart w:id="174" w:name="_Toc243907608"/>
      <w:r>
        <w:rPr>
          <w:rFonts w:hint="eastAsia" w:ascii="宋体" w:hAnsi="宋体" w:cs="宋体"/>
          <w:b/>
          <w:color w:val="auto"/>
          <w:sz w:val="24"/>
          <w:highlight w:val="none"/>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33、</w:t>
      </w:r>
      <w:bookmarkEnd w:id="171"/>
      <w:bookmarkEnd w:id="172"/>
      <w:bookmarkEnd w:id="173"/>
      <w:bookmarkEnd w:id="174"/>
      <w:r>
        <w:rPr>
          <w:rFonts w:hint="eastAsia" w:ascii="宋体" w:hAnsi="宋体" w:cs="宋体"/>
          <w:b/>
          <w:color w:val="auto"/>
          <w:sz w:val="24"/>
          <w:highlight w:val="none"/>
        </w:rPr>
        <w:t>无效响应文件</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响应文件有下列情形之一的，由磋商小组评审后按无效响应文件处理：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b/>
          <w:color w:val="auto"/>
          <w:kern w:val="0"/>
          <w:sz w:val="24"/>
          <w:highlight w:val="none"/>
        </w:rPr>
        <w:t>供应商响应商务报价高于该采购项目预算限定价的；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33.2响应文件附有采购人不能接受条件的；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33.3出现重大偏离的；</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33.4对竞争性磋商文件提出的实质性要求和条件未能实质性响应；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34、评审标准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34.1本项目评审严格按照磋商文件的要求和条件进行。</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34.2信用查询</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34.2.2登录“中国执行信息公开网”（网址：</w:t>
      </w:r>
      <w:r>
        <w:rPr>
          <w:rFonts w:hint="eastAsia" w:ascii="宋体" w:hAnsi="宋体" w:cs="宋体"/>
          <w:b/>
          <w:color w:val="auto"/>
          <w:sz w:val="24"/>
          <w:highlight w:val="none"/>
        </w:rPr>
        <w:drawing>
          <wp:inline distT="0" distB="0" distL="0" distR="0">
            <wp:extent cx="189865" cy="146685"/>
            <wp:effectExtent l="0" t="0" r="635" b="5715"/>
            <wp:docPr id="3" name="图片 3"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UQ[BL(6~BS2JV6W}N6[%S"/>
                    <pic:cNvPicPr>
                      <a:picLocks noChangeAspect="1" noChangeArrowheads="1"/>
                    </pic:cNvPicPr>
                  </pic:nvPicPr>
                  <pic:blipFill>
                    <a:blip r:embed="rId9" cstate="print"/>
                    <a:srcRect/>
                    <a:stretch>
                      <a:fillRect/>
                    </a:stretch>
                  </pic:blipFill>
                  <pic:spPr>
                    <a:xfrm>
                      <a:off x="0" y="0"/>
                      <a:ext cx="189865" cy="146685"/>
                    </a:xfrm>
                    <a:prstGeom prst="rect">
                      <a:avLst/>
                    </a:prstGeom>
                    <a:noFill/>
                    <a:ln w="9525">
                      <a:noFill/>
                      <a:miter lim="800000"/>
                      <a:headEnd/>
                      <a:tailEnd/>
                    </a:ln>
                  </pic:spPr>
                </pic:pic>
              </a:graphicData>
            </a:graphic>
          </wp:inline>
        </w:drawing>
      </w:r>
      <w:r>
        <w:rPr>
          <w:rFonts w:hint="eastAsia" w:ascii="宋体" w:hAnsi="宋体" w:cs="宋体"/>
          <w:b/>
          <w:color w:val="auto"/>
          <w:sz w:val="24"/>
          <w:highlight w:val="none"/>
        </w:rPr>
        <w:t xml:space="preserve">shixin.court.gov.cn）失信被执行人名单库查询。（如查询到该公司信息，说明该公司为失信被执行人），拒绝参与政府采购活动，同时对信用信息查询记录和证据进行打印存档。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34.3响应文件初审。初审分为资格性审查和符合性审查。响应文件初审由磋商小组根据各供应商响应文件进行评审，</w:t>
      </w:r>
      <w:r>
        <w:rPr>
          <w:rFonts w:hint="eastAsia" w:ascii="宋体" w:hAnsi="宋体" w:cs="宋体"/>
          <w:b/>
          <w:color w:val="auto"/>
          <w:sz w:val="24"/>
          <w:szCs w:val="20"/>
          <w:highlight w:val="none"/>
        </w:rPr>
        <w:t>初</w:t>
      </w:r>
      <w:r>
        <w:rPr>
          <w:rFonts w:hint="eastAsia" w:ascii="宋体" w:hAnsi="宋体" w:cs="宋体"/>
          <w:b/>
          <w:color w:val="auto"/>
          <w:sz w:val="24"/>
          <w:highlight w:val="none"/>
        </w:rPr>
        <w:t>审内容详见第六章“评审标准（综合评分法）。未通过初审的供应商其响应文件按照无效响应文件处理。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34.3.1资格性检查。依据法律法规和磋商文件的规定，对响应文件中的资格条件等进行审查，以确定供应商是否具备磋商资格。</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35</w:t>
      </w:r>
      <w:r>
        <w:rPr>
          <w:rFonts w:hint="eastAsia" w:ascii="宋体" w:hAnsi="宋体" w:cs="宋体"/>
          <w:b/>
          <w:color w:val="auto"/>
          <w:sz w:val="24"/>
          <w:highlight w:val="none"/>
        </w:rPr>
        <w:t>本项目评审采用综合评分法，严格按照磋商文件的要求和条件进行。</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5.1</w:t>
      </w:r>
      <w:r>
        <w:rPr>
          <w:rFonts w:hint="eastAsia" w:ascii="宋体" w:hAnsi="宋体" w:cs="宋体"/>
          <w:b/>
          <w:color w:val="auto"/>
          <w:sz w:val="24"/>
          <w:highlight w:val="none"/>
        </w:rPr>
        <w:t>评审分值：总分值为100分，其中磋商报价</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分、商务部分</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分、技术部分70分，具体评审评分内容详见本磋商文件第六章“评标标准（综合评分法）”。</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36</w:t>
      </w:r>
      <w:r>
        <w:rPr>
          <w:rFonts w:hint="eastAsia" w:ascii="宋体" w:hAnsi="宋体" w:cs="宋体"/>
          <w:b/>
          <w:color w:val="auto"/>
          <w:sz w:val="24"/>
          <w:highlight w:val="none"/>
        </w:rPr>
        <w:t>推荐成交候选供应商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6.1</w:t>
      </w:r>
      <w:r>
        <w:rPr>
          <w:rFonts w:hint="eastAsia" w:ascii="宋体" w:hAnsi="宋体" w:cs="宋体"/>
          <w:b/>
          <w:color w:val="auto"/>
          <w:sz w:val="24"/>
          <w:highlight w:val="none"/>
        </w:rPr>
        <w:t>各供应商的综合得分由高至低排序，综合得分排列前3名的供应商被推荐为成交候选供应商。综合得分相同的，按照最后报价由低到高的顺序推荐。综合得分且最后报价均相同的，则由磋商委员会按照技术指标优劣顺序推荐，并编写评审报告。</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.2评分计算结果保留两位小数，第三位小数四舍五入。</w:t>
      </w:r>
    </w:p>
    <w:p>
      <w:pPr>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磋商小组复核。磋商小组评分汇总结束后，磋商小组应当进行评审复核，对拟推荐为成交候选供应商的、报价最低的、供应商资格审查未通过的、供应商响应文件作无效处理的重点复核</w:t>
      </w:r>
      <w:r>
        <w:rPr>
          <w:rFonts w:hint="eastAsia" w:ascii="宋体" w:hAnsi="宋体" w:cs="宋体"/>
          <w:bCs/>
          <w:color w:val="auto"/>
          <w:sz w:val="24"/>
          <w:highlight w:val="none"/>
        </w:rPr>
        <w:t>。</w:t>
      </w:r>
    </w:p>
    <w:p>
      <w:pPr>
        <w:spacing w:line="360" w:lineRule="auto"/>
        <w:ind w:firstLine="482" w:firstLineChars="200"/>
        <w:outlineLvl w:val="1"/>
        <w:rPr>
          <w:rFonts w:ascii="宋体" w:hAnsi="宋体" w:cs="宋体"/>
          <w:b/>
          <w:color w:val="auto"/>
          <w:sz w:val="24"/>
          <w:highlight w:val="none"/>
        </w:rPr>
      </w:pPr>
      <w:bookmarkStart w:id="175" w:name="_Toc233274848"/>
      <w:bookmarkStart w:id="176" w:name="_Toc243906349"/>
      <w:bookmarkStart w:id="177" w:name="_Toc243907610"/>
      <w:bookmarkStart w:id="178" w:name="_Toc245897309"/>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6.4</w:t>
      </w:r>
      <w:r>
        <w:rPr>
          <w:rFonts w:hint="eastAsia" w:ascii="宋体" w:hAnsi="宋体" w:cs="宋体"/>
          <w:b/>
          <w:color w:val="auto"/>
          <w:sz w:val="24"/>
          <w:highlight w:val="none"/>
        </w:rPr>
        <w:t>采购人根据磋商小组推荐的成交候选供应商及有关规定确定成交供应商。</w:t>
      </w:r>
    </w:p>
    <w:bookmarkEnd w:id="175"/>
    <w:bookmarkEnd w:id="176"/>
    <w:bookmarkEnd w:id="177"/>
    <w:bookmarkEnd w:id="178"/>
    <w:p>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、采购人依法接受和拒绝任一或所有供应商的权力</w:t>
      </w:r>
    </w:p>
    <w:p>
      <w:pPr>
        <w:spacing w:line="360" w:lineRule="auto"/>
        <w:ind w:firstLine="480" w:firstLineChars="200"/>
        <w:rPr>
          <w:rFonts w:ascii="宋体" w:hAnsi="宋体" w:cs="宋体"/>
          <w:color w:val="auto"/>
          <w:sz w:val="24"/>
        </w:rPr>
      </w:pPr>
      <w:r>
        <w:rPr>
          <w:rFonts w:hint="eastAsia" w:ascii="宋体" w:hAnsi="宋体" w:cs="宋体"/>
          <w:color w:val="auto"/>
          <w:sz w:val="24"/>
          <w:highlight w:val="none"/>
        </w:rPr>
        <w:t>采购人保留确定成交供应商之前的任何时候依法接受或拒绝任一或所有供应商的权力，对受影响的供应商不承担任何责任，也无义务向受影响的供应商解释采取这一行动的理由。</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eastAsia="zh-CN"/>
        </w:rPr>
        <w:t>成交</w:t>
      </w:r>
      <w:r>
        <w:rPr>
          <w:rFonts w:hint="eastAsia" w:ascii="宋体" w:hAnsi="宋体" w:cs="宋体"/>
          <w:color w:val="auto"/>
          <w:sz w:val="24"/>
        </w:rPr>
        <w:t>通知书</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.1采购人确定</w:t>
      </w:r>
      <w:r>
        <w:rPr>
          <w:rFonts w:hint="eastAsia" w:ascii="宋体" w:hAnsi="宋体" w:cs="宋体"/>
          <w:color w:val="auto"/>
          <w:sz w:val="24"/>
          <w:lang w:eastAsia="zh-CN"/>
        </w:rPr>
        <w:t>成交</w:t>
      </w:r>
      <w:r>
        <w:rPr>
          <w:rFonts w:hint="eastAsia" w:ascii="宋体" w:hAnsi="宋体" w:cs="宋体"/>
          <w:color w:val="auto"/>
          <w:sz w:val="24"/>
        </w:rPr>
        <w:t>供应商后，及时通知采购代理机构，采购代理机构将按程序公告</w:t>
      </w:r>
      <w:r>
        <w:rPr>
          <w:rFonts w:hint="eastAsia" w:ascii="宋体" w:hAnsi="宋体" w:cs="宋体"/>
          <w:color w:val="auto"/>
          <w:sz w:val="24"/>
          <w:lang w:eastAsia="zh-CN"/>
        </w:rPr>
        <w:t>成交</w:t>
      </w:r>
      <w:r>
        <w:rPr>
          <w:rFonts w:hint="eastAsia" w:ascii="宋体" w:hAnsi="宋体" w:cs="宋体"/>
          <w:color w:val="auto"/>
          <w:sz w:val="24"/>
        </w:rPr>
        <w:t>结果，同时向</w:t>
      </w:r>
      <w:r>
        <w:rPr>
          <w:rFonts w:hint="eastAsia" w:ascii="宋体" w:hAnsi="宋体" w:cs="宋体"/>
          <w:color w:val="auto"/>
          <w:sz w:val="24"/>
          <w:lang w:eastAsia="zh-CN"/>
        </w:rPr>
        <w:t>成交</w:t>
      </w:r>
      <w:r>
        <w:rPr>
          <w:rFonts w:hint="eastAsia" w:ascii="宋体" w:hAnsi="宋体" w:cs="宋体"/>
          <w:color w:val="auto"/>
          <w:sz w:val="24"/>
        </w:rPr>
        <w:t>供应商发出</w:t>
      </w:r>
      <w:r>
        <w:rPr>
          <w:rFonts w:hint="eastAsia" w:ascii="宋体" w:hAnsi="宋体" w:cs="宋体"/>
          <w:color w:val="auto"/>
          <w:sz w:val="24"/>
          <w:lang w:eastAsia="zh-CN"/>
        </w:rPr>
        <w:t>成交</w:t>
      </w:r>
      <w:r>
        <w:rPr>
          <w:rFonts w:hint="eastAsia" w:ascii="宋体" w:hAnsi="宋体" w:cs="宋体"/>
          <w:color w:val="auto"/>
          <w:sz w:val="24"/>
        </w:rPr>
        <w:t>通知书，</w:t>
      </w:r>
      <w:r>
        <w:rPr>
          <w:rFonts w:hint="eastAsia" w:ascii="宋体" w:hAnsi="宋体" w:cs="宋体"/>
          <w:color w:val="auto"/>
          <w:sz w:val="24"/>
          <w:lang w:eastAsia="zh-CN"/>
        </w:rPr>
        <w:t>成交</w:t>
      </w:r>
      <w:r>
        <w:rPr>
          <w:rFonts w:hint="eastAsia" w:ascii="宋体" w:hAnsi="宋体" w:cs="宋体"/>
          <w:color w:val="auto"/>
          <w:sz w:val="24"/>
        </w:rPr>
        <w:t>通知书一经发出即发生法律效力。</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.2《</w:t>
      </w:r>
      <w:r>
        <w:rPr>
          <w:rFonts w:hint="eastAsia" w:ascii="宋体" w:hAnsi="宋体" w:cs="宋体"/>
          <w:color w:val="auto"/>
          <w:sz w:val="24"/>
          <w:lang w:eastAsia="zh-CN"/>
        </w:rPr>
        <w:t>成交</w:t>
      </w:r>
      <w:r>
        <w:rPr>
          <w:rFonts w:hint="eastAsia" w:ascii="宋体" w:hAnsi="宋体" w:cs="宋体"/>
          <w:color w:val="auto"/>
          <w:sz w:val="24"/>
        </w:rPr>
        <w:t>通知书》将是合同的组成部分。</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宋体" w:hAnsi="宋体" w:cs="宋体"/>
          <w:color w:val="auto"/>
          <w:sz w:val="24"/>
        </w:rPr>
      </w:pPr>
      <w:bookmarkStart w:id="179" w:name="_Toc5897"/>
      <w:r>
        <w:rPr>
          <w:rFonts w:hint="eastAsia" w:ascii="宋体" w:hAnsi="宋体" w:cs="宋体"/>
          <w:color w:val="auto"/>
          <w:sz w:val="24"/>
          <w:lang w:val="en-US" w:eastAsia="zh-CN"/>
        </w:rPr>
        <w:t>39</w:t>
      </w:r>
      <w:r>
        <w:rPr>
          <w:rFonts w:hint="eastAsia" w:ascii="宋体" w:hAnsi="宋体" w:cs="宋体"/>
          <w:color w:val="auto"/>
          <w:sz w:val="24"/>
        </w:rPr>
        <w:t>、纪律与保密事项</w:t>
      </w:r>
      <w:bookmarkEnd w:id="179"/>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.1凡参与公开招标工作的有关人员均应自觉接受有关主管部门的监督，不得向他人透露可能影响公平竞争的有关公开的其他情况。</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.2领取本</w:t>
      </w:r>
      <w:r>
        <w:rPr>
          <w:rFonts w:hint="eastAsia" w:ascii="宋体" w:hAnsi="宋体" w:cs="宋体"/>
          <w:color w:val="auto"/>
          <w:sz w:val="24"/>
          <w:lang w:eastAsia="zh-CN"/>
        </w:rPr>
        <w:t>竞争性磋商文件</w:t>
      </w:r>
      <w:r>
        <w:rPr>
          <w:rFonts w:hint="eastAsia" w:ascii="宋体" w:hAnsi="宋体" w:cs="宋体"/>
          <w:color w:val="auto"/>
          <w:sz w:val="24"/>
        </w:rPr>
        <w:t>及其它相关资料者，应对文件进行保密，不得用作本次公开以外的任何用途。由采购人向供应商提供的技术资料和所有其它资料，均视为保密资料，除非得到采购人的同意，不得向第三方透露。</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.3供应商不得与采购人串通，不得向采购人或者评标委员会成员行贿谋取</w:t>
      </w:r>
      <w:r>
        <w:rPr>
          <w:rFonts w:hint="eastAsia" w:ascii="宋体" w:hAnsi="宋体" w:cs="宋体"/>
          <w:color w:val="auto"/>
          <w:sz w:val="24"/>
          <w:lang w:eastAsia="zh-CN"/>
        </w:rPr>
        <w:t>成交</w:t>
      </w:r>
      <w:r>
        <w:rPr>
          <w:rFonts w:hint="eastAsia" w:ascii="宋体" w:hAnsi="宋体" w:cs="宋体"/>
          <w:color w:val="auto"/>
          <w:sz w:val="24"/>
        </w:rPr>
        <w:t>，不得以他人名义参与公开或者以其它任何方式弄虚作假骗取参与公开；供应商不得以任何方式干扰、影响评审工作。</w:t>
      </w:r>
      <w:r>
        <w:rPr>
          <w:rFonts w:hint="eastAsia" w:ascii="宋体" w:hAnsi="宋体" w:cs="宋体"/>
          <w:b/>
          <w:bCs/>
          <w:color w:val="auto"/>
          <w:sz w:val="24"/>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宋体" w:hAnsi="宋体" w:cs="宋体"/>
          <w:color w:val="auto"/>
          <w:sz w:val="24"/>
        </w:rPr>
        <w:t>。</w:t>
      </w:r>
    </w:p>
    <w:p>
      <w:pPr>
        <w:keepNext w:val="0"/>
        <w:keepLines w:val="0"/>
        <w:pageBreakBefore w:val="0"/>
        <w:kinsoku/>
        <w:wordWrap/>
        <w:overflowPunct/>
        <w:topLinePunct w:val="0"/>
        <w:autoSpaceDE/>
        <w:autoSpaceDN/>
        <w:bidi w:val="0"/>
        <w:spacing w:line="440" w:lineRule="exact"/>
        <w:ind w:firstLine="481"/>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w:t>
      </w:r>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.5 公开之日起直至授予</w:t>
      </w:r>
      <w:r>
        <w:rPr>
          <w:rFonts w:hint="eastAsia" w:ascii="宋体" w:hAnsi="宋体" w:cs="宋体"/>
          <w:color w:val="auto"/>
          <w:sz w:val="24"/>
          <w:lang w:eastAsia="zh-CN"/>
        </w:rPr>
        <w:t>成交</w:t>
      </w:r>
      <w:r>
        <w:rPr>
          <w:rFonts w:hint="eastAsia" w:ascii="宋体" w:hAnsi="宋体" w:cs="宋体"/>
          <w:color w:val="auto"/>
          <w:sz w:val="24"/>
        </w:rPr>
        <w:t>供应商合同为止，凡属于对</w:t>
      </w:r>
      <w:r>
        <w:rPr>
          <w:rFonts w:hint="eastAsia" w:ascii="宋体" w:hAnsi="宋体" w:cs="宋体"/>
          <w:color w:val="auto"/>
          <w:sz w:val="24"/>
          <w:lang w:eastAsia="zh-CN"/>
        </w:rPr>
        <w:t>响应文件</w:t>
      </w:r>
      <w:r>
        <w:rPr>
          <w:rFonts w:hint="eastAsia" w:ascii="宋体" w:hAnsi="宋体" w:cs="宋体"/>
          <w:color w:val="auto"/>
          <w:sz w:val="24"/>
        </w:rPr>
        <w:t>的审查、澄清、评价、比较有关的资料和</w:t>
      </w:r>
      <w:r>
        <w:rPr>
          <w:rFonts w:hint="eastAsia" w:ascii="宋体" w:hAnsi="宋体" w:cs="宋体"/>
          <w:color w:val="auto"/>
          <w:sz w:val="24"/>
          <w:lang w:eastAsia="zh-CN"/>
        </w:rPr>
        <w:t>成交</w:t>
      </w:r>
      <w:r>
        <w:rPr>
          <w:rFonts w:hint="eastAsia" w:ascii="宋体" w:hAnsi="宋体" w:cs="宋体"/>
          <w:color w:val="auto"/>
          <w:sz w:val="24"/>
        </w:rPr>
        <w:t>候选人的推荐情况及与评审有关的其他任何情况均严格保密。</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.6从公开之日起至授予合同期间，供应商试图向评标委员会、采购代理机构施加任何影响或对采购人的比较及授予合同的决定进行影响，都可能导致其</w:t>
      </w:r>
      <w:r>
        <w:rPr>
          <w:rFonts w:hint="eastAsia" w:ascii="宋体" w:hAnsi="宋体" w:cs="宋体"/>
          <w:color w:val="auto"/>
          <w:sz w:val="24"/>
          <w:lang w:eastAsia="zh-CN"/>
        </w:rPr>
        <w:t>响应文件</w:t>
      </w:r>
      <w:r>
        <w:rPr>
          <w:rFonts w:hint="eastAsia" w:ascii="宋体" w:hAnsi="宋体" w:cs="宋体"/>
          <w:color w:val="auto"/>
          <w:sz w:val="24"/>
        </w:rPr>
        <w:t>被拒绝。</w:t>
      </w:r>
    </w:p>
    <w:p>
      <w:pPr>
        <w:keepNext w:val="0"/>
        <w:keepLines w:val="0"/>
        <w:pageBreakBefore w:val="0"/>
        <w:kinsoku/>
        <w:wordWrap/>
        <w:overflowPunct/>
        <w:topLinePunct w:val="0"/>
        <w:autoSpaceDE/>
        <w:autoSpaceDN/>
        <w:bidi w:val="0"/>
        <w:spacing w:line="440" w:lineRule="exact"/>
        <w:ind w:firstLine="482"/>
        <w:rPr>
          <w:rFonts w:hint="eastAsia" w:ascii="宋体" w:hAnsi="宋体" w:cs="宋体"/>
          <w:color w:val="auto"/>
          <w:sz w:val="24"/>
        </w:rPr>
      </w:pPr>
      <w:r>
        <w:rPr>
          <w:rFonts w:hint="eastAsia" w:ascii="宋体" w:hAnsi="宋体" w:cs="宋体"/>
          <w:color w:val="auto"/>
          <w:sz w:val="24"/>
          <w:lang w:val="en-US" w:eastAsia="zh-CN"/>
        </w:rPr>
        <w:t>39</w:t>
      </w:r>
      <w:r>
        <w:rPr>
          <w:rFonts w:hint="eastAsia" w:ascii="宋体" w:hAnsi="宋体" w:cs="宋体"/>
          <w:color w:val="auto"/>
          <w:sz w:val="24"/>
        </w:rPr>
        <w:t>.7除供应商被要求对</w:t>
      </w:r>
      <w:r>
        <w:rPr>
          <w:rFonts w:hint="eastAsia" w:ascii="宋体" w:hAnsi="宋体" w:cs="宋体"/>
          <w:color w:val="auto"/>
          <w:sz w:val="24"/>
          <w:lang w:eastAsia="zh-CN"/>
        </w:rPr>
        <w:t>响应文件</w:t>
      </w:r>
      <w:r>
        <w:rPr>
          <w:rFonts w:hint="eastAsia" w:ascii="宋体" w:hAnsi="宋体" w:cs="宋体"/>
          <w:color w:val="auto"/>
          <w:sz w:val="24"/>
        </w:rPr>
        <w:t>进行澄清外，从公开之时起至授予合同期间，供应商不得就与其</w:t>
      </w:r>
      <w:r>
        <w:rPr>
          <w:rFonts w:hint="eastAsia" w:ascii="宋体" w:hAnsi="宋体" w:cs="宋体"/>
          <w:color w:val="auto"/>
          <w:sz w:val="24"/>
          <w:lang w:eastAsia="zh-CN"/>
        </w:rPr>
        <w:t>响应文件</w:t>
      </w:r>
      <w:r>
        <w:rPr>
          <w:rFonts w:hint="eastAsia" w:ascii="宋体" w:hAnsi="宋体" w:cs="宋体"/>
          <w:color w:val="auto"/>
          <w:sz w:val="24"/>
        </w:rPr>
        <w:t>有关的事项主动与评标委员会、采购代理机构以及采购人联系。</w:t>
      </w:r>
    </w:p>
    <w:p>
      <w:pPr>
        <w:keepNext w:val="0"/>
        <w:keepLines w:val="0"/>
        <w:pageBreakBefore w:val="0"/>
        <w:kinsoku/>
        <w:wordWrap/>
        <w:overflowPunct/>
        <w:topLinePunct w:val="0"/>
        <w:autoSpaceDE/>
        <w:autoSpaceDN/>
        <w:bidi w:val="0"/>
        <w:spacing w:line="440" w:lineRule="exact"/>
        <w:ind w:firstLine="482"/>
        <w:rPr>
          <w:color w:val="auto"/>
        </w:rPr>
      </w:pPr>
      <w:r>
        <w:rPr>
          <w:rFonts w:hint="eastAsia" w:ascii="宋体" w:hAnsi="宋体" w:cs="宋体"/>
          <w:color w:val="auto"/>
          <w:sz w:val="24"/>
          <w:lang w:val="en-US" w:eastAsia="zh-CN"/>
        </w:rPr>
        <w:t>39</w:t>
      </w:r>
      <w:r>
        <w:rPr>
          <w:rFonts w:hint="eastAsia" w:ascii="宋体" w:hAnsi="宋体" w:cs="宋体"/>
          <w:color w:val="auto"/>
          <w:sz w:val="24"/>
        </w:rPr>
        <w:t>.8</w:t>
      </w:r>
      <w:r>
        <w:rPr>
          <w:rFonts w:hint="eastAsia" w:ascii="宋体" w:hAnsi="宋体" w:cs="宋体"/>
          <w:color w:val="auto"/>
          <w:sz w:val="24"/>
          <w:lang w:eastAsia="zh-CN"/>
        </w:rPr>
        <w:t>成交</w:t>
      </w:r>
      <w:r>
        <w:rPr>
          <w:rFonts w:hint="eastAsia" w:ascii="宋体" w:hAnsi="宋体" w:cs="宋体"/>
          <w:color w:val="auto"/>
          <w:sz w:val="24"/>
        </w:rPr>
        <w:t>供应商确定后，采购人不对未</w:t>
      </w:r>
      <w:r>
        <w:rPr>
          <w:rFonts w:hint="eastAsia" w:ascii="宋体" w:hAnsi="宋体" w:cs="宋体"/>
          <w:color w:val="auto"/>
          <w:sz w:val="24"/>
          <w:lang w:eastAsia="zh-CN"/>
        </w:rPr>
        <w:t>成交</w:t>
      </w:r>
      <w:r>
        <w:rPr>
          <w:rFonts w:hint="eastAsia" w:ascii="宋体" w:hAnsi="宋体" w:cs="宋体"/>
          <w:color w:val="auto"/>
          <w:sz w:val="24"/>
        </w:rPr>
        <w:t>供应商就评审过程以及未能</w:t>
      </w:r>
      <w:r>
        <w:rPr>
          <w:rFonts w:hint="eastAsia" w:ascii="宋体" w:hAnsi="宋体" w:cs="宋体"/>
          <w:color w:val="auto"/>
          <w:sz w:val="24"/>
          <w:lang w:eastAsia="zh-CN"/>
        </w:rPr>
        <w:t>成交</w:t>
      </w:r>
      <w:r>
        <w:rPr>
          <w:rFonts w:hint="eastAsia" w:ascii="宋体" w:hAnsi="宋体" w:cs="宋体"/>
          <w:color w:val="auto"/>
          <w:sz w:val="24"/>
        </w:rPr>
        <w:t>原因作出任何解释，未</w:t>
      </w:r>
      <w:r>
        <w:rPr>
          <w:rFonts w:hint="eastAsia" w:ascii="宋体" w:hAnsi="宋体" w:cs="宋体"/>
          <w:color w:val="auto"/>
          <w:sz w:val="24"/>
          <w:lang w:eastAsia="zh-CN"/>
        </w:rPr>
        <w:t>成交</w:t>
      </w:r>
      <w:r>
        <w:rPr>
          <w:rFonts w:hint="eastAsia" w:ascii="宋体" w:hAnsi="宋体" w:cs="宋体"/>
          <w:color w:val="auto"/>
          <w:sz w:val="24"/>
        </w:rPr>
        <w:t>供应商不得向评标委员会或其他有关人员询问评审过程的情况和索取评审过程的资料。</w:t>
      </w:r>
    </w:p>
    <w:p>
      <w:pPr>
        <w:pStyle w:val="9"/>
        <w:spacing w:line="360" w:lineRule="auto"/>
        <w:outlineLvl w:val="1"/>
        <w:rPr>
          <w:rFonts w:hAnsi="宋体" w:cs="宋体"/>
          <w:b/>
          <w:bCs/>
          <w:color w:val="auto"/>
          <w:sz w:val="24"/>
          <w:szCs w:val="24"/>
        </w:rPr>
      </w:pPr>
      <w:r>
        <w:rPr>
          <w:rFonts w:hint="eastAsia" w:hAnsi="宋体" w:cs="宋体"/>
          <w:b/>
          <w:bCs/>
          <w:color w:val="auto"/>
          <w:sz w:val="24"/>
          <w:szCs w:val="24"/>
        </w:rPr>
        <w:t>六、授予合同</w:t>
      </w:r>
      <w:bookmarkEnd w:id="146"/>
      <w:bookmarkStart w:id="180" w:name="_Toc233274853"/>
      <w:bookmarkStart w:id="181" w:name="_Toc243907618"/>
      <w:bookmarkStart w:id="182" w:name="_Toc245897315"/>
      <w:bookmarkStart w:id="183" w:name="_Toc243906355"/>
    </w:p>
    <w:bookmarkEnd w:id="180"/>
    <w:bookmarkEnd w:id="181"/>
    <w:bookmarkEnd w:id="182"/>
    <w:bookmarkEnd w:id="183"/>
    <w:p>
      <w:pPr>
        <w:pStyle w:val="9"/>
        <w:spacing w:line="360" w:lineRule="auto"/>
        <w:ind w:firstLine="480" w:firstLineChars="200"/>
        <w:outlineLvl w:val="1"/>
        <w:rPr>
          <w:rFonts w:hAnsi="宋体" w:cs="宋体"/>
          <w:bCs/>
          <w:color w:val="auto"/>
          <w:sz w:val="24"/>
          <w:szCs w:val="24"/>
        </w:rPr>
      </w:pPr>
      <w:r>
        <w:rPr>
          <w:rFonts w:hint="eastAsia" w:hAnsi="宋体" w:cs="宋体"/>
          <w:bCs/>
          <w:color w:val="auto"/>
          <w:sz w:val="24"/>
          <w:szCs w:val="24"/>
          <w:lang w:val="en-US" w:eastAsia="zh-CN"/>
        </w:rPr>
        <w:t>40</w:t>
      </w:r>
      <w:r>
        <w:rPr>
          <w:rFonts w:hint="eastAsia" w:hAnsi="宋体" w:cs="宋体"/>
          <w:bCs/>
          <w:color w:val="auto"/>
          <w:sz w:val="24"/>
          <w:szCs w:val="24"/>
        </w:rPr>
        <w:t>、授予合同标准</w:t>
      </w:r>
    </w:p>
    <w:p>
      <w:pPr>
        <w:pStyle w:val="9"/>
        <w:spacing w:line="360" w:lineRule="auto"/>
        <w:ind w:firstLine="480" w:firstLineChars="200"/>
        <w:rPr>
          <w:rFonts w:hAnsi="宋体" w:cs="宋体"/>
          <w:bCs/>
          <w:color w:val="auto"/>
          <w:sz w:val="24"/>
          <w:szCs w:val="24"/>
        </w:rPr>
      </w:pPr>
      <w:r>
        <w:rPr>
          <w:rFonts w:hint="eastAsia" w:hAnsi="宋体" w:cs="宋体"/>
          <w:bCs/>
          <w:color w:val="auto"/>
          <w:sz w:val="24"/>
          <w:szCs w:val="24"/>
          <w:lang w:val="en-US" w:eastAsia="zh-CN"/>
        </w:rPr>
        <w:t>40</w:t>
      </w:r>
      <w:r>
        <w:rPr>
          <w:rFonts w:hint="eastAsia" w:hAnsi="宋体" w:cs="宋体"/>
          <w:bCs/>
          <w:color w:val="auto"/>
          <w:sz w:val="24"/>
          <w:szCs w:val="24"/>
        </w:rPr>
        <w:t>.1本采购项目的采购合同将授予按本须知第3</w:t>
      </w:r>
      <w:r>
        <w:rPr>
          <w:rFonts w:hint="eastAsia" w:hAnsi="宋体" w:cs="宋体"/>
          <w:bCs/>
          <w:color w:val="auto"/>
          <w:sz w:val="24"/>
          <w:szCs w:val="24"/>
          <w:lang w:val="en-US" w:eastAsia="zh-CN"/>
        </w:rPr>
        <w:t>6</w:t>
      </w:r>
      <w:r>
        <w:rPr>
          <w:rFonts w:hint="eastAsia" w:hAnsi="宋体" w:cs="宋体"/>
          <w:bCs/>
          <w:color w:val="auto"/>
          <w:sz w:val="24"/>
          <w:szCs w:val="24"/>
        </w:rPr>
        <w:t>条所确定</w:t>
      </w:r>
      <w:r>
        <w:rPr>
          <w:rFonts w:hint="eastAsia" w:hAnsi="宋体" w:cs="宋体"/>
          <w:bCs/>
          <w:color w:val="auto"/>
          <w:sz w:val="24"/>
          <w:szCs w:val="24"/>
          <w:lang w:eastAsia="zh-CN"/>
        </w:rPr>
        <w:t>成交</w:t>
      </w:r>
      <w:r>
        <w:rPr>
          <w:rFonts w:hint="eastAsia" w:hAnsi="宋体" w:cs="宋体"/>
          <w:bCs/>
          <w:color w:val="auto"/>
          <w:sz w:val="24"/>
          <w:szCs w:val="24"/>
        </w:rPr>
        <w:t>供应商。</w:t>
      </w:r>
    </w:p>
    <w:p>
      <w:pPr>
        <w:pStyle w:val="9"/>
        <w:spacing w:line="360" w:lineRule="auto"/>
        <w:ind w:firstLine="480" w:firstLineChars="200"/>
        <w:outlineLvl w:val="1"/>
        <w:rPr>
          <w:rFonts w:hAnsi="宋体" w:cs="宋体"/>
          <w:color w:val="auto"/>
          <w:sz w:val="24"/>
          <w:szCs w:val="24"/>
        </w:rPr>
      </w:pPr>
      <w:bookmarkStart w:id="184" w:name="_Toc243907620"/>
      <w:bookmarkStart w:id="185" w:name="_Toc243906357"/>
      <w:bookmarkStart w:id="186" w:name="_Toc233274855"/>
      <w:bookmarkStart w:id="187" w:name="_Toc245897317"/>
      <w:r>
        <w:rPr>
          <w:rFonts w:hint="eastAsia" w:hAnsi="宋体" w:cs="宋体"/>
          <w:color w:val="auto"/>
          <w:sz w:val="24"/>
          <w:szCs w:val="24"/>
          <w:lang w:val="en-US" w:eastAsia="zh-CN"/>
        </w:rPr>
        <w:t>41</w:t>
      </w:r>
      <w:r>
        <w:rPr>
          <w:rFonts w:hint="eastAsia" w:hAnsi="宋体" w:cs="宋体"/>
          <w:color w:val="auto"/>
          <w:sz w:val="24"/>
          <w:szCs w:val="24"/>
        </w:rPr>
        <w:t>、签订合同</w:t>
      </w:r>
      <w:bookmarkEnd w:id="184"/>
      <w:bookmarkEnd w:id="185"/>
      <w:bookmarkEnd w:id="186"/>
      <w:bookmarkEnd w:id="187"/>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88" w:name="_Toc28470"/>
      <w:bookmarkStart w:id="189" w:name="_Toc245897318"/>
      <w:bookmarkStart w:id="190" w:name="_Toc243907621"/>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.1采购人应当</w:t>
      </w:r>
      <w:r>
        <w:rPr>
          <w:rFonts w:hint="eastAsia" w:hAnsi="宋体" w:cs="宋体"/>
          <w:color w:val="auto"/>
          <w:sz w:val="24"/>
          <w:szCs w:val="24"/>
          <w:lang w:eastAsia="zh-CN"/>
        </w:rPr>
        <w:t>成交</w:t>
      </w:r>
      <w:r>
        <w:rPr>
          <w:rFonts w:hint="eastAsia" w:hAnsi="宋体" w:cs="宋体"/>
          <w:color w:val="auto"/>
          <w:sz w:val="24"/>
          <w:szCs w:val="24"/>
        </w:rPr>
        <w:t>交通知书发出之日起三十日内，按照</w:t>
      </w:r>
      <w:r>
        <w:rPr>
          <w:rFonts w:hint="eastAsia" w:hAnsi="宋体" w:cs="宋体"/>
          <w:color w:val="auto"/>
          <w:sz w:val="24"/>
          <w:szCs w:val="24"/>
          <w:lang w:eastAsia="zh-CN"/>
        </w:rPr>
        <w:t>竞争性磋商文件</w:t>
      </w:r>
      <w:r>
        <w:rPr>
          <w:rFonts w:hint="eastAsia" w:hAnsi="宋体" w:cs="宋体"/>
          <w:color w:val="auto"/>
          <w:sz w:val="24"/>
          <w:szCs w:val="24"/>
        </w:rPr>
        <w:t>和</w:t>
      </w:r>
      <w:r>
        <w:rPr>
          <w:rFonts w:hint="eastAsia" w:hAnsi="宋体" w:cs="宋体"/>
          <w:color w:val="auto"/>
          <w:sz w:val="24"/>
          <w:szCs w:val="24"/>
          <w:lang w:eastAsia="zh-CN"/>
        </w:rPr>
        <w:t>成交</w:t>
      </w:r>
      <w:r>
        <w:rPr>
          <w:rFonts w:hint="eastAsia" w:hAnsi="宋体" w:cs="宋体"/>
          <w:color w:val="auto"/>
          <w:sz w:val="24"/>
          <w:szCs w:val="24"/>
        </w:rPr>
        <w:t>供应商的</w:t>
      </w:r>
      <w:r>
        <w:rPr>
          <w:rFonts w:hint="eastAsia" w:hAnsi="宋体" w:cs="宋体"/>
          <w:color w:val="auto"/>
          <w:sz w:val="24"/>
          <w:szCs w:val="24"/>
          <w:lang w:eastAsia="zh-CN"/>
        </w:rPr>
        <w:t>响应文件</w:t>
      </w:r>
      <w:r>
        <w:rPr>
          <w:rFonts w:hint="eastAsia" w:hAnsi="宋体" w:cs="宋体"/>
          <w:color w:val="auto"/>
          <w:sz w:val="24"/>
          <w:szCs w:val="24"/>
        </w:rPr>
        <w:t>订立书面合同。</w:t>
      </w:r>
      <w:r>
        <w:rPr>
          <w:rFonts w:hint="eastAsia" w:hAnsi="宋体" w:cs="宋体"/>
          <w:color w:val="auto"/>
          <w:sz w:val="24"/>
          <w:szCs w:val="24"/>
          <w:lang w:eastAsia="zh-CN"/>
        </w:rPr>
        <w:t>成交</w:t>
      </w:r>
      <w:r>
        <w:rPr>
          <w:rFonts w:hint="eastAsia" w:hAnsi="宋体" w:cs="宋体"/>
          <w:color w:val="auto"/>
          <w:sz w:val="24"/>
          <w:szCs w:val="24"/>
        </w:rPr>
        <w:t>供应商不得要求订立背离本</w:t>
      </w:r>
      <w:r>
        <w:rPr>
          <w:rFonts w:hint="eastAsia" w:hAnsi="宋体" w:cs="宋体"/>
          <w:color w:val="auto"/>
          <w:sz w:val="24"/>
          <w:szCs w:val="24"/>
          <w:lang w:eastAsia="zh-CN"/>
        </w:rPr>
        <w:t>响应文件</w:t>
      </w:r>
      <w:r>
        <w:rPr>
          <w:rFonts w:hint="eastAsia" w:hAnsi="宋体" w:cs="宋体"/>
          <w:color w:val="auto"/>
          <w:sz w:val="24"/>
          <w:szCs w:val="24"/>
        </w:rPr>
        <w:t>合同条款等</w:t>
      </w:r>
      <w:r>
        <w:rPr>
          <w:rFonts w:hint="eastAsia" w:hAnsi="宋体" w:cs="宋体"/>
          <w:color w:val="auto"/>
          <w:sz w:val="24"/>
          <w:szCs w:val="24"/>
          <w:lang w:eastAsia="zh-CN"/>
        </w:rPr>
        <w:t>响应文件</w:t>
      </w:r>
      <w:r>
        <w:rPr>
          <w:rFonts w:hint="eastAsia" w:hAnsi="宋体" w:cs="宋体"/>
          <w:color w:val="auto"/>
          <w:sz w:val="24"/>
          <w:szCs w:val="24"/>
        </w:rPr>
        <w:t>实质性内容的其他协议。</w:t>
      </w:r>
      <w:bookmarkEnd w:id="188"/>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1" w:name="_Toc10011"/>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 xml:space="preserve">.2 </w:t>
      </w:r>
      <w:r>
        <w:rPr>
          <w:rFonts w:hint="eastAsia" w:hAnsi="宋体" w:cs="宋体"/>
          <w:color w:val="auto"/>
          <w:sz w:val="24"/>
          <w:szCs w:val="24"/>
          <w:lang w:eastAsia="zh-CN"/>
        </w:rPr>
        <w:t>成交</w:t>
      </w:r>
      <w:r>
        <w:rPr>
          <w:rFonts w:hint="eastAsia" w:hAnsi="宋体" w:cs="宋体"/>
          <w:color w:val="auto"/>
          <w:sz w:val="24"/>
          <w:szCs w:val="24"/>
        </w:rPr>
        <w:t>通知书、</w:t>
      </w:r>
      <w:r>
        <w:rPr>
          <w:rFonts w:hint="eastAsia" w:hAnsi="宋体" w:cs="宋体"/>
          <w:color w:val="auto"/>
          <w:sz w:val="24"/>
          <w:szCs w:val="24"/>
          <w:lang w:eastAsia="zh-CN"/>
        </w:rPr>
        <w:t>成交</w:t>
      </w:r>
      <w:r>
        <w:rPr>
          <w:rFonts w:hint="eastAsia" w:hAnsi="宋体" w:cs="宋体"/>
          <w:color w:val="auto"/>
          <w:sz w:val="24"/>
          <w:szCs w:val="24"/>
        </w:rPr>
        <w:t>供应商的</w:t>
      </w:r>
      <w:r>
        <w:rPr>
          <w:rFonts w:hint="eastAsia" w:hAnsi="宋体" w:cs="宋体"/>
          <w:color w:val="auto"/>
          <w:sz w:val="24"/>
          <w:szCs w:val="24"/>
          <w:lang w:eastAsia="zh-CN"/>
        </w:rPr>
        <w:t>响应文件</w:t>
      </w:r>
      <w:r>
        <w:rPr>
          <w:rFonts w:hint="eastAsia" w:hAnsi="宋体" w:cs="宋体"/>
          <w:color w:val="auto"/>
          <w:sz w:val="24"/>
          <w:szCs w:val="24"/>
        </w:rPr>
        <w:t>及其技术规范及标准、项目需求及技术要求、本</w:t>
      </w:r>
      <w:r>
        <w:rPr>
          <w:rFonts w:hint="eastAsia" w:hAnsi="宋体" w:cs="宋体"/>
          <w:color w:val="auto"/>
          <w:sz w:val="24"/>
          <w:szCs w:val="24"/>
          <w:lang w:eastAsia="zh-CN"/>
        </w:rPr>
        <w:t>竞争性磋商文件</w:t>
      </w:r>
      <w:r>
        <w:rPr>
          <w:rFonts w:hint="eastAsia" w:hAnsi="宋体" w:cs="宋体"/>
          <w:color w:val="auto"/>
          <w:sz w:val="24"/>
          <w:szCs w:val="24"/>
        </w:rPr>
        <w:t>（含修改文件或补充文件）及答疑纪要等，均为签订合同的依据。</w:t>
      </w:r>
      <w:bookmarkEnd w:id="191"/>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2" w:name="_Toc31200"/>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.3采购人如不按本须知第42.1条规定与</w:t>
      </w:r>
      <w:r>
        <w:rPr>
          <w:rFonts w:hint="eastAsia" w:hAnsi="宋体" w:cs="宋体"/>
          <w:color w:val="auto"/>
          <w:sz w:val="24"/>
          <w:szCs w:val="24"/>
          <w:lang w:eastAsia="zh-CN"/>
        </w:rPr>
        <w:t>成交</w:t>
      </w:r>
      <w:r>
        <w:rPr>
          <w:rFonts w:hint="eastAsia" w:hAnsi="宋体" w:cs="宋体"/>
          <w:color w:val="auto"/>
          <w:sz w:val="24"/>
          <w:szCs w:val="24"/>
        </w:rPr>
        <w:t>供应商签订合同，或者采购人、</w:t>
      </w:r>
      <w:r>
        <w:rPr>
          <w:rFonts w:hint="eastAsia" w:hAnsi="宋体" w:cs="宋体"/>
          <w:color w:val="auto"/>
          <w:sz w:val="24"/>
          <w:szCs w:val="24"/>
          <w:lang w:eastAsia="zh-CN"/>
        </w:rPr>
        <w:t>成交</w:t>
      </w:r>
      <w:r>
        <w:rPr>
          <w:rFonts w:hint="eastAsia" w:hAnsi="宋体" w:cs="宋体"/>
          <w:color w:val="auto"/>
          <w:sz w:val="24"/>
          <w:szCs w:val="24"/>
        </w:rPr>
        <w:t>供应商签订背离合同实质性内容的协议，由监督管理部门责令其改正。</w:t>
      </w:r>
      <w:bookmarkEnd w:id="192"/>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3" w:name="_Toc17125"/>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.4</w:t>
      </w:r>
      <w:r>
        <w:rPr>
          <w:rFonts w:hint="eastAsia" w:hAnsi="宋体" w:cs="宋体"/>
          <w:color w:val="auto"/>
          <w:sz w:val="24"/>
          <w:szCs w:val="24"/>
          <w:lang w:eastAsia="zh-CN"/>
        </w:rPr>
        <w:t>成交</w:t>
      </w:r>
      <w:r>
        <w:rPr>
          <w:rFonts w:hint="eastAsia" w:hAnsi="宋体" w:cs="宋体"/>
          <w:color w:val="auto"/>
          <w:sz w:val="24"/>
          <w:szCs w:val="24"/>
        </w:rPr>
        <w:t>供应商如不按本须知第42.1条规定与采购人签订合同，则按违约处理，采购人将有权取消</w:t>
      </w:r>
      <w:r>
        <w:rPr>
          <w:rFonts w:hint="eastAsia" w:hAnsi="宋体" w:cs="宋体"/>
          <w:color w:val="auto"/>
          <w:sz w:val="24"/>
          <w:szCs w:val="24"/>
          <w:lang w:eastAsia="zh-CN"/>
        </w:rPr>
        <w:t>成交</w:t>
      </w:r>
      <w:r>
        <w:rPr>
          <w:rFonts w:hint="eastAsia" w:hAnsi="宋体" w:cs="宋体"/>
          <w:color w:val="auto"/>
          <w:sz w:val="24"/>
          <w:szCs w:val="24"/>
        </w:rPr>
        <w:t>供应商资格，给采购人造成损失，还应当予以赔偿，同时依法承担相应的法律责任。</w:t>
      </w:r>
      <w:bookmarkEnd w:id="193"/>
    </w:p>
    <w:p>
      <w:pPr>
        <w:pStyle w:val="9"/>
        <w:keepNext w:val="0"/>
        <w:keepLines w:val="0"/>
        <w:pageBreakBefore w:val="0"/>
        <w:kinsoku/>
        <w:wordWrap/>
        <w:overflowPunct/>
        <w:topLinePunct w:val="0"/>
        <w:autoSpaceDE/>
        <w:autoSpaceDN/>
        <w:bidi w:val="0"/>
        <w:spacing w:line="440" w:lineRule="exact"/>
        <w:ind w:firstLine="480" w:firstLineChars="200"/>
        <w:outlineLvl w:val="1"/>
        <w:rPr>
          <w:rFonts w:hint="eastAsia" w:hAnsi="宋体" w:cs="宋体"/>
          <w:color w:val="auto"/>
          <w:sz w:val="24"/>
          <w:szCs w:val="24"/>
        </w:rPr>
      </w:pPr>
      <w:bookmarkStart w:id="194" w:name="_Toc20940"/>
      <w:r>
        <w:rPr>
          <w:rFonts w:hint="eastAsia" w:hAnsi="宋体" w:cs="宋体"/>
          <w:color w:val="auto"/>
          <w:sz w:val="24"/>
          <w:szCs w:val="24"/>
        </w:rPr>
        <w:t>4</w:t>
      </w:r>
      <w:r>
        <w:rPr>
          <w:rFonts w:hint="eastAsia" w:hAnsi="宋体" w:cs="宋体"/>
          <w:color w:val="auto"/>
          <w:sz w:val="24"/>
          <w:szCs w:val="24"/>
          <w:lang w:val="en-US" w:eastAsia="zh-CN"/>
        </w:rPr>
        <w:t>1</w:t>
      </w:r>
      <w:r>
        <w:rPr>
          <w:rFonts w:hint="eastAsia" w:hAnsi="宋体" w:cs="宋体"/>
          <w:color w:val="auto"/>
          <w:sz w:val="24"/>
          <w:szCs w:val="24"/>
        </w:rPr>
        <w:t>.5</w:t>
      </w:r>
      <w:r>
        <w:rPr>
          <w:rFonts w:hint="eastAsia" w:hAnsi="宋体" w:cs="宋体"/>
          <w:color w:val="auto"/>
          <w:sz w:val="24"/>
          <w:szCs w:val="24"/>
          <w:lang w:eastAsia="zh-CN"/>
        </w:rPr>
        <w:t>成交</w:t>
      </w:r>
      <w:r>
        <w:rPr>
          <w:rFonts w:hint="eastAsia" w:hAnsi="宋体" w:cs="宋体"/>
          <w:color w:val="auto"/>
          <w:sz w:val="24"/>
          <w:szCs w:val="24"/>
        </w:rPr>
        <w:t>供应商</w:t>
      </w:r>
      <w:r>
        <w:rPr>
          <w:rFonts w:hint="eastAsia" w:hAnsi="宋体" w:cs="宋体"/>
          <w:color w:val="auto"/>
          <w:sz w:val="24"/>
          <w:szCs w:val="24"/>
          <w:lang w:val="en-US" w:eastAsia="zh-CN"/>
        </w:rPr>
        <w:t>拒绝与</w:t>
      </w:r>
      <w:r>
        <w:rPr>
          <w:rFonts w:hint="eastAsia" w:hAnsi="宋体" w:cs="宋体"/>
          <w:color w:val="auto"/>
          <w:sz w:val="24"/>
          <w:szCs w:val="24"/>
        </w:rPr>
        <w:t>采购人</w:t>
      </w:r>
      <w:r>
        <w:rPr>
          <w:rFonts w:hint="eastAsia" w:hAnsi="宋体" w:cs="宋体"/>
          <w:color w:val="auto"/>
          <w:sz w:val="24"/>
          <w:szCs w:val="24"/>
          <w:lang w:val="en-US" w:eastAsia="zh-CN"/>
        </w:rPr>
        <w:t>签订合同的</w:t>
      </w:r>
      <w:r>
        <w:rPr>
          <w:rFonts w:hint="eastAsia" w:hAnsi="宋体" w:cs="宋体"/>
          <w:color w:val="auto"/>
          <w:sz w:val="24"/>
          <w:szCs w:val="24"/>
        </w:rPr>
        <w:t>，采购人可</w:t>
      </w:r>
      <w:r>
        <w:rPr>
          <w:rFonts w:hint="eastAsia" w:hAnsi="宋体" w:cs="宋体"/>
          <w:color w:val="auto"/>
          <w:sz w:val="24"/>
          <w:szCs w:val="24"/>
          <w:lang w:val="en-US" w:eastAsia="zh-CN"/>
        </w:rPr>
        <w:t>以按照推荐的</w:t>
      </w:r>
      <w:r>
        <w:rPr>
          <w:rFonts w:hint="eastAsia" w:hAnsi="宋体" w:cs="宋体"/>
          <w:color w:val="auto"/>
          <w:sz w:val="24"/>
          <w:szCs w:val="24"/>
          <w:lang w:eastAsia="zh-CN"/>
        </w:rPr>
        <w:t>成交</w:t>
      </w:r>
      <w:r>
        <w:rPr>
          <w:rFonts w:hint="eastAsia" w:hAnsi="宋体" w:cs="宋体"/>
          <w:color w:val="auto"/>
          <w:sz w:val="24"/>
          <w:szCs w:val="24"/>
        </w:rPr>
        <w:t>候选人</w:t>
      </w:r>
      <w:r>
        <w:rPr>
          <w:rFonts w:hint="eastAsia" w:hAnsi="宋体" w:cs="宋体"/>
          <w:color w:val="auto"/>
          <w:sz w:val="24"/>
          <w:szCs w:val="24"/>
          <w:lang w:val="en-US" w:eastAsia="zh-CN"/>
        </w:rPr>
        <w:t>名单排序，确定下一候选人为成交人，也可以重新开展采购活动</w:t>
      </w:r>
      <w:r>
        <w:rPr>
          <w:rFonts w:hint="eastAsia" w:hAnsi="宋体" w:cs="宋体"/>
          <w:color w:val="auto"/>
          <w:sz w:val="24"/>
          <w:szCs w:val="24"/>
        </w:rPr>
        <w:t>。</w:t>
      </w:r>
      <w:bookmarkEnd w:id="194"/>
    </w:p>
    <w:p>
      <w:pPr>
        <w:spacing w:line="360" w:lineRule="auto"/>
        <w:ind w:firstLine="480" w:firstLineChars="200"/>
        <w:outlineLvl w:val="1"/>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、合同的签订准则</w:t>
      </w:r>
      <w:bookmarkEnd w:id="189"/>
      <w:bookmarkEnd w:id="190"/>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.1合同签订必须由采购人、</w:t>
      </w:r>
      <w:r>
        <w:rPr>
          <w:rFonts w:hint="eastAsia" w:ascii="宋体" w:hAnsi="宋体" w:cs="宋体"/>
          <w:bCs/>
          <w:color w:val="auto"/>
          <w:sz w:val="24"/>
          <w:lang w:eastAsia="zh-CN"/>
        </w:rPr>
        <w:t>中部</w:t>
      </w:r>
      <w:r>
        <w:rPr>
          <w:rFonts w:hint="eastAsia" w:ascii="宋体" w:hAnsi="宋体" w:cs="宋体"/>
          <w:bCs/>
          <w:color w:val="auto"/>
          <w:sz w:val="24"/>
        </w:rPr>
        <w:t>供应商双方法定代表人或其委托代理人签署并加盖法人公章后方能生效。</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.2合同转包（实质性要求）</w:t>
      </w:r>
    </w:p>
    <w:p>
      <w:pPr>
        <w:spacing w:line="360" w:lineRule="auto"/>
        <w:ind w:firstLine="480" w:firstLineChars="200"/>
        <w:rPr>
          <w:rFonts w:ascii="宋体" w:hAnsi="宋体" w:cs="宋体"/>
          <w:bCs/>
          <w:color w:val="auto"/>
          <w:sz w:val="24"/>
        </w:rPr>
      </w:pPr>
      <w:r>
        <w:rPr>
          <w:rFonts w:hint="eastAsia" w:hAnsi="宋体" w:cs="宋体"/>
          <w:color w:val="auto"/>
          <w:sz w:val="24"/>
          <w:szCs w:val="24"/>
        </w:rPr>
        <w:t>本采购项目严禁</w:t>
      </w:r>
      <w:r>
        <w:rPr>
          <w:rFonts w:hint="eastAsia" w:hAnsi="宋体" w:cs="宋体"/>
          <w:color w:val="auto"/>
          <w:sz w:val="24"/>
          <w:szCs w:val="24"/>
          <w:lang w:eastAsia="zh-CN"/>
        </w:rPr>
        <w:t>成交</w:t>
      </w:r>
      <w:r>
        <w:rPr>
          <w:rFonts w:hint="eastAsia" w:hAnsi="宋体" w:cs="宋体"/>
          <w:color w:val="auto"/>
          <w:sz w:val="24"/>
          <w:szCs w:val="24"/>
        </w:rPr>
        <w:t>供应商将任何采购合同义务转包。本项目所称转包，是指</w:t>
      </w:r>
      <w:r>
        <w:rPr>
          <w:rFonts w:hint="eastAsia" w:hAnsi="宋体" w:cs="宋体"/>
          <w:color w:val="auto"/>
          <w:sz w:val="24"/>
          <w:szCs w:val="24"/>
          <w:lang w:eastAsia="zh-CN"/>
        </w:rPr>
        <w:t>成交</w:t>
      </w:r>
      <w:r>
        <w:rPr>
          <w:rFonts w:hint="eastAsia" w:hAnsi="宋体" w:cs="宋体"/>
          <w:color w:val="auto"/>
          <w:sz w:val="24"/>
          <w:szCs w:val="24"/>
        </w:rPr>
        <w:t>供应商将采购合同义务转让给第三人，并退出现有采购合同当事人双方的权利义务关系，受让人（即第三人）成为采购合同的另一方当事人的行为</w:t>
      </w:r>
      <w:r>
        <w:rPr>
          <w:rFonts w:hint="eastAsia" w:ascii="宋体" w:hAnsi="宋体" w:cs="宋体"/>
          <w:bCs/>
          <w:color w:val="auto"/>
          <w:sz w:val="24"/>
        </w:rPr>
        <w:t>。</w:t>
      </w:r>
    </w:p>
    <w:p>
      <w:pPr>
        <w:spacing w:line="360" w:lineRule="auto"/>
        <w:ind w:firstLine="480" w:firstLineChars="200"/>
        <w:rPr>
          <w:rFonts w:ascii="宋体" w:hAnsi="宋体" w:cs="宋体"/>
          <w:bCs/>
          <w:color w:val="auto"/>
          <w:sz w:val="24"/>
        </w:rPr>
      </w:pPr>
      <w:r>
        <w:rPr>
          <w:rFonts w:hint="eastAsia" w:ascii="宋体" w:hAnsi="宋体" w:cs="宋体"/>
          <w:bCs/>
          <w:color w:val="auto"/>
          <w:sz w:val="24"/>
          <w:lang w:eastAsia="zh-CN"/>
        </w:rPr>
        <w:t>成交</w:t>
      </w:r>
      <w:r>
        <w:rPr>
          <w:rFonts w:hint="eastAsia" w:ascii="宋体" w:hAnsi="宋体" w:cs="宋体"/>
          <w:bCs/>
          <w:color w:val="auto"/>
          <w:sz w:val="24"/>
        </w:rPr>
        <w:t>供应商转包的，视同拒绝履行政府采购合同义务，将依法追究法律责任。</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2</w:t>
      </w:r>
      <w:r>
        <w:rPr>
          <w:rFonts w:hint="eastAsia" w:ascii="宋体" w:hAnsi="宋体" w:cs="宋体"/>
          <w:bCs/>
          <w:color w:val="auto"/>
          <w:sz w:val="24"/>
        </w:rPr>
        <w:t>.3补充合同</w:t>
      </w:r>
    </w:p>
    <w:p>
      <w:pPr>
        <w:spacing w:line="360" w:lineRule="auto"/>
        <w:ind w:firstLine="480" w:firstLineChars="200"/>
        <w:rPr>
          <w:rFonts w:ascii="宋体" w:hAnsi="宋体" w:cs="宋体"/>
          <w:bCs/>
          <w:color w:val="auto"/>
        </w:rPr>
      </w:pPr>
      <w:r>
        <w:rPr>
          <w:rFonts w:hint="eastAsia" w:ascii="宋体" w:hAnsi="宋体" w:cs="宋体"/>
          <w:bCs/>
          <w:color w:val="auto"/>
          <w:sz w:val="24"/>
        </w:rPr>
        <w:t>采购合同履行过程中，采购人需要追加与合同标的相同的货物或者服务的，在不改变合同其他条款的前提下，可以与</w:t>
      </w:r>
      <w:r>
        <w:rPr>
          <w:rFonts w:hint="eastAsia" w:ascii="宋体" w:hAnsi="宋体" w:cs="宋体"/>
          <w:bCs/>
          <w:color w:val="auto"/>
          <w:sz w:val="24"/>
          <w:lang w:eastAsia="zh-CN"/>
        </w:rPr>
        <w:t>成交</w:t>
      </w:r>
      <w:r>
        <w:rPr>
          <w:rFonts w:hint="eastAsia" w:ascii="宋体" w:hAnsi="宋体" w:cs="宋体"/>
          <w:bCs/>
          <w:color w:val="auto"/>
          <w:sz w:val="24"/>
        </w:rPr>
        <w:t>供应商协商签订补充合同，但所有补充合同的采购金额不得超过</w:t>
      </w:r>
      <w:r>
        <w:rPr>
          <w:rFonts w:hint="eastAsia" w:ascii="宋体" w:hAnsi="宋体" w:eastAsia="宋体" w:cs="宋体"/>
          <w:b/>
          <w:bCs/>
          <w:color w:val="auto"/>
          <w:kern w:val="2"/>
          <w:sz w:val="24"/>
          <w:szCs w:val="24"/>
          <w:lang w:val="en-US" w:eastAsia="zh-CN" w:bidi="ar-SA"/>
        </w:rPr>
        <w:t>原合同采购金额的百分之十</w:t>
      </w:r>
      <w:r>
        <w:rPr>
          <w:rFonts w:hint="eastAsia" w:ascii="宋体" w:hAnsi="宋体" w:cs="宋体"/>
          <w:bCs/>
          <w:color w:val="auto"/>
          <w:sz w:val="24"/>
        </w:rPr>
        <w:t xml:space="preserve">，该补充合同应当在原政府采购合同履行过程中，不得在原政府采购合同履行结束后，且采购货物、工程和服务的名称、价格、履约方式、验收标准等必须与原政府采购合同一致。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3</w:t>
      </w:r>
      <w:r>
        <w:rPr>
          <w:rFonts w:hint="eastAsia" w:ascii="宋体" w:hAnsi="宋体" w:cs="宋体"/>
          <w:color w:val="auto"/>
          <w:sz w:val="24"/>
        </w:rPr>
        <w:t>、验收</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3</w:t>
      </w:r>
      <w:r>
        <w:rPr>
          <w:rFonts w:hint="eastAsia" w:ascii="宋体" w:hAnsi="宋体" w:cs="宋体"/>
          <w:color w:val="auto"/>
          <w:sz w:val="24"/>
        </w:rPr>
        <w:t>.1本项目采购人将严格按照政府采购相关法律法规以及《克拉玛依市政府采购项目需求论证和履约验收管理办法》（克财发〔2016〕9号）的要求进行验收。</w:t>
      </w:r>
    </w:p>
    <w:p>
      <w:pPr>
        <w:pStyle w:val="9"/>
        <w:spacing w:line="360" w:lineRule="auto"/>
        <w:outlineLvl w:val="1"/>
        <w:rPr>
          <w:rFonts w:hAnsi="宋体" w:cs="宋体"/>
          <w:b/>
          <w:bCs/>
          <w:color w:val="auto"/>
          <w:sz w:val="24"/>
          <w:szCs w:val="24"/>
        </w:rPr>
      </w:pPr>
      <w:r>
        <w:rPr>
          <w:rFonts w:hint="eastAsia" w:hAnsi="宋体" w:cs="宋体"/>
          <w:b/>
          <w:bCs/>
          <w:color w:val="auto"/>
          <w:sz w:val="24"/>
          <w:szCs w:val="24"/>
        </w:rPr>
        <w:t>七、询问、质疑、投诉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4</w:t>
      </w:r>
      <w:r>
        <w:rPr>
          <w:rFonts w:hint="eastAsia" w:ascii="宋体" w:hAnsi="宋体" w:cs="宋体"/>
          <w:color w:val="auto"/>
          <w:sz w:val="24"/>
        </w:rPr>
        <w:t>、询问</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4</w:t>
      </w:r>
      <w:r>
        <w:rPr>
          <w:rFonts w:hint="eastAsia" w:ascii="宋体" w:hAnsi="宋体" w:cs="宋体"/>
          <w:color w:val="auto"/>
          <w:sz w:val="24"/>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、质疑</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.1 供应商认为</w:t>
      </w:r>
      <w:r>
        <w:rPr>
          <w:rFonts w:hint="eastAsia" w:ascii="宋体" w:hAnsi="宋体" w:cs="宋体"/>
          <w:color w:val="auto"/>
          <w:sz w:val="24"/>
          <w:lang w:eastAsia="zh-CN"/>
        </w:rPr>
        <w:t>竞争性磋商文件</w:t>
      </w:r>
      <w:r>
        <w:rPr>
          <w:rFonts w:hint="eastAsia" w:ascii="宋体" w:hAnsi="宋体" w:cs="宋体"/>
          <w:color w:val="auto"/>
          <w:sz w:val="24"/>
        </w:rPr>
        <w:t>、采购过程和</w:t>
      </w:r>
      <w:r>
        <w:rPr>
          <w:rFonts w:hint="eastAsia" w:ascii="宋体" w:hAnsi="宋体" w:cs="宋体"/>
          <w:color w:val="auto"/>
          <w:sz w:val="24"/>
          <w:lang w:eastAsia="zh-CN"/>
        </w:rPr>
        <w:t>成交</w:t>
      </w:r>
      <w:r>
        <w:rPr>
          <w:rFonts w:hint="eastAsia" w:ascii="宋体" w:hAnsi="宋体" w:cs="宋体"/>
          <w:color w:val="auto"/>
          <w:sz w:val="24"/>
        </w:rPr>
        <w:t>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宋体" w:hAnsi="宋体" w:cs="宋体"/>
          <w:color w:val="auto"/>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.2供应商如对</w:t>
      </w:r>
      <w:r>
        <w:rPr>
          <w:rFonts w:hint="eastAsia" w:ascii="宋体" w:hAnsi="宋体" w:cs="宋体"/>
          <w:color w:val="auto"/>
          <w:sz w:val="24"/>
          <w:lang w:eastAsia="zh-CN"/>
        </w:rPr>
        <w:t>竞争性磋商文件</w:t>
      </w:r>
      <w:r>
        <w:rPr>
          <w:rFonts w:hint="eastAsia" w:ascii="宋体" w:hAnsi="宋体" w:cs="宋体"/>
          <w:color w:val="auto"/>
          <w:sz w:val="24"/>
        </w:rPr>
        <w:t>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 xml:space="preserve">.3上述应知其权益受到损害之日是指： </w:t>
      </w:r>
    </w:p>
    <w:p>
      <w:pPr>
        <w:spacing w:line="360" w:lineRule="auto"/>
        <w:ind w:firstLine="480" w:firstLineChars="200"/>
        <w:rPr>
          <w:rFonts w:ascii="宋体" w:hAnsi="宋体" w:cs="宋体"/>
          <w:color w:val="auto"/>
          <w:sz w:val="24"/>
        </w:rPr>
      </w:pPr>
      <w:r>
        <w:rPr>
          <w:rFonts w:hint="eastAsia" w:ascii="宋体" w:hAnsi="宋体" w:cs="宋体"/>
          <w:color w:val="auto"/>
          <w:sz w:val="24"/>
        </w:rPr>
        <w:t>（1）对</w:t>
      </w:r>
      <w:r>
        <w:rPr>
          <w:rFonts w:hint="eastAsia" w:ascii="宋体" w:hAnsi="宋体" w:cs="宋体"/>
          <w:color w:val="auto"/>
          <w:sz w:val="24"/>
          <w:lang w:eastAsia="zh-CN"/>
        </w:rPr>
        <w:t>竞争性磋商文件</w:t>
      </w:r>
      <w:r>
        <w:rPr>
          <w:rFonts w:hint="eastAsia" w:ascii="宋体" w:hAnsi="宋体" w:cs="宋体"/>
          <w:color w:val="auto"/>
          <w:sz w:val="24"/>
        </w:rPr>
        <w:t>提出质疑的，为</w:t>
      </w:r>
      <w:r>
        <w:rPr>
          <w:rFonts w:hint="eastAsia" w:ascii="宋体" w:hAnsi="宋体" w:cs="宋体"/>
          <w:color w:val="auto"/>
          <w:sz w:val="24"/>
          <w:lang w:eastAsia="zh-CN"/>
        </w:rPr>
        <w:t>竞争性磋商文件</w:t>
      </w:r>
      <w:r>
        <w:rPr>
          <w:rFonts w:hint="eastAsia" w:ascii="宋体" w:hAnsi="宋体" w:cs="宋体"/>
          <w:color w:val="auto"/>
          <w:sz w:val="24"/>
        </w:rPr>
        <w:t xml:space="preserve">公告期限届满之日起计算； </w:t>
      </w:r>
    </w:p>
    <w:p>
      <w:pPr>
        <w:spacing w:line="360" w:lineRule="auto"/>
        <w:ind w:firstLine="480" w:firstLineChars="200"/>
        <w:rPr>
          <w:rFonts w:ascii="宋体" w:hAnsi="宋体" w:cs="宋体"/>
          <w:color w:val="auto"/>
          <w:sz w:val="24"/>
        </w:rPr>
      </w:pPr>
      <w:r>
        <w:rPr>
          <w:rFonts w:hint="eastAsia" w:ascii="宋体" w:hAnsi="宋体" w:cs="宋体"/>
          <w:color w:val="auto"/>
          <w:sz w:val="24"/>
        </w:rPr>
        <w:t>（2）对采购过程提出质疑的，自采购程序环节结束之日起计算；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（3）对</w:t>
      </w:r>
      <w:r>
        <w:rPr>
          <w:rFonts w:hint="eastAsia" w:ascii="宋体" w:hAnsi="宋体" w:cs="宋体"/>
          <w:color w:val="auto"/>
          <w:sz w:val="24"/>
          <w:lang w:eastAsia="zh-CN"/>
        </w:rPr>
        <w:t>成交</w:t>
      </w:r>
      <w:r>
        <w:rPr>
          <w:rFonts w:hint="eastAsia" w:ascii="宋体" w:hAnsi="宋体" w:cs="宋体"/>
          <w:color w:val="auto"/>
          <w:sz w:val="24"/>
        </w:rPr>
        <w:t>结果提出质疑的，自</w:t>
      </w:r>
      <w:r>
        <w:rPr>
          <w:rFonts w:hint="eastAsia" w:ascii="宋体" w:hAnsi="宋体" w:cs="宋体"/>
          <w:color w:val="auto"/>
          <w:sz w:val="24"/>
          <w:lang w:eastAsia="zh-CN"/>
        </w:rPr>
        <w:t>成交</w:t>
      </w:r>
      <w:r>
        <w:rPr>
          <w:rFonts w:hint="eastAsia" w:ascii="宋体" w:hAnsi="宋体" w:cs="宋体"/>
          <w:color w:val="auto"/>
          <w:sz w:val="24"/>
        </w:rPr>
        <w:t>或者</w:t>
      </w:r>
      <w:r>
        <w:rPr>
          <w:rFonts w:hint="eastAsia" w:ascii="宋体" w:hAnsi="宋体" w:cs="宋体"/>
          <w:color w:val="auto"/>
          <w:sz w:val="24"/>
          <w:lang w:eastAsia="zh-CN"/>
        </w:rPr>
        <w:t>成交</w:t>
      </w:r>
      <w:r>
        <w:rPr>
          <w:rFonts w:hint="eastAsia" w:ascii="宋体" w:hAnsi="宋体" w:cs="宋体"/>
          <w:color w:val="auto"/>
          <w:sz w:val="24"/>
        </w:rPr>
        <w:t>结果公告期限届满之日起计算。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.4质疑供应商在法定质疑期内应当一次性提出针对同一采购环节提出质疑。</w:t>
      </w:r>
    </w:p>
    <w:p>
      <w:pPr>
        <w:pStyle w:val="31"/>
        <w:spacing w:line="360" w:lineRule="auto"/>
        <w:ind w:left="1" w:firstLine="482" w:firstLineChars="200"/>
        <w:rPr>
          <w:rFonts w:hAnsi="宋体" w:cs="宋体"/>
          <w:color w:val="auto"/>
          <w:kern w:val="2"/>
          <w:sz w:val="24"/>
          <w:szCs w:val="24"/>
        </w:rPr>
      </w:pPr>
      <w:r>
        <w:rPr>
          <w:rFonts w:hint="eastAsia" w:hAnsi="宋体" w:cs="宋体"/>
          <w:b/>
          <w:bCs/>
          <w:color w:val="auto"/>
          <w:kern w:val="2"/>
          <w:sz w:val="24"/>
          <w:szCs w:val="24"/>
        </w:rPr>
        <w:t>4</w:t>
      </w:r>
      <w:r>
        <w:rPr>
          <w:rFonts w:hint="eastAsia" w:hAnsi="宋体" w:cs="宋体"/>
          <w:b/>
          <w:bCs/>
          <w:color w:val="auto"/>
          <w:kern w:val="2"/>
          <w:sz w:val="24"/>
          <w:szCs w:val="24"/>
          <w:lang w:val="en-US" w:eastAsia="zh-CN"/>
        </w:rPr>
        <w:t>5</w:t>
      </w:r>
      <w:r>
        <w:rPr>
          <w:rFonts w:hint="eastAsia" w:hAnsi="宋体" w:cs="宋体"/>
          <w:b/>
          <w:bCs/>
          <w:color w:val="auto"/>
          <w:kern w:val="2"/>
          <w:sz w:val="24"/>
          <w:szCs w:val="24"/>
        </w:rPr>
        <w:t>.5质疑文件应包括以下主要内容，并按照“谁主张、谁举证”的原则，附上相关证明材料。否则，采购代理机构不予受理【财政部发布了《政府采购</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质疑函范本》和《政府采购</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投诉书范本》，两范本指</w:t>
      </w:r>
      <w:r>
        <w:rPr>
          <w:rFonts w:hint="eastAsia" w:hAnsi="宋体" w:cs="宋体"/>
          <w:b/>
          <w:bCs/>
          <w:color w:val="auto"/>
          <w:kern w:val="2"/>
          <w:sz w:val="24"/>
          <w:szCs w:val="24"/>
          <w:lang w:eastAsia="zh-CN"/>
        </w:rPr>
        <w:t>供应商</w:t>
      </w:r>
      <w:r>
        <w:rPr>
          <w:rFonts w:hint="eastAsia" w:hAnsi="宋体" w:cs="宋体"/>
          <w:b/>
          <w:bCs/>
          <w:color w:val="auto"/>
          <w:kern w:val="2"/>
          <w:sz w:val="24"/>
          <w:szCs w:val="24"/>
        </w:rPr>
        <w:t>（供应商）提出质疑、投诉人提起投诉时，应提交的质疑函、投诉书和必要的证明材料（下载路径：中国政府采购网→下载专区）】：　　</w:t>
      </w:r>
      <w:r>
        <w:rPr>
          <w:rFonts w:hint="eastAsia" w:hAnsi="宋体" w:cs="宋体"/>
          <w:color w:val="auto"/>
          <w:kern w:val="2"/>
          <w:sz w:val="24"/>
          <w:szCs w:val="24"/>
        </w:rPr>
        <w:t>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（1）供应商的姓名或者名称、地址、邮编、联系人及联系电话（包括座机、手机、传真号码等）； </w:t>
      </w:r>
    </w:p>
    <w:p>
      <w:pPr>
        <w:spacing w:line="360" w:lineRule="auto"/>
        <w:ind w:firstLine="480" w:firstLineChars="200"/>
        <w:rPr>
          <w:rFonts w:ascii="宋体" w:hAnsi="宋体" w:cs="宋体"/>
          <w:color w:val="auto"/>
          <w:sz w:val="24"/>
        </w:rPr>
      </w:pPr>
      <w:r>
        <w:rPr>
          <w:rFonts w:hint="eastAsia" w:ascii="宋体" w:hAnsi="宋体" w:cs="宋体"/>
          <w:color w:val="auto"/>
          <w:sz w:val="24"/>
        </w:rPr>
        <w:t>（2）质疑项目的名称、项目编号、包号、采购公告发布时间、递交</w:t>
      </w:r>
      <w:r>
        <w:rPr>
          <w:rFonts w:hint="eastAsia" w:ascii="宋体" w:hAnsi="宋体" w:cs="宋体"/>
          <w:color w:val="auto"/>
          <w:sz w:val="24"/>
          <w:lang w:eastAsia="zh-CN"/>
        </w:rPr>
        <w:t>响应文件</w:t>
      </w:r>
      <w:r>
        <w:rPr>
          <w:rFonts w:hint="eastAsia" w:ascii="宋体" w:hAnsi="宋体" w:cs="宋体"/>
          <w:color w:val="auto"/>
          <w:sz w:val="24"/>
        </w:rPr>
        <w:t>或</w:t>
      </w:r>
      <w:r>
        <w:rPr>
          <w:rFonts w:hint="eastAsia" w:ascii="宋体" w:hAnsi="宋体" w:cs="宋体"/>
          <w:color w:val="auto"/>
          <w:sz w:val="24"/>
          <w:lang w:eastAsia="zh-CN"/>
        </w:rPr>
        <w:t>响应文件</w:t>
      </w:r>
      <w:r>
        <w:rPr>
          <w:rFonts w:hint="eastAsia" w:ascii="宋体" w:hAnsi="宋体" w:cs="宋体"/>
          <w:color w:val="auto"/>
          <w:sz w:val="24"/>
        </w:rPr>
        <w:t xml:space="preserve">截止时间；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（3）具体、明确的质疑事项和与质疑事项相关的请求；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（5）必要的法律依据； </w:t>
      </w:r>
    </w:p>
    <w:p>
      <w:pPr>
        <w:spacing w:line="360" w:lineRule="auto"/>
        <w:ind w:firstLine="480" w:firstLineChars="200"/>
        <w:rPr>
          <w:rFonts w:ascii="宋体" w:hAnsi="宋体" w:cs="宋体"/>
          <w:color w:val="auto"/>
          <w:sz w:val="24"/>
        </w:rPr>
      </w:pPr>
      <w:r>
        <w:rPr>
          <w:rFonts w:hint="eastAsia" w:ascii="宋体" w:hAnsi="宋体" w:cs="宋体"/>
          <w:color w:val="auto"/>
          <w:sz w:val="24"/>
        </w:rPr>
        <w:t>（6）提起质疑的日期；</w:t>
      </w:r>
    </w:p>
    <w:p>
      <w:pPr>
        <w:spacing w:line="360" w:lineRule="auto"/>
        <w:ind w:firstLine="480" w:firstLineChars="200"/>
        <w:rPr>
          <w:rFonts w:ascii="宋体" w:hAnsi="宋体" w:cs="宋体"/>
          <w:color w:val="auto"/>
          <w:sz w:val="24"/>
        </w:rPr>
      </w:pPr>
      <w:r>
        <w:rPr>
          <w:rFonts w:hint="eastAsia" w:ascii="宋体" w:hAnsi="宋体" w:cs="宋体"/>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color w:val="auto"/>
          <w:sz w:val="24"/>
        </w:rPr>
      </w:pPr>
      <w:r>
        <w:rPr>
          <w:rFonts w:hint="eastAsia" w:ascii="宋体" w:hAnsi="宋体" w:cs="宋体"/>
          <w:color w:val="auto"/>
          <w:sz w:val="24"/>
        </w:rPr>
        <w:t>（8）供应商委托代理质疑的，应当提交授权委托书，并载明代理人的姓名或者名称、代理事项、 具体权限、期限和相关事项。</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6</w:t>
      </w:r>
      <w:r>
        <w:rPr>
          <w:rFonts w:hint="eastAsia" w:ascii="宋体" w:hAnsi="宋体" w:cs="宋体"/>
          <w:b/>
          <w:color w:val="auto"/>
          <w:sz w:val="24"/>
        </w:rPr>
        <w:t>、投诉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6</w:t>
      </w:r>
      <w:r>
        <w:rPr>
          <w:rFonts w:hint="eastAsia" w:ascii="宋体" w:hAnsi="宋体" w:cs="宋体"/>
          <w:color w:val="auto"/>
          <w:sz w:val="24"/>
        </w:rPr>
        <w:t>.1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6</w:t>
      </w:r>
      <w:r>
        <w:rPr>
          <w:rFonts w:hint="eastAsia" w:ascii="宋体" w:hAnsi="宋体" w:cs="宋体"/>
          <w:color w:val="auto"/>
          <w:sz w:val="24"/>
        </w:rPr>
        <w:t>.2供应商投诉的事项不得超出已质疑事项的范围，但基于质疑答复内容提出的投诉事项除外。</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w:t>
      </w:r>
      <w:r>
        <w:rPr>
          <w:rFonts w:hint="eastAsia" w:ascii="宋体" w:hAnsi="宋体" w:cs="宋体"/>
          <w:b/>
          <w:color w:val="auto"/>
          <w:sz w:val="24"/>
          <w:lang w:val="en-US" w:eastAsia="zh-CN"/>
        </w:rPr>
        <w:t>7</w:t>
      </w:r>
      <w:r>
        <w:rPr>
          <w:rFonts w:hint="eastAsia" w:ascii="宋体" w:hAnsi="宋体" w:cs="宋体"/>
          <w:b/>
          <w:color w:val="auto"/>
          <w:sz w:val="24"/>
        </w:rPr>
        <w:t>、诚实信用</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7</w:t>
      </w:r>
      <w:r>
        <w:rPr>
          <w:rFonts w:hint="eastAsia" w:ascii="宋体" w:hAnsi="宋体" w:cs="宋体"/>
          <w:color w:val="auto"/>
          <w:sz w:val="24"/>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napToGrid w:val="0"/>
        <w:spacing w:line="360" w:lineRule="auto"/>
        <w:jc w:val="left"/>
        <w:rPr>
          <w:rFonts w:ascii="宋体" w:hAnsi="宋体" w:cs="宋体"/>
          <w:b/>
          <w:bCs/>
          <w:color w:val="auto"/>
          <w:sz w:val="24"/>
        </w:rPr>
      </w:pPr>
      <w:r>
        <w:rPr>
          <w:rFonts w:hint="eastAsia" w:ascii="宋体" w:hAnsi="宋体" w:cs="宋体"/>
          <w:b/>
          <w:bCs/>
          <w:color w:val="auto"/>
          <w:sz w:val="24"/>
        </w:rPr>
        <w:t>八、义务、工作纪律</w:t>
      </w:r>
    </w:p>
    <w:p>
      <w:pPr>
        <w:tabs>
          <w:tab w:val="left" w:pos="7665"/>
        </w:tabs>
        <w:spacing w:line="360" w:lineRule="auto"/>
        <w:ind w:firstLine="482" w:firstLineChars="200"/>
        <w:rPr>
          <w:rFonts w:ascii="宋体" w:hAnsi="宋体" w:cs="宋体"/>
          <w:color w:val="auto"/>
          <w:sz w:val="24"/>
        </w:rPr>
      </w:pPr>
      <w:bookmarkStart w:id="195" w:name="_Toc28505_WPSOffice_Level1"/>
      <w:r>
        <w:rPr>
          <w:rFonts w:hint="eastAsia" w:ascii="宋体" w:hAnsi="宋体" w:cs="宋体"/>
          <w:b/>
          <w:bCs/>
          <w:color w:val="auto"/>
          <w:sz w:val="24"/>
        </w:rPr>
        <w:t>4</w:t>
      </w:r>
      <w:r>
        <w:rPr>
          <w:rFonts w:hint="eastAsia" w:ascii="宋体" w:hAnsi="宋体" w:cs="宋体"/>
          <w:b/>
          <w:bCs/>
          <w:color w:val="auto"/>
          <w:sz w:val="24"/>
          <w:lang w:val="en-US" w:eastAsia="zh-CN"/>
        </w:rPr>
        <w:t>8</w:t>
      </w:r>
      <w:r>
        <w:rPr>
          <w:rFonts w:hint="eastAsia" w:ascii="宋体" w:hAnsi="宋体" w:cs="宋体"/>
          <w:b/>
          <w:bCs/>
          <w:color w:val="auto"/>
          <w:sz w:val="24"/>
        </w:rPr>
        <w:t>、采购人或者采购代理机构负责组织评标工作，并履行下列职责：</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.2宣布评标纪律；</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.3公布供应商名单，告知评审专家应当回避的情形；</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.4组织评标委员会推选评标组长，采购人代表不得担任组长；</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.5在评标期间采取必要的通讯管理措施，保证评标活动不受外界干扰；</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.6根据评标委员会的要求介绍政府采购相关政策法规、</w:t>
      </w:r>
      <w:r>
        <w:rPr>
          <w:rFonts w:hint="eastAsia" w:ascii="宋体" w:hAnsi="宋体" w:cs="宋体"/>
          <w:color w:val="auto"/>
          <w:sz w:val="24"/>
          <w:lang w:eastAsia="zh-CN"/>
        </w:rPr>
        <w:t>竞争性磋商文件</w:t>
      </w:r>
      <w:r>
        <w:rPr>
          <w:rFonts w:hint="eastAsia" w:ascii="宋体" w:hAnsi="宋体" w:cs="宋体"/>
          <w:color w:val="auto"/>
          <w:sz w:val="24"/>
        </w:rPr>
        <w:t>；</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.7维护评标秩序，监督评标委员会依照</w:t>
      </w:r>
      <w:r>
        <w:rPr>
          <w:rFonts w:hint="eastAsia" w:ascii="宋体" w:hAnsi="宋体" w:cs="宋体"/>
          <w:color w:val="auto"/>
          <w:sz w:val="24"/>
          <w:lang w:eastAsia="zh-CN"/>
        </w:rPr>
        <w:t>竞争性磋商文件</w:t>
      </w:r>
      <w:r>
        <w:rPr>
          <w:rFonts w:hint="eastAsia" w:ascii="宋体" w:hAnsi="宋体" w:cs="宋体"/>
          <w:color w:val="auto"/>
          <w:sz w:val="24"/>
        </w:rPr>
        <w:t>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4</w:t>
      </w:r>
      <w:r>
        <w:rPr>
          <w:rFonts w:hint="eastAsia" w:ascii="宋体" w:hAnsi="宋体" w:cs="宋体"/>
          <w:color w:val="auto"/>
          <w:sz w:val="24"/>
          <w:lang w:val="en-US" w:eastAsia="zh-CN"/>
        </w:rPr>
        <w:t>8</w:t>
      </w:r>
      <w:r>
        <w:rPr>
          <w:rFonts w:hint="eastAsia" w:ascii="宋体" w:hAnsi="宋体" w:cs="宋体"/>
          <w:color w:val="auto"/>
          <w:sz w:val="24"/>
        </w:rPr>
        <w:t>.9处理与评标有关的其他事项</w:t>
      </w:r>
    </w:p>
    <w:p>
      <w:pPr>
        <w:tabs>
          <w:tab w:val="left" w:pos="7665"/>
        </w:tabs>
        <w:spacing w:line="360" w:lineRule="auto"/>
        <w:ind w:firstLine="240" w:firstLineChars="100"/>
        <w:rPr>
          <w:rFonts w:ascii="宋体" w:hAnsi="宋体" w:cs="宋体"/>
          <w:color w:val="auto"/>
          <w:sz w:val="24"/>
        </w:rPr>
      </w:pPr>
      <w:r>
        <w:rPr>
          <w:rFonts w:hint="eastAsia" w:ascii="宋体" w:hAnsi="宋体" w:cs="宋体"/>
          <w:color w:val="auto"/>
          <w:sz w:val="24"/>
        </w:rPr>
        <w:t xml:space="preserve">  采购人可以在评标前说明项目背景和采购需求，说明内容不得含有歧视性、倾向性意见，不得超出</w:t>
      </w:r>
      <w:r>
        <w:rPr>
          <w:rFonts w:hint="eastAsia" w:ascii="宋体" w:hAnsi="宋体" w:cs="宋体"/>
          <w:color w:val="auto"/>
          <w:sz w:val="24"/>
          <w:lang w:eastAsia="zh-CN"/>
        </w:rPr>
        <w:t>竞争性磋商文件</w:t>
      </w:r>
      <w:r>
        <w:rPr>
          <w:rFonts w:hint="eastAsia" w:ascii="宋体" w:hAnsi="宋体" w:cs="宋体"/>
          <w:color w:val="auto"/>
          <w:sz w:val="24"/>
        </w:rPr>
        <w:t>所述范围。说明应当提交书面材料，并随</w:t>
      </w:r>
      <w:r>
        <w:rPr>
          <w:rFonts w:hint="eastAsia" w:ascii="宋体" w:hAnsi="宋体" w:cs="宋体"/>
          <w:color w:val="auto"/>
          <w:sz w:val="24"/>
          <w:lang w:eastAsia="zh-CN"/>
        </w:rPr>
        <w:t>竞争性磋商文件</w:t>
      </w:r>
      <w:r>
        <w:rPr>
          <w:rFonts w:hint="eastAsia" w:ascii="宋体" w:hAnsi="宋体" w:cs="宋体"/>
          <w:color w:val="auto"/>
          <w:sz w:val="24"/>
        </w:rPr>
        <w:t>一并存档。</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w:t>
      </w:r>
      <w:r>
        <w:rPr>
          <w:rFonts w:hint="eastAsia" w:ascii="宋体" w:hAnsi="宋体" w:cs="宋体"/>
          <w:bCs/>
          <w:color w:val="auto"/>
          <w:sz w:val="24"/>
          <w:lang w:val="en-US" w:eastAsia="zh-CN"/>
        </w:rPr>
        <w:t>9</w:t>
      </w:r>
      <w:r>
        <w:rPr>
          <w:rFonts w:hint="eastAsia" w:ascii="宋体" w:hAnsi="宋体" w:cs="宋体"/>
          <w:bCs/>
          <w:color w:val="auto"/>
          <w:sz w:val="24"/>
        </w:rPr>
        <w:t>、</w:t>
      </w:r>
      <w:r>
        <w:rPr>
          <w:rFonts w:hint="eastAsia" w:ascii="宋体" w:hAnsi="宋体" w:cs="宋体"/>
          <w:color w:val="auto"/>
          <w:sz w:val="24"/>
        </w:rPr>
        <w:t>评标委员会</w:t>
      </w:r>
      <w:r>
        <w:rPr>
          <w:rFonts w:hint="eastAsia" w:ascii="宋体" w:hAnsi="宋体" w:cs="宋体"/>
          <w:bCs/>
          <w:color w:val="auto"/>
          <w:sz w:val="24"/>
          <w:lang w:eastAsia="zh-CN"/>
        </w:rPr>
        <w:t>评标</w:t>
      </w:r>
      <w:r>
        <w:rPr>
          <w:rFonts w:hint="eastAsia" w:ascii="宋体" w:hAnsi="宋体" w:cs="宋体"/>
          <w:bCs/>
          <w:color w:val="auto"/>
          <w:sz w:val="24"/>
        </w:rPr>
        <w:t>在政府采购活动中承担以下义务：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49.1</w:t>
      </w:r>
      <w:r>
        <w:rPr>
          <w:rFonts w:hint="eastAsia" w:ascii="宋体" w:hAnsi="宋体" w:cs="宋体"/>
          <w:bCs/>
          <w:color w:val="auto"/>
          <w:sz w:val="24"/>
        </w:rPr>
        <w:t>遵守评审工作纪律；</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49.2</w:t>
      </w:r>
      <w:r>
        <w:rPr>
          <w:rFonts w:hint="eastAsia" w:ascii="宋体" w:hAnsi="宋体" w:cs="宋体"/>
          <w:bCs/>
          <w:color w:val="auto"/>
          <w:sz w:val="24"/>
        </w:rPr>
        <w:t>按照客观、公正、审慎的原则，根据</w:t>
      </w:r>
      <w:r>
        <w:rPr>
          <w:rFonts w:hint="eastAsia" w:ascii="宋体" w:hAnsi="宋体" w:cs="宋体"/>
          <w:bCs/>
          <w:color w:val="auto"/>
          <w:sz w:val="24"/>
          <w:lang w:eastAsia="zh-CN"/>
        </w:rPr>
        <w:t>竞争性磋商文件</w:t>
      </w:r>
      <w:r>
        <w:rPr>
          <w:rFonts w:hint="eastAsia" w:ascii="宋体" w:hAnsi="宋体" w:cs="宋体"/>
          <w:bCs/>
          <w:color w:val="auto"/>
          <w:sz w:val="24"/>
        </w:rPr>
        <w:t>规定的评审程序、评审方法和评审标准进行独立评审；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49.3</w:t>
      </w:r>
      <w:r>
        <w:rPr>
          <w:rFonts w:hint="eastAsia" w:ascii="宋体" w:hAnsi="宋体" w:cs="宋体"/>
          <w:bCs/>
          <w:color w:val="auto"/>
          <w:sz w:val="24"/>
        </w:rPr>
        <w:t>不得泄露评审文件、评审情况和在评审过程中获悉的商业秘密；</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49.4</w:t>
      </w:r>
      <w:r>
        <w:rPr>
          <w:rFonts w:hint="eastAsia" w:ascii="宋体" w:hAnsi="宋体" w:cs="宋体"/>
          <w:bCs/>
          <w:color w:val="auto"/>
          <w:sz w:val="24"/>
        </w:rPr>
        <w:t>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49.5</w:t>
      </w:r>
      <w:r>
        <w:rPr>
          <w:rFonts w:hint="eastAsia" w:ascii="宋体" w:hAnsi="宋体" w:cs="宋体"/>
          <w:bCs/>
          <w:color w:val="auto"/>
          <w:sz w:val="24"/>
        </w:rPr>
        <w:t>发现</w:t>
      </w:r>
      <w:r>
        <w:rPr>
          <w:rFonts w:hint="eastAsia" w:ascii="宋体" w:hAnsi="宋体" w:cs="宋体"/>
          <w:bCs/>
          <w:color w:val="auto"/>
          <w:sz w:val="24"/>
          <w:lang w:eastAsia="zh-CN"/>
        </w:rPr>
        <w:t>竞争性磋商文件</w:t>
      </w:r>
      <w:r>
        <w:rPr>
          <w:rFonts w:hint="eastAsia" w:ascii="宋体" w:hAnsi="宋体" w:cs="宋体"/>
          <w:bCs/>
          <w:color w:val="auto"/>
          <w:sz w:val="24"/>
        </w:rPr>
        <w:t>内容违反国家有关强制性规定或者</w:t>
      </w:r>
      <w:r>
        <w:rPr>
          <w:rFonts w:hint="eastAsia" w:ascii="宋体" w:hAnsi="宋体" w:cs="宋体"/>
          <w:bCs/>
          <w:color w:val="auto"/>
          <w:sz w:val="24"/>
          <w:lang w:eastAsia="zh-CN"/>
        </w:rPr>
        <w:t>竞争性磋商文件</w:t>
      </w:r>
      <w:r>
        <w:rPr>
          <w:rFonts w:hint="eastAsia" w:ascii="宋体" w:hAnsi="宋体" w:cs="宋体"/>
          <w:bCs/>
          <w:color w:val="auto"/>
          <w:sz w:val="24"/>
        </w:rPr>
        <w:t>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49.6</w:t>
      </w:r>
      <w:r>
        <w:rPr>
          <w:rFonts w:hint="eastAsia" w:ascii="宋体" w:hAnsi="宋体" w:cs="宋体"/>
          <w:bCs/>
          <w:color w:val="auto"/>
          <w:sz w:val="24"/>
        </w:rPr>
        <w:t>及时向财政、监察等部门举报在评审过程中受到非法干预的情况；</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49.7</w:t>
      </w:r>
      <w:r>
        <w:rPr>
          <w:rFonts w:hint="eastAsia" w:ascii="宋体" w:hAnsi="宋体" w:cs="宋体"/>
          <w:bCs/>
          <w:color w:val="auto"/>
          <w:sz w:val="24"/>
        </w:rPr>
        <w:t>配合答复处理供应商的询问、质疑和投诉等事项；</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lang w:val="en-US" w:eastAsia="zh-CN"/>
        </w:rPr>
        <w:t>49.8</w:t>
      </w:r>
      <w:r>
        <w:rPr>
          <w:rFonts w:hint="eastAsia" w:ascii="宋体" w:hAnsi="宋体" w:cs="宋体"/>
          <w:bCs/>
          <w:color w:val="auto"/>
          <w:sz w:val="24"/>
        </w:rPr>
        <w:t>法律、法规和规章规定的其他义务。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w:t>
      </w:r>
      <w:r>
        <w:rPr>
          <w:rFonts w:hint="eastAsia" w:ascii="宋体" w:hAnsi="宋体" w:cs="宋体"/>
          <w:bCs/>
          <w:color w:val="auto"/>
          <w:sz w:val="24"/>
          <w:lang w:eastAsia="zh-CN"/>
        </w:rPr>
        <w:t>评标委员会</w:t>
      </w:r>
      <w:r>
        <w:rPr>
          <w:rFonts w:hint="eastAsia" w:ascii="宋体" w:hAnsi="宋体" w:cs="宋体"/>
          <w:bCs/>
          <w:color w:val="auto"/>
          <w:sz w:val="24"/>
        </w:rPr>
        <w:t>在政府采购活动中应当遵守以下工作纪律：</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.2评审前，应当将通讯工具或者相关电子设备交由采购代理机构统一保管；</w:t>
      </w:r>
    </w:p>
    <w:p>
      <w:pPr>
        <w:tabs>
          <w:tab w:val="left" w:pos="7665"/>
        </w:tabs>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.3评审过程中，不得与外界联系，因发生不可预见情况，确实需要与外界联系的，应当在监督人员监督之下办理；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.4评审过程中，不得发表影响评审公正的倾向性、歧视性言论，不得征询或者接受采购人的倾向性意见，不得明示或暗示供应商在澄清时表达与其</w:t>
      </w:r>
      <w:r>
        <w:rPr>
          <w:rFonts w:hint="eastAsia" w:ascii="宋体" w:hAnsi="宋体" w:cs="宋体"/>
          <w:bCs/>
          <w:color w:val="auto"/>
          <w:sz w:val="24"/>
          <w:lang w:eastAsia="zh-CN"/>
        </w:rPr>
        <w:t>响应文件</w:t>
      </w:r>
      <w:r>
        <w:rPr>
          <w:rFonts w:hint="eastAsia" w:ascii="宋体" w:hAnsi="宋体" w:cs="宋体"/>
          <w:bCs/>
          <w:color w:val="auto"/>
          <w:sz w:val="24"/>
        </w:rPr>
        <w:t>原义不同的意见，不得以</w:t>
      </w:r>
      <w:r>
        <w:rPr>
          <w:rFonts w:hint="eastAsia" w:ascii="宋体" w:hAnsi="宋体" w:cs="宋体"/>
          <w:bCs/>
          <w:color w:val="auto"/>
          <w:sz w:val="24"/>
          <w:lang w:eastAsia="zh-CN"/>
        </w:rPr>
        <w:t>竞争性磋商文件</w:t>
      </w:r>
      <w:r>
        <w:rPr>
          <w:rFonts w:hint="eastAsia" w:ascii="宋体" w:hAnsi="宋体" w:cs="宋体"/>
          <w:bCs/>
          <w:color w:val="auto"/>
          <w:sz w:val="24"/>
        </w:rPr>
        <w:t>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.5在评审过程中和评审结束后，不得记录、复制或带走任何评审资料，不得向外界透露评审内容；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lang w:val="en-US" w:eastAsia="zh-CN"/>
        </w:rPr>
        <w:t>50</w:t>
      </w:r>
      <w:r>
        <w:rPr>
          <w:rFonts w:hint="eastAsia" w:ascii="宋体" w:hAnsi="宋体" w:cs="宋体"/>
          <w:bCs/>
          <w:color w:val="auto"/>
          <w:sz w:val="24"/>
        </w:rPr>
        <w:t>.6评审现场服从采购代理机构工作人员的管理，接受现场监督人员的合法监督；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50</w:t>
      </w:r>
      <w:r>
        <w:rPr>
          <w:rFonts w:hint="eastAsia" w:ascii="宋体" w:hAnsi="宋体" w:cs="宋体"/>
          <w:bCs/>
          <w:color w:val="auto"/>
          <w:sz w:val="24"/>
        </w:rPr>
        <w:t>.7遵守有关廉洁自律规定，不得私下接触供应商，不得收受供应商及有关业务单位和个人的财物或好处，不得接受采购代理机构的请托。</w:t>
      </w:r>
    </w:p>
    <w:bookmarkEnd w:id="195"/>
    <w:p>
      <w:pPr>
        <w:pStyle w:val="7"/>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30"/>
          <w:szCs w:val="30"/>
          <w:highlight w:val="none"/>
          <w:lang w:val="en-US" w:eastAsia="zh-CN" w:bidi="ar-SA"/>
        </w:rPr>
      </w:pPr>
      <w:bookmarkStart w:id="196" w:name="_Toc14014_WPSOffice_Level1"/>
      <w:r>
        <w:rPr>
          <w:rFonts w:hint="eastAsia" w:ascii="宋体" w:hAnsi="宋体" w:eastAsia="宋体" w:cs="宋体"/>
          <w:b/>
          <w:color w:val="auto"/>
          <w:kern w:val="2"/>
          <w:sz w:val="30"/>
          <w:szCs w:val="30"/>
          <w:highlight w:val="none"/>
          <w:lang w:val="en-US" w:eastAsia="zh-CN" w:bidi="ar-SA"/>
        </w:rPr>
        <w:t>第三章、项目采购需求</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、总则</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1.1本章条款仅限于</w:t>
      </w:r>
      <w:r>
        <w:rPr>
          <w:rFonts w:hint="eastAsia" w:ascii="宋体" w:hAnsi="宋体" w:cs="宋体"/>
          <w:color w:val="auto"/>
          <w:sz w:val="24"/>
          <w:highlight w:val="none"/>
          <w:lang w:eastAsia="zh-CN"/>
        </w:rPr>
        <w:t>克拉玛依市克拉玛依区市场监督管理局2022年食品安全监督抽检检验项目</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1.2本章条款提出的是最低限度的技术要求，并未对一切技术细节做出规定，也未引述有关规范条文，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不得以本文件未提出要求为理由而规避国家和行业强制规范、标准的规定，</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应保证提供符合本章条款和相关标准的服务。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1.3如果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没有以书面形式对本章条款提出异议，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人就可以认为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中，应对</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中的服务进行详细的说明。</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1.5在签订合同之后，</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人有权提出因规范标准有变化而产生的一些补充要求。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1.6本章条款使用标准如与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所执行标准发生矛盾时，按较高标准执行。</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eastAsia="宋体" w:cs="宋体"/>
          <w:b/>
          <w:bCs/>
          <w:color w:val="auto"/>
          <w:sz w:val="24"/>
          <w:highlight w:val="none"/>
        </w:rPr>
        <w:t>、执行的规范和标准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color w:val="auto"/>
          <w:sz w:val="24"/>
          <w:highlight w:val="none"/>
        </w:rPr>
        <w:t>本项目必须遵循国家规范和标准并应按最新版本执行，若标准、规范出现矛盾时，以最新、最高标准规范执行。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、工作目标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满足人民群众对安全健康食品的美好生活需要为目标，以食品安全抽样检验为抓手，以发现食品安全问题为导向，以监督抽检与信息公布、核查处置联动为保障，有效防控苗头性、系统性、区域性食品安全风险，从而保障社会公众的食品安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、工作原则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2022年监督抽检工作应坚持问题导向、广泛覆盖、点面结合、统筹兼顾、监检结合，努力实现监督抽检覆盖城区、农村、城乡结合部等不同区域，针对监管和执法工作中发现的问题开展抽检，加强抽检与监管的信息沟通，提高抽检和监管工作的针对性、有效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、工作重点</w:t>
      </w:r>
    </w:p>
    <w:p>
      <w:pPr>
        <w:keepNext w:val="0"/>
        <w:keepLines w:val="0"/>
        <w:pageBreakBefore w:val="0"/>
        <w:numPr>
          <w:ilvl w:val="0"/>
          <w:numId w:val="0"/>
        </w:numPr>
        <w:kinsoku/>
        <w:wordWrap w:val="0"/>
        <w:overflowPunct/>
        <w:topLinePunct/>
        <w:autoSpaceDE/>
        <w:autoSpaceDN/>
        <w:bidi w:val="0"/>
        <w:adjustRightInd w:val="0"/>
        <w:spacing w:line="56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城市、农村、城乡结合部等重点区域，对食品生产、经营、餐饮、网络销售等不同业态开展监督抽检。重点抽检公众日常消费量大、关注度高、风险程度高的食用农产品、餐饮食品等重点品种，校园周边、大型批发市场等重点区域，以及网络和进口食品。</w:t>
      </w:r>
      <w:r>
        <w:rPr>
          <w:rFonts w:hint="eastAsia" w:ascii="宋体" w:hAnsi="宋体" w:eastAsia="宋体" w:cs="宋体"/>
          <w:color w:val="auto"/>
          <w:kern w:val="2"/>
          <w:sz w:val="24"/>
          <w:szCs w:val="24"/>
          <w:highlight w:val="none"/>
          <w:lang w:val="en-US" w:eastAsia="zh-CN" w:bidi="ar-SA"/>
        </w:rPr>
        <w:t>全年抽检共计1000批次，其中食用农产品抽检500批次，其他食品生产、流通、餐饮环节抽检500批次。其中自治区下发县区级线上食用农产品281批次任务、学校、托幼、养老、福利等机构食堂餐饮食品56批次任务、小餐饮、小食杂店、小摊贩食品19批次任务。以及你点我检专项抽检任务10批次。</w:t>
      </w:r>
    </w:p>
    <w:p>
      <w:pPr>
        <w:keepNext w:val="0"/>
        <w:keepLines w:val="0"/>
        <w:pageBreakBefore w:val="0"/>
        <w:numPr>
          <w:ilvl w:val="0"/>
          <w:numId w:val="0"/>
        </w:numPr>
        <w:kinsoku/>
        <w:wordWrap w:val="0"/>
        <w:overflowPunct/>
        <w:topLinePunct/>
        <w:autoSpaceDE/>
        <w:autoSpaceDN/>
        <w:bidi w:val="0"/>
        <w:adjustRightInd w:val="0"/>
        <w:spacing w:line="560" w:lineRule="exact"/>
        <w:ind w:firstLine="482" w:firstLineChars="200"/>
        <w:textAlignment w:val="auto"/>
        <w:rPr>
          <w:rFonts w:hint="eastAsia" w:ascii="仿宋_GB2312" w:hAnsi="仿宋_GB2312" w:eastAsia="仿宋_GB2312" w:cs="仿宋_GB2312"/>
          <w:color w:val="auto"/>
          <w:kern w:val="0"/>
          <w:sz w:val="32"/>
          <w:szCs w:val="32"/>
          <w:lang w:val="en-US" w:eastAsia="zh-CN"/>
        </w:rPr>
      </w:pPr>
      <w:r>
        <w:rPr>
          <w:rFonts w:hint="eastAsia" w:ascii="宋体" w:hAnsi="宋体" w:eastAsia="宋体" w:cs="宋体"/>
          <w:b/>
          <w:bCs/>
          <w:color w:val="auto"/>
          <w:kern w:val="2"/>
          <w:sz w:val="24"/>
          <w:szCs w:val="24"/>
          <w:highlight w:val="none"/>
          <w:lang w:val="en-US" w:eastAsia="zh-CN" w:bidi="ar-SA"/>
        </w:rPr>
        <w:t>（一）抽检品种。</w:t>
      </w:r>
      <w:r>
        <w:rPr>
          <w:rFonts w:hint="eastAsia" w:ascii="宋体" w:hAnsi="宋体" w:eastAsia="宋体" w:cs="宋体"/>
          <w:color w:val="auto"/>
          <w:kern w:val="2"/>
          <w:sz w:val="24"/>
          <w:szCs w:val="24"/>
          <w:highlight w:val="none"/>
          <w:lang w:val="en-US" w:eastAsia="zh-CN" w:bidi="ar-SA"/>
        </w:rPr>
        <w:t>食用农产品：蔬菜、水果、畜禽肉、水产品、鲜蛋等；流通环节：肉制品、酒类、糕点、速冻食品、食用植物油、粮食加工品、豆制品、现场制售食品等为抽检重点品种。餐饮环节：以熟肉制品、煎炸油、火锅调味料、发酵面制品等为重点抽检品种，专项整治品种等（抽检任务计划表见附件）。</w:t>
      </w:r>
    </w:p>
    <w:p>
      <w:pPr>
        <w:keepNext w:val="0"/>
        <w:keepLines w:val="0"/>
        <w:pageBreakBefore w:val="0"/>
        <w:numPr>
          <w:ilvl w:val="0"/>
          <w:numId w:val="0"/>
        </w:numPr>
        <w:kinsoku/>
        <w:wordWrap w:val="0"/>
        <w:overflowPunct/>
        <w:topLinePunct/>
        <w:autoSpaceDE/>
        <w:autoSpaceDN/>
        <w:bidi w:val="0"/>
        <w:adjustRightInd w:val="0"/>
        <w:spacing w:line="560" w:lineRule="exact"/>
        <w:ind w:firstLine="482" w:firstLineChars="200"/>
        <w:jc w:val="both"/>
        <w:textAlignment w:val="auto"/>
        <w:rPr>
          <w:rFonts w:hint="eastAsia" w:ascii="楷体" w:hAnsi="楷体" w:eastAsia="楷体" w:cs="楷体"/>
          <w:b/>
          <w:bCs/>
          <w:color w:val="auto"/>
          <w:sz w:val="32"/>
          <w:szCs w:val="20"/>
        </w:rPr>
      </w:pPr>
      <w:r>
        <w:rPr>
          <w:rFonts w:hint="eastAsia" w:ascii="宋体" w:hAnsi="宋体" w:eastAsia="宋体" w:cs="宋体"/>
          <w:b/>
          <w:bCs/>
          <w:color w:val="auto"/>
          <w:kern w:val="2"/>
          <w:sz w:val="24"/>
          <w:szCs w:val="24"/>
          <w:highlight w:val="none"/>
          <w:lang w:val="en-US" w:eastAsia="zh-CN" w:bidi="ar-SA"/>
        </w:rPr>
        <w:t>（二）抽样频次。</w:t>
      </w:r>
      <w:r>
        <w:rPr>
          <w:rFonts w:hint="eastAsia" w:ascii="宋体" w:hAnsi="宋体" w:eastAsia="宋体" w:cs="宋体"/>
          <w:color w:val="auto"/>
          <w:kern w:val="2"/>
          <w:sz w:val="24"/>
          <w:szCs w:val="24"/>
          <w:highlight w:val="none"/>
          <w:lang w:val="en-US" w:eastAsia="zh-CN" w:bidi="ar-SA"/>
        </w:rPr>
        <w:t>根据消费量、节日食品、季节特点等，各监管所按顺序每月轮岗抽检。按照所下达的抽检任务量均衡推进，计划每月对生产、经营环节食品和食用农产品抽检共计100批次左右。</w:t>
      </w:r>
    </w:p>
    <w:p>
      <w:pPr>
        <w:keepNext w:val="0"/>
        <w:keepLines w:val="0"/>
        <w:pageBreakBefore w:val="0"/>
        <w:kinsoku/>
        <w:wordWrap w:val="0"/>
        <w:overflowPunct/>
        <w:topLinePunct/>
        <w:autoSpaceDE/>
        <w:autoSpaceDN/>
        <w:bidi w:val="0"/>
        <w:adjustRightInd w:val="0"/>
        <w:spacing w:line="560" w:lineRule="exact"/>
        <w:ind w:firstLine="482"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宋体" w:hAnsi="宋体" w:eastAsia="宋体" w:cs="宋体"/>
          <w:b/>
          <w:bCs/>
          <w:color w:val="auto"/>
          <w:kern w:val="2"/>
          <w:sz w:val="24"/>
          <w:szCs w:val="24"/>
          <w:highlight w:val="none"/>
          <w:lang w:val="en-US" w:eastAsia="zh-CN" w:bidi="ar-SA"/>
        </w:rPr>
        <w:t>（三）抽样场所。</w:t>
      </w:r>
      <w:r>
        <w:rPr>
          <w:rFonts w:hint="eastAsia" w:ascii="宋体" w:hAnsi="宋体" w:eastAsia="宋体" w:cs="宋体"/>
          <w:color w:val="auto"/>
          <w:kern w:val="2"/>
          <w:sz w:val="24"/>
          <w:szCs w:val="24"/>
          <w:highlight w:val="none"/>
          <w:lang w:val="en-US" w:eastAsia="zh-CN" w:bidi="ar-SA"/>
        </w:rPr>
        <w:t>克拉玛依区域内的食用农产品批发市场、销售食用农产品的商超、菜店、食堂、校园周边、学校、托幼、养老、福利等机构食堂、食品小作坊、小餐饮、小食杂店、小摊贩、食品生产企业进行食品抽样。</w:t>
      </w:r>
    </w:p>
    <w:p>
      <w:pPr>
        <w:keepNext w:val="0"/>
        <w:keepLines w:val="0"/>
        <w:pageBreakBefore w:val="0"/>
        <w:kinsoku/>
        <w:wordWrap w:val="0"/>
        <w:overflowPunct/>
        <w:topLinePunct/>
        <w:autoSpaceDE/>
        <w:autoSpaceDN/>
        <w:bidi w:val="0"/>
        <w:adjustRightInd w:val="0"/>
        <w:spacing w:line="560" w:lineRule="exact"/>
        <w:ind w:firstLine="482" w:firstLineChars="200"/>
        <w:textAlignment w:val="auto"/>
        <w:rPr>
          <w:rFonts w:hint="eastAsia" w:ascii="仿宋_GB2312" w:hAnsi="仿宋_GB2312" w:eastAsia="仿宋_GB2312" w:cs="仿宋_GB2312"/>
          <w:color w:val="auto"/>
          <w:sz w:val="32"/>
          <w:szCs w:val="20"/>
          <w:highlight w:val="none"/>
        </w:rPr>
      </w:pPr>
      <w:r>
        <w:rPr>
          <w:rFonts w:hint="eastAsia" w:ascii="宋体" w:hAnsi="宋体" w:eastAsia="宋体" w:cs="宋体"/>
          <w:b/>
          <w:bCs/>
          <w:color w:val="auto"/>
          <w:kern w:val="2"/>
          <w:sz w:val="24"/>
          <w:szCs w:val="24"/>
          <w:highlight w:val="none"/>
          <w:lang w:val="en-US" w:eastAsia="zh-CN" w:bidi="ar-SA"/>
        </w:rPr>
        <w:t>（四）完成时限。</w:t>
      </w:r>
      <w:r>
        <w:rPr>
          <w:rFonts w:hint="eastAsia" w:ascii="宋体" w:hAnsi="宋体" w:eastAsia="宋体" w:cs="宋体"/>
          <w:color w:val="auto"/>
          <w:kern w:val="2"/>
          <w:sz w:val="24"/>
          <w:szCs w:val="24"/>
          <w:highlight w:val="none"/>
          <w:lang w:val="en-US" w:eastAsia="zh-CN" w:bidi="ar-SA"/>
        </w:rPr>
        <w:t>2022年6月30日前完成50%抽样任务。202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31</w:t>
      </w:r>
      <w:r>
        <w:rPr>
          <w:rFonts w:hint="eastAsia" w:ascii="宋体" w:hAnsi="宋体" w:eastAsia="宋体" w:cs="宋体"/>
          <w:color w:val="auto"/>
          <w:kern w:val="2"/>
          <w:sz w:val="24"/>
          <w:szCs w:val="24"/>
          <w:highlight w:val="none"/>
          <w:lang w:val="en-US" w:eastAsia="zh-CN" w:bidi="ar-SA"/>
        </w:rPr>
        <w:t>日前完成100%抽样任务。</w:t>
      </w:r>
    </w:p>
    <w:p>
      <w:pPr>
        <w:keepNext w:val="0"/>
        <w:keepLines w:val="0"/>
        <w:pageBreakBefore w:val="0"/>
        <w:numPr>
          <w:ilvl w:val="0"/>
          <w:numId w:val="0"/>
        </w:numPr>
        <w:kinsoku/>
        <w:wordWrap w:val="0"/>
        <w:overflowPunct/>
        <w:topLinePunct/>
        <w:autoSpaceDE/>
        <w:autoSpaceDN/>
        <w:bidi w:val="0"/>
        <w:adjustRightInd w:val="0"/>
        <w:spacing w:line="560" w:lineRule="exact"/>
        <w:ind w:firstLine="482" w:firstLineChars="200"/>
        <w:textAlignment w:val="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（五）其他要求。</w:t>
      </w:r>
      <w:r>
        <w:rPr>
          <w:rFonts w:hint="eastAsia" w:ascii="宋体" w:hAnsi="宋体" w:eastAsia="宋体" w:cs="宋体"/>
          <w:color w:val="auto"/>
          <w:kern w:val="2"/>
          <w:sz w:val="24"/>
          <w:szCs w:val="24"/>
          <w:highlight w:val="none"/>
          <w:lang w:val="en-US" w:eastAsia="zh-CN" w:bidi="ar-SA"/>
        </w:rPr>
        <w:t>为确保抽样的代表性、分散性和广泛性，在同一被抽样单位，一个月内不得抽取超过3批次，不得集中在部分单位抽样。</w:t>
      </w:r>
      <w:r>
        <w:rPr>
          <w:rFonts w:hint="default" w:ascii="宋体" w:hAnsi="宋体" w:eastAsia="宋体" w:cs="宋体"/>
          <w:color w:val="auto"/>
          <w:kern w:val="2"/>
          <w:sz w:val="24"/>
          <w:szCs w:val="24"/>
          <w:highlight w:val="none"/>
          <w:lang w:val="en-US" w:eastAsia="zh-CN" w:bidi="ar-SA"/>
        </w:rPr>
        <w:t>特别要加大对冷链食品（以畜禽肉、水产品为主）、“网红”</w:t>
      </w:r>
      <w:r>
        <w:rPr>
          <w:rFonts w:hint="eastAsia" w:ascii="宋体" w:hAnsi="宋体" w:eastAsia="宋体" w:cs="宋体"/>
          <w:color w:val="auto"/>
          <w:kern w:val="2"/>
          <w:sz w:val="24"/>
          <w:szCs w:val="24"/>
          <w:highlight w:val="none"/>
          <w:lang w:val="en-US" w:eastAsia="zh-CN" w:bidi="ar-SA"/>
        </w:rPr>
        <w:t>食品</w:t>
      </w:r>
      <w:r>
        <w:rPr>
          <w:rFonts w:hint="default" w:ascii="宋体" w:hAnsi="宋体" w:eastAsia="宋体" w:cs="宋体"/>
          <w:color w:val="auto"/>
          <w:kern w:val="2"/>
          <w:sz w:val="24"/>
          <w:szCs w:val="24"/>
          <w:highlight w:val="none"/>
          <w:lang w:val="en-US" w:eastAsia="zh-CN" w:bidi="ar-SA"/>
        </w:rPr>
        <w:t>、学校食堂、旅游景区的抽检力度（食用农产品中畜禽肉、水产品任务抽取20%的冷链产品；“网红”</w:t>
      </w:r>
      <w:r>
        <w:rPr>
          <w:rFonts w:hint="eastAsia" w:ascii="宋体" w:hAnsi="宋体" w:eastAsia="宋体" w:cs="宋体"/>
          <w:color w:val="auto"/>
          <w:kern w:val="2"/>
          <w:sz w:val="24"/>
          <w:szCs w:val="24"/>
          <w:highlight w:val="none"/>
          <w:lang w:val="en-US" w:eastAsia="zh-CN" w:bidi="ar-SA"/>
        </w:rPr>
        <w:t>食品</w:t>
      </w:r>
      <w:r>
        <w:rPr>
          <w:rFonts w:hint="default" w:ascii="宋体" w:hAnsi="宋体" w:eastAsia="宋体" w:cs="宋体"/>
          <w:color w:val="auto"/>
          <w:kern w:val="2"/>
          <w:sz w:val="24"/>
          <w:szCs w:val="24"/>
          <w:highlight w:val="none"/>
          <w:lang w:val="en-US" w:eastAsia="zh-CN" w:bidi="ar-SA"/>
        </w:rPr>
        <w:t>、学校食堂、旅游景区食品抽检任务量比例原则上应为餐饮总任务量的</w:t>
      </w:r>
      <w:r>
        <w:rPr>
          <w:rFonts w:hint="eastAsia" w:ascii="宋体" w:hAnsi="宋体" w:eastAsia="宋体" w:cs="宋体"/>
          <w:color w:val="auto"/>
          <w:kern w:val="2"/>
          <w:sz w:val="24"/>
          <w:szCs w:val="24"/>
          <w:highlight w:val="none"/>
          <w:lang w:val="en-US" w:eastAsia="zh-CN" w:bidi="ar-SA"/>
        </w:rPr>
        <w:t>10</w:t>
      </w:r>
      <w:r>
        <w:rPr>
          <w:rFonts w:hint="default" w:ascii="宋体" w:hAnsi="宋体" w:eastAsia="宋体" w:cs="宋体"/>
          <w:color w:val="auto"/>
          <w:kern w:val="2"/>
          <w:sz w:val="24"/>
          <w:szCs w:val="24"/>
          <w:highlight w:val="none"/>
          <w:lang w:val="en-US" w:eastAsia="zh-CN" w:bidi="ar-SA"/>
        </w:rPr>
        <w:t>%、食用农产品总任务量的</w:t>
      </w: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%，体现监督抽检的</w:t>
      </w:r>
      <w:r>
        <w:rPr>
          <w:rFonts w:hint="eastAsia" w:ascii="宋体" w:hAnsi="宋体" w:eastAsia="宋体" w:cs="宋体"/>
          <w:color w:val="auto"/>
          <w:kern w:val="2"/>
          <w:sz w:val="24"/>
          <w:szCs w:val="24"/>
          <w:highlight w:val="none"/>
          <w:lang w:val="en-US" w:eastAsia="zh-CN" w:bidi="ar-SA"/>
        </w:rPr>
        <w:t>针对性和</w:t>
      </w:r>
      <w:r>
        <w:rPr>
          <w:rFonts w:hint="default" w:ascii="宋体" w:hAnsi="宋体" w:eastAsia="宋体" w:cs="宋体"/>
          <w:color w:val="auto"/>
          <w:kern w:val="2"/>
          <w:sz w:val="24"/>
          <w:szCs w:val="24"/>
          <w:highlight w:val="none"/>
          <w:lang w:val="en-US" w:eastAsia="zh-CN" w:bidi="ar-SA"/>
        </w:rPr>
        <w:t>靶向性。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六、其他</w:t>
      </w:r>
      <w:r>
        <w:rPr>
          <w:rFonts w:hint="eastAsia" w:ascii="宋体" w:hAnsi="宋体" w:eastAsia="宋体" w:cs="宋体"/>
          <w:b/>
          <w:bCs/>
          <w:color w:val="auto"/>
          <w:kern w:val="2"/>
          <w:sz w:val="24"/>
          <w:szCs w:val="24"/>
          <w:highlight w:val="none"/>
          <w:lang w:val="en-US" w:eastAsia="zh-CN" w:bidi="ar-SA"/>
        </w:rPr>
        <w:t>技术要求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1"/>
        <w:jc w:val="both"/>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none"/>
          <w:lang w:val="en-US" w:eastAsia="zh-CN" w:bidi="ar-SA"/>
        </w:rPr>
        <w:t>6.1</w:t>
      </w:r>
      <w:r>
        <w:rPr>
          <w:rFonts w:hint="eastAsia" w:ascii="宋体" w:hAnsi="宋体" w:eastAsia="宋体" w:cs="宋体"/>
          <w:color w:val="auto"/>
          <w:kern w:val="2"/>
          <w:sz w:val="24"/>
          <w:szCs w:val="24"/>
          <w:highlight w:val="none"/>
          <w:lang w:val="en-US" w:eastAsia="zh-CN" w:bidi="ar-SA"/>
        </w:rPr>
        <w:t>为做好</w:t>
      </w:r>
      <w:r>
        <w:rPr>
          <w:rFonts w:hint="eastAsia" w:ascii="宋体" w:hAnsi="宋体" w:cs="宋体"/>
          <w:color w:val="auto"/>
          <w:kern w:val="2"/>
          <w:sz w:val="24"/>
          <w:szCs w:val="24"/>
          <w:highlight w:val="none"/>
          <w:lang w:val="en-US" w:eastAsia="zh-CN" w:bidi="ar-SA"/>
        </w:rPr>
        <w:t>2022年</w:t>
      </w:r>
      <w:r>
        <w:rPr>
          <w:rFonts w:hint="eastAsia" w:ascii="宋体" w:hAnsi="宋体" w:eastAsia="宋体" w:cs="宋体"/>
          <w:color w:val="auto"/>
          <w:kern w:val="2"/>
          <w:sz w:val="24"/>
          <w:szCs w:val="24"/>
          <w:highlight w:val="none"/>
          <w:lang w:val="en-US" w:eastAsia="zh-CN" w:bidi="ar-SA"/>
        </w:rPr>
        <w:t>克拉玛依区食品安全抽检工作，依据</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中华人民共和国食品安全法》、《中华人民共和国食品安全法实施条例》、《食品安全抽样检验管理办法》等相关法律法规要求，根据自治区、市市场监督管理局2022年食品安全监督抽检工作要求，结合克拉玛依区实际情况完成克拉玛依市克拉玛依区市场监督管理局2022年食品安全监管抽检采购项目食品抽检工作并出具检验报告。检验项目为指定项目，并于15个</w:t>
      </w:r>
      <w:r>
        <w:rPr>
          <w:rFonts w:hint="eastAsia" w:ascii="宋体" w:hAnsi="宋体" w:cs="宋体"/>
          <w:color w:val="auto"/>
          <w:kern w:val="2"/>
          <w:sz w:val="24"/>
          <w:szCs w:val="24"/>
          <w:highlight w:val="none"/>
          <w:lang w:val="en-US" w:eastAsia="zh-CN" w:bidi="ar-SA"/>
        </w:rPr>
        <w:t>工作</w:t>
      </w:r>
      <w:r>
        <w:rPr>
          <w:rFonts w:hint="eastAsia" w:ascii="宋体" w:hAnsi="宋体" w:eastAsia="宋体" w:cs="宋体"/>
          <w:color w:val="auto"/>
          <w:kern w:val="2"/>
          <w:sz w:val="24"/>
          <w:szCs w:val="24"/>
          <w:highlight w:val="none"/>
          <w:lang w:val="en-US" w:eastAsia="zh-CN" w:bidi="ar-SA"/>
        </w:rPr>
        <w:t>日内出具检验报告。具体任务分配表及检验项目分别见表1、表2：</w:t>
      </w:r>
    </w:p>
    <w:p>
      <w:pPr>
        <w:pStyle w:val="7"/>
        <w:keepNext w:val="0"/>
        <w:keepLines w:val="0"/>
        <w:pageBreakBefore w:val="0"/>
        <w:widowControl w:val="0"/>
        <w:kinsoku/>
        <w:wordWrap/>
        <w:overflowPunct/>
        <w:topLinePunct w:val="0"/>
        <w:autoSpaceDE/>
        <w:autoSpaceDN/>
        <w:bidi w:val="0"/>
        <w:spacing w:line="480" w:lineRule="exact"/>
        <w:ind w:firstLine="241"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6.2</w:t>
      </w:r>
      <w:r>
        <w:rPr>
          <w:rFonts w:hint="eastAsia" w:asciiTheme="minorEastAsia" w:hAnsiTheme="minorEastAsia" w:eastAsiaTheme="minorEastAsia" w:cstheme="minorEastAsia"/>
          <w:b/>
          <w:bCs/>
          <w:color w:val="auto"/>
          <w:sz w:val="24"/>
          <w:szCs w:val="24"/>
          <w:highlight w:val="none"/>
        </w:rPr>
        <w:t>服务标准及考核办法</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抽样和检测等工作的实施应严格按照有关法律法规、规章以及</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中华人民共和国食品安全法》、《中华人民共和国食品安全法实施条例》、《食品安全抽样检验管理办法》等相关法律法规要求，根据自治区、市市场监督管理局2022年食品安全监督抽检工作要求</w:t>
      </w:r>
      <w:r>
        <w:rPr>
          <w:rFonts w:hint="eastAsia" w:asciiTheme="minorEastAsia" w:hAnsiTheme="minorEastAsia" w:eastAsiaTheme="minorEastAsia" w:cstheme="minorEastAsia"/>
          <w:color w:val="auto"/>
          <w:sz w:val="24"/>
          <w:szCs w:val="24"/>
          <w:highlight w:val="none"/>
          <w:lang w:val="en-US" w:eastAsia="zh-CN"/>
        </w:rPr>
        <w:t>；抽样过程应严格按照监督抽检工作程序，履行相应的法定手续。</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检验人员应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追溯。</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食用农产品所有抽检数据均应按要求及时报送至 </w:t>
      </w:r>
      <w:r>
        <w:rPr>
          <w:rFonts w:hint="eastAsia" w:asciiTheme="minorEastAsia" w:hAnsiTheme="minorEastAsia" w:eastAsiaTheme="minorEastAsia" w:cstheme="minorEastAsia"/>
          <w:color w:val="auto"/>
          <w:sz w:val="24"/>
        </w:rPr>
        <w:t>“国家食品安全抽样检验信息系统”系统（</w:t>
      </w:r>
      <w:r>
        <w:rPr>
          <w:rFonts w:hint="eastAsia" w:asciiTheme="minorEastAsia" w:hAnsiTheme="minorEastAsia" w:eastAsiaTheme="minorEastAsia" w:cstheme="minorEastAsia"/>
          <w:color w:val="auto"/>
          <w:sz w:val="24"/>
          <w:highlight w:val="none"/>
        </w:rPr>
        <w:t>网址：http://spcj.gsxt.gov.cn/login）</w:t>
      </w:r>
      <w:r>
        <w:rPr>
          <w:rFonts w:hint="eastAsia" w:asciiTheme="minorEastAsia" w:hAnsiTheme="minorEastAsia" w:eastAsiaTheme="minorEastAsia" w:cstheme="minorEastAsia"/>
          <w:color w:val="auto"/>
          <w:sz w:val="24"/>
          <w:szCs w:val="24"/>
          <w:highlight w:val="none"/>
          <w:lang w:val="en-US" w:eastAsia="zh-CN"/>
        </w:rPr>
        <w:t>。各承检机构应严格按照有关法律法规、规章和《食品安全监督抽检和风险监测工作规范》有关要求，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w:t>
      </w:r>
    </w:p>
    <w:p>
      <w:pPr>
        <w:pStyle w:val="7"/>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6.3服务地点</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克拉玛依区为被抽检区域。</w:t>
      </w:r>
    </w:p>
    <w:p>
      <w:pPr>
        <w:pStyle w:val="7"/>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6.4付款方式</w:t>
      </w:r>
    </w:p>
    <w:p>
      <w:pPr>
        <w:pStyle w:val="32"/>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1.承检机构按照采购单位要求使用经费，定期将使用经费明细通报采购单位。</w:t>
      </w:r>
    </w:p>
    <w:p>
      <w:pPr>
        <w:pStyle w:val="32"/>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2.收费标准按照自治区物价管理部门核定的标准执行。</w:t>
      </w:r>
    </w:p>
    <w:p>
      <w:pPr>
        <w:pStyle w:val="32"/>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3.按照年底完成的抽检批次所产生的费用集中结算。</w:t>
      </w:r>
    </w:p>
    <w:p>
      <w:pPr>
        <w:pStyle w:val="32"/>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default" w:ascii="宋体" w:hAnsi="宋体" w:eastAsia="宋体" w:cs="宋体"/>
          <w:color w:val="auto"/>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6.5履约保证金</w:t>
      </w:r>
    </w:p>
    <w:p>
      <w:pPr>
        <w:pStyle w:val="32"/>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合同签订前向采购人提交合同金额2%作为履约保证金（履约保证金的数额不得超过政府采购合同金额的10%）。经采购人考核，成交人严格遵守合同约定，未发生违约情况的，则在合同期满后十五个工作日内无息退款。</w:t>
      </w:r>
    </w:p>
    <w:p>
      <w:pPr>
        <w:pStyle w:val="34"/>
        <w:keepNext w:val="0"/>
        <w:keepLines w:val="0"/>
        <w:pageBreakBefore w:val="0"/>
        <w:widowControl w:val="0"/>
        <w:kinsoku/>
        <w:wordWrap/>
        <w:overflowPunct/>
        <w:topLinePunct w:val="0"/>
        <w:autoSpaceDE/>
        <w:autoSpaceDN/>
        <w:bidi w:val="0"/>
        <w:spacing w:line="480" w:lineRule="exact"/>
        <w:ind w:left="481" w:firstLine="0" w:firstLineChars="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6.6其他</w:t>
      </w:r>
    </w:p>
    <w:p>
      <w:pPr>
        <w:pStyle w:val="32"/>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1.承检机构要保证抽检样品的完整性，具备实施本项目的样品运输及冷冻和冷藏设备。</w:t>
      </w:r>
    </w:p>
    <w:p>
      <w:pPr>
        <w:pStyle w:val="32"/>
        <w:keepNext w:val="0"/>
        <w:keepLines w:val="0"/>
        <w:pageBreakBefore w:val="0"/>
        <w:widowControl w:val="0"/>
        <w:kinsoku/>
        <w:wordWrap/>
        <w:overflowPunct/>
        <w:topLinePunct w:val="0"/>
        <w:autoSpaceDE/>
        <w:autoSpaceDN/>
        <w:bidi w:val="0"/>
        <w:spacing w:line="480" w:lineRule="exact"/>
        <w:textAlignment w:val="auto"/>
        <w:rPr>
          <w:rFonts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供应商在</w:t>
      </w:r>
      <w:r>
        <w:rPr>
          <w:rFonts w:hint="eastAsia" w:ascii="宋体" w:hAnsi="宋体" w:eastAsia="宋体" w:cs="宋体"/>
          <w:color w:val="auto"/>
          <w:lang w:val="en-US" w:eastAsia="zh-CN"/>
        </w:rPr>
        <w:t>响应文件</w:t>
      </w:r>
      <w:r>
        <w:rPr>
          <w:rFonts w:hint="eastAsia" w:ascii="宋体" w:hAnsi="宋体" w:eastAsia="宋体" w:cs="宋体"/>
          <w:color w:val="auto"/>
        </w:rPr>
        <w:t>中的承诺内容必须达到本篇及采购文件其他条款的要求。</w:t>
      </w:r>
    </w:p>
    <w:p>
      <w:pPr>
        <w:pStyle w:val="32"/>
        <w:keepNext w:val="0"/>
        <w:keepLines w:val="0"/>
        <w:pageBreakBefore w:val="0"/>
        <w:widowControl w:val="0"/>
        <w:kinsoku/>
        <w:wordWrap/>
        <w:overflowPunct/>
        <w:topLinePunct w:val="0"/>
        <w:autoSpaceDE/>
        <w:autoSpaceDN/>
        <w:bidi w:val="0"/>
        <w:spacing w:line="480" w:lineRule="exact"/>
        <w:textAlignment w:val="auto"/>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其他未尽事宜由供需双方在采购合同中详细约定。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kern w:val="2"/>
          <w:sz w:val="24"/>
          <w:szCs w:val="24"/>
          <w:highlight w:val="none"/>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1"/>
        <w:jc w:val="both"/>
        <w:textAlignment w:val="auto"/>
        <w:rPr>
          <w:rFonts w:hint="default" w:ascii="宋体" w:hAnsi="宋体" w:eastAsia="宋体" w:cs="宋体"/>
          <w:color w:val="auto"/>
          <w:kern w:val="2"/>
          <w:sz w:val="24"/>
          <w:szCs w:val="24"/>
          <w:highlight w:val="none"/>
          <w:lang w:val="en-US" w:eastAsia="zh-CN" w:bidi="ar-SA"/>
        </w:rPr>
      </w:pPr>
    </w:p>
    <w:p>
      <w:pPr>
        <w:pStyle w:val="7"/>
        <w:ind w:firstLine="241" w:firstLineChars="100"/>
        <w:rPr>
          <w:rFonts w:hint="eastAsia" w:asciiTheme="minorEastAsia" w:hAnsiTheme="minorEastAsia" w:eastAsiaTheme="minorEastAsia" w:cstheme="minorEastAsia"/>
          <w:b/>
          <w:bCs/>
          <w:color w:val="auto"/>
          <w:sz w:val="24"/>
          <w:szCs w:val="24"/>
          <w:highlight w:val="none"/>
          <w:lang w:val="en-US" w:eastAsia="zh-CN"/>
        </w:rPr>
      </w:pPr>
    </w:p>
    <w:p>
      <w:pPr>
        <w:pStyle w:val="7"/>
        <w:ind w:firstLine="241" w:firstLineChars="100"/>
        <w:rPr>
          <w:rFonts w:hint="eastAsia" w:asciiTheme="minorEastAsia" w:hAnsiTheme="minorEastAsia" w:eastAsiaTheme="minorEastAsia" w:cstheme="minorEastAsia"/>
          <w:b/>
          <w:bCs/>
          <w:color w:val="auto"/>
          <w:sz w:val="24"/>
          <w:szCs w:val="24"/>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1"/>
        <w:jc w:val="both"/>
        <w:textAlignment w:val="auto"/>
        <w:rPr>
          <w:rFonts w:hint="default" w:ascii="宋体" w:hAnsi="宋体" w:eastAsia="宋体" w:cs="宋体"/>
          <w:color w:val="auto"/>
          <w:kern w:val="2"/>
          <w:sz w:val="24"/>
          <w:szCs w:val="24"/>
          <w:highlight w:val="none"/>
          <w:lang w:val="en-US" w:eastAsia="zh-CN" w:bidi="ar-SA"/>
        </w:rPr>
        <w:sectPr>
          <w:footerReference r:id="rId4" w:type="default"/>
          <w:pgSz w:w="11906" w:h="16838"/>
          <w:pgMar w:top="1440" w:right="1083" w:bottom="1440" w:left="1083" w:header="851" w:footer="992" w:gutter="0"/>
          <w:pgNumType w:fmt="numberInDash"/>
          <w:cols w:space="0" w:num="1"/>
          <w:rtlGutter w:val="0"/>
          <w:docGrid w:type="lines" w:linePitch="314" w:charSpace="0"/>
        </w:sect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bCs/>
          <w:i w:val="0"/>
          <w:caps w:val="0"/>
          <w:color w:val="auto"/>
          <w:spacing w:val="0"/>
          <w:sz w:val="28"/>
          <w:szCs w:val="28"/>
          <w:lang w:val="en-US" w:eastAsia="zh-CN"/>
        </w:rPr>
      </w:pPr>
      <w:r>
        <w:rPr>
          <w:rFonts w:hint="eastAsia" w:ascii="宋体" w:hAnsi="宋体" w:eastAsia="宋体" w:cs="宋体"/>
          <w:b/>
          <w:bCs/>
          <w:i w:val="0"/>
          <w:caps w:val="0"/>
          <w:color w:val="auto"/>
          <w:spacing w:val="0"/>
          <w:sz w:val="28"/>
          <w:szCs w:val="28"/>
          <w:lang w:val="en-US" w:eastAsia="zh-CN"/>
        </w:rPr>
        <w:t>表1：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i w:val="0"/>
          <w:caps w:val="0"/>
          <w:color w:val="auto"/>
          <w:spacing w:val="0"/>
          <w:sz w:val="28"/>
          <w:szCs w:val="28"/>
        </w:rPr>
      </w:pPr>
      <w:r>
        <w:rPr>
          <w:rFonts w:hint="eastAsia" w:ascii="宋体" w:hAnsi="宋体" w:eastAsia="宋体" w:cs="宋体"/>
          <w:b/>
          <w:bCs/>
          <w:i w:val="0"/>
          <w:caps w:val="0"/>
          <w:color w:val="auto"/>
          <w:spacing w:val="0"/>
          <w:sz w:val="28"/>
          <w:szCs w:val="28"/>
          <w:highlight w:val="none"/>
        </w:rPr>
        <w:t>202</w:t>
      </w:r>
      <w:r>
        <w:rPr>
          <w:rFonts w:hint="eastAsia" w:ascii="宋体" w:hAnsi="宋体" w:eastAsia="宋体" w:cs="宋体"/>
          <w:b/>
          <w:bCs/>
          <w:i w:val="0"/>
          <w:caps w:val="0"/>
          <w:color w:val="auto"/>
          <w:spacing w:val="0"/>
          <w:sz w:val="28"/>
          <w:szCs w:val="28"/>
          <w:highlight w:val="none"/>
          <w:lang w:val="en-US" w:eastAsia="zh-CN"/>
        </w:rPr>
        <w:t>2</w:t>
      </w:r>
      <w:r>
        <w:rPr>
          <w:rFonts w:hint="eastAsia" w:ascii="宋体" w:hAnsi="宋体" w:eastAsia="宋体" w:cs="宋体"/>
          <w:b/>
          <w:bCs/>
          <w:i w:val="0"/>
          <w:caps w:val="0"/>
          <w:color w:val="auto"/>
          <w:spacing w:val="0"/>
          <w:sz w:val="28"/>
          <w:szCs w:val="28"/>
          <w:highlight w:val="none"/>
        </w:rPr>
        <w:t>年度</w:t>
      </w:r>
      <w:r>
        <w:rPr>
          <w:rFonts w:hint="eastAsia" w:ascii="宋体" w:hAnsi="宋体" w:eastAsia="宋体" w:cs="宋体"/>
          <w:b/>
          <w:bCs/>
          <w:i w:val="0"/>
          <w:caps w:val="0"/>
          <w:color w:val="auto"/>
          <w:spacing w:val="0"/>
          <w:sz w:val="28"/>
          <w:szCs w:val="28"/>
          <w:lang w:val="en-US" w:eastAsia="zh-CN"/>
        </w:rPr>
        <w:t>克拉玛依区</w:t>
      </w:r>
      <w:r>
        <w:rPr>
          <w:rFonts w:hint="eastAsia" w:ascii="宋体" w:hAnsi="宋体" w:eastAsia="宋体" w:cs="宋体"/>
          <w:b/>
          <w:bCs/>
          <w:i w:val="0"/>
          <w:caps w:val="0"/>
          <w:color w:val="auto"/>
          <w:spacing w:val="0"/>
          <w:sz w:val="28"/>
          <w:szCs w:val="28"/>
        </w:rPr>
        <w:t>市场</w:t>
      </w:r>
      <w:r>
        <w:rPr>
          <w:rFonts w:hint="eastAsia" w:ascii="宋体" w:hAnsi="宋体" w:eastAsia="宋体" w:cs="宋体"/>
          <w:b/>
          <w:bCs/>
          <w:i w:val="0"/>
          <w:caps w:val="0"/>
          <w:color w:val="auto"/>
          <w:spacing w:val="0"/>
          <w:sz w:val="28"/>
          <w:szCs w:val="28"/>
          <w:lang w:val="en-US" w:eastAsia="zh-CN"/>
        </w:rPr>
        <w:t>监督管理</w:t>
      </w:r>
      <w:r>
        <w:rPr>
          <w:rFonts w:hint="eastAsia" w:ascii="宋体" w:hAnsi="宋体" w:eastAsia="宋体" w:cs="宋体"/>
          <w:b/>
          <w:bCs/>
          <w:i w:val="0"/>
          <w:caps w:val="0"/>
          <w:color w:val="auto"/>
          <w:spacing w:val="0"/>
          <w:sz w:val="28"/>
          <w:szCs w:val="28"/>
        </w:rPr>
        <w:t>局食品安全抽检任务计划表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9"/>
        <w:gridCol w:w="1002"/>
        <w:gridCol w:w="1062"/>
        <w:gridCol w:w="4609"/>
        <w:gridCol w:w="4278"/>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tblHeader/>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序号</w:t>
            </w:r>
          </w:p>
        </w:tc>
        <w:tc>
          <w:tcPr>
            <w:tcW w:w="1002"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食品大类（一级）</w:t>
            </w: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食品亚类（二级）</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食品品种（三级）</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食品细类（四级）</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任务批次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食用农产品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畜禽肉及副产品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畜肉</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猪肉、羊肉、牛肉</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禽肉</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鸡肉（重点品种：乌鸡）</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畜副产品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i w:val="0"/>
                <w:iCs w:val="0"/>
                <w:color w:val="auto"/>
                <w:kern w:val="0"/>
                <w:sz w:val="21"/>
                <w:szCs w:val="21"/>
                <w:u w:val="none"/>
                <w:lang w:val="en-US" w:eastAsia="zh-CN" w:bidi="ar"/>
              </w:rPr>
              <w:t>猪肝</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蔬菜</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鳞茎类蔬菜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韭菜</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叶菜类蔬菜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芹菜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茄果类蔬菜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菠菜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普通白菜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油麦菜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辣椒</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瓜类蔬菜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茄子</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黄瓜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豆类蔬菜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豇豆</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根茎类和薯芋类蔬菜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萝卜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豆芽</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豆芽</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水产品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贝类</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贝类（重点品种：花蛤、花螺等）</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淡水产品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淡水鱼（重点品种： 泥鳅、黄鳝、鳊鱼、黄颡鱼、鲈鱼、鲶鱼、鲟鱼、鲫鱼、黑鱼、鳜鱼等）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淡水虾</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淡水蟹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海水产品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海水鱼（重点品种： 多宝鱼、黄鱼、海鲈鱼等）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海水虾（重点品种： 虾蛄、基围虾等）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海水蟹（重点品种：</w:t>
            </w:r>
            <w:r>
              <w:rPr>
                <w:rStyle w:val="40"/>
                <w:rFonts w:hint="eastAsia" w:ascii="宋体" w:hAnsi="宋体" w:eastAsia="宋体" w:cs="宋体"/>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梭子蟹等）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其他水产品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其他水产品（重点品种：牛蛙）</w:t>
            </w:r>
          </w:p>
        </w:tc>
        <w:tc>
          <w:tcPr>
            <w:tcW w:w="2124" w:type="dxa"/>
            <w:vMerge w:val="continue"/>
            <w:noWrap w:val="0"/>
            <w:vAlign w:val="center"/>
          </w:tcPr>
          <w:p>
            <w:pPr>
              <w:jc w:val="center"/>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水果类</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热带和亚热带水果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香蕉</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柑橘类水果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柑、橘</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橙</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浆果和其他小型水果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草莓</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猕猴桃</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仁果类水果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梨</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苹果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杏</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瓜果类水果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西瓜</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甜瓜类</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热带和亚热带水果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香蕉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鲜蛋</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鲜蛋</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i w:val="0"/>
                <w:iCs w:val="0"/>
                <w:color w:val="auto"/>
                <w:kern w:val="0"/>
                <w:sz w:val="21"/>
                <w:szCs w:val="21"/>
                <w:u w:val="none"/>
                <w:lang w:val="en-US" w:eastAsia="zh-CN" w:bidi="ar"/>
              </w:rPr>
              <w:t>鸡蛋</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生干坚果与籽类食品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生干坚果与籽类食品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生干坚果</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i w:val="0"/>
                <w:iCs w:val="0"/>
                <w:color w:val="auto"/>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生干籽类</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粮食加工品</w:t>
            </w: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大米</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大米</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大米</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小麦粉</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小麦粉</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小麦粉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挂面</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挂面</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普通挂面、手工面</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其他粮食加工品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谷物粉类制成品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生湿面制品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发酵面制品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米粉制品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食用油、油脂及其制品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食用植物油(含煎炸用油)</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食用植物油(半精炼、全精炼)</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花生油</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1062"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609" w:type="dxa"/>
            <w:vMerge w:val="continue"/>
            <w:noWrap w:val="0"/>
            <w:vAlign w:val="center"/>
          </w:tcPr>
          <w:p>
            <w:pPr>
              <w:jc w:val="center"/>
              <w:rPr>
                <w:rFonts w:hint="eastAsia" w:ascii="宋体" w:hAnsi="宋体" w:eastAsia="宋体" w:cs="宋体"/>
                <w:i w:val="0"/>
                <w:caps w:val="0"/>
                <w:color w:val="auto"/>
                <w:spacing w:val="0"/>
                <w:sz w:val="21"/>
                <w:szCs w:val="21"/>
                <w:lang w:val="en-US" w:eastAsia="zh-CN"/>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玉米油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橄榄油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芝麻油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菜籽油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1"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食用植物调和油</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煎炸过程用油(餐饮环节)</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煎炸过程用油(餐饮环节)</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调味品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调味料</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半固体复合调味料</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蛋黄酱、沙拉酱</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坚果与籽类的泥（酱），包括花生酱等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辣椒酱</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火锅底料、麻辣烫底料</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1"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5</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肉制品</w:t>
            </w: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预制肉制品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腌腊肉制品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腌腊肉制品</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熟肉制品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发酵肉制品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发酵肉制品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酱卤肉制品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酱卤肉制品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熏烧烤肉制品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熏烧烤肉制品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熟肉干制品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熟肉干制品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熏煮香肠火腿制品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熏煮香肠火腿制品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 w:hRule="atLeast"/>
          <w:jc w:val="center"/>
        </w:trPr>
        <w:tc>
          <w:tcPr>
            <w:tcW w:w="409" w:type="dxa"/>
            <w:vMerge w:val="restart"/>
            <w:noWrap w:val="0"/>
            <w:vAlign w:val="center"/>
          </w:tcPr>
          <w:p>
            <w:pPr>
              <w:jc w:val="center"/>
              <w:rPr>
                <w:rFonts w:hint="eastAsia" w:ascii="宋体" w:hAnsi="宋体" w:eastAsia="宋体" w:cs="宋体"/>
                <w:color w:val="auto"/>
                <w:kern w:val="0"/>
                <w:sz w:val="21"/>
                <w:szCs w:val="21"/>
              </w:rPr>
            </w:pP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乳制品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乳制品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液体乳</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巴氏杀菌乳</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灭菌乳</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发酵乳</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调制乳</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6</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饮料</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饮料</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包装饮用水</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饮用纯净水</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果、蔬汁饮料</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果、蔬汁饮料（小众品牌）</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蛋白饮料</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蛋白饮料（小众品牌）</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茶饮料</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茶饮料（小众品牌）</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7</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方便食品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方便食品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方便面</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油炸面、非油炸面、方便米粉（米线）、方便粉丝</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调味面制品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调味面制品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其他方便食品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方便粥、方便盒饭、冷面及其他熟制方便食品等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8</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速冻食品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速冻面米食品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速冻面米食品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水饺、元宵、馄饨等生制品</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包子、馒头等熟制品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9</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糖果制品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糖果制品 (含巧克力及制品)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糖果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糖果</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巧克力及巧克力制品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巧克力、巧克力制品、代可可脂巧克力及代可可脂巧克力制品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茶叶及相关制品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绿茶、红茶、乌龙茶、黄茶、白茶、黑茶、花茶、袋泡茶、紧压茶</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11</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酒类</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蒸馏酒</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白酒</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白酒、白酒（液态）、白酒（原酒）</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葡萄酒</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葡萄酒</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12</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蔬菜制品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蔬菜制品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酱腌菜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酱腌菜</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食用菌制品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干制食用菌</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腌渍食用菌</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13</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水果制品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水果制品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蜜饯</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蜜饯类、凉果类、果脯类、话化类、果糕类</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14</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炒货食品及坚果制品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炒货食品及坚果制品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炒货食品及坚果制品（ 烘炒类、油炸类、其他类）</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开心果、杏仁、松仁、瓜子</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其他炒货食品及坚果制品</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食糖</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食糖</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食糖</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白砂糖</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i w:val="0"/>
                <w:caps w:val="0"/>
                <w:color w:val="auto"/>
                <w:spacing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红糖</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冰糖</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淀粉及淀粉制品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淀粉及淀粉制品</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淀粉制品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粉丝粉条</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i w:val="0"/>
                <w:caps w:val="0"/>
                <w:color w:val="auto"/>
                <w:spacing w:val="0"/>
                <w:sz w:val="21"/>
                <w:szCs w:val="21"/>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其他淀粉制品（凉皮）</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17</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糕点</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糕点</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糕点</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糕点</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月饼</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月饼</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粽子</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粽子</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粽子</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18</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豆制品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豆制品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发酵性豆制品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腐乳、豆豉、纳豆等</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非发酵性豆制品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豆干、豆腐、豆皮等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left"/>
              <w:rPr>
                <w:rFonts w:hint="eastAsia" w:ascii="宋体" w:hAnsi="宋体" w:eastAsia="宋体" w:cs="宋体"/>
                <w:color w:val="auto"/>
                <w:kern w:val="0"/>
                <w:sz w:val="21"/>
                <w:szCs w:val="21"/>
              </w:rPr>
            </w:pPr>
          </w:p>
        </w:tc>
        <w:tc>
          <w:tcPr>
            <w:tcW w:w="1062" w:type="dxa"/>
            <w:vMerge w:val="continue"/>
            <w:noWrap w:val="0"/>
            <w:vAlign w:val="center"/>
          </w:tcPr>
          <w:p>
            <w:pPr>
              <w:jc w:val="left"/>
              <w:rPr>
                <w:rFonts w:hint="eastAsia" w:ascii="宋体" w:hAnsi="宋体" w:eastAsia="宋体" w:cs="宋体"/>
                <w:color w:val="auto"/>
                <w:kern w:val="0"/>
                <w:sz w:val="21"/>
                <w:szCs w:val="21"/>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其他豆制品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大豆蛋白类制品等</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19</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蜂产品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蜂产品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蜂蜜</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蜂蜜</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保健食品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保健食品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保健食品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保健食品</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21</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特殊膳食食品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婴幼儿辅助食品</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婴幼儿谷类辅助食品</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婴幼儿谷物辅助食品、婴幼儿高蛋白谷物辅助食品、婴幼儿生制类谷物辅助食品、婴幼儿饼干或其他婴幼儿谷物辅助食品</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22</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餐饮食品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米面及其制品(自制)</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小麦粉制品(自制)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发酵面制品(自制)</w:t>
            </w:r>
            <w:r>
              <w:rPr>
                <w:rFonts w:hint="eastAsia" w:ascii="宋体" w:hAnsi="宋体" w:eastAsia="宋体" w:cs="宋体"/>
                <w:i w:val="0"/>
                <w:iCs w:val="0"/>
                <w:color w:val="auto"/>
                <w:kern w:val="0"/>
                <w:sz w:val="21"/>
                <w:szCs w:val="21"/>
                <w:u w:val="none"/>
                <w:vertAlign w:val="superscript"/>
                <w:lang w:val="en-US" w:eastAsia="zh-CN" w:bidi="ar"/>
              </w:rPr>
              <w:t>a</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continue"/>
            <w:noWrap w:val="0"/>
            <w:vAlign w:val="center"/>
          </w:tcPr>
          <w:p>
            <w:pPr>
              <w:jc w:val="center"/>
              <w:rPr>
                <w:rFonts w:hint="eastAsia" w:ascii="宋体" w:hAnsi="宋体" w:eastAsia="宋体" w:cs="宋体"/>
                <w:color w:val="auto"/>
                <w:kern w:val="0"/>
                <w:sz w:val="21"/>
                <w:szCs w:val="21"/>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油炸面制品(自制)</w:t>
            </w:r>
            <w:r>
              <w:rPr>
                <w:rFonts w:hint="eastAsia" w:ascii="宋体" w:hAnsi="宋体" w:eastAsia="宋体" w:cs="宋体"/>
                <w:i w:val="0"/>
                <w:iCs w:val="0"/>
                <w:color w:val="auto"/>
                <w:kern w:val="0"/>
                <w:sz w:val="21"/>
                <w:szCs w:val="21"/>
                <w:u w:val="none"/>
                <w:vertAlign w:val="superscript"/>
                <w:lang w:val="en-US" w:eastAsia="zh-CN" w:bidi="ar"/>
              </w:rPr>
              <w:t>b</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肉制品(自制)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熟肉制品(自制)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肉冻、皮冻(自制)</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复合调味料（自制）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半固态调味料（自制）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火锅调味料（底料、蘸料）（自制）</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lang w:val="en-US" w:eastAsia="zh-CN"/>
              </w:rPr>
            </w:pPr>
          </w:p>
        </w:tc>
        <w:tc>
          <w:tcPr>
            <w:tcW w:w="1002"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水产及水产制品（自制）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水产及水产制品（自制）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生食动物性水产品（自制）</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坚果及籽类食品（自制）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坚果及籽类食品（自制）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花生及其制品（自制)</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rPr>
            </w:pPr>
          </w:p>
        </w:tc>
        <w:tc>
          <w:tcPr>
            <w:tcW w:w="1002" w:type="dxa"/>
            <w:vMerge w:val="continue"/>
            <w:noWrap w:val="0"/>
            <w:vAlign w:val="center"/>
          </w:tcPr>
          <w:p>
            <w:pPr>
              <w:jc w:val="center"/>
              <w:rPr>
                <w:rFonts w:hint="eastAsia" w:ascii="宋体" w:hAnsi="宋体" w:eastAsia="宋体" w:cs="宋体"/>
                <w:color w:val="auto"/>
                <w:kern w:val="0"/>
                <w:sz w:val="21"/>
                <w:szCs w:val="21"/>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餐饮具</w:t>
            </w:r>
          </w:p>
        </w:tc>
        <w:tc>
          <w:tcPr>
            <w:tcW w:w="46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复用餐饮具</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复用餐饮具（餐馆自行消毒）</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color w:val="auto"/>
                <w:kern w:val="0"/>
                <w:sz w:val="21"/>
                <w:szCs w:val="21"/>
                <w:lang w:val="en-US" w:eastAsia="zh-CN"/>
              </w:rPr>
            </w:pPr>
          </w:p>
        </w:tc>
        <w:tc>
          <w:tcPr>
            <w:tcW w:w="1002"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1062"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609" w:type="dxa"/>
            <w:vMerge w:val="continue"/>
            <w:noWrap w:val="0"/>
            <w:vAlign w:val="center"/>
          </w:tcPr>
          <w:p>
            <w:pPr>
              <w:jc w:val="center"/>
              <w:rPr>
                <w:rFonts w:hint="eastAsia" w:ascii="宋体" w:hAnsi="宋体" w:eastAsia="宋体" w:cs="宋体"/>
                <w:color w:val="auto"/>
                <w:kern w:val="0"/>
                <w:sz w:val="21"/>
                <w:szCs w:val="21"/>
                <w:lang w:val="en-US" w:eastAsia="zh-CN" w:bidi="ar-SA"/>
              </w:rPr>
            </w:pP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复用餐饮具（集中清洗消毒服务单位消毒）</w:t>
            </w:r>
          </w:p>
        </w:tc>
        <w:tc>
          <w:tcPr>
            <w:tcW w:w="2124" w:type="dxa"/>
            <w:vMerge w:val="continue"/>
            <w:noWrap w:val="0"/>
            <w:vAlign w:val="center"/>
          </w:tcPr>
          <w:p>
            <w:pPr>
              <w:jc w:val="center"/>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c>
          <w:tcPr>
            <w:tcW w:w="1002" w:type="dxa"/>
            <w:vMerge w:val="continue"/>
            <w:noWrap w:val="0"/>
            <w:vAlign w:val="center"/>
          </w:tcPr>
          <w:p>
            <w:pPr>
              <w:jc w:val="center"/>
              <w:rPr>
                <w:rFonts w:hint="eastAsia" w:ascii="宋体" w:hAnsi="宋体" w:eastAsia="宋体" w:cs="宋体"/>
                <w:color w:val="auto"/>
                <w:sz w:val="21"/>
                <w:szCs w:val="21"/>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培烤食品（自制）</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培烤食品（自制）</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糕点（自制）</w:t>
            </w:r>
          </w:p>
        </w:tc>
        <w:tc>
          <w:tcPr>
            <w:tcW w:w="2124"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23</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食品添加剂</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食品添加剂</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增稠剂</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明胶</w:t>
            </w:r>
          </w:p>
        </w:tc>
        <w:tc>
          <w:tcPr>
            <w:tcW w:w="2124"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409"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c>
          <w:tcPr>
            <w:tcW w:w="1002" w:type="dxa"/>
            <w:vMerge w:val="continue"/>
            <w:noWrap w:val="0"/>
            <w:vAlign w:val="center"/>
          </w:tcPr>
          <w:p>
            <w:pPr>
              <w:jc w:val="left"/>
              <w:rPr>
                <w:rFonts w:hint="eastAsia" w:ascii="宋体" w:hAnsi="宋体" w:eastAsia="宋体" w:cs="宋体"/>
                <w:color w:val="auto"/>
                <w:sz w:val="21"/>
                <w:szCs w:val="21"/>
              </w:rPr>
            </w:pPr>
          </w:p>
        </w:tc>
        <w:tc>
          <w:tcPr>
            <w:tcW w:w="1062" w:type="dxa"/>
            <w:vMerge w:val="continue"/>
            <w:noWrap w:val="0"/>
            <w:vAlign w:val="center"/>
          </w:tcPr>
          <w:p>
            <w:pPr>
              <w:jc w:val="left"/>
              <w:rPr>
                <w:rFonts w:hint="eastAsia" w:ascii="宋体" w:hAnsi="宋体" w:eastAsia="宋体" w:cs="宋体"/>
                <w:i w:val="0"/>
                <w:iCs w:val="0"/>
                <w:color w:val="auto"/>
                <w:kern w:val="0"/>
                <w:sz w:val="21"/>
                <w:szCs w:val="21"/>
                <w:u w:val="none"/>
                <w:lang w:val="en-US" w:eastAsia="zh-CN" w:bidi="ar"/>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复配食品添加剂</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复配食品添加剂</w:t>
            </w:r>
          </w:p>
        </w:tc>
        <w:tc>
          <w:tcPr>
            <w:tcW w:w="2124"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409"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c>
          <w:tcPr>
            <w:tcW w:w="1002" w:type="dxa"/>
            <w:vMerge w:val="continue"/>
            <w:noWrap w:val="0"/>
            <w:vAlign w:val="center"/>
          </w:tcPr>
          <w:p>
            <w:pPr>
              <w:jc w:val="left"/>
              <w:rPr>
                <w:rFonts w:hint="eastAsia" w:ascii="宋体" w:hAnsi="宋体" w:eastAsia="宋体" w:cs="宋体"/>
                <w:color w:val="auto"/>
                <w:sz w:val="21"/>
                <w:szCs w:val="21"/>
              </w:rPr>
            </w:pPr>
          </w:p>
        </w:tc>
        <w:tc>
          <w:tcPr>
            <w:tcW w:w="1062" w:type="dxa"/>
            <w:vMerge w:val="continue"/>
            <w:noWrap w:val="0"/>
            <w:vAlign w:val="center"/>
          </w:tcPr>
          <w:p>
            <w:pPr>
              <w:jc w:val="left"/>
              <w:rPr>
                <w:rFonts w:hint="eastAsia" w:ascii="宋体" w:hAnsi="宋体" w:eastAsia="宋体" w:cs="宋体"/>
                <w:i w:val="0"/>
                <w:iCs w:val="0"/>
                <w:color w:val="auto"/>
                <w:kern w:val="0"/>
                <w:sz w:val="21"/>
                <w:szCs w:val="21"/>
                <w:u w:val="none"/>
                <w:lang w:val="en-US" w:eastAsia="zh-CN" w:bidi="ar"/>
              </w:rPr>
            </w:pP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食品用香精</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食品用香精</w:t>
            </w:r>
          </w:p>
        </w:tc>
        <w:tc>
          <w:tcPr>
            <w:tcW w:w="2124" w:type="dxa"/>
            <w:vMerge w:val="continue"/>
            <w:noWrap w:val="0"/>
            <w:vAlign w:val="center"/>
          </w:tcPr>
          <w:p>
            <w:pPr>
              <w:jc w:val="center"/>
              <w:rPr>
                <w:rFonts w:hint="eastAsia" w:ascii="宋体" w:hAnsi="宋体" w:eastAsia="宋体" w:cs="宋体"/>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 w:hRule="atLeast"/>
          <w:jc w:val="center"/>
        </w:trPr>
        <w:tc>
          <w:tcPr>
            <w:tcW w:w="409" w:type="dxa"/>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24</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食盐</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食盐</w:t>
            </w:r>
          </w:p>
        </w:tc>
        <w:tc>
          <w:tcPr>
            <w:tcW w:w="4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食盐</w:t>
            </w:r>
          </w:p>
        </w:tc>
        <w:tc>
          <w:tcPr>
            <w:tcW w:w="42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食盐</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1360" w:type="dxa"/>
            <w:gridSpan w:val="5"/>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总计</w:t>
            </w:r>
          </w:p>
        </w:tc>
        <w:tc>
          <w:tcPr>
            <w:tcW w:w="2124" w:type="dxa"/>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i w:val="0"/>
                <w:iCs w:val="0"/>
                <w:color w:val="auto"/>
                <w:kern w:val="0"/>
                <w:sz w:val="21"/>
                <w:szCs w:val="21"/>
                <w:u w:val="none"/>
                <w:lang w:val="en-US" w:eastAsia="zh-CN" w:bidi="ar"/>
              </w:rPr>
              <w:t>1000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atLeast"/>
        <w:ind w:right="0"/>
        <w:jc w:val="center"/>
        <w:textAlignment w:val="auto"/>
        <w:rPr>
          <w:rFonts w:hint="eastAsia" w:ascii="方正小标宋简体" w:hAnsi="方正小标宋简体" w:eastAsia="方正小标宋简体" w:cs="方正小标宋简体"/>
          <w:i w:val="0"/>
          <w:caps w:val="0"/>
          <w:color w:val="auto"/>
          <w:spacing w:val="0"/>
          <w:sz w:val="36"/>
          <w:szCs w:val="36"/>
        </w:rPr>
      </w:pPr>
    </w:p>
    <w:p>
      <w:pPr>
        <w:adjustRightInd w:val="0"/>
        <w:snapToGrid w:val="0"/>
        <w:jc w:val="left"/>
        <w:rPr>
          <w:rFonts w:hint="eastAsia" w:ascii="仿宋_GB2312" w:hAnsi="仿宋_GB2312" w:eastAsia="仿宋_GB2312" w:cs="仿宋_GB2312"/>
          <w:color w:val="auto"/>
          <w:sz w:val="32"/>
          <w:szCs w:val="32"/>
          <w:highlight w:val="none"/>
          <w:lang w:val="en-US" w:eastAsia="zh-CN"/>
        </w:rPr>
      </w:pPr>
    </w:p>
    <w:p>
      <w:pPr>
        <w:adjustRightInd w:val="0"/>
        <w:snapToGrid w:val="0"/>
        <w:jc w:val="left"/>
        <w:rPr>
          <w:rFonts w:hint="eastAsia" w:ascii="仿宋_GB2312" w:hAnsi="仿宋_GB2312" w:eastAsia="仿宋_GB2312" w:cs="仿宋_GB2312"/>
          <w:color w:val="auto"/>
          <w:sz w:val="32"/>
          <w:szCs w:val="32"/>
          <w:highlight w:val="none"/>
          <w:lang w:val="en-US" w:eastAsia="zh-CN"/>
        </w:rPr>
      </w:pPr>
    </w:p>
    <w:p>
      <w:pPr>
        <w:adjustRightInd w:val="0"/>
        <w:snapToGrid w:val="0"/>
        <w:jc w:val="left"/>
        <w:rPr>
          <w:rFonts w:hint="eastAsia" w:ascii="仿宋_GB2312" w:hAnsi="仿宋_GB2312" w:eastAsia="仿宋_GB2312" w:cs="仿宋_GB2312"/>
          <w:color w:val="auto"/>
          <w:sz w:val="32"/>
          <w:szCs w:val="32"/>
          <w:highlight w:val="none"/>
          <w:lang w:val="en-US" w:eastAsia="zh-CN"/>
        </w:rPr>
      </w:pPr>
    </w:p>
    <w:p>
      <w:pPr>
        <w:adjustRightInd w:val="0"/>
        <w:snapToGrid w:val="0"/>
        <w:jc w:val="left"/>
        <w:rPr>
          <w:rFonts w:hint="eastAsia" w:ascii="仿宋_GB2312" w:hAnsi="仿宋_GB2312" w:eastAsia="仿宋_GB2312" w:cs="仿宋_GB2312"/>
          <w:color w:val="auto"/>
          <w:sz w:val="32"/>
          <w:szCs w:val="32"/>
          <w:highlight w:val="none"/>
          <w:lang w:val="en-US" w:eastAsia="zh-CN"/>
        </w:rPr>
      </w:pPr>
    </w:p>
    <w:p>
      <w:pPr>
        <w:adjustRightInd w:val="0"/>
        <w:snapToGrid w:val="0"/>
        <w:jc w:val="left"/>
        <w:rPr>
          <w:rFonts w:hint="eastAsia" w:ascii="仿宋_GB2312" w:hAnsi="仿宋_GB2312" w:eastAsia="仿宋_GB2312" w:cs="仿宋_GB2312"/>
          <w:color w:val="auto"/>
          <w:sz w:val="32"/>
          <w:szCs w:val="32"/>
          <w:highlight w:val="none"/>
          <w:lang w:val="en-US" w:eastAsia="zh-CN"/>
        </w:rPr>
      </w:pPr>
    </w:p>
    <w:p>
      <w:pPr>
        <w:keepNext w:val="0"/>
        <w:keepLines w:val="0"/>
        <w:pageBreakBefore/>
        <w:widowControl w:val="0"/>
        <w:kinsoku/>
        <w:wordWrap/>
        <w:overflowPunct/>
        <w:topLinePunct w:val="0"/>
        <w:autoSpaceDE/>
        <w:autoSpaceDN/>
        <w:bidi w:val="0"/>
        <w:adjustRightInd w:val="0"/>
        <w:snapToGrid w:val="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w:t>
      </w:r>
    </w:p>
    <w:p>
      <w:pPr>
        <w:adjustRightInd w:val="0"/>
        <w:snapToGrid w:val="0"/>
        <w:jc w:val="center"/>
        <w:rPr>
          <w:rFonts w:hint="eastAsia" w:ascii="宋体" w:hAnsi="宋体" w:eastAsia="宋体" w:cs="宋体"/>
          <w:b/>
          <w:bCs/>
          <w:color w:val="auto"/>
          <w:sz w:val="28"/>
          <w:szCs w:val="28"/>
          <w:highlight w:val="yellow"/>
        </w:rPr>
      </w:pPr>
      <w:r>
        <w:rPr>
          <w:rFonts w:hint="eastAsia" w:ascii="宋体" w:hAnsi="宋体" w:eastAsia="宋体" w:cs="宋体"/>
          <w:b/>
          <w:bCs/>
          <w:i w:val="0"/>
          <w:caps w:val="0"/>
          <w:color w:val="auto"/>
          <w:spacing w:val="0"/>
          <w:sz w:val="28"/>
          <w:szCs w:val="28"/>
          <w:highlight w:val="none"/>
        </w:rPr>
        <w:t>202</w:t>
      </w:r>
      <w:r>
        <w:rPr>
          <w:rFonts w:hint="eastAsia" w:ascii="宋体" w:hAnsi="宋体" w:eastAsia="宋体" w:cs="宋体"/>
          <w:b/>
          <w:bCs/>
          <w:i w:val="0"/>
          <w:caps w:val="0"/>
          <w:color w:val="auto"/>
          <w:spacing w:val="0"/>
          <w:sz w:val="28"/>
          <w:szCs w:val="28"/>
          <w:highlight w:val="none"/>
          <w:lang w:val="en-US" w:eastAsia="zh-CN"/>
        </w:rPr>
        <w:t>2</w:t>
      </w:r>
      <w:r>
        <w:rPr>
          <w:rFonts w:hint="eastAsia" w:ascii="宋体" w:hAnsi="宋体" w:eastAsia="宋体" w:cs="宋体"/>
          <w:b/>
          <w:bCs/>
          <w:i w:val="0"/>
          <w:caps w:val="0"/>
          <w:color w:val="auto"/>
          <w:spacing w:val="0"/>
          <w:sz w:val="28"/>
          <w:szCs w:val="28"/>
          <w:highlight w:val="none"/>
        </w:rPr>
        <w:t>年度</w:t>
      </w:r>
      <w:r>
        <w:rPr>
          <w:rFonts w:hint="eastAsia" w:ascii="宋体" w:hAnsi="宋体" w:eastAsia="宋体" w:cs="宋体"/>
          <w:b/>
          <w:bCs/>
          <w:i w:val="0"/>
          <w:caps w:val="0"/>
          <w:color w:val="auto"/>
          <w:spacing w:val="0"/>
          <w:sz w:val="28"/>
          <w:szCs w:val="28"/>
          <w:highlight w:val="none"/>
          <w:lang w:val="en-US" w:eastAsia="zh-CN"/>
        </w:rPr>
        <w:t>克拉玛依</w:t>
      </w:r>
      <w:r>
        <w:rPr>
          <w:rFonts w:hint="eastAsia" w:ascii="宋体" w:hAnsi="宋体" w:eastAsia="宋体" w:cs="宋体"/>
          <w:b/>
          <w:bCs/>
          <w:i w:val="0"/>
          <w:caps w:val="0"/>
          <w:color w:val="auto"/>
          <w:spacing w:val="0"/>
          <w:sz w:val="28"/>
          <w:szCs w:val="28"/>
          <w:lang w:val="en-US" w:eastAsia="zh-CN"/>
        </w:rPr>
        <w:t>区</w:t>
      </w:r>
      <w:r>
        <w:rPr>
          <w:rFonts w:hint="eastAsia" w:ascii="宋体" w:hAnsi="宋体" w:eastAsia="宋体" w:cs="宋体"/>
          <w:b/>
          <w:bCs/>
          <w:i w:val="0"/>
          <w:caps w:val="0"/>
          <w:color w:val="auto"/>
          <w:spacing w:val="0"/>
          <w:sz w:val="28"/>
          <w:szCs w:val="28"/>
        </w:rPr>
        <w:t>市场</w:t>
      </w:r>
      <w:r>
        <w:rPr>
          <w:rFonts w:hint="eastAsia" w:ascii="宋体" w:hAnsi="宋体" w:eastAsia="宋体" w:cs="宋体"/>
          <w:b/>
          <w:bCs/>
          <w:i w:val="0"/>
          <w:caps w:val="0"/>
          <w:color w:val="auto"/>
          <w:spacing w:val="0"/>
          <w:sz w:val="28"/>
          <w:szCs w:val="28"/>
          <w:lang w:val="en-US" w:eastAsia="zh-CN"/>
        </w:rPr>
        <w:t>监督管理</w:t>
      </w:r>
      <w:r>
        <w:rPr>
          <w:rFonts w:hint="eastAsia" w:ascii="宋体" w:hAnsi="宋体" w:eastAsia="宋体" w:cs="宋体"/>
          <w:b/>
          <w:bCs/>
          <w:i w:val="0"/>
          <w:caps w:val="0"/>
          <w:color w:val="auto"/>
          <w:spacing w:val="0"/>
          <w:sz w:val="28"/>
          <w:szCs w:val="28"/>
        </w:rPr>
        <w:t>局</w:t>
      </w:r>
      <w:r>
        <w:rPr>
          <w:rFonts w:hint="eastAsia" w:ascii="宋体" w:hAnsi="宋体" w:eastAsia="宋体" w:cs="宋体"/>
          <w:b/>
          <w:bCs/>
          <w:i w:val="0"/>
          <w:caps w:val="0"/>
          <w:color w:val="auto"/>
          <w:spacing w:val="0"/>
          <w:sz w:val="28"/>
          <w:szCs w:val="28"/>
          <w:lang w:val="en-US" w:eastAsia="zh-CN"/>
        </w:rPr>
        <w:t>食品安全抽检品种和项目表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9"/>
        <w:gridCol w:w="1002"/>
        <w:gridCol w:w="1062"/>
        <w:gridCol w:w="2078"/>
        <w:gridCol w:w="2656"/>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409"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序号</w:t>
            </w:r>
          </w:p>
        </w:tc>
        <w:tc>
          <w:tcPr>
            <w:tcW w:w="1002"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食品大类（一级）</w:t>
            </w:r>
          </w:p>
        </w:tc>
        <w:tc>
          <w:tcPr>
            <w:tcW w:w="1062"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食品亚类（二级）</w:t>
            </w:r>
          </w:p>
        </w:tc>
        <w:tc>
          <w:tcPr>
            <w:tcW w:w="2078"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食品品种（三级）</w:t>
            </w:r>
          </w:p>
        </w:tc>
        <w:tc>
          <w:tcPr>
            <w:tcW w:w="2656"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食品细类</w:t>
            </w:r>
            <w:r>
              <w:rPr>
                <w:rFonts w:hint="eastAsia" w:ascii="黑体" w:hAnsi="宋体" w:eastAsia="黑体" w:cs="黑体"/>
                <w:i w:val="0"/>
                <w:iCs w:val="0"/>
                <w:color w:val="auto"/>
                <w:kern w:val="0"/>
                <w:sz w:val="18"/>
                <w:szCs w:val="18"/>
                <w:u w:val="none"/>
                <w:lang w:val="en-US" w:eastAsia="zh-CN" w:bidi="ar"/>
              </w:rPr>
              <w:br w:type="textWrapping"/>
            </w:r>
            <w:r>
              <w:rPr>
                <w:rFonts w:hint="eastAsia" w:ascii="黑体" w:hAnsi="宋体" w:eastAsia="黑体" w:cs="黑体"/>
                <w:i w:val="0"/>
                <w:iCs w:val="0"/>
                <w:color w:val="auto"/>
                <w:kern w:val="0"/>
                <w:sz w:val="18"/>
                <w:szCs w:val="18"/>
                <w:u w:val="none"/>
                <w:lang w:val="en-US" w:eastAsia="zh-CN" w:bidi="ar"/>
              </w:rPr>
              <w:t>（四级）</w:t>
            </w:r>
          </w:p>
        </w:tc>
        <w:tc>
          <w:tcPr>
            <w:tcW w:w="6559" w:type="dxa"/>
            <w:noWrap w:val="0"/>
            <w:vAlign w:val="center"/>
          </w:tcPr>
          <w:p>
            <w:pPr>
              <w:keepNext w:val="0"/>
              <w:keepLines w:val="0"/>
              <w:widowControl/>
              <w:suppressLineNumbers w:val="0"/>
              <w:jc w:val="center"/>
              <w:textAlignment w:val="center"/>
              <w:rPr>
                <w:rFonts w:ascii="黑体" w:hAnsi="宋体" w:eastAsia="黑体" w:cs="宋体"/>
                <w:bCs/>
                <w:color w:val="auto"/>
                <w:kern w:val="0"/>
                <w:sz w:val="18"/>
                <w:szCs w:val="18"/>
              </w:rPr>
            </w:pPr>
            <w:r>
              <w:rPr>
                <w:rFonts w:hint="eastAsia" w:ascii="黑体" w:hAnsi="宋体" w:eastAsia="黑体" w:cs="黑体"/>
                <w:i w:val="0"/>
                <w:iCs w:val="0"/>
                <w:color w:val="auto"/>
                <w:kern w:val="0"/>
                <w:sz w:val="18"/>
                <w:szCs w:val="18"/>
                <w:u w:val="none"/>
                <w:lang w:val="en-US" w:eastAsia="zh-CN" w:bidi="ar"/>
              </w:rPr>
              <w:t>抽检项目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409"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食用农产品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畜禽肉及副产品</w:t>
            </w:r>
          </w:p>
        </w:tc>
        <w:tc>
          <w:tcPr>
            <w:tcW w:w="2078"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畜肉</w:t>
            </w: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猪肉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沙丁胺醇、氯霉素、磺胺类（总量）、恩诺沙星、甲硝唑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牛肉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克伦特罗、地塞米松、恩诺沙星、氯霉素、氟苯尼考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羊肉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磺胺类（总量）、克伦特罗、恩诺沙星、莱克多巴胺、五氯酚酸钠（以五氯酚计）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畜副产品</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猪肝</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克伦特罗、五氯酚酸钠（以五氯酚计）、甲氧苄啶、氯霉素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禽肉</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鸡肉（重点品种：乌鸡）</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磺胺类（总量）、恩诺沙星、甲氧苄啶、五氯酚酸钠（以五氯酚计）、氟苯尼考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蔬菜</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鳞茎类蔬菜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韭菜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腐霉利、毒死蜱、啶虫脒、氧乐果、克百威、镉（以Cd计）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叶菜类蔬菜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芹菜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毒死蜱、甲拌磷、克百威、氧乐果、吡虫啉、氯氟氰菊酯和高效氯氟氰菊酯、甲基异柳磷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4"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菠菜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毒死蜱、氧乐果、阿维菌素、氟虫腈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8"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普通白菜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毒死蜱、氟虫腈、啶虫脒、氧乐果、阿维菌素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油麦菜</w:t>
            </w:r>
          </w:p>
        </w:tc>
        <w:tc>
          <w:tcPr>
            <w:tcW w:w="655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氟虫腈、氧乐果、噻虫嗪、甲拌磷、克百威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茄果类蔬菜</w:t>
            </w: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辣椒</w:t>
            </w:r>
          </w:p>
        </w:tc>
        <w:tc>
          <w:tcPr>
            <w:tcW w:w="655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杀扑磷、噻虫胺、氧乐果、镉（以Cd计）、久效磷、百菌清、吡虫啉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茄子</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镉（以Cd计）、氧乐果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芸薹属类蔬菜</w:t>
            </w: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结球甘蓝</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氧乐果、甲胺磷、克百威、水胺硫磷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瓜类蔬菜</w:t>
            </w:r>
          </w:p>
        </w:tc>
        <w:tc>
          <w:tcPr>
            <w:tcW w:w="2656" w:type="dxa"/>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黄瓜</w:t>
            </w:r>
          </w:p>
        </w:tc>
        <w:tc>
          <w:tcPr>
            <w:tcW w:w="6559" w:type="dxa"/>
            <w:noWrap w:val="0"/>
            <w:vAlign w:val="center"/>
          </w:tcPr>
          <w:p>
            <w:pPr>
              <w:keepNext w:val="0"/>
              <w:keepLines w:val="0"/>
              <w:widowControl/>
              <w:suppressLineNumbers w:val="0"/>
              <w:jc w:val="center"/>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百菌清、滴滴涕、乐果、敌敌畏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豆类蔬菜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豇豆</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灭蝇胺、克百威、啶虫脒、噻虫嗪、毒死蜱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default" w:ascii="宋体" w:hAnsi="宋体" w:eastAsia="宋体" w:cs="宋体"/>
                <w:color w:val="auto"/>
                <w:kern w:val="0"/>
                <w:sz w:val="18"/>
                <w:szCs w:val="18"/>
                <w:lang w:val="en-US" w:eastAsia="zh-CN"/>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根茎类和薯芋类蔬菜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噻虫胺、噻虫嗪、吡虫啉、甲拌磷、氯唑磷、镉（以Cd计）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萝卜</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敌敌畏、氧乐果、甲拌磷、氯氟氰菊酯和高效氯氟氰菊酯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豆芽</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豆芽</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苄基腺嘌呤（</w:t>
            </w:r>
            <w:r>
              <w:rPr>
                <w:rFonts w:hint="default" w:ascii="Times New Roman" w:hAnsi="Times New Roman" w:eastAsia="宋体" w:cs="Times New Roman"/>
                <w:i w:val="0"/>
                <w:iCs w:val="0"/>
                <w:color w:val="auto"/>
                <w:kern w:val="0"/>
                <w:sz w:val="18"/>
                <w:szCs w:val="18"/>
                <w:u w:val="none"/>
                <w:lang w:val="en-US" w:eastAsia="zh-CN" w:bidi="ar"/>
              </w:rPr>
              <w:t>6-BA</w:t>
            </w:r>
            <w:r>
              <w:rPr>
                <w:rFonts w:hint="eastAsia" w:ascii="宋体" w:hAnsi="宋体" w:eastAsia="宋体" w:cs="宋体"/>
                <w:i w:val="0"/>
                <w:iCs w:val="0"/>
                <w:color w:val="auto"/>
                <w:kern w:val="0"/>
                <w:sz w:val="18"/>
                <w:szCs w:val="18"/>
                <w:u w:val="none"/>
                <w:lang w:val="en-US" w:eastAsia="zh-CN" w:bidi="ar"/>
              </w:rPr>
              <w:t>）、4-氯苯氧乙酸钠（以4-氯苯氧乙酸计）、铅（以Pb计）、总汞（以Hg计）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水产品</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贝类</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贝类（重点品种：花蛤、花螺等）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镉（以Cd计）、氯霉素、恩诺沙星、孔雀石绿、氟苯尼考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淡水产品</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淡水鱼（重点品种： 泥鳅、黄鳝、鳊鱼、黄颡鱼、鲈鱼、鲶鱼、鲟鱼、鲫鱼、黑鱼、鳜鱼等）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恩诺沙星、呋喃唑酮代谢物、孔雀石绿、氯霉素、地西泮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淡水虾</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恩诺沙星、镉（以Cd计）、孔雀石绿、氯霉素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淡水蟹</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镉（以Cd计）、孔雀石绿、氯霉素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海水产品</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海水鱼（重点品种： 多宝鱼、黄鱼、海鲈鱼等）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恩诺沙星、镉（以Cd计）、磺胺类（总量）、甲硝唑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海水虾（重点品种： 虾蛄、基围虾等）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呋喃唑酮代谢物、镉（以Cd计）、孔雀石绿、氯霉素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海水蟹（重点品种：</w:t>
            </w:r>
            <w:r>
              <w:rPr>
                <w:rFonts w:hint="default" w:ascii="Times New Roman" w:hAnsi="Times New Roman" w:eastAsia="宋体" w:cs="Times New Roman"/>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梭子蟹等）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镉（以Cd计）、孔雀石绿、 氯霉素、呋喃妥因代谢物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lang w:val="en-US" w:eastAsia="zh-CN"/>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其他水产品</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其他水产品（重点品种：牛蛙）</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恩诺沙星、 氯霉素、呋喃唑酮代谢物、呋喃西林代谢物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水果类</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热带和亚热带水果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香蕉</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吡虫啉、腈苯唑、噻虫胺、噻虫嗪、苯醚甲环唑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柑橘类水果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柑、橘</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丙溴磷、毒死蜱、克百威、氧乐果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橙</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丙溴磷、毒死蜱、克百威、氧乐果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浆果和其他小型水果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草莓</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烯酰吗啉、多菌灵、克百威、氧乐果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8"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猕猴桃</w:t>
            </w:r>
          </w:p>
        </w:tc>
        <w:tc>
          <w:tcPr>
            <w:tcW w:w="6559"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氯吡脲、多菌灵、敌敌畏、氧乐果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仁果类水果</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梨</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氯氟氰菊酯和高效氯氟氰菊酯、氧乐果、克百威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苹果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毒死蜱、敌敌畏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核果类水果</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杏</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克百威、氧乐果、氟硅唑、腈苯唑、抗蚜威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瓜果类水果</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西瓜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敌敌畏</w:t>
            </w:r>
            <w:r>
              <w:rPr>
                <w:rFonts w:hint="eastAsia" w:ascii="宋体" w:hAnsi="宋体" w:eastAsia="宋体" w:cs="宋体"/>
                <w:i w:val="0"/>
                <w:iCs w:val="0"/>
                <w:color w:val="auto"/>
                <w:kern w:val="0"/>
                <w:sz w:val="18"/>
                <w:szCs w:val="18"/>
                <w:u w:val="none"/>
                <w:vertAlign w:val="superscript"/>
                <w:lang w:val="en-US" w:eastAsia="zh-CN" w:bidi="ar"/>
              </w:rPr>
              <w:t>*</w:t>
            </w:r>
            <w:r>
              <w:rPr>
                <w:rFonts w:hint="eastAsia" w:ascii="宋体" w:hAnsi="宋体" w:eastAsia="宋体" w:cs="宋体"/>
                <w:i w:val="0"/>
                <w:iCs w:val="0"/>
                <w:color w:val="auto"/>
                <w:kern w:val="0"/>
                <w:sz w:val="18"/>
                <w:szCs w:val="18"/>
                <w:u w:val="none"/>
                <w:lang w:val="en-US" w:eastAsia="zh-CN" w:bidi="ar"/>
              </w:rPr>
              <w:t>、甲霜灵和精甲霜灵</w:t>
            </w:r>
            <w:r>
              <w:rPr>
                <w:rFonts w:hint="eastAsia" w:ascii="宋体" w:hAnsi="宋体" w:eastAsia="宋体" w:cs="宋体"/>
                <w:i w:val="0"/>
                <w:iCs w:val="0"/>
                <w:color w:val="auto"/>
                <w:kern w:val="0"/>
                <w:sz w:val="18"/>
                <w:szCs w:val="18"/>
                <w:u w:val="none"/>
                <w:vertAlign w:val="superscript"/>
                <w:lang w:val="en-US" w:eastAsia="zh-CN" w:bidi="ar"/>
              </w:rPr>
              <w:t>*</w:t>
            </w:r>
            <w:r>
              <w:rPr>
                <w:rFonts w:hint="eastAsia" w:ascii="宋体" w:hAnsi="宋体" w:eastAsia="宋体" w:cs="宋体"/>
                <w:i w:val="0"/>
                <w:iCs w:val="0"/>
                <w:color w:val="auto"/>
                <w:kern w:val="0"/>
                <w:sz w:val="18"/>
                <w:szCs w:val="18"/>
                <w:u w:val="none"/>
                <w:lang w:val="en-US" w:eastAsia="zh-CN" w:bidi="ar"/>
              </w:rPr>
              <w:t>、甲胺磷、克百威、噻虫嗪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lang w:val="en-US" w:eastAsia="zh-CN"/>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甜瓜类</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甲基异柳磷*、克百威、烯酰吗啉、氧乐果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鲜蛋</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鸡蛋</w:t>
            </w:r>
          </w:p>
        </w:tc>
        <w:tc>
          <w:tcPr>
            <w:tcW w:w="2656" w:type="dxa"/>
            <w:noWrap w:val="0"/>
            <w:vAlign w:val="center"/>
          </w:tcPr>
          <w:p>
            <w:pPr>
              <w:jc w:val="center"/>
              <w:rPr>
                <w:rFonts w:hint="eastAsia" w:ascii="宋体" w:hAnsi="宋体" w:eastAsia="宋体" w:cs="宋体"/>
                <w:i w:val="0"/>
                <w:color w:val="auto"/>
                <w:kern w:val="0"/>
                <w:sz w:val="22"/>
                <w:szCs w:val="22"/>
                <w:u w:val="none"/>
                <w:lang w:val="en-US" w:eastAsia="zh-CN" w:bidi="ar"/>
              </w:rPr>
            </w:pP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氟虫腈、地美硝唑、氯霉素、恩诺沙星、氟苯尼考、磺胺类 （总量）、甲硝唑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生干坚果与籽类食品</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生干坚果</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镉(以Cd计)</w:t>
            </w:r>
            <w:r>
              <w:rPr>
                <w:rFonts w:hint="eastAsia" w:ascii="宋体" w:hAnsi="宋体" w:eastAsia="宋体" w:cs="宋体"/>
                <w:i w:val="0"/>
                <w:iCs w:val="0"/>
                <w:color w:val="auto"/>
                <w:kern w:val="0"/>
                <w:sz w:val="18"/>
                <w:szCs w:val="18"/>
                <w:u w:val="none"/>
                <w:vertAlign w:val="superscript"/>
                <w:lang w:val="en-US" w:eastAsia="zh-CN" w:bidi="ar"/>
              </w:rPr>
              <w:t>*</w:t>
            </w:r>
            <w:r>
              <w:rPr>
                <w:rFonts w:hint="eastAsia" w:ascii="宋体" w:hAnsi="宋体" w:eastAsia="宋体" w:cs="宋体"/>
                <w:i w:val="0"/>
                <w:iCs w:val="0"/>
                <w:color w:val="auto"/>
                <w:kern w:val="0"/>
                <w:sz w:val="18"/>
                <w:szCs w:val="18"/>
                <w:u w:val="none"/>
                <w:lang w:val="en-US" w:eastAsia="zh-CN" w:bidi="ar"/>
              </w:rPr>
              <w:t>、铅、酸价、糖精钠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生干籽类</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iCs w:val="0"/>
                <w:color w:val="auto"/>
                <w:kern w:val="0"/>
                <w:sz w:val="18"/>
                <w:szCs w:val="18"/>
                <w:u w:val="none"/>
                <w:lang w:val="en-US" w:eastAsia="zh-CN" w:bidi="ar"/>
              </w:rPr>
              <w:t>酸价、黄曲霉毒素B1、过氧化值（以脂肪计）、铅（以Pb计）、镉（以Cd计）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粮食加工品</w:t>
            </w: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大米</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大米</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大米</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铅（以Pb计）、镉（以Cd计）、无机砷（以As计）、黄曲霉毒素B1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小麦粉</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小麦粉</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小麦粉（通用、专用小麦粉）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镉（以Cd计）、苯并[a]芘、玉米赤霉烯酮、脱氧雪腐镰刀菌烯醇、赭曲霉毒素A、黄曲霉毒素B1、过氧化苯甲酰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挂面</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挂面</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普通挂面、手工面</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其他粮食加工品</w:t>
            </w: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谷物粉类制成品</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生湿面制品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铅（以Pb计）、苯甲酸及其钠盐（以苯甲酸计）、山梨酸及其钾盐（以山梨酸计）、脱氢乙酸及其钠盐（以脱氢乙酸计）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lang w:val="en-US" w:eastAsia="zh-CN"/>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发酵面制品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lang w:val="en-US" w:eastAsia="zh-CN"/>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米粉制品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苯甲酸及其钠盐（以苯甲酸计）、山梨酸及其钾盐（以山梨酸计）、脱氢乙酸及其钠盐（以脱氢乙酸计）、二氧化硫残留量、菌落总数、大肠菌群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eastAsia="楷体_GB2312"/>
                <w:color w:val="auto"/>
                <w:kern w:val="2"/>
                <w:sz w:val="26"/>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食用油、油脂及其制品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食用植物油(含煎炸用油)</w:t>
            </w: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食用植物油(半精炼、全精炼)</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花生油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酸值/酸价、过氧化值、黄曲霉毒素B1、苯并[a]芘、溶剂残留量、特丁基对苯二酚（TBHQ）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lang w:val="en-US" w:eastAsia="zh-CN" w:bidi="ar-SA"/>
              </w:rPr>
            </w:pPr>
          </w:p>
        </w:tc>
        <w:tc>
          <w:tcPr>
            <w:tcW w:w="1062" w:type="dxa"/>
            <w:vMerge w:val="continue"/>
            <w:noWrap w:val="0"/>
            <w:vAlign w:val="center"/>
          </w:tcPr>
          <w:p>
            <w:pPr>
              <w:jc w:val="center"/>
              <w:rPr>
                <w:rFonts w:hint="eastAsia" w:ascii="宋体" w:hAnsi="宋体" w:eastAsia="宋体" w:cs="宋体"/>
                <w:color w:val="auto"/>
                <w:kern w:val="0"/>
                <w:sz w:val="18"/>
                <w:szCs w:val="18"/>
                <w:lang w:val="en-US" w:eastAsia="zh-CN" w:bidi="ar-SA"/>
              </w:rPr>
            </w:pPr>
          </w:p>
        </w:tc>
        <w:tc>
          <w:tcPr>
            <w:tcW w:w="2078" w:type="dxa"/>
            <w:vMerge w:val="continue"/>
            <w:noWrap w:val="0"/>
            <w:vAlign w:val="center"/>
          </w:tcPr>
          <w:p>
            <w:pPr>
              <w:jc w:val="center"/>
              <w:rPr>
                <w:rFonts w:hint="eastAsia" w:ascii="微软雅黑" w:hAnsi="微软雅黑" w:eastAsia="微软雅黑" w:cs="微软雅黑"/>
                <w:i w:val="0"/>
                <w:caps w:val="0"/>
                <w:color w:val="auto"/>
                <w:spacing w:val="0"/>
                <w:sz w:val="19"/>
                <w:szCs w:val="19"/>
                <w:lang w:val="en-US" w:eastAsia="zh-CN"/>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玉米油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酸值/酸价、过氧化值、黄曲霉毒素B1、苯并[a]芘、溶剂残留量、特丁基对苯二酚（TBHQ）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橄榄油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酸值/酸价、过氧化值、苯并[a]芘、溶剂残留量、特丁基对苯二酚（TBHQ）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芝麻油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酸值/酸价、过氧化值、苯并[a]芘、溶剂残留量、特丁基对苯二酚（TBHQ）、乙基麦芽酚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菜籽油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酸值/酸价、过氧化值、铅（以Pb计）、苯并[a]芘、溶剂残留量、特丁基对苯二酚（TBHQ）、乙基麦芽酚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食用植物调和油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酸价、过氧化值、苯并[a]芘、溶剂残留量、特丁基对苯二酚（TBHQ）、乙基麦芽酚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煎炸过程用油(餐饮环节)</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煎炸过程用油(餐饮环节)</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酸价、极性组分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调味品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调味料</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半固体复合调味料</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蛋黄酱、沙拉酱</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坚果与籽类的泥（酱），包括花生酱等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酸价/酸值、过氧化值、铅（以Pb计）、黄曲霉毒素B1、沙门氏菌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辣椒酱</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火锅底料、麻辣烫底料</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铅（以Pb计）、苯甲酸及其钠盐（以苯甲酸计）、山梨酸及其钾盐（以山梨酸计）、脱氢乙酸及其钠盐（以脱氢乙酸计）、防腐剂混合使用时各自用量占其最大使用量的比例之和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肉制品</w:t>
            </w: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预制肉制品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腌腊肉制品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腌腊肉制品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过氧化值（以脂肪计）、铅（以Pb计）、总砷（以As计）、氯霉素、亚硝酸盐（以亚硝酸钠计）、苯甲酸及其钠盐（以苯甲酸计）、山梨酸及其钾盐（以山梨酸计）、胭脂红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熟肉制品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发酵肉制品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发酵肉制品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亚硝酸盐（以亚硝酸钠计）、苯甲酸及其钠盐（以苯甲酸计）、山梨酸及其钾盐（以山梨酸计）、大肠菌群、单核细胞增生李斯特氏菌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酱卤肉制品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酱卤肉制品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熏烧烤肉制品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熏烧烤肉制品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苯并[a]芘、菌落总数、大肠菌群、单核细胞增生李斯特氏菌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熟肉干制品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熟肉干制品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氯霉素、苯甲酸及其钠盐（以苯甲酸计）、山梨酸及其钾盐（以山梨酸计）、菌落总数、大肠菌群、沙门氏菌、金黄色葡萄球菌、单核细胞增生李斯特氏菌、大肠埃希氏菌O157:H7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熏煮香肠火腿制品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熏煮香肠火腿制品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氯霉素、亚硝酸盐（以亚硝酸钠计）、苯甲酸及其钠盐（以苯甲酸计）、山梨酸及其钾盐（以山梨酸计）、脱氢乙酸及其钠盐（以脱氢乙酸计）、防腐剂混合使用时各自用量占其最大使用量的比例之和、菌落总数、大肠菌群、单核细胞增生李斯特氏菌、大肠埃希氏菌O157: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jc w:val="center"/>
              <w:rPr>
                <w:rFonts w:ascii="宋体" w:hAnsi="宋体" w:eastAsia="宋体" w:cs="宋体"/>
                <w:color w:val="auto"/>
                <w:kern w:val="0"/>
                <w:sz w:val="18"/>
                <w:szCs w:val="18"/>
              </w:rPr>
            </w:pP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乳制品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乳制品</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液体乳</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巴氏杀菌乳</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蛋白质、酸度、三聚氰胺、金黄色葡萄球菌、沙门氏菌、菌落总数、大肠菌群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灭菌乳</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蛋白质、非脂乳固体、酸度、脂肪、三聚氰胺、商业无菌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发酵乳</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蛋白质、酸度、脂肪、三聚氰胺、山梨酸及其钾盐（以山梨酸计）、金黄色葡萄球菌、霉菌、沙门氏菌、大肠菌群、酵母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调制乳</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蛋白质、三聚氰胺、商业无菌、菌落总数、大肠菌群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饮料</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饮料</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包装饮用水</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饮用纯净水</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耗氧量(以O2计)、亚硝酸盐(以NO2-计)、余氯(游离氯)、三氯甲烷、溴酸盐、大肠菌群、铜绿假单胞菌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果、蔬汁饮料</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果、蔬汁饮料（小众品牌）</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合成着色剂（苋菜红、胭脂红、柠檬黄、日落黄、亮蓝）、菌落总数、大肠菌群、霉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蛋白饮料</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蛋白饮料（小众品牌）</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蛋白质、三聚氰胺、糖精钠(以糖精计)、甜蜜素(以环己基氨基磺酸计)、菌落总数、大肠菌群、金黄色葡萄球菌、沙门氏菌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茶饮料</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茶饮料（小众品牌）</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茶多酚、咖啡因、甜蜜素(以环己基氨基磺酸计)、菌落总数、商业无菌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7</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方便食品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方便食品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方便面</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油炸面、非油炸面、方便米粉（米线）、方便粉丝</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水分、酸价（以脂肪计）、过氧化值（以脂肪计）、菌落总数、大肠菌群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调味面制品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调味面制品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糖精钠（以糖精计）、苯甲酸及其钠盐（以苯甲酸计）、山梨酸及其钾盐（以山梨酸计）、脱氢乙酸及其钠盐（以脱氢乙酸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其他方便食品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方便粥、方便盒饭、冷面及其他熟制方便食品等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铅（以Pb计）、黄曲霉毒素B1、苯甲酸及其钠盐（以苯甲酸计）、山梨酸及其钾盐（以山梨酸计）、糖精钠（以糖精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8</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速冻食品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速冻面米食品</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速冻面米食品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水饺、元宵、馄饨等生制品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过氧化值（以脂肪计）、铅（以Pb计）、糖精钠（以糖精计）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sz w:val="18"/>
                <w:szCs w:val="18"/>
              </w:rPr>
            </w:pPr>
            <w:r>
              <w:rPr>
                <w:rFonts w:hint="eastAsia" w:ascii="宋体" w:hAnsi="宋体" w:eastAsia="宋体" w:cs="宋体"/>
                <w:i w:val="0"/>
                <w:iCs w:val="0"/>
                <w:color w:val="auto"/>
                <w:kern w:val="0"/>
                <w:sz w:val="18"/>
                <w:szCs w:val="18"/>
                <w:u w:val="none"/>
                <w:lang w:val="en-US" w:eastAsia="zh-CN" w:bidi="ar"/>
              </w:rPr>
              <w:t>包子、馒头等熟制品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糖精钠（以糖精计）、菌落总数、大肠菌群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糖果制品 (含巧克力及制品)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糖果</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糖果</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铅（以Pb计）、糖精钠（以糖精计）、合成着色剂(柠檬黄、苋菜红、胭脂红、日落黄）、相同色泽着色剂混合使用时各自用量占其最大使用量的比例之和、菌落总数、大肠菌群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巧克力及巧克力制品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巧克力、巧克力制品、代可可脂巧克力及代可可脂巧克力制品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10</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茶叶及相关制品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茶叶</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茶叶</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绿茶、红茶、乌龙茶、黄茶、白茶、黑茶、花茶、袋泡茶、紧压茶</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草甘膦、吡虫啉、内吸磷、乙酰甲胺磷、联苯菊酯、氯氰菊酯和高效氯氰菊酯、灭多威、三氯杀螨醇、氰戊菊酯和S-氰戊菊酯、甲胺磷、啶虫脒、吡蚜酮、敌百虫、甲拌磷、克百威、氯唑磷、灭线磷、水胺硫磷、氧乐果、茚虫威、丙溴磷、毒死蜱、莠去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11</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酒类</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蒸馏酒</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白酒</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白酒、白酒（液态）、白酒（原酒）</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精度、甲醇、氰化物(以HCN计)、糖精钠(以糖精计)、甜蜜素(以环己基氨基磺酸计)、三氯蔗糖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葡萄酒</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葡萄酒</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酒精度、甲醇、苯甲酸及其钠盐(以苯甲酸计)、山梨酸及其钾盐(以山梨酸计)、脱氢乙酸及其钠盐(以脱氢乙酸计)、二氧化硫残留量、糖精钠(以糖精计)、甜蜜素(以环己基氨基磺酸计)、三氯蔗糖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12</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蔬菜制品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蔬菜制品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酱腌菜</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酱腌菜</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阿斯巴甜、苯甲酸及其钠盐（以苯甲酸计）、防腐剂混合使用时各自用量占其最大使用量的比例之和、纽甜、三氯蔗糖、山梨酸及其钾盐（以山梨酸计）、糖精钠（以糖精计）、甜蜜素（以环己基氨基磺酸计）、脱氢乙酸及其钠盐（以脱氢乙酸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食用菌制品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干制食用菌</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镉（以Cd计）、铅（以Pb计）、总汞（以Hg计）、总砷（以As计）、二氧化硫残留量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腌渍食用菌</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苯甲酸及其钠盐（以苯甲酸计）、二氧化硫残留量、防腐剂混合使用时各自用量占其最大使用量的比例之和、山梨酸及其钾盐（以山梨酸计）、脱氢乙酸及其钠盐（以脱氢乙酸计）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13</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水果制品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水果制品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蜜饯</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蜜饯类、凉果类、果脯类、话化类、果糕类</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14</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炒货食品及坚果制品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炒货食品及坚果制品</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炒货食品及坚果制品（ 烘炒类、油炸类、其他类）</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开心果、杏仁、松仁、瓜子</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酸价（以脂肪计）、过氧化值（以脂肪计）、铅（以Pb计）、黄曲霉毒素B1、糖精钠（以糖精计）、甜蜜素（以环己基氨基磺酸计）、大肠菌群、霉菌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sz w:val="18"/>
                <w:szCs w:val="18"/>
              </w:rPr>
            </w:pPr>
            <w:r>
              <w:rPr>
                <w:rFonts w:hint="eastAsia" w:ascii="宋体" w:hAnsi="宋体" w:eastAsia="宋体" w:cs="宋体"/>
                <w:i w:val="0"/>
                <w:iCs w:val="0"/>
                <w:color w:val="auto"/>
                <w:kern w:val="0"/>
                <w:sz w:val="18"/>
                <w:szCs w:val="18"/>
                <w:u w:val="none"/>
                <w:lang w:val="en-US" w:eastAsia="zh-CN" w:bidi="ar"/>
              </w:rPr>
              <w:t>其他炒货食品及坚果制品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酸价（以脂肪计）、过氧化值（以脂肪计）、铅（以Pb计）、黄曲霉毒素B1、糖精钠（以糖精计）、甜蜜素（以环己基氨基磺酸计）、大肠菌群、霉菌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15</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食糖</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食糖</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食糖</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sz w:val="18"/>
                <w:szCs w:val="18"/>
              </w:rPr>
            </w:pPr>
            <w:r>
              <w:rPr>
                <w:rFonts w:hint="eastAsia" w:ascii="宋体" w:hAnsi="宋体" w:eastAsia="宋体" w:cs="宋体"/>
                <w:i w:val="0"/>
                <w:iCs w:val="0"/>
                <w:color w:val="auto"/>
                <w:kern w:val="0"/>
                <w:sz w:val="18"/>
                <w:szCs w:val="18"/>
                <w:u w:val="none"/>
                <w:lang w:val="en-US" w:eastAsia="zh-CN" w:bidi="ar"/>
              </w:rPr>
              <w:t>白砂糖</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红糖</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总糖分、不溶于水杂质、螨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冰糖</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16</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淀粉及淀粉制品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淀粉及淀粉制品</w:t>
            </w:r>
          </w:p>
        </w:tc>
        <w:tc>
          <w:tcPr>
            <w:tcW w:w="2078"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淀粉制品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粉丝粉条</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铅（以Pb计）、铝的残留量（干样品，以Al计）、二氧化硫残留量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vMerge w:val="continue"/>
            <w:noWrap w:val="0"/>
            <w:vAlign w:val="center"/>
          </w:tcPr>
          <w:p>
            <w:pPr>
              <w:jc w:val="left"/>
              <w:rPr>
                <w:rFonts w:hint="eastAsia" w:ascii="宋体" w:hAnsi="宋体" w:eastAsia="宋体" w:cs="宋体"/>
                <w:i w:val="0"/>
                <w:caps w:val="0"/>
                <w:color w:val="auto"/>
                <w:spacing w:val="0"/>
                <w:sz w:val="18"/>
                <w:szCs w:val="18"/>
              </w:rPr>
            </w:pP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其他淀粉制品（凉皮）</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铝的残留量（干样品，以Al计）、二氧化硫残留量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17</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糕点</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糕点</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糕点</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糕点</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月饼</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月饼</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酸价（以脂肪计）、过氧化值（以脂肪计）、富马酸二甲酯、 苯甲酸及其钠盐（以苯甲酸计）、山梨酸及其钾盐（以山梨酸计）、铝的残留量（干样品，以Al计）、丙酸及其钠盐钙盐、脱氢乙酸及其钠盐(以脱氢乙酸计)、纳他霉素、防腐剂混合使用时各自用量占其最大使用量的比例之和、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粽子</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粽子</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粽子</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苯甲酸及其钠盐（以苯甲酸计）、山梨酸及其钾盐（以山梨酸计）、糖精钠（以糖精计）、安赛蜜、菌落总数、大肠菌群、金黄色葡萄球菌、沙门氏菌、霉菌、商业无菌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18</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豆制品</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豆制品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发酵性豆制品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腐乳、豆豉、纳豆等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苯甲酸及其钠盐（以苯甲酸计）、山梨酸及其钾盐（以山梨酸计）、脱氢乙酸及其钠盐（以脱氢乙酸计）、糖精钠（以糖精计）、甜蜜素（以环己基氨基磺酸计）、铝的残留量（干样品，以Al计）、大肠菌群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非发酵性豆制品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豆干、豆腐、豆皮等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其他豆制品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大豆蛋白类制品等</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山梨酸及其钾盐（以山梨酸计）、脱氢乙酸及其钠盐（以脱氢乙酸计）、铝的残留量（干样品，以Al计）、大肠菌群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19</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蜂产品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蜂产品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蜂蜜</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蜂蜜</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果糖和葡萄糖、蔗糖、铅（以Pb计）、氯霉素、培氟沙星、氧氟沙星、诺氟沙星、甲硝唑、地美硝唑、菌落总数、霉菌计数、嗜渗酵母计数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保健食品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保健食品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保健食品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保健食品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功效/标志性成分、水分、可溶性固形物、酸价、过氧化值、崩解时限、铅（Pb）、总砷（As）、总汞（Hg）、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地西泮、硝西泮、氯硝西泮、氯氮卓、奥沙西泮、马来酸咪哒唑仑、劳拉西泮、艾司唑仑、阿普唑仑、三唑仑、巴比妥、苯巴比妥、异戊巴比妥、司可巴比妥、氯美扎酮、佐匹克隆、氯苯那敏、扎来普隆、文拉法辛、青藤碱、罗通定、阿替洛尔、盐酸可乐定、氢氯噻嗪、卡托普利、哌唑嗪、利血平、硝苯地平、氨氯地平、尼群地平、尼莫地平、尼索地平、非洛地平、菌落总数、大肠菌群、霉菌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21</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特殊膳食食品</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婴幼儿辅助食品</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婴幼儿谷类辅助食品</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婴幼儿谷物辅助食品、婴幼儿高蛋白谷物辅助食品、婴幼儿生制类谷物辅助食品、婴幼儿饼干或其他婴幼儿谷物辅助食品</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能量、蛋白质、脂肪、亚油酸、月桂酸占总脂肪的比值、肉豆蔻酸占总脂肪的比值、维生素A、维生素D、维生素B1、钙、铁、锌、钠、维生素E、维生素B2、维生素B6、维生素B12、烟酸、叶酸、泛酸、维生素C、生物素、磷、碘、钾、水分、不溶性膳食纤维、脲酶活性定性测定、铅（以Pb计）、无机砷（以As计）、锡（以Sn计）、镉（以Cd计）、黄曲霉毒素B1、硝酸盐（以NaNO3计）、亚硝酸盐（以NaNO2计）、菌落总数、大肠菌群、沙门氏菌、二十二碳六烯酸、花生四烯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22</w:t>
            </w:r>
          </w:p>
        </w:tc>
        <w:tc>
          <w:tcPr>
            <w:tcW w:w="100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餐饮食品</w:t>
            </w: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米面及其制品(自制)</w:t>
            </w: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小麦粉制品(自制)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发酵面制品(自制)</w:t>
            </w:r>
            <w:r>
              <w:rPr>
                <w:rFonts w:hint="eastAsia" w:ascii="宋体" w:hAnsi="宋体" w:eastAsia="宋体" w:cs="宋体"/>
                <w:i w:val="0"/>
                <w:iCs w:val="0"/>
                <w:color w:val="auto"/>
                <w:kern w:val="0"/>
                <w:sz w:val="18"/>
                <w:szCs w:val="18"/>
                <w:u w:val="none"/>
                <w:vertAlign w:val="superscript"/>
                <w:lang w:val="en-US" w:eastAsia="zh-CN" w:bidi="ar"/>
              </w:rPr>
              <w:t>a</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color w:val="auto"/>
                <w:kern w:val="0"/>
                <w:sz w:val="18"/>
                <w:szCs w:val="18"/>
              </w:rPr>
            </w:pPr>
          </w:p>
        </w:tc>
        <w:tc>
          <w:tcPr>
            <w:tcW w:w="2078" w:type="dxa"/>
            <w:vMerge w:val="continue"/>
            <w:noWrap w:val="0"/>
            <w:vAlign w:val="center"/>
          </w:tcPr>
          <w:p>
            <w:pPr>
              <w:jc w:val="center"/>
              <w:rPr>
                <w:rFonts w:hint="eastAsia" w:ascii="宋体" w:hAnsi="宋体" w:eastAsia="宋体" w:cs="宋体"/>
                <w:color w:val="auto"/>
                <w:kern w:val="0"/>
                <w:sz w:val="18"/>
                <w:szCs w:val="18"/>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油炸面制品(自制)</w:t>
            </w:r>
            <w:r>
              <w:rPr>
                <w:rFonts w:hint="eastAsia" w:ascii="宋体" w:hAnsi="宋体" w:eastAsia="宋体" w:cs="宋体"/>
                <w:i w:val="0"/>
                <w:iCs w:val="0"/>
                <w:color w:val="auto"/>
                <w:kern w:val="0"/>
                <w:sz w:val="18"/>
                <w:szCs w:val="18"/>
                <w:u w:val="none"/>
                <w:vertAlign w:val="superscript"/>
                <w:lang w:val="en-US" w:eastAsia="zh-CN" w:bidi="ar"/>
              </w:rPr>
              <w:t>b</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肉制品(自制)</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熟肉制品(自制)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肉冻、皮冻(自制)</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铬（以Cr计）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复合调味料（自制）</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半固态调味料（自制）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火锅调味料（底料、蘸料）（自制）</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水产及水产制品（自制）</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水产及水产制品（自制）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生食动物性水产品（自制）</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铝的残留量（以即食海蜇中Al计）、吸虫囊蚴、菌落总数、大肠菌群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坚果及籽类食品（自制）</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坚果及籽类食品（自制）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花生及其制品（自制)</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黄曲霉毒素B1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餐饮具</w:t>
            </w:r>
          </w:p>
        </w:tc>
        <w:tc>
          <w:tcPr>
            <w:tcW w:w="207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复用餐饮具</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复用餐饮具（餐馆自行消毒）</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2078" w:type="dxa"/>
            <w:vMerge w:val="continue"/>
            <w:noWrap w:val="0"/>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复用餐饮具（集中清洗消毒服务单位消毒）</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培烤食品（自制）</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培烤食品（自制）</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Style w:val="28"/>
                <w:rFonts w:hint="eastAsia" w:ascii="宋体" w:hAnsi="宋体" w:eastAsia="宋体" w:cs="宋体"/>
                <w:color w:val="auto"/>
                <w:lang w:val="en-US" w:eastAsia="zh-CN" w:bidi="ar"/>
              </w:rPr>
              <w:t>糕点（自制）</w:t>
            </w:r>
            <w:r>
              <w:rPr>
                <w:rFonts w:hint="eastAsia" w:ascii="宋体" w:hAnsi="宋体" w:eastAsia="宋体" w:cs="宋体"/>
                <w:i w:val="0"/>
                <w:iCs w:val="0"/>
                <w:color w:val="auto"/>
                <w:kern w:val="0"/>
                <w:sz w:val="18"/>
                <w:szCs w:val="18"/>
                <w:u w:val="none"/>
                <w:vertAlign w:val="superscript"/>
                <w:lang w:val="en-US" w:eastAsia="zh-CN" w:bidi="ar"/>
              </w:rPr>
              <w:t>c</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酸价（以脂肪计）（KOH）、过氧化值（以脂肪计）、山梨酸及其钾盐（以山梨酸计）、脱氢乙酸及其钠盐（以脱氢乙酸计）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其他餐饮食品</w:t>
            </w: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肉制品（餐饮）</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熏烧烤肉制品（餐饮）</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苯并[a]芘、铅（以Pb计）、亚硝酸盐（以亚硝酸钠计）、氯霉素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调味品（餐饮)</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其他调味品（餐饮)</w:t>
            </w:r>
            <w:r>
              <w:rPr>
                <w:rFonts w:hint="eastAsia" w:ascii="宋体" w:hAnsi="宋体" w:eastAsia="宋体" w:cs="宋体"/>
                <w:i w:val="0"/>
                <w:iCs w:val="0"/>
                <w:color w:val="auto"/>
                <w:kern w:val="0"/>
                <w:sz w:val="18"/>
                <w:szCs w:val="18"/>
                <w:u w:val="none"/>
                <w:vertAlign w:val="superscript"/>
                <w:lang w:val="en-US" w:eastAsia="zh-CN" w:bidi="ar"/>
              </w:rPr>
              <w:t>d</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铅（以Pb计）、苏丹红I-IV、罗丹明B、脱氢乙酸及其钠盐（以脱氢乙酸计）、丙溴磷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米面及其制品（餐饮)</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其他米面制品（餐饮)</w:t>
            </w:r>
            <w:r>
              <w:rPr>
                <w:rFonts w:hint="eastAsia" w:ascii="宋体" w:hAnsi="宋体" w:eastAsia="宋体" w:cs="宋体"/>
                <w:i w:val="0"/>
                <w:iCs w:val="0"/>
                <w:color w:val="auto"/>
                <w:kern w:val="0"/>
                <w:sz w:val="18"/>
                <w:szCs w:val="18"/>
                <w:u w:val="none"/>
                <w:vertAlign w:val="superscript"/>
                <w:lang w:val="en-US" w:eastAsia="zh-CN" w:bidi="ar"/>
              </w:rPr>
              <w:t>e</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过氧化苯甲酰、甲醛次硫酸氢钠(以甲醛计)、铅(以Pb计)、罂粟碱、吗啡、可待因、那可丁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center"/>
              <w:rPr>
                <w:rFonts w:hint="eastAsia" w:ascii="宋体" w:hAnsi="宋体" w:eastAsia="宋体" w:cs="宋体"/>
                <w:color w:val="auto"/>
                <w:kern w:val="0"/>
                <w:sz w:val="18"/>
                <w:szCs w:val="18"/>
              </w:rPr>
            </w:pPr>
          </w:p>
        </w:tc>
        <w:tc>
          <w:tcPr>
            <w:tcW w:w="1062" w:type="dxa"/>
            <w:vMerge w:val="continue"/>
            <w:noWrap w:val="0"/>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20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食用油、油脂及其制品（餐饮）</w:t>
            </w:r>
          </w:p>
        </w:tc>
        <w:tc>
          <w:tcPr>
            <w:tcW w:w="2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煎炸过程用油（限餐饮店）</w:t>
            </w:r>
            <w:r>
              <w:rPr>
                <w:rFonts w:hint="eastAsia" w:ascii="宋体" w:hAnsi="宋体" w:eastAsia="宋体" w:cs="宋体"/>
                <w:i w:val="0"/>
                <w:iCs w:val="0"/>
                <w:color w:val="auto"/>
                <w:kern w:val="0"/>
                <w:sz w:val="18"/>
                <w:szCs w:val="18"/>
                <w:u w:val="none"/>
                <w:vertAlign w:val="superscript"/>
                <w:lang w:val="en-US" w:eastAsia="zh-CN" w:bidi="ar"/>
              </w:rPr>
              <w:t>f</w:t>
            </w:r>
          </w:p>
        </w:tc>
        <w:tc>
          <w:tcPr>
            <w:tcW w:w="655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酸价、极性组分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23</w:t>
            </w:r>
          </w:p>
        </w:tc>
        <w:tc>
          <w:tcPr>
            <w:tcW w:w="100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食品添加剂</w:t>
            </w:r>
          </w:p>
        </w:tc>
        <w:tc>
          <w:tcPr>
            <w:tcW w:w="1062"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食品添加剂</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增稠剂</w:t>
            </w:r>
          </w:p>
        </w:tc>
        <w:tc>
          <w:tcPr>
            <w:tcW w:w="2656" w:type="dxa"/>
            <w:noWrap w:val="0"/>
            <w:vAlign w:val="center"/>
          </w:tcPr>
          <w:p>
            <w:pPr>
              <w:keepNext w:val="0"/>
              <w:keepLines w:val="0"/>
              <w:widowControl/>
              <w:suppressLineNumbers w:val="0"/>
              <w:jc w:val="both"/>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明胶</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凝冻强度（6.67%）、铬（Cr）、铅（Pb）、总砷（As）、二氧化硫、过氧化物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复配食品添加剂</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复配食品添加剂</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铅（Pb）、砷（以As计）、致病性微生物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vMerge w:val="continue"/>
            <w:noWrap w:val="0"/>
            <w:vAlign w:val="center"/>
          </w:tcPr>
          <w:p>
            <w:pPr>
              <w:jc w:val="center"/>
              <w:rPr>
                <w:rFonts w:ascii="宋体" w:hAnsi="宋体" w:eastAsia="宋体" w:cs="宋体"/>
                <w:color w:val="auto"/>
                <w:kern w:val="0"/>
                <w:sz w:val="18"/>
                <w:szCs w:val="18"/>
              </w:rPr>
            </w:pPr>
          </w:p>
        </w:tc>
        <w:tc>
          <w:tcPr>
            <w:tcW w:w="1002" w:type="dxa"/>
            <w:vMerge w:val="continue"/>
            <w:noWrap w:val="0"/>
            <w:vAlign w:val="center"/>
          </w:tcPr>
          <w:p>
            <w:pPr>
              <w:jc w:val="left"/>
              <w:rPr>
                <w:rFonts w:hint="eastAsia" w:ascii="宋体" w:hAnsi="宋体" w:eastAsia="宋体" w:cs="宋体"/>
                <w:color w:val="auto"/>
                <w:kern w:val="0"/>
                <w:sz w:val="18"/>
                <w:szCs w:val="18"/>
              </w:rPr>
            </w:pPr>
          </w:p>
        </w:tc>
        <w:tc>
          <w:tcPr>
            <w:tcW w:w="1062" w:type="dxa"/>
            <w:vMerge w:val="continue"/>
            <w:noWrap w:val="0"/>
            <w:vAlign w:val="center"/>
          </w:tcPr>
          <w:p>
            <w:pPr>
              <w:jc w:val="left"/>
              <w:rPr>
                <w:rFonts w:hint="eastAsia" w:ascii="宋体" w:hAnsi="宋体" w:eastAsia="宋体" w:cs="宋体"/>
                <w:color w:val="auto"/>
                <w:kern w:val="0"/>
                <w:sz w:val="18"/>
                <w:szCs w:val="18"/>
              </w:rPr>
            </w:pP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食品用香精</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食品用香精</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砷（以As计）含量/无机砷含量、菌落总数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40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100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食盐</w:t>
            </w:r>
          </w:p>
        </w:tc>
        <w:tc>
          <w:tcPr>
            <w:tcW w:w="1062"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食盐</w:t>
            </w:r>
          </w:p>
        </w:tc>
        <w:tc>
          <w:tcPr>
            <w:tcW w:w="2078"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食盐</w:t>
            </w:r>
          </w:p>
        </w:tc>
        <w:tc>
          <w:tcPr>
            <w:tcW w:w="2656" w:type="dxa"/>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食盐</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氯化钠、氯化钾、碘（以I计）、钡（以Ba计）、铅（以Pb计）、总砷（以As计）、镉（以Cd计）、总汞(以Hg计)、亚铁氰化钾（以亚铁氰根计）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7207" w:type="dxa"/>
            <w:gridSpan w:val="5"/>
            <w:noWrap w:val="0"/>
            <w:vAlign w:val="center"/>
          </w:tcPr>
          <w:p>
            <w:pPr>
              <w:keepNext w:val="0"/>
              <w:keepLines w:val="0"/>
              <w:widowControl/>
              <w:suppressLineNumbers w:val="0"/>
              <w:jc w:val="right"/>
              <w:textAlignment w:val="center"/>
              <w:rPr>
                <w:color w:val="auto"/>
              </w:rPr>
            </w:pPr>
            <w:r>
              <w:rPr>
                <w:rFonts w:hint="eastAsia" w:ascii="宋体" w:hAnsi="宋体" w:eastAsia="宋体" w:cs="宋体"/>
                <w:i w:val="0"/>
                <w:iCs w:val="0"/>
                <w:color w:val="auto"/>
                <w:kern w:val="0"/>
                <w:sz w:val="18"/>
                <w:szCs w:val="18"/>
                <w:u w:val="none"/>
                <w:lang w:val="en-US" w:eastAsia="zh-CN" w:bidi="ar"/>
              </w:rPr>
              <w:t>总计</w:t>
            </w:r>
          </w:p>
        </w:tc>
        <w:tc>
          <w:tcPr>
            <w:tcW w:w="6559" w:type="dxa"/>
            <w:noWrap w:val="0"/>
            <w:vAlign w:val="center"/>
          </w:tcPr>
          <w:p>
            <w:pPr>
              <w:keepNext w:val="0"/>
              <w:keepLines w:val="0"/>
              <w:widowControl/>
              <w:suppressLineNumbers w:val="0"/>
              <w:jc w:val="left"/>
              <w:textAlignment w:val="center"/>
              <w:rPr>
                <w:rFonts w:hint="default" w:ascii="宋体" w:hAnsi="宋体" w:eastAsia="宋体" w:cs="宋体"/>
                <w:i w:val="0"/>
                <w:caps w:val="0"/>
                <w:color w:val="auto"/>
                <w:spacing w:val="0"/>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1000批次</w:t>
            </w:r>
          </w:p>
        </w:tc>
      </w:tr>
    </w:tbl>
    <w:p>
      <w:pPr>
        <w:adjustRightInd w:val="0"/>
        <w:spacing w:line="560" w:lineRule="exact"/>
        <w:ind w:firstLine="241" w:firstLineChars="100"/>
        <w:rPr>
          <w:rFonts w:hint="eastAsia" w:asciiTheme="minorEastAsia" w:hAnsiTheme="minorEastAsia" w:eastAsiaTheme="minorEastAsia" w:cstheme="minorEastAsia"/>
          <w:b/>
          <w:bCs/>
          <w:color w:val="auto"/>
          <w:sz w:val="24"/>
          <w:szCs w:val="24"/>
          <w:highlight w:val="none"/>
          <w:lang w:val="en-US" w:eastAsia="zh-CN"/>
        </w:rPr>
        <w:sectPr>
          <w:pgSz w:w="16838" w:h="11906" w:orient="landscape"/>
          <w:pgMar w:top="1083" w:right="1440" w:bottom="1083" w:left="1440" w:header="851" w:footer="992" w:gutter="0"/>
          <w:pgNumType w:fmt="numberInDash"/>
          <w:cols w:space="0" w:num="1"/>
          <w:rtlGutter w:val="0"/>
          <w:docGrid w:type="lines" w:linePitch="314" w:charSpace="0"/>
        </w:sectPr>
      </w:pPr>
    </w:p>
    <w:p>
      <w:pPr>
        <w:keepNext w:val="0"/>
        <w:keepLines w:val="0"/>
        <w:pageBreakBefore/>
        <w:widowControl w:val="0"/>
        <w:numPr>
          <w:ilvl w:val="0"/>
          <w:numId w:val="4"/>
        </w:numPr>
        <w:tabs>
          <w:tab w:val="left" w:pos="7665"/>
        </w:tabs>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合同协议书（主要内容）</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ascii="宋体" w:hAnsi="宋体" w:eastAsia="宋体" w:cs="宋体"/>
          <w:b/>
          <w:color w:val="auto"/>
          <w:szCs w:val="21"/>
          <w:u w:val="single"/>
        </w:rPr>
      </w:pPr>
      <w:r>
        <w:rPr>
          <w:rFonts w:hint="eastAsia" w:ascii="宋体" w:hAnsi="宋体" w:eastAsia="宋体" w:cs="宋体"/>
          <w:b/>
          <w:color w:val="auto"/>
          <w:szCs w:val="21"/>
          <w:lang w:val="en-US" w:eastAsia="zh-CN"/>
        </w:rPr>
        <w:t>采购</w:t>
      </w:r>
      <w:r>
        <w:rPr>
          <w:rFonts w:hint="eastAsia" w:ascii="宋体" w:hAnsi="宋体" w:eastAsia="宋体" w:cs="宋体"/>
          <w:b/>
          <w:color w:val="auto"/>
          <w:szCs w:val="21"/>
        </w:rPr>
        <w:t>人（全称）：</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供应商（全称）：</w:t>
      </w:r>
    </w:p>
    <w:p>
      <w:pPr>
        <w:keepLines w:val="0"/>
        <w:pageBreakBefore w:val="0"/>
        <w:widowControl w:val="0"/>
        <w:kinsoku/>
        <w:wordWrap/>
        <w:overflowPunct/>
        <w:topLinePunct w:val="0"/>
        <w:autoSpaceDE/>
        <w:autoSpaceDN/>
        <w:bidi w:val="0"/>
        <w:adjustRightInd/>
        <w:snapToGrid/>
        <w:spacing w:line="4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 </w:t>
      </w:r>
      <w:r>
        <w:rPr>
          <w:rFonts w:hint="eastAsia" w:ascii="宋体" w:hAnsi="宋体" w:eastAsia="宋体" w:cs="宋体"/>
          <w:color w:val="auto"/>
          <w:sz w:val="21"/>
          <w:szCs w:val="21"/>
          <w:u w:val="single"/>
        </w:rPr>
        <w:t xml:space="preserve">              项目</w:t>
      </w:r>
      <w:r>
        <w:rPr>
          <w:rFonts w:hint="eastAsia" w:ascii="宋体" w:hAnsi="宋体" w:eastAsia="宋体" w:cs="宋体"/>
          <w:color w:val="auto"/>
          <w:sz w:val="21"/>
          <w:szCs w:val="21"/>
        </w:rPr>
        <w:t>的采购结果，按照《中华人民共和国政府采购法》、</w:t>
      </w:r>
      <w:r>
        <w:rPr>
          <w:rFonts w:hint="eastAsia" w:asciiTheme="majorEastAsia" w:hAnsiTheme="majorEastAsia" w:eastAsiaTheme="majorEastAsia" w:cstheme="majorEastAsia"/>
          <w:color w:val="auto"/>
          <w:szCs w:val="21"/>
        </w:rPr>
        <w:t>《中华人民共和国民法典》</w:t>
      </w:r>
      <w:r>
        <w:rPr>
          <w:rFonts w:hint="eastAsia" w:ascii="宋体" w:hAnsi="宋体" w:eastAsia="宋体" w:cs="宋体"/>
          <w:color w:val="auto"/>
          <w:sz w:val="21"/>
          <w:szCs w:val="21"/>
        </w:rPr>
        <w:t>的规定，</w:t>
      </w:r>
      <w:r>
        <w:rPr>
          <w:rFonts w:hint="eastAsia" w:ascii="宋体" w:hAnsi="宋体" w:eastAsia="宋体" w:cs="宋体"/>
          <w:color w:val="auto"/>
          <w:kern w:val="28"/>
          <w:sz w:val="21"/>
          <w:szCs w:val="21"/>
        </w:rPr>
        <w:t>经双方协商，</w:t>
      </w:r>
      <w:r>
        <w:rPr>
          <w:rFonts w:hint="eastAsia" w:ascii="宋体" w:hAnsi="宋体" w:eastAsia="宋体" w:cs="宋体"/>
          <w:color w:val="auto"/>
          <w:sz w:val="21"/>
          <w:szCs w:val="21"/>
        </w:rPr>
        <w:t>本着平等互利和诚实信用的原则，</w:t>
      </w:r>
      <w:r>
        <w:rPr>
          <w:rFonts w:hint="eastAsia" w:ascii="宋体" w:hAnsi="宋体" w:eastAsia="宋体" w:cs="宋体"/>
          <w:color w:val="auto"/>
          <w:kern w:val="28"/>
          <w:sz w:val="21"/>
          <w:szCs w:val="21"/>
        </w:rPr>
        <w:t>一致同意签订本合同如下。</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服务内容</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合同金额</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合同金额为（大写）：_________________元（￥_______________元）人民币。</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服务要求及标准</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服务期限、服务地点</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服务期限：</w:t>
      </w:r>
      <w:r>
        <w:rPr>
          <w:rFonts w:hint="eastAsia" w:ascii="宋体" w:hAnsi="宋体" w:eastAsia="宋体" w:cs="宋体"/>
          <w:color w:val="auto"/>
          <w:szCs w:val="21"/>
          <w:u w:val="single"/>
        </w:rPr>
        <w:t xml:space="preserve">                                    </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服务地点：</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1476" w:leftChars="0" w:hanging="1476" w:hangingChars="7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rPr>
        <w:t>付款方式</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eastAsia="zh-CN"/>
        </w:rPr>
        <w:t>。</w:t>
      </w:r>
      <w:r>
        <w:rPr>
          <w:rFonts w:hint="eastAsia" w:ascii="宋体" w:hAnsi="宋体" w:eastAsia="宋体" w:cs="宋体"/>
          <w:color w:val="auto"/>
          <w:szCs w:val="21"/>
          <w:highlight w:val="none"/>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服务考核办法</w:t>
      </w:r>
      <w:r>
        <w:rPr>
          <w:rFonts w:hint="eastAsia" w:ascii="宋体" w:hAnsi="宋体" w:eastAsia="宋体" w:cs="宋体"/>
          <w:b/>
          <w:bCs/>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违约责任与赔偿损失</w:t>
      </w:r>
      <w:r>
        <w:rPr>
          <w:rFonts w:hint="eastAsia" w:ascii="宋体" w:hAnsi="宋体" w:eastAsia="宋体" w:cs="宋体"/>
          <w:b/>
          <w:color w:val="auto"/>
          <w:sz w:val="21"/>
          <w:szCs w:val="21"/>
          <w:lang w:eastAsia="zh-CN"/>
        </w:rPr>
        <w:t>：</w:t>
      </w:r>
      <w:r>
        <w:rPr>
          <w:rFonts w:hint="eastAsia" w:ascii="宋体" w:hAnsi="宋体" w:eastAsia="宋体" w:cs="宋体"/>
          <w:color w:val="auto"/>
          <w:szCs w:val="21"/>
          <w:u w:val="single"/>
        </w:rPr>
        <w:t xml:space="preserve">                    </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争议的解决</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合同执行过程中发生的任何争议，如双方不能通过友好协商解决，按相关法律法规处理(合同双方一致同意提请克拉玛依区仲裁委员会仲裁或向甲方所在地的人民法院提起诉讼)。</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不可抗力</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rPr>
        <w:t>税费</w:t>
      </w:r>
    </w:p>
    <w:p>
      <w:pPr>
        <w:keepLines w:val="0"/>
        <w:pageBreakBefore w:val="0"/>
        <w:widowControl w:val="0"/>
        <w:tabs>
          <w:tab w:val="left" w:pos="851"/>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在中国境内、外发生的与本合同执行有关的一切税费均由乙方负担。</w:t>
      </w:r>
    </w:p>
    <w:p>
      <w:pPr>
        <w:keepLines w:val="0"/>
        <w:pageBreakBefore w:val="0"/>
        <w:widowControl w:val="0"/>
        <w:numPr>
          <w:ilvl w:val="0"/>
          <w:numId w:val="0"/>
        </w:numPr>
        <w:tabs>
          <w:tab w:val="left" w:pos="851"/>
        </w:tabs>
        <w:kinsoku/>
        <w:wordWrap/>
        <w:overflowPunct/>
        <w:topLinePunct w:val="0"/>
        <w:autoSpaceDE/>
        <w:autoSpaceDN/>
        <w:bidi w:val="0"/>
        <w:adjustRightInd/>
        <w:snapToGrid/>
        <w:spacing w:line="460" w:lineRule="exact"/>
        <w:ind w:leftChars="-403" w:firstLine="843" w:firstLineChars="4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十一、</w:t>
      </w:r>
      <w:r>
        <w:rPr>
          <w:rFonts w:hint="eastAsia" w:ascii="宋体" w:hAnsi="宋体" w:eastAsia="宋体" w:cs="宋体"/>
          <w:b/>
          <w:color w:val="auto"/>
          <w:sz w:val="21"/>
          <w:szCs w:val="21"/>
        </w:rPr>
        <w:t>其它</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本合同所有附件、</w:t>
      </w:r>
      <w:r>
        <w:rPr>
          <w:rFonts w:hint="eastAsia" w:ascii="宋体" w:hAnsi="宋体" w:cs="宋体"/>
          <w:color w:val="auto"/>
          <w:sz w:val="21"/>
          <w:szCs w:val="21"/>
          <w:lang w:eastAsia="zh-CN"/>
        </w:rPr>
        <w:t>竞争性磋商文件</w:t>
      </w:r>
      <w:r>
        <w:rPr>
          <w:rFonts w:hint="eastAsia" w:ascii="宋体" w:hAnsi="宋体" w:eastAsia="宋体" w:cs="宋体"/>
          <w:color w:val="auto"/>
          <w:sz w:val="21"/>
          <w:szCs w:val="21"/>
        </w:rPr>
        <w:t>、</w:t>
      </w:r>
      <w:r>
        <w:rPr>
          <w:rFonts w:hint="eastAsia" w:ascii="宋体" w:hAnsi="宋体" w:cs="宋体"/>
          <w:color w:val="auto"/>
          <w:sz w:val="21"/>
          <w:szCs w:val="21"/>
          <w:lang w:eastAsia="zh-CN"/>
        </w:rPr>
        <w:t>响应文件</w:t>
      </w:r>
      <w:r>
        <w:rPr>
          <w:rFonts w:hint="eastAsia" w:ascii="宋体" w:hAnsi="宋体" w:eastAsia="宋体" w:cs="宋体"/>
          <w:color w:val="auto"/>
          <w:sz w:val="21"/>
          <w:szCs w:val="21"/>
        </w:rPr>
        <w:t>、</w:t>
      </w:r>
      <w:r>
        <w:rPr>
          <w:rFonts w:hint="eastAsia" w:ascii="宋体" w:hAnsi="宋体" w:cs="宋体"/>
          <w:color w:val="auto"/>
          <w:sz w:val="21"/>
          <w:szCs w:val="21"/>
          <w:lang w:eastAsia="zh-CN"/>
        </w:rPr>
        <w:t>成交</w:t>
      </w:r>
      <w:r>
        <w:rPr>
          <w:rFonts w:hint="eastAsia" w:ascii="宋体" w:hAnsi="宋体" w:eastAsia="宋体" w:cs="宋体"/>
          <w:color w:val="auto"/>
          <w:sz w:val="21"/>
          <w:szCs w:val="21"/>
        </w:rPr>
        <w:t>通知书均为合同的有效组成部分，与本合同具有同等法律效力。</w:t>
      </w:r>
    </w:p>
    <w:p>
      <w:pPr>
        <w:keepLines w:val="0"/>
        <w:pageBreakBefore w:val="0"/>
        <w:widowControl w:val="0"/>
        <w:tabs>
          <w:tab w:val="left" w:pos="851"/>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在执行本合同的过程中，所有经双方签署确认的文件（包括会议纪要、补充协议、往来信函）即成为本合同的有效组成部分。</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如一方地址、电话、传真号码有变更，应在变更当日内书面通知对方，否则，应承担相应责任。</w:t>
      </w:r>
    </w:p>
    <w:p>
      <w:pPr>
        <w:pStyle w:val="4"/>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197" w:name="_Toc351203489"/>
      <w:r>
        <w:rPr>
          <w:rFonts w:hint="eastAsia" w:ascii="宋体" w:hAnsi="宋体" w:cs="宋体"/>
          <w:b/>
          <w:color w:val="auto"/>
          <w:sz w:val="21"/>
          <w:szCs w:val="21"/>
          <w:lang w:val="en-US" w:eastAsia="zh-CN"/>
        </w:rPr>
        <w:t>十二</w:t>
      </w:r>
      <w:r>
        <w:rPr>
          <w:rFonts w:hint="eastAsia" w:ascii="宋体" w:hAnsi="宋体" w:cs="宋体"/>
          <w:b/>
          <w:color w:val="auto"/>
          <w:sz w:val="21"/>
          <w:szCs w:val="21"/>
        </w:rPr>
        <w:t>、签订时间</w:t>
      </w:r>
      <w:bookmarkEnd w:id="197"/>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本合同于年月日签订。</w:t>
      </w:r>
    </w:p>
    <w:p>
      <w:pPr>
        <w:pStyle w:val="4"/>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198" w:name="_Toc351203490"/>
      <w:r>
        <w:rPr>
          <w:rFonts w:hint="eastAsia" w:ascii="宋体" w:hAnsi="宋体" w:cs="宋体"/>
          <w:b/>
          <w:color w:val="auto"/>
          <w:sz w:val="21"/>
          <w:szCs w:val="21"/>
        </w:rPr>
        <w:t>十</w:t>
      </w:r>
      <w:r>
        <w:rPr>
          <w:rFonts w:hint="eastAsia" w:ascii="宋体" w:hAnsi="宋体" w:cs="宋体"/>
          <w:b/>
          <w:color w:val="auto"/>
          <w:sz w:val="21"/>
          <w:szCs w:val="21"/>
          <w:lang w:val="en-US" w:eastAsia="zh-CN"/>
        </w:rPr>
        <w:t>三</w:t>
      </w:r>
      <w:r>
        <w:rPr>
          <w:rFonts w:hint="eastAsia" w:ascii="宋体" w:hAnsi="宋体" w:cs="宋体"/>
          <w:b/>
          <w:color w:val="auto"/>
          <w:sz w:val="21"/>
          <w:szCs w:val="21"/>
        </w:rPr>
        <w:t>、签订地点</w:t>
      </w:r>
      <w:bookmarkEnd w:id="198"/>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本合同在签订。</w:t>
      </w:r>
    </w:p>
    <w:p>
      <w:pPr>
        <w:pStyle w:val="4"/>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199" w:name="_Toc351203491"/>
      <w:r>
        <w:rPr>
          <w:rFonts w:hint="eastAsia" w:ascii="宋体" w:hAnsi="宋体" w:cs="宋体"/>
          <w:b/>
          <w:color w:val="auto"/>
          <w:sz w:val="21"/>
          <w:szCs w:val="21"/>
        </w:rPr>
        <w:t>十</w:t>
      </w:r>
      <w:r>
        <w:rPr>
          <w:rFonts w:hint="eastAsia" w:ascii="宋体" w:hAnsi="宋体" w:cs="宋体"/>
          <w:b/>
          <w:color w:val="auto"/>
          <w:sz w:val="21"/>
          <w:szCs w:val="21"/>
          <w:lang w:val="en-US" w:eastAsia="zh-CN"/>
        </w:rPr>
        <w:t>四</w:t>
      </w:r>
      <w:r>
        <w:rPr>
          <w:rFonts w:hint="eastAsia" w:ascii="宋体" w:hAnsi="宋体" w:cs="宋体"/>
          <w:b/>
          <w:color w:val="auto"/>
          <w:sz w:val="21"/>
          <w:szCs w:val="21"/>
        </w:rPr>
        <w:t>、补充协议</w:t>
      </w:r>
      <w:bookmarkEnd w:id="199"/>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
          <w:bCs/>
          <w:color w:val="auto"/>
          <w:szCs w:val="21"/>
        </w:rPr>
      </w:pPr>
      <w:r>
        <w:rPr>
          <w:rFonts w:hint="eastAsia" w:ascii="宋体" w:hAnsi="宋体" w:eastAsia="宋体" w:cs="宋体"/>
          <w:bCs/>
          <w:color w:val="auto"/>
          <w:szCs w:val="21"/>
        </w:rPr>
        <w:t>合同未尽事宜，合同当事人另行签订补充协议，补充协议是合同的组成部分。</w:t>
      </w:r>
    </w:p>
    <w:p>
      <w:pPr>
        <w:pStyle w:val="4"/>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00" w:name="_Toc351203492"/>
      <w:r>
        <w:rPr>
          <w:rFonts w:hint="eastAsia" w:ascii="宋体" w:hAnsi="宋体" w:cs="宋体"/>
          <w:b/>
          <w:color w:val="auto"/>
          <w:sz w:val="21"/>
          <w:szCs w:val="21"/>
        </w:rPr>
        <w:t>十</w:t>
      </w:r>
      <w:r>
        <w:rPr>
          <w:rFonts w:hint="eastAsia" w:ascii="宋体" w:hAnsi="宋体" w:cs="宋体"/>
          <w:b/>
          <w:color w:val="auto"/>
          <w:sz w:val="21"/>
          <w:szCs w:val="21"/>
          <w:lang w:val="en-US" w:eastAsia="zh-CN"/>
        </w:rPr>
        <w:t>五</w:t>
      </w:r>
      <w:r>
        <w:rPr>
          <w:rFonts w:hint="eastAsia" w:ascii="宋体" w:hAnsi="宋体" w:cs="宋体"/>
          <w:b/>
          <w:color w:val="auto"/>
          <w:sz w:val="21"/>
          <w:szCs w:val="21"/>
        </w:rPr>
        <w:t>、合同生效</w:t>
      </w:r>
      <w:bookmarkEnd w:id="200"/>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本合同自生效。</w:t>
      </w:r>
    </w:p>
    <w:p>
      <w:pPr>
        <w:pStyle w:val="4"/>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bCs/>
          <w:color w:val="auto"/>
          <w:sz w:val="21"/>
          <w:szCs w:val="21"/>
        </w:rPr>
      </w:pPr>
      <w:bookmarkStart w:id="201" w:name="_Toc351203493"/>
      <w:r>
        <w:rPr>
          <w:rFonts w:hint="eastAsia" w:ascii="宋体" w:hAnsi="宋体" w:cs="宋体"/>
          <w:b/>
          <w:color w:val="auto"/>
          <w:sz w:val="21"/>
          <w:szCs w:val="21"/>
        </w:rPr>
        <w:t>十</w:t>
      </w:r>
      <w:r>
        <w:rPr>
          <w:rFonts w:hint="eastAsia" w:ascii="宋体" w:hAnsi="宋体" w:cs="宋体"/>
          <w:b/>
          <w:color w:val="auto"/>
          <w:sz w:val="21"/>
          <w:szCs w:val="21"/>
          <w:lang w:val="en-US" w:eastAsia="zh-CN"/>
        </w:rPr>
        <w:t>六</w:t>
      </w:r>
      <w:r>
        <w:rPr>
          <w:rFonts w:hint="eastAsia" w:ascii="宋体" w:hAnsi="宋体" w:cs="宋体"/>
          <w:b/>
          <w:color w:val="auto"/>
          <w:sz w:val="21"/>
          <w:szCs w:val="21"/>
        </w:rPr>
        <w:t>、合同份数</w:t>
      </w:r>
      <w:bookmarkEnd w:id="201"/>
    </w:p>
    <w:p>
      <w:pPr>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本合同一式</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份，均具有同等法律效力，发包人执</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份，承包人执</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份。</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bCs/>
          <w:color w:val="auto"/>
          <w:szCs w:val="21"/>
        </w:rPr>
      </w:pP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 xml:space="preserve">：  (公章)                       </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  (公章)</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u w:val="single"/>
        </w:rPr>
      </w:pP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法定代表人或其委托代理人：           法定代表人或其委托代理人：</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（签字）                            （签字）</w:t>
      </w:r>
    </w:p>
    <w:p>
      <w:pPr>
        <w:keepLines w:val="0"/>
        <w:pageBreakBefore w:val="0"/>
        <w:widowControl w:val="0"/>
        <w:tabs>
          <w:tab w:val="left" w:pos="4410"/>
        </w:tabs>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组织机构代码：</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组织机构代码：</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地  址：</w:t>
      </w:r>
      <w:r>
        <w:rPr>
          <w:rFonts w:hint="eastAsia" w:ascii="宋体" w:hAnsi="宋体" w:eastAsia="宋体" w:cs="宋体"/>
          <w:color w:val="auto"/>
          <w:szCs w:val="21"/>
          <w:u w:val="single"/>
        </w:rPr>
        <w:t xml:space="preserve"> 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          法定代表人：</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委托代理人：</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  话：</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传  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  真：</w:t>
      </w:r>
      <w:r>
        <w:rPr>
          <w:rFonts w:hint="eastAsia" w:ascii="宋体" w:hAnsi="宋体" w:eastAsia="宋体" w:cs="宋体"/>
          <w:color w:val="auto"/>
          <w:szCs w:val="21"/>
          <w:u w:val="single"/>
        </w:rPr>
        <w:t xml:space="preserve">     </w:t>
      </w:r>
    </w:p>
    <w:p>
      <w:pPr>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Cs w:val="21"/>
        </w:rPr>
      </w:pPr>
      <w:r>
        <w:rPr>
          <w:rFonts w:hint="eastAsia" w:ascii="宋体" w:hAnsi="宋体" w:eastAsia="宋体" w:cs="宋体"/>
          <w:color w:val="auto"/>
          <w:szCs w:val="21"/>
        </w:rPr>
        <w:t xml:space="preserve">电子信箱：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电子信箱：</w:t>
      </w:r>
      <w:r>
        <w:rPr>
          <w:rFonts w:hint="eastAsia" w:ascii="宋体" w:hAnsi="宋体" w:eastAsia="宋体" w:cs="宋体"/>
          <w:color w:val="auto"/>
          <w:szCs w:val="21"/>
          <w:u w:val="single"/>
        </w:rPr>
        <w:t xml:space="preserve">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开户银行：             开户银行：   </w:t>
      </w:r>
    </w:p>
    <w:p>
      <w:pPr>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账  号：                 账  号：</w:t>
      </w:r>
    </w:p>
    <w:p>
      <w:pPr>
        <w:pageBreakBefore/>
        <w:tabs>
          <w:tab w:val="left" w:pos="7665"/>
        </w:tabs>
        <w:spacing w:line="360" w:lineRule="auto"/>
        <w:ind w:firstLine="301" w:firstLineChars="100"/>
        <w:jc w:val="center"/>
        <w:rPr>
          <w:rFonts w:ascii="宋体" w:hAnsi="宋体" w:cs="宋体"/>
          <w:color w:val="auto"/>
          <w:sz w:val="24"/>
        </w:rPr>
      </w:pPr>
      <w:r>
        <w:rPr>
          <w:rFonts w:hint="eastAsia" w:ascii="宋体" w:hAnsi="宋体" w:cs="宋体"/>
          <w:b/>
          <w:bCs/>
          <w:color w:val="auto"/>
          <w:sz w:val="30"/>
          <w:szCs w:val="30"/>
        </w:rPr>
        <w:t>第五章、</w:t>
      </w:r>
      <w:bookmarkEnd w:id="196"/>
      <w:r>
        <w:rPr>
          <w:rFonts w:hint="eastAsia" w:ascii="宋体" w:hAnsi="宋体" w:cs="宋体"/>
          <w:b/>
          <w:bCs/>
          <w:color w:val="auto"/>
          <w:sz w:val="30"/>
          <w:szCs w:val="30"/>
          <w:lang w:eastAsia="zh-CN"/>
        </w:rPr>
        <w:t>响应文件</w:t>
      </w:r>
      <w:r>
        <w:rPr>
          <w:rFonts w:hint="eastAsia" w:ascii="宋体" w:hAnsi="宋体" w:cs="宋体"/>
          <w:b/>
          <w:bCs/>
          <w:color w:val="auto"/>
          <w:sz w:val="30"/>
          <w:szCs w:val="30"/>
        </w:rPr>
        <w:t>格式</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lang w:eastAsia="zh-CN"/>
        </w:rPr>
        <w:t>响应文件</w:t>
      </w:r>
      <w:r>
        <w:rPr>
          <w:rFonts w:hint="eastAsia" w:hAnsi="宋体" w:cs="宋体"/>
          <w:color w:val="auto"/>
          <w:sz w:val="24"/>
          <w:szCs w:val="24"/>
        </w:rPr>
        <w:t>封面</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附表1、</w:t>
      </w:r>
      <w:r>
        <w:rPr>
          <w:rFonts w:hint="eastAsia" w:hAnsi="宋体" w:cs="宋体"/>
          <w:color w:val="auto"/>
          <w:sz w:val="24"/>
          <w:szCs w:val="24"/>
          <w:highlight w:val="none"/>
        </w:rPr>
        <w:t>响应</w:t>
      </w:r>
      <w:r>
        <w:rPr>
          <w:rFonts w:hint="eastAsia" w:hAnsi="宋体" w:cs="宋体"/>
          <w:color w:val="auto"/>
          <w:sz w:val="24"/>
          <w:szCs w:val="24"/>
        </w:rPr>
        <w:t>函</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附表2、商务报价一览表</w:t>
      </w:r>
    </w:p>
    <w:p>
      <w:pPr>
        <w:pStyle w:val="9"/>
        <w:spacing w:line="360" w:lineRule="auto"/>
        <w:ind w:firstLine="480" w:firstLineChars="200"/>
        <w:rPr>
          <w:rFonts w:hint="eastAsia"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3</w:t>
      </w:r>
      <w:r>
        <w:rPr>
          <w:rFonts w:hint="eastAsia" w:hAnsi="宋体" w:cs="宋体"/>
          <w:color w:val="auto"/>
          <w:sz w:val="24"/>
          <w:szCs w:val="24"/>
        </w:rPr>
        <w:t>、商务条款</w:t>
      </w:r>
      <w:r>
        <w:rPr>
          <w:rFonts w:hint="eastAsia" w:hAnsi="宋体" w:cs="宋体"/>
          <w:color w:val="auto"/>
          <w:sz w:val="24"/>
          <w:szCs w:val="24"/>
          <w:lang w:val="en-US" w:eastAsia="zh-CN"/>
        </w:rPr>
        <w:t>响应</w:t>
      </w:r>
      <w:r>
        <w:rPr>
          <w:rFonts w:hint="eastAsia" w:hAnsi="宋体" w:cs="宋体"/>
          <w:color w:val="auto"/>
          <w:sz w:val="24"/>
          <w:szCs w:val="24"/>
        </w:rPr>
        <w:t>偏离表</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4</w:t>
      </w:r>
      <w:r>
        <w:rPr>
          <w:rFonts w:hint="eastAsia" w:hAnsi="宋体" w:cs="宋体"/>
          <w:color w:val="auto"/>
          <w:sz w:val="24"/>
          <w:szCs w:val="24"/>
        </w:rPr>
        <w:t>、法定代表人资格证明书</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5</w:t>
      </w:r>
      <w:r>
        <w:rPr>
          <w:rFonts w:hint="eastAsia" w:hAnsi="宋体" w:cs="宋体"/>
          <w:color w:val="auto"/>
          <w:sz w:val="24"/>
          <w:szCs w:val="24"/>
        </w:rPr>
        <w:t>、法定代表人授权书</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6</w:t>
      </w:r>
      <w:r>
        <w:rPr>
          <w:rFonts w:hint="eastAsia" w:hAnsi="宋体" w:cs="宋体"/>
          <w:color w:val="auto"/>
          <w:sz w:val="24"/>
          <w:szCs w:val="24"/>
        </w:rPr>
        <w:t>、</w:t>
      </w:r>
      <w:r>
        <w:rPr>
          <w:rFonts w:hint="eastAsia" w:hAnsi="宋体" w:cs="宋体"/>
          <w:color w:val="auto"/>
          <w:sz w:val="24"/>
          <w:szCs w:val="24"/>
          <w:lang w:eastAsia="zh-CN"/>
        </w:rPr>
        <w:t>供应商</w:t>
      </w:r>
      <w:r>
        <w:rPr>
          <w:rFonts w:hint="eastAsia" w:hAnsi="宋体" w:cs="宋体"/>
          <w:color w:val="auto"/>
          <w:sz w:val="24"/>
          <w:szCs w:val="24"/>
        </w:rPr>
        <w:t>资格声明</w:t>
      </w:r>
    </w:p>
    <w:p>
      <w:pPr>
        <w:pStyle w:val="9"/>
        <w:spacing w:line="360" w:lineRule="auto"/>
        <w:ind w:firstLine="480" w:firstLineChars="200"/>
        <w:rPr>
          <w:rFonts w:hAnsi="宋体" w:cs="宋体"/>
          <w:color w:val="auto"/>
          <w:sz w:val="24"/>
          <w:szCs w:val="24"/>
        </w:rPr>
      </w:pPr>
      <w:r>
        <w:rPr>
          <w:rFonts w:hint="eastAsia" w:hAnsi="宋体" w:cs="宋体"/>
          <w:color w:val="auto"/>
          <w:sz w:val="24"/>
          <w:szCs w:val="24"/>
        </w:rPr>
        <w:t>附表</w:t>
      </w:r>
      <w:r>
        <w:rPr>
          <w:rFonts w:hint="eastAsia" w:hAnsi="宋体" w:cs="宋体"/>
          <w:color w:val="auto"/>
          <w:sz w:val="24"/>
          <w:szCs w:val="24"/>
          <w:lang w:val="en-US" w:eastAsia="zh-CN"/>
        </w:rPr>
        <w:t>7</w:t>
      </w:r>
      <w:r>
        <w:rPr>
          <w:rFonts w:hint="eastAsia" w:hAnsi="宋体" w:cs="宋体"/>
          <w:color w:val="auto"/>
          <w:sz w:val="24"/>
          <w:szCs w:val="24"/>
        </w:rPr>
        <w:t>、中小企业声明函</w:t>
      </w:r>
    </w:p>
    <w:p>
      <w:pPr>
        <w:pStyle w:val="9"/>
        <w:spacing w:line="360" w:lineRule="auto"/>
        <w:ind w:firstLine="480" w:firstLineChars="200"/>
        <w:rPr>
          <w:rFonts w:hAnsi="宋体" w:cs="宋体"/>
          <w:color w:val="auto"/>
          <w:sz w:val="24"/>
        </w:rPr>
      </w:pPr>
      <w:r>
        <w:rPr>
          <w:rFonts w:hint="eastAsia" w:hAnsi="宋体" w:cs="宋体"/>
          <w:color w:val="auto"/>
          <w:sz w:val="24"/>
          <w:szCs w:val="24"/>
        </w:rPr>
        <w:t>附表</w:t>
      </w:r>
      <w:r>
        <w:rPr>
          <w:rFonts w:hint="eastAsia" w:hAnsi="宋体" w:cs="宋体"/>
          <w:color w:val="auto"/>
          <w:sz w:val="24"/>
          <w:szCs w:val="24"/>
          <w:lang w:val="en-US" w:eastAsia="zh-CN"/>
        </w:rPr>
        <w:t>8</w:t>
      </w:r>
      <w:r>
        <w:rPr>
          <w:rFonts w:hint="eastAsia" w:hAnsi="宋体" w:cs="宋体"/>
          <w:color w:val="auto"/>
          <w:sz w:val="24"/>
          <w:szCs w:val="24"/>
        </w:rPr>
        <w:t>、</w:t>
      </w:r>
      <w:r>
        <w:rPr>
          <w:rFonts w:hint="eastAsia" w:hAnsi="宋体" w:cs="宋体"/>
          <w:color w:val="auto"/>
          <w:sz w:val="24"/>
        </w:rPr>
        <w:t>项目负责人简历表</w:t>
      </w:r>
    </w:p>
    <w:p>
      <w:pPr>
        <w:pStyle w:val="9"/>
        <w:spacing w:line="360" w:lineRule="auto"/>
        <w:ind w:firstLine="480" w:firstLineChars="200"/>
        <w:rPr>
          <w:rFonts w:hint="eastAsia" w:hAnsi="宋体" w:cs="宋体"/>
          <w:color w:val="auto"/>
          <w:sz w:val="24"/>
        </w:rPr>
      </w:pPr>
      <w:r>
        <w:rPr>
          <w:rFonts w:hint="eastAsia" w:hAnsi="宋体" w:cs="宋体"/>
          <w:color w:val="auto"/>
          <w:sz w:val="24"/>
        </w:rPr>
        <w:t>附表</w:t>
      </w:r>
      <w:r>
        <w:rPr>
          <w:rFonts w:hint="eastAsia" w:hAnsi="宋体" w:cs="宋体"/>
          <w:color w:val="auto"/>
          <w:sz w:val="24"/>
          <w:lang w:val="en-US" w:eastAsia="zh-CN"/>
        </w:rPr>
        <w:t>9</w:t>
      </w:r>
      <w:r>
        <w:rPr>
          <w:rFonts w:hint="eastAsia" w:hAnsi="宋体" w:cs="宋体"/>
          <w:color w:val="auto"/>
          <w:sz w:val="24"/>
        </w:rPr>
        <w:t>、项目管理、服务及其它人员情况表</w:t>
      </w:r>
    </w:p>
    <w:p>
      <w:pPr>
        <w:pStyle w:val="9"/>
        <w:spacing w:line="360" w:lineRule="auto"/>
        <w:ind w:firstLine="480" w:firstLineChars="200"/>
        <w:rPr>
          <w:rFonts w:hAnsi="宋体" w:cs="宋体"/>
          <w:color w:val="auto"/>
          <w:sz w:val="24"/>
          <w:szCs w:val="24"/>
        </w:rPr>
      </w:pPr>
      <w:r>
        <w:rPr>
          <w:rFonts w:hint="eastAsia" w:hAnsi="宋体" w:cs="宋体"/>
          <w:color w:val="auto"/>
          <w:sz w:val="24"/>
        </w:rPr>
        <w:t>附表</w:t>
      </w:r>
      <w:r>
        <w:rPr>
          <w:rFonts w:hint="eastAsia" w:hAnsi="宋体" w:cs="宋体"/>
          <w:color w:val="auto"/>
          <w:sz w:val="24"/>
          <w:lang w:val="en-US" w:eastAsia="zh-CN"/>
        </w:rPr>
        <w:t>10</w:t>
      </w:r>
      <w:r>
        <w:rPr>
          <w:rFonts w:hint="eastAsia" w:hAnsi="宋体" w:cs="宋体"/>
          <w:color w:val="auto"/>
          <w:sz w:val="24"/>
        </w:rPr>
        <w:t>、</w:t>
      </w:r>
      <w:r>
        <w:rPr>
          <w:rFonts w:hint="eastAsia" w:hAnsi="宋体" w:cs="宋体"/>
          <w:color w:val="auto"/>
          <w:sz w:val="24"/>
          <w:szCs w:val="24"/>
        </w:rPr>
        <w:t>近三年（自201</w:t>
      </w:r>
      <w:r>
        <w:rPr>
          <w:rFonts w:hint="eastAsia" w:hAnsi="宋体" w:cs="宋体"/>
          <w:color w:val="auto"/>
          <w:sz w:val="24"/>
          <w:szCs w:val="24"/>
          <w:lang w:val="en-US" w:eastAsia="zh-CN"/>
        </w:rPr>
        <w:t>9</w:t>
      </w:r>
      <w:r>
        <w:rPr>
          <w:rFonts w:hint="eastAsia" w:hAnsi="宋体" w:cs="宋体"/>
          <w:color w:val="auto"/>
          <w:sz w:val="24"/>
          <w:szCs w:val="24"/>
        </w:rPr>
        <w:t>年</w:t>
      </w:r>
      <w:r>
        <w:rPr>
          <w:rFonts w:hint="eastAsia" w:hAnsi="宋体" w:cs="宋体"/>
          <w:color w:val="auto"/>
          <w:sz w:val="24"/>
          <w:szCs w:val="24"/>
          <w:lang w:val="en-US" w:eastAsia="zh-CN"/>
        </w:rPr>
        <w:t>1</w:t>
      </w:r>
      <w:r>
        <w:rPr>
          <w:rFonts w:hint="eastAsia" w:hAnsi="宋体" w:cs="宋体"/>
          <w:color w:val="auto"/>
          <w:sz w:val="24"/>
          <w:szCs w:val="24"/>
        </w:rPr>
        <w:t>月1日至今）同类项目业绩表</w:t>
      </w:r>
    </w:p>
    <w:p>
      <w:pPr>
        <w:pStyle w:val="9"/>
        <w:spacing w:line="360" w:lineRule="auto"/>
        <w:ind w:firstLine="480" w:firstLineChars="200"/>
        <w:rPr>
          <w:rFonts w:hAnsi="宋体" w:cs="宋体"/>
          <w:color w:val="auto"/>
          <w:sz w:val="24"/>
          <w:szCs w:val="24"/>
        </w:rPr>
      </w:pPr>
      <w:r>
        <w:rPr>
          <w:rFonts w:hint="eastAsia" w:hAnsi="宋体" w:cs="宋体"/>
          <w:color w:val="auto"/>
          <w:sz w:val="24"/>
        </w:rPr>
        <w:t>附表1</w:t>
      </w:r>
      <w:r>
        <w:rPr>
          <w:rFonts w:hint="eastAsia" w:hAnsi="宋体" w:cs="宋体"/>
          <w:color w:val="auto"/>
          <w:sz w:val="24"/>
          <w:lang w:val="en-US" w:eastAsia="zh-CN"/>
        </w:rPr>
        <w:t>1</w:t>
      </w:r>
      <w:r>
        <w:rPr>
          <w:rFonts w:hint="eastAsia" w:hAnsi="宋体" w:cs="宋体"/>
          <w:color w:val="auto"/>
          <w:sz w:val="24"/>
          <w:szCs w:val="24"/>
        </w:rPr>
        <w:t>、资格性/符合性自查表</w:t>
      </w:r>
    </w:p>
    <w:p>
      <w:pPr>
        <w:pStyle w:val="17"/>
        <w:spacing w:line="312" w:lineRule="auto"/>
        <w:ind w:left="-85" w:firstLine="482" w:firstLineChars="200"/>
        <w:jc w:val="center"/>
        <w:rPr>
          <w:rFonts w:ascii="宋体" w:hAnsi="宋体" w:cs="宋体"/>
          <w:b/>
          <w:bCs/>
          <w:color w:val="auto"/>
          <w:sz w:val="24"/>
          <w:szCs w:val="24"/>
        </w:rPr>
      </w:pPr>
    </w:p>
    <w:p>
      <w:pPr>
        <w:pStyle w:val="17"/>
        <w:spacing w:line="312" w:lineRule="auto"/>
        <w:ind w:left="-85" w:firstLine="562" w:firstLineChars="200"/>
        <w:jc w:val="center"/>
        <w:rPr>
          <w:rFonts w:ascii="宋体" w:hAnsi="宋体" w:cs="宋体"/>
          <w:b/>
          <w:bCs/>
          <w:color w:val="auto"/>
          <w:sz w:val="28"/>
          <w:szCs w:val="28"/>
        </w:rPr>
      </w:pPr>
    </w:p>
    <w:p>
      <w:pPr>
        <w:pStyle w:val="17"/>
        <w:spacing w:line="312" w:lineRule="auto"/>
        <w:ind w:left="-85" w:firstLine="562" w:firstLineChars="200"/>
        <w:jc w:val="center"/>
        <w:rPr>
          <w:rFonts w:ascii="宋体" w:hAnsi="宋体" w:cs="宋体"/>
          <w:b/>
          <w:bCs/>
          <w:color w:val="auto"/>
          <w:sz w:val="28"/>
          <w:szCs w:val="28"/>
        </w:rPr>
      </w:pPr>
    </w:p>
    <w:p>
      <w:pPr>
        <w:pStyle w:val="17"/>
        <w:spacing w:line="312" w:lineRule="auto"/>
        <w:ind w:left="-85" w:firstLine="562" w:firstLineChars="200"/>
        <w:jc w:val="center"/>
        <w:rPr>
          <w:rFonts w:ascii="宋体" w:hAnsi="宋体" w:cs="宋体"/>
          <w:b/>
          <w:bCs/>
          <w:color w:val="auto"/>
          <w:sz w:val="28"/>
          <w:szCs w:val="28"/>
        </w:rPr>
      </w:pPr>
    </w:p>
    <w:p>
      <w:pPr>
        <w:spacing w:line="1000" w:lineRule="exact"/>
        <w:jc w:val="center"/>
        <w:rPr>
          <w:rFonts w:ascii="宋体" w:hAnsi="宋体" w:cs="宋体"/>
          <w:b/>
          <w:color w:val="auto"/>
          <w:sz w:val="28"/>
          <w:szCs w:val="28"/>
        </w:rPr>
      </w:pPr>
      <w:r>
        <w:rPr>
          <w:rFonts w:hint="eastAsia" w:ascii="宋体" w:hAnsi="宋体" w:cs="宋体"/>
          <w:b/>
          <w:color w:val="auto"/>
          <w:sz w:val="28"/>
          <w:szCs w:val="28"/>
        </w:rPr>
        <w:br w:type="page"/>
      </w:r>
    </w:p>
    <w:p>
      <w:pPr>
        <w:spacing w:line="1000" w:lineRule="exact"/>
        <w:jc w:val="center"/>
        <w:rPr>
          <w:rFonts w:ascii="宋体" w:hAnsi="宋体" w:cs="宋体"/>
          <w:b/>
          <w:bCs/>
          <w:color w:val="auto"/>
          <w:sz w:val="44"/>
          <w:szCs w:val="44"/>
        </w:rPr>
      </w:pPr>
    </w:p>
    <w:p>
      <w:pPr>
        <w:spacing w:line="1000" w:lineRule="exact"/>
        <w:ind w:right="-319" w:rightChars="-152"/>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克拉玛依市克拉玛依区市场监督管理局</w:t>
      </w:r>
    </w:p>
    <w:p>
      <w:pPr>
        <w:spacing w:line="1000" w:lineRule="exact"/>
        <w:ind w:right="-319" w:rightChars="-152"/>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2022年食品安全监督抽检检验项目</w:t>
      </w:r>
    </w:p>
    <w:p>
      <w:pPr>
        <w:spacing w:line="1000" w:lineRule="exact"/>
        <w:ind w:right="-319" w:rightChars="-152"/>
        <w:jc w:val="center"/>
        <w:rPr>
          <w:rFonts w:hint="eastAsia" w:ascii="宋体" w:hAnsi="宋体" w:cs="宋体"/>
          <w:b/>
          <w:bCs/>
          <w:color w:val="auto"/>
          <w:sz w:val="44"/>
          <w:szCs w:val="44"/>
          <w:lang w:eastAsia="zh-CN"/>
        </w:rPr>
      </w:pPr>
    </w:p>
    <w:p>
      <w:pPr>
        <w:spacing w:line="1000" w:lineRule="exact"/>
        <w:ind w:right="-319" w:rightChars="-152"/>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响应文件</w:t>
      </w:r>
    </w:p>
    <w:p>
      <w:pPr>
        <w:pStyle w:val="7"/>
        <w:jc w:val="center"/>
        <w:rPr>
          <w:rFonts w:ascii="宋体" w:hAnsi="宋体" w:cs="宋体"/>
          <w:b/>
          <w:bCs/>
          <w:color w:val="auto"/>
          <w:sz w:val="36"/>
          <w:szCs w:val="36"/>
        </w:rPr>
      </w:pPr>
    </w:p>
    <w:p>
      <w:pPr>
        <w:snapToGrid w:val="0"/>
        <w:spacing w:line="480" w:lineRule="auto"/>
        <w:jc w:val="center"/>
        <w:rPr>
          <w:rFonts w:ascii="宋体" w:hAnsi="宋体" w:cs="宋体"/>
          <w:b/>
          <w:bCs/>
          <w:color w:val="auto"/>
          <w:sz w:val="32"/>
          <w:szCs w:val="32"/>
        </w:rPr>
      </w:pPr>
      <w:r>
        <w:rPr>
          <w:rFonts w:hint="eastAsia" w:ascii="宋体" w:hAnsi="宋体" w:cs="宋体"/>
          <w:b/>
          <w:color w:val="auto"/>
          <w:sz w:val="30"/>
          <w:szCs w:val="30"/>
        </w:rPr>
        <w:t>（</w:t>
      </w:r>
      <w:r>
        <w:rPr>
          <w:rFonts w:hint="eastAsia" w:ascii="宋体" w:hAnsi="宋体" w:cs="宋体"/>
          <w:b/>
          <w:color w:val="auto"/>
          <w:sz w:val="30"/>
          <w:szCs w:val="30"/>
          <w:lang w:eastAsia="zh-CN"/>
        </w:rPr>
        <w:t>竞争性磋商文件</w:t>
      </w:r>
      <w:r>
        <w:rPr>
          <w:rFonts w:hint="eastAsia" w:ascii="宋体" w:hAnsi="宋体" w:cs="宋体"/>
          <w:b/>
          <w:color w:val="auto"/>
          <w:sz w:val="30"/>
          <w:szCs w:val="30"/>
        </w:rPr>
        <w:t>编号：</w:t>
      </w:r>
      <w:r>
        <w:rPr>
          <w:rFonts w:hint="eastAsia" w:ascii="宋体" w:hAnsi="宋体" w:cs="宋体"/>
          <w:b/>
          <w:color w:val="auto"/>
          <w:sz w:val="30"/>
          <w:szCs w:val="30"/>
          <w:lang w:eastAsia="zh-CN"/>
        </w:rPr>
        <w:t>YXZB[ZC]2022-05</w:t>
      </w:r>
      <w:r>
        <w:rPr>
          <w:rFonts w:hint="eastAsia" w:ascii="宋体" w:hAnsi="宋体" w:cs="宋体"/>
          <w:b/>
          <w:color w:val="auto"/>
          <w:sz w:val="30"/>
          <w:szCs w:val="30"/>
        </w:rPr>
        <w:t>）</w:t>
      </w:r>
    </w:p>
    <w:p>
      <w:pPr>
        <w:snapToGrid w:val="0"/>
        <w:spacing w:line="374" w:lineRule="atLeast"/>
        <w:jc w:val="center"/>
        <w:rPr>
          <w:rFonts w:ascii="宋体" w:hAnsi="宋体" w:cs="宋体"/>
          <w:b/>
          <w:color w:val="auto"/>
          <w:sz w:val="30"/>
        </w:rPr>
      </w:pP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lang w:eastAsia="zh-CN"/>
        </w:rPr>
        <w:t>供应商</w:t>
      </w:r>
      <w:r>
        <w:rPr>
          <w:rFonts w:hint="eastAsia" w:ascii="宋体" w:hAnsi="宋体" w:cs="宋体"/>
          <w:b/>
          <w:color w:val="auto"/>
          <w:sz w:val="30"/>
          <w:szCs w:val="30"/>
        </w:rPr>
        <w:t>： （单位名称）盖章</w:t>
      </w:r>
    </w:p>
    <w:p>
      <w:pPr>
        <w:spacing w:line="360" w:lineRule="auto"/>
        <w:rPr>
          <w:rFonts w:ascii="宋体" w:hAnsi="宋体" w:cs="宋体"/>
          <w:b/>
          <w:color w:val="auto"/>
          <w:sz w:val="30"/>
          <w:szCs w:val="30"/>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单位地址：</w:t>
      </w:r>
    </w:p>
    <w:p>
      <w:pPr>
        <w:spacing w:line="360" w:lineRule="auto"/>
        <w:ind w:firstLine="602"/>
        <w:rPr>
          <w:rFonts w:ascii="宋体" w:hAnsi="宋体" w:cs="宋体"/>
          <w:b/>
          <w:color w:val="auto"/>
          <w:sz w:val="30"/>
          <w:szCs w:val="30"/>
        </w:rPr>
      </w:pPr>
    </w:p>
    <w:p>
      <w:pPr>
        <w:pStyle w:val="9"/>
        <w:ind w:firstLine="596" w:firstLineChars="198"/>
        <w:outlineLvl w:val="0"/>
        <w:rPr>
          <w:rFonts w:hAnsi="宋体" w:cs="宋体"/>
          <w:color w:val="auto"/>
          <w:sz w:val="24"/>
        </w:rPr>
      </w:pPr>
      <w:r>
        <w:rPr>
          <w:rFonts w:hint="eastAsia" w:hAnsi="宋体" w:cs="宋体"/>
          <w:b/>
          <w:color w:val="auto"/>
          <w:sz w:val="30"/>
          <w:szCs w:val="30"/>
        </w:rPr>
        <w:t>联系人：                   联系电话：</w:t>
      </w:r>
    </w:p>
    <w:p>
      <w:pPr>
        <w:spacing w:line="360" w:lineRule="auto"/>
        <w:rPr>
          <w:rFonts w:ascii="宋体" w:hAnsi="宋体" w:cs="宋体"/>
          <w:b/>
          <w:color w:val="auto"/>
          <w:sz w:val="28"/>
          <w:szCs w:val="28"/>
        </w:rPr>
      </w:pPr>
    </w:p>
    <w:p>
      <w:pPr>
        <w:pStyle w:val="7"/>
        <w:rPr>
          <w:rFonts w:ascii="宋体" w:hAnsi="宋体" w:cs="宋体"/>
          <w:color w:val="auto"/>
        </w:rPr>
      </w:pPr>
    </w:p>
    <w:p>
      <w:pPr>
        <w:spacing w:line="360" w:lineRule="auto"/>
        <w:jc w:val="center"/>
        <w:rPr>
          <w:rFonts w:ascii="宋体" w:hAnsi="宋体" w:cs="宋体"/>
          <w:bCs/>
          <w:color w:val="auto"/>
          <w:sz w:val="24"/>
        </w:rPr>
      </w:pPr>
      <w:r>
        <w:rPr>
          <w:rFonts w:hint="eastAsia" w:ascii="宋体" w:hAnsi="宋体" w:cs="宋体"/>
          <w:b/>
          <w:color w:val="auto"/>
          <w:sz w:val="28"/>
          <w:szCs w:val="28"/>
        </w:rPr>
        <w:t xml:space="preserve">1、 </w:t>
      </w:r>
      <w:r>
        <w:rPr>
          <w:rFonts w:hint="eastAsia" w:ascii="宋体" w:hAnsi="宋体" w:cs="宋体"/>
          <w:b/>
          <w:bCs/>
          <w:color w:val="auto"/>
          <w:sz w:val="28"/>
          <w:szCs w:val="28"/>
          <w:lang w:val="en-US" w:eastAsia="zh-CN"/>
        </w:rPr>
        <w:t>响应</w:t>
      </w:r>
      <w:r>
        <w:rPr>
          <w:rFonts w:hint="eastAsia" w:ascii="宋体" w:hAnsi="宋体" w:cs="宋体"/>
          <w:b/>
          <w:bCs/>
          <w:color w:val="auto"/>
          <w:sz w:val="28"/>
          <w:szCs w:val="28"/>
        </w:rPr>
        <w:t>函</w:t>
      </w:r>
    </w:p>
    <w:p>
      <w:pPr>
        <w:pStyle w:val="11"/>
        <w:ind w:left="0" w:firstLine="480" w:firstLineChars="200"/>
        <w:rPr>
          <w:rFonts w:ascii="宋体" w:hAnsi="宋体" w:cs="宋体"/>
          <w:b w:val="0"/>
          <w:bCs/>
          <w:color w:val="auto"/>
        </w:rPr>
      </w:pPr>
      <w:r>
        <w:rPr>
          <w:rFonts w:hint="eastAsia" w:ascii="宋体" w:hAnsi="宋体" w:cs="宋体"/>
          <w:b w:val="0"/>
          <w:bCs/>
          <w:color w:val="auto"/>
        </w:rPr>
        <w:t>我方全面研究了 “</w:t>
      </w:r>
      <w:r>
        <w:rPr>
          <w:rFonts w:hint="eastAsia" w:ascii="宋体" w:hAnsi="宋体" w:cs="宋体"/>
          <w:b w:val="0"/>
          <w:bCs/>
          <w:color w:val="auto"/>
          <w:u w:val="single"/>
          <w:lang w:val="en-US" w:eastAsia="zh-CN"/>
        </w:rPr>
        <w:t xml:space="preserve">    </w:t>
      </w:r>
      <w:r>
        <w:rPr>
          <w:rFonts w:hint="eastAsia" w:ascii="宋体" w:hAnsi="宋体" w:cs="宋体"/>
          <w:b w:val="0"/>
          <w:bCs/>
          <w:color w:val="auto"/>
        </w:rPr>
        <w:t>”项目</w:t>
      </w:r>
      <w:r>
        <w:rPr>
          <w:rFonts w:hint="eastAsia" w:ascii="宋体" w:hAnsi="宋体" w:cs="宋体"/>
          <w:b w:val="0"/>
          <w:bCs/>
          <w:color w:val="auto"/>
          <w:lang w:eastAsia="zh-CN"/>
        </w:rPr>
        <w:t>竞争性磋商文件</w:t>
      </w:r>
      <w:r>
        <w:rPr>
          <w:rFonts w:hint="eastAsia" w:ascii="宋体" w:hAnsi="宋体" w:cs="宋体"/>
          <w:b w:val="0"/>
          <w:bCs/>
          <w:color w:val="auto"/>
        </w:rPr>
        <w:t>（文件编号：</w:t>
      </w:r>
      <w:r>
        <w:rPr>
          <w:rFonts w:hint="eastAsia" w:ascii="宋体" w:hAnsi="宋体" w:cs="宋体"/>
          <w:b w:val="0"/>
          <w:bCs/>
          <w:color w:val="auto"/>
          <w:u w:val="single"/>
          <w:lang w:val="en-US" w:eastAsia="zh-CN"/>
        </w:rPr>
        <w:t xml:space="preserve">   </w:t>
      </w:r>
      <w:r>
        <w:rPr>
          <w:rFonts w:hint="eastAsia" w:ascii="宋体" w:hAnsi="宋体" w:cs="宋体"/>
          <w:b w:val="0"/>
          <w:bCs/>
          <w:color w:val="auto"/>
        </w:rPr>
        <w:t>），决定参加本项目</w:t>
      </w:r>
      <w:r>
        <w:rPr>
          <w:rFonts w:hint="eastAsia" w:ascii="宋体" w:hAnsi="宋体" w:cs="宋体"/>
          <w:b w:val="0"/>
          <w:bCs/>
          <w:color w:val="auto"/>
          <w:lang w:eastAsia="zh-CN"/>
        </w:rPr>
        <w:t>投标</w:t>
      </w:r>
      <w:r>
        <w:rPr>
          <w:rFonts w:hint="eastAsia" w:ascii="宋体" w:hAnsi="宋体" w:cs="宋体"/>
          <w:b w:val="0"/>
          <w:bCs/>
          <w:color w:val="auto"/>
        </w:rPr>
        <w:t>。我方授权（姓名、职务）代表我方（</w:t>
      </w:r>
      <w:r>
        <w:rPr>
          <w:rFonts w:hint="eastAsia" w:ascii="宋体" w:hAnsi="宋体" w:cs="宋体"/>
          <w:b w:val="0"/>
          <w:bCs/>
          <w:color w:val="auto"/>
          <w:lang w:eastAsia="zh-CN"/>
        </w:rPr>
        <w:t>供应商</w:t>
      </w:r>
      <w:r>
        <w:rPr>
          <w:rFonts w:hint="eastAsia" w:ascii="宋体" w:hAnsi="宋体" w:cs="宋体"/>
          <w:b w:val="0"/>
          <w:bCs/>
          <w:color w:val="auto"/>
        </w:rPr>
        <w:t>的名称）全权处理本项目</w:t>
      </w:r>
      <w:r>
        <w:rPr>
          <w:rFonts w:hint="eastAsia" w:ascii="宋体" w:hAnsi="宋体" w:cs="宋体"/>
          <w:b w:val="0"/>
          <w:bCs/>
          <w:color w:val="auto"/>
          <w:lang w:eastAsia="zh-CN"/>
        </w:rPr>
        <w:t>投标</w:t>
      </w:r>
      <w:r>
        <w:rPr>
          <w:rFonts w:hint="eastAsia" w:ascii="宋体" w:hAnsi="宋体" w:cs="宋体"/>
          <w:b w:val="0"/>
          <w:bCs/>
          <w:color w:val="auto"/>
        </w:rPr>
        <w:t>的有关事宜。</w:t>
      </w:r>
    </w:p>
    <w:p>
      <w:pPr>
        <w:pStyle w:val="11"/>
        <w:ind w:left="0" w:firstLine="480" w:firstLineChars="200"/>
        <w:rPr>
          <w:rFonts w:ascii="宋体" w:hAnsi="宋体" w:cs="宋体"/>
          <w:b w:val="0"/>
          <w:bCs/>
          <w:color w:val="auto"/>
        </w:rPr>
      </w:pPr>
      <w:r>
        <w:rPr>
          <w:rFonts w:hint="eastAsia" w:ascii="宋体" w:hAnsi="宋体" w:cs="宋体"/>
          <w:b w:val="0"/>
          <w:bCs/>
          <w:color w:val="auto"/>
        </w:rPr>
        <w:t>1、我方自愿按照</w:t>
      </w:r>
      <w:r>
        <w:rPr>
          <w:rFonts w:hint="eastAsia" w:ascii="宋体" w:hAnsi="宋体" w:cs="宋体"/>
          <w:b w:val="0"/>
          <w:bCs/>
          <w:color w:val="auto"/>
          <w:lang w:eastAsia="zh-CN"/>
        </w:rPr>
        <w:t>竞争性磋商文件</w:t>
      </w:r>
      <w:r>
        <w:rPr>
          <w:rFonts w:hint="eastAsia" w:ascii="宋体" w:hAnsi="宋体" w:cs="宋体"/>
          <w:b w:val="0"/>
          <w:bCs/>
          <w:color w:val="auto"/>
        </w:rPr>
        <w:t>规定的各项要求向采购人提供所需服务，商务报价为</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b w:val="0"/>
          <w:bCs/>
          <w:color w:val="auto"/>
          <w:u w:val="single"/>
        </w:rPr>
        <w:t>万元</w:t>
      </w:r>
      <w:r>
        <w:rPr>
          <w:rFonts w:hint="eastAsia" w:ascii="宋体" w:hAnsi="宋体" w:cs="宋体"/>
          <w:b w:val="0"/>
          <w:bCs/>
          <w:color w:val="auto"/>
        </w:rPr>
        <w:t>（大写：</w:t>
      </w:r>
      <w:r>
        <w:rPr>
          <w:rFonts w:hint="eastAsia" w:ascii="宋体" w:hAnsi="宋体" w:cs="宋体"/>
          <w:b w:val="0"/>
          <w:bCs/>
          <w:color w:val="auto"/>
          <w:u w:val="single"/>
        </w:rPr>
        <w:t>人民币</w:t>
      </w:r>
      <w:r>
        <w:rPr>
          <w:rFonts w:hint="eastAsia" w:ascii="宋体" w:hAnsi="宋体" w:cs="宋体"/>
          <w:b w:val="0"/>
          <w:bCs/>
          <w:color w:val="auto"/>
          <w:u w:val="single"/>
          <w:lang w:val="en-US" w:eastAsia="zh-CN"/>
        </w:rPr>
        <w:t xml:space="preserve">         </w:t>
      </w:r>
      <w:r>
        <w:rPr>
          <w:rFonts w:hint="eastAsia" w:ascii="宋体" w:hAnsi="宋体" w:cs="宋体"/>
          <w:b w:val="0"/>
          <w:bCs/>
          <w:color w:val="auto"/>
        </w:rPr>
        <w:t>）。</w:t>
      </w:r>
    </w:p>
    <w:p>
      <w:pPr>
        <w:pStyle w:val="11"/>
        <w:ind w:left="0" w:firstLine="480" w:firstLineChars="200"/>
        <w:rPr>
          <w:rFonts w:ascii="宋体" w:hAnsi="宋体" w:cs="宋体"/>
          <w:b w:val="0"/>
          <w:bCs/>
          <w:color w:val="auto"/>
        </w:rPr>
      </w:pPr>
      <w:r>
        <w:rPr>
          <w:rFonts w:hint="eastAsia" w:ascii="宋体" w:hAnsi="宋体" w:cs="宋体"/>
          <w:b w:val="0"/>
          <w:bCs/>
          <w:color w:val="auto"/>
        </w:rPr>
        <w:t>2、若我方</w:t>
      </w:r>
      <w:r>
        <w:rPr>
          <w:rFonts w:hint="eastAsia" w:ascii="宋体" w:hAnsi="宋体" w:cs="宋体"/>
          <w:b w:val="0"/>
          <w:bCs/>
          <w:color w:val="auto"/>
          <w:lang w:eastAsia="zh-CN"/>
        </w:rPr>
        <w:t>成交</w:t>
      </w:r>
      <w:r>
        <w:rPr>
          <w:rFonts w:hint="eastAsia" w:ascii="宋体" w:hAnsi="宋体" w:cs="宋体"/>
          <w:b w:val="0"/>
          <w:bCs/>
          <w:color w:val="auto"/>
        </w:rPr>
        <w:t>，我方将严格履行合同规定的责任和义务，保证按采购人要求及我方承诺完成应尽义务，并交采购人验收，使用。</w:t>
      </w:r>
    </w:p>
    <w:p>
      <w:pPr>
        <w:pStyle w:val="11"/>
        <w:ind w:left="0" w:firstLine="480" w:firstLineChars="200"/>
        <w:rPr>
          <w:rFonts w:ascii="宋体" w:hAnsi="宋体" w:cs="宋体"/>
          <w:b w:val="0"/>
          <w:bCs/>
          <w:color w:val="auto"/>
        </w:rPr>
      </w:pPr>
      <w:r>
        <w:rPr>
          <w:rFonts w:hint="eastAsia" w:ascii="宋体" w:hAnsi="宋体" w:cs="宋体"/>
          <w:b w:val="0"/>
          <w:bCs/>
          <w:color w:val="auto"/>
        </w:rPr>
        <w:t>3、我方</w:t>
      </w:r>
      <w:r>
        <w:rPr>
          <w:rFonts w:hint="eastAsia" w:ascii="宋体" w:hAnsi="宋体" w:cs="宋体"/>
          <w:b w:val="0"/>
          <w:bCs/>
          <w:color w:val="auto"/>
          <w:lang w:eastAsia="zh-CN"/>
        </w:rPr>
        <w:t>承诺按照</w:t>
      </w:r>
      <w:r>
        <w:rPr>
          <w:rFonts w:hint="eastAsia" w:ascii="宋体" w:hAnsi="宋体" w:cs="宋体"/>
          <w:b w:val="0"/>
          <w:bCs/>
          <w:color w:val="auto"/>
          <w:lang w:val="en-US" w:eastAsia="zh-CN"/>
        </w:rPr>
        <w:t>采购</w:t>
      </w:r>
      <w:r>
        <w:rPr>
          <w:rFonts w:hint="eastAsia" w:ascii="宋体" w:hAnsi="宋体" w:cs="宋体"/>
          <w:b w:val="0"/>
          <w:bCs/>
          <w:color w:val="auto"/>
          <w:lang w:eastAsia="zh-CN"/>
        </w:rPr>
        <w:t>文件要求提供</w:t>
      </w:r>
      <w:r>
        <w:rPr>
          <w:rFonts w:hint="eastAsia" w:ascii="宋体" w:hAnsi="宋体" w:cs="宋体"/>
          <w:b w:val="0"/>
          <w:bCs/>
          <w:color w:val="auto"/>
          <w:lang w:val="en-US" w:eastAsia="zh-CN"/>
        </w:rPr>
        <w:t>响应</w:t>
      </w:r>
      <w:r>
        <w:rPr>
          <w:rFonts w:hint="eastAsia" w:ascii="宋体" w:hAnsi="宋体" w:cs="宋体"/>
          <w:b w:val="0"/>
          <w:bCs/>
          <w:color w:val="auto"/>
          <w:lang w:eastAsia="zh-CN"/>
        </w:rPr>
        <w:t>文件（纸质版和电子版）</w:t>
      </w:r>
      <w:r>
        <w:rPr>
          <w:rFonts w:hint="eastAsia" w:ascii="宋体" w:hAnsi="宋体" w:cs="宋体"/>
          <w:b w:val="0"/>
          <w:bCs/>
          <w:color w:val="auto"/>
          <w:highlight w:val="none"/>
        </w:rPr>
        <w:t>。</w:t>
      </w:r>
    </w:p>
    <w:p>
      <w:pPr>
        <w:pStyle w:val="11"/>
        <w:ind w:left="0" w:firstLine="480" w:firstLineChars="200"/>
        <w:rPr>
          <w:rFonts w:ascii="宋体" w:hAnsi="宋体" w:cs="宋体"/>
          <w:b w:val="0"/>
          <w:bCs/>
          <w:color w:val="auto"/>
        </w:rPr>
      </w:pPr>
      <w:r>
        <w:rPr>
          <w:rFonts w:hint="eastAsia" w:ascii="宋体" w:hAnsi="宋体" w:cs="宋体"/>
          <w:b w:val="0"/>
          <w:bCs/>
          <w:color w:val="auto"/>
        </w:rPr>
        <w:t>4、我方愿意提供采购人可能另外要求的，与</w:t>
      </w:r>
      <w:r>
        <w:rPr>
          <w:rFonts w:hint="eastAsia" w:ascii="宋体" w:hAnsi="宋体" w:cs="宋体"/>
          <w:b w:val="0"/>
          <w:bCs/>
          <w:color w:val="auto"/>
          <w:lang w:eastAsia="zh-CN"/>
        </w:rPr>
        <w:t>投标</w:t>
      </w:r>
      <w:r>
        <w:rPr>
          <w:rFonts w:hint="eastAsia" w:ascii="宋体" w:hAnsi="宋体" w:cs="宋体"/>
          <w:b w:val="0"/>
          <w:bCs/>
          <w:color w:val="auto"/>
        </w:rPr>
        <w:t>有关的文件资料，并保证我方已提供和将要提供的文件资料是真实、准确的。</w:t>
      </w:r>
    </w:p>
    <w:p>
      <w:pPr>
        <w:pStyle w:val="11"/>
        <w:ind w:left="852" w:firstLine="480" w:firstLineChars="200"/>
        <w:jc w:val="left"/>
        <w:rPr>
          <w:rFonts w:ascii="宋体" w:hAnsi="宋体" w:cs="宋体"/>
          <w:b w:val="0"/>
          <w:bCs/>
          <w:color w:val="auto"/>
        </w:rPr>
      </w:pPr>
    </w:p>
    <w:p>
      <w:pPr>
        <w:pStyle w:val="11"/>
        <w:ind w:left="852" w:firstLine="480" w:firstLineChars="200"/>
        <w:jc w:val="left"/>
        <w:rPr>
          <w:rFonts w:ascii="宋体" w:hAnsi="宋体" w:cs="宋体"/>
          <w:b w:val="0"/>
          <w:bCs/>
          <w:color w:val="auto"/>
        </w:rPr>
      </w:pPr>
    </w:p>
    <w:p>
      <w:pPr>
        <w:pStyle w:val="11"/>
        <w:ind w:left="852" w:firstLine="480" w:firstLineChars="200"/>
        <w:jc w:val="left"/>
        <w:rPr>
          <w:rFonts w:ascii="宋体" w:hAnsi="宋体" w:cs="宋体"/>
          <w:b w:val="0"/>
          <w:bCs/>
          <w:color w:val="auto"/>
        </w:rPr>
      </w:pPr>
    </w:p>
    <w:p>
      <w:pPr>
        <w:pStyle w:val="11"/>
        <w:ind w:left="852" w:hanging="852"/>
        <w:jc w:val="left"/>
        <w:rPr>
          <w:rFonts w:ascii="宋体" w:hAnsi="宋体" w:cs="宋体"/>
          <w:b w:val="0"/>
          <w:bCs/>
          <w:color w:val="auto"/>
        </w:rPr>
      </w:pPr>
      <w:r>
        <w:rPr>
          <w:rFonts w:hint="eastAsia" w:ascii="宋体" w:hAnsi="宋体" w:cs="宋体"/>
          <w:b w:val="0"/>
          <w:bCs/>
          <w:color w:val="auto"/>
          <w:lang w:eastAsia="zh-CN"/>
        </w:rPr>
        <w:t>供应商</w:t>
      </w:r>
      <w:r>
        <w:rPr>
          <w:rFonts w:hint="eastAsia" w:ascii="宋体" w:hAnsi="宋体" w:cs="宋体"/>
          <w:b w:val="0"/>
          <w:bCs/>
          <w:color w:val="auto"/>
        </w:rPr>
        <w:t>名称：        （盖章）</w:t>
      </w:r>
    </w:p>
    <w:p>
      <w:pPr>
        <w:pStyle w:val="11"/>
        <w:ind w:left="0" w:firstLine="0" w:firstLineChars="0"/>
        <w:jc w:val="left"/>
        <w:rPr>
          <w:rFonts w:ascii="宋体" w:hAnsi="宋体" w:cs="宋体"/>
          <w:b w:val="0"/>
          <w:bCs/>
          <w:color w:val="auto"/>
        </w:rPr>
      </w:pPr>
      <w:r>
        <w:rPr>
          <w:rFonts w:hint="eastAsia" w:ascii="宋体" w:hAnsi="宋体" w:cs="宋体"/>
          <w:b w:val="0"/>
          <w:bCs/>
          <w:color w:val="auto"/>
          <w:lang w:eastAsia="zh-CN"/>
        </w:rPr>
        <w:t>供应商</w:t>
      </w:r>
      <w:r>
        <w:rPr>
          <w:rFonts w:hint="eastAsia" w:ascii="宋体" w:hAnsi="宋体" w:cs="宋体"/>
          <w:b w:val="0"/>
          <w:bCs/>
          <w:color w:val="auto"/>
        </w:rPr>
        <w:t>代表人或授权代表（签字或盖章）：</w:t>
      </w:r>
    </w:p>
    <w:p>
      <w:pPr>
        <w:pStyle w:val="11"/>
        <w:ind w:left="0" w:firstLine="0" w:firstLineChars="0"/>
        <w:jc w:val="left"/>
        <w:rPr>
          <w:rFonts w:ascii="宋体" w:hAnsi="宋体" w:cs="宋体"/>
          <w:b w:val="0"/>
          <w:bCs/>
          <w:color w:val="auto"/>
        </w:rPr>
      </w:pPr>
      <w:r>
        <w:rPr>
          <w:rFonts w:hint="eastAsia" w:ascii="宋体" w:hAnsi="宋体" w:cs="宋体"/>
          <w:b w:val="0"/>
          <w:bCs/>
          <w:color w:val="auto"/>
        </w:rPr>
        <w:t>通讯地址：</w:t>
      </w:r>
    </w:p>
    <w:p>
      <w:pPr>
        <w:pStyle w:val="11"/>
        <w:ind w:left="0" w:firstLine="0" w:firstLineChars="0"/>
        <w:jc w:val="left"/>
        <w:rPr>
          <w:rFonts w:ascii="宋体" w:hAnsi="宋体" w:cs="宋体"/>
          <w:b w:val="0"/>
          <w:bCs/>
          <w:color w:val="auto"/>
        </w:rPr>
      </w:pPr>
      <w:r>
        <w:rPr>
          <w:rFonts w:hint="eastAsia" w:ascii="宋体" w:hAnsi="宋体" w:cs="宋体"/>
          <w:b w:val="0"/>
          <w:bCs/>
          <w:color w:val="auto"/>
        </w:rPr>
        <w:t>邮政编码：</w:t>
      </w:r>
    </w:p>
    <w:p>
      <w:pPr>
        <w:pStyle w:val="11"/>
        <w:ind w:left="0" w:firstLine="0" w:firstLineChars="0"/>
        <w:jc w:val="left"/>
        <w:rPr>
          <w:rFonts w:ascii="宋体" w:hAnsi="宋体" w:cs="宋体"/>
          <w:b w:val="0"/>
          <w:bCs/>
          <w:color w:val="auto"/>
        </w:rPr>
      </w:pPr>
      <w:r>
        <w:rPr>
          <w:rFonts w:hint="eastAsia" w:ascii="宋体" w:hAnsi="宋体" w:cs="宋体"/>
          <w:b w:val="0"/>
          <w:bCs/>
          <w:color w:val="auto"/>
        </w:rPr>
        <w:t>联系电话：</w:t>
      </w:r>
    </w:p>
    <w:p>
      <w:pPr>
        <w:pStyle w:val="11"/>
        <w:ind w:left="0" w:firstLine="0" w:firstLineChars="0"/>
        <w:jc w:val="left"/>
        <w:rPr>
          <w:rFonts w:ascii="宋体" w:hAnsi="宋体" w:cs="宋体"/>
          <w:b w:val="0"/>
          <w:bCs/>
          <w:color w:val="auto"/>
        </w:rPr>
      </w:pPr>
      <w:r>
        <w:rPr>
          <w:rFonts w:hint="eastAsia" w:ascii="宋体" w:hAnsi="宋体" w:cs="宋体"/>
          <w:b w:val="0"/>
          <w:bCs/>
          <w:color w:val="auto"/>
        </w:rPr>
        <w:t>传    真：</w:t>
      </w:r>
    </w:p>
    <w:p>
      <w:pPr>
        <w:pStyle w:val="11"/>
        <w:ind w:left="0" w:firstLine="0" w:firstLineChars="0"/>
        <w:jc w:val="left"/>
        <w:rPr>
          <w:rFonts w:ascii="宋体" w:hAnsi="宋体" w:cs="宋体"/>
          <w:b w:val="0"/>
          <w:bCs/>
          <w:color w:val="auto"/>
        </w:rPr>
      </w:pPr>
      <w:r>
        <w:rPr>
          <w:rFonts w:hint="eastAsia" w:ascii="宋体" w:hAnsi="宋体" w:cs="宋体"/>
          <w:b w:val="0"/>
          <w:bCs/>
          <w:color w:val="auto"/>
        </w:rPr>
        <w:t>日    期：    年  月  日</w:t>
      </w: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pStyle w:val="11"/>
        <w:ind w:left="0" w:firstLine="0" w:firstLineChars="0"/>
        <w:jc w:val="left"/>
        <w:rPr>
          <w:rFonts w:ascii="宋体" w:hAnsi="宋体" w:cs="宋体"/>
          <w:b w:val="0"/>
          <w:bCs/>
          <w:color w:val="auto"/>
        </w:rPr>
      </w:pPr>
    </w:p>
    <w:p>
      <w:pPr>
        <w:spacing w:line="360" w:lineRule="auto"/>
        <w:jc w:val="center"/>
        <w:rPr>
          <w:rFonts w:hint="eastAsia" w:ascii="宋体" w:hAnsi="宋体" w:eastAsia="宋体" w:cs="宋体"/>
          <w:color w:val="auto"/>
          <w:sz w:val="24"/>
          <w:highlight w:val="yellow"/>
          <w:lang w:eastAsia="zh-CN"/>
        </w:rPr>
      </w:pPr>
      <w:r>
        <w:rPr>
          <w:rFonts w:hint="eastAsia" w:ascii="宋体" w:hAnsi="宋体" w:cs="宋体"/>
          <w:b/>
          <w:color w:val="auto"/>
          <w:sz w:val="28"/>
          <w:szCs w:val="28"/>
        </w:rPr>
        <w:t>2、商务报价一览表</w:t>
      </w:r>
      <w:r>
        <w:rPr>
          <w:rFonts w:hint="eastAsia" w:ascii="宋体" w:hAnsi="宋体" w:cs="宋体"/>
          <w:b/>
          <w:color w:val="auto"/>
          <w:sz w:val="28"/>
          <w:szCs w:val="28"/>
          <w:lang w:eastAsia="zh-CN"/>
        </w:rPr>
        <w:t>（</w:t>
      </w:r>
      <w:r>
        <w:rPr>
          <w:rFonts w:hint="eastAsia" w:ascii="宋体" w:hAnsi="宋体" w:cs="宋体"/>
          <w:b/>
          <w:color w:val="auto"/>
          <w:sz w:val="28"/>
          <w:szCs w:val="28"/>
          <w:highlight w:val="none"/>
        </w:rPr>
        <w:t>首次</w:t>
      </w:r>
      <w:r>
        <w:rPr>
          <w:rFonts w:hint="eastAsia" w:ascii="宋体" w:hAnsi="宋体" w:cs="宋体"/>
          <w:b/>
          <w:color w:val="auto"/>
          <w:sz w:val="28"/>
          <w:szCs w:val="28"/>
          <w:lang w:eastAsia="zh-CN"/>
        </w:rPr>
        <w:t>）</w:t>
      </w:r>
    </w:p>
    <w:p>
      <w:pPr>
        <w:spacing w:line="360" w:lineRule="auto"/>
        <w:ind w:firstLine="240" w:firstLineChars="100"/>
        <w:rPr>
          <w:rFonts w:ascii="宋体" w:hAnsi="宋体" w:cs="宋体"/>
          <w:color w:val="auto"/>
          <w:sz w:val="24"/>
        </w:rPr>
      </w:pPr>
      <w:r>
        <w:rPr>
          <w:rFonts w:hint="eastAsia" w:ascii="宋体" w:hAnsi="宋体" w:cs="宋体"/>
          <w:color w:val="auto"/>
          <w:sz w:val="24"/>
        </w:rPr>
        <w:t>项目名称：                                             币种：人民币</w:t>
      </w:r>
    </w:p>
    <w:tbl>
      <w:tblPr>
        <w:tblStyle w:val="18"/>
        <w:tblW w:w="1006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2432"/>
        <w:gridCol w:w="730"/>
        <w:gridCol w:w="3430"/>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536" w:type="dxa"/>
            <w:tcBorders>
              <w:top w:val="single" w:color="000000" w:sz="2" w:space="0"/>
              <w:left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序号</w:t>
            </w:r>
          </w:p>
        </w:tc>
        <w:tc>
          <w:tcPr>
            <w:tcW w:w="2432" w:type="dxa"/>
            <w:tcBorders>
              <w:top w:val="single" w:color="000000" w:sz="2" w:space="0"/>
              <w:left w:val="single" w:color="auto" w:sz="4" w:space="0"/>
              <w:right w:val="single" w:color="000000" w:sz="2" w:space="0"/>
            </w:tcBorders>
            <w:noWrap/>
            <w:vAlign w:val="center"/>
          </w:tcPr>
          <w:p>
            <w:pPr>
              <w:widowControl/>
              <w:spacing w:line="480" w:lineRule="auto"/>
              <w:jc w:val="center"/>
              <w:rPr>
                <w:rFonts w:ascii="宋体" w:hAnsi="宋体" w:cs="宋体"/>
                <w:color w:val="auto"/>
                <w:kern w:val="0"/>
                <w:sz w:val="24"/>
              </w:rPr>
            </w:pPr>
            <w:r>
              <w:rPr>
                <w:rFonts w:hint="eastAsia" w:ascii="宋体" w:hAnsi="宋体" w:cs="宋体"/>
                <w:color w:val="auto"/>
                <w:sz w:val="24"/>
              </w:rPr>
              <w:t>项目名称</w:t>
            </w:r>
          </w:p>
        </w:tc>
        <w:tc>
          <w:tcPr>
            <w:tcW w:w="4160" w:type="dxa"/>
            <w:gridSpan w:val="2"/>
            <w:tcBorders>
              <w:top w:val="single" w:color="000000" w:sz="2" w:space="0"/>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highlight w:val="none"/>
                <w:lang w:val="en-US" w:eastAsia="zh-CN"/>
              </w:rPr>
              <w:t>单价总合计</w:t>
            </w:r>
            <w:r>
              <w:rPr>
                <w:rFonts w:hint="eastAsia" w:ascii="宋体" w:hAnsi="宋体" w:cs="宋体"/>
                <w:color w:val="auto"/>
                <w:sz w:val="24"/>
                <w:highlight w:val="none"/>
              </w:rPr>
              <w:t>（万元）</w:t>
            </w:r>
          </w:p>
        </w:tc>
        <w:tc>
          <w:tcPr>
            <w:tcW w:w="2937" w:type="dxa"/>
            <w:tcBorders>
              <w:top w:val="single" w:color="000000" w:sz="2" w:space="0"/>
              <w:left w:val="single" w:color="auto" w:sz="4" w:space="0"/>
              <w:right w:val="single" w:color="000000" w:sz="2" w:space="0"/>
            </w:tcBorders>
            <w:noWrap/>
            <w:vAlign w:val="center"/>
          </w:tcPr>
          <w:p>
            <w:pPr>
              <w:widowControl/>
              <w:spacing w:line="48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trPr>
        <w:tc>
          <w:tcPr>
            <w:tcW w:w="536" w:type="dxa"/>
            <w:vMerge w:val="restart"/>
            <w:tcBorders>
              <w:left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1</w:t>
            </w:r>
          </w:p>
        </w:tc>
        <w:tc>
          <w:tcPr>
            <w:tcW w:w="2432" w:type="dxa"/>
            <w:vMerge w:val="restart"/>
            <w:tcBorders>
              <w:top w:val="single" w:color="auto" w:sz="4" w:space="0"/>
              <w:left w:val="single" w:color="auto" w:sz="4" w:space="0"/>
              <w:right w:val="single" w:color="000000" w:sz="2"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lang w:eastAsia="zh-CN"/>
              </w:rPr>
            </w:pPr>
            <w:r>
              <w:rPr>
                <w:rFonts w:hint="eastAsia" w:hAnsi="宋体" w:cs="宋体"/>
                <w:color w:val="auto"/>
                <w:sz w:val="24"/>
                <w:szCs w:val="24"/>
                <w:lang w:eastAsia="zh-CN"/>
              </w:rPr>
              <w:t>克拉玛依市克拉玛依区市场监督管理局2022年食品安全监督抽检检验项目</w:t>
            </w:r>
          </w:p>
        </w:tc>
        <w:tc>
          <w:tcPr>
            <w:tcW w:w="730" w:type="dxa"/>
            <w:tcBorders>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小写</w:t>
            </w:r>
          </w:p>
        </w:tc>
        <w:tc>
          <w:tcPr>
            <w:tcW w:w="343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937" w:type="dxa"/>
            <w:vMerge w:val="restart"/>
            <w:tcBorders>
              <w:left w:val="single" w:color="auto" w:sz="4" w:space="0"/>
              <w:right w:val="single" w:color="000000" w:sz="2"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各供应商按照采购文件“第三章 项目采购需求”中“表1”要求分别填报各项单价</w:t>
            </w:r>
            <w:r>
              <w:rPr>
                <w:rFonts w:hint="eastAsia" w:ascii="宋体" w:hAnsi="宋体" w:cs="宋体"/>
                <w:color w:val="auto"/>
                <w:kern w:val="2"/>
                <w:sz w:val="24"/>
                <w:szCs w:val="24"/>
                <w:highlight w:val="none"/>
                <w:lang w:val="en-US" w:eastAsia="zh-CN" w:bidi="ar-SA"/>
              </w:rPr>
              <w:t>，并进行汇总。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1" w:hRule="atLeast"/>
        </w:trPr>
        <w:tc>
          <w:tcPr>
            <w:tcW w:w="536" w:type="dxa"/>
            <w:vMerge w:val="continue"/>
            <w:tcBorders>
              <w:left w:val="single" w:color="000000" w:sz="2" w:space="0"/>
              <w:right w:val="single" w:color="000000" w:sz="2" w:space="0"/>
            </w:tcBorders>
            <w:noWrap/>
            <w:vAlign w:val="center"/>
          </w:tcPr>
          <w:p>
            <w:pPr>
              <w:spacing w:line="480" w:lineRule="auto"/>
              <w:jc w:val="center"/>
              <w:rPr>
                <w:rFonts w:ascii="宋体" w:hAnsi="宋体" w:cs="宋体"/>
                <w:color w:val="auto"/>
                <w:sz w:val="24"/>
              </w:rPr>
            </w:pPr>
          </w:p>
        </w:tc>
        <w:tc>
          <w:tcPr>
            <w:tcW w:w="2432" w:type="dxa"/>
            <w:vMerge w:val="continue"/>
            <w:tcBorders>
              <w:left w:val="single" w:color="auto" w:sz="4" w:space="0"/>
              <w:bottom w:val="single" w:color="000000" w:sz="2" w:space="0"/>
              <w:right w:val="single" w:color="000000" w:sz="2" w:space="0"/>
            </w:tcBorders>
            <w:noWrap/>
            <w:vAlign w:val="center"/>
          </w:tcPr>
          <w:p>
            <w:pPr>
              <w:widowControl/>
              <w:spacing w:line="480" w:lineRule="auto"/>
              <w:jc w:val="center"/>
              <w:rPr>
                <w:rFonts w:ascii="宋体" w:hAnsi="宋体" w:cs="宋体"/>
                <w:color w:val="auto"/>
                <w:kern w:val="0"/>
                <w:sz w:val="24"/>
              </w:rPr>
            </w:pPr>
          </w:p>
        </w:tc>
        <w:tc>
          <w:tcPr>
            <w:tcW w:w="730" w:type="dxa"/>
            <w:tcBorders>
              <w:left w:val="single" w:color="auto" w:sz="4" w:space="0"/>
              <w:right w:val="single" w:color="auto" w:sz="4"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大写</w:t>
            </w:r>
          </w:p>
        </w:tc>
        <w:tc>
          <w:tcPr>
            <w:tcW w:w="3430" w:type="dxa"/>
            <w:tcBorders>
              <w:left w:val="single" w:color="auto" w:sz="4" w:space="0"/>
              <w:right w:val="single" w:color="auto" w:sz="4" w:space="0"/>
            </w:tcBorders>
            <w:noWrap/>
            <w:vAlign w:val="center"/>
          </w:tcPr>
          <w:p>
            <w:pPr>
              <w:spacing w:line="480" w:lineRule="auto"/>
              <w:jc w:val="left"/>
              <w:rPr>
                <w:rFonts w:ascii="宋体" w:hAnsi="宋体" w:cs="宋体"/>
                <w:color w:val="auto"/>
                <w:sz w:val="24"/>
              </w:rPr>
            </w:pPr>
            <w:r>
              <w:rPr>
                <w:rFonts w:hint="eastAsia" w:ascii="宋体" w:hAnsi="宋体" w:cs="宋体"/>
                <w:color w:val="auto"/>
                <w:sz w:val="24"/>
              </w:rPr>
              <w:t>人民币</w:t>
            </w:r>
          </w:p>
        </w:tc>
        <w:tc>
          <w:tcPr>
            <w:tcW w:w="2937" w:type="dxa"/>
            <w:vMerge w:val="continue"/>
            <w:tcBorders>
              <w:left w:val="single" w:color="auto" w:sz="4" w:space="0"/>
              <w:right w:val="single" w:color="000000" w:sz="2" w:space="0"/>
            </w:tcBorders>
            <w:noWrap/>
            <w:vAlign w:val="center"/>
          </w:tcPr>
          <w:p>
            <w:pPr>
              <w:spacing w:line="48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7"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ascii="宋体" w:hAnsi="宋体" w:cs="宋体"/>
                <w:color w:val="auto"/>
                <w:sz w:val="24"/>
              </w:rPr>
            </w:pPr>
            <w:r>
              <w:rPr>
                <w:rFonts w:hint="eastAsia" w:ascii="宋体" w:hAnsi="宋体" w:cs="宋体"/>
                <w:color w:val="auto"/>
                <w:sz w:val="24"/>
              </w:rPr>
              <w:t>2</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default" w:ascii="宋体" w:hAnsi="宋体" w:eastAsia="宋体" w:cs="宋体"/>
                <w:color w:val="auto"/>
                <w:sz w:val="24"/>
                <w:highlight w:val="red"/>
                <w:lang w:val="en-US" w:eastAsia="zh-CN"/>
              </w:rPr>
            </w:pPr>
            <w:r>
              <w:rPr>
                <w:rFonts w:hint="eastAsia" w:ascii="宋体" w:hAnsi="宋体" w:cs="宋体"/>
                <w:color w:val="auto"/>
                <w:sz w:val="24"/>
                <w:highlight w:val="none"/>
              </w:rPr>
              <w:t>服务期</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合同签订日期至202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31</w:t>
            </w:r>
            <w:r>
              <w:rPr>
                <w:rFonts w:hint="eastAsia" w:ascii="宋体" w:hAnsi="宋体" w:eastAsia="宋体" w:cs="宋体"/>
                <w:color w:val="auto"/>
                <w:kern w:val="2"/>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年</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月</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日</w:t>
            </w:r>
            <w:r>
              <w:rPr>
                <w:rFonts w:hint="eastAsia" w:ascii="宋体" w:hAnsi="宋体" w:eastAsia="宋体" w:cs="宋体"/>
                <w:color w:val="auto"/>
                <w:kern w:val="2"/>
                <w:sz w:val="24"/>
                <w:szCs w:val="24"/>
                <w:highlight w:val="none"/>
                <w:lang w:val="en-US" w:eastAsia="zh-CN" w:bidi="ar-SA"/>
              </w:rPr>
              <w:t>前完成50%抽样任务。</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年</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月</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日</w:t>
            </w:r>
            <w:r>
              <w:rPr>
                <w:rFonts w:hint="eastAsia" w:ascii="宋体" w:hAnsi="宋体" w:eastAsia="宋体" w:cs="宋体"/>
                <w:color w:val="auto"/>
                <w:kern w:val="2"/>
                <w:sz w:val="24"/>
                <w:szCs w:val="24"/>
                <w:highlight w:val="none"/>
                <w:lang w:val="en-US" w:eastAsia="zh-CN" w:bidi="ar-SA"/>
              </w:rPr>
              <w:t>前完成100%抽样任务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2432" w:type="dxa"/>
            <w:tcBorders>
              <w:top w:val="single" w:color="auto" w:sz="4" w:space="0"/>
              <w:left w:val="single" w:color="auto" w:sz="4" w:space="0"/>
              <w:bottom w:val="single" w:color="000000" w:sz="2" w:space="0"/>
              <w:right w:val="single" w:color="auto" w:sz="4" w:space="0"/>
            </w:tcBorders>
            <w:noWrap/>
            <w:vAlign w:val="center"/>
          </w:tcPr>
          <w:p>
            <w:pPr>
              <w:spacing w:line="480" w:lineRule="auto"/>
              <w:jc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项目负责人</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spacing w:line="480" w:lineRule="auto"/>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36" w:type="dxa"/>
            <w:tcBorders>
              <w:top w:val="single" w:color="auto" w:sz="4" w:space="0"/>
              <w:left w:val="single" w:color="000000" w:sz="2" w:space="0"/>
              <w:bottom w:val="single" w:color="000000" w:sz="2" w:space="0"/>
              <w:right w:val="single" w:color="000000" w:sz="2" w:space="0"/>
            </w:tcBorders>
            <w:noWrap/>
            <w:vAlign w:val="center"/>
          </w:tcPr>
          <w:p>
            <w:pPr>
              <w:spacing w:line="48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2432" w:type="dxa"/>
            <w:tcBorders>
              <w:top w:val="single" w:color="auto" w:sz="4" w:space="0"/>
              <w:left w:val="single" w:color="auto" w:sz="4" w:space="0"/>
              <w:bottom w:val="single" w:color="000000"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rPr>
            </w:pPr>
            <w:r>
              <w:rPr>
                <w:rFonts w:hint="eastAsia" w:ascii="宋体" w:hAnsi="宋体" w:cs="宋体"/>
                <w:color w:val="auto"/>
                <w:sz w:val="24"/>
              </w:rPr>
              <w:t>供应商其它说明（由各供应商根据本采购项目要求自行列出需说明及承诺内容）</w:t>
            </w:r>
          </w:p>
        </w:tc>
        <w:tc>
          <w:tcPr>
            <w:tcW w:w="7097" w:type="dxa"/>
            <w:gridSpan w:val="3"/>
            <w:tcBorders>
              <w:top w:val="single" w:color="auto" w:sz="4" w:space="0"/>
              <w:left w:val="single" w:color="auto" w:sz="4" w:space="0"/>
              <w:bottom w:val="single" w:color="000000" w:sz="2" w:space="0"/>
              <w:right w:val="single" w:color="000000" w:sz="2" w:space="0"/>
            </w:tcBorders>
            <w:noWrap/>
            <w:vAlign w:val="center"/>
          </w:tcPr>
          <w:p>
            <w:pPr>
              <w:spacing w:line="48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065" w:type="dxa"/>
            <w:gridSpan w:val="5"/>
            <w:tcBorders>
              <w:top w:val="single" w:color="auto" w:sz="4" w:space="0"/>
              <w:left w:val="single" w:color="000000" w:sz="2" w:space="0"/>
              <w:bottom w:val="single" w:color="000000" w:sz="2" w:space="0"/>
              <w:right w:val="single" w:color="000000" w:sz="2" w:space="0"/>
            </w:tcBorders>
            <w:noWrap/>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lang w:val="en-US" w:eastAsia="zh-CN"/>
              </w:rPr>
            </w:pPr>
            <w:r>
              <w:rPr>
                <w:rFonts w:hint="eastAsia" w:hAnsi="宋体" w:cs="宋体"/>
                <w:color w:val="auto"/>
                <w:kern w:val="2"/>
                <w:sz w:val="24"/>
                <w:szCs w:val="24"/>
                <w:lang w:val="en-US" w:eastAsia="zh-CN" w:bidi="ar-SA"/>
              </w:rPr>
              <w:t>注：</w:t>
            </w:r>
            <w:r>
              <w:rPr>
                <w:rFonts w:hint="eastAsia" w:ascii="宋体" w:hAnsi="宋体" w:eastAsia="宋体" w:cs="宋体"/>
                <w:color w:val="auto"/>
                <w:kern w:val="2"/>
                <w:sz w:val="24"/>
                <w:szCs w:val="24"/>
                <w:lang w:val="en-US" w:eastAsia="zh-CN" w:bidi="ar-SA"/>
              </w:rPr>
              <w:t>为认真履行食品安全监督管理职能，切实维护食品安全，成交供应商保证完成克拉玛依市克拉玛依区市场监督管理局2022年食品安全监督抽检检验项目所包含的全部工作内容。依据中华人民共和国食品安全法》、《中华人民共和国食品安全法实施条例》、《食品安全抽样检验管理办法》等相关法律法规要求，根据自治区、市市场监督管理局2022年食品安全监督抽检工作要求，结合克拉玛依区实际情况完成克拉玛依市克拉玛依区市场监督管理局2022年食品安全监管抽检采购项目食品抽检工作并出具检验报告，</w:t>
            </w:r>
            <w:r>
              <w:rPr>
                <w:rFonts w:hint="eastAsia" w:hAnsi="宋体" w:cs="宋体"/>
                <w:color w:val="auto"/>
                <w:sz w:val="24"/>
                <w:highlight w:val="none"/>
                <w:lang w:eastAsia="zh-CN"/>
              </w:rPr>
              <w:t>以及合同条款、技术规范及标准、项目采购需求、本竞争性磋商文件约定的全部内容及责任和义务</w:t>
            </w:r>
            <w:r>
              <w:rPr>
                <w:rFonts w:hint="eastAsia" w:hAnsi="宋体" w:cs="宋体"/>
                <w:color w:val="auto"/>
                <w:kern w:val="2"/>
                <w:sz w:val="24"/>
                <w:szCs w:val="24"/>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注：供应商须提供详细报价书作为本表附件，详细对报价进行分析。若</w:t>
      </w:r>
      <w:r>
        <w:rPr>
          <w:rFonts w:hint="eastAsia" w:ascii="宋体" w:hAnsi="宋体" w:cs="宋体"/>
          <w:color w:val="auto"/>
          <w:sz w:val="24"/>
          <w:lang w:val="en-US" w:eastAsia="zh-CN"/>
        </w:rPr>
        <w:t>成交</w:t>
      </w:r>
      <w:r>
        <w:rPr>
          <w:rFonts w:hint="eastAsia" w:ascii="宋体" w:hAnsi="宋体" w:cs="宋体"/>
          <w:color w:val="auto"/>
          <w:sz w:val="24"/>
        </w:rPr>
        <w:t>，</w:t>
      </w:r>
      <w:r>
        <w:rPr>
          <w:rFonts w:hint="eastAsia" w:ascii="宋体" w:hAnsi="宋体" w:cs="宋体"/>
          <w:color w:val="auto"/>
          <w:sz w:val="24"/>
          <w:lang w:val="en-US" w:eastAsia="zh-CN"/>
        </w:rPr>
        <w:t>成交</w:t>
      </w:r>
      <w:r>
        <w:rPr>
          <w:rFonts w:hint="eastAsia" w:ascii="宋体" w:hAnsi="宋体" w:cs="宋体"/>
          <w:color w:val="auto"/>
          <w:sz w:val="24"/>
        </w:rPr>
        <w:t>供应商须按其最后报价向采购人提交本项目最终</w:t>
      </w:r>
      <w:r>
        <w:rPr>
          <w:rFonts w:hint="eastAsia" w:ascii="宋体" w:hAnsi="宋体" w:cs="宋体"/>
          <w:color w:val="auto"/>
          <w:sz w:val="24"/>
          <w:lang w:eastAsia="zh-CN"/>
        </w:rPr>
        <w:t>详细</w:t>
      </w:r>
      <w:r>
        <w:rPr>
          <w:rFonts w:hint="eastAsia" w:ascii="宋体" w:hAnsi="宋体" w:cs="宋体"/>
          <w:color w:val="auto"/>
          <w:sz w:val="24"/>
        </w:rPr>
        <w:t>报价书。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经</w:t>
      </w:r>
      <w:r>
        <w:rPr>
          <w:rFonts w:hint="eastAsia" w:ascii="宋体" w:hAnsi="宋体" w:cs="宋体"/>
          <w:color w:val="auto"/>
          <w:sz w:val="24"/>
          <w:lang w:val="en-US" w:eastAsia="zh-CN"/>
        </w:rPr>
        <w:t>现场评标专家和供应商</w:t>
      </w:r>
      <w:r>
        <w:rPr>
          <w:rFonts w:hint="eastAsia" w:ascii="宋体" w:hAnsi="宋体" w:cs="宋体"/>
          <w:color w:val="auto"/>
          <w:sz w:val="24"/>
        </w:rPr>
        <w:t>磋商后由各供应商填写最后报价</w:t>
      </w:r>
      <w:r>
        <w:rPr>
          <w:rFonts w:hint="eastAsia" w:ascii="宋体" w:hAnsi="宋体" w:cs="宋体"/>
          <w:color w:val="auto"/>
          <w:sz w:val="24"/>
          <w:lang w:eastAsia="zh-CN"/>
        </w:rPr>
        <w:t>，</w:t>
      </w:r>
      <w:r>
        <w:rPr>
          <w:rFonts w:hint="eastAsia" w:ascii="宋体" w:hAnsi="宋体" w:cs="宋体"/>
          <w:color w:val="auto"/>
          <w:sz w:val="24"/>
        </w:rPr>
        <w:t>供应商须按本商务报价一览表格式制作“最后报价表”，并加盖单位公章后</w:t>
      </w:r>
      <w:r>
        <w:rPr>
          <w:rFonts w:hint="eastAsia" w:ascii="宋体" w:hAnsi="宋体" w:cs="宋体"/>
          <w:color w:val="auto"/>
          <w:sz w:val="24"/>
          <w:lang w:val="en-US" w:eastAsia="zh-CN"/>
        </w:rPr>
        <w:t>在开标系统规定时间内上传系统</w:t>
      </w:r>
      <w:r>
        <w:rPr>
          <w:rFonts w:hint="eastAsia" w:ascii="宋体" w:hAnsi="宋体" w:cs="宋体"/>
          <w:color w:val="auto"/>
          <w:sz w:val="24"/>
        </w:rPr>
        <w:t>，</w:t>
      </w:r>
      <w:r>
        <w:rPr>
          <w:rFonts w:hint="eastAsia" w:ascii="宋体" w:hAnsi="宋体" w:cs="宋体"/>
          <w:color w:val="auto"/>
          <w:sz w:val="24"/>
          <w:lang w:val="en-US" w:eastAsia="zh-CN"/>
        </w:rPr>
        <w:t>如未按照系统要求填报或者未在规定时间内上传最终报价的后果由各供应商承担</w:t>
      </w:r>
      <w:r>
        <w:rPr>
          <w:rFonts w:hint="eastAsia" w:ascii="宋体" w:hAnsi="宋体" w:cs="宋体"/>
          <w:color w:val="auto"/>
          <w:sz w:val="24"/>
        </w:rPr>
        <w:t>；</w:t>
      </w:r>
    </w:p>
    <w:p>
      <w:pPr>
        <w:pStyle w:val="7"/>
        <w:rPr>
          <w:color w:val="auto"/>
        </w:rPr>
      </w:pPr>
    </w:p>
    <w:p>
      <w:pPr>
        <w:ind w:firstLine="435"/>
        <w:rPr>
          <w:rFonts w:ascii="宋体" w:hAnsi="宋体" w:cs="宋体"/>
          <w:color w:val="auto"/>
          <w:sz w:val="24"/>
        </w:rPr>
      </w:pPr>
      <w:r>
        <w:rPr>
          <w:rFonts w:hint="eastAsia" w:ascii="宋体" w:hAnsi="宋体" w:cs="宋体"/>
          <w:color w:val="auto"/>
          <w:sz w:val="24"/>
        </w:rPr>
        <w:t xml:space="preserve">供应商（盖章）：   </w:t>
      </w:r>
    </w:p>
    <w:p>
      <w:pPr>
        <w:ind w:firstLine="435"/>
        <w:rPr>
          <w:rFonts w:ascii="宋体" w:hAnsi="宋体" w:cs="宋体"/>
          <w:color w:val="auto"/>
          <w:sz w:val="24"/>
        </w:rPr>
      </w:pPr>
    </w:p>
    <w:p>
      <w:pPr>
        <w:ind w:firstLine="435"/>
        <w:rPr>
          <w:rFonts w:ascii="宋体" w:hAnsi="宋体" w:cs="宋体"/>
          <w:color w:val="auto"/>
          <w:sz w:val="24"/>
        </w:rPr>
      </w:pPr>
      <w:r>
        <w:rPr>
          <w:rFonts w:hint="eastAsia" w:ascii="宋体" w:hAnsi="宋体" w:cs="宋体"/>
          <w:color w:val="auto"/>
          <w:sz w:val="24"/>
        </w:rPr>
        <w:t xml:space="preserve">法定代表人或委托代理人签字或盖章：          </w:t>
      </w:r>
    </w:p>
    <w:p>
      <w:pPr>
        <w:spacing w:line="360" w:lineRule="auto"/>
        <w:jc w:val="right"/>
        <w:rPr>
          <w:rFonts w:ascii="宋体" w:hAnsi="宋体" w:cs="宋体"/>
          <w:color w:val="auto"/>
          <w:sz w:val="24"/>
        </w:rPr>
        <w:sectPr>
          <w:pgSz w:w="11906" w:h="16838"/>
          <w:pgMar w:top="1440" w:right="1083" w:bottom="1440" w:left="1083" w:header="851" w:footer="992" w:gutter="0"/>
          <w:pgNumType w:fmt="numberInDash"/>
          <w:cols w:space="0" w:num="1"/>
          <w:rtlGutter w:val="0"/>
          <w:docGrid w:type="lines" w:linePitch="314" w:charSpace="0"/>
        </w:sectPr>
      </w:pPr>
      <w:r>
        <w:rPr>
          <w:rFonts w:hint="eastAsia" w:ascii="宋体" w:hAnsi="宋体" w:cs="宋体"/>
          <w:color w:val="auto"/>
          <w:sz w:val="24"/>
        </w:rPr>
        <w:t>年    月    日</w:t>
      </w:r>
    </w:p>
    <w:p>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3、商务条款</w:t>
      </w:r>
      <w:r>
        <w:rPr>
          <w:rFonts w:hint="eastAsia" w:ascii="宋体" w:hAnsi="宋体" w:cs="宋体"/>
          <w:b/>
          <w:color w:val="auto"/>
          <w:sz w:val="28"/>
          <w:szCs w:val="28"/>
          <w:lang w:val="en-US" w:eastAsia="zh-CN"/>
        </w:rPr>
        <w:t>响应</w:t>
      </w:r>
      <w:r>
        <w:rPr>
          <w:rFonts w:hint="eastAsia" w:ascii="宋体" w:hAnsi="宋体" w:cs="宋体"/>
          <w:b/>
          <w:color w:val="auto"/>
          <w:sz w:val="28"/>
          <w:szCs w:val="28"/>
        </w:rPr>
        <w:t>偏离表</w:t>
      </w:r>
    </w:p>
    <w:tbl>
      <w:tblPr>
        <w:tblStyle w:val="18"/>
        <w:tblpPr w:leftFromText="180" w:rightFromText="180" w:vertAnchor="page" w:horzAnchor="page" w:tblpX="1099" w:tblpY="26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序号</w:t>
            </w: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竞争性磋商文件商务条款</w:t>
            </w: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响应文件商务条款</w:t>
            </w: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响应/偏离说明</w:t>
            </w: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6" w:type="dxa"/>
            <w:noWrap w:val="0"/>
            <w:vAlign w:val="center"/>
          </w:tcPr>
          <w:p>
            <w:pPr>
              <w:pStyle w:val="9"/>
              <w:jc w:val="center"/>
              <w:rPr>
                <w:rFonts w:ascii="仿宋_GB2312" w:eastAsia="仿宋_GB2312"/>
                <w:color w:val="auto"/>
                <w:kern w:val="2"/>
                <w:sz w:val="24"/>
                <w:szCs w:val="24"/>
                <w:highlight w:val="none"/>
                <w:lang w:val="en-US" w:eastAsia="zh-CN"/>
              </w:rPr>
            </w:pPr>
          </w:p>
        </w:tc>
        <w:tc>
          <w:tcPr>
            <w:tcW w:w="2358" w:type="dxa"/>
            <w:noWrap w:val="0"/>
            <w:vAlign w:val="center"/>
          </w:tcPr>
          <w:p>
            <w:pPr>
              <w:pStyle w:val="9"/>
              <w:jc w:val="center"/>
              <w:rPr>
                <w:rFonts w:hint="eastAsia" w:ascii="仿宋_GB2312" w:eastAsia="仿宋_GB2312"/>
                <w:color w:val="auto"/>
                <w:kern w:val="2"/>
                <w:sz w:val="24"/>
                <w:szCs w:val="24"/>
                <w:highlight w:val="none"/>
                <w:lang w:val="en-US" w:eastAsia="zh-CN"/>
              </w:rPr>
            </w:pPr>
            <w:r>
              <w:rPr>
                <w:rFonts w:hint="eastAsia" w:ascii="仿宋_GB2312" w:eastAsia="仿宋_GB2312"/>
                <w:color w:val="auto"/>
                <w:kern w:val="2"/>
                <w:sz w:val="24"/>
                <w:szCs w:val="24"/>
                <w:highlight w:val="none"/>
                <w:lang w:val="en-US" w:eastAsia="zh-CN"/>
              </w:rPr>
              <w:t>见响应文件（）页</w:t>
            </w:r>
          </w:p>
        </w:tc>
      </w:tr>
    </w:tbl>
    <w:p>
      <w:pPr>
        <w:spacing w:line="360" w:lineRule="auto"/>
        <w:ind w:firstLine="435"/>
        <w:rPr>
          <w:rFonts w:ascii="宋体" w:hAnsi="宋体" w:cs="宋体"/>
          <w:color w:val="auto"/>
          <w:szCs w:val="21"/>
        </w:rPr>
      </w:pPr>
    </w:p>
    <w:p>
      <w:pPr>
        <w:ind w:firstLine="435"/>
        <w:rPr>
          <w:rFonts w:ascii="宋体" w:hAnsi="宋体" w:cs="宋体"/>
          <w:color w:val="auto"/>
          <w:sz w:val="24"/>
        </w:rPr>
      </w:pPr>
      <w:r>
        <w:rPr>
          <w:rFonts w:hint="eastAsia" w:ascii="宋体" w:hAnsi="宋体" w:cs="宋体"/>
          <w:color w:val="auto"/>
          <w:sz w:val="24"/>
        </w:rPr>
        <w:t xml:space="preserve">供应商（盖章）：   </w:t>
      </w:r>
    </w:p>
    <w:p>
      <w:pPr>
        <w:rPr>
          <w:rFonts w:ascii="宋体" w:hAnsi="宋体" w:cs="宋体"/>
          <w:color w:val="auto"/>
          <w:sz w:val="24"/>
        </w:rPr>
      </w:pPr>
    </w:p>
    <w:p>
      <w:pPr>
        <w:ind w:firstLine="435"/>
        <w:rPr>
          <w:rFonts w:ascii="宋体" w:hAnsi="宋体" w:cs="宋体"/>
          <w:color w:val="auto"/>
          <w:sz w:val="24"/>
        </w:rPr>
      </w:pPr>
    </w:p>
    <w:p>
      <w:pPr>
        <w:ind w:firstLine="435"/>
        <w:rPr>
          <w:rFonts w:ascii="宋体" w:hAnsi="宋体" w:cs="宋体"/>
          <w:color w:val="auto"/>
          <w:szCs w:val="21"/>
        </w:rPr>
      </w:pPr>
      <w:r>
        <w:rPr>
          <w:rFonts w:hint="eastAsia" w:ascii="宋体" w:hAnsi="宋体" w:cs="宋体"/>
          <w:color w:val="auto"/>
          <w:sz w:val="24"/>
        </w:rPr>
        <w:t xml:space="preserve">法定代表人或委托代理人签字或盖章：   </w:t>
      </w:r>
      <w:r>
        <w:rPr>
          <w:rFonts w:hint="eastAsia" w:ascii="宋体" w:hAnsi="宋体" w:cs="宋体"/>
          <w:color w:val="auto"/>
          <w:szCs w:val="21"/>
        </w:rPr>
        <w:t xml:space="preserve">      </w:t>
      </w:r>
    </w:p>
    <w:p>
      <w:pPr>
        <w:spacing w:line="360" w:lineRule="auto"/>
        <w:ind w:firstLine="435"/>
        <w:rPr>
          <w:rFonts w:ascii="宋体" w:hAnsi="宋体" w:cs="宋体"/>
          <w:color w:val="auto"/>
          <w:szCs w:val="21"/>
        </w:rPr>
      </w:pPr>
      <w:r>
        <w:rPr>
          <w:rFonts w:hint="eastAsia" w:ascii="宋体" w:hAnsi="宋体" w:cs="宋体"/>
          <w:color w:val="auto"/>
          <w:szCs w:val="21"/>
        </w:rPr>
        <w:t xml:space="preserve">                                                               年    月    日</w:t>
      </w:r>
    </w:p>
    <w:p>
      <w:pPr>
        <w:spacing w:line="360" w:lineRule="auto"/>
        <w:jc w:val="center"/>
        <w:rPr>
          <w:rFonts w:hint="eastAsia" w:ascii="宋体" w:hAnsi="宋体" w:cs="宋体"/>
          <w:b/>
          <w:color w:val="auto"/>
          <w:sz w:val="28"/>
          <w:szCs w:val="28"/>
          <w:lang w:val="en-US" w:eastAsia="zh-CN"/>
        </w:rPr>
      </w:pPr>
    </w:p>
    <w:p>
      <w:pPr>
        <w:pStyle w:val="2"/>
        <w:rPr>
          <w:rFonts w:hint="eastAsia" w:ascii="宋体" w:hAnsi="宋体" w:cs="宋体"/>
          <w:b/>
          <w:color w:val="auto"/>
          <w:sz w:val="28"/>
          <w:szCs w:val="28"/>
          <w:lang w:val="en-US" w:eastAsia="zh-CN"/>
        </w:rPr>
      </w:pPr>
    </w:p>
    <w:p>
      <w:pPr>
        <w:pStyle w:val="2"/>
        <w:rPr>
          <w:rFonts w:hint="eastAsia" w:ascii="宋体" w:hAnsi="宋体" w:cs="宋体"/>
          <w:b/>
          <w:color w:val="auto"/>
          <w:sz w:val="28"/>
          <w:szCs w:val="28"/>
          <w:lang w:val="en-US" w:eastAsia="zh-CN"/>
        </w:rPr>
      </w:pPr>
    </w:p>
    <w:p>
      <w:pPr>
        <w:rPr>
          <w:rFonts w:hint="eastAsia" w:ascii="宋体" w:hAnsi="宋体" w:cs="宋体"/>
          <w:b/>
          <w:color w:val="auto"/>
          <w:sz w:val="28"/>
          <w:szCs w:val="28"/>
          <w:lang w:val="en-US" w:eastAsia="zh-CN"/>
        </w:rPr>
      </w:pPr>
    </w:p>
    <w:p>
      <w:pPr>
        <w:spacing w:line="360" w:lineRule="auto"/>
        <w:jc w:val="center"/>
        <w:rPr>
          <w:rFonts w:ascii="宋体" w:hAnsi="宋体" w:cs="宋体"/>
          <w:color w:val="auto"/>
          <w:sz w:val="24"/>
        </w:rPr>
      </w:pPr>
      <w:r>
        <w:rPr>
          <w:rFonts w:hint="eastAsia" w:ascii="宋体" w:hAnsi="宋体" w:cs="宋体"/>
          <w:b/>
          <w:color w:val="auto"/>
          <w:sz w:val="28"/>
          <w:szCs w:val="28"/>
          <w:lang w:val="en-US" w:eastAsia="zh-CN"/>
        </w:rPr>
        <w:t>4</w:t>
      </w:r>
      <w:r>
        <w:rPr>
          <w:rFonts w:hint="eastAsia" w:ascii="宋体" w:hAnsi="宋体" w:cs="宋体"/>
          <w:b/>
          <w:color w:val="auto"/>
          <w:sz w:val="28"/>
          <w:szCs w:val="28"/>
        </w:rPr>
        <w:t>、法定代表人资格证明书</w:t>
      </w:r>
    </w:p>
    <w:p>
      <w:pPr>
        <w:tabs>
          <w:tab w:val="left" w:pos="360"/>
          <w:tab w:val="left" w:pos="1800"/>
        </w:tabs>
        <w:spacing w:line="360" w:lineRule="auto"/>
        <w:ind w:firstLine="480" w:firstLineChars="200"/>
        <w:rPr>
          <w:rFonts w:ascii="宋体" w:hAnsi="宋体" w:cs="宋体"/>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供应商名称：</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地址：</w:t>
      </w:r>
    </w:p>
    <w:p>
      <w:pPr>
        <w:tabs>
          <w:tab w:val="left" w:pos="360"/>
          <w:tab w:val="left" w:pos="720"/>
          <w:tab w:val="left" w:pos="90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 xml:space="preserve">姓名：        性别：       年龄：         职务： </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单位）的法定代表人。签署上述项目的相应文件、进行合同磋商、签署合同和处理与之有关的一切事务。</w:t>
      </w:r>
    </w:p>
    <w:p>
      <w:pPr>
        <w:tabs>
          <w:tab w:val="left" w:pos="360"/>
          <w:tab w:val="left" w:pos="1800"/>
        </w:tabs>
        <w:spacing w:line="360" w:lineRule="auto"/>
        <w:rPr>
          <w:rFonts w:ascii="宋体" w:hAnsi="宋体" w:cs="宋体"/>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360" w:lineRule="auto"/>
        <w:ind w:firstLine="6000" w:firstLineChars="2500"/>
        <w:rPr>
          <w:rFonts w:ascii="宋体" w:hAnsi="宋体" w:cs="宋体"/>
          <w:bCs/>
          <w:color w:val="auto"/>
          <w:sz w:val="24"/>
        </w:rPr>
      </w:pPr>
    </w:p>
    <w:tbl>
      <w:tblPr>
        <w:tblStyle w:val="1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法定代表人身份证复印件或扫描件（正、反两面）</w:t>
            </w:r>
          </w:p>
        </w:tc>
      </w:tr>
    </w:tbl>
    <w:p>
      <w:pPr>
        <w:tabs>
          <w:tab w:val="left" w:pos="360"/>
          <w:tab w:val="left" w:pos="1800"/>
        </w:tabs>
        <w:spacing w:line="480" w:lineRule="exact"/>
        <w:jc w:val="center"/>
        <w:rPr>
          <w:rFonts w:ascii="宋体" w:hAnsi="宋体" w:cs="宋体"/>
          <w:b/>
          <w:bCs/>
          <w:color w:val="auto"/>
          <w:sz w:val="24"/>
        </w:rPr>
      </w:pPr>
      <w:r>
        <w:rPr>
          <w:rFonts w:hint="eastAsia" w:ascii="宋体" w:hAnsi="宋体" w:cs="宋体"/>
          <w:b/>
          <w:bCs/>
          <w:color w:val="auto"/>
          <w:sz w:val="24"/>
        </w:rPr>
        <w:t>注：法定代表人身份证复印件或扫描件应反映出证件有效期等所载内容。</w:t>
      </w:r>
    </w:p>
    <w:p>
      <w:pPr>
        <w:tabs>
          <w:tab w:val="left" w:pos="360"/>
          <w:tab w:val="left" w:pos="1800"/>
        </w:tabs>
        <w:spacing w:line="480" w:lineRule="exact"/>
        <w:ind w:left="1980" w:firstLine="1080"/>
        <w:rPr>
          <w:rFonts w:ascii="宋体" w:hAnsi="宋体" w:cs="宋体"/>
          <w:bCs/>
          <w:color w:val="auto"/>
        </w:rPr>
      </w:pPr>
    </w:p>
    <w:p>
      <w:pPr>
        <w:spacing w:line="360" w:lineRule="auto"/>
        <w:ind w:firstLine="573"/>
        <w:jc w:val="center"/>
        <w:rPr>
          <w:rFonts w:ascii="宋体" w:hAnsi="宋体" w:cs="宋体"/>
          <w:b/>
          <w:color w:val="auto"/>
          <w:sz w:val="28"/>
          <w:szCs w:val="28"/>
        </w:rPr>
      </w:pPr>
    </w:p>
    <w:p>
      <w:pPr>
        <w:tabs>
          <w:tab w:val="left" w:pos="360"/>
          <w:tab w:val="left" w:pos="1800"/>
        </w:tabs>
        <w:spacing w:line="480" w:lineRule="exact"/>
        <w:jc w:val="center"/>
        <w:rPr>
          <w:rFonts w:ascii="宋体" w:hAnsi="宋体" w:cs="宋体"/>
          <w:b/>
          <w:bCs/>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lang w:val="en-US" w:eastAsia="zh-CN"/>
        </w:rPr>
        <w:t>5</w:t>
      </w:r>
      <w:r>
        <w:rPr>
          <w:rFonts w:hint="eastAsia" w:ascii="宋体" w:hAnsi="宋体" w:cs="宋体"/>
          <w:b/>
          <w:color w:val="auto"/>
          <w:sz w:val="28"/>
          <w:szCs w:val="28"/>
        </w:rPr>
        <w:t>、法定代表人授权委托书</w:t>
      </w:r>
    </w:p>
    <w:p>
      <w:pPr>
        <w:tabs>
          <w:tab w:val="left" w:pos="360"/>
          <w:tab w:val="left" w:pos="1800"/>
        </w:tabs>
        <w:spacing w:line="480" w:lineRule="exact"/>
        <w:ind w:left="239" w:leftChars="114" w:firstLine="240" w:firstLineChars="100"/>
        <w:rPr>
          <w:rFonts w:ascii="宋体" w:hAnsi="宋体" w:cs="宋体"/>
          <w:color w:val="auto"/>
          <w:sz w:val="24"/>
        </w:rPr>
      </w:pPr>
    </w:p>
    <w:p>
      <w:pPr>
        <w:tabs>
          <w:tab w:val="left" w:pos="360"/>
          <w:tab w:val="left" w:pos="1800"/>
        </w:tabs>
        <w:spacing w:line="480" w:lineRule="exact"/>
        <w:ind w:firstLine="480" w:firstLineChars="200"/>
        <w:rPr>
          <w:rFonts w:ascii="宋体" w:hAnsi="宋体" w:cs="宋体"/>
          <w:color w:val="auto"/>
          <w:sz w:val="24"/>
          <w:u w:val="single"/>
        </w:rPr>
      </w:pPr>
      <w:r>
        <w:rPr>
          <w:rFonts w:hint="eastAsia" w:ascii="宋体" w:hAnsi="宋体" w:cs="宋体"/>
          <w:color w:val="auto"/>
          <w:sz w:val="24"/>
        </w:rPr>
        <w:t>本授权委托书声明：我（姓名）系（供应商名称）的法定代表人，现授权委托（供应商名称）的（姓名），其身份证号，为我供应商代理人，以本供应商的名义参加 （采购人）（ 项目名称）的公开活动。</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代理人在递交</w:t>
      </w:r>
      <w:r>
        <w:rPr>
          <w:rFonts w:hint="eastAsia" w:ascii="宋体" w:hAnsi="宋体" w:cs="宋体"/>
          <w:color w:val="auto"/>
          <w:sz w:val="24"/>
          <w:lang w:eastAsia="zh-CN"/>
        </w:rPr>
        <w:t>响应文件</w:t>
      </w:r>
      <w:r>
        <w:rPr>
          <w:rFonts w:hint="eastAsia" w:ascii="宋体" w:hAnsi="宋体" w:cs="宋体"/>
          <w:color w:val="auto"/>
          <w:sz w:val="24"/>
        </w:rPr>
        <w:t>、评标、合同</w:t>
      </w:r>
      <w:r>
        <w:rPr>
          <w:rFonts w:hint="eastAsia" w:ascii="宋体" w:hAnsi="宋体" w:cs="宋体"/>
          <w:color w:val="auto"/>
          <w:sz w:val="24"/>
          <w:lang w:eastAsia="zh-CN"/>
        </w:rPr>
        <w:t>签订</w:t>
      </w:r>
      <w:r>
        <w:rPr>
          <w:rFonts w:hint="eastAsia" w:ascii="宋体" w:hAnsi="宋体" w:cs="宋体"/>
          <w:color w:val="auto"/>
          <w:sz w:val="24"/>
        </w:rPr>
        <w:t>过程中所签署的一切文件和处理与之有关的一切事务，我均予以承认。</w:t>
      </w:r>
    </w:p>
    <w:p>
      <w:pPr>
        <w:tabs>
          <w:tab w:val="left" w:pos="360"/>
          <w:tab w:val="left" w:pos="1800"/>
        </w:tabs>
        <w:spacing w:line="480" w:lineRule="exact"/>
        <w:ind w:firstLine="480" w:firstLineChars="200"/>
        <w:rPr>
          <w:rFonts w:ascii="宋体" w:hAnsi="宋体" w:cs="宋体"/>
          <w:color w:val="auto"/>
          <w:sz w:val="24"/>
          <w:u w:val="single"/>
        </w:rPr>
      </w:pPr>
      <w:r>
        <w:rPr>
          <w:rFonts w:hint="eastAsia" w:ascii="宋体" w:hAnsi="宋体" w:cs="宋体"/>
          <w:color w:val="auto"/>
          <w:sz w:val="24"/>
        </w:rPr>
        <w:t>本授权委托书期限自年月日起至年月日止。</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委托代理人无转委权。特此委托。</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            性别：           年龄：</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单位：              部门：           职务：</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法定代表人：（签字或盖章）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授权委托人：（签字或盖章）</w:t>
      </w:r>
    </w:p>
    <w:p>
      <w:pPr>
        <w:tabs>
          <w:tab w:val="left" w:pos="360"/>
          <w:tab w:val="left" w:pos="1800"/>
        </w:tabs>
        <w:spacing w:line="480" w:lineRule="exact"/>
        <w:ind w:firstLine="420"/>
        <w:jc w:val="left"/>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480" w:lineRule="exact"/>
        <w:ind w:firstLine="3600"/>
        <w:rPr>
          <w:rFonts w:ascii="宋体" w:hAnsi="宋体" w:cs="宋体"/>
          <w:color w:val="auto"/>
          <w:sz w:val="24"/>
        </w:rPr>
      </w:pPr>
    </w:p>
    <w:tbl>
      <w:tblPr>
        <w:tblStyle w:val="1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委托代理人身份证复印件或扫描件（正、反两面）</w:t>
            </w:r>
          </w:p>
        </w:tc>
      </w:tr>
    </w:tbl>
    <w:p>
      <w:pPr>
        <w:spacing w:line="360" w:lineRule="auto"/>
        <w:ind w:firstLine="573"/>
        <w:jc w:val="center"/>
        <w:rPr>
          <w:rFonts w:ascii="宋体" w:hAnsi="宋体" w:cs="宋体"/>
          <w:b/>
          <w:color w:val="auto"/>
          <w:sz w:val="28"/>
          <w:szCs w:val="28"/>
        </w:rPr>
      </w:pPr>
      <w:r>
        <w:rPr>
          <w:rFonts w:hint="eastAsia" w:ascii="宋体" w:hAnsi="宋体" w:cs="宋体"/>
          <w:b/>
          <w:bCs/>
          <w:color w:val="auto"/>
          <w:sz w:val="24"/>
        </w:rPr>
        <w:t>注：委托代理人身份证复印件或扫描件应反映出证件有效期等所载内容。</w:t>
      </w:r>
    </w:p>
    <w:p>
      <w:pPr>
        <w:tabs>
          <w:tab w:val="left" w:pos="360"/>
          <w:tab w:val="left" w:pos="1800"/>
        </w:tabs>
        <w:spacing w:line="480" w:lineRule="exact"/>
        <w:rPr>
          <w:rFonts w:ascii="宋体" w:hAnsi="宋体" w:cs="宋体"/>
          <w:b/>
          <w:color w:val="auto"/>
          <w:sz w:val="28"/>
          <w:szCs w:val="28"/>
        </w:rPr>
      </w:pPr>
    </w:p>
    <w:p>
      <w:pPr>
        <w:tabs>
          <w:tab w:val="left" w:pos="360"/>
          <w:tab w:val="left" w:pos="1800"/>
        </w:tabs>
        <w:spacing w:line="480" w:lineRule="exact"/>
        <w:jc w:val="center"/>
        <w:rPr>
          <w:rFonts w:ascii="宋体" w:hAnsi="宋体" w:cs="宋体"/>
          <w:b/>
          <w:color w:val="auto"/>
          <w:sz w:val="28"/>
          <w:szCs w:val="28"/>
        </w:rPr>
      </w:pPr>
      <w:r>
        <w:rPr>
          <w:rFonts w:hint="eastAsia" w:ascii="宋体" w:hAnsi="宋体" w:cs="宋体"/>
          <w:b/>
          <w:color w:val="auto"/>
          <w:sz w:val="28"/>
          <w:szCs w:val="28"/>
          <w:lang w:val="en-US" w:eastAsia="zh-CN"/>
        </w:rPr>
        <w:t>6</w:t>
      </w:r>
      <w:r>
        <w:rPr>
          <w:rFonts w:hint="eastAsia" w:ascii="宋体" w:hAnsi="宋体" w:cs="宋体"/>
          <w:b/>
          <w:color w:val="auto"/>
          <w:sz w:val="28"/>
          <w:szCs w:val="28"/>
        </w:rPr>
        <w:t xml:space="preserve">、供应商资格声明 </w:t>
      </w:r>
    </w:p>
    <w:tbl>
      <w:tblPr>
        <w:tblStyle w:val="18"/>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16"/>
        <w:gridCol w:w="1121"/>
        <w:gridCol w:w="1500"/>
        <w:gridCol w:w="1499"/>
        <w:gridCol w:w="153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供应商名称</w:t>
            </w:r>
          </w:p>
        </w:tc>
        <w:tc>
          <w:tcPr>
            <w:tcW w:w="7428" w:type="dxa"/>
            <w:gridSpan w:val="6"/>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jc w:val="left"/>
              <w:rPr>
                <w:rFonts w:ascii="宋体" w:hAnsi="宋体" w:cs="宋体"/>
                <w:bCs/>
                <w:color w:val="auto"/>
                <w:sz w:val="24"/>
              </w:rPr>
            </w:pPr>
            <w:r>
              <w:rPr>
                <w:rFonts w:hint="eastAsia" w:ascii="宋体" w:hAnsi="宋体" w:cs="宋体"/>
                <w:bCs/>
                <w:color w:val="auto"/>
                <w:sz w:val="24"/>
              </w:rPr>
              <w:t>地 址</w:t>
            </w:r>
          </w:p>
        </w:tc>
        <w:tc>
          <w:tcPr>
            <w:tcW w:w="7428" w:type="dxa"/>
            <w:gridSpan w:val="6"/>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主管部门</w:t>
            </w:r>
          </w:p>
        </w:tc>
        <w:tc>
          <w:tcPr>
            <w:tcW w:w="1337" w:type="dxa"/>
            <w:gridSpan w:val="2"/>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r>
              <w:rPr>
                <w:rFonts w:hint="eastAsia" w:ascii="宋体" w:hAnsi="宋体" w:cs="宋体"/>
                <w:bCs/>
                <w:color w:val="auto"/>
                <w:sz w:val="24"/>
              </w:rPr>
              <w:t>法定代表人</w:t>
            </w: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ind w:firstLine="240" w:firstLineChars="100"/>
              <w:rPr>
                <w:rFonts w:ascii="宋体" w:hAnsi="宋体" w:cs="宋体"/>
                <w:bCs/>
                <w:color w:val="auto"/>
                <w:sz w:val="24"/>
              </w:rPr>
            </w:pPr>
            <w:r>
              <w:rPr>
                <w:rFonts w:hint="eastAsia" w:ascii="宋体" w:hAnsi="宋体" w:cs="宋体"/>
                <w:bCs/>
                <w:color w:val="auto"/>
                <w:sz w:val="24"/>
              </w:rPr>
              <w:t>职 务</w:t>
            </w:r>
          </w:p>
        </w:tc>
        <w:tc>
          <w:tcPr>
            <w:tcW w:w="1558" w:type="dxa"/>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color w:val="auto"/>
                <w:sz w:val="24"/>
              </w:rPr>
            </w:pPr>
            <w:r>
              <w:rPr>
                <w:rFonts w:hint="eastAsia" w:ascii="宋体" w:hAnsi="宋体" w:cs="宋体"/>
                <w:bCs/>
                <w:color w:val="auto"/>
                <w:sz w:val="24"/>
              </w:rPr>
              <w:t>注册时间</w:t>
            </w:r>
          </w:p>
        </w:tc>
        <w:tc>
          <w:tcPr>
            <w:tcW w:w="2837" w:type="dxa"/>
            <w:gridSpan w:val="3"/>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经济类型</w:t>
            </w:r>
          </w:p>
        </w:tc>
        <w:tc>
          <w:tcPr>
            <w:tcW w:w="3092" w:type="dxa"/>
            <w:gridSpan w:val="2"/>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509" w:type="dxa"/>
            <w:gridSpan w:val="4"/>
            <w:vAlign w:val="center"/>
          </w:tcPr>
          <w:p>
            <w:pPr>
              <w:spacing w:line="460" w:lineRule="exact"/>
              <w:rPr>
                <w:rFonts w:ascii="宋体" w:hAnsi="宋体" w:cs="宋体"/>
                <w:bCs/>
                <w:color w:val="auto"/>
                <w:sz w:val="24"/>
              </w:rPr>
            </w:pPr>
            <w:r>
              <w:rPr>
                <w:rFonts w:hint="eastAsia" w:ascii="宋体" w:hAnsi="宋体" w:cs="宋体"/>
                <w:bCs/>
                <w:color w:val="auto"/>
                <w:sz w:val="24"/>
              </w:rPr>
              <w:t>营业执照号</w:t>
            </w:r>
          </w:p>
        </w:tc>
        <w:tc>
          <w:tcPr>
            <w:tcW w:w="4591" w:type="dxa"/>
            <w:gridSpan w:val="3"/>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4509" w:type="dxa"/>
            <w:gridSpan w:val="4"/>
            <w:vAlign w:val="center"/>
          </w:tcPr>
          <w:p>
            <w:pPr>
              <w:spacing w:line="460" w:lineRule="exact"/>
              <w:rPr>
                <w:rFonts w:ascii="宋体" w:hAnsi="宋体" w:cs="宋体"/>
                <w:bCs/>
                <w:color w:val="auto"/>
                <w:sz w:val="24"/>
              </w:rPr>
            </w:pPr>
            <w:r>
              <w:rPr>
                <w:rFonts w:hint="eastAsia" w:ascii="宋体" w:hAnsi="宋体" w:cs="宋体"/>
                <w:bCs/>
                <w:color w:val="auto"/>
                <w:sz w:val="24"/>
              </w:rPr>
              <w:t>近三年内（201</w:t>
            </w:r>
            <w:r>
              <w:rPr>
                <w:rFonts w:hint="eastAsia" w:ascii="宋体" w:hAnsi="宋体" w:cs="宋体"/>
                <w:bCs/>
                <w:color w:val="auto"/>
                <w:sz w:val="24"/>
                <w:lang w:val="en-US" w:eastAsia="zh-CN"/>
              </w:rPr>
              <w:t>9</w:t>
            </w:r>
            <w:r>
              <w:rPr>
                <w:rFonts w:hint="eastAsia" w:ascii="宋体" w:hAnsi="宋体" w:cs="宋体"/>
                <w:bCs/>
                <w:color w:val="auto"/>
                <w:sz w:val="24"/>
              </w:rPr>
              <w:t>年至</w:t>
            </w:r>
            <w:r>
              <w:rPr>
                <w:rFonts w:hint="eastAsia" w:ascii="宋体" w:hAnsi="宋体" w:cs="宋体"/>
                <w:bCs/>
                <w:color w:val="auto"/>
                <w:sz w:val="24"/>
                <w:lang w:val="en-US" w:eastAsia="zh-CN"/>
              </w:rPr>
              <w:t>2021</w:t>
            </w:r>
            <w:r>
              <w:rPr>
                <w:rFonts w:hint="eastAsia" w:ascii="宋体" w:hAnsi="宋体" w:cs="宋体"/>
                <w:bCs/>
                <w:color w:val="auto"/>
                <w:sz w:val="24"/>
              </w:rPr>
              <w:t>年）经营活动中有无重大违法纪录</w:t>
            </w:r>
          </w:p>
        </w:tc>
        <w:tc>
          <w:tcPr>
            <w:tcW w:w="4591" w:type="dxa"/>
            <w:gridSpan w:val="3"/>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trPr>
        <w:tc>
          <w:tcPr>
            <w:tcW w:w="1888"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是否依法缴纳税收</w:t>
            </w:r>
          </w:p>
        </w:tc>
        <w:tc>
          <w:tcPr>
            <w:tcW w:w="2621" w:type="dxa"/>
            <w:gridSpan w:val="2"/>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是否依法缴纳社会保障资金</w:t>
            </w:r>
          </w:p>
        </w:tc>
        <w:tc>
          <w:tcPr>
            <w:tcW w:w="3092" w:type="dxa"/>
            <w:gridSpan w:val="2"/>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restart"/>
            <w:vAlign w:val="center"/>
          </w:tcPr>
          <w:p>
            <w:pPr>
              <w:spacing w:line="460" w:lineRule="exact"/>
              <w:jc w:val="center"/>
              <w:rPr>
                <w:rFonts w:ascii="宋体" w:hAnsi="宋体" w:cs="宋体"/>
                <w:bCs/>
                <w:color w:val="auto"/>
                <w:sz w:val="24"/>
              </w:rPr>
            </w:pPr>
            <w:r>
              <w:rPr>
                <w:rFonts w:hint="eastAsia" w:ascii="宋体" w:hAnsi="宋体" w:cs="宋体"/>
                <w:bCs/>
                <w:color w:val="auto"/>
                <w:sz w:val="24"/>
              </w:rPr>
              <w:t>单</w:t>
            </w:r>
          </w:p>
          <w:p>
            <w:pPr>
              <w:spacing w:line="460" w:lineRule="exact"/>
              <w:jc w:val="center"/>
              <w:rPr>
                <w:rFonts w:ascii="宋体" w:hAnsi="宋体" w:cs="宋体"/>
                <w:bCs/>
                <w:color w:val="auto"/>
                <w:sz w:val="24"/>
              </w:rPr>
            </w:pPr>
            <w:r>
              <w:rPr>
                <w:rFonts w:hint="eastAsia" w:ascii="宋体" w:hAnsi="宋体" w:cs="宋体"/>
                <w:bCs/>
                <w:color w:val="auto"/>
                <w:sz w:val="24"/>
              </w:rPr>
              <w:t>位</w:t>
            </w:r>
          </w:p>
          <w:p>
            <w:pPr>
              <w:spacing w:line="460" w:lineRule="exact"/>
              <w:jc w:val="center"/>
              <w:rPr>
                <w:rFonts w:ascii="宋体" w:hAnsi="宋体" w:cs="宋体"/>
                <w:bCs/>
                <w:color w:val="auto"/>
                <w:sz w:val="24"/>
              </w:rPr>
            </w:pPr>
            <w:r>
              <w:rPr>
                <w:rFonts w:hint="eastAsia" w:ascii="宋体" w:hAnsi="宋体" w:cs="宋体"/>
                <w:bCs/>
                <w:color w:val="auto"/>
                <w:sz w:val="24"/>
              </w:rPr>
              <w:t>概</w:t>
            </w:r>
          </w:p>
          <w:p>
            <w:pPr>
              <w:spacing w:line="460" w:lineRule="exact"/>
              <w:jc w:val="center"/>
              <w:rPr>
                <w:rFonts w:ascii="宋体" w:hAnsi="宋体" w:cs="宋体"/>
                <w:bCs/>
                <w:color w:val="auto"/>
                <w:sz w:val="24"/>
              </w:rPr>
            </w:pPr>
            <w:r>
              <w:rPr>
                <w:rFonts w:hint="eastAsia" w:ascii="宋体" w:hAnsi="宋体" w:cs="宋体"/>
                <w:bCs/>
                <w:color w:val="auto"/>
                <w:sz w:val="24"/>
              </w:rPr>
              <w:t>况</w:t>
            </w:r>
          </w:p>
        </w:tc>
        <w:tc>
          <w:tcPr>
            <w:tcW w:w="1121" w:type="dxa"/>
            <w:vAlign w:val="center"/>
          </w:tcPr>
          <w:p>
            <w:pPr>
              <w:spacing w:line="460" w:lineRule="exact"/>
              <w:rPr>
                <w:rFonts w:ascii="宋体" w:hAnsi="宋体" w:cs="宋体"/>
                <w:bCs/>
                <w:color w:val="auto"/>
                <w:sz w:val="24"/>
              </w:rPr>
            </w:pPr>
            <w:r>
              <w:rPr>
                <w:rFonts w:hint="eastAsia" w:ascii="宋体" w:hAnsi="宋体" w:cs="宋体"/>
                <w:bCs/>
                <w:color w:val="auto"/>
                <w:sz w:val="24"/>
              </w:rPr>
              <w:t>注册资本</w:t>
            </w:r>
          </w:p>
        </w:tc>
        <w:tc>
          <w:tcPr>
            <w:tcW w:w="1500" w:type="dxa"/>
          </w:tcPr>
          <w:p>
            <w:pPr>
              <w:spacing w:line="460" w:lineRule="exact"/>
              <w:rPr>
                <w:rFonts w:ascii="宋体" w:hAnsi="宋体" w:cs="宋体"/>
                <w:bCs/>
                <w:color w:val="auto"/>
                <w:sz w:val="24"/>
              </w:rPr>
            </w:pPr>
            <w:r>
              <w:rPr>
                <w:rFonts w:hint="eastAsia" w:ascii="宋体" w:hAnsi="宋体" w:cs="宋体"/>
                <w:bCs/>
                <w:color w:val="auto"/>
                <w:sz w:val="24"/>
              </w:rPr>
              <w:t xml:space="preserve">     万元</w:t>
            </w: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占地面积</w:t>
            </w:r>
          </w:p>
        </w:tc>
        <w:tc>
          <w:tcPr>
            <w:tcW w:w="3092" w:type="dxa"/>
            <w:gridSpan w:val="2"/>
          </w:tcPr>
          <w:p>
            <w:pPr>
              <w:spacing w:line="460" w:lineRule="exact"/>
              <w:rPr>
                <w:rFonts w:ascii="宋体" w:hAnsi="宋体" w:cs="宋体"/>
                <w:bCs/>
                <w:color w:val="auto"/>
                <w:sz w:val="24"/>
              </w:rPr>
            </w:pPr>
            <w:r>
              <w:rPr>
                <w:rFonts w:hint="eastAsia" w:ascii="宋体" w:hAnsi="宋体" w:cs="宋体"/>
                <w:bCs/>
                <w:color w:val="auto"/>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continue"/>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r>
              <w:rPr>
                <w:rFonts w:hint="eastAsia" w:ascii="宋体" w:hAnsi="宋体" w:cs="宋体"/>
                <w:bCs/>
                <w:color w:val="auto"/>
                <w:sz w:val="24"/>
              </w:rPr>
              <w:t>职工总数</w:t>
            </w:r>
          </w:p>
        </w:tc>
        <w:tc>
          <w:tcPr>
            <w:tcW w:w="1500" w:type="dxa"/>
          </w:tcPr>
          <w:p>
            <w:pPr>
              <w:spacing w:line="460" w:lineRule="exact"/>
              <w:rPr>
                <w:rFonts w:ascii="宋体" w:hAnsi="宋体" w:cs="宋体"/>
                <w:bCs/>
                <w:color w:val="auto"/>
                <w:sz w:val="24"/>
              </w:rPr>
            </w:pPr>
            <w:r>
              <w:rPr>
                <w:rFonts w:hint="eastAsia" w:ascii="宋体" w:hAnsi="宋体" w:cs="宋体"/>
                <w:bCs/>
                <w:color w:val="auto"/>
                <w:sz w:val="24"/>
              </w:rPr>
              <w:t xml:space="preserve">       人</w:t>
            </w:r>
          </w:p>
        </w:tc>
        <w:tc>
          <w:tcPr>
            <w:tcW w:w="1499" w:type="dxa"/>
          </w:tcPr>
          <w:p>
            <w:pPr>
              <w:spacing w:line="460" w:lineRule="exact"/>
              <w:rPr>
                <w:rFonts w:ascii="宋体" w:hAnsi="宋体" w:cs="宋体"/>
                <w:bCs/>
                <w:color w:val="auto"/>
                <w:sz w:val="24"/>
              </w:rPr>
            </w:pPr>
            <w:r>
              <w:rPr>
                <w:rFonts w:hint="eastAsia" w:ascii="宋体" w:hAnsi="宋体" w:cs="宋体"/>
                <w:bCs/>
                <w:color w:val="auto"/>
                <w:sz w:val="24"/>
              </w:rPr>
              <w:t>建筑面积</w:t>
            </w:r>
          </w:p>
        </w:tc>
        <w:tc>
          <w:tcPr>
            <w:tcW w:w="3092" w:type="dxa"/>
            <w:gridSpan w:val="2"/>
          </w:tcPr>
          <w:p>
            <w:pPr>
              <w:spacing w:line="460" w:lineRule="exact"/>
              <w:ind w:firstLine="1800" w:firstLineChars="750"/>
              <w:rPr>
                <w:rFonts w:ascii="宋体" w:hAnsi="宋体" w:cs="宋体"/>
                <w:bCs/>
                <w:color w:val="auto"/>
                <w:sz w:val="24"/>
              </w:rPr>
            </w:pPr>
            <w:r>
              <w:rPr>
                <w:rFonts w:hint="eastAsia" w:ascii="宋体" w:hAnsi="宋体" w:cs="宋体"/>
                <w:bCs/>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Merge w:val="restart"/>
            <w:vAlign w:val="center"/>
          </w:tcPr>
          <w:p>
            <w:pPr>
              <w:spacing w:line="460" w:lineRule="exact"/>
              <w:ind w:firstLine="240" w:firstLineChars="100"/>
              <w:rPr>
                <w:rFonts w:ascii="宋体" w:hAnsi="宋体" w:cs="宋体"/>
                <w:bCs/>
                <w:color w:val="auto"/>
                <w:sz w:val="24"/>
              </w:rPr>
            </w:pPr>
            <w:r>
              <w:rPr>
                <w:rFonts w:hint="eastAsia" w:ascii="宋体" w:hAnsi="宋体" w:cs="宋体"/>
                <w:bCs/>
                <w:color w:val="auto"/>
                <w:sz w:val="24"/>
              </w:rPr>
              <w:t>资产</w:t>
            </w:r>
          </w:p>
          <w:p>
            <w:pPr>
              <w:spacing w:line="460" w:lineRule="exact"/>
              <w:ind w:firstLine="240" w:firstLineChars="100"/>
              <w:rPr>
                <w:rFonts w:ascii="宋体" w:hAnsi="宋体" w:cs="宋体"/>
                <w:bCs/>
                <w:color w:val="auto"/>
                <w:sz w:val="24"/>
              </w:rPr>
            </w:pPr>
            <w:r>
              <w:rPr>
                <w:rFonts w:hint="eastAsia" w:ascii="宋体" w:hAnsi="宋体" w:cs="宋体"/>
                <w:bCs/>
                <w:color w:val="auto"/>
                <w:sz w:val="24"/>
              </w:rPr>
              <w:t>情况</w:t>
            </w:r>
          </w:p>
        </w:tc>
        <w:tc>
          <w:tcPr>
            <w:tcW w:w="2999"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净资产：        万元</w:t>
            </w:r>
          </w:p>
        </w:tc>
        <w:tc>
          <w:tcPr>
            <w:tcW w:w="3092" w:type="dxa"/>
            <w:gridSpan w:val="2"/>
            <w:vMerge w:val="restart"/>
          </w:tcPr>
          <w:p>
            <w:pPr>
              <w:spacing w:line="460" w:lineRule="exact"/>
              <w:rPr>
                <w:rFonts w:ascii="宋体" w:hAnsi="宋体" w:cs="宋体"/>
                <w:bCs/>
                <w:color w:val="auto"/>
                <w:sz w:val="24"/>
              </w:rPr>
            </w:pPr>
            <w:r>
              <w:rPr>
                <w:rFonts w:hint="eastAsia" w:ascii="宋体" w:hAnsi="宋体" w:cs="宋体"/>
                <w:bCs/>
                <w:color w:val="auto"/>
                <w:sz w:val="24"/>
              </w:rPr>
              <w:t>固定资产原值 ：      万元</w:t>
            </w:r>
          </w:p>
          <w:p>
            <w:pPr>
              <w:spacing w:line="460" w:lineRule="exact"/>
              <w:rPr>
                <w:rFonts w:ascii="宋体" w:hAnsi="宋体" w:cs="宋体"/>
                <w:bCs/>
                <w:color w:val="auto"/>
                <w:sz w:val="24"/>
              </w:rPr>
            </w:pPr>
            <w:r>
              <w:rPr>
                <w:rFonts w:hint="eastAsia" w:ascii="宋体" w:hAnsi="宋体" w:cs="宋体"/>
                <w:bCs/>
                <w:color w:val="auto"/>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Merge w:val="continue"/>
          </w:tcPr>
          <w:p>
            <w:pPr>
              <w:spacing w:line="460" w:lineRule="exact"/>
              <w:rPr>
                <w:rFonts w:ascii="宋体" w:hAnsi="宋体" w:cs="宋体"/>
                <w:bCs/>
                <w:color w:val="auto"/>
                <w:sz w:val="24"/>
              </w:rPr>
            </w:pPr>
          </w:p>
        </w:tc>
        <w:tc>
          <w:tcPr>
            <w:tcW w:w="2999" w:type="dxa"/>
            <w:gridSpan w:val="2"/>
            <w:vAlign w:val="center"/>
          </w:tcPr>
          <w:p>
            <w:pPr>
              <w:spacing w:line="460" w:lineRule="exact"/>
              <w:rPr>
                <w:rFonts w:ascii="宋体" w:hAnsi="宋体" w:cs="宋体"/>
                <w:bCs/>
                <w:color w:val="auto"/>
                <w:sz w:val="24"/>
              </w:rPr>
            </w:pPr>
            <w:r>
              <w:rPr>
                <w:rFonts w:hint="eastAsia" w:ascii="宋体" w:hAnsi="宋体" w:cs="宋体"/>
                <w:bCs/>
                <w:color w:val="auto"/>
                <w:sz w:val="24"/>
              </w:rPr>
              <w:t>负 债：         万元</w:t>
            </w:r>
          </w:p>
        </w:tc>
        <w:tc>
          <w:tcPr>
            <w:tcW w:w="3092" w:type="dxa"/>
            <w:gridSpan w:val="2"/>
            <w:vMerge w:val="continue"/>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restart"/>
            <w:vAlign w:val="center"/>
          </w:tcPr>
          <w:p>
            <w:pPr>
              <w:spacing w:line="460" w:lineRule="exact"/>
              <w:ind w:firstLine="120" w:firstLineChars="50"/>
              <w:rPr>
                <w:rFonts w:ascii="宋体" w:hAnsi="宋体" w:cs="宋体"/>
                <w:bCs/>
                <w:color w:val="auto"/>
                <w:sz w:val="24"/>
              </w:rPr>
            </w:pPr>
            <w:r>
              <w:rPr>
                <w:rFonts w:hint="eastAsia" w:ascii="宋体" w:hAnsi="宋体" w:cs="宋体"/>
                <w:bCs/>
                <w:color w:val="auto"/>
                <w:sz w:val="24"/>
              </w:rPr>
              <w:t>财务状况</w:t>
            </w:r>
          </w:p>
          <w:p>
            <w:pPr>
              <w:spacing w:line="460" w:lineRule="exact"/>
              <w:rPr>
                <w:rFonts w:ascii="宋体" w:hAnsi="宋体" w:cs="宋体"/>
                <w:bCs/>
                <w:color w:val="auto"/>
                <w:sz w:val="24"/>
              </w:rPr>
            </w:pPr>
            <w:r>
              <w:rPr>
                <w:rFonts w:hint="eastAsia" w:ascii="宋体" w:hAnsi="宋体" w:cs="宋体"/>
                <w:bCs/>
                <w:color w:val="auto"/>
                <w:sz w:val="24"/>
              </w:rPr>
              <w:t>（最近三年</w:t>
            </w:r>
            <w:r>
              <w:rPr>
                <w:rFonts w:hint="eastAsia" w:ascii="宋体" w:hAnsi="宋体" w:cs="宋体"/>
                <w:bCs/>
                <w:color w:val="auto"/>
                <w:sz w:val="24"/>
                <w:lang w:val="en-US" w:eastAsia="zh-CN"/>
              </w:rPr>
              <w:t>2019</w:t>
            </w:r>
            <w:r>
              <w:rPr>
                <w:rFonts w:hint="eastAsia" w:ascii="宋体" w:hAnsi="宋体" w:cs="宋体"/>
                <w:bCs/>
                <w:color w:val="auto"/>
                <w:sz w:val="24"/>
              </w:rPr>
              <w:t>年至</w:t>
            </w:r>
            <w:r>
              <w:rPr>
                <w:rFonts w:hint="eastAsia" w:ascii="宋体" w:hAnsi="宋体" w:cs="宋体"/>
                <w:bCs/>
                <w:color w:val="auto"/>
                <w:sz w:val="24"/>
                <w:lang w:val="en-US" w:eastAsia="zh-CN"/>
              </w:rPr>
              <w:t>2021</w:t>
            </w:r>
            <w:r>
              <w:rPr>
                <w:rFonts w:hint="eastAsia" w:ascii="宋体" w:hAnsi="宋体" w:cs="宋体"/>
                <w:bCs/>
                <w:color w:val="auto"/>
                <w:sz w:val="24"/>
              </w:rPr>
              <w:t>年）</w:t>
            </w:r>
          </w:p>
        </w:tc>
        <w:tc>
          <w:tcPr>
            <w:tcW w:w="1121"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年份</w:t>
            </w:r>
          </w:p>
        </w:tc>
        <w:tc>
          <w:tcPr>
            <w:tcW w:w="1500"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主营收入</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499"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收入总额</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534" w:type="dxa"/>
            <w:vAlign w:val="center"/>
          </w:tcPr>
          <w:p>
            <w:pPr>
              <w:spacing w:line="460" w:lineRule="exact"/>
              <w:jc w:val="center"/>
              <w:rPr>
                <w:rFonts w:ascii="宋体" w:hAnsi="宋体" w:cs="宋体"/>
                <w:bCs/>
                <w:color w:val="auto"/>
                <w:sz w:val="24"/>
              </w:rPr>
            </w:pPr>
            <w:r>
              <w:rPr>
                <w:rFonts w:hint="eastAsia" w:ascii="宋体" w:hAnsi="宋体" w:cs="宋体"/>
                <w:bCs/>
                <w:color w:val="auto"/>
                <w:sz w:val="24"/>
              </w:rPr>
              <w:t>利润总额</w:t>
            </w:r>
          </w:p>
          <w:p>
            <w:pPr>
              <w:spacing w:line="460" w:lineRule="exact"/>
              <w:jc w:val="center"/>
              <w:rPr>
                <w:rFonts w:ascii="宋体" w:hAnsi="宋体" w:cs="宋体"/>
                <w:bCs/>
                <w:color w:val="auto"/>
                <w:sz w:val="24"/>
              </w:rPr>
            </w:pPr>
            <w:r>
              <w:rPr>
                <w:rFonts w:hint="eastAsia" w:ascii="宋体" w:hAnsi="宋体" w:cs="宋体"/>
                <w:bCs/>
                <w:color w:val="auto"/>
                <w:sz w:val="24"/>
              </w:rPr>
              <w:t>（万元）</w:t>
            </w:r>
          </w:p>
        </w:tc>
        <w:tc>
          <w:tcPr>
            <w:tcW w:w="1558" w:type="dxa"/>
            <w:vAlign w:val="center"/>
          </w:tcPr>
          <w:p>
            <w:pPr>
              <w:spacing w:line="460" w:lineRule="exact"/>
              <w:ind w:firstLine="240" w:firstLineChars="100"/>
              <w:jc w:val="center"/>
              <w:rPr>
                <w:rFonts w:ascii="宋体" w:hAnsi="宋体" w:cs="宋体"/>
                <w:bCs/>
                <w:color w:val="auto"/>
                <w:sz w:val="24"/>
              </w:rPr>
            </w:pPr>
            <w:r>
              <w:rPr>
                <w:rFonts w:hint="eastAsia" w:ascii="宋体" w:hAnsi="宋体" w:cs="宋体"/>
                <w:bCs/>
                <w:color w:val="auto"/>
                <w:sz w:val="24"/>
              </w:rPr>
              <w:t>净利润</w:t>
            </w:r>
          </w:p>
          <w:p>
            <w:pPr>
              <w:spacing w:line="460" w:lineRule="exact"/>
              <w:ind w:firstLine="240" w:firstLineChars="100"/>
              <w:jc w:val="center"/>
              <w:rPr>
                <w:rFonts w:ascii="宋体" w:hAnsi="宋体" w:cs="宋体"/>
                <w:bCs/>
                <w:color w:val="auto"/>
                <w:sz w:val="24"/>
              </w:rPr>
            </w:pPr>
            <w:r>
              <w:rPr>
                <w:rFonts w:hint="eastAsia" w:ascii="宋体" w:hAnsi="宋体" w:cs="宋体"/>
                <w:bCs/>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rPr>
                <w:rFonts w:ascii="宋体" w:hAnsi="宋体" w:cs="宋体"/>
                <w:bCs/>
                <w:color w:val="auto"/>
                <w:sz w:val="24"/>
              </w:rPr>
            </w:pPr>
          </w:p>
        </w:tc>
        <w:tc>
          <w:tcPr>
            <w:tcW w:w="1558" w:type="dxa"/>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vAlign w:val="center"/>
          </w:tcPr>
          <w:p>
            <w:pPr>
              <w:spacing w:line="460" w:lineRule="exact"/>
              <w:rPr>
                <w:rFonts w:ascii="宋体" w:hAnsi="宋体" w:cs="宋体"/>
                <w:bCs/>
                <w:color w:val="auto"/>
                <w:sz w:val="24"/>
              </w:rPr>
            </w:pPr>
          </w:p>
        </w:tc>
        <w:tc>
          <w:tcPr>
            <w:tcW w:w="1499" w:type="dxa"/>
            <w:vAlign w:val="center"/>
          </w:tcPr>
          <w:p>
            <w:pPr>
              <w:spacing w:line="460" w:lineRule="exact"/>
              <w:rPr>
                <w:rFonts w:ascii="宋体" w:hAnsi="宋体" w:cs="宋体"/>
                <w:bCs/>
                <w:color w:val="auto"/>
                <w:sz w:val="24"/>
              </w:rPr>
            </w:pPr>
          </w:p>
        </w:tc>
        <w:tc>
          <w:tcPr>
            <w:tcW w:w="1534" w:type="dxa"/>
            <w:vAlign w:val="center"/>
          </w:tcPr>
          <w:p>
            <w:pPr>
              <w:spacing w:line="460" w:lineRule="exact"/>
              <w:rPr>
                <w:rFonts w:ascii="宋体" w:hAnsi="宋体" w:cs="宋体"/>
                <w:bCs/>
                <w:color w:val="auto"/>
                <w:sz w:val="24"/>
              </w:rPr>
            </w:pPr>
          </w:p>
        </w:tc>
        <w:tc>
          <w:tcPr>
            <w:tcW w:w="1558" w:type="dxa"/>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color w:val="auto"/>
                <w:sz w:val="24"/>
              </w:rPr>
            </w:pPr>
          </w:p>
        </w:tc>
        <w:tc>
          <w:tcPr>
            <w:tcW w:w="1121" w:type="dxa"/>
            <w:vAlign w:val="center"/>
          </w:tcPr>
          <w:p>
            <w:pPr>
              <w:spacing w:line="460" w:lineRule="exact"/>
              <w:rPr>
                <w:rFonts w:ascii="宋体" w:hAnsi="宋体" w:cs="宋体"/>
                <w:bCs/>
                <w:color w:val="auto"/>
                <w:sz w:val="24"/>
              </w:rPr>
            </w:pPr>
          </w:p>
        </w:tc>
        <w:tc>
          <w:tcPr>
            <w:tcW w:w="1500" w:type="dxa"/>
          </w:tcPr>
          <w:p>
            <w:pPr>
              <w:spacing w:line="460" w:lineRule="exact"/>
              <w:rPr>
                <w:rFonts w:ascii="宋体" w:hAnsi="宋体" w:cs="宋体"/>
                <w:bCs/>
                <w:color w:val="auto"/>
                <w:sz w:val="24"/>
              </w:rPr>
            </w:pPr>
          </w:p>
        </w:tc>
        <w:tc>
          <w:tcPr>
            <w:tcW w:w="1499" w:type="dxa"/>
          </w:tcPr>
          <w:p>
            <w:pPr>
              <w:spacing w:line="460" w:lineRule="exact"/>
              <w:rPr>
                <w:rFonts w:ascii="宋体" w:hAnsi="宋体" w:cs="宋体"/>
                <w:bCs/>
                <w:color w:val="auto"/>
                <w:sz w:val="24"/>
              </w:rPr>
            </w:pPr>
          </w:p>
        </w:tc>
        <w:tc>
          <w:tcPr>
            <w:tcW w:w="1534" w:type="dxa"/>
          </w:tcPr>
          <w:p>
            <w:pPr>
              <w:spacing w:line="460" w:lineRule="exact"/>
              <w:rPr>
                <w:rFonts w:ascii="宋体" w:hAnsi="宋体" w:cs="宋体"/>
                <w:bCs/>
                <w:color w:val="auto"/>
                <w:sz w:val="24"/>
              </w:rPr>
            </w:pPr>
          </w:p>
        </w:tc>
        <w:tc>
          <w:tcPr>
            <w:tcW w:w="1558" w:type="dxa"/>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tcPr>
          <w:p>
            <w:pPr>
              <w:spacing w:line="460" w:lineRule="exact"/>
              <w:rPr>
                <w:rFonts w:ascii="宋体" w:hAnsi="宋体" w:cs="宋体"/>
                <w:bCs/>
                <w:color w:val="auto"/>
                <w:sz w:val="24"/>
              </w:rPr>
            </w:pPr>
            <w:r>
              <w:rPr>
                <w:rFonts w:hint="eastAsia" w:ascii="宋体" w:hAnsi="宋体" w:cs="宋体"/>
                <w:bCs/>
                <w:color w:val="auto"/>
                <w:sz w:val="24"/>
              </w:rPr>
              <w:t>经营范围</w:t>
            </w:r>
          </w:p>
        </w:tc>
        <w:tc>
          <w:tcPr>
            <w:tcW w:w="7212" w:type="dxa"/>
            <w:gridSpan w:val="5"/>
            <w:vAlign w:val="center"/>
          </w:tcPr>
          <w:p>
            <w:pPr>
              <w:spacing w:line="460" w:lineRule="exact"/>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888" w:type="dxa"/>
            <w:gridSpan w:val="2"/>
          </w:tcPr>
          <w:p>
            <w:pPr>
              <w:spacing w:line="460" w:lineRule="exact"/>
              <w:rPr>
                <w:rFonts w:ascii="宋体" w:hAnsi="宋体" w:cs="宋体"/>
                <w:bCs/>
                <w:color w:val="auto"/>
                <w:sz w:val="24"/>
              </w:rPr>
            </w:pPr>
            <w:r>
              <w:rPr>
                <w:rFonts w:hint="eastAsia" w:ascii="宋体" w:hAnsi="宋体" w:cs="宋体"/>
                <w:bCs/>
                <w:color w:val="auto"/>
                <w:sz w:val="24"/>
              </w:rPr>
              <w:t xml:space="preserve">备注 </w:t>
            </w:r>
          </w:p>
        </w:tc>
        <w:tc>
          <w:tcPr>
            <w:tcW w:w="7212" w:type="dxa"/>
            <w:gridSpan w:val="5"/>
            <w:vAlign w:val="center"/>
          </w:tcPr>
          <w:p>
            <w:pPr>
              <w:spacing w:line="460" w:lineRule="exact"/>
              <w:rPr>
                <w:rFonts w:ascii="宋体" w:hAnsi="宋体" w:cs="宋体"/>
                <w:bCs/>
                <w:color w:val="auto"/>
                <w:sz w:val="24"/>
              </w:rPr>
            </w:pPr>
          </w:p>
        </w:tc>
      </w:tr>
    </w:tbl>
    <w:p>
      <w:pPr>
        <w:tabs>
          <w:tab w:val="left" w:pos="360"/>
          <w:tab w:val="left" w:pos="1800"/>
        </w:tabs>
        <w:spacing w:line="480" w:lineRule="exact"/>
        <w:jc w:val="center"/>
        <w:rPr>
          <w:rFonts w:ascii="宋体" w:hAnsi="宋体" w:cs="宋体"/>
          <w:b/>
          <w:color w:val="auto"/>
          <w:sz w:val="28"/>
          <w:szCs w:val="28"/>
        </w:rPr>
      </w:pPr>
      <w:r>
        <w:rPr>
          <w:rFonts w:hint="eastAsia" w:ascii="宋体" w:hAnsi="宋体" w:cs="宋体"/>
          <w:b/>
          <w:color w:val="auto"/>
          <w:sz w:val="28"/>
          <w:szCs w:val="28"/>
          <w:lang w:val="en-US" w:eastAsia="zh-CN"/>
        </w:rPr>
        <w:t>7</w:t>
      </w:r>
      <w:r>
        <w:rPr>
          <w:rFonts w:hint="eastAsia" w:ascii="宋体" w:hAnsi="宋体" w:cs="宋体"/>
          <w:b/>
          <w:color w:val="auto"/>
          <w:sz w:val="28"/>
          <w:szCs w:val="28"/>
        </w:rPr>
        <w:t>、中小企业声明函</w:t>
      </w:r>
    </w:p>
    <w:p>
      <w:pPr>
        <w:pStyle w:val="7"/>
        <w:rPr>
          <w:rFonts w:ascii="宋体" w:hAnsi="宋体" w:cs="宋体"/>
          <w:color w:val="auto"/>
        </w:rPr>
      </w:pPr>
    </w:p>
    <w:p>
      <w:pPr>
        <w:tabs>
          <w:tab w:val="left" w:pos="6300"/>
        </w:tabs>
        <w:snapToGrid w:val="0"/>
        <w:spacing w:line="500" w:lineRule="exact"/>
        <w:ind w:firstLine="480" w:firstLineChars="200"/>
        <w:outlineLvl w:val="0"/>
        <w:rPr>
          <w:rFonts w:ascii="宋体" w:hAnsi="宋体" w:cs="宋体"/>
          <w:color w:val="auto"/>
          <w:sz w:val="24"/>
        </w:rPr>
      </w:pPr>
    </w:p>
    <w:p>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本公司郑重声明，根据《财政部 工业和信息化部关于印发&lt;政府采购促进中小企业发展暂行办法&gt;的通知》（财库〔2020〕46号）的规定，本公司参加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w:t>
      </w:r>
      <w:r>
        <w:rPr>
          <w:rFonts w:hint="eastAsia" w:ascii="宋体" w:hAnsi="宋体" w:cs="宋体"/>
          <w:color w:val="auto"/>
          <w:sz w:val="24"/>
          <w:highlight w:val="none"/>
          <w:u w:val="single"/>
        </w:rPr>
        <w:t>（含联合体中的中小企业、签订分包意向协议的中小企业）</w:t>
      </w:r>
      <w:r>
        <w:rPr>
          <w:rFonts w:hint="eastAsia" w:ascii="宋体" w:hAnsi="宋体" w:cs="宋体"/>
          <w:color w:val="auto"/>
          <w:sz w:val="24"/>
          <w:highlight w:val="none"/>
        </w:rPr>
        <w:t>的具体情况如下：</w:t>
      </w:r>
    </w:p>
    <w:p>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，从业人员人，营业收入为万元，资产总额为万元，属于（中型企业、小型企业、微型企业）；。 </w:t>
      </w:r>
    </w:p>
    <w:p>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，从业人员人，营业收入为万元，资产总额为万元 ，属于（中型企业、小型企业、微型企业）；。  </w:t>
      </w:r>
    </w:p>
    <w:p>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w:t>
      </w:r>
    </w:p>
    <w:p>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以上企业，不属于大企业的分支机构，不存在控股股东为大企业的情形，也不存在与大企业的负责人为同一人的情形。 </w:t>
      </w:r>
    </w:p>
    <w:p>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pStyle w:val="9"/>
        <w:spacing w:line="440" w:lineRule="exact"/>
        <w:ind w:firstLine="480" w:firstLineChars="200"/>
        <w:rPr>
          <w:rFonts w:hAnsi="宋体" w:cs="宋体"/>
          <w:color w:val="auto"/>
          <w:sz w:val="24"/>
          <w:szCs w:val="24"/>
          <w:highlight w:val="none"/>
        </w:rPr>
      </w:pPr>
    </w:p>
    <w:p>
      <w:pPr>
        <w:pStyle w:val="9"/>
        <w:spacing w:line="440" w:lineRule="exact"/>
        <w:ind w:firstLine="480" w:firstLineChars="200"/>
        <w:rPr>
          <w:rFonts w:hAnsi="宋体" w:cs="宋体"/>
          <w:color w:val="auto"/>
          <w:sz w:val="24"/>
          <w:szCs w:val="24"/>
          <w:highlight w:val="none"/>
        </w:rPr>
      </w:pPr>
    </w:p>
    <w:p>
      <w:pPr>
        <w:pStyle w:val="9"/>
        <w:spacing w:line="440" w:lineRule="exact"/>
        <w:ind w:firstLine="480" w:firstLineChars="200"/>
        <w:jc w:val="right"/>
        <w:rPr>
          <w:rFonts w:hAnsi="宋体" w:cs="宋体"/>
          <w:color w:val="auto"/>
          <w:sz w:val="24"/>
          <w:szCs w:val="24"/>
          <w:highlight w:val="none"/>
        </w:rPr>
      </w:pPr>
      <w:r>
        <w:rPr>
          <w:rFonts w:hint="eastAsia" w:hAnsi="宋体" w:cs="宋体"/>
          <w:color w:val="auto"/>
          <w:sz w:val="24"/>
          <w:szCs w:val="24"/>
          <w:highlight w:val="none"/>
        </w:rPr>
        <w:t>企业名称(公章)：____________</w:t>
      </w:r>
      <w:r>
        <w:rPr>
          <w:rFonts w:hint="eastAsia" w:hAnsi="宋体" w:cs="宋体"/>
          <w:color w:val="auto"/>
          <w:sz w:val="24"/>
          <w:szCs w:val="24"/>
          <w:highlight w:val="none"/>
        </w:rPr>
        <w:tab/>
      </w:r>
      <w:r>
        <w:rPr>
          <w:rFonts w:hint="eastAsia" w:hAnsi="宋体" w:cs="宋体"/>
          <w:color w:val="auto"/>
          <w:sz w:val="24"/>
          <w:szCs w:val="24"/>
          <w:highlight w:val="none"/>
        </w:rPr>
        <w:tab/>
      </w:r>
    </w:p>
    <w:p>
      <w:pPr>
        <w:pStyle w:val="9"/>
        <w:spacing w:line="440" w:lineRule="exact"/>
        <w:ind w:firstLine="480" w:firstLineChars="200"/>
        <w:jc w:val="center"/>
        <w:rPr>
          <w:rFonts w:hAnsi="宋体" w:cs="宋体"/>
          <w:color w:val="auto"/>
          <w:sz w:val="24"/>
          <w:szCs w:val="24"/>
          <w:highlight w:val="none"/>
        </w:rPr>
      </w:pPr>
      <w:r>
        <w:rPr>
          <w:rFonts w:hint="eastAsia" w:hAnsi="宋体" w:cs="宋体"/>
          <w:color w:val="auto"/>
          <w:sz w:val="24"/>
          <w:szCs w:val="24"/>
          <w:highlight w:val="none"/>
        </w:rPr>
        <w:t xml:space="preserve">                            日    期：_______________</w:t>
      </w:r>
    </w:p>
    <w:p>
      <w:pPr>
        <w:pStyle w:val="9"/>
        <w:spacing w:line="440" w:lineRule="exact"/>
        <w:ind w:firstLine="480" w:firstLineChars="200"/>
        <w:jc w:val="center"/>
        <w:rPr>
          <w:rFonts w:hAnsi="宋体" w:cs="宋体"/>
          <w:color w:val="auto"/>
          <w:sz w:val="24"/>
          <w:szCs w:val="24"/>
          <w:highlight w:val="none"/>
        </w:rPr>
      </w:pPr>
    </w:p>
    <w:p>
      <w:pPr>
        <w:widowControl/>
        <w:jc w:val="left"/>
        <w:rPr>
          <w:color w:val="auto"/>
          <w:highlight w:val="none"/>
        </w:rPr>
      </w:pPr>
      <w:r>
        <w:rPr>
          <w:rFonts w:ascii="仿宋" w:hAnsi="仿宋" w:eastAsia="仿宋" w:cs="仿宋"/>
          <w:color w:val="auto"/>
          <w:kern w:val="0"/>
          <w:sz w:val="24"/>
          <w:highlight w:val="none"/>
        </w:rPr>
        <w:t xml:space="preserve">注: </w:t>
      </w:r>
    </w:p>
    <w:p>
      <w:pPr>
        <w:pStyle w:val="7"/>
        <w:rPr>
          <w:rFonts w:ascii="宋体" w:hAnsi="宋体" w:cs="宋体"/>
          <w:color w:val="auto"/>
          <w:sz w:val="24"/>
        </w:rPr>
      </w:pPr>
      <w:r>
        <w:rPr>
          <w:rFonts w:hint="eastAsia" w:ascii="仿宋" w:hAnsi="仿宋" w:eastAsia="仿宋" w:cs="仿宋"/>
          <w:color w:val="auto"/>
          <w:kern w:val="0"/>
          <w:sz w:val="24"/>
          <w:highlight w:val="none"/>
        </w:rPr>
        <w:t>1、从业人员、营业收入、资产总额填报上一年度数据，无上一年度数据的新成立企业可不填报</w:t>
      </w:r>
      <w:r>
        <w:rPr>
          <w:rFonts w:hint="eastAsia" w:ascii="宋体" w:hAnsi="宋体" w:cs="宋体"/>
          <w:color w:val="auto"/>
          <w:sz w:val="24"/>
          <w:highlight w:val="none"/>
        </w:rPr>
        <w:t>。</w:t>
      </w:r>
    </w:p>
    <w:p>
      <w:pPr>
        <w:tabs>
          <w:tab w:val="left" w:pos="6300"/>
        </w:tabs>
        <w:snapToGrid w:val="0"/>
        <w:spacing w:line="500" w:lineRule="exact"/>
        <w:rPr>
          <w:rFonts w:ascii="宋体" w:hAnsi="宋体" w:cs="宋体"/>
          <w:b/>
          <w:color w:val="auto"/>
          <w:sz w:val="28"/>
          <w:szCs w:val="28"/>
        </w:rPr>
      </w:pPr>
    </w:p>
    <w:p>
      <w:pPr>
        <w:pStyle w:val="7"/>
        <w:rPr>
          <w:rFonts w:ascii="宋体" w:hAnsi="宋体" w:cs="宋体"/>
          <w:b/>
          <w:color w:val="auto"/>
          <w:sz w:val="28"/>
          <w:szCs w:val="28"/>
        </w:rPr>
      </w:pPr>
    </w:p>
    <w:p>
      <w:pPr>
        <w:pStyle w:val="7"/>
        <w:rPr>
          <w:rFonts w:ascii="宋体" w:hAnsi="宋体" w:cs="宋体"/>
          <w:b/>
          <w:color w:val="auto"/>
          <w:sz w:val="28"/>
          <w:szCs w:val="28"/>
        </w:rPr>
      </w:pPr>
    </w:p>
    <w:p>
      <w:pPr>
        <w:pStyle w:val="7"/>
        <w:rPr>
          <w:rFonts w:ascii="宋体" w:hAnsi="宋体" w:cs="宋体"/>
          <w:b/>
          <w:color w:val="auto"/>
          <w:sz w:val="28"/>
          <w:szCs w:val="28"/>
        </w:rPr>
      </w:pPr>
    </w:p>
    <w:p>
      <w:pPr>
        <w:pStyle w:val="7"/>
        <w:rPr>
          <w:rFonts w:ascii="宋体" w:hAnsi="宋体" w:cs="宋体"/>
          <w:b/>
          <w:color w:val="auto"/>
          <w:sz w:val="28"/>
          <w:szCs w:val="28"/>
        </w:rPr>
      </w:pPr>
    </w:p>
    <w:p>
      <w:pPr>
        <w:pStyle w:val="9"/>
        <w:spacing w:line="360" w:lineRule="auto"/>
        <w:ind w:right="86"/>
        <w:jc w:val="both"/>
        <w:outlineLvl w:val="0"/>
        <w:rPr>
          <w:rFonts w:hAnsi="宋体" w:cs="宋体"/>
          <w:color w:val="auto"/>
          <w:sz w:val="24"/>
          <w:szCs w:val="24"/>
        </w:rPr>
      </w:pPr>
      <w:r>
        <w:rPr>
          <w:rFonts w:hint="eastAsia" w:hAnsi="宋体" w:cs="宋体"/>
          <w:color w:val="auto"/>
          <w:sz w:val="24"/>
          <w:szCs w:val="24"/>
        </w:rPr>
        <w:br w:type="page"/>
      </w:r>
    </w:p>
    <w:p>
      <w:pPr>
        <w:pageBreakBefore/>
        <w:jc w:val="center"/>
        <w:rPr>
          <w:rFonts w:ascii="宋体" w:hAnsi="宋体" w:cs="宋体"/>
          <w:b/>
          <w:color w:val="auto"/>
          <w:sz w:val="28"/>
          <w:szCs w:val="28"/>
        </w:rPr>
      </w:pPr>
      <w:r>
        <w:rPr>
          <w:rFonts w:hint="eastAsia" w:ascii="宋体" w:hAnsi="宋体" w:cs="宋体"/>
          <w:b/>
          <w:color w:val="auto"/>
          <w:sz w:val="28"/>
          <w:szCs w:val="28"/>
          <w:lang w:val="en-US" w:eastAsia="zh-CN"/>
        </w:rPr>
        <w:t>8</w:t>
      </w:r>
      <w:r>
        <w:rPr>
          <w:rFonts w:hint="eastAsia" w:ascii="宋体" w:hAnsi="宋体" w:cs="宋体"/>
          <w:b/>
          <w:color w:val="auto"/>
          <w:sz w:val="28"/>
          <w:szCs w:val="28"/>
        </w:rPr>
        <w:t>、项目负责人简历</w:t>
      </w:r>
    </w:p>
    <w:tbl>
      <w:tblPr>
        <w:tblStyle w:val="18"/>
        <w:tblpPr w:leftFromText="180" w:rightFromText="180" w:vertAnchor="text" w:horzAnchor="margin" w:tblpXSpec="right" w:tblpY="408"/>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99"/>
        <w:gridCol w:w="441"/>
        <w:gridCol w:w="910"/>
        <w:gridCol w:w="723"/>
        <w:gridCol w:w="1090"/>
        <w:gridCol w:w="145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ind w:right="71" w:rightChars="34"/>
              <w:jc w:val="center"/>
              <w:rPr>
                <w:rFonts w:ascii="宋体" w:hAnsi="宋体" w:cs="宋体"/>
                <w:color w:val="auto"/>
                <w:sz w:val="24"/>
              </w:rPr>
            </w:pPr>
            <w:r>
              <w:rPr>
                <w:rFonts w:hint="eastAsia" w:ascii="宋体" w:hAnsi="宋体" w:cs="宋体"/>
                <w:color w:val="auto"/>
                <w:sz w:val="24"/>
              </w:rPr>
              <w:t>姓名</w:t>
            </w:r>
          </w:p>
        </w:tc>
        <w:tc>
          <w:tcPr>
            <w:tcW w:w="1640" w:type="dxa"/>
            <w:gridSpan w:val="2"/>
          </w:tcPr>
          <w:p>
            <w:pPr>
              <w:spacing w:line="420" w:lineRule="exact"/>
              <w:jc w:val="center"/>
              <w:rPr>
                <w:rFonts w:ascii="宋体" w:hAnsi="宋体" w:cs="宋体"/>
                <w:color w:val="auto"/>
                <w:sz w:val="24"/>
              </w:rPr>
            </w:pPr>
          </w:p>
        </w:tc>
        <w:tc>
          <w:tcPr>
            <w:tcW w:w="910" w:type="dxa"/>
          </w:tcPr>
          <w:p>
            <w:pPr>
              <w:spacing w:line="420" w:lineRule="exact"/>
              <w:jc w:val="center"/>
              <w:rPr>
                <w:rFonts w:ascii="宋体" w:hAnsi="宋体" w:cs="宋体"/>
                <w:color w:val="auto"/>
                <w:sz w:val="24"/>
              </w:rPr>
            </w:pPr>
            <w:r>
              <w:rPr>
                <w:rFonts w:hint="eastAsia" w:ascii="宋体" w:hAnsi="宋体" w:cs="宋体"/>
                <w:color w:val="auto"/>
                <w:sz w:val="24"/>
              </w:rPr>
              <w:t>性别</w:t>
            </w:r>
          </w:p>
        </w:tc>
        <w:tc>
          <w:tcPr>
            <w:tcW w:w="1813" w:type="dxa"/>
            <w:gridSpan w:val="2"/>
          </w:tcPr>
          <w:p>
            <w:pPr>
              <w:spacing w:line="420" w:lineRule="exact"/>
              <w:jc w:val="center"/>
              <w:rPr>
                <w:rFonts w:ascii="宋体" w:hAnsi="宋体" w:cs="宋体"/>
                <w:color w:val="auto"/>
                <w:sz w:val="24"/>
              </w:rPr>
            </w:pPr>
          </w:p>
        </w:tc>
        <w:tc>
          <w:tcPr>
            <w:tcW w:w="1452" w:type="dxa"/>
          </w:tcPr>
          <w:p>
            <w:pPr>
              <w:spacing w:line="420" w:lineRule="exact"/>
              <w:ind w:right="441" w:rightChars="210"/>
              <w:rPr>
                <w:rFonts w:ascii="宋体" w:hAnsi="宋体" w:cs="宋体"/>
                <w:color w:val="auto"/>
                <w:sz w:val="24"/>
              </w:rPr>
            </w:pPr>
            <w:r>
              <w:rPr>
                <w:rFonts w:hint="eastAsia" w:ascii="宋体" w:hAnsi="宋体" w:cs="宋体"/>
                <w:color w:val="auto"/>
                <w:sz w:val="24"/>
              </w:rPr>
              <w:t>年龄</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r>
              <w:rPr>
                <w:rFonts w:hint="eastAsia" w:ascii="宋体" w:hAnsi="宋体" w:cs="宋体"/>
                <w:color w:val="auto"/>
                <w:sz w:val="24"/>
              </w:rPr>
              <w:t>职务</w:t>
            </w:r>
          </w:p>
        </w:tc>
        <w:tc>
          <w:tcPr>
            <w:tcW w:w="1640" w:type="dxa"/>
            <w:gridSpan w:val="2"/>
          </w:tcPr>
          <w:p>
            <w:pPr>
              <w:spacing w:line="420" w:lineRule="exact"/>
              <w:jc w:val="center"/>
              <w:rPr>
                <w:rFonts w:ascii="宋体" w:hAnsi="宋体" w:cs="宋体"/>
                <w:color w:val="auto"/>
                <w:sz w:val="24"/>
              </w:rPr>
            </w:pPr>
          </w:p>
        </w:tc>
        <w:tc>
          <w:tcPr>
            <w:tcW w:w="910" w:type="dxa"/>
          </w:tcPr>
          <w:p>
            <w:pPr>
              <w:spacing w:line="420" w:lineRule="exact"/>
              <w:jc w:val="center"/>
              <w:rPr>
                <w:rFonts w:ascii="宋体" w:hAnsi="宋体" w:cs="宋体"/>
                <w:color w:val="auto"/>
                <w:sz w:val="24"/>
              </w:rPr>
            </w:pPr>
            <w:r>
              <w:rPr>
                <w:rFonts w:hint="eastAsia" w:ascii="宋体" w:hAnsi="宋体" w:cs="宋体"/>
                <w:color w:val="auto"/>
                <w:sz w:val="24"/>
              </w:rPr>
              <w:t>职称</w:t>
            </w:r>
          </w:p>
        </w:tc>
        <w:tc>
          <w:tcPr>
            <w:tcW w:w="1813" w:type="dxa"/>
            <w:gridSpan w:val="2"/>
          </w:tcPr>
          <w:p>
            <w:pPr>
              <w:spacing w:line="420" w:lineRule="exact"/>
              <w:jc w:val="center"/>
              <w:rPr>
                <w:rFonts w:ascii="宋体" w:hAnsi="宋体" w:cs="宋体"/>
                <w:color w:val="auto"/>
                <w:sz w:val="24"/>
              </w:rPr>
            </w:pPr>
          </w:p>
        </w:tc>
        <w:tc>
          <w:tcPr>
            <w:tcW w:w="1452" w:type="dxa"/>
          </w:tcPr>
          <w:p>
            <w:pPr>
              <w:spacing w:line="420" w:lineRule="exact"/>
              <w:rPr>
                <w:rFonts w:ascii="宋体" w:hAnsi="宋体" w:cs="宋体"/>
                <w:color w:val="auto"/>
                <w:sz w:val="24"/>
              </w:rPr>
            </w:pPr>
            <w:r>
              <w:rPr>
                <w:rFonts w:hint="eastAsia" w:ascii="宋体" w:hAnsi="宋体" w:cs="宋体"/>
                <w:color w:val="auto"/>
                <w:sz w:val="24"/>
              </w:rPr>
              <w:t>学历</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71" w:type="dxa"/>
            <w:gridSpan w:val="2"/>
          </w:tcPr>
          <w:p>
            <w:pPr>
              <w:spacing w:line="420" w:lineRule="exact"/>
              <w:jc w:val="center"/>
              <w:rPr>
                <w:rFonts w:ascii="宋体" w:hAnsi="宋体" w:cs="宋体"/>
                <w:color w:val="auto"/>
                <w:sz w:val="24"/>
              </w:rPr>
            </w:pPr>
            <w:r>
              <w:rPr>
                <w:rFonts w:hint="eastAsia" w:ascii="宋体" w:hAnsi="宋体" w:cs="宋体"/>
                <w:color w:val="auto"/>
                <w:sz w:val="24"/>
              </w:rPr>
              <w:t>参加工作时间</w:t>
            </w:r>
          </w:p>
        </w:tc>
        <w:tc>
          <w:tcPr>
            <w:tcW w:w="1351" w:type="dxa"/>
            <w:gridSpan w:val="2"/>
          </w:tcPr>
          <w:p>
            <w:pPr>
              <w:spacing w:line="420" w:lineRule="exact"/>
              <w:jc w:val="center"/>
              <w:rPr>
                <w:rFonts w:ascii="宋体" w:hAnsi="宋体" w:cs="宋体"/>
                <w:color w:val="auto"/>
                <w:sz w:val="24"/>
              </w:rPr>
            </w:pPr>
          </w:p>
        </w:tc>
        <w:tc>
          <w:tcPr>
            <w:tcW w:w="3265" w:type="dxa"/>
            <w:gridSpan w:val="3"/>
          </w:tcPr>
          <w:p>
            <w:pPr>
              <w:spacing w:line="420" w:lineRule="exact"/>
              <w:jc w:val="center"/>
              <w:rPr>
                <w:rFonts w:ascii="宋体" w:hAnsi="宋体" w:cs="宋体"/>
                <w:color w:val="auto"/>
                <w:sz w:val="24"/>
              </w:rPr>
            </w:pPr>
            <w:r>
              <w:rPr>
                <w:rFonts w:hint="eastAsia" w:ascii="宋体" w:hAnsi="宋体" w:cs="宋体"/>
                <w:color w:val="auto"/>
                <w:sz w:val="24"/>
              </w:rPr>
              <w:t>从事项目负责人年限</w:t>
            </w: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362" w:type="dxa"/>
            <w:gridSpan w:val="8"/>
          </w:tcPr>
          <w:p>
            <w:pPr>
              <w:spacing w:line="420" w:lineRule="exact"/>
              <w:jc w:val="center"/>
              <w:rPr>
                <w:rFonts w:ascii="宋体" w:hAnsi="宋体" w:cs="宋体"/>
                <w:color w:val="auto"/>
                <w:sz w:val="24"/>
              </w:rPr>
            </w:pPr>
            <w:r>
              <w:rPr>
                <w:rFonts w:hint="eastAsia" w:ascii="宋体" w:hAnsi="宋体" w:cs="宋体"/>
                <w:color w:val="auto"/>
                <w:sz w:val="24"/>
              </w:rPr>
              <w:t>该项目负责人近三年类似项目情况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color w:val="auto"/>
                <w:sz w:val="24"/>
              </w:rPr>
            </w:pPr>
            <w:r>
              <w:rPr>
                <w:rFonts w:hint="eastAsia" w:ascii="宋体" w:hAnsi="宋体" w:cs="宋体"/>
                <w:color w:val="auto"/>
                <w:sz w:val="24"/>
              </w:rPr>
              <w:t>实施时间</w:t>
            </w:r>
          </w:p>
        </w:tc>
        <w:tc>
          <w:tcPr>
            <w:tcW w:w="1640" w:type="dxa"/>
            <w:gridSpan w:val="2"/>
          </w:tcPr>
          <w:p>
            <w:pPr>
              <w:spacing w:line="420" w:lineRule="exact"/>
              <w:jc w:val="center"/>
              <w:rPr>
                <w:rFonts w:ascii="宋体" w:hAnsi="宋体" w:cs="宋体"/>
                <w:color w:val="auto"/>
                <w:sz w:val="24"/>
              </w:rPr>
            </w:pPr>
            <w:r>
              <w:rPr>
                <w:rFonts w:hint="eastAsia" w:ascii="宋体" w:hAnsi="宋体" w:cs="宋体"/>
                <w:color w:val="auto"/>
                <w:sz w:val="24"/>
              </w:rPr>
              <w:t>项目名称</w:t>
            </w:r>
          </w:p>
        </w:tc>
        <w:tc>
          <w:tcPr>
            <w:tcW w:w="1633" w:type="dxa"/>
            <w:gridSpan w:val="2"/>
          </w:tcPr>
          <w:p>
            <w:pPr>
              <w:spacing w:line="420" w:lineRule="exact"/>
              <w:jc w:val="center"/>
              <w:rPr>
                <w:rFonts w:ascii="宋体" w:hAnsi="宋体" w:cs="宋体"/>
                <w:color w:val="auto"/>
                <w:sz w:val="24"/>
              </w:rPr>
            </w:pPr>
            <w:r>
              <w:rPr>
                <w:rFonts w:hint="eastAsia" w:ascii="宋体" w:hAnsi="宋体" w:cs="宋体"/>
                <w:color w:val="auto"/>
                <w:sz w:val="24"/>
              </w:rPr>
              <w:t>货物数量</w:t>
            </w:r>
          </w:p>
        </w:tc>
        <w:tc>
          <w:tcPr>
            <w:tcW w:w="2542" w:type="dxa"/>
            <w:gridSpan w:val="2"/>
          </w:tcPr>
          <w:p>
            <w:pPr>
              <w:spacing w:line="420" w:lineRule="exact"/>
              <w:jc w:val="center"/>
              <w:rPr>
                <w:rFonts w:ascii="宋体" w:hAnsi="宋体" w:cs="宋体"/>
                <w:color w:val="auto"/>
                <w:sz w:val="24"/>
              </w:rPr>
            </w:pPr>
            <w:r>
              <w:rPr>
                <w:rFonts w:hint="eastAsia" w:ascii="宋体" w:hAnsi="宋体" w:cs="宋体"/>
                <w:color w:val="auto"/>
                <w:sz w:val="24"/>
              </w:rPr>
              <w:t>担任何职</w:t>
            </w:r>
          </w:p>
        </w:tc>
        <w:tc>
          <w:tcPr>
            <w:tcW w:w="2175" w:type="dxa"/>
          </w:tcPr>
          <w:p>
            <w:pPr>
              <w:spacing w:line="420" w:lineRule="exact"/>
              <w:jc w:val="center"/>
              <w:rPr>
                <w:rFonts w:ascii="宋体" w:hAnsi="宋体" w:cs="宋体"/>
                <w:color w:val="auto"/>
                <w:sz w:val="24"/>
              </w:rPr>
            </w:pPr>
            <w:r>
              <w:rPr>
                <w:rFonts w:hint="eastAsia" w:ascii="宋体" w:hAnsi="宋体" w:cs="宋体"/>
                <w:color w:val="auto"/>
                <w:sz w:val="24"/>
              </w:rPr>
              <w:t>质量或奖项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color w:val="auto"/>
                <w:sz w:val="24"/>
              </w:rPr>
            </w:pPr>
          </w:p>
        </w:tc>
        <w:tc>
          <w:tcPr>
            <w:tcW w:w="1640" w:type="dxa"/>
            <w:gridSpan w:val="2"/>
          </w:tcPr>
          <w:p>
            <w:pPr>
              <w:spacing w:line="420" w:lineRule="exact"/>
              <w:jc w:val="center"/>
              <w:rPr>
                <w:rFonts w:ascii="宋体" w:hAnsi="宋体" w:cs="宋体"/>
                <w:color w:val="auto"/>
                <w:sz w:val="24"/>
              </w:rPr>
            </w:pPr>
          </w:p>
        </w:tc>
        <w:tc>
          <w:tcPr>
            <w:tcW w:w="1633" w:type="dxa"/>
            <w:gridSpan w:val="2"/>
          </w:tcPr>
          <w:p>
            <w:pPr>
              <w:spacing w:line="420" w:lineRule="exact"/>
              <w:jc w:val="center"/>
              <w:rPr>
                <w:rFonts w:ascii="宋体" w:hAnsi="宋体" w:cs="宋体"/>
                <w:color w:val="auto"/>
                <w:sz w:val="24"/>
              </w:rPr>
            </w:pPr>
          </w:p>
        </w:tc>
        <w:tc>
          <w:tcPr>
            <w:tcW w:w="2542" w:type="dxa"/>
            <w:gridSpan w:val="2"/>
          </w:tcPr>
          <w:p>
            <w:pPr>
              <w:spacing w:line="420" w:lineRule="exact"/>
              <w:jc w:val="center"/>
              <w:rPr>
                <w:rFonts w:ascii="宋体" w:hAnsi="宋体" w:cs="宋体"/>
                <w:color w:val="auto"/>
                <w:sz w:val="24"/>
              </w:rPr>
            </w:pPr>
          </w:p>
        </w:tc>
        <w:tc>
          <w:tcPr>
            <w:tcW w:w="2175" w:type="dxa"/>
          </w:tcPr>
          <w:p>
            <w:pPr>
              <w:spacing w:line="42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jc w:val="center"/>
              <w:rPr>
                <w:rFonts w:ascii="宋体" w:hAnsi="宋体" w:cs="宋体"/>
                <w:bCs/>
                <w:color w:val="auto"/>
                <w:sz w:val="24"/>
              </w:rPr>
            </w:pPr>
          </w:p>
        </w:tc>
        <w:tc>
          <w:tcPr>
            <w:tcW w:w="1640" w:type="dxa"/>
            <w:gridSpan w:val="2"/>
          </w:tcPr>
          <w:p>
            <w:pPr>
              <w:spacing w:line="420" w:lineRule="exact"/>
              <w:jc w:val="center"/>
              <w:rPr>
                <w:rFonts w:ascii="宋体" w:hAnsi="宋体" w:cs="宋体"/>
                <w:bCs/>
                <w:color w:val="auto"/>
                <w:sz w:val="24"/>
              </w:rPr>
            </w:pPr>
          </w:p>
        </w:tc>
        <w:tc>
          <w:tcPr>
            <w:tcW w:w="1633" w:type="dxa"/>
            <w:gridSpan w:val="2"/>
          </w:tcPr>
          <w:p>
            <w:pPr>
              <w:spacing w:line="420" w:lineRule="exact"/>
              <w:jc w:val="center"/>
              <w:rPr>
                <w:rFonts w:ascii="宋体" w:hAnsi="宋体" w:cs="宋体"/>
                <w:bCs/>
                <w:color w:val="auto"/>
                <w:sz w:val="24"/>
              </w:rPr>
            </w:pPr>
          </w:p>
        </w:tc>
        <w:tc>
          <w:tcPr>
            <w:tcW w:w="2542" w:type="dxa"/>
            <w:gridSpan w:val="2"/>
          </w:tcPr>
          <w:p>
            <w:pPr>
              <w:spacing w:line="420" w:lineRule="exact"/>
              <w:jc w:val="center"/>
              <w:rPr>
                <w:rFonts w:ascii="宋体" w:hAnsi="宋体" w:cs="宋体"/>
                <w:bCs/>
                <w:color w:val="auto"/>
                <w:sz w:val="24"/>
              </w:rPr>
            </w:pPr>
          </w:p>
        </w:tc>
        <w:tc>
          <w:tcPr>
            <w:tcW w:w="2175" w:type="dxa"/>
          </w:tcPr>
          <w:p>
            <w:pPr>
              <w:spacing w:line="420" w:lineRule="exact"/>
              <w:jc w:val="center"/>
              <w:rPr>
                <w:rFonts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jc w:val="center"/>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2" w:type="dxa"/>
          </w:tcPr>
          <w:p>
            <w:pPr>
              <w:spacing w:line="420" w:lineRule="exact"/>
              <w:rPr>
                <w:rFonts w:ascii="宋体" w:hAnsi="宋体" w:cs="宋体"/>
                <w:bCs/>
                <w:color w:val="auto"/>
                <w:sz w:val="24"/>
                <w:highlight w:val="red"/>
              </w:rPr>
            </w:pPr>
          </w:p>
        </w:tc>
        <w:tc>
          <w:tcPr>
            <w:tcW w:w="1640" w:type="dxa"/>
            <w:gridSpan w:val="2"/>
          </w:tcPr>
          <w:p>
            <w:pPr>
              <w:spacing w:line="420" w:lineRule="exact"/>
              <w:jc w:val="center"/>
              <w:rPr>
                <w:rFonts w:ascii="宋体" w:hAnsi="宋体" w:cs="宋体"/>
                <w:bCs/>
                <w:color w:val="auto"/>
                <w:sz w:val="24"/>
                <w:highlight w:val="red"/>
              </w:rPr>
            </w:pPr>
          </w:p>
        </w:tc>
        <w:tc>
          <w:tcPr>
            <w:tcW w:w="1633" w:type="dxa"/>
            <w:gridSpan w:val="2"/>
          </w:tcPr>
          <w:p>
            <w:pPr>
              <w:spacing w:line="420" w:lineRule="exact"/>
              <w:jc w:val="center"/>
              <w:rPr>
                <w:rFonts w:ascii="宋体" w:hAnsi="宋体" w:cs="宋体"/>
                <w:bCs/>
                <w:color w:val="auto"/>
                <w:sz w:val="24"/>
                <w:highlight w:val="red"/>
              </w:rPr>
            </w:pPr>
          </w:p>
        </w:tc>
        <w:tc>
          <w:tcPr>
            <w:tcW w:w="2542" w:type="dxa"/>
            <w:gridSpan w:val="2"/>
          </w:tcPr>
          <w:p>
            <w:pPr>
              <w:spacing w:line="420" w:lineRule="exact"/>
              <w:jc w:val="center"/>
              <w:rPr>
                <w:rFonts w:ascii="宋体" w:hAnsi="宋体" w:cs="宋体"/>
                <w:bCs/>
                <w:color w:val="auto"/>
                <w:sz w:val="24"/>
                <w:highlight w:val="red"/>
              </w:rPr>
            </w:pPr>
          </w:p>
        </w:tc>
        <w:tc>
          <w:tcPr>
            <w:tcW w:w="2175" w:type="dxa"/>
          </w:tcPr>
          <w:p>
            <w:pPr>
              <w:spacing w:line="420" w:lineRule="exact"/>
              <w:jc w:val="center"/>
              <w:rPr>
                <w:rFonts w:ascii="宋体" w:hAnsi="宋体" w:cs="宋体"/>
                <w:bCs/>
                <w:color w:val="auto"/>
                <w:sz w:val="24"/>
                <w:highlight w:val="red"/>
              </w:rPr>
            </w:pPr>
          </w:p>
        </w:tc>
      </w:tr>
    </w:tbl>
    <w:p>
      <w:pPr>
        <w:tabs>
          <w:tab w:val="left" w:pos="1875"/>
        </w:tabs>
        <w:rPr>
          <w:rFonts w:ascii="宋体" w:hAnsi="宋体" w:cs="宋体"/>
          <w:color w:val="auto"/>
          <w:szCs w:val="21"/>
          <w:highlight w:val="red"/>
        </w:rPr>
      </w:pPr>
    </w:p>
    <w:p>
      <w:pPr>
        <w:rPr>
          <w:rFonts w:ascii="宋体" w:hAnsi="宋体" w:cs="宋体"/>
          <w:color w:val="auto"/>
          <w:szCs w:val="21"/>
          <w:highlight w:val="red"/>
        </w:rPr>
      </w:pPr>
    </w:p>
    <w:p>
      <w:pPr>
        <w:tabs>
          <w:tab w:val="left" w:pos="1875"/>
        </w:tabs>
        <w:rPr>
          <w:rFonts w:ascii="宋体" w:hAnsi="宋体" w:cs="宋体"/>
          <w:color w:val="auto"/>
          <w:szCs w:val="21"/>
          <w:highlight w:val="red"/>
        </w:rPr>
      </w:pPr>
    </w:p>
    <w:p>
      <w:pPr>
        <w:tabs>
          <w:tab w:val="left" w:pos="1875"/>
        </w:tabs>
        <w:ind w:firstLine="420" w:firstLineChars="200"/>
        <w:rPr>
          <w:rFonts w:ascii="宋体" w:hAnsi="宋体" w:cs="宋体"/>
          <w:color w:val="auto"/>
          <w:szCs w:val="21"/>
        </w:rPr>
      </w:pPr>
      <w:r>
        <w:rPr>
          <w:rFonts w:hint="eastAsia" w:ascii="宋体" w:hAnsi="宋体" w:cs="宋体"/>
          <w:color w:val="auto"/>
          <w:szCs w:val="21"/>
        </w:rPr>
        <w:t xml:space="preserve">供应商：（盖章） </w:t>
      </w:r>
    </w:p>
    <w:p>
      <w:pPr>
        <w:rPr>
          <w:rFonts w:ascii="宋体" w:hAnsi="宋体" w:cs="宋体"/>
          <w:color w:val="auto"/>
          <w:szCs w:val="21"/>
        </w:rPr>
      </w:pPr>
    </w:p>
    <w:p>
      <w:pPr>
        <w:ind w:firstLine="420" w:firstLineChars="200"/>
        <w:rPr>
          <w:rFonts w:ascii="宋体" w:hAnsi="宋体" w:cs="宋体"/>
          <w:b/>
          <w:color w:val="auto"/>
          <w:sz w:val="28"/>
          <w:szCs w:val="28"/>
        </w:rPr>
      </w:pPr>
      <w:r>
        <w:rPr>
          <w:rFonts w:hint="eastAsia" w:ascii="宋体" w:hAnsi="宋体" w:cs="宋体"/>
          <w:color w:val="auto"/>
          <w:szCs w:val="21"/>
        </w:rPr>
        <w:t>法定代表人或授权代理人：（签字或盖章）</w:t>
      </w:r>
      <w:r>
        <w:rPr>
          <w:rFonts w:hint="eastAsia" w:ascii="宋体" w:hAnsi="宋体" w:cs="宋体"/>
          <w:color w:val="auto"/>
          <w:sz w:val="24"/>
        </w:rPr>
        <w:t xml:space="preserve">                  日期：    年    月    日</w:t>
      </w:r>
    </w:p>
    <w:p>
      <w:pPr>
        <w:pStyle w:val="9"/>
        <w:spacing w:line="360" w:lineRule="auto"/>
        <w:ind w:right="86"/>
        <w:jc w:val="center"/>
        <w:outlineLvl w:val="0"/>
        <w:rPr>
          <w:rFonts w:hAnsi="宋体" w:cs="宋体"/>
          <w:color w:val="auto"/>
          <w:sz w:val="24"/>
          <w:szCs w:val="24"/>
        </w:rPr>
      </w:pPr>
    </w:p>
    <w:p>
      <w:pPr>
        <w:pStyle w:val="9"/>
        <w:spacing w:line="360" w:lineRule="auto"/>
        <w:ind w:right="86"/>
        <w:jc w:val="center"/>
        <w:outlineLvl w:val="0"/>
        <w:rPr>
          <w:rFonts w:hAnsi="宋体" w:cs="宋体"/>
          <w:b/>
          <w:color w:val="auto"/>
          <w:sz w:val="24"/>
          <w:szCs w:val="24"/>
        </w:rPr>
      </w:pPr>
    </w:p>
    <w:p>
      <w:pPr>
        <w:pStyle w:val="9"/>
        <w:spacing w:line="360" w:lineRule="auto"/>
        <w:ind w:right="86"/>
        <w:jc w:val="center"/>
        <w:outlineLvl w:val="0"/>
        <w:rPr>
          <w:rFonts w:hAnsi="宋体" w:cs="宋体"/>
          <w:b/>
          <w:color w:val="auto"/>
          <w:sz w:val="24"/>
          <w:szCs w:val="24"/>
        </w:rPr>
      </w:pPr>
    </w:p>
    <w:p>
      <w:pPr>
        <w:pStyle w:val="9"/>
        <w:spacing w:line="360" w:lineRule="auto"/>
        <w:ind w:right="86"/>
        <w:jc w:val="center"/>
        <w:outlineLvl w:val="0"/>
        <w:rPr>
          <w:rFonts w:hAnsi="宋体" w:cs="宋体"/>
          <w:b/>
          <w:color w:val="auto"/>
          <w:sz w:val="24"/>
          <w:szCs w:val="24"/>
        </w:rPr>
      </w:pPr>
    </w:p>
    <w:p>
      <w:pPr>
        <w:pStyle w:val="9"/>
        <w:spacing w:line="360" w:lineRule="auto"/>
        <w:ind w:right="86"/>
        <w:jc w:val="center"/>
        <w:outlineLvl w:val="0"/>
        <w:rPr>
          <w:rFonts w:hAnsi="宋体" w:cs="宋体"/>
          <w:b/>
          <w:color w:val="auto"/>
          <w:sz w:val="24"/>
          <w:szCs w:val="24"/>
        </w:rPr>
      </w:pPr>
    </w:p>
    <w:p>
      <w:pPr>
        <w:pStyle w:val="5"/>
        <w:ind w:firstLine="0"/>
        <w:jc w:val="center"/>
        <w:rPr>
          <w:rFonts w:hint="eastAsia" w:ascii="仿宋_GB2312" w:hAnsi="宋体" w:eastAsia="仿宋_GB2312"/>
          <w:bCs/>
          <w:color w:val="auto"/>
          <w:szCs w:val="21"/>
          <w:highlight w:val="none"/>
        </w:rPr>
      </w:pPr>
      <w:r>
        <w:rPr>
          <w:rFonts w:hint="eastAsia" w:ascii="宋体" w:hAnsi="宋体" w:eastAsia="宋体" w:cs="宋体"/>
          <w:b/>
          <w:color w:val="auto"/>
          <w:kern w:val="2"/>
          <w:sz w:val="28"/>
          <w:szCs w:val="28"/>
          <w:lang w:val="en-US" w:eastAsia="zh-CN" w:bidi="ar-SA"/>
        </w:rPr>
        <w:t>9、项目管理、服务及其它人员情况表</w:t>
      </w:r>
    </w:p>
    <w:tbl>
      <w:tblPr>
        <w:tblStyle w:val="18"/>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Theme="majorEastAsia" w:hAnsiTheme="majorEastAsia" w:eastAsiaTheme="majorEastAsia" w:cstheme="majorEastAsia"/>
                <w:color w:val="auto"/>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注：需完整反映本项目要求的所有拟派人员信息，并提供相应证书，所提供的资料均附于本表后如合同及社保证明，作为本表的附件。</w:t>
            </w:r>
          </w:p>
        </w:tc>
      </w:tr>
    </w:tbl>
    <w:p>
      <w:pPr>
        <w:tabs>
          <w:tab w:val="left" w:pos="1875"/>
        </w:tabs>
        <w:rPr>
          <w:rFonts w:hint="eastAsia" w:ascii="宋体" w:hAnsi="宋体" w:cs="宋体"/>
          <w:color w:val="auto"/>
          <w:sz w:val="24"/>
          <w:szCs w:val="24"/>
        </w:rPr>
      </w:pPr>
    </w:p>
    <w:p>
      <w:pPr>
        <w:tabs>
          <w:tab w:val="left" w:pos="1875"/>
        </w:tabs>
        <w:rPr>
          <w:rFonts w:ascii="宋体" w:hAnsi="宋体" w:cs="宋体"/>
          <w:color w:val="auto"/>
          <w:sz w:val="24"/>
          <w:szCs w:val="24"/>
        </w:rPr>
      </w:pPr>
      <w:r>
        <w:rPr>
          <w:rFonts w:hint="eastAsia" w:ascii="宋体" w:hAnsi="宋体" w:cs="宋体"/>
          <w:color w:val="auto"/>
          <w:sz w:val="24"/>
          <w:szCs w:val="24"/>
        </w:rPr>
        <w:t xml:space="preserve">供应商：（盖章） </w:t>
      </w:r>
    </w:p>
    <w:p>
      <w:pPr>
        <w:rPr>
          <w:rFonts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法定代表人或授权代理人：（签字或盖章）                  </w:t>
      </w:r>
    </w:p>
    <w:p>
      <w:pPr>
        <w:rPr>
          <w:rFonts w:hint="eastAsia" w:ascii="宋体" w:hAnsi="宋体" w:cs="宋体"/>
          <w:color w:val="auto"/>
          <w:sz w:val="24"/>
          <w:szCs w:val="24"/>
        </w:rPr>
      </w:pPr>
    </w:p>
    <w:p>
      <w:pPr>
        <w:pStyle w:val="9"/>
        <w:spacing w:line="360" w:lineRule="auto"/>
        <w:ind w:right="86"/>
        <w:jc w:val="center"/>
        <w:outlineLvl w:val="0"/>
        <w:rPr>
          <w:rFonts w:hint="eastAsia" w:hAnsi="宋体" w:cs="宋体"/>
          <w:b/>
          <w:color w:val="auto"/>
          <w:sz w:val="28"/>
          <w:szCs w:val="28"/>
          <w:lang w:val="en-US" w:eastAsia="zh-CN"/>
        </w:rPr>
      </w:pPr>
      <w:r>
        <w:rPr>
          <w:rFonts w:hint="eastAsia" w:ascii="宋体" w:hAnsi="宋体" w:cs="宋体"/>
          <w:color w:val="auto"/>
          <w:sz w:val="24"/>
          <w:szCs w:val="24"/>
        </w:rPr>
        <w:t>日期：    年    月    日</w:t>
      </w:r>
    </w:p>
    <w:p>
      <w:pPr>
        <w:pStyle w:val="9"/>
        <w:spacing w:line="360" w:lineRule="auto"/>
        <w:ind w:right="86"/>
        <w:jc w:val="center"/>
        <w:outlineLvl w:val="0"/>
        <w:rPr>
          <w:rFonts w:hAnsi="宋体" w:cs="宋体"/>
          <w:b/>
          <w:color w:val="auto"/>
          <w:sz w:val="28"/>
          <w:szCs w:val="28"/>
        </w:rPr>
      </w:pPr>
      <w:r>
        <w:rPr>
          <w:rFonts w:hint="eastAsia" w:hAnsi="宋体" w:cs="宋体"/>
          <w:b/>
          <w:color w:val="auto"/>
          <w:sz w:val="28"/>
          <w:szCs w:val="28"/>
          <w:lang w:val="en-US" w:eastAsia="zh-CN"/>
        </w:rPr>
        <w:t>10</w:t>
      </w:r>
      <w:r>
        <w:rPr>
          <w:rFonts w:hint="eastAsia" w:hAnsi="宋体" w:cs="宋体"/>
          <w:b/>
          <w:color w:val="auto"/>
          <w:sz w:val="28"/>
          <w:szCs w:val="28"/>
        </w:rPr>
        <w:t>、近三年（自201</w:t>
      </w:r>
      <w:r>
        <w:rPr>
          <w:rFonts w:hint="eastAsia" w:hAnsi="宋体" w:cs="宋体"/>
          <w:b/>
          <w:color w:val="auto"/>
          <w:sz w:val="28"/>
          <w:szCs w:val="28"/>
          <w:lang w:val="en-US" w:eastAsia="zh-CN"/>
        </w:rPr>
        <w:t>9</w:t>
      </w:r>
      <w:r>
        <w:rPr>
          <w:rFonts w:hint="eastAsia" w:hAnsi="宋体" w:cs="宋体"/>
          <w:b/>
          <w:color w:val="auto"/>
          <w:sz w:val="28"/>
          <w:szCs w:val="28"/>
        </w:rPr>
        <w:t>年</w:t>
      </w:r>
      <w:r>
        <w:rPr>
          <w:rFonts w:hint="eastAsia" w:hAnsi="宋体" w:cs="宋体"/>
          <w:b/>
          <w:color w:val="auto"/>
          <w:sz w:val="28"/>
          <w:szCs w:val="28"/>
          <w:lang w:val="en-US" w:eastAsia="zh-CN"/>
        </w:rPr>
        <w:t>1</w:t>
      </w:r>
      <w:r>
        <w:rPr>
          <w:rFonts w:hint="eastAsia" w:hAnsi="宋体" w:cs="宋体"/>
          <w:b/>
          <w:color w:val="auto"/>
          <w:sz w:val="28"/>
          <w:szCs w:val="28"/>
        </w:rPr>
        <w:t>月1日至今）同类项目业绩表</w:t>
      </w:r>
    </w:p>
    <w:tbl>
      <w:tblPr>
        <w:tblStyle w:val="18"/>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1285"/>
        <w:gridCol w:w="1079"/>
        <w:gridCol w:w="976"/>
        <w:gridCol w:w="245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940" w:type="dxa"/>
            <w:vAlign w:val="center"/>
          </w:tcPr>
          <w:p>
            <w:pPr>
              <w:jc w:val="center"/>
              <w:rPr>
                <w:rFonts w:ascii="宋体" w:hAnsi="宋体" w:cs="宋体"/>
                <w:color w:val="auto"/>
                <w:sz w:val="24"/>
              </w:rPr>
            </w:pPr>
            <w:r>
              <w:rPr>
                <w:rFonts w:hint="eastAsia" w:ascii="宋体" w:hAnsi="宋体" w:cs="宋体"/>
                <w:color w:val="auto"/>
                <w:sz w:val="24"/>
              </w:rPr>
              <w:t>项目名称</w:t>
            </w:r>
          </w:p>
        </w:tc>
        <w:tc>
          <w:tcPr>
            <w:tcW w:w="1285" w:type="dxa"/>
            <w:vAlign w:val="center"/>
          </w:tcPr>
          <w:p>
            <w:pPr>
              <w:jc w:val="center"/>
              <w:rPr>
                <w:rFonts w:ascii="宋体" w:hAnsi="宋体" w:cs="宋体"/>
                <w:color w:val="auto"/>
                <w:sz w:val="24"/>
              </w:rPr>
            </w:pPr>
            <w:r>
              <w:rPr>
                <w:rFonts w:hint="eastAsia" w:ascii="宋体" w:hAnsi="宋体" w:cs="宋体"/>
                <w:color w:val="auto"/>
                <w:sz w:val="24"/>
              </w:rPr>
              <w:t>合同实施日期</w:t>
            </w:r>
          </w:p>
        </w:tc>
        <w:tc>
          <w:tcPr>
            <w:tcW w:w="1079" w:type="dxa"/>
            <w:vAlign w:val="center"/>
          </w:tcPr>
          <w:p>
            <w:pPr>
              <w:jc w:val="center"/>
              <w:rPr>
                <w:rFonts w:ascii="宋体" w:hAnsi="宋体" w:cs="宋体"/>
                <w:color w:val="auto"/>
                <w:sz w:val="24"/>
              </w:rPr>
            </w:pPr>
            <w:r>
              <w:rPr>
                <w:rFonts w:hint="eastAsia" w:ascii="宋体" w:hAnsi="宋体" w:cs="宋体"/>
                <w:color w:val="auto"/>
                <w:sz w:val="24"/>
              </w:rPr>
              <w:t>合同</w:t>
            </w:r>
          </w:p>
          <w:p>
            <w:pPr>
              <w:jc w:val="center"/>
              <w:rPr>
                <w:rFonts w:ascii="宋体" w:hAnsi="宋体" w:cs="宋体"/>
                <w:color w:val="auto"/>
                <w:sz w:val="24"/>
              </w:rPr>
            </w:pPr>
            <w:r>
              <w:rPr>
                <w:rFonts w:hint="eastAsia" w:ascii="宋体" w:hAnsi="宋体" w:cs="宋体"/>
                <w:color w:val="auto"/>
                <w:sz w:val="24"/>
              </w:rPr>
              <w:t>金额</w:t>
            </w:r>
          </w:p>
        </w:tc>
        <w:tc>
          <w:tcPr>
            <w:tcW w:w="976" w:type="dxa"/>
            <w:vAlign w:val="center"/>
          </w:tcPr>
          <w:p>
            <w:pPr>
              <w:jc w:val="center"/>
              <w:rPr>
                <w:rFonts w:ascii="宋体" w:hAnsi="宋体" w:cs="宋体"/>
                <w:color w:val="auto"/>
                <w:sz w:val="24"/>
              </w:rPr>
            </w:pPr>
            <w:r>
              <w:rPr>
                <w:rFonts w:hint="eastAsia" w:ascii="宋体" w:hAnsi="宋体" w:cs="宋体"/>
                <w:color w:val="auto"/>
                <w:sz w:val="24"/>
              </w:rPr>
              <w:t>用户</w:t>
            </w:r>
          </w:p>
          <w:p>
            <w:pPr>
              <w:jc w:val="center"/>
              <w:rPr>
                <w:rFonts w:ascii="宋体" w:hAnsi="宋体" w:cs="宋体"/>
                <w:color w:val="auto"/>
                <w:sz w:val="24"/>
              </w:rPr>
            </w:pPr>
            <w:r>
              <w:rPr>
                <w:rFonts w:hint="eastAsia" w:ascii="宋体" w:hAnsi="宋体" w:cs="宋体"/>
                <w:color w:val="auto"/>
                <w:sz w:val="24"/>
              </w:rPr>
              <w:t>名称</w:t>
            </w:r>
          </w:p>
        </w:tc>
        <w:tc>
          <w:tcPr>
            <w:tcW w:w="2451" w:type="dxa"/>
            <w:vAlign w:val="center"/>
          </w:tcPr>
          <w:p>
            <w:pPr>
              <w:jc w:val="center"/>
              <w:rPr>
                <w:rFonts w:ascii="宋体" w:hAnsi="宋体" w:cs="宋体"/>
                <w:color w:val="auto"/>
                <w:sz w:val="24"/>
              </w:rPr>
            </w:pPr>
            <w:r>
              <w:rPr>
                <w:rFonts w:hint="eastAsia" w:ascii="宋体" w:hAnsi="宋体" w:cs="宋体"/>
                <w:color w:val="auto"/>
                <w:sz w:val="24"/>
              </w:rPr>
              <w:t>用户联系人及联系电话</w:t>
            </w:r>
          </w:p>
        </w:tc>
        <w:tc>
          <w:tcPr>
            <w:tcW w:w="806" w:type="dxa"/>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40" w:type="dxa"/>
          </w:tcPr>
          <w:p>
            <w:pPr>
              <w:rPr>
                <w:rFonts w:ascii="宋体" w:hAnsi="宋体" w:cs="宋体"/>
                <w:color w:val="auto"/>
                <w:szCs w:val="21"/>
              </w:rPr>
            </w:pPr>
          </w:p>
        </w:tc>
        <w:tc>
          <w:tcPr>
            <w:tcW w:w="1285" w:type="dxa"/>
          </w:tcPr>
          <w:p>
            <w:pPr>
              <w:rPr>
                <w:rFonts w:ascii="宋体" w:hAnsi="宋体" w:cs="宋体"/>
                <w:color w:val="auto"/>
                <w:szCs w:val="21"/>
              </w:rPr>
            </w:pPr>
          </w:p>
        </w:tc>
        <w:tc>
          <w:tcPr>
            <w:tcW w:w="1079" w:type="dxa"/>
          </w:tcPr>
          <w:p>
            <w:pPr>
              <w:rPr>
                <w:rFonts w:ascii="宋体" w:hAnsi="宋体" w:cs="宋体"/>
                <w:color w:val="auto"/>
                <w:szCs w:val="21"/>
              </w:rPr>
            </w:pPr>
          </w:p>
        </w:tc>
        <w:tc>
          <w:tcPr>
            <w:tcW w:w="976" w:type="dxa"/>
          </w:tcPr>
          <w:p>
            <w:pPr>
              <w:rPr>
                <w:rFonts w:ascii="宋体" w:hAnsi="宋体" w:cs="宋体"/>
                <w:color w:val="auto"/>
                <w:szCs w:val="21"/>
              </w:rPr>
            </w:pPr>
          </w:p>
        </w:tc>
        <w:tc>
          <w:tcPr>
            <w:tcW w:w="2451" w:type="dxa"/>
          </w:tcPr>
          <w:p>
            <w:pPr>
              <w:rPr>
                <w:rFonts w:ascii="宋体" w:hAnsi="宋体" w:cs="宋体"/>
                <w:color w:val="auto"/>
                <w:szCs w:val="21"/>
              </w:rPr>
            </w:pPr>
          </w:p>
        </w:tc>
        <w:tc>
          <w:tcPr>
            <w:tcW w:w="806" w:type="dxa"/>
          </w:tcPr>
          <w:p>
            <w:pPr>
              <w:rPr>
                <w:rFonts w:ascii="宋体" w:hAnsi="宋体" w:cs="宋体"/>
                <w:color w:val="auto"/>
                <w:szCs w:val="21"/>
              </w:rPr>
            </w:pPr>
          </w:p>
        </w:tc>
      </w:tr>
    </w:tbl>
    <w:p>
      <w:pPr>
        <w:pStyle w:val="9"/>
        <w:spacing w:line="360" w:lineRule="auto"/>
        <w:ind w:right="86"/>
        <w:outlineLvl w:val="0"/>
        <w:rPr>
          <w:rFonts w:hAnsi="宋体" w:cs="宋体"/>
          <w:b/>
          <w:color w:val="auto"/>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color w:val="auto"/>
          <w:sz w:val="24"/>
        </w:rPr>
      </w:pPr>
      <w:r>
        <w:rPr>
          <w:rFonts w:hint="eastAsia" w:ascii="宋体" w:hAnsi="宋体" w:cs="宋体"/>
          <w:color w:val="auto"/>
          <w:sz w:val="24"/>
        </w:rPr>
        <w:t>注：（仅限于供应商自身实施的项目）以上业绩需提供有关书面证明材料复印件（如</w:t>
      </w:r>
      <w:r>
        <w:rPr>
          <w:rFonts w:hint="eastAsia" w:ascii="宋体" w:hAnsi="宋体" w:cs="宋体"/>
          <w:color w:val="auto"/>
          <w:sz w:val="24"/>
          <w:lang w:eastAsia="zh-CN"/>
        </w:rPr>
        <w:t>成交</w:t>
      </w:r>
      <w:r>
        <w:rPr>
          <w:rFonts w:hint="eastAsia" w:ascii="宋体" w:hAnsi="宋体" w:cs="宋体"/>
          <w:color w:val="auto"/>
          <w:sz w:val="24"/>
        </w:rPr>
        <w:t>通知书/成交通知书、采购合同）。</w:t>
      </w:r>
    </w:p>
    <w:p>
      <w:pPr>
        <w:spacing w:line="400" w:lineRule="exact"/>
        <w:rPr>
          <w:rFonts w:ascii="宋体" w:hAnsi="宋体" w:cs="宋体"/>
          <w:color w:val="auto"/>
          <w:sz w:val="24"/>
        </w:rPr>
      </w:pPr>
    </w:p>
    <w:p>
      <w:pPr>
        <w:adjustRightInd w:val="0"/>
        <w:spacing w:line="400" w:lineRule="exact"/>
        <w:ind w:firstLine="480" w:firstLineChars="200"/>
        <w:jc w:val="left"/>
        <w:rPr>
          <w:rFonts w:ascii="宋体" w:hAnsi="宋体" w:cs="宋体"/>
          <w:color w:val="auto"/>
          <w:sz w:val="24"/>
        </w:rPr>
      </w:pPr>
      <w:r>
        <w:rPr>
          <w:rFonts w:hint="eastAsia" w:ascii="宋体" w:hAnsi="宋体" w:cs="宋体"/>
          <w:color w:val="auto"/>
          <w:sz w:val="24"/>
        </w:rPr>
        <w:t xml:space="preserve">供应商（盖章）：         </w:t>
      </w:r>
    </w:p>
    <w:p>
      <w:pPr>
        <w:adjustRightInd w:val="0"/>
        <w:spacing w:line="400" w:lineRule="exact"/>
        <w:ind w:firstLine="480" w:firstLineChars="200"/>
        <w:jc w:val="left"/>
        <w:rPr>
          <w:rFonts w:ascii="宋体" w:hAnsi="宋体" w:cs="宋体"/>
          <w:color w:val="auto"/>
          <w:sz w:val="24"/>
        </w:rPr>
      </w:pPr>
    </w:p>
    <w:p>
      <w:pPr>
        <w:spacing w:line="400" w:lineRule="exact"/>
        <w:ind w:right="480" w:firstLine="480" w:firstLineChars="200"/>
        <w:jc w:val="left"/>
        <w:rPr>
          <w:rFonts w:ascii="宋体" w:hAnsi="宋体" w:cs="宋体"/>
          <w:bCs/>
          <w:color w:val="auto"/>
          <w:sz w:val="24"/>
        </w:rPr>
      </w:pPr>
      <w:r>
        <w:rPr>
          <w:rFonts w:hint="eastAsia" w:ascii="宋体" w:hAnsi="宋体" w:cs="宋体"/>
          <w:color w:val="auto"/>
          <w:sz w:val="24"/>
        </w:rPr>
        <w:t>法定代表人或授权委托人（签字或盖章）：</w:t>
      </w:r>
    </w:p>
    <w:p>
      <w:pPr>
        <w:spacing w:line="400" w:lineRule="exact"/>
        <w:ind w:right="480" w:firstLine="480" w:firstLineChars="200"/>
        <w:jc w:val="right"/>
        <w:rPr>
          <w:rFonts w:ascii="宋体" w:hAnsi="宋体" w:cs="宋体"/>
          <w:b/>
          <w:color w:val="auto"/>
          <w:sz w:val="24"/>
        </w:rPr>
      </w:pPr>
      <w:r>
        <w:rPr>
          <w:rFonts w:hint="eastAsia" w:ascii="宋体" w:hAnsi="宋体" w:cs="宋体"/>
          <w:bCs/>
          <w:color w:val="auto"/>
          <w:sz w:val="24"/>
        </w:rPr>
        <w:t>年  月  日</w:t>
      </w:r>
    </w:p>
    <w:p>
      <w:pPr>
        <w:spacing w:line="420" w:lineRule="exact"/>
        <w:rPr>
          <w:rFonts w:ascii="宋体" w:hAnsi="宋体" w:cs="宋体"/>
          <w:b/>
          <w:bCs/>
          <w:color w:val="auto"/>
          <w:sz w:val="28"/>
          <w:szCs w:val="28"/>
        </w:rPr>
      </w:pPr>
    </w:p>
    <w:p>
      <w:pPr>
        <w:jc w:val="left"/>
        <w:rPr>
          <w:rFonts w:ascii="宋体" w:hAnsi="宋体" w:cs="宋体"/>
          <w:color w:val="auto"/>
          <w:sz w:val="24"/>
        </w:rPr>
      </w:pPr>
    </w:p>
    <w:p>
      <w:pPr>
        <w:jc w:val="left"/>
        <w:rPr>
          <w:rFonts w:ascii="宋体" w:hAnsi="宋体" w:cs="宋体"/>
          <w:color w:val="auto"/>
          <w:sz w:val="24"/>
        </w:rPr>
      </w:pPr>
    </w:p>
    <w:p>
      <w:pPr>
        <w:jc w:val="left"/>
        <w:rPr>
          <w:rFonts w:ascii="宋体" w:hAnsi="宋体" w:cs="宋体"/>
          <w:color w:val="auto"/>
          <w:sz w:val="24"/>
        </w:rPr>
      </w:pPr>
    </w:p>
    <w:p>
      <w:pPr>
        <w:pageBreakBefore/>
        <w:jc w:val="center"/>
        <w:rPr>
          <w:rFonts w:ascii="宋体" w:hAnsi="宋体" w:cs="宋体"/>
          <w:b/>
          <w:color w:val="auto"/>
          <w:sz w:val="28"/>
          <w:szCs w:val="28"/>
        </w:rPr>
      </w:pPr>
      <w:r>
        <w:rPr>
          <w:rFonts w:hint="eastAsia" w:ascii="宋体" w:hAnsi="宋体" w:cs="宋体"/>
          <w:b/>
          <w:color w:val="auto"/>
          <w:sz w:val="28"/>
          <w:szCs w:val="28"/>
        </w:rPr>
        <w:t>1</w:t>
      </w:r>
      <w:r>
        <w:rPr>
          <w:rFonts w:hint="eastAsia" w:ascii="宋体" w:hAnsi="宋体" w:cs="宋体"/>
          <w:b/>
          <w:color w:val="auto"/>
          <w:sz w:val="28"/>
          <w:szCs w:val="28"/>
          <w:lang w:val="en-US" w:eastAsia="zh-CN"/>
        </w:rPr>
        <w:t>1</w:t>
      </w:r>
      <w:r>
        <w:rPr>
          <w:rFonts w:hint="eastAsia" w:ascii="宋体" w:hAnsi="宋体" w:cs="宋体"/>
          <w:b/>
          <w:color w:val="auto"/>
          <w:sz w:val="28"/>
          <w:szCs w:val="28"/>
        </w:rPr>
        <w:t>、资格性/符合性自查表</w:t>
      </w:r>
    </w:p>
    <w:tbl>
      <w:tblPr>
        <w:tblStyle w:val="18"/>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lang w:eastAsia="zh-CN"/>
              </w:rPr>
              <w:t>竞争性磋商文件</w:t>
            </w:r>
            <w:r>
              <w:rPr>
                <w:rFonts w:hint="eastAsia" w:ascii="宋体" w:hAnsi="宋体" w:cs="宋体"/>
                <w:b/>
                <w:bCs/>
                <w:color w:val="auto"/>
                <w:spacing w:val="10"/>
                <w:sz w:val="24"/>
              </w:rPr>
              <w:t>要求</w:t>
            </w:r>
            <w:r>
              <w:rPr>
                <w:rFonts w:hint="eastAsia" w:ascii="宋体" w:hAnsi="宋体" w:cs="宋体"/>
                <w:color w:val="auto"/>
              </w:rPr>
              <w:br w:type="textWrapping"/>
            </w:r>
            <w:r>
              <w:rPr>
                <w:rFonts w:hint="eastAsia" w:ascii="宋体" w:hAnsi="宋体" w:cs="宋体"/>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color w:val="auto"/>
                <w:sz w:val="24"/>
              </w:rPr>
            </w:pPr>
            <w:r>
              <w:rPr>
                <w:rFonts w:hint="eastAsia" w:ascii="宋体" w:hAnsi="宋体" w:cs="宋体"/>
                <w:b/>
                <w:bCs/>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eastAsia="zh-CN"/>
              </w:rPr>
              <w:t>响应文件</w:t>
            </w:r>
            <w:r>
              <w:rPr>
                <w:rFonts w:hint="eastAsia" w:ascii="宋体" w:hAnsi="宋体" w:cs="宋体"/>
                <w:color w:val="auto"/>
                <w:sz w:val="24"/>
              </w:rPr>
              <w:t>第（）页</w:t>
            </w:r>
          </w:p>
        </w:tc>
      </w:tr>
    </w:tbl>
    <w:p>
      <w:pPr>
        <w:spacing w:line="360" w:lineRule="auto"/>
        <w:jc w:val="left"/>
        <w:rPr>
          <w:rFonts w:ascii="宋体" w:hAnsi="宋体" w:cs="宋体"/>
          <w:color w:val="auto"/>
          <w:sz w:val="24"/>
        </w:rPr>
      </w:pPr>
      <w:r>
        <w:rPr>
          <w:rFonts w:hint="eastAsia" w:ascii="宋体" w:hAnsi="宋体" w:cs="宋体"/>
          <w:color w:val="auto"/>
          <w:sz w:val="24"/>
        </w:rPr>
        <w:t>注：1、以上材料将作为</w:t>
      </w:r>
      <w:r>
        <w:rPr>
          <w:rFonts w:hint="eastAsia" w:ascii="宋体" w:hAnsi="宋体" w:cs="宋体"/>
          <w:color w:val="auto"/>
          <w:sz w:val="24"/>
          <w:lang w:eastAsia="zh-CN"/>
        </w:rPr>
        <w:t>投标</w:t>
      </w:r>
      <w:r>
        <w:rPr>
          <w:rFonts w:hint="eastAsia" w:ascii="宋体" w:hAnsi="宋体" w:cs="宋体"/>
          <w:color w:val="auto"/>
          <w:sz w:val="24"/>
        </w:rPr>
        <w:t>供应商有效性审核的重要内容之一，供应商必须严格按照其内容及序列要求在</w:t>
      </w:r>
      <w:r>
        <w:rPr>
          <w:rFonts w:hint="eastAsia" w:ascii="宋体" w:hAnsi="宋体" w:cs="宋体"/>
          <w:color w:val="auto"/>
          <w:sz w:val="24"/>
          <w:lang w:eastAsia="zh-CN"/>
        </w:rPr>
        <w:t>响应文件</w:t>
      </w:r>
      <w:r>
        <w:rPr>
          <w:rFonts w:hint="eastAsia" w:ascii="宋体" w:hAnsi="宋体" w:cs="宋体"/>
          <w:color w:val="auto"/>
          <w:sz w:val="24"/>
        </w:rPr>
        <w:t>中对应如实提供，对资格性和符合性证明文件的任何缺漏和不符合项将会直接导致</w:t>
      </w:r>
      <w:r>
        <w:rPr>
          <w:rFonts w:hint="eastAsia" w:ascii="宋体" w:hAnsi="宋体" w:cs="宋体"/>
          <w:color w:val="auto"/>
          <w:sz w:val="24"/>
          <w:lang w:eastAsia="zh-CN"/>
        </w:rPr>
        <w:t>响应文件</w:t>
      </w:r>
      <w:r>
        <w:rPr>
          <w:rFonts w:hint="eastAsia" w:ascii="宋体" w:hAnsi="宋体" w:cs="宋体"/>
          <w:color w:val="auto"/>
          <w:sz w:val="24"/>
        </w:rPr>
        <w:t>无效！供应商根据自查结论在对应的□打“√”。</w:t>
      </w:r>
    </w:p>
    <w:p>
      <w:pPr>
        <w:spacing w:line="360" w:lineRule="auto"/>
        <w:ind w:firstLine="480" w:firstLineChars="200"/>
        <w:jc w:val="left"/>
        <w:rPr>
          <w:rFonts w:ascii="宋体" w:hAnsi="宋体" w:cs="宋体"/>
          <w:b/>
          <w:bCs/>
          <w:color w:val="auto"/>
          <w:sz w:val="28"/>
          <w:szCs w:val="28"/>
        </w:rPr>
      </w:pPr>
      <w:r>
        <w:rPr>
          <w:rFonts w:hint="eastAsia" w:ascii="宋体" w:hAnsi="宋体" w:cs="宋体"/>
          <w:color w:val="auto"/>
          <w:sz w:val="24"/>
        </w:rPr>
        <w:t>2、各供应商按此表格式填写，表格不够时可自行添加。</w:t>
      </w:r>
    </w:p>
    <w:p>
      <w:pPr>
        <w:spacing w:line="360" w:lineRule="auto"/>
        <w:rPr>
          <w:rFonts w:ascii="宋体" w:hAnsi="宋体" w:cs="宋体"/>
          <w:b/>
          <w:bCs/>
          <w:color w:val="auto"/>
          <w:sz w:val="30"/>
          <w:szCs w:val="30"/>
        </w:rPr>
      </w:pPr>
    </w:p>
    <w:p>
      <w:pPr>
        <w:spacing w:line="360" w:lineRule="auto"/>
        <w:jc w:val="center"/>
        <w:rPr>
          <w:rFonts w:ascii="宋体" w:hAnsi="宋体" w:cs="宋体"/>
          <w:b/>
          <w:bCs/>
          <w:color w:val="auto"/>
          <w:sz w:val="30"/>
          <w:szCs w:val="30"/>
        </w:rPr>
      </w:pPr>
      <w:r>
        <w:rPr>
          <w:rFonts w:hint="eastAsia" w:ascii="宋体" w:hAnsi="宋体" w:cs="宋体"/>
          <w:b/>
          <w:bCs/>
          <w:color w:val="auto"/>
          <w:sz w:val="30"/>
          <w:szCs w:val="30"/>
        </w:rPr>
        <w:t>第六章、评标标准（综合评估法）</w:t>
      </w:r>
    </w:p>
    <w:p>
      <w:pPr>
        <w:spacing w:line="360" w:lineRule="auto"/>
        <w:rPr>
          <w:rFonts w:ascii="宋体" w:hAnsi="宋体" w:cs="宋体"/>
          <w:b/>
          <w:bCs/>
          <w:color w:val="auto"/>
          <w:sz w:val="24"/>
        </w:rPr>
      </w:pPr>
      <w:r>
        <w:rPr>
          <w:rFonts w:hint="eastAsia" w:ascii="宋体" w:hAnsi="宋体" w:cs="宋体"/>
          <w:b/>
          <w:bCs/>
          <w:color w:val="auto"/>
          <w:sz w:val="24"/>
        </w:rPr>
        <w:t>一、初审</w:t>
      </w:r>
    </w:p>
    <w:p>
      <w:pPr>
        <w:spacing w:line="360" w:lineRule="auto"/>
        <w:rPr>
          <w:rFonts w:ascii="宋体" w:hAnsi="宋体" w:cs="宋体"/>
          <w:b/>
          <w:bCs/>
          <w:color w:val="auto"/>
          <w:sz w:val="24"/>
        </w:rPr>
      </w:pPr>
      <w:r>
        <w:rPr>
          <w:rFonts w:hint="eastAsia" w:ascii="宋体" w:hAnsi="宋体" w:cs="宋体"/>
          <w:b/>
          <w:bCs/>
          <w:color w:val="auto"/>
          <w:sz w:val="24"/>
        </w:rPr>
        <w:t>1、资格性审查</w:t>
      </w:r>
    </w:p>
    <w:tbl>
      <w:tblPr>
        <w:tblStyle w:val="18"/>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36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7"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序号</w:t>
            </w:r>
          </w:p>
        </w:tc>
        <w:tc>
          <w:tcPr>
            <w:tcW w:w="6365"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评审因素</w:t>
            </w:r>
          </w:p>
        </w:tc>
        <w:tc>
          <w:tcPr>
            <w:tcW w:w="2325"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07" w:type="dxa"/>
            <w:noWrap w:val="0"/>
            <w:vAlign w:val="center"/>
          </w:tcPr>
          <w:p>
            <w:pPr>
              <w:spacing w:line="288"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tc>
        <w:tc>
          <w:tcPr>
            <w:tcW w:w="6365" w:type="dxa"/>
            <w:noWrap w:val="0"/>
            <w:vAlign w:val="center"/>
          </w:tcPr>
          <w:p>
            <w:pPr>
              <w:spacing w:line="288" w:lineRule="auto"/>
              <w:rPr>
                <w:rFonts w:hint="eastAsia" w:ascii="宋体" w:hAnsi="宋体" w:cs="宋体"/>
                <w:color w:val="auto"/>
                <w:szCs w:val="21"/>
                <w:lang w:val="zh-CN"/>
              </w:rPr>
            </w:pPr>
            <w:r>
              <w:rPr>
                <w:rFonts w:hint="eastAsia" w:ascii="宋体" w:hAnsi="宋体" w:cs="宋体"/>
                <w:color w:val="auto"/>
                <w:szCs w:val="21"/>
                <w:lang w:val="zh-CN"/>
              </w:rPr>
              <w:t>供应商须符合《中华人民共和国政府采购法》第二十二条</w:t>
            </w:r>
          </w:p>
        </w:tc>
        <w:tc>
          <w:tcPr>
            <w:tcW w:w="2325" w:type="dxa"/>
            <w:noWrap w:val="0"/>
            <w:vAlign w:val="center"/>
          </w:tcPr>
          <w:p>
            <w:pPr>
              <w:spacing w:line="288" w:lineRule="auto"/>
              <w:rPr>
                <w:rFonts w:hint="eastAsia" w:ascii="宋体" w:hAnsi="宋体" w:cs="宋体"/>
                <w:color w:val="auto"/>
                <w:szCs w:val="21"/>
                <w:lang w:val="zh-CN"/>
              </w:rPr>
            </w:pPr>
            <w:r>
              <w:rPr>
                <w:rFonts w:hint="eastAsia" w:ascii="宋体" w:hAnsi="宋体" w:cs="宋体"/>
                <w:color w:val="auto"/>
                <w:szCs w:val="21"/>
                <w:lang w:val="en-US" w:eastAsia="zh-CN"/>
              </w:rPr>
              <w:t>符合竞争性磋商文件规定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07" w:type="dxa"/>
            <w:noWrap w:val="0"/>
            <w:vAlign w:val="center"/>
          </w:tcPr>
          <w:p>
            <w:pPr>
              <w:spacing w:line="288" w:lineRule="auto"/>
              <w:jc w:val="center"/>
              <w:rPr>
                <w:rFonts w:ascii="宋体" w:hAnsi="宋体" w:cs="宋体"/>
                <w:color w:val="auto"/>
                <w:szCs w:val="21"/>
              </w:rPr>
            </w:pPr>
            <w:r>
              <w:rPr>
                <w:rFonts w:hint="eastAsia" w:ascii="宋体" w:hAnsi="宋体" w:cs="宋体"/>
                <w:color w:val="auto"/>
                <w:szCs w:val="21"/>
              </w:rPr>
              <w:t>2</w:t>
            </w:r>
          </w:p>
        </w:tc>
        <w:tc>
          <w:tcPr>
            <w:tcW w:w="636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highlight w:val="none"/>
                <w:lang w:val="zh-CN"/>
              </w:rPr>
              <w:t>在中华人民共和国境内注册，依法取得企业营业执照且营业执照在有效期内（</w:t>
            </w:r>
            <w:r>
              <w:rPr>
                <w:rFonts w:hint="eastAsia" w:ascii="宋体" w:hAnsi="宋体" w:cs="宋体"/>
                <w:color w:val="auto"/>
                <w:szCs w:val="21"/>
                <w:highlight w:val="none"/>
              </w:rPr>
              <w:t>经营范围具有与本项目相关的采购内容</w:t>
            </w:r>
            <w:r>
              <w:rPr>
                <w:rFonts w:hint="eastAsia" w:ascii="宋体" w:hAnsi="宋体" w:cs="宋体"/>
                <w:color w:val="auto"/>
                <w:szCs w:val="21"/>
                <w:highlight w:val="none"/>
                <w:lang w:val="zh-CN"/>
              </w:rPr>
              <w:t>）</w:t>
            </w:r>
          </w:p>
        </w:tc>
        <w:tc>
          <w:tcPr>
            <w:tcW w:w="232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707" w:type="dxa"/>
            <w:noWrap w:val="0"/>
            <w:vAlign w:val="center"/>
          </w:tcPr>
          <w:p>
            <w:pPr>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6365" w:type="dxa"/>
            <w:noWrap w:val="0"/>
            <w:vAlign w:val="center"/>
          </w:tcPr>
          <w:p>
            <w:pPr>
              <w:spacing w:line="288"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具有有效的食品检验机构资质认定合格证书（CMAF）及CMAF资质认定证书附表的相关内容，附表内容必须完全涵盖所有待检商品及检验项目；或食品检验机构资质认定证书（CMA）及CMA资质认定证书附表的相关内容，附表内容必须完全涵盖所有待检商品及检验项目</w:t>
            </w:r>
          </w:p>
        </w:tc>
        <w:tc>
          <w:tcPr>
            <w:tcW w:w="2325" w:type="dxa"/>
            <w:noWrap w:val="0"/>
            <w:vAlign w:val="center"/>
          </w:tcPr>
          <w:p>
            <w:pPr>
              <w:spacing w:line="288" w:lineRule="auto"/>
              <w:rPr>
                <w:rFonts w:hint="eastAsia" w:ascii="宋体" w:hAnsi="宋体" w:cs="宋体"/>
                <w:color w:val="auto"/>
                <w:szCs w:val="21"/>
                <w:lang w:val="zh-CN"/>
              </w:rPr>
            </w:pPr>
            <w:r>
              <w:rPr>
                <w:rFonts w:hint="eastAsia" w:ascii="宋体" w:hAnsi="宋体" w:cs="宋体"/>
                <w:color w:val="auto"/>
                <w:szCs w:val="21"/>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07" w:type="dxa"/>
            <w:noWrap w:val="0"/>
            <w:vAlign w:val="center"/>
          </w:tcPr>
          <w:p>
            <w:pPr>
              <w:spacing w:line="288"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36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联合体</w:t>
            </w:r>
          </w:p>
        </w:tc>
        <w:tc>
          <w:tcPr>
            <w:tcW w:w="2325" w:type="dxa"/>
            <w:noWrap w:val="0"/>
            <w:vAlign w:val="center"/>
          </w:tcPr>
          <w:p>
            <w:pPr>
              <w:spacing w:line="288" w:lineRule="auto"/>
              <w:rPr>
                <w:rFonts w:ascii="宋体" w:hAnsi="宋体" w:cs="宋体"/>
                <w:color w:val="auto"/>
                <w:szCs w:val="21"/>
                <w:lang w:val="zh-CN"/>
              </w:rPr>
            </w:pPr>
            <w:r>
              <w:rPr>
                <w:rFonts w:hint="eastAsia" w:ascii="宋体" w:hAnsi="宋体" w:cs="宋体"/>
                <w:color w:val="auto"/>
                <w:szCs w:val="21"/>
                <w:lang w:val="zh-CN"/>
              </w:rPr>
              <w:t>不接受联合体供应商</w:t>
            </w:r>
          </w:p>
        </w:tc>
      </w:tr>
    </w:tbl>
    <w:p>
      <w:pPr>
        <w:spacing w:line="360" w:lineRule="auto"/>
        <w:rPr>
          <w:rFonts w:ascii="宋体" w:hAnsi="宋体" w:cs="宋体"/>
          <w:b/>
          <w:bCs/>
          <w:color w:val="auto"/>
          <w:sz w:val="24"/>
        </w:rPr>
      </w:pPr>
      <w:r>
        <w:rPr>
          <w:rFonts w:hint="eastAsia" w:ascii="宋体" w:hAnsi="宋体" w:cs="宋体"/>
          <w:b/>
          <w:bCs/>
          <w:color w:val="auto"/>
          <w:sz w:val="24"/>
        </w:rPr>
        <w:t>2、符合性审查</w:t>
      </w:r>
    </w:p>
    <w:tbl>
      <w:tblPr>
        <w:tblStyle w:val="18"/>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2107"/>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序号</w:t>
            </w:r>
          </w:p>
        </w:tc>
        <w:tc>
          <w:tcPr>
            <w:tcW w:w="3158" w:type="dxa"/>
            <w:gridSpan w:val="2"/>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评审因素</w:t>
            </w:r>
          </w:p>
        </w:tc>
        <w:tc>
          <w:tcPr>
            <w:tcW w:w="5523" w:type="dxa"/>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6"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1</w:t>
            </w:r>
          </w:p>
        </w:tc>
        <w:tc>
          <w:tcPr>
            <w:tcW w:w="1051"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有效性审查</w:t>
            </w:r>
          </w:p>
        </w:tc>
        <w:tc>
          <w:tcPr>
            <w:tcW w:w="2107"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szCs w:val="21"/>
              </w:rPr>
              <w:t>签署</w:t>
            </w:r>
          </w:p>
        </w:tc>
        <w:tc>
          <w:tcPr>
            <w:tcW w:w="552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jc w:val="center"/>
              <w:rPr>
                <w:rFonts w:ascii="宋体" w:hAnsi="宋体" w:cs="宋体"/>
                <w:color w:val="auto"/>
                <w:kern w:val="0"/>
                <w:szCs w:val="21"/>
              </w:rPr>
            </w:pPr>
          </w:p>
        </w:tc>
        <w:tc>
          <w:tcPr>
            <w:tcW w:w="21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法定代表人身份证明及授权委托书</w:t>
            </w:r>
          </w:p>
        </w:tc>
        <w:tc>
          <w:tcPr>
            <w:tcW w:w="55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法定代表人身份证明及授权委托书有效，且符合</w:t>
            </w:r>
            <w:r>
              <w:rPr>
                <w:rFonts w:hint="eastAsia" w:ascii="宋体" w:hAnsi="宋体" w:cs="宋体"/>
                <w:color w:val="auto"/>
                <w:szCs w:val="21"/>
                <w:lang w:eastAsia="zh-CN"/>
              </w:rPr>
              <w:t>竞争性磋商文件</w:t>
            </w:r>
            <w:r>
              <w:rPr>
                <w:rFonts w:hint="eastAsia" w:ascii="宋体" w:hAnsi="宋体" w:cs="宋体"/>
                <w:color w:val="auto"/>
                <w:szCs w:val="21"/>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16"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2</w:t>
            </w:r>
          </w:p>
        </w:tc>
        <w:tc>
          <w:tcPr>
            <w:tcW w:w="1051"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完整性审查</w:t>
            </w:r>
          </w:p>
        </w:tc>
        <w:tc>
          <w:tcPr>
            <w:tcW w:w="2107"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响应文件份数</w:t>
            </w:r>
          </w:p>
        </w:tc>
        <w:tc>
          <w:tcPr>
            <w:tcW w:w="552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szCs w:val="21"/>
                <w:lang w:val="en-US" w:eastAsia="zh-CN"/>
              </w:rPr>
              <w:t>电子版是否</w:t>
            </w:r>
            <w:r>
              <w:rPr>
                <w:rFonts w:hint="eastAsia" w:ascii="宋体" w:hAnsi="宋体" w:cs="宋体"/>
                <w:color w:val="auto"/>
                <w:szCs w:val="21"/>
                <w:lang w:val="zh-CN"/>
              </w:rPr>
              <w:t>符合</w:t>
            </w:r>
            <w:r>
              <w:rPr>
                <w:rFonts w:hint="eastAsia" w:ascii="宋体" w:hAnsi="宋体" w:cs="宋体"/>
                <w:color w:val="auto"/>
                <w:kern w:val="0"/>
                <w:szCs w:val="21"/>
                <w:lang w:eastAsia="zh-CN"/>
              </w:rPr>
              <w:t>竞争性磋商文件</w:t>
            </w:r>
            <w:r>
              <w:rPr>
                <w:rFonts w:hint="eastAsia" w:ascii="宋体" w:hAnsi="宋体" w:cs="宋体"/>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jc w:val="center"/>
              <w:rPr>
                <w:rFonts w:ascii="宋体" w:hAnsi="宋体" w:cs="宋体"/>
                <w:color w:val="auto"/>
                <w:kern w:val="0"/>
                <w:szCs w:val="21"/>
              </w:rPr>
            </w:pPr>
          </w:p>
        </w:tc>
        <w:tc>
          <w:tcPr>
            <w:tcW w:w="2107" w:type="dxa"/>
            <w:vAlign w:val="center"/>
          </w:tcPr>
          <w:p>
            <w:pPr>
              <w:spacing w:line="500" w:lineRule="exact"/>
              <w:rPr>
                <w:rFonts w:ascii="宋体" w:hAnsi="宋体" w:cs="宋体"/>
                <w:color w:val="auto"/>
                <w:szCs w:val="21"/>
                <w:lang w:val="zh-CN"/>
              </w:rPr>
            </w:pPr>
            <w:r>
              <w:rPr>
                <w:rFonts w:hint="eastAsia" w:ascii="宋体" w:hAnsi="宋体" w:cs="宋体"/>
                <w:color w:val="auto"/>
                <w:szCs w:val="21"/>
                <w:lang w:val="zh-CN"/>
              </w:rPr>
              <w:t>响应文件内容</w:t>
            </w:r>
          </w:p>
        </w:tc>
        <w:tc>
          <w:tcPr>
            <w:tcW w:w="5523" w:type="dxa"/>
            <w:vAlign w:val="center"/>
          </w:tcPr>
          <w:p>
            <w:pPr>
              <w:spacing w:line="500" w:lineRule="exact"/>
              <w:rPr>
                <w:rFonts w:ascii="宋体" w:hAnsi="宋体" w:cs="宋体"/>
                <w:color w:val="auto"/>
                <w:szCs w:val="21"/>
                <w:lang w:val="zh-CN"/>
              </w:rPr>
            </w:pPr>
            <w:r>
              <w:rPr>
                <w:rFonts w:hint="eastAsia" w:ascii="宋体" w:hAnsi="宋体" w:cs="宋体"/>
                <w:color w:val="auto"/>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16" w:type="dxa"/>
            <w:vMerge w:val="restart"/>
            <w:vAlign w:val="center"/>
          </w:tcPr>
          <w:p>
            <w:pPr>
              <w:spacing w:line="500" w:lineRule="exact"/>
              <w:jc w:val="center"/>
              <w:rPr>
                <w:rFonts w:ascii="宋体" w:hAnsi="宋体" w:cs="宋体"/>
                <w:color w:val="auto"/>
                <w:kern w:val="0"/>
                <w:szCs w:val="21"/>
              </w:rPr>
            </w:pPr>
            <w:r>
              <w:rPr>
                <w:rFonts w:hint="eastAsia" w:ascii="宋体" w:hAnsi="宋体" w:cs="宋体"/>
                <w:color w:val="auto"/>
                <w:kern w:val="0"/>
                <w:szCs w:val="21"/>
              </w:rPr>
              <w:t>3</w:t>
            </w:r>
          </w:p>
        </w:tc>
        <w:tc>
          <w:tcPr>
            <w:tcW w:w="1051" w:type="dxa"/>
            <w:vMerge w:val="restart"/>
            <w:vAlign w:val="center"/>
          </w:tcPr>
          <w:p>
            <w:pPr>
              <w:spacing w:line="500" w:lineRule="exact"/>
              <w:jc w:val="center"/>
              <w:rPr>
                <w:rFonts w:ascii="宋体" w:hAnsi="宋体" w:cs="宋体"/>
                <w:color w:val="auto"/>
                <w:szCs w:val="21"/>
                <w:lang w:val="zh-CN"/>
              </w:rPr>
            </w:pPr>
            <w:r>
              <w:rPr>
                <w:rFonts w:hint="eastAsia" w:ascii="宋体" w:hAnsi="宋体" w:cs="宋体"/>
                <w:color w:val="auto"/>
                <w:kern w:val="0"/>
                <w:szCs w:val="21"/>
                <w:lang w:eastAsia="zh-CN"/>
              </w:rPr>
              <w:t>竞争性磋商文件</w:t>
            </w:r>
            <w:r>
              <w:rPr>
                <w:rFonts w:hint="eastAsia" w:ascii="宋体" w:hAnsi="宋体" w:cs="宋体"/>
                <w:color w:val="auto"/>
                <w:kern w:val="0"/>
                <w:szCs w:val="21"/>
              </w:rPr>
              <w:t>的响应程度审查</w:t>
            </w:r>
          </w:p>
        </w:tc>
        <w:tc>
          <w:tcPr>
            <w:tcW w:w="2107"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kern w:val="0"/>
                <w:szCs w:val="21"/>
              </w:rPr>
              <w:t>内容</w:t>
            </w:r>
          </w:p>
        </w:tc>
        <w:tc>
          <w:tcPr>
            <w:tcW w:w="5523" w:type="dxa"/>
            <w:vAlign w:val="center"/>
          </w:tcPr>
          <w:p>
            <w:pPr>
              <w:pStyle w:val="10"/>
              <w:spacing w:line="500" w:lineRule="exact"/>
              <w:ind w:left="0" w:leftChars="0"/>
              <w:rPr>
                <w:rFonts w:ascii="宋体" w:hAnsi="宋体" w:eastAsia="宋体" w:cs="宋体"/>
                <w:color w:val="auto"/>
                <w:kern w:val="0"/>
                <w:sz w:val="21"/>
                <w:szCs w:val="21"/>
              </w:rPr>
            </w:pPr>
            <w:r>
              <w:rPr>
                <w:rFonts w:hint="eastAsia" w:ascii="宋体" w:hAnsi="宋体" w:eastAsia="宋体" w:cs="宋体"/>
                <w:color w:val="auto"/>
                <w:kern w:val="0"/>
                <w:sz w:val="21"/>
                <w:szCs w:val="21"/>
              </w:rPr>
              <w:t>对</w:t>
            </w:r>
            <w:r>
              <w:rPr>
                <w:rFonts w:hint="eastAsia" w:ascii="宋体" w:hAnsi="宋体" w:eastAsia="宋体" w:cs="宋体"/>
                <w:color w:val="auto"/>
                <w:kern w:val="0"/>
                <w:sz w:val="21"/>
                <w:szCs w:val="21"/>
                <w:lang w:eastAsia="zh-CN"/>
              </w:rPr>
              <w:t>竞争性磋商文件</w:t>
            </w:r>
            <w:r>
              <w:rPr>
                <w:rFonts w:hint="eastAsia" w:ascii="宋体" w:hAnsi="宋体" w:eastAsia="宋体" w:cs="宋体"/>
                <w:color w:val="auto"/>
                <w:kern w:val="0"/>
                <w:sz w:val="21"/>
                <w:szCs w:val="21"/>
              </w:rPr>
              <w:t>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kern w:val="0"/>
                <w:szCs w:val="21"/>
              </w:rPr>
            </w:pPr>
          </w:p>
        </w:tc>
        <w:tc>
          <w:tcPr>
            <w:tcW w:w="2107"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质量技术</w:t>
            </w:r>
          </w:p>
        </w:tc>
        <w:tc>
          <w:tcPr>
            <w:tcW w:w="5523"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竞争性磋商文件</w:t>
            </w:r>
            <w:r>
              <w:rPr>
                <w:rFonts w:hint="eastAsia" w:ascii="宋体" w:hAnsi="宋体" w:cs="宋体"/>
                <w:color w:val="auto"/>
                <w:kern w:val="0"/>
                <w:szCs w:val="21"/>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kern w:val="0"/>
                <w:szCs w:val="21"/>
              </w:rPr>
            </w:pPr>
          </w:p>
        </w:tc>
        <w:tc>
          <w:tcPr>
            <w:tcW w:w="2107" w:type="dxa"/>
            <w:vAlign w:val="center"/>
          </w:tcPr>
          <w:p>
            <w:pPr>
              <w:spacing w:line="50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服务</w:t>
            </w:r>
            <w:r>
              <w:rPr>
                <w:rFonts w:hint="eastAsia" w:ascii="宋体" w:hAnsi="宋体" w:cs="宋体"/>
                <w:color w:val="auto"/>
                <w:kern w:val="0"/>
                <w:szCs w:val="21"/>
              </w:rPr>
              <w:t>期</w:t>
            </w:r>
          </w:p>
        </w:tc>
        <w:tc>
          <w:tcPr>
            <w:tcW w:w="5523"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竞争性磋商文件</w:t>
            </w:r>
            <w:r>
              <w:rPr>
                <w:rFonts w:hint="eastAsia" w:ascii="宋体" w:hAnsi="宋体" w:cs="宋体"/>
                <w:color w:val="auto"/>
                <w:szCs w:val="21"/>
                <w:lang w:val="zh-CN"/>
              </w:rPr>
              <w:t>规定</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6" w:type="dxa"/>
            <w:vMerge w:val="continue"/>
            <w:vAlign w:val="center"/>
          </w:tcPr>
          <w:p>
            <w:pPr>
              <w:spacing w:line="500" w:lineRule="exact"/>
              <w:jc w:val="center"/>
              <w:rPr>
                <w:rFonts w:ascii="宋体" w:hAnsi="宋体" w:cs="宋体"/>
                <w:color w:val="auto"/>
                <w:kern w:val="0"/>
                <w:szCs w:val="21"/>
              </w:rPr>
            </w:pPr>
          </w:p>
        </w:tc>
        <w:tc>
          <w:tcPr>
            <w:tcW w:w="1051" w:type="dxa"/>
            <w:vMerge w:val="continue"/>
            <w:vAlign w:val="center"/>
          </w:tcPr>
          <w:p>
            <w:pPr>
              <w:spacing w:line="500" w:lineRule="exact"/>
              <w:rPr>
                <w:rFonts w:ascii="宋体" w:hAnsi="宋体" w:cs="宋体"/>
                <w:color w:val="auto"/>
                <w:szCs w:val="21"/>
                <w:lang w:val="zh-CN"/>
              </w:rPr>
            </w:pPr>
          </w:p>
        </w:tc>
        <w:tc>
          <w:tcPr>
            <w:tcW w:w="2107" w:type="dxa"/>
            <w:vAlign w:val="center"/>
          </w:tcPr>
          <w:p>
            <w:pPr>
              <w:spacing w:line="500" w:lineRule="exact"/>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kern w:val="0"/>
                <w:szCs w:val="21"/>
              </w:rPr>
              <w:t>有效期</w:t>
            </w:r>
          </w:p>
        </w:tc>
        <w:tc>
          <w:tcPr>
            <w:tcW w:w="5523" w:type="dxa"/>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竞争性磋商文件</w:t>
            </w:r>
            <w:r>
              <w:rPr>
                <w:rFonts w:hint="eastAsia" w:ascii="宋体" w:hAnsi="宋体" w:cs="宋体"/>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6" w:type="dxa"/>
            <w:vMerge w:val="continue"/>
            <w:tcBorders>
              <w:bottom w:val="single" w:color="auto" w:sz="4" w:space="0"/>
            </w:tcBorders>
            <w:vAlign w:val="center"/>
          </w:tcPr>
          <w:p>
            <w:pPr>
              <w:spacing w:line="500" w:lineRule="exact"/>
              <w:jc w:val="center"/>
              <w:rPr>
                <w:rFonts w:ascii="宋体" w:hAnsi="宋体" w:cs="宋体"/>
                <w:color w:val="auto"/>
                <w:kern w:val="0"/>
                <w:szCs w:val="21"/>
              </w:rPr>
            </w:pPr>
          </w:p>
        </w:tc>
        <w:tc>
          <w:tcPr>
            <w:tcW w:w="1051" w:type="dxa"/>
            <w:vMerge w:val="continue"/>
            <w:tcBorders>
              <w:bottom w:val="single" w:color="auto" w:sz="4" w:space="0"/>
            </w:tcBorders>
            <w:vAlign w:val="center"/>
          </w:tcPr>
          <w:p>
            <w:pPr>
              <w:spacing w:line="500" w:lineRule="exact"/>
              <w:rPr>
                <w:rFonts w:ascii="宋体" w:hAnsi="宋体" w:cs="宋体"/>
                <w:color w:val="auto"/>
                <w:szCs w:val="21"/>
                <w:lang w:val="zh-CN"/>
              </w:rPr>
            </w:pPr>
          </w:p>
        </w:tc>
        <w:tc>
          <w:tcPr>
            <w:tcW w:w="2107" w:type="dxa"/>
            <w:tcBorders>
              <w:bottom w:val="single" w:color="auto" w:sz="4" w:space="0"/>
            </w:tcBorders>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其他</w:t>
            </w:r>
          </w:p>
        </w:tc>
        <w:tc>
          <w:tcPr>
            <w:tcW w:w="5523" w:type="dxa"/>
            <w:tcBorders>
              <w:bottom w:val="single" w:color="auto" w:sz="4" w:space="0"/>
            </w:tcBorders>
            <w:vAlign w:val="center"/>
          </w:tcPr>
          <w:p>
            <w:pPr>
              <w:spacing w:line="500" w:lineRule="exact"/>
              <w:rPr>
                <w:rFonts w:ascii="宋体" w:hAnsi="宋体" w:cs="宋体"/>
                <w:color w:val="auto"/>
                <w:kern w:val="0"/>
                <w:szCs w:val="21"/>
              </w:rPr>
            </w:pPr>
            <w:r>
              <w:rPr>
                <w:rFonts w:hint="eastAsia" w:ascii="宋体" w:hAnsi="宋体" w:cs="宋体"/>
                <w:color w:val="auto"/>
                <w:kern w:val="0"/>
                <w:szCs w:val="21"/>
              </w:rPr>
              <w:t>满足</w:t>
            </w:r>
            <w:r>
              <w:rPr>
                <w:rFonts w:hint="eastAsia" w:ascii="宋体" w:hAnsi="宋体" w:cs="宋体"/>
                <w:color w:val="auto"/>
                <w:kern w:val="0"/>
                <w:szCs w:val="21"/>
                <w:lang w:eastAsia="zh-CN"/>
              </w:rPr>
              <w:t>竞争性磋商文件</w:t>
            </w:r>
            <w:r>
              <w:rPr>
                <w:rFonts w:hint="eastAsia" w:ascii="宋体" w:hAnsi="宋体" w:cs="宋体"/>
                <w:color w:val="auto"/>
                <w:kern w:val="0"/>
                <w:szCs w:val="21"/>
              </w:rPr>
              <w:t>相关</w:t>
            </w:r>
            <w:r>
              <w:rPr>
                <w:rFonts w:hint="eastAsia" w:ascii="宋体" w:hAnsi="宋体" w:cs="宋体"/>
                <w:color w:val="auto"/>
                <w:szCs w:val="21"/>
                <w:lang w:val="zh-CN"/>
              </w:rPr>
              <w:t>规定。</w:t>
            </w:r>
          </w:p>
        </w:tc>
      </w:tr>
    </w:tbl>
    <w:p>
      <w:pPr>
        <w:rPr>
          <w:rFonts w:ascii="宋体" w:hAnsi="宋体" w:cs="宋体"/>
          <w:b/>
          <w:color w:val="auto"/>
          <w:sz w:val="21"/>
          <w:szCs w:val="21"/>
        </w:rPr>
        <w:sectPr>
          <w:footerReference r:id="rId5" w:type="default"/>
          <w:pgSz w:w="11906" w:h="16838"/>
          <w:pgMar w:top="1440" w:right="1083" w:bottom="1440" w:left="1083" w:header="851" w:footer="992" w:gutter="0"/>
          <w:pgNumType w:fmt="numberInDash"/>
          <w:cols w:space="0" w:num="1"/>
          <w:rtlGutter w:val="0"/>
          <w:docGrid w:type="lines" w:linePitch="314" w:charSpace="0"/>
        </w:sectPr>
      </w:pPr>
      <w:r>
        <w:rPr>
          <w:rFonts w:hint="eastAsia" w:ascii="宋体" w:hAnsi="宋体" w:cs="宋体"/>
          <w:b/>
          <w:color w:val="auto"/>
          <w:sz w:val="21"/>
          <w:szCs w:val="21"/>
        </w:rPr>
        <w:t>注：以上评审内容，有一项不通过者，视为供应商初步评审不通过，未通过初审的其</w:t>
      </w:r>
      <w:r>
        <w:rPr>
          <w:rFonts w:hint="eastAsia" w:ascii="宋体" w:hAnsi="宋体" w:cs="宋体"/>
          <w:b/>
          <w:color w:val="auto"/>
          <w:sz w:val="21"/>
          <w:szCs w:val="21"/>
          <w:lang w:eastAsia="zh-CN"/>
        </w:rPr>
        <w:t>响应文件</w:t>
      </w:r>
      <w:r>
        <w:rPr>
          <w:rFonts w:hint="eastAsia" w:ascii="宋体" w:hAnsi="宋体" w:cs="宋体"/>
          <w:b/>
          <w:color w:val="auto"/>
          <w:sz w:val="21"/>
          <w:szCs w:val="21"/>
        </w:rPr>
        <w:t>将按照无效</w:t>
      </w:r>
      <w:r>
        <w:rPr>
          <w:rFonts w:hint="eastAsia" w:ascii="宋体" w:hAnsi="宋体" w:cs="宋体"/>
          <w:b/>
          <w:color w:val="auto"/>
          <w:sz w:val="21"/>
          <w:szCs w:val="21"/>
          <w:lang w:eastAsia="zh-CN"/>
        </w:rPr>
        <w:t>投标</w:t>
      </w:r>
      <w:r>
        <w:rPr>
          <w:rFonts w:hint="eastAsia" w:ascii="宋体" w:hAnsi="宋体" w:cs="宋体"/>
          <w:b/>
          <w:color w:val="auto"/>
          <w:sz w:val="21"/>
          <w:szCs w:val="21"/>
        </w:rPr>
        <w:t>处理。</w:t>
      </w:r>
    </w:p>
    <w:p>
      <w:pPr>
        <w:numPr>
          <w:ilvl w:val="0"/>
          <w:numId w:val="5"/>
        </w:numPr>
        <w:spacing w:line="360" w:lineRule="auto"/>
        <w:rPr>
          <w:rFonts w:hint="eastAsia" w:ascii="宋体" w:hAnsi="宋体" w:cs="宋体"/>
          <w:b/>
          <w:bCs/>
          <w:color w:val="auto"/>
          <w:sz w:val="24"/>
        </w:rPr>
      </w:pPr>
      <w:r>
        <w:rPr>
          <w:rFonts w:hint="eastAsia" w:ascii="宋体" w:hAnsi="宋体" w:cs="宋体"/>
          <w:b/>
          <w:bCs/>
          <w:color w:val="auto"/>
          <w:sz w:val="24"/>
        </w:rPr>
        <w:t>评分表</w:t>
      </w:r>
    </w:p>
    <w:p>
      <w:pPr>
        <w:numPr>
          <w:ilvl w:val="0"/>
          <w:numId w:val="0"/>
        </w:numPr>
        <w:spacing w:line="360" w:lineRule="auto"/>
        <w:rPr>
          <w:rFonts w:ascii="宋体" w:hAnsi="宋体" w:eastAsia="宋体" w:cs="宋体"/>
          <w:color w:val="auto"/>
          <w:sz w:val="24"/>
          <w:szCs w:val="24"/>
          <w:highlight w:val="none"/>
        </w:rPr>
      </w:pPr>
      <w:r>
        <w:rPr>
          <w:rFonts w:hint="eastAsia" w:ascii="宋体" w:hAnsi="宋体" w:cs="宋体"/>
          <w:b/>
          <w:bCs/>
          <w:color w:val="auto"/>
          <w:sz w:val="24"/>
        </w:rPr>
        <w:t xml:space="preserve"> </w:t>
      </w:r>
      <w:r>
        <w:rPr>
          <w:rFonts w:hint="eastAsia" w:ascii="宋体" w:hAnsi="宋体" w:eastAsia="宋体" w:cs="宋体"/>
          <w:color w:val="auto"/>
          <w:sz w:val="24"/>
          <w:szCs w:val="24"/>
        </w:rPr>
        <w:t>本项目评审采用</w:t>
      </w:r>
      <w:r>
        <w:rPr>
          <w:rFonts w:hint="eastAsia" w:ascii="宋体" w:hAnsi="宋体" w:eastAsia="宋体" w:cs="宋体"/>
          <w:b/>
          <w:bCs/>
          <w:color w:val="auto"/>
          <w:sz w:val="24"/>
          <w:szCs w:val="24"/>
        </w:rPr>
        <w:t>综合评分法</w:t>
      </w:r>
      <w:r>
        <w:rPr>
          <w:rFonts w:ascii="宋体" w:hAnsi="宋体" w:eastAsia="宋体" w:cs="宋体"/>
          <w:color w:val="auto"/>
          <w:sz w:val="24"/>
          <w:szCs w:val="24"/>
        </w:rPr>
        <w:t>。由</w:t>
      </w:r>
      <w:r>
        <w:rPr>
          <w:rFonts w:hint="eastAsia" w:ascii="宋体" w:hAnsi="宋体" w:cs="宋体"/>
          <w:color w:val="auto"/>
          <w:sz w:val="24"/>
          <w:szCs w:val="24"/>
          <w:lang w:eastAsia="zh-CN"/>
        </w:rPr>
        <w:t>投标总</w:t>
      </w:r>
      <w:r>
        <w:rPr>
          <w:rFonts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ascii="宋体" w:hAnsi="宋体" w:eastAsia="宋体" w:cs="宋体"/>
          <w:color w:val="auto"/>
          <w:sz w:val="24"/>
          <w:szCs w:val="24"/>
        </w:rPr>
        <w:t>商务</w:t>
      </w:r>
      <w:r>
        <w:rPr>
          <w:rFonts w:hint="eastAsia" w:ascii="宋体" w:hAnsi="宋体" w:eastAsia="宋体" w:cs="宋体"/>
          <w:color w:val="auto"/>
          <w:sz w:val="24"/>
          <w:szCs w:val="24"/>
          <w:lang w:val="en-US" w:eastAsia="zh-CN"/>
        </w:rPr>
        <w:t>部分、</w:t>
      </w:r>
      <w:r>
        <w:rPr>
          <w:rFonts w:ascii="宋体" w:hAnsi="宋体" w:eastAsia="宋体" w:cs="宋体"/>
          <w:color w:val="auto"/>
          <w:sz w:val="24"/>
          <w:szCs w:val="24"/>
        </w:rPr>
        <w:t>技术</w:t>
      </w:r>
      <w:r>
        <w:rPr>
          <w:rFonts w:hint="eastAsia" w:ascii="宋体" w:hAnsi="宋体" w:eastAsia="宋体" w:cs="宋体"/>
          <w:color w:val="auto"/>
          <w:sz w:val="24"/>
          <w:szCs w:val="24"/>
          <w:lang w:val="en-US" w:eastAsia="zh-CN"/>
        </w:rPr>
        <w:t>部分</w:t>
      </w:r>
      <w:r>
        <w:rPr>
          <w:rFonts w:ascii="宋体" w:hAnsi="宋体" w:eastAsia="宋体" w:cs="宋体"/>
          <w:color w:val="auto"/>
          <w:sz w:val="24"/>
          <w:szCs w:val="24"/>
        </w:rPr>
        <w:t>三部分组成，总分值为 100分。详</w:t>
      </w:r>
      <w:r>
        <w:rPr>
          <w:rFonts w:ascii="宋体" w:hAnsi="宋体" w:eastAsia="宋体" w:cs="宋体"/>
          <w:color w:val="auto"/>
          <w:sz w:val="24"/>
          <w:szCs w:val="24"/>
          <w:highlight w:val="none"/>
        </w:rPr>
        <w:t>细如下：</w:t>
      </w:r>
    </w:p>
    <w:tbl>
      <w:tblPr>
        <w:tblStyle w:val="18"/>
        <w:tblpPr w:leftFromText="180" w:rightFromText="180" w:vertAnchor="text" w:horzAnchor="page" w:tblpX="1315" w:tblpY="289"/>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6"/>
        <w:gridCol w:w="1758"/>
        <w:gridCol w:w="6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376" w:type="dxa"/>
            <w:noWrap w:val="0"/>
            <w:vAlign w:val="center"/>
          </w:tcPr>
          <w:p>
            <w:pPr>
              <w:pStyle w:val="7"/>
              <w:spacing w:before="161"/>
              <w:jc w:val="center"/>
              <w:rPr>
                <w:color w:val="auto"/>
                <w:szCs w:val="21"/>
                <w:highlight w:val="none"/>
              </w:rPr>
            </w:pPr>
            <w:r>
              <w:rPr>
                <w:color w:val="auto"/>
                <w:szCs w:val="21"/>
                <w:highlight w:val="none"/>
              </w:rPr>
              <w:t>评标项目</w:t>
            </w:r>
          </w:p>
        </w:tc>
        <w:tc>
          <w:tcPr>
            <w:tcW w:w="1758" w:type="dxa"/>
            <w:noWrap w:val="0"/>
            <w:vAlign w:val="center"/>
          </w:tcPr>
          <w:p>
            <w:pPr>
              <w:pStyle w:val="35"/>
              <w:spacing w:before="67"/>
              <w:ind w:left="707"/>
              <w:jc w:val="center"/>
              <w:rPr>
                <w:rFonts w:ascii="Times New Roman" w:hAnsi="Times New Roman" w:cs="Times New Roman"/>
                <w:color w:val="auto"/>
                <w:szCs w:val="21"/>
                <w:highlight w:val="none"/>
                <w:lang w:val="en-US" w:bidi="ar-SA"/>
              </w:rPr>
            </w:pPr>
            <w:r>
              <w:rPr>
                <w:rFonts w:ascii="Times New Roman" w:hAnsi="Times New Roman" w:cs="Times New Roman"/>
                <w:color w:val="auto"/>
                <w:szCs w:val="21"/>
                <w:highlight w:val="none"/>
                <w:lang w:val="en-US" w:bidi="ar-SA"/>
              </w:rPr>
              <w:t>评审内容</w:t>
            </w:r>
          </w:p>
        </w:tc>
        <w:tc>
          <w:tcPr>
            <w:tcW w:w="6305" w:type="dxa"/>
            <w:noWrap w:val="0"/>
            <w:vAlign w:val="center"/>
          </w:tcPr>
          <w:p>
            <w:pPr>
              <w:pStyle w:val="35"/>
              <w:spacing w:before="67"/>
              <w:ind w:left="2461" w:right="2333"/>
              <w:jc w:val="center"/>
              <w:rPr>
                <w:rFonts w:ascii="Times New Roman" w:hAnsi="Times New Roman" w:cs="Times New Roman"/>
                <w:color w:val="auto"/>
                <w:szCs w:val="21"/>
                <w:highlight w:val="none"/>
                <w:lang w:val="en-US" w:bidi="ar-SA"/>
              </w:rPr>
            </w:pPr>
            <w:r>
              <w:rPr>
                <w:rFonts w:ascii="Times New Roman" w:hAnsi="Times New Roman" w:cs="Times New Roman"/>
                <w:color w:val="auto"/>
                <w:szCs w:val="21"/>
                <w:highlight w:val="none"/>
                <w:lang w:val="en-US"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2" w:hRule="atLeast"/>
        </w:trPr>
        <w:tc>
          <w:tcPr>
            <w:tcW w:w="1376" w:type="dxa"/>
            <w:noWrap w:val="0"/>
            <w:vAlign w:val="center"/>
          </w:tcPr>
          <w:p>
            <w:pPr>
              <w:pStyle w:val="35"/>
              <w:spacing w:line="252" w:lineRule="auto"/>
              <w:ind w:right="84"/>
              <w:jc w:val="center"/>
              <w:rPr>
                <w:rFonts w:hint="eastAsia" w:ascii="Times New Roman" w:hAnsi="Times New Roman" w:eastAsia="宋体" w:cs="Times New Roman"/>
                <w:color w:val="auto"/>
                <w:szCs w:val="21"/>
                <w:highlight w:val="none"/>
                <w:lang w:val="en-US" w:eastAsia="zh-CN" w:bidi="ar-SA"/>
              </w:rPr>
            </w:pPr>
            <w:r>
              <w:rPr>
                <w:rFonts w:hint="eastAsia" w:ascii="Times New Roman" w:hAnsi="Times New Roman" w:cs="Times New Roman"/>
                <w:color w:val="auto"/>
                <w:szCs w:val="21"/>
                <w:highlight w:val="none"/>
                <w:lang w:val="en-US" w:eastAsia="zh-CN" w:bidi="ar-SA"/>
              </w:rPr>
              <w:t>投标报价</w:t>
            </w:r>
          </w:p>
          <w:p>
            <w:pPr>
              <w:pStyle w:val="35"/>
              <w:spacing w:line="252" w:lineRule="auto"/>
              <w:ind w:right="84"/>
              <w:jc w:val="center"/>
              <w:rPr>
                <w:rFonts w:ascii="Times New Roman" w:hAnsi="Times New Roman" w:cs="Times New Roman"/>
                <w:color w:val="auto"/>
                <w:szCs w:val="21"/>
                <w:highlight w:val="none"/>
                <w:lang w:val="en-US" w:bidi="ar-SA"/>
              </w:rPr>
            </w:pPr>
            <w:r>
              <w:rPr>
                <w:rFonts w:hint="eastAsia" w:ascii="Times New Roman" w:hAnsi="Times New Roman" w:cs="Times New Roman"/>
                <w:color w:val="auto"/>
                <w:szCs w:val="21"/>
                <w:highlight w:val="none"/>
                <w:lang w:val="en-US" w:bidi="ar-SA"/>
              </w:rPr>
              <w:t>(</w:t>
            </w:r>
            <w:r>
              <w:rPr>
                <w:rFonts w:hint="eastAsia" w:ascii="Times New Roman" w:hAnsi="Times New Roman" w:cs="Times New Roman"/>
                <w:color w:val="auto"/>
                <w:szCs w:val="21"/>
                <w:highlight w:val="none"/>
                <w:lang w:val="en-US" w:eastAsia="zh-CN" w:bidi="ar-SA"/>
              </w:rPr>
              <w:t>15</w:t>
            </w:r>
            <w:r>
              <w:rPr>
                <w:rFonts w:ascii="Times New Roman" w:hAnsi="Times New Roman" w:cs="Times New Roman"/>
                <w:color w:val="auto"/>
                <w:szCs w:val="21"/>
                <w:highlight w:val="none"/>
                <w:lang w:val="en-US" w:bidi="ar-SA"/>
              </w:rPr>
              <w:t>分</w:t>
            </w:r>
            <w:r>
              <w:rPr>
                <w:rFonts w:hint="eastAsia" w:ascii="Times New Roman" w:hAnsi="Times New Roman" w:cs="Times New Roman"/>
                <w:color w:val="auto"/>
                <w:szCs w:val="21"/>
                <w:highlight w:val="none"/>
                <w:lang w:val="en-US" w:bidi="ar-SA"/>
              </w:rPr>
              <w:t>)</w:t>
            </w:r>
          </w:p>
        </w:tc>
        <w:tc>
          <w:tcPr>
            <w:tcW w:w="1758" w:type="dxa"/>
            <w:noWrap w:val="0"/>
            <w:vAlign w:val="center"/>
          </w:tcPr>
          <w:p>
            <w:pPr>
              <w:pStyle w:val="35"/>
              <w:spacing w:before="189"/>
              <w:jc w:val="center"/>
              <w:rPr>
                <w:rFonts w:hint="eastAsia" w:ascii="Times New Roman" w:hAnsi="Times New Roman" w:cs="Times New Roman"/>
                <w:color w:val="auto"/>
                <w:szCs w:val="21"/>
                <w:highlight w:val="none"/>
                <w:lang w:val="en-US" w:eastAsia="zh-CN" w:bidi="ar-SA"/>
              </w:rPr>
            </w:pPr>
            <w:r>
              <w:rPr>
                <w:rFonts w:hint="eastAsia" w:ascii="Times New Roman" w:hAnsi="Times New Roman" w:cs="Times New Roman"/>
                <w:color w:val="auto"/>
                <w:szCs w:val="21"/>
                <w:highlight w:val="none"/>
                <w:lang w:val="en-US" w:eastAsia="zh-CN" w:bidi="ar-SA"/>
              </w:rPr>
              <w:t>单价总合计</w:t>
            </w:r>
          </w:p>
          <w:p>
            <w:pPr>
              <w:pStyle w:val="35"/>
              <w:spacing w:before="189"/>
              <w:jc w:val="center"/>
              <w:rPr>
                <w:rFonts w:ascii="Times New Roman" w:hAnsi="Times New Roman" w:cs="Times New Roman"/>
                <w:color w:val="auto"/>
                <w:szCs w:val="21"/>
                <w:highlight w:val="none"/>
                <w:lang w:val="en-US" w:bidi="ar-SA"/>
              </w:rPr>
            </w:pPr>
            <w:r>
              <w:rPr>
                <w:rFonts w:hint="eastAsia" w:ascii="Times New Roman" w:hAnsi="Times New Roman" w:cs="Times New Roman"/>
                <w:color w:val="auto"/>
                <w:szCs w:val="21"/>
                <w:highlight w:val="none"/>
                <w:lang w:val="en-US" w:eastAsia="zh-CN" w:bidi="ar-SA"/>
              </w:rPr>
              <w:t>15</w:t>
            </w:r>
            <w:r>
              <w:rPr>
                <w:rFonts w:hint="eastAsia" w:ascii="Times New Roman" w:hAnsi="Times New Roman" w:cs="Times New Roman"/>
                <w:color w:val="auto"/>
                <w:szCs w:val="21"/>
                <w:highlight w:val="none"/>
                <w:lang w:val="en-US" w:bidi="ar-SA"/>
              </w:rPr>
              <w:t>分</w:t>
            </w:r>
          </w:p>
        </w:tc>
        <w:tc>
          <w:tcPr>
            <w:tcW w:w="6305" w:type="dxa"/>
            <w:noWrap w:val="0"/>
            <w:vAlign w:val="center"/>
          </w:tcPr>
          <w:p>
            <w:pPr>
              <w:pStyle w:val="35"/>
              <w:spacing w:before="16" w:line="249" w:lineRule="auto"/>
              <w:ind w:left="106" w:right="86"/>
              <w:rPr>
                <w:rFonts w:ascii="Times New Roman" w:hAnsi="Times New Roman" w:cs="Times New Roman"/>
                <w:color w:val="auto"/>
                <w:szCs w:val="21"/>
                <w:highlight w:val="none"/>
                <w:lang w:val="en-US" w:bidi="ar-SA"/>
              </w:rPr>
            </w:pPr>
            <w:r>
              <w:rPr>
                <w:rFonts w:ascii="Times New Roman" w:hAnsi="Times New Roman" w:cs="Times New Roman"/>
                <w:color w:val="auto"/>
                <w:szCs w:val="21"/>
                <w:highlight w:val="none"/>
                <w:lang w:val="en-US" w:bidi="ar-SA"/>
              </w:rPr>
              <w:t>以满足</w:t>
            </w:r>
            <w:r>
              <w:rPr>
                <w:rFonts w:hint="eastAsia" w:ascii="Times New Roman" w:hAnsi="Times New Roman" w:cs="Times New Roman"/>
                <w:color w:val="auto"/>
                <w:szCs w:val="21"/>
                <w:highlight w:val="none"/>
                <w:lang w:val="en-US" w:eastAsia="zh-CN" w:bidi="ar-SA"/>
              </w:rPr>
              <w:t>竞争性磋商文件</w:t>
            </w:r>
            <w:r>
              <w:rPr>
                <w:rFonts w:ascii="Times New Roman" w:hAnsi="Times New Roman" w:cs="Times New Roman"/>
                <w:color w:val="auto"/>
                <w:szCs w:val="21"/>
                <w:highlight w:val="none"/>
                <w:lang w:val="en-US" w:bidi="ar-SA"/>
              </w:rPr>
              <w:t>要求且最低的</w:t>
            </w:r>
            <w:r>
              <w:rPr>
                <w:rFonts w:hint="eastAsia" w:ascii="Times New Roman" w:hAnsi="Times New Roman" w:cs="Times New Roman"/>
                <w:color w:val="auto"/>
                <w:szCs w:val="21"/>
                <w:highlight w:val="none"/>
                <w:lang w:val="en-US" w:eastAsia="zh-CN" w:bidi="ar-SA"/>
              </w:rPr>
              <w:t>单价总合计</w:t>
            </w:r>
            <w:r>
              <w:rPr>
                <w:rFonts w:ascii="Times New Roman" w:hAnsi="Times New Roman" w:cs="Times New Roman"/>
                <w:color w:val="auto"/>
                <w:szCs w:val="21"/>
                <w:highlight w:val="none"/>
                <w:lang w:val="en-US" w:bidi="ar-SA"/>
              </w:rPr>
              <w:t>为评</w:t>
            </w:r>
            <w:r>
              <w:rPr>
                <w:rFonts w:hint="eastAsia" w:ascii="Times New Roman" w:hAnsi="Times New Roman" w:cs="Times New Roman"/>
                <w:color w:val="auto"/>
                <w:szCs w:val="21"/>
                <w:highlight w:val="none"/>
                <w:lang w:val="en-US" w:bidi="ar-SA"/>
              </w:rPr>
              <w:t>标</w:t>
            </w:r>
            <w:r>
              <w:rPr>
                <w:rFonts w:ascii="Times New Roman" w:hAnsi="Times New Roman" w:cs="Times New Roman"/>
                <w:color w:val="auto"/>
                <w:szCs w:val="21"/>
                <w:highlight w:val="none"/>
                <w:lang w:val="en-US" w:bidi="ar-SA"/>
              </w:rPr>
              <w:t>基准价，其价格分为满分</w:t>
            </w:r>
            <w:r>
              <w:rPr>
                <w:rFonts w:hint="eastAsia" w:ascii="Times New Roman" w:hAnsi="Times New Roman" w:cs="Times New Roman"/>
                <w:color w:val="auto"/>
                <w:szCs w:val="21"/>
                <w:highlight w:val="none"/>
                <w:lang w:val="en-US" w:eastAsia="zh-CN" w:bidi="ar-SA"/>
              </w:rPr>
              <w:t>15</w:t>
            </w:r>
            <w:r>
              <w:rPr>
                <w:rFonts w:hint="eastAsia" w:ascii="Times New Roman" w:hAnsi="Times New Roman" w:cs="Times New Roman"/>
                <w:color w:val="auto"/>
                <w:szCs w:val="21"/>
                <w:highlight w:val="none"/>
                <w:lang w:val="en-US" w:bidi="ar-SA"/>
              </w:rPr>
              <w:t>分</w:t>
            </w:r>
            <w:r>
              <w:rPr>
                <w:rFonts w:ascii="Times New Roman" w:hAnsi="Times New Roman" w:cs="Times New Roman"/>
                <w:color w:val="auto"/>
                <w:szCs w:val="21"/>
                <w:highlight w:val="none"/>
                <w:lang w:val="en-US" w:bidi="ar-SA"/>
              </w:rPr>
              <w:t>。</w:t>
            </w:r>
          </w:p>
          <w:p>
            <w:pPr>
              <w:pStyle w:val="35"/>
              <w:spacing w:before="1" w:line="282" w:lineRule="exact"/>
              <w:rPr>
                <w:rFonts w:ascii="Times New Roman" w:hAnsi="Times New Roman" w:cs="Times New Roman"/>
                <w:color w:val="auto"/>
                <w:szCs w:val="21"/>
                <w:highlight w:val="none"/>
                <w:lang w:val="en-US" w:bidi="ar-SA"/>
              </w:rPr>
            </w:pPr>
            <w:r>
              <w:rPr>
                <w:rFonts w:ascii="Times New Roman" w:hAnsi="Times New Roman" w:cs="Times New Roman"/>
                <w:color w:val="auto"/>
                <w:szCs w:val="21"/>
                <w:highlight w:val="none"/>
                <w:lang w:val="en-US" w:bidi="ar-SA"/>
              </w:rPr>
              <w:t>其他</w:t>
            </w:r>
            <w:r>
              <w:rPr>
                <w:rFonts w:hint="eastAsia" w:ascii="Times New Roman" w:hAnsi="Times New Roman" w:cs="Times New Roman"/>
                <w:color w:val="auto"/>
                <w:szCs w:val="21"/>
                <w:highlight w:val="none"/>
                <w:lang w:val="en-US" w:bidi="ar-SA"/>
              </w:rPr>
              <w:t>供应商</w:t>
            </w:r>
            <w:r>
              <w:rPr>
                <w:rFonts w:ascii="Times New Roman" w:hAnsi="Times New Roman" w:cs="Times New Roman"/>
                <w:color w:val="auto"/>
                <w:szCs w:val="21"/>
                <w:highlight w:val="none"/>
                <w:lang w:val="en-US" w:bidi="ar-SA"/>
              </w:rPr>
              <w:t>的价格</w:t>
            </w:r>
            <w:r>
              <w:rPr>
                <w:rFonts w:hint="eastAsia" w:ascii="Times New Roman" w:hAnsi="Times New Roman" w:cs="Times New Roman"/>
                <w:color w:val="auto"/>
                <w:szCs w:val="21"/>
                <w:highlight w:val="none"/>
                <w:lang w:val="en-US" w:bidi="ar-SA"/>
              </w:rPr>
              <w:t>得</w:t>
            </w:r>
            <w:r>
              <w:rPr>
                <w:rFonts w:ascii="Times New Roman" w:hAnsi="Times New Roman" w:cs="Times New Roman"/>
                <w:color w:val="auto"/>
                <w:szCs w:val="21"/>
                <w:highlight w:val="none"/>
                <w:lang w:val="en-US" w:bidi="ar-SA"/>
              </w:rPr>
              <w:t>分按照下列公式计算：</w:t>
            </w:r>
            <w:r>
              <w:rPr>
                <w:rFonts w:hint="eastAsia" w:ascii="Times New Roman" w:hAnsi="Times New Roman" w:cs="Times New Roman"/>
                <w:color w:val="auto"/>
                <w:szCs w:val="21"/>
                <w:highlight w:val="none"/>
                <w:lang w:val="en-US" w:eastAsia="zh-CN" w:bidi="ar-SA"/>
              </w:rPr>
              <w:t>投标报价</w:t>
            </w:r>
            <w:r>
              <w:rPr>
                <w:rFonts w:ascii="Times New Roman" w:hAnsi="Times New Roman" w:cs="Times New Roman"/>
                <w:color w:val="auto"/>
                <w:szCs w:val="21"/>
                <w:highlight w:val="none"/>
                <w:lang w:val="en-US" w:bidi="ar-SA"/>
              </w:rPr>
              <w:t>得分＝（评标基准价/</w:t>
            </w:r>
            <w:r>
              <w:rPr>
                <w:rFonts w:hint="eastAsia" w:ascii="Times New Roman" w:hAnsi="Times New Roman" w:cs="Times New Roman"/>
                <w:color w:val="auto"/>
                <w:szCs w:val="21"/>
                <w:highlight w:val="none"/>
                <w:lang w:val="en-US" w:eastAsia="zh-CN" w:bidi="ar-SA"/>
              </w:rPr>
              <w:t>单价总合计</w:t>
            </w:r>
            <w:r>
              <w:rPr>
                <w:rFonts w:ascii="Times New Roman" w:hAnsi="Times New Roman" w:cs="Times New Roman"/>
                <w:color w:val="auto"/>
                <w:szCs w:val="21"/>
                <w:highlight w:val="none"/>
                <w:lang w:val="en-US" w:bidi="ar-SA"/>
              </w:rPr>
              <w:t>）×</w:t>
            </w:r>
            <w:r>
              <w:rPr>
                <w:rFonts w:hint="eastAsia" w:ascii="Times New Roman" w:hAnsi="Times New Roman" w:cs="Times New Roman"/>
                <w:color w:val="auto"/>
                <w:szCs w:val="21"/>
                <w:highlight w:val="none"/>
                <w:lang w:val="en-US" w:eastAsia="zh-CN" w:bidi="ar-SA"/>
              </w:rPr>
              <w:t>15</w:t>
            </w:r>
            <w:r>
              <w:rPr>
                <w:rFonts w:ascii="Times New Roman" w:hAnsi="Times New Roman" w:cs="Times New Roman"/>
                <w:color w:val="auto"/>
                <w:szCs w:val="21"/>
                <w:highlight w:val="none"/>
                <w:lang w:val="en-US" w:bidi="ar-SA"/>
              </w:rPr>
              <w:t xml:space="preserve">%×100 </w:t>
            </w:r>
            <w:r>
              <w:rPr>
                <w:rFonts w:hint="eastAsia" w:ascii="Times New Roman" w:hAnsi="Times New Roman" w:cs="Times New Roman"/>
                <w:color w:val="auto"/>
                <w:szCs w:val="21"/>
                <w:highlight w:val="none"/>
                <w:lang w:val="en-US" w:bidi="ar-SA"/>
              </w:rPr>
              <w:t>。</w:t>
            </w:r>
          </w:p>
          <w:p>
            <w:pPr>
              <w:pStyle w:val="35"/>
              <w:keepNext w:val="0"/>
              <w:keepLines w:val="0"/>
              <w:pageBreakBefore w:val="0"/>
              <w:kinsoku/>
              <w:wordWrap/>
              <w:overflowPunct/>
              <w:topLinePunct w:val="0"/>
              <w:autoSpaceDE/>
              <w:autoSpaceDN/>
              <w:bidi w:val="0"/>
              <w:adjustRightInd/>
              <w:snapToGrid/>
              <w:spacing w:before="1" w:line="220" w:lineRule="exact"/>
              <w:textAlignment w:val="auto"/>
              <w:rPr>
                <w:rFonts w:hint="eastAsia" w:ascii="Times New Roman" w:hAnsi="Times New Roman" w:cs="Times New Roman"/>
                <w:color w:val="auto"/>
                <w:szCs w:val="21"/>
                <w:highlight w:val="none"/>
                <w:lang w:val="en-US" w:bidi="ar-SA"/>
              </w:rPr>
            </w:pPr>
            <w:r>
              <w:rPr>
                <w:rFonts w:hint="eastAsia" w:ascii="Times New Roman" w:hAnsi="Times New Roman" w:cs="Times New Roman"/>
                <w:color w:val="auto"/>
                <w:szCs w:val="21"/>
                <w:highlight w:val="none"/>
                <w:lang w:val="en-US" w:bidi="ar-SA"/>
              </w:rPr>
              <w:t>注：报价得分精确到小数点后两位；无效投标的报价不计入价格分值的计算</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 xml:space="preserve">价格扣除的原则：    </w:t>
            </w:r>
          </w:p>
          <w:p>
            <w:pPr>
              <w:pStyle w:val="35"/>
              <w:keepNext w:val="0"/>
              <w:keepLines w:val="0"/>
              <w:pageBreakBefore w:val="0"/>
              <w:kinsoku/>
              <w:wordWrap/>
              <w:overflowPunct/>
              <w:topLinePunct w:val="0"/>
              <w:autoSpaceDE/>
              <w:autoSpaceDN/>
              <w:bidi w:val="0"/>
              <w:adjustRightInd/>
              <w:snapToGrid/>
              <w:spacing w:before="1" w:line="220" w:lineRule="exact"/>
              <w:textAlignment w:val="auto"/>
              <w:rPr>
                <w:rFonts w:hint="eastAsia" w:ascii="Times New Roman" w:hAnsi="Times New Roman" w:eastAsia="宋体" w:cs="Times New Roman"/>
                <w:color w:val="auto"/>
                <w:szCs w:val="21"/>
                <w:highlight w:val="none"/>
                <w:lang w:val="en-US" w:eastAsia="zh-CN" w:bidi="ar-SA"/>
              </w:rPr>
            </w:pPr>
            <w:r>
              <w:rPr>
                <w:rFonts w:hint="eastAsia" w:ascii="宋体" w:hAnsi="宋体" w:cs="宋体"/>
                <w:b/>
                <w:color w:val="auto"/>
                <w:szCs w:val="21"/>
                <w:highlight w:val="none"/>
              </w:rPr>
              <w:t>（说明：本项目对于小型和微型企业提供的服务给予 6%的价格扣除，用扣除以后的价格参与评审）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trPr>
        <w:tc>
          <w:tcPr>
            <w:tcW w:w="1376" w:type="dxa"/>
            <w:vMerge w:val="restart"/>
            <w:noWrap w:val="0"/>
            <w:vAlign w:val="center"/>
          </w:tcPr>
          <w:p>
            <w:pPr>
              <w:pStyle w:val="35"/>
              <w:spacing w:before="203"/>
              <w:ind w:left="201"/>
              <w:rPr>
                <w:color w:val="auto"/>
                <w:szCs w:val="21"/>
                <w:highlight w:val="none"/>
              </w:rPr>
            </w:pPr>
            <w:r>
              <w:rPr>
                <w:color w:val="auto"/>
                <w:spacing w:val="-1"/>
                <w:w w:val="90"/>
                <w:szCs w:val="21"/>
                <w:highlight w:val="none"/>
              </w:rPr>
              <w:t>商务部分</w:t>
            </w:r>
          </w:p>
          <w:p>
            <w:pPr>
              <w:pStyle w:val="35"/>
              <w:spacing w:before="12"/>
              <w:ind w:left="175"/>
              <w:rPr>
                <w:color w:val="auto"/>
                <w:w w:val="90"/>
                <w:szCs w:val="21"/>
                <w:highlight w:val="none"/>
              </w:rPr>
            </w:pPr>
            <w:r>
              <w:rPr>
                <w:color w:val="auto"/>
                <w:w w:val="90"/>
                <w:szCs w:val="21"/>
                <w:highlight w:val="none"/>
              </w:rPr>
              <w:t>（</w:t>
            </w:r>
            <w:r>
              <w:rPr>
                <w:rFonts w:hint="eastAsia"/>
                <w:color w:val="auto"/>
                <w:w w:val="90"/>
                <w:szCs w:val="21"/>
                <w:highlight w:val="none"/>
                <w:lang w:val="en-US" w:eastAsia="zh-CN"/>
              </w:rPr>
              <w:t>15</w:t>
            </w:r>
            <w:r>
              <w:rPr>
                <w:color w:val="auto"/>
                <w:spacing w:val="-28"/>
                <w:w w:val="90"/>
                <w:szCs w:val="21"/>
                <w:highlight w:val="none"/>
              </w:rPr>
              <w:t xml:space="preserve"> 分</w:t>
            </w:r>
            <w:r>
              <w:rPr>
                <w:color w:val="auto"/>
                <w:w w:val="90"/>
                <w:szCs w:val="21"/>
                <w:highlight w:val="none"/>
              </w:rPr>
              <w:t xml:space="preserve">） </w:t>
            </w:r>
          </w:p>
        </w:tc>
        <w:tc>
          <w:tcPr>
            <w:tcW w:w="1758" w:type="dxa"/>
            <w:noWrap w:val="0"/>
            <w:vAlign w:val="center"/>
          </w:tcPr>
          <w:p>
            <w:pPr>
              <w:widowControl/>
              <w:jc w:val="center"/>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企业经营业绩</w:t>
            </w:r>
          </w:p>
          <w:p>
            <w:pPr>
              <w:widowControl/>
              <w:spacing w:line="300" w:lineRule="exact"/>
              <w:jc w:val="center"/>
              <w:rPr>
                <w:color w:val="auto"/>
                <w:sz w:val="21"/>
                <w:szCs w:val="21"/>
                <w:highlight w:val="none"/>
              </w:rPr>
            </w:pPr>
            <w:r>
              <w:rPr>
                <w:rFonts w:hint="eastAsia" w:asciiTheme="minorEastAsia" w:hAnsiTheme="minorEastAsia" w:eastAsiaTheme="minorEastAsia"/>
                <w:color w:val="auto"/>
                <w:sz w:val="21"/>
                <w:szCs w:val="21"/>
                <w:highlight w:val="none"/>
              </w:rPr>
              <w:t>5</w:t>
            </w:r>
            <w:r>
              <w:rPr>
                <w:rFonts w:asciiTheme="minorEastAsia" w:hAnsiTheme="minorEastAsia" w:eastAsiaTheme="minorEastAsia"/>
                <w:color w:val="auto"/>
                <w:sz w:val="21"/>
                <w:szCs w:val="21"/>
                <w:highlight w:val="none"/>
              </w:rPr>
              <w:t>分</w:t>
            </w:r>
          </w:p>
        </w:tc>
        <w:tc>
          <w:tcPr>
            <w:tcW w:w="6305" w:type="dxa"/>
            <w:noWrap w:val="0"/>
            <w:vAlign w:val="center"/>
          </w:tcPr>
          <w:p>
            <w:pPr>
              <w:pStyle w:val="35"/>
              <w:keepNext w:val="0"/>
              <w:keepLines w:val="0"/>
              <w:pageBreakBefore w:val="0"/>
              <w:widowControl w:val="0"/>
              <w:kinsoku/>
              <w:wordWrap/>
              <w:overflowPunct/>
              <w:topLinePunct w:val="0"/>
              <w:autoSpaceDE/>
              <w:autoSpaceDN/>
              <w:bidi w:val="0"/>
              <w:adjustRightInd/>
              <w:snapToGrid/>
              <w:spacing w:before="129" w:line="440" w:lineRule="exact"/>
              <w:ind w:left="108"/>
              <w:textAlignment w:val="auto"/>
              <w:rPr>
                <w:color w:val="auto"/>
                <w:spacing w:val="-8"/>
                <w:w w:val="95"/>
                <w:sz w:val="21"/>
                <w:szCs w:val="21"/>
                <w:highlight w:val="none"/>
              </w:rPr>
            </w:pPr>
            <w:r>
              <w:rPr>
                <w:rFonts w:hint="eastAsia" w:asciiTheme="minorEastAsia" w:hAnsiTheme="minorEastAsia" w:eastAsiaTheme="minorEastAsia"/>
                <w:color w:val="auto"/>
                <w:sz w:val="21"/>
                <w:szCs w:val="21"/>
                <w:highlight w:val="none"/>
              </w:rPr>
              <w:t>投标供应商提供近三年内类似业绩（需提供加盖双方公章的采购合同或</w:t>
            </w:r>
            <w:r>
              <w:rPr>
                <w:rFonts w:hint="eastAsia" w:asciiTheme="minorEastAsia" w:hAnsiTheme="minorEastAsia" w:eastAsiaTheme="minorEastAsia"/>
                <w:color w:val="auto"/>
                <w:sz w:val="21"/>
                <w:szCs w:val="21"/>
                <w:highlight w:val="none"/>
                <w:lang w:eastAsia="zh-CN"/>
              </w:rPr>
              <w:t>成交</w:t>
            </w:r>
            <w:r>
              <w:rPr>
                <w:rFonts w:hint="eastAsia" w:asciiTheme="minorEastAsia" w:hAnsiTheme="minorEastAsia" w:eastAsiaTheme="minorEastAsia"/>
                <w:color w:val="auto"/>
                <w:sz w:val="21"/>
                <w:szCs w:val="21"/>
                <w:highlight w:val="none"/>
              </w:rPr>
              <w:t>通知书，若复印件不清晰视为无效业绩），每提供一个有效业绩得1分，满分5分。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1" w:hRule="atLeast"/>
        </w:trPr>
        <w:tc>
          <w:tcPr>
            <w:tcW w:w="1376" w:type="dxa"/>
            <w:vMerge w:val="continue"/>
            <w:tcBorders>
              <w:top w:val="nil"/>
            </w:tcBorders>
            <w:noWrap w:val="0"/>
            <w:vAlign w:val="center"/>
          </w:tcPr>
          <w:p>
            <w:pPr>
              <w:rPr>
                <w:color w:val="auto"/>
                <w:szCs w:val="21"/>
                <w:highlight w:val="none"/>
              </w:rPr>
            </w:pPr>
          </w:p>
        </w:tc>
        <w:tc>
          <w:tcPr>
            <w:tcW w:w="1758" w:type="dxa"/>
            <w:noWrap w:val="0"/>
            <w:vAlign w:val="center"/>
          </w:tcPr>
          <w:p>
            <w:pPr>
              <w:pStyle w:val="35"/>
              <w:spacing w:before="16"/>
              <w:jc w:val="center"/>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能力验证</w:t>
            </w:r>
          </w:p>
          <w:p>
            <w:pPr>
              <w:pStyle w:val="35"/>
              <w:spacing w:before="16"/>
              <w:jc w:val="center"/>
              <w:rPr>
                <w:rFonts w:hint="eastAsia" w:ascii="宋体" w:hAnsi="宋体" w:eastAsia="宋体" w:cs="宋体"/>
                <w:color w:val="auto"/>
                <w:kern w:val="0"/>
                <w:sz w:val="21"/>
                <w:szCs w:val="21"/>
                <w:highlight w:val="none"/>
              </w:rPr>
            </w:pPr>
            <w:r>
              <w:rPr>
                <w:rFonts w:hint="eastAsia" w:asciiTheme="minorEastAsia" w:hAnsiTheme="minorEastAsia" w:eastAsiaTheme="minorEastAsia"/>
                <w:color w:val="auto"/>
                <w:kern w:val="0"/>
                <w:sz w:val="21"/>
                <w:szCs w:val="21"/>
                <w:highlight w:val="none"/>
              </w:rPr>
              <w:t>4分</w:t>
            </w:r>
          </w:p>
        </w:tc>
        <w:tc>
          <w:tcPr>
            <w:tcW w:w="6305" w:type="dxa"/>
            <w:tcBorders>
              <w:top w:val="single" w:color="000000" w:sz="6" w:space="0"/>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before="16" w:line="440" w:lineRule="exact"/>
              <w:textAlignment w:val="auto"/>
              <w:rPr>
                <w:rFonts w:hint="eastAsia" w:ascii="宋体" w:hAnsi="宋体" w:eastAsia="宋体" w:cs="宋体"/>
                <w:color w:val="auto"/>
                <w:kern w:val="2"/>
                <w:sz w:val="21"/>
                <w:szCs w:val="21"/>
                <w:highlight w:val="none"/>
                <w:lang w:val="zh-CN" w:eastAsia="zh-CN" w:bidi="zh-CN"/>
              </w:rPr>
            </w:pPr>
            <w:r>
              <w:rPr>
                <w:rFonts w:hint="eastAsia" w:asciiTheme="minorEastAsia" w:hAnsiTheme="minorEastAsia" w:eastAsiaTheme="minorEastAsia"/>
                <w:color w:val="auto"/>
                <w:kern w:val="0"/>
                <w:sz w:val="21"/>
                <w:szCs w:val="21"/>
                <w:highlight w:val="none"/>
                <w:lang w:val="en-US"/>
              </w:rPr>
              <w:t>供应商自2019年1月1日至今参加能力验证数量和结果进行评审：参与省级（含）以上实验室能力验证情况每参加一个且结果满意的得0.5分，本项最高得4分，未提供不得分。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1376" w:type="dxa"/>
            <w:vMerge w:val="continue"/>
            <w:tcBorders>
              <w:top w:val="nil"/>
            </w:tcBorders>
            <w:noWrap w:val="0"/>
            <w:vAlign w:val="center"/>
          </w:tcPr>
          <w:p>
            <w:pPr>
              <w:rPr>
                <w:color w:val="auto"/>
                <w:szCs w:val="21"/>
                <w:highlight w:val="none"/>
              </w:rPr>
            </w:pPr>
          </w:p>
        </w:tc>
        <w:tc>
          <w:tcPr>
            <w:tcW w:w="1758" w:type="dxa"/>
            <w:noWrap w:val="0"/>
            <w:vAlign w:val="center"/>
          </w:tcPr>
          <w:p>
            <w:pPr>
              <w:pStyle w:val="7"/>
              <w:jc w:val="center"/>
              <w:rPr>
                <w:color w:val="auto"/>
                <w:sz w:val="21"/>
                <w:szCs w:val="21"/>
                <w:highlight w:val="none"/>
              </w:rPr>
            </w:pPr>
            <w:r>
              <w:rPr>
                <w:rFonts w:hint="eastAsia" w:asciiTheme="minorEastAsia" w:hAnsiTheme="minorEastAsia" w:eastAsiaTheme="minorEastAsia"/>
                <w:color w:val="auto"/>
                <w:spacing w:val="-2"/>
                <w:sz w:val="21"/>
                <w:szCs w:val="21"/>
                <w:highlight w:val="none"/>
              </w:rPr>
              <w:t>本地化服务机构（应急服务能力）</w:t>
            </w:r>
            <w:r>
              <w:rPr>
                <w:rFonts w:hint="eastAsia" w:asciiTheme="minorEastAsia" w:hAnsiTheme="minorEastAsia" w:eastAsiaTheme="minorEastAsia"/>
                <w:color w:val="auto"/>
                <w:sz w:val="21"/>
                <w:szCs w:val="21"/>
                <w:highlight w:val="none"/>
              </w:rPr>
              <w:t>6分</w:t>
            </w:r>
          </w:p>
        </w:tc>
        <w:tc>
          <w:tcPr>
            <w:tcW w:w="6305" w:type="dxa"/>
            <w:noWrap w:val="0"/>
            <w:vAlign w:val="center"/>
          </w:tcPr>
          <w:p>
            <w:pPr>
              <w:pStyle w:val="35"/>
              <w:keepNext w:val="0"/>
              <w:keepLines w:val="0"/>
              <w:pageBreakBefore w:val="0"/>
              <w:widowControl w:val="0"/>
              <w:kinsoku/>
              <w:wordWrap/>
              <w:overflowPunct/>
              <w:topLinePunct w:val="0"/>
              <w:autoSpaceDE/>
              <w:autoSpaceDN/>
              <w:bidi w:val="0"/>
              <w:adjustRightInd/>
              <w:snapToGrid/>
              <w:spacing w:before="12" w:line="440" w:lineRule="exact"/>
              <w:ind w:left="106" w:leftChars="0"/>
              <w:textAlignment w:val="auto"/>
              <w:rPr>
                <w:color w:val="auto"/>
                <w:sz w:val="21"/>
                <w:szCs w:val="21"/>
                <w:highlight w:val="none"/>
              </w:rPr>
            </w:pPr>
            <w:r>
              <w:rPr>
                <w:rFonts w:hint="eastAsia" w:asciiTheme="minorEastAsia" w:hAnsiTheme="minorEastAsia" w:eastAsiaTheme="minorEastAsia"/>
                <w:color w:val="auto"/>
                <w:spacing w:val="-2"/>
                <w:sz w:val="21"/>
                <w:szCs w:val="21"/>
                <w:highlight w:val="none"/>
                <w:lang w:eastAsia="zh-CN"/>
              </w:rPr>
              <w:t>供应商</w:t>
            </w:r>
            <w:r>
              <w:rPr>
                <w:rFonts w:hint="eastAsia" w:asciiTheme="minorEastAsia" w:hAnsiTheme="minorEastAsia" w:eastAsiaTheme="minorEastAsia"/>
                <w:color w:val="auto"/>
                <w:spacing w:val="-2"/>
                <w:sz w:val="21"/>
                <w:szCs w:val="21"/>
                <w:highlight w:val="none"/>
              </w:rPr>
              <w:t>在疆内有开展检测工作固定实验室的得6分；疆外有开展检测工作固定实验室的得3分。(需提供实验室场地证明材料，房产证明、租赁合同、营业执照、平面图等复印件。）</w:t>
            </w:r>
          </w:p>
        </w:tc>
      </w:tr>
    </w:tbl>
    <w:tbl>
      <w:tblPr>
        <w:tblStyle w:val="18"/>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61"/>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56" w:type="dxa"/>
            <w:vMerge w:val="restart"/>
            <w:noWrap/>
            <w:vAlign w:val="center"/>
          </w:tcPr>
          <w:p>
            <w:pPr>
              <w:pStyle w:val="35"/>
              <w:jc w:val="center"/>
              <w:rPr>
                <w:color w:val="auto"/>
                <w:szCs w:val="21"/>
                <w:highlight w:val="none"/>
              </w:rPr>
            </w:pPr>
            <w:r>
              <w:rPr>
                <w:color w:val="auto"/>
                <w:spacing w:val="-1"/>
                <w:w w:val="90"/>
                <w:szCs w:val="21"/>
                <w:highlight w:val="none"/>
              </w:rPr>
              <w:t>技术部分</w:t>
            </w:r>
          </w:p>
          <w:p>
            <w:pPr>
              <w:widowControl/>
              <w:spacing w:line="288" w:lineRule="auto"/>
              <w:jc w:val="center"/>
              <w:rPr>
                <w:rFonts w:ascii="宋体" w:hAnsi="宋体" w:cs="宋体"/>
                <w:color w:val="auto"/>
                <w:kern w:val="0"/>
                <w:szCs w:val="21"/>
                <w:highlight w:val="none"/>
              </w:rPr>
            </w:pPr>
            <w:r>
              <w:rPr>
                <w:color w:val="auto"/>
                <w:w w:val="90"/>
                <w:szCs w:val="21"/>
                <w:highlight w:val="none"/>
              </w:rPr>
              <w:t>（</w:t>
            </w:r>
            <w:r>
              <w:rPr>
                <w:rFonts w:hint="eastAsia"/>
                <w:color w:val="auto"/>
                <w:w w:val="90"/>
                <w:szCs w:val="21"/>
                <w:highlight w:val="none"/>
                <w:lang w:val="en-US" w:eastAsia="zh-CN"/>
              </w:rPr>
              <w:t>70</w:t>
            </w:r>
            <w:r>
              <w:rPr>
                <w:color w:val="auto"/>
                <w:spacing w:val="-28"/>
                <w:w w:val="90"/>
                <w:szCs w:val="21"/>
                <w:highlight w:val="none"/>
              </w:rPr>
              <w:t>分</w:t>
            </w:r>
            <w:r>
              <w:rPr>
                <w:color w:val="auto"/>
                <w:w w:val="90"/>
                <w:szCs w:val="21"/>
                <w:highlight w:val="none"/>
              </w:rPr>
              <w:t>）</w:t>
            </w: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项目服务方案</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（15分）</w:t>
            </w:r>
          </w:p>
        </w:tc>
        <w:tc>
          <w:tcPr>
            <w:tcW w:w="7316" w:type="dxa"/>
            <w:tcBorders>
              <w:right w:val="single" w:color="auto" w:sz="12" w:space="0"/>
            </w:tcBorders>
            <w:noWrap/>
            <w:vAlign w:val="center"/>
          </w:tcPr>
          <w:p>
            <w:pPr>
              <w:pStyle w:val="35"/>
              <w:spacing w:before="12"/>
              <w:ind w:left="106"/>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根据投标供应商所提供的对本项目服务方案的完整性、流畅性、针对性、可操作性等进行打分（分为优、良、中、差四档打分）</w:t>
            </w:r>
            <w:r>
              <w:rPr>
                <w:rFonts w:hint="eastAsia" w:ascii="Times New Roman" w:hAnsi="Times New Roman"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优(11-15分)；良(6-10分)；中(1-5分)；差(0分)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56" w:type="dxa"/>
            <w:vMerge w:val="continue"/>
            <w:noWrap/>
            <w:vAlign w:val="center"/>
          </w:tcPr>
          <w:p>
            <w:pPr>
              <w:rPr>
                <w:color w:val="auto"/>
                <w:highlight w:val="none"/>
              </w:rPr>
            </w:pP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质量和安全保障措施及应急处理方案</w:t>
            </w:r>
          </w:p>
          <w:p>
            <w:pPr>
              <w:spacing w:line="288" w:lineRule="auto"/>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（15分）</w:t>
            </w:r>
          </w:p>
        </w:tc>
        <w:tc>
          <w:tcPr>
            <w:tcW w:w="7316" w:type="dxa"/>
            <w:tcBorders>
              <w:right w:val="single" w:color="auto" w:sz="12" w:space="0"/>
            </w:tcBorders>
            <w:noWrap/>
            <w:vAlign w:val="center"/>
          </w:tcPr>
          <w:p>
            <w:pPr>
              <w:spacing w:line="288"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根据投标供应商</w:t>
            </w:r>
            <w:r>
              <w:rPr>
                <w:rFonts w:hint="eastAsia" w:cs="Times New Roman"/>
                <w:color w:val="auto"/>
                <w:kern w:val="0"/>
                <w:sz w:val="21"/>
                <w:szCs w:val="21"/>
                <w:highlight w:val="none"/>
                <w:lang w:val="en-US" w:eastAsia="zh-CN" w:bidi="ar-SA"/>
              </w:rPr>
              <w:t>响应文件</w:t>
            </w:r>
            <w:r>
              <w:rPr>
                <w:rFonts w:hint="eastAsia" w:ascii="Times New Roman" w:hAnsi="Times New Roman" w:eastAsia="宋体" w:cs="Times New Roman"/>
                <w:color w:val="auto"/>
                <w:kern w:val="0"/>
                <w:sz w:val="21"/>
                <w:szCs w:val="21"/>
                <w:highlight w:val="none"/>
                <w:lang w:val="en-US" w:eastAsia="zh-CN" w:bidi="ar-SA"/>
              </w:rPr>
              <w:t>中提供的质量安全、样品运输、保障措施、应急处理方案(食品安全突发事件检测任务等)、响应速度(突发事件发生后几小时到场处理等)内容进行打分。</w:t>
            </w:r>
          </w:p>
          <w:p>
            <w:pPr>
              <w:spacing w:line="288"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全面、合理、可操作性强得（11-15分），一般得（6-10分），较差得（1-5分），不全面、不合理、不具体或者没有完全提供的不得分。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6" w:type="dxa"/>
            <w:vMerge w:val="continue"/>
            <w:noWrap/>
            <w:vAlign w:val="center"/>
          </w:tcPr>
          <w:p>
            <w:pPr>
              <w:rPr>
                <w:color w:val="auto"/>
                <w:highlight w:val="none"/>
              </w:rPr>
            </w:pP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管理制度</w:t>
            </w:r>
          </w:p>
          <w:p>
            <w:pPr>
              <w:spacing w:line="288" w:lineRule="auto"/>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5分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spacing w:line="288"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根据企业财务会计制度、管理制度、食品安全检验检测制度、责任追究制度、检验档案管理制度等管理制度等的完善性、健全性、有效性等进行打分。（分为优、良、中、差四档打分）</w:t>
            </w:r>
          </w:p>
          <w:p>
            <w:pPr>
              <w:spacing w:line="288"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优（4-5分)；良(2-3分)；中（1分）；差(0分)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6" w:type="dxa"/>
            <w:vMerge w:val="continue"/>
            <w:noWrap/>
            <w:vAlign w:val="center"/>
          </w:tcPr>
          <w:p>
            <w:pPr>
              <w:rPr>
                <w:color w:val="auto"/>
                <w:highlight w:val="none"/>
              </w:rPr>
            </w:pPr>
          </w:p>
        </w:tc>
        <w:tc>
          <w:tcPr>
            <w:tcW w:w="1561" w:type="dxa"/>
            <w:noWrap/>
            <w:vAlign w:val="center"/>
          </w:tcPr>
          <w:p>
            <w:pPr>
              <w:pStyle w:val="39"/>
              <w:spacing w:before="0" w:after="0" w:line="240" w:lineRule="auto"/>
              <w:ind w:firstLine="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项目实施</w:t>
            </w:r>
          </w:p>
          <w:p>
            <w:pPr>
              <w:pStyle w:val="39"/>
              <w:spacing w:before="0" w:after="0" w:line="240" w:lineRule="auto"/>
              <w:ind w:firstLine="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时间进度</w:t>
            </w:r>
          </w:p>
          <w:p>
            <w:pPr>
              <w:pStyle w:val="39"/>
              <w:spacing w:before="0" w:after="0"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5分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根据项目实施时间进度的合理性、可操作性等进行打分（分为优、良、</w:t>
            </w:r>
            <w:r>
              <w:rPr>
                <w:rFonts w:hint="eastAsia" w:cs="Times New Roman"/>
                <w:color w:val="auto"/>
                <w:kern w:val="0"/>
                <w:sz w:val="21"/>
                <w:szCs w:val="21"/>
                <w:highlight w:val="none"/>
                <w:lang w:val="en-US" w:eastAsia="zh-CN" w:bidi="ar-SA"/>
              </w:rPr>
              <w:t>中、</w:t>
            </w:r>
            <w:r>
              <w:rPr>
                <w:rFonts w:hint="eastAsia" w:ascii="Times New Roman" w:hAnsi="Times New Roman" w:eastAsia="宋体" w:cs="Times New Roman"/>
                <w:color w:val="auto"/>
                <w:kern w:val="0"/>
                <w:sz w:val="21"/>
                <w:szCs w:val="21"/>
                <w:highlight w:val="none"/>
                <w:lang w:val="en-US" w:eastAsia="zh-CN" w:bidi="ar-SA"/>
              </w:rPr>
              <w:t xml:space="preserve">差四档打分）优（4-5分)；良(2-3分)；中（1分）；差(0分)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6" w:type="dxa"/>
            <w:vMerge w:val="continue"/>
            <w:noWrap/>
            <w:vAlign w:val="center"/>
          </w:tcPr>
          <w:p>
            <w:pPr>
              <w:rPr>
                <w:color w:val="auto"/>
                <w:highlight w:val="none"/>
              </w:rPr>
            </w:pP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检测设备配置</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10分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spacing w:line="288"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投标供应商开展本项目必须具备承担本次检测任务所需的仪器设备：HPLC（高效液相色谱仪）、GC（气相色谱仪）、UV（紫外分光光度计）、AFS（原子荧光分光光度计）、AAS（原子吸收光谱仪）、GC-MS/MS（气相色谱/质谱联用仪）、LC/MS(液相色谱/质谱联用仪)、IC（离子色谱仪），全部满足得10分；缺一项扣2分。（需提供购置发票复印件及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56" w:type="dxa"/>
            <w:vMerge w:val="continue"/>
            <w:noWrap/>
            <w:vAlign w:val="center"/>
          </w:tcPr>
          <w:p>
            <w:pPr>
              <w:rPr>
                <w:color w:val="auto"/>
                <w:highlight w:val="none"/>
              </w:rPr>
            </w:pP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实验室</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场所条件</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7分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spacing w:line="288"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根据投标供应商提供的开展本项目实验室的面积、布局，开展检验工作的实验室面积证明材料（1实验室房产证明或租赁合同复印件、2实验室平面图复印件、3营业执照复印件）进行打分。</w:t>
            </w:r>
          </w:p>
          <w:p>
            <w:pPr>
              <w:spacing w:line="288"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证明实验室面积在3000平米以上得7分，证明实验室面积2000-3000平米得3分，证明实验室面积2000平米以下得1分，不提供得0分。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6" w:type="dxa"/>
            <w:vMerge w:val="continue"/>
            <w:noWrap/>
            <w:vAlign w:val="center"/>
          </w:tcPr>
          <w:p>
            <w:pPr>
              <w:rPr>
                <w:color w:val="auto"/>
                <w:highlight w:val="none"/>
              </w:rPr>
            </w:pPr>
          </w:p>
        </w:tc>
        <w:tc>
          <w:tcPr>
            <w:tcW w:w="1561" w:type="dxa"/>
            <w:noWrap/>
            <w:vAlign w:val="center"/>
          </w:tcPr>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项目实施</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团队能力</w:t>
            </w:r>
          </w:p>
          <w:p>
            <w:pPr>
              <w:spacing w:line="288"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3分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spacing w:line="288" w:lineRule="auto"/>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根据投标供应商的拟投入项目人员配置情况、人员分工、人员资质与经验等情况进行横向比较评比打分（分为优、良、中、差四档打分）优（3分)；良(2分)；中(1分)；差(0分)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56" w:type="dxa"/>
            <w:vMerge w:val="continue"/>
            <w:noWrap/>
            <w:vAlign w:val="center"/>
          </w:tcPr>
          <w:p>
            <w:pPr>
              <w:rPr>
                <w:color w:val="auto"/>
                <w:highlight w:val="none"/>
              </w:rPr>
            </w:pPr>
          </w:p>
        </w:tc>
        <w:tc>
          <w:tcPr>
            <w:tcW w:w="1561" w:type="dxa"/>
            <w:noWrap/>
            <w:vAlign w:val="center"/>
          </w:tcPr>
          <w:p>
            <w:pPr>
              <w:pStyle w:val="39"/>
              <w:spacing w:before="0" w:after="0" w:line="240" w:lineRule="auto"/>
              <w:ind w:left="240" w:hanging="210" w:hangingChars="10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服务承诺</w:t>
            </w:r>
          </w:p>
          <w:p>
            <w:pPr>
              <w:pStyle w:val="39"/>
              <w:spacing w:before="0" w:after="0" w:line="240" w:lineRule="auto"/>
              <w:ind w:left="210" w:leftChars="0" w:hanging="210" w:hangingChars="10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en-US" w:eastAsia="zh-CN" w:bidi="ar-SA"/>
              </w:rPr>
              <w:t>10分</w:t>
            </w:r>
            <w:r>
              <w:rPr>
                <w:rFonts w:hint="eastAsia" w:cs="Times New Roman"/>
                <w:color w:val="auto"/>
                <w:kern w:val="0"/>
                <w:sz w:val="21"/>
                <w:szCs w:val="21"/>
                <w:highlight w:val="none"/>
                <w:lang w:val="en-US" w:eastAsia="zh-CN" w:bidi="ar-SA"/>
              </w:rPr>
              <w:t>）</w:t>
            </w:r>
          </w:p>
        </w:tc>
        <w:tc>
          <w:tcPr>
            <w:tcW w:w="7316" w:type="dxa"/>
            <w:tcBorders>
              <w:right w:val="single" w:color="auto" w:sz="12" w:space="0"/>
            </w:tcBorders>
            <w:noWrap/>
            <w:vAlign w:val="center"/>
          </w:tcPr>
          <w:p>
            <w:pPr>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根据投标供应商服务承诺的全面性、合理性等分为优、良、中、差四档打分：优(7-10分)；良(4-6分)；中(1-3分)；差(0分)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533" w:type="dxa"/>
            <w:gridSpan w:val="3"/>
            <w:tcBorders>
              <w:right w:val="single" w:color="auto" w:sz="12" w:space="0"/>
            </w:tcBorders>
            <w:noWrap/>
            <w:vAlign w:val="center"/>
          </w:tcPr>
          <w:p>
            <w:pPr>
              <w:pStyle w:val="35"/>
              <w:spacing w:before="12"/>
              <w:ind w:left="106"/>
              <w:rPr>
                <w:b/>
                <w:color w:val="auto"/>
                <w:szCs w:val="21"/>
                <w:highlight w:val="none"/>
              </w:rPr>
            </w:pPr>
            <w:r>
              <w:rPr>
                <w:rFonts w:hint="eastAsia"/>
                <w:b/>
                <w:color w:val="auto"/>
                <w:szCs w:val="21"/>
                <w:highlight w:val="none"/>
              </w:rPr>
              <w:t>合计 100分，供应商综合得分=</w:t>
            </w:r>
            <w:r>
              <w:rPr>
                <w:rFonts w:hint="eastAsia"/>
                <w:b/>
                <w:color w:val="auto"/>
                <w:szCs w:val="21"/>
                <w:highlight w:val="none"/>
                <w:lang w:val="en-US" w:eastAsia="zh-CN"/>
              </w:rPr>
              <w:t>投标总价</w:t>
            </w:r>
            <w:r>
              <w:rPr>
                <w:rFonts w:hint="eastAsia"/>
                <w:b/>
                <w:color w:val="auto"/>
                <w:szCs w:val="21"/>
                <w:highlight w:val="none"/>
                <w:lang w:val="en-US"/>
              </w:rPr>
              <w:t>得分+</w:t>
            </w:r>
            <w:r>
              <w:rPr>
                <w:rFonts w:hint="eastAsia"/>
                <w:b/>
                <w:color w:val="auto"/>
                <w:szCs w:val="21"/>
                <w:highlight w:val="none"/>
              </w:rPr>
              <w:t>商务</w:t>
            </w:r>
            <w:r>
              <w:rPr>
                <w:rFonts w:hint="eastAsia"/>
                <w:b/>
                <w:color w:val="auto"/>
                <w:szCs w:val="21"/>
                <w:highlight w:val="none"/>
                <w:lang w:val="en-US"/>
              </w:rPr>
              <w:t>部分</w:t>
            </w:r>
            <w:r>
              <w:rPr>
                <w:rFonts w:hint="eastAsia"/>
                <w:b/>
                <w:color w:val="auto"/>
                <w:szCs w:val="21"/>
                <w:highlight w:val="none"/>
              </w:rPr>
              <w:t>得分+技术</w:t>
            </w:r>
            <w:r>
              <w:rPr>
                <w:rFonts w:hint="eastAsia"/>
                <w:b/>
                <w:color w:val="auto"/>
                <w:szCs w:val="21"/>
                <w:highlight w:val="none"/>
                <w:lang w:val="en-US"/>
              </w:rPr>
              <w:t>部分</w:t>
            </w:r>
            <w:r>
              <w:rPr>
                <w:rFonts w:hint="eastAsia"/>
                <w:b/>
                <w:color w:val="auto"/>
                <w:szCs w:val="21"/>
                <w:highlight w:val="none"/>
              </w:rPr>
              <w:t>得分。</w:t>
            </w:r>
          </w:p>
          <w:p>
            <w:pPr>
              <w:spacing w:line="288" w:lineRule="auto"/>
              <w:textAlignment w:val="center"/>
              <w:rPr>
                <w:rFonts w:hint="eastAsia" w:ascii="宋体" w:hAnsi="宋体" w:cs="宋体"/>
                <w:color w:val="auto"/>
                <w:kern w:val="0"/>
                <w:szCs w:val="21"/>
                <w:highlight w:val="none"/>
              </w:rPr>
            </w:pPr>
            <w:r>
              <w:rPr>
                <w:rFonts w:hint="eastAsia"/>
                <w:b/>
                <w:color w:val="auto"/>
                <w:szCs w:val="21"/>
                <w:highlight w:val="none"/>
              </w:rPr>
              <w:t>注：</w:t>
            </w:r>
            <w:r>
              <w:rPr>
                <w:rFonts w:hint="eastAsia"/>
                <w:b/>
                <w:color w:val="auto"/>
                <w:szCs w:val="21"/>
                <w:highlight w:val="none"/>
                <w:lang w:val="en-US"/>
              </w:rPr>
              <w:t>1、</w:t>
            </w:r>
            <w:r>
              <w:rPr>
                <w:rFonts w:hint="eastAsia"/>
                <w:b/>
                <w:color w:val="auto"/>
                <w:szCs w:val="21"/>
                <w:highlight w:val="none"/>
              </w:rPr>
              <w:t>评分计算结果保留两位小数，第三位小数四舍五入。</w:t>
            </w:r>
          </w:p>
        </w:tc>
      </w:tr>
    </w:tbl>
    <w:p>
      <w:pPr>
        <w:spacing w:line="300" w:lineRule="exact"/>
        <w:rPr>
          <w:rFonts w:ascii="宋体" w:hAnsi="宋体" w:cs="宋体"/>
          <w:b/>
          <w:color w:val="auto"/>
          <w:szCs w:val="21"/>
        </w:rPr>
      </w:pPr>
      <w:r>
        <w:rPr>
          <w:rFonts w:hint="eastAsia" w:ascii="宋体" w:hAnsi="宋体" w:cs="宋体"/>
          <w:b/>
          <w:color w:val="auto"/>
          <w:szCs w:val="21"/>
        </w:rPr>
        <w:t xml:space="preserve">注：关于小微企业： </w:t>
      </w:r>
    </w:p>
    <w:p>
      <w:pPr>
        <w:widowControl/>
        <w:jc w:val="left"/>
        <w:rPr>
          <w:rFonts w:ascii="宋体" w:hAnsi="宋体" w:cs="宋体"/>
          <w:b/>
          <w:color w:val="auto"/>
          <w:szCs w:val="21"/>
        </w:rPr>
      </w:pPr>
      <w:r>
        <w:rPr>
          <w:rFonts w:hint="eastAsia" w:ascii="宋体" w:hAnsi="宋体" w:cs="宋体"/>
          <w:b/>
          <w:color w:val="auto"/>
          <w:szCs w:val="21"/>
        </w:rPr>
        <w:t xml:space="preserve">1.1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jc w:val="left"/>
        <w:rPr>
          <w:rFonts w:ascii="宋体" w:hAnsi="宋体" w:cs="宋体"/>
          <w:b/>
          <w:color w:val="auto"/>
          <w:szCs w:val="21"/>
        </w:rPr>
      </w:pPr>
      <w:r>
        <w:rPr>
          <w:rFonts w:hint="eastAsia" w:ascii="宋体" w:hAnsi="宋体" w:cs="宋体"/>
          <w:b/>
          <w:color w:val="auto"/>
          <w:szCs w:val="21"/>
        </w:rPr>
        <w:t xml:space="preserve">1.1.1 在政府采购活动中，供应商提供的货物、工程或者服务符合下列情形的，享受本办法规定的中小企业扶持政策： </w:t>
      </w:r>
    </w:p>
    <w:p>
      <w:pPr>
        <w:widowControl/>
        <w:jc w:val="left"/>
        <w:rPr>
          <w:rFonts w:ascii="宋体" w:hAnsi="宋体" w:cs="宋体"/>
          <w:b/>
          <w:color w:val="auto"/>
          <w:szCs w:val="21"/>
        </w:rPr>
      </w:pPr>
      <w:r>
        <w:rPr>
          <w:rFonts w:hint="eastAsia" w:ascii="宋体" w:hAnsi="宋体" w:cs="宋体"/>
          <w:b/>
          <w:color w:val="auto"/>
          <w:szCs w:val="21"/>
        </w:rPr>
        <w:t xml:space="preserve">（一）在货物采购项目中，货物由中小企业制造，即货物由中小企业生产且使用该中小企业商号或者注册商标； </w:t>
      </w:r>
    </w:p>
    <w:p>
      <w:pPr>
        <w:widowControl/>
        <w:jc w:val="left"/>
        <w:rPr>
          <w:rFonts w:ascii="宋体" w:hAnsi="宋体" w:cs="宋体"/>
          <w:b/>
          <w:color w:val="auto"/>
          <w:szCs w:val="21"/>
        </w:rPr>
      </w:pPr>
      <w:r>
        <w:rPr>
          <w:rFonts w:hint="eastAsia" w:ascii="宋体" w:hAnsi="宋体" w:cs="宋体"/>
          <w:b/>
          <w:color w:val="auto"/>
          <w:szCs w:val="21"/>
        </w:rPr>
        <w:t xml:space="preserve">（二）在工程采购项目中，工程由中小企业承建，即工程施工单位为中小企业； </w:t>
      </w:r>
    </w:p>
    <w:p>
      <w:pPr>
        <w:widowControl/>
        <w:jc w:val="left"/>
        <w:rPr>
          <w:rFonts w:ascii="宋体" w:hAnsi="宋体" w:cs="宋体"/>
          <w:b/>
          <w:color w:val="auto"/>
          <w:szCs w:val="21"/>
        </w:rPr>
      </w:pPr>
      <w:r>
        <w:rPr>
          <w:rFonts w:hint="eastAsia" w:ascii="宋体" w:hAnsi="宋体" w:cs="宋体"/>
          <w:b/>
          <w:color w:val="auto"/>
          <w:szCs w:val="21"/>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pStyle w:val="7"/>
        <w:keepNext w:val="0"/>
        <w:keepLines w:val="0"/>
        <w:pageBreakBefore w:val="0"/>
        <w:widowControl w:val="0"/>
        <w:kinsoku/>
        <w:wordWrap/>
        <w:overflowPunct/>
        <w:topLinePunct w:val="0"/>
        <w:autoSpaceDE/>
        <w:autoSpaceDN/>
        <w:bidi w:val="0"/>
        <w:adjustRightInd/>
        <w:snapToGrid/>
        <w:spacing w:afterLines="30" w:line="320" w:lineRule="exact"/>
        <w:ind w:firstLine="421"/>
        <w:textAlignment w:val="auto"/>
        <w:rPr>
          <w:color w:val="auto"/>
        </w:rPr>
      </w:pPr>
    </w:p>
    <w:sectPr>
      <w:headerReference r:id="rId6" w:type="default"/>
      <w:footerReference r:id="rId7"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1035" o:spid="_x0000_s103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w:pict>
        <v:shape id="_x0000_s1036" o:spid="_x0000_s103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- 43 -</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w:pict>
        <v:shape id="_x0000_s1037" o:spid="_x0000_s103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新疆永信工程造价咨询有限公司</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宋体" w:hAnsi="宋体" w:cs="宋体"/>
        <w:sz w:val="32"/>
        <w:szCs w:val="32"/>
      </w:rPr>
      <w:drawing>
        <wp:inline distT="0" distB="0" distL="114300" distR="114300">
          <wp:extent cx="499745" cy="504190"/>
          <wp:effectExtent l="0" t="0" r="14605" b="10160"/>
          <wp:docPr id="10"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3"/>
      </w:pBdr>
      <w:tabs>
        <w:tab w:val="left" w:pos="495"/>
        <w:tab w:val="center" w:pos="4649"/>
        <w:tab w:val="clear" w:pos="8306"/>
      </w:tabs>
    </w:pPr>
    <w:r>
      <w:rPr>
        <w:rFonts w:hint="eastAsia" w:ascii="宋体" w:hAnsi="宋体" w:cs="宋体"/>
        <w:sz w:val="32"/>
        <w:szCs w:val="32"/>
      </w:rPr>
      <w:t xml:space="preserve">新疆永信工程造价咨询有限公司  </w:t>
    </w:r>
    <w:r>
      <w:rPr>
        <w:rFonts w:hint="eastAsia" w:ascii="宋体" w:hAnsi="宋体" w:cs="宋体"/>
        <w:sz w:val="32"/>
        <w:szCs w:val="32"/>
      </w:rPr>
      <w:drawing>
        <wp:inline distT="0" distB="0" distL="114300" distR="114300">
          <wp:extent cx="499745" cy="504190"/>
          <wp:effectExtent l="0" t="0" r="14605" b="10160"/>
          <wp:docPr id="1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公司Logo"/>
                  <pic:cNvPicPr>
                    <a:picLocks noChangeAspect="1"/>
                  </pic:cNvPicPr>
                </pic:nvPicPr>
                <pic:blipFill>
                  <a:blip r:embed="rId1"/>
                  <a:stretch>
                    <a:fillRect/>
                  </a:stretch>
                </pic:blipFill>
                <pic:spPr>
                  <a:xfrm>
                    <a:off x="0" y="0"/>
                    <a:ext cx="499745" cy="504190"/>
                  </a:xfrm>
                  <a:prstGeom prst="rect">
                    <a:avLst/>
                  </a:prstGeom>
                  <a:noFill/>
                  <a:ln>
                    <a:noFill/>
                  </a:ln>
                </pic:spPr>
              </pic:pic>
            </a:graphicData>
          </a:graphic>
        </wp:inline>
      </w:drawing>
    </w:r>
  </w:p>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2168"/>
    <w:multiLevelType w:val="singleLevel"/>
    <w:tmpl w:val="A0EE2168"/>
    <w:lvl w:ilvl="0" w:tentative="0">
      <w:start w:val="2"/>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6"/>
      <w:lvlText w:val="%1、"/>
      <w:lvlJc w:val="left"/>
      <w:pPr>
        <w:tabs>
          <w:tab w:val="left" w:pos="960"/>
        </w:tabs>
        <w:ind w:left="960" w:hanging="480"/>
      </w:pPr>
      <w:rPr>
        <w:rFonts w:hint="eastAsia"/>
        <w:b/>
      </w:rPr>
    </w:lvl>
  </w:abstractNum>
  <w:abstractNum w:abstractNumId="2">
    <w:nsid w:val="28F3D0F5"/>
    <w:multiLevelType w:val="singleLevel"/>
    <w:tmpl w:val="28F3D0F5"/>
    <w:lvl w:ilvl="0" w:tentative="0">
      <w:start w:val="4"/>
      <w:numFmt w:val="chineseCounting"/>
      <w:suff w:val="nothing"/>
      <w:lvlText w:val="第%1章、"/>
      <w:lvlJc w:val="left"/>
      <w:rPr>
        <w:rFonts w:hint="eastAsia"/>
      </w:rPr>
    </w:lvl>
  </w:abstractNum>
  <w:abstractNum w:abstractNumId="3">
    <w:nsid w:val="3287E947"/>
    <w:multiLevelType w:val="singleLevel"/>
    <w:tmpl w:val="3287E947"/>
    <w:lvl w:ilvl="0" w:tentative="0">
      <w:start w:val="3"/>
      <w:numFmt w:val="chineseCounting"/>
      <w:suff w:val="nothing"/>
      <w:lvlText w:val="%1、"/>
      <w:lvlJc w:val="left"/>
      <w:rPr>
        <w:rFonts w:hint="eastAsia"/>
      </w:rPr>
    </w:lvl>
  </w:abstractNum>
  <w:abstractNum w:abstractNumId="4">
    <w:nsid w:val="591526C9"/>
    <w:multiLevelType w:val="singleLevel"/>
    <w:tmpl w:val="591526C9"/>
    <w:lvl w:ilvl="0" w:tentative="0">
      <w:start w:val="1"/>
      <w:numFmt w:val="decimal"/>
      <w:suff w:val="nothing"/>
      <w:lvlText w:val="（%1）"/>
      <w:lvlJc w:val="left"/>
      <w:pPr>
        <w:ind w:left="0" w:firstLine="42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JmODJmMWM1NGU2YzU2NTA5NzMxNGYyYjhlYWU2YjEifQ=="/>
  </w:docVars>
  <w:rsids>
    <w:rsidRoot w:val="50004A95"/>
    <w:rsid w:val="000326EB"/>
    <w:rsid w:val="00044DD5"/>
    <w:rsid w:val="0004637B"/>
    <w:rsid w:val="000C1451"/>
    <w:rsid w:val="00145F98"/>
    <w:rsid w:val="0019566A"/>
    <w:rsid w:val="00202FA0"/>
    <w:rsid w:val="0020615F"/>
    <w:rsid w:val="002B66EF"/>
    <w:rsid w:val="002C6FCE"/>
    <w:rsid w:val="00381ACB"/>
    <w:rsid w:val="003913B3"/>
    <w:rsid w:val="004543AC"/>
    <w:rsid w:val="005C088A"/>
    <w:rsid w:val="00614AED"/>
    <w:rsid w:val="007276F2"/>
    <w:rsid w:val="008214B2"/>
    <w:rsid w:val="008A75C7"/>
    <w:rsid w:val="009364C7"/>
    <w:rsid w:val="0099201E"/>
    <w:rsid w:val="009B3ACF"/>
    <w:rsid w:val="00A3305D"/>
    <w:rsid w:val="00B174BB"/>
    <w:rsid w:val="00B4267B"/>
    <w:rsid w:val="00BD1062"/>
    <w:rsid w:val="00C6593F"/>
    <w:rsid w:val="00C82A1E"/>
    <w:rsid w:val="00CD1E3B"/>
    <w:rsid w:val="00CD43C6"/>
    <w:rsid w:val="00CD7C0E"/>
    <w:rsid w:val="00D24806"/>
    <w:rsid w:val="00D4613E"/>
    <w:rsid w:val="00D64AE1"/>
    <w:rsid w:val="00DF2520"/>
    <w:rsid w:val="00E30219"/>
    <w:rsid w:val="00EF5BA2"/>
    <w:rsid w:val="00F735C3"/>
    <w:rsid w:val="00FC2C02"/>
    <w:rsid w:val="00FD01EA"/>
    <w:rsid w:val="010031D1"/>
    <w:rsid w:val="010704F4"/>
    <w:rsid w:val="011E260D"/>
    <w:rsid w:val="011E3D92"/>
    <w:rsid w:val="011E7592"/>
    <w:rsid w:val="01366D71"/>
    <w:rsid w:val="013B6CCE"/>
    <w:rsid w:val="01463B4E"/>
    <w:rsid w:val="01480530"/>
    <w:rsid w:val="014E595C"/>
    <w:rsid w:val="01571C2A"/>
    <w:rsid w:val="016D484A"/>
    <w:rsid w:val="01837790"/>
    <w:rsid w:val="018E78D6"/>
    <w:rsid w:val="019E7CAE"/>
    <w:rsid w:val="01A17E23"/>
    <w:rsid w:val="01C25065"/>
    <w:rsid w:val="01D129DD"/>
    <w:rsid w:val="01D75EBB"/>
    <w:rsid w:val="01DA3851"/>
    <w:rsid w:val="01DF7FBF"/>
    <w:rsid w:val="01EA6D9C"/>
    <w:rsid w:val="01F757DA"/>
    <w:rsid w:val="01FE6394"/>
    <w:rsid w:val="02025C15"/>
    <w:rsid w:val="02033D08"/>
    <w:rsid w:val="020533DA"/>
    <w:rsid w:val="02073EE0"/>
    <w:rsid w:val="02131738"/>
    <w:rsid w:val="021A142D"/>
    <w:rsid w:val="022015EB"/>
    <w:rsid w:val="02254726"/>
    <w:rsid w:val="023379D3"/>
    <w:rsid w:val="023E5477"/>
    <w:rsid w:val="02467A5F"/>
    <w:rsid w:val="0248531A"/>
    <w:rsid w:val="024A5721"/>
    <w:rsid w:val="024C2043"/>
    <w:rsid w:val="025C4B56"/>
    <w:rsid w:val="0261487E"/>
    <w:rsid w:val="026C5FD7"/>
    <w:rsid w:val="026F19EA"/>
    <w:rsid w:val="02705CCA"/>
    <w:rsid w:val="0273150F"/>
    <w:rsid w:val="028440C8"/>
    <w:rsid w:val="0293255D"/>
    <w:rsid w:val="0296303F"/>
    <w:rsid w:val="02972CC3"/>
    <w:rsid w:val="02A953FB"/>
    <w:rsid w:val="02AD62A7"/>
    <w:rsid w:val="02B17140"/>
    <w:rsid w:val="02B46D8D"/>
    <w:rsid w:val="02D42EBE"/>
    <w:rsid w:val="02D45050"/>
    <w:rsid w:val="02DB6483"/>
    <w:rsid w:val="02E46A30"/>
    <w:rsid w:val="02FA37F6"/>
    <w:rsid w:val="02FF1BA6"/>
    <w:rsid w:val="03004097"/>
    <w:rsid w:val="03202D4E"/>
    <w:rsid w:val="0324414F"/>
    <w:rsid w:val="0328714A"/>
    <w:rsid w:val="03306BD1"/>
    <w:rsid w:val="033345D4"/>
    <w:rsid w:val="0342435F"/>
    <w:rsid w:val="03487F26"/>
    <w:rsid w:val="034C7867"/>
    <w:rsid w:val="034F16AD"/>
    <w:rsid w:val="03630BDE"/>
    <w:rsid w:val="03715449"/>
    <w:rsid w:val="037D4B14"/>
    <w:rsid w:val="038105E0"/>
    <w:rsid w:val="038D51FF"/>
    <w:rsid w:val="03911CEB"/>
    <w:rsid w:val="039B58CD"/>
    <w:rsid w:val="039D18E6"/>
    <w:rsid w:val="03A86FE5"/>
    <w:rsid w:val="03AB14DF"/>
    <w:rsid w:val="03C93517"/>
    <w:rsid w:val="03CF244B"/>
    <w:rsid w:val="03D24025"/>
    <w:rsid w:val="03D47C0C"/>
    <w:rsid w:val="03E10DFD"/>
    <w:rsid w:val="03F624A2"/>
    <w:rsid w:val="03FC5347"/>
    <w:rsid w:val="04113DB2"/>
    <w:rsid w:val="041A73AF"/>
    <w:rsid w:val="042B5900"/>
    <w:rsid w:val="04336FCB"/>
    <w:rsid w:val="04345468"/>
    <w:rsid w:val="043641EE"/>
    <w:rsid w:val="0444114C"/>
    <w:rsid w:val="04471852"/>
    <w:rsid w:val="044F1106"/>
    <w:rsid w:val="04573DDB"/>
    <w:rsid w:val="045D72C7"/>
    <w:rsid w:val="04675B95"/>
    <w:rsid w:val="04701094"/>
    <w:rsid w:val="047934EF"/>
    <w:rsid w:val="04846602"/>
    <w:rsid w:val="048D195A"/>
    <w:rsid w:val="0499065C"/>
    <w:rsid w:val="049B394B"/>
    <w:rsid w:val="04AD62B3"/>
    <w:rsid w:val="04B24ECF"/>
    <w:rsid w:val="04B340AB"/>
    <w:rsid w:val="04D270A7"/>
    <w:rsid w:val="04E233F3"/>
    <w:rsid w:val="05136066"/>
    <w:rsid w:val="05140EB1"/>
    <w:rsid w:val="052355BD"/>
    <w:rsid w:val="05297068"/>
    <w:rsid w:val="052B5239"/>
    <w:rsid w:val="052D6C99"/>
    <w:rsid w:val="05372F35"/>
    <w:rsid w:val="054927BA"/>
    <w:rsid w:val="054A6FFF"/>
    <w:rsid w:val="055503F5"/>
    <w:rsid w:val="055F4D8F"/>
    <w:rsid w:val="05615144"/>
    <w:rsid w:val="056754D2"/>
    <w:rsid w:val="05694D1B"/>
    <w:rsid w:val="05720B50"/>
    <w:rsid w:val="05722181"/>
    <w:rsid w:val="058916B8"/>
    <w:rsid w:val="058E05E6"/>
    <w:rsid w:val="05954FA3"/>
    <w:rsid w:val="05A81488"/>
    <w:rsid w:val="05A8388B"/>
    <w:rsid w:val="05A857EB"/>
    <w:rsid w:val="05B0386F"/>
    <w:rsid w:val="05B97B45"/>
    <w:rsid w:val="05C40521"/>
    <w:rsid w:val="05C63BC0"/>
    <w:rsid w:val="05CA273A"/>
    <w:rsid w:val="05E1620A"/>
    <w:rsid w:val="05E7509A"/>
    <w:rsid w:val="05F32219"/>
    <w:rsid w:val="05F81255"/>
    <w:rsid w:val="05FD21BA"/>
    <w:rsid w:val="06055D29"/>
    <w:rsid w:val="060572BB"/>
    <w:rsid w:val="060A6FDB"/>
    <w:rsid w:val="060B1C93"/>
    <w:rsid w:val="06165A35"/>
    <w:rsid w:val="061E3789"/>
    <w:rsid w:val="0621399A"/>
    <w:rsid w:val="062E0F1B"/>
    <w:rsid w:val="063C3093"/>
    <w:rsid w:val="063F384F"/>
    <w:rsid w:val="06464B1D"/>
    <w:rsid w:val="064C3913"/>
    <w:rsid w:val="064F790C"/>
    <w:rsid w:val="06620544"/>
    <w:rsid w:val="06640DE3"/>
    <w:rsid w:val="0675449C"/>
    <w:rsid w:val="068B2214"/>
    <w:rsid w:val="0694108D"/>
    <w:rsid w:val="06987AC6"/>
    <w:rsid w:val="06A42F8B"/>
    <w:rsid w:val="06BB746F"/>
    <w:rsid w:val="06BF3675"/>
    <w:rsid w:val="06D07D5A"/>
    <w:rsid w:val="06D91289"/>
    <w:rsid w:val="06DE1E85"/>
    <w:rsid w:val="06E60F80"/>
    <w:rsid w:val="06E650DE"/>
    <w:rsid w:val="06EE4C18"/>
    <w:rsid w:val="06F357D1"/>
    <w:rsid w:val="06F9233E"/>
    <w:rsid w:val="06FA3997"/>
    <w:rsid w:val="06FA41C0"/>
    <w:rsid w:val="07002692"/>
    <w:rsid w:val="0704190E"/>
    <w:rsid w:val="07443F6C"/>
    <w:rsid w:val="07475F02"/>
    <w:rsid w:val="074C3773"/>
    <w:rsid w:val="075C1C02"/>
    <w:rsid w:val="075E7BE2"/>
    <w:rsid w:val="078119DB"/>
    <w:rsid w:val="07823027"/>
    <w:rsid w:val="07864F73"/>
    <w:rsid w:val="078652A6"/>
    <w:rsid w:val="078C01E4"/>
    <w:rsid w:val="0791492A"/>
    <w:rsid w:val="07945321"/>
    <w:rsid w:val="079575A1"/>
    <w:rsid w:val="07993E2C"/>
    <w:rsid w:val="07997108"/>
    <w:rsid w:val="079B59C4"/>
    <w:rsid w:val="07AE1E1C"/>
    <w:rsid w:val="07B22191"/>
    <w:rsid w:val="07B54585"/>
    <w:rsid w:val="07BE3EE0"/>
    <w:rsid w:val="07CA18BF"/>
    <w:rsid w:val="07CB5F82"/>
    <w:rsid w:val="07D41D6C"/>
    <w:rsid w:val="07DF436F"/>
    <w:rsid w:val="07EE2807"/>
    <w:rsid w:val="07F007CE"/>
    <w:rsid w:val="07FD6C65"/>
    <w:rsid w:val="0812475C"/>
    <w:rsid w:val="081456CF"/>
    <w:rsid w:val="081C22CD"/>
    <w:rsid w:val="081E38B6"/>
    <w:rsid w:val="08263EFD"/>
    <w:rsid w:val="08386501"/>
    <w:rsid w:val="083B104E"/>
    <w:rsid w:val="084B4067"/>
    <w:rsid w:val="085612E9"/>
    <w:rsid w:val="08664400"/>
    <w:rsid w:val="089F49D3"/>
    <w:rsid w:val="08CC47DB"/>
    <w:rsid w:val="08D20336"/>
    <w:rsid w:val="08D76ACB"/>
    <w:rsid w:val="08E7079B"/>
    <w:rsid w:val="08EE509C"/>
    <w:rsid w:val="08F30C67"/>
    <w:rsid w:val="08FE375C"/>
    <w:rsid w:val="091D3147"/>
    <w:rsid w:val="092265AB"/>
    <w:rsid w:val="09270C87"/>
    <w:rsid w:val="092A791F"/>
    <w:rsid w:val="093570FD"/>
    <w:rsid w:val="094139EA"/>
    <w:rsid w:val="09463EBF"/>
    <w:rsid w:val="09472EE3"/>
    <w:rsid w:val="094812A8"/>
    <w:rsid w:val="095549BD"/>
    <w:rsid w:val="09621596"/>
    <w:rsid w:val="0964585E"/>
    <w:rsid w:val="096545A8"/>
    <w:rsid w:val="096B4D1A"/>
    <w:rsid w:val="096E7CD8"/>
    <w:rsid w:val="09710848"/>
    <w:rsid w:val="097E0211"/>
    <w:rsid w:val="098B32FC"/>
    <w:rsid w:val="098C76AB"/>
    <w:rsid w:val="099124C9"/>
    <w:rsid w:val="09A4409C"/>
    <w:rsid w:val="09B21903"/>
    <w:rsid w:val="09B35434"/>
    <w:rsid w:val="09B87492"/>
    <w:rsid w:val="09C120A6"/>
    <w:rsid w:val="09C75C6B"/>
    <w:rsid w:val="09CB025C"/>
    <w:rsid w:val="09D3109A"/>
    <w:rsid w:val="09DB0EED"/>
    <w:rsid w:val="09E0077E"/>
    <w:rsid w:val="09FF69C2"/>
    <w:rsid w:val="0A0474FC"/>
    <w:rsid w:val="0A211CA2"/>
    <w:rsid w:val="0A2936FA"/>
    <w:rsid w:val="0A2A1F87"/>
    <w:rsid w:val="0A320EE2"/>
    <w:rsid w:val="0A534963"/>
    <w:rsid w:val="0A5E744E"/>
    <w:rsid w:val="0A725A71"/>
    <w:rsid w:val="0A730821"/>
    <w:rsid w:val="0A7C341E"/>
    <w:rsid w:val="0A802980"/>
    <w:rsid w:val="0A830D65"/>
    <w:rsid w:val="0A88373C"/>
    <w:rsid w:val="0A890FD1"/>
    <w:rsid w:val="0A8C2AE7"/>
    <w:rsid w:val="0AA2391D"/>
    <w:rsid w:val="0AA64A36"/>
    <w:rsid w:val="0AB367C5"/>
    <w:rsid w:val="0AD16AC7"/>
    <w:rsid w:val="0ADF42DF"/>
    <w:rsid w:val="0AE1397F"/>
    <w:rsid w:val="0B073E1A"/>
    <w:rsid w:val="0B0E0726"/>
    <w:rsid w:val="0B1845FE"/>
    <w:rsid w:val="0B212DFC"/>
    <w:rsid w:val="0B293A5F"/>
    <w:rsid w:val="0B2A4D8B"/>
    <w:rsid w:val="0B416D3C"/>
    <w:rsid w:val="0B5851DD"/>
    <w:rsid w:val="0B632CA7"/>
    <w:rsid w:val="0B673047"/>
    <w:rsid w:val="0B6B47CF"/>
    <w:rsid w:val="0B7863E5"/>
    <w:rsid w:val="0B8F5E30"/>
    <w:rsid w:val="0B9E4CF4"/>
    <w:rsid w:val="0BAE64CB"/>
    <w:rsid w:val="0BAF49D6"/>
    <w:rsid w:val="0BB43C70"/>
    <w:rsid w:val="0BC6579A"/>
    <w:rsid w:val="0BC73AC2"/>
    <w:rsid w:val="0BD51E39"/>
    <w:rsid w:val="0BE37048"/>
    <w:rsid w:val="0BE91440"/>
    <w:rsid w:val="0BED7AC5"/>
    <w:rsid w:val="0BF1626A"/>
    <w:rsid w:val="0BF27574"/>
    <w:rsid w:val="0BF541CC"/>
    <w:rsid w:val="0BF7613E"/>
    <w:rsid w:val="0BFD12ED"/>
    <w:rsid w:val="0BFE70FF"/>
    <w:rsid w:val="0C0A156B"/>
    <w:rsid w:val="0C11087C"/>
    <w:rsid w:val="0C1A4B7D"/>
    <w:rsid w:val="0C1F324C"/>
    <w:rsid w:val="0C3A6D73"/>
    <w:rsid w:val="0C402F20"/>
    <w:rsid w:val="0C4619CC"/>
    <w:rsid w:val="0C4738A5"/>
    <w:rsid w:val="0C485A59"/>
    <w:rsid w:val="0C516B57"/>
    <w:rsid w:val="0C5C3E98"/>
    <w:rsid w:val="0C630E99"/>
    <w:rsid w:val="0C702DA2"/>
    <w:rsid w:val="0C717FB9"/>
    <w:rsid w:val="0C7C7A51"/>
    <w:rsid w:val="0C9662E2"/>
    <w:rsid w:val="0C995AEA"/>
    <w:rsid w:val="0CC41A21"/>
    <w:rsid w:val="0CC85E5C"/>
    <w:rsid w:val="0CC950D4"/>
    <w:rsid w:val="0CCD2C73"/>
    <w:rsid w:val="0CD44C39"/>
    <w:rsid w:val="0CD675CB"/>
    <w:rsid w:val="0CE34C34"/>
    <w:rsid w:val="0CEC11E8"/>
    <w:rsid w:val="0CFF69EC"/>
    <w:rsid w:val="0D1E152F"/>
    <w:rsid w:val="0D1F47B6"/>
    <w:rsid w:val="0D257764"/>
    <w:rsid w:val="0D2A7456"/>
    <w:rsid w:val="0D335317"/>
    <w:rsid w:val="0D3B4FB7"/>
    <w:rsid w:val="0D3D15F3"/>
    <w:rsid w:val="0D454706"/>
    <w:rsid w:val="0D47378E"/>
    <w:rsid w:val="0D4E775C"/>
    <w:rsid w:val="0D855638"/>
    <w:rsid w:val="0D86241A"/>
    <w:rsid w:val="0D887384"/>
    <w:rsid w:val="0D912A5A"/>
    <w:rsid w:val="0D915146"/>
    <w:rsid w:val="0DA5091D"/>
    <w:rsid w:val="0DAC6279"/>
    <w:rsid w:val="0DB50C5B"/>
    <w:rsid w:val="0DBC56A1"/>
    <w:rsid w:val="0DBF1698"/>
    <w:rsid w:val="0DCD1019"/>
    <w:rsid w:val="0DD90E2A"/>
    <w:rsid w:val="0DE41035"/>
    <w:rsid w:val="0DEF0A5F"/>
    <w:rsid w:val="0DFF6240"/>
    <w:rsid w:val="0E0855CB"/>
    <w:rsid w:val="0E0B58F1"/>
    <w:rsid w:val="0E1441CE"/>
    <w:rsid w:val="0E17011C"/>
    <w:rsid w:val="0E185C8C"/>
    <w:rsid w:val="0E201C92"/>
    <w:rsid w:val="0E3E78BB"/>
    <w:rsid w:val="0E3F49E4"/>
    <w:rsid w:val="0E4E72D4"/>
    <w:rsid w:val="0E5476D6"/>
    <w:rsid w:val="0E5B12B7"/>
    <w:rsid w:val="0E5D22D5"/>
    <w:rsid w:val="0E64533D"/>
    <w:rsid w:val="0E653000"/>
    <w:rsid w:val="0E75310C"/>
    <w:rsid w:val="0E781379"/>
    <w:rsid w:val="0E836001"/>
    <w:rsid w:val="0E8D77D9"/>
    <w:rsid w:val="0E907564"/>
    <w:rsid w:val="0E974DD1"/>
    <w:rsid w:val="0EA93B4E"/>
    <w:rsid w:val="0EB2394C"/>
    <w:rsid w:val="0EBA5B0D"/>
    <w:rsid w:val="0EBE26B7"/>
    <w:rsid w:val="0EC16B2F"/>
    <w:rsid w:val="0EC401C9"/>
    <w:rsid w:val="0ECF0130"/>
    <w:rsid w:val="0ED1228F"/>
    <w:rsid w:val="0EEA1C0B"/>
    <w:rsid w:val="0EF240F7"/>
    <w:rsid w:val="0F0811EB"/>
    <w:rsid w:val="0F1105D9"/>
    <w:rsid w:val="0F310394"/>
    <w:rsid w:val="0F3D13DF"/>
    <w:rsid w:val="0F451A79"/>
    <w:rsid w:val="0F4A6B5A"/>
    <w:rsid w:val="0F677A31"/>
    <w:rsid w:val="0F6861F3"/>
    <w:rsid w:val="0F694370"/>
    <w:rsid w:val="0F6E79CD"/>
    <w:rsid w:val="0F7D63F1"/>
    <w:rsid w:val="0F7E56D2"/>
    <w:rsid w:val="0F940C54"/>
    <w:rsid w:val="0F975DF1"/>
    <w:rsid w:val="0F98500F"/>
    <w:rsid w:val="0F995918"/>
    <w:rsid w:val="0F9F15F1"/>
    <w:rsid w:val="0FB02B1B"/>
    <w:rsid w:val="0FB461A6"/>
    <w:rsid w:val="0FB51ECC"/>
    <w:rsid w:val="0FBB74C6"/>
    <w:rsid w:val="0FBE456D"/>
    <w:rsid w:val="0FC06022"/>
    <w:rsid w:val="0FCC60E0"/>
    <w:rsid w:val="0FD34215"/>
    <w:rsid w:val="0FED0C72"/>
    <w:rsid w:val="0FF37B00"/>
    <w:rsid w:val="0FFC5A4C"/>
    <w:rsid w:val="1017288D"/>
    <w:rsid w:val="102347EA"/>
    <w:rsid w:val="1031363C"/>
    <w:rsid w:val="10356A02"/>
    <w:rsid w:val="10381CFB"/>
    <w:rsid w:val="104076B2"/>
    <w:rsid w:val="10443145"/>
    <w:rsid w:val="104A3184"/>
    <w:rsid w:val="104E5D16"/>
    <w:rsid w:val="105B30F1"/>
    <w:rsid w:val="105E064F"/>
    <w:rsid w:val="106D1765"/>
    <w:rsid w:val="107B1239"/>
    <w:rsid w:val="107B17B8"/>
    <w:rsid w:val="107C0890"/>
    <w:rsid w:val="108F132C"/>
    <w:rsid w:val="10967C49"/>
    <w:rsid w:val="109A4633"/>
    <w:rsid w:val="10A43817"/>
    <w:rsid w:val="10A50574"/>
    <w:rsid w:val="10B371E3"/>
    <w:rsid w:val="10B70B08"/>
    <w:rsid w:val="10B97A57"/>
    <w:rsid w:val="10C57C93"/>
    <w:rsid w:val="10CC1755"/>
    <w:rsid w:val="10D44DB4"/>
    <w:rsid w:val="10D92E90"/>
    <w:rsid w:val="10DE0D65"/>
    <w:rsid w:val="10DF1DCF"/>
    <w:rsid w:val="10E01CA2"/>
    <w:rsid w:val="10E1466E"/>
    <w:rsid w:val="10E92E92"/>
    <w:rsid w:val="10ED6644"/>
    <w:rsid w:val="10F12B3A"/>
    <w:rsid w:val="10F36923"/>
    <w:rsid w:val="11244F9E"/>
    <w:rsid w:val="112F4A97"/>
    <w:rsid w:val="112F78F5"/>
    <w:rsid w:val="11367FF6"/>
    <w:rsid w:val="11381B27"/>
    <w:rsid w:val="11464D8D"/>
    <w:rsid w:val="114A7195"/>
    <w:rsid w:val="1152574B"/>
    <w:rsid w:val="115A7068"/>
    <w:rsid w:val="115D2294"/>
    <w:rsid w:val="11652E2A"/>
    <w:rsid w:val="11683B30"/>
    <w:rsid w:val="11731D13"/>
    <w:rsid w:val="11851A8E"/>
    <w:rsid w:val="118C0DC2"/>
    <w:rsid w:val="118F1327"/>
    <w:rsid w:val="119F60D1"/>
    <w:rsid w:val="11BB0A89"/>
    <w:rsid w:val="11C10E95"/>
    <w:rsid w:val="11CF1344"/>
    <w:rsid w:val="11EE44C0"/>
    <w:rsid w:val="11F35831"/>
    <w:rsid w:val="11FB2BF2"/>
    <w:rsid w:val="12196EE4"/>
    <w:rsid w:val="122E473C"/>
    <w:rsid w:val="12583EBD"/>
    <w:rsid w:val="12592666"/>
    <w:rsid w:val="125F66B6"/>
    <w:rsid w:val="126C060C"/>
    <w:rsid w:val="127C677E"/>
    <w:rsid w:val="128D4A24"/>
    <w:rsid w:val="128F5F97"/>
    <w:rsid w:val="1290734E"/>
    <w:rsid w:val="12913A60"/>
    <w:rsid w:val="129403B6"/>
    <w:rsid w:val="129C3C8E"/>
    <w:rsid w:val="129F2AC0"/>
    <w:rsid w:val="12A570BB"/>
    <w:rsid w:val="12AD5523"/>
    <w:rsid w:val="12AF3AB7"/>
    <w:rsid w:val="12BC6A4E"/>
    <w:rsid w:val="12D01526"/>
    <w:rsid w:val="12D10FCA"/>
    <w:rsid w:val="12D22C2E"/>
    <w:rsid w:val="12EA17EF"/>
    <w:rsid w:val="12F014E7"/>
    <w:rsid w:val="12F82E2A"/>
    <w:rsid w:val="12F928B1"/>
    <w:rsid w:val="12FE476A"/>
    <w:rsid w:val="130968EC"/>
    <w:rsid w:val="131102ED"/>
    <w:rsid w:val="13182BC0"/>
    <w:rsid w:val="1319583C"/>
    <w:rsid w:val="131F74A5"/>
    <w:rsid w:val="13217248"/>
    <w:rsid w:val="1343219E"/>
    <w:rsid w:val="13733182"/>
    <w:rsid w:val="137B2738"/>
    <w:rsid w:val="137E3A6D"/>
    <w:rsid w:val="13846EB4"/>
    <w:rsid w:val="13867986"/>
    <w:rsid w:val="1389306A"/>
    <w:rsid w:val="138A50A4"/>
    <w:rsid w:val="13947FFD"/>
    <w:rsid w:val="139F04F3"/>
    <w:rsid w:val="13AB6920"/>
    <w:rsid w:val="13B21B62"/>
    <w:rsid w:val="13B660AC"/>
    <w:rsid w:val="13BC0BAE"/>
    <w:rsid w:val="13C108E8"/>
    <w:rsid w:val="13DE7CEE"/>
    <w:rsid w:val="13E30914"/>
    <w:rsid w:val="13E478F1"/>
    <w:rsid w:val="13F45B8B"/>
    <w:rsid w:val="141113EE"/>
    <w:rsid w:val="14112307"/>
    <w:rsid w:val="141B430B"/>
    <w:rsid w:val="141D35DE"/>
    <w:rsid w:val="141E480A"/>
    <w:rsid w:val="14242D54"/>
    <w:rsid w:val="142B6ECA"/>
    <w:rsid w:val="143E78FD"/>
    <w:rsid w:val="14555FD9"/>
    <w:rsid w:val="14623CD3"/>
    <w:rsid w:val="14764A3D"/>
    <w:rsid w:val="148175EA"/>
    <w:rsid w:val="149660DE"/>
    <w:rsid w:val="149A17A2"/>
    <w:rsid w:val="149B16E7"/>
    <w:rsid w:val="14A86417"/>
    <w:rsid w:val="14A8664D"/>
    <w:rsid w:val="14B7657F"/>
    <w:rsid w:val="14BC76F2"/>
    <w:rsid w:val="14BE16BC"/>
    <w:rsid w:val="14D53B66"/>
    <w:rsid w:val="14ED6B54"/>
    <w:rsid w:val="14F157C2"/>
    <w:rsid w:val="14FA34A0"/>
    <w:rsid w:val="15075371"/>
    <w:rsid w:val="15161C36"/>
    <w:rsid w:val="151B170C"/>
    <w:rsid w:val="15207D6D"/>
    <w:rsid w:val="1524680A"/>
    <w:rsid w:val="1526009B"/>
    <w:rsid w:val="153249DB"/>
    <w:rsid w:val="15415E49"/>
    <w:rsid w:val="154243DF"/>
    <w:rsid w:val="154A2184"/>
    <w:rsid w:val="15612CE1"/>
    <w:rsid w:val="15692345"/>
    <w:rsid w:val="156F08E0"/>
    <w:rsid w:val="157149D4"/>
    <w:rsid w:val="15722572"/>
    <w:rsid w:val="1579113D"/>
    <w:rsid w:val="157B43FB"/>
    <w:rsid w:val="157B75A7"/>
    <w:rsid w:val="158C07F5"/>
    <w:rsid w:val="158F2815"/>
    <w:rsid w:val="15907C43"/>
    <w:rsid w:val="159E3CC7"/>
    <w:rsid w:val="15A12701"/>
    <w:rsid w:val="15AE0C68"/>
    <w:rsid w:val="15BB6204"/>
    <w:rsid w:val="15BD7FDC"/>
    <w:rsid w:val="15C9701E"/>
    <w:rsid w:val="15CE592F"/>
    <w:rsid w:val="15D55577"/>
    <w:rsid w:val="15D667BF"/>
    <w:rsid w:val="15E311E9"/>
    <w:rsid w:val="15ED6145"/>
    <w:rsid w:val="15F555B1"/>
    <w:rsid w:val="15F60BE0"/>
    <w:rsid w:val="15F865C9"/>
    <w:rsid w:val="1600712A"/>
    <w:rsid w:val="160551C6"/>
    <w:rsid w:val="161B4B6D"/>
    <w:rsid w:val="161B4C3E"/>
    <w:rsid w:val="162C1433"/>
    <w:rsid w:val="162C256B"/>
    <w:rsid w:val="16330E5E"/>
    <w:rsid w:val="16374ABB"/>
    <w:rsid w:val="163C6709"/>
    <w:rsid w:val="163E2B94"/>
    <w:rsid w:val="163E4BAA"/>
    <w:rsid w:val="16447FA4"/>
    <w:rsid w:val="1649389D"/>
    <w:rsid w:val="165446C6"/>
    <w:rsid w:val="165671B4"/>
    <w:rsid w:val="16583C70"/>
    <w:rsid w:val="16614926"/>
    <w:rsid w:val="166763CC"/>
    <w:rsid w:val="16746528"/>
    <w:rsid w:val="16890DBA"/>
    <w:rsid w:val="169177CF"/>
    <w:rsid w:val="16933417"/>
    <w:rsid w:val="16B6387D"/>
    <w:rsid w:val="16BE0F22"/>
    <w:rsid w:val="16C034B0"/>
    <w:rsid w:val="16C358CF"/>
    <w:rsid w:val="16C75BBA"/>
    <w:rsid w:val="16C91C33"/>
    <w:rsid w:val="16CC4FF1"/>
    <w:rsid w:val="16F0489A"/>
    <w:rsid w:val="16F94C0E"/>
    <w:rsid w:val="16FA5AE3"/>
    <w:rsid w:val="170E41FE"/>
    <w:rsid w:val="171B1048"/>
    <w:rsid w:val="17237598"/>
    <w:rsid w:val="172C7764"/>
    <w:rsid w:val="172D007A"/>
    <w:rsid w:val="173E5968"/>
    <w:rsid w:val="174650F7"/>
    <w:rsid w:val="174A7237"/>
    <w:rsid w:val="174C4771"/>
    <w:rsid w:val="174F256E"/>
    <w:rsid w:val="17525D76"/>
    <w:rsid w:val="17555BDC"/>
    <w:rsid w:val="176B4183"/>
    <w:rsid w:val="177428D7"/>
    <w:rsid w:val="177C263F"/>
    <w:rsid w:val="178D55C5"/>
    <w:rsid w:val="17B82B09"/>
    <w:rsid w:val="17C3178D"/>
    <w:rsid w:val="17D15A40"/>
    <w:rsid w:val="17DC1EE9"/>
    <w:rsid w:val="17E85A62"/>
    <w:rsid w:val="17FB718C"/>
    <w:rsid w:val="1803149C"/>
    <w:rsid w:val="181A1734"/>
    <w:rsid w:val="1831666B"/>
    <w:rsid w:val="183952F5"/>
    <w:rsid w:val="184D1B99"/>
    <w:rsid w:val="18560727"/>
    <w:rsid w:val="18571F2A"/>
    <w:rsid w:val="18583DB0"/>
    <w:rsid w:val="185A7D89"/>
    <w:rsid w:val="185D1E3A"/>
    <w:rsid w:val="185F3AF1"/>
    <w:rsid w:val="186758E5"/>
    <w:rsid w:val="18692AA9"/>
    <w:rsid w:val="187358A0"/>
    <w:rsid w:val="18760955"/>
    <w:rsid w:val="187A7613"/>
    <w:rsid w:val="187D21FF"/>
    <w:rsid w:val="1885392E"/>
    <w:rsid w:val="18915192"/>
    <w:rsid w:val="189417D3"/>
    <w:rsid w:val="18A40C9E"/>
    <w:rsid w:val="18D21BDA"/>
    <w:rsid w:val="18E21952"/>
    <w:rsid w:val="18E75CF3"/>
    <w:rsid w:val="18EF5BF3"/>
    <w:rsid w:val="18F91FF2"/>
    <w:rsid w:val="1902214B"/>
    <w:rsid w:val="19050560"/>
    <w:rsid w:val="19067AD5"/>
    <w:rsid w:val="19081D4B"/>
    <w:rsid w:val="19267830"/>
    <w:rsid w:val="1938016E"/>
    <w:rsid w:val="19390965"/>
    <w:rsid w:val="19404D95"/>
    <w:rsid w:val="194F2F44"/>
    <w:rsid w:val="195A3C32"/>
    <w:rsid w:val="19604B07"/>
    <w:rsid w:val="1962035E"/>
    <w:rsid w:val="19664037"/>
    <w:rsid w:val="19721420"/>
    <w:rsid w:val="198454BD"/>
    <w:rsid w:val="198F43C7"/>
    <w:rsid w:val="19957591"/>
    <w:rsid w:val="19B562C0"/>
    <w:rsid w:val="19D02FA9"/>
    <w:rsid w:val="19E863B2"/>
    <w:rsid w:val="19F84D28"/>
    <w:rsid w:val="19FC5EC6"/>
    <w:rsid w:val="1A07158D"/>
    <w:rsid w:val="1A0A5170"/>
    <w:rsid w:val="1A110D24"/>
    <w:rsid w:val="1A25197A"/>
    <w:rsid w:val="1A2A6CED"/>
    <w:rsid w:val="1A2D004B"/>
    <w:rsid w:val="1A3B730B"/>
    <w:rsid w:val="1A3D4FED"/>
    <w:rsid w:val="1A48437C"/>
    <w:rsid w:val="1A497085"/>
    <w:rsid w:val="1A4A0345"/>
    <w:rsid w:val="1A623029"/>
    <w:rsid w:val="1A6D76D7"/>
    <w:rsid w:val="1A766FB0"/>
    <w:rsid w:val="1A77764D"/>
    <w:rsid w:val="1A7F15EE"/>
    <w:rsid w:val="1A812CBA"/>
    <w:rsid w:val="1A8263D8"/>
    <w:rsid w:val="1A847F8B"/>
    <w:rsid w:val="1A952EBF"/>
    <w:rsid w:val="1A9A320F"/>
    <w:rsid w:val="1AA2427A"/>
    <w:rsid w:val="1AA55C97"/>
    <w:rsid w:val="1AA6014C"/>
    <w:rsid w:val="1AB76B20"/>
    <w:rsid w:val="1AB81AF9"/>
    <w:rsid w:val="1ABB591C"/>
    <w:rsid w:val="1ABC4B84"/>
    <w:rsid w:val="1ABF1D44"/>
    <w:rsid w:val="1ACC15FD"/>
    <w:rsid w:val="1AD0534D"/>
    <w:rsid w:val="1AD17CC4"/>
    <w:rsid w:val="1AD5610F"/>
    <w:rsid w:val="1ADE01FA"/>
    <w:rsid w:val="1AE5530D"/>
    <w:rsid w:val="1AEA6BE3"/>
    <w:rsid w:val="1AEB56E7"/>
    <w:rsid w:val="1AFA0F74"/>
    <w:rsid w:val="1B010554"/>
    <w:rsid w:val="1B122762"/>
    <w:rsid w:val="1B205B9D"/>
    <w:rsid w:val="1B331907"/>
    <w:rsid w:val="1B382956"/>
    <w:rsid w:val="1B3F6DA1"/>
    <w:rsid w:val="1B480A75"/>
    <w:rsid w:val="1B4B77B2"/>
    <w:rsid w:val="1B527D7D"/>
    <w:rsid w:val="1B5D2FCD"/>
    <w:rsid w:val="1B671CBC"/>
    <w:rsid w:val="1B680D5A"/>
    <w:rsid w:val="1B6B161A"/>
    <w:rsid w:val="1B6C665D"/>
    <w:rsid w:val="1B7269D0"/>
    <w:rsid w:val="1B7F352B"/>
    <w:rsid w:val="1B95565D"/>
    <w:rsid w:val="1BA03A2D"/>
    <w:rsid w:val="1BB954C3"/>
    <w:rsid w:val="1BC54903"/>
    <w:rsid w:val="1BC8641D"/>
    <w:rsid w:val="1BCD4307"/>
    <w:rsid w:val="1BD67671"/>
    <w:rsid w:val="1BE26CD9"/>
    <w:rsid w:val="1BED5436"/>
    <w:rsid w:val="1BF42CAD"/>
    <w:rsid w:val="1BF5537C"/>
    <w:rsid w:val="1C100819"/>
    <w:rsid w:val="1C161BAD"/>
    <w:rsid w:val="1C3000E0"/>
    <w:rsid w:val="1C3642CF"/>
    <w:rsid w:val="1C432242"/>
    <w:rsid w:val="1C634242"/>
    <w:rsid w:val="1C723DF7"/>
    <w:rsid w:val="1C8C02F2"/>
    <w:rsid w:val="1CA00521"/>
    <w:rsid w:val="1CAA7C13"/>
    <w:rsid w:val="1CBF6A46"/>
    <w:rsid w:val="1CD2334A"/>
    <w:rsid w:val="1CD30783"/>
    <w:rsid w:val="1CE6339E"/>
    <w:rsid w:val="1CEB5018"/>
    <w:rsid w:val="1CF67FBD"/>
    <w:rsid w:val="1CFB3F7B"/>
    <w:rsid w:val="1D135961"/>
    <w:rsid w:val="1D1E4276"/>
    <w:rsid w:val="1D3344D5"/>
    <w:rsid w:val="1D385D84"/>
    <w:rsid w:val="1D39053F"/>
    <w:rsid w:val="1D471C59"/>
    <w:rsid w:val="1D527698"/>
    <w:rsid w:val="1D542B92"/>
    <w:rsid w:val="1D595E1F"/>
    <w:rsid w:val="1D5D37EF"/>
    <w:rsid w:val="1D632C3E"/>
    <w:rsid w:val="1D7450DF"/>
    <w:rsid w:val="1D7F5FC2"/>
    <w:rsid w:val="1D8F135D"/>
    <w:rsid w:val="1D9F3347"/>
    <w:rsid w:val="1DD91C4F"/>
    <w:rsid w:val="1DDE2F8E"/>
    <w:rsid w:val="1DE36E3D"/>
    <w:rsid w:val="1DF35717"/>
    <w:rsid w:val="1DFB6428"/>
    <w:rsid w:val="1DFC2645"/>
    <w:rsid w:val="1E114522"/>
    <w:rsid w:val="1E164317"/>
    <w:rsid w:val="1E1B1C0E"/>
    <w:rsid w:val="1E212DBA"/>
    <w:rsid w:val="1E2B647B"/>
    <w:rsid w:val="1E3E3A97"/>
    <w:rsid w:val="1E431E06"/>
    <w:rsid w:val="1E562334"/>
    <w:rsid w:val="1E5815CD"/>
    <w:rsid w:val="1E630580"/>
    <w:rsid w:val="1E681A84"/>
    <w:rsid w:val="1E6A4663"/>
    <w:rsid w:val="1E6F40FF"/>
    <w:rsid w:val="1E795DD2"/>
    <w:rsid w:val="1E995F02"/>
    <w:rsid w:val="1E9A5755"/>
    <w:rsid w:val="1EBE2E9B"/>
    <w:rsid w:val="1ECE263B"/>
    <w:rsid w:val="1ED23A13"/>
    <w:rsid w:val="1EF065EC"/>
    <w:rsid w:val="1EFD54D7"/>
    <w:rsid w:val="1EFF4DAB"/>
    <w:rsid w:val="1F051B11"/>
    <w:rsid w:val="1F0E4C65"/>
    <w:rsid w:val="1F112CA1"/>
    <w:rsid w:val="1F1678C7"/>
    <w:rsid w:val="1F1C57F3"/>
    <w:rsid w:val="1F231F54"/>
    <w:rsid w:val="1F2D5AFE"/>
    <w:rsid w:val="1F425D13"/>
    <w:rsid w:val="1F446C62"/>
    <w:rsid w:val="1F53182B"/>
    <w:rsid w:val="1F5A05AD"/>
    <w:rsid w:val="1F666379"/>
    <w:rsid w:val="1F6F0182"/>
    <w:rsid w:val="1F755A30"/>
    <w:rsid w:val="1F821DD7"/>
    <w:rsid w:val="1F8364F6"/>
    <w:rsid w:val="1F87760C"/>
    <w:rsid w:val="1F8B21C0"/>
    <w:rsid w:val="1F8C47D3"/>
    <w:rsid w:val="1F936B89"/>
    <w:rsid w:val="1F9A7E83"/>
    <w:rsid w:val="1F9D564F"/>
    <w:rsid w:val="1FB86952"/>
    <w:rsid w:val="1FB87BFA"/>
    <w:rsid w:val="1FBE4A12"/>
    <w:rsid w:val="1FC33F30"/>
    <w:rsid w:val="1FC9419A"/>
    <w:rsid w:val="1FCA73E4"/>
    <w:rsid w:val="1FD84BD4"/>
    <w:rsid w:val="1FE02E2E"/>
    <w:rsid w:val="1FE44CC1"/>
    <w:rsid w:val="1FF83525"/>
    <w:rsid w:val="20082AD9"/>
    <w:rsid w:val="20123BC6"/>
    <w:rsid w:val="201B5247"/>
    <w:rsid w:val="202D1DEC"/>
    <w:rsid w:val="20342852"/>
    <w:rsid w:val="203F02F5"/>
    <w:rsid w:val="205179C7"/>
    <w:rsid w:val="20595E64"/>
    <w:rsid w:val="20597B80"/>
    <w:rsid w:val="205C0AF5"/>
    <w:rsid w:val="206155F1"/>
    <w:rsid w:val="20622C0A"/>
    <w:rsid w:val="206E5551"/>
    <w:rsid w:val="2081560C"/>
    <w:rsid w:val="208E2950"/>
    <w:rsid w:val="20933302"/>
    <w:rsid w:val="20933FD2"/>
    <w:rsid w:val="209934FD"/>
    <w:rsid w:val="20C81350"/>
    <w:rsid w:val="20DD512F"/>
    <w:rsid w:val="20E02FA5"/>
    <w:rsid w:val="20EC2C3B"/>
    <w:rsid w:val="20F61559"/>
    <w:rsid w:val="20F77EBC"/>
    <w:rsid w:val="20FD5597"/>
    <w:rsid w:val="210B4081"/>
    <w:rsid w:val="21211033"/>
    <w:rsid w:val="21251F39"/>
    <w:rsid w:val="212E5E1B"/>
    <w:rsid w:val="2139025C"/>
    <w:rsid w:val="21486ECA"/>
    <w:rsid w:val="214D4DA9"/>
    <w:rsid w:val="214F59F5"/>
    <w:rsid w:val="215C2627"/>
    <w:rsid w:val="21645399"/>
    <w:rsid w:val="21702C57"/>
    <w:rsid w:val="2176235E"/>
    <w:rsid w:val="217E44C5"/>
    <w:rsid w:val="21905CAC"/>
    <w:rsid w:val="219B2976"/>
    <w:rsid w:val="219F223B"/>
    <w:rsid w:val="219F676D"/>
    <w:rsid w:val="21AB289C"/>
    <w:rsid w:val="21BB34B4"/>
    <w:rsid w:val="21D6360A"/>
    <w:rsid w:val="21DB6422"/>
    <w:rsid w:val="21DD349D"/>
    <w:rsid w:val="21E1344C"/>
    <w:rsid w:val="21E166A9"/>
    <w:rsid w:val="21E63B4F"/>
    <w:rsid w:val="221A2761"/>
    <w:rsid w:val="221D6884"/>
    <w:rsid w:val="225C236E"/>
    <w:rsid w:val="225F3ABC"/>
    <w:rsid w:val="227528F3"/>
    <w:rsid w:val="2287475E"/>
    <w:rsid w:val="229360BC"/>
    <w:rsid w:val="22936EF0"/>
    <w:rsid w:val="229527B6"/>
    <w:rsid w:val="22B32CEE"/>
    <w:rsid w:val="22B64833"/>
    <w:rsid w:val="22BC18BC"/>
    <w:rsid w:val="22C41F7B"/>
    <w:rsid w:val="22C50667"/>
    <w:rsid w:val="22CC022F"/>
    <w:rsid w:val="22D101BE"/>
    <w:rsid w:val="22D24584"/>
    <w:rsid w:val="22D567D5"/>
    <w:rsid w:val="22D86709"/>
    <w:rsid w:val="22D87514"/>
    <w:rsid w:val="22DB7C7F"/>
    <w:rsid w:val="23021F62"/>
    <w:rsid w:val="230346A5"/>
    <w:rsid w:val="23127389"/>
    <w:rsid w:val="231500E2"/>
    <w:rsid w:val="231E706F"/>
    <w:rsid w:val="23207E6F"/>
    <w:rsid w:val="23216401"/>
    <w:rsid w:val="232F787E"/>
    <w:rsid w:val="23402C34"/>
    <w:rsid w:val="235125CD"/>
    <w:rsid w:val="23636C43"/>
    <w:rsid w:val="23696C97"/>
    <w:rsid w:val="236C710C"/>
    <w:rsid w:val="239F5B8E"/>
    <w:rsid w:val="23BF325C"/>
    <w:rsid w:val="23C16B4B"/>
    <w:rsid w:val="23C37706"/>
    <w:rsid w:val="23C7467A"/>
    <w:rsid w:val="23D96A50"/>
    <w:rsid w:val="23DB3943"/>
    <w:rsid w:val="23FB65A5"/>
    <w:rsid w:val="24134E54"/>
    <w:rsid w:val="24162DDC"/>
    <w:rsid w:val="24263773"/>
    <w:rsid w:val="243279D1"/>
    <w:rsid w:val="24375974"/>
    <w:rsid w:val="24392B0D"/>
    <w:rsid w:val="244E09D8"/>
    <w:rsid w:val="245B6BB3"/>
    <w:rsid w:val="2462573A"/>
    <w:rsid w:val="246476B2"/>
    <w:rsid w:val="246C6384"/>
    <w:rsid w:val="24743B45"/>
    <w:rsid w:val="247A3114"/>
    <w:rsid w:val="247C218C"/>
    <w:rsid w:val="2493241A"/>
    <w:rsid w:val="249356E7"/>
    <w:rsid w:val="249B72DE"/>
    <w:rsid w:val="249C1D5C"/>
    <w:rsid w:val="24A160C3"/>
    <w:rsid w:val="24CB4876"/>
    <w:rsid w:val="24CE0117"/>
    <w:rsid w:val="24D43582"/>
    <w:rsid w:val="24F16DAA"/>
    <w:rsid w:val="24F40FBC"/>
    <w:rsid w:val="25000179"/>
    <w:rsid w:val="2501550D"/>
    <w:rsid w:val="25095AC6"/>
    <w:rsid w:val="2512297D"/>
    <w:rsid w:val="25293925"/>
    <w:rsid w:val="252B1A83"/>
    <w:rsid w:val="252E1AED"/>
    <w:rsid w:val="25301CCB"/>
    <w:rsid w:val="253B6C33"/>
    <w:rsid w:val="253F0449"/>
    <w:rsid w:val="25423742"/>
    <w:rsid w:val="2543309D"/>
    <w:rsid w:val="25491A04"/>
    <w:rsid w:val="254C6A7C"/>
    <w:rsid w:val="254F37EE"/>
    <w:rsid w:val="254F544E"/>
    <w:rsid w:val="255B7E1F"/>
    <w:rsid w:val="255D295A"/>
    <w:rsid w:val="255F67C5"/>
    <w:rsid w:val="256058C8"/>
    <w:rsid w:val="256331E6"/>
    <w:rsid w:val="256718FC"/>
    <w:rsid w:val="256D5F08"/>
    <w:rsid w:val="257819CD"/>
    <w:rsid w:val="25791A41"/>
    <w:rsid w:val="25857B76"/>
    <w:rsid w:val="25890204"/>
    <w:rsid w:val="258C4EBE"/>
    <w:rsid w:val="25936EFD"/>
    <w:rsid w:val="259E4E53"/>
    <w:rsid w:val="25A55C89"/>
    <w:rsid w:val="25B368EF"/>
    <w:rsid w:val="25BF6C97"/>
    <w:rsid w:val="25C04743"/>
    <w:rsid w:val="25C6407D"/>
    <w:rsid w:val="25C9103D"/>
    <w:rsid w:val="25D94569"/>
    <w:rsid w:val="25E276E1"/>
    <w:rsid w:val="25E573D9"/>
    <w:rsid w:val="25EC2367"/>
    <w:rsid w:val="25F47BE8"/>
    <w:rsid w:val="26003FB3"/>
    <w:rsid w:val="26084641"/>
    <w:rsid w:val="2613591B"/>
    <w:rsid w:val="262275D1"/>
    <w:rsid w:val="26393BA1"/>
    <w:rsid w:val="263A5FB4"/>
    <w:rsid w:val="263D7040"/>
    <w:rsid w:val="26454D11"/>
    <w:rsid w:val="264C7C89"/>
    <w:rsid w:val="264F784E"/>
    <w:rsid w:val="265C6A42"/>
    <w:rsid w:val="266C1EA4"/>
    <w:rsid w:val="266D2F42"/>
    <w:rsid w:val="267001AD"/>
    <w:rsid w:val="267C5169"/>
    <w:rsid w:val="26867B60"/>
    <w:rsid w:val="268B1F17"/>
    <w:rsid w:val="268B6A0E"/>
    <w:rsid w:val="2693187E"/>
    <w:rsid w:val="269A0FDE"/>
    <w:rsid w:val="269A176A"/>
    <w:rsid w:val="269A1B5A"/>
    <w:rsid w:val="26B50445"/>
    <w:rsid w:val="26B83D92"/>
    <w:rsid w:val="26DE44A6"/>
    <w:rsid w:val="26E17FF5"/>
    <w:rsid w:val="26E31688"/>
    <w:rsid w:val="26E96821"/>
    <w:rsid w:val="27071370"/>
    <w:rsid w:val="27076F27"/>
    <w:rsid w:val="27092731"/>
    <w:rsid w:val="270C114A"/>
    <w:rsid w:val="2712414F"/>
    <w:rsid w:val="271C2272"/>
    <w:rsid w:val="27207CA5"/>
    <w:rsid w:val="27277C70"/>
    <w:rsid w:val="2736290A"/>
    <w:rsid w:val="273D5664"/>
    <w:rsid w:val="273D765A"/>
    <w:rsid w:val="27473793"/>
    <w:rsid w:val="2751016E"/>
    <w:rsid w:val="27547E9D"/>
    <w:rsid w:val="27595B5F"/>
    <w:rsid w:val="2778394C"/>
    <w:rsid w:val="277C5B84"/>
    <w:rsid w:val="27896CD5"/>
    <w:rsid w:val="279B0208"/>
    <w:rsid w:val="279F1F9B"/>
    <w:rsid w:val="27A23CB5"/>
    <w:rsid w:val="27AE07A0"/>
    <w:rsid w:val="27B05F1B"/>
    <w:rsid w:val="27C23DE2"/>
    <w:rsid w:val="27CA650E"/>
    <w:rsid w:val="27D05536"/>
    <w:rsid w:val="27D54876"/>
    <w:rsid w:val="27E475F5"/>
    <w:rsid w:val="27E522B4"/>
    <w:rsid w:val="27EE5203"/>
    <w:rsid w:val="27F51ED9"/>
    <w:rsid w:val="27FB6699"/>
    <w:rsid w:val="27FC6DC4"/>
    <w:rsid w:val="28010472"/>
    <w:rsid w:val="280512DC"/>
    <w:rsid w:val="280B2A12"/>
    <w:rsid w:val="28286D98"/>
    <w:rsid w:val="282A3418"/>
    <w:rsid w:val="28450E1E"/>
    <w:rsid w:val="284657F9"/>
    <w:rsid w:val="284D0AAC"/>
    <w:rsid w:val="2865211E"/>
    <w:rsid w:val="286710F6"/>
    <w:rsid w:val="286D6FDD"/>
    <w:rsid w:val="28780836"/>
    <w:rsid w:val="28914E20"/>
    <w:rsid w:val="28991383"/>
    <w:rsid w:val="289A6EB3"/>
    <w:rsid w:val="28A310CB"/>
    <w:rsid w:val="28A354CF"/>
    <w:rsid w:val="28A80261"/>
    <w:rsid w:val="28AB2B2B"/>
    <w:rsid w:val="28AC6B47"/>
    <w:rsid w:val="28D77AB4"/>
    <w:rsid w:val="28F13A7E"/>
    <w:rsid w:val="28F33370"/>
    <w:rsid w:val="28F43485"/>
    <w:rsid w:val="28FC5CE1"/>
    <w:rsid w:val="291268AF"/>
    <w:rsid w:val="29142D1D"/>
    <w:rsid w:val="292214D4"/>
    <w:rsid w:val="292B3A56"/>
    <w:rsid w:val="29375D52"/>
    <w:rsid w:val="293804C3"/>
    <w:rsid w:val="29397276"/>
    <w:rsid w:val="294A791C"/>
    <w:rsid w:val="295210AD"/>
    <w:rsid w:val="295609D0"/>
    <w:rsid w:val="296F101F"/>
    <w:rsid w:val="29723765"/>
    <w:rsid w:val="297654D4"/>
    <w:rsid w:val="297724FD"/>
    <w:rsid w:val="297E391D"/>
    <w:rsid w:val="298F232A"/>
    <w:rsid w:val="29936995"/>
    <w:rsid w:val="29A50C45"/>
    <w:rsid w:val="29B57A6F"/>
    <w:rsid w:val="29B650AB"/>
    <w:rsid w:val="29BA2674"/>
    <w:rsid w:val="29BD3504"/>
    <w:rsid w:val="29C966E1"/>
    <w:rsid w:val="29D5323A"/>
    <w:rsid w:val="29DE264F"/>
    <w:rsid w:val="29DE589B"/>
    <w:rsid w:val="29FF4E87"/>
    <w:rsid w:val="2A1B1529"/>
    <w:rsid w:val="2A221DFF"/>
    <w:rsid w:val="2A325E53"/>
    <w:rsid w:val="2A44220C"/>
    <w:rsid w:val="2A570895"/>
    <w:rsid w:val="2A643D83"/>
    <w:rsid w:val="2A67192D"/>
    <w:rsid w:val="2A6A61F9"/>
    <w:rsid w:val="2A6F54DA"/>
    <w:rsid w:val="2A704789"/>
    <w:rsid w:val="2A9D36CA"/>
    <w:rsid w:val="2AA52A6F"/>
    <w:rsid w:val="2AA93591"/>
    <w:rsid w:val="2AB82096"/>
    <w:rsid w:val="2AC02932"/>
    <w:rsid w:val="2AC85886"/>
    <w:rsid w:val="2AEA36FD"/>
    <w:rsid w:val="2AFB17E5"/>
    <w:rsid w:val="2B147238"/>
    <w:rsid w:val="2B1A1EED"/>
    <w:rsid w:val="2B347D10"/>
    <w:rsid w:val="2B43605F"/>
    <w:rsid w:val="2B5112B3"/>
    <w:rsid w:val="2B54331A"/>
    <w:rsid w:val="2B6B5FC8"/>
    <w:rsid w:val="2B6C7C6C"/>
    <w:rsid w:val="2B7A4FF2"/>
    <w:rsid w:val="2B7F799F"/>
    <w:rsid w:val="2B8075A1"/>
    <w:rsid w:val="2B812AEA"/>
    <w:rsid w:val="2B821534"/>
    <w:rsid w:val="2B874262"/>
    <w:rsid w:val="2B92441A"/>
    <w:rsid w:val="2B966A97"/>
    <w:rsid w:val="2BA0709D"/>
    <w:rsid w:val="2BA331AB"/>
    <w:rsid w:val="2BA62F64"/>
    <w:rsid w:val="2BAC197C"/>
    <w:rsid w:val="2BC135BD"/>
    <w:rsid w:val="2BC3264B"/>
    <w:rsid w:val="2BC86A5A"/>
    <w:rsid w:val="2BCB15BA"/>
    <w:rsid w:val="2BCE1B03"/>
    <w:rsid w:val="2BCE7FDF"/>
    <w:rsid w:val="2BCF3580"/>
    <w:rsid w:val="2BD61589"/>
    <w:rsid w:val="2BDC0B87"/>
    <w:rsid w:val="2BDD0534"/>
    <w:rsid w:val="2BFE641D"/>
    <w:rsid w:val="2C034AEF"/>
    <w:rsid w:val="2C12768E"/>
    <w:rsid w:val="2C1826D2"/>
    <w:rsid w:val="2C20140E"/>
    <w:rsid w:val="2C2D72DC"/>
    <w:rsid w:val="2C544E7C"/>
    <w:rsid w:val="2C5737A8"/>
    <w:rsid w:val="2C574478"/>
    <w:rsid w:val="2C5A0AD8"/>
    <w:rsid w:val="2C6A37EC"/>
    <w:rsid w:val="2C7F2067"/>
    <w:rsid w:val="2C880831"/>
    <w:rsid w:val="2C8E3E4F"/>
    <w:rsid w:val="2CA541DD"/>
    <w:rsid w:val="2CAA3CF2"/>
    <w:rsid w:val="2CBB5334"/>
    <w:rsid w:val="2CC22F3C"/>
    <w:rsid w:val="2CC82322"/>
    <w:rsid w:val="2CCB197B"/>
    <w:rsid w:val="2CD812B0"/>
    <w:rsid w:val="2CDE24FA"/>
    <w:rsid w:val="2CDE2540"/>
    <w:rsid w:val="2CE02E49"/>
    <w:rsid w:val="2CED7951"/>
    <w:rsid w:val="2CF61313"/>
    <w:rsid w:val="2CFA25F6"/>
    <w:rsid w:val="2D0759BE"/>
    <w:rsid w:val="2D08487E"/>
    <w:rsid w:val="2D0C02CC"/>
    <w:rsid w:val="2D1C464D"/>
    <w:rsid w:val="2D1C74A5"/>
    <w:rsid w:val="2D2238C9"/>
    <w:rsid w:val="2D5E5772"/>
    <w:rsid w:val="2D614D84"/>
    <w:rsid w:val="2D807CF7"/>
    <w:rsid w:val="2D8B6FDC"/>
    <w:rsid w:val="2D8D59E1"/>
    <w:rsid w:val="2D9054C0"/>
    <w:rsid w:val="2D9B7484"/>
    <w:rsid w:val="2DA243EB"/>
    <w:rsid w:val="2DA84F1F"/>
    <w:rsid w:val="2DAA682A"/>
    <w:rsid w:val="2DAB0673"/>
    <w:rsid w:val="2DAC4B86"/>
    <w:rsid w:val="2DB024EC"/>
    <w:rsid w:val="2DC10656"/>
    <w:rsid w:val="2DC84C08"/>
    <w:rsid w:val="2DD65876"/>
    <w:rsid w:val="2DDD5DC6"/>
    <w:rsid w:val="2DF81ED2"/>
    <w:rsid w:val="2E06741D"/>
    <w:rsid w:val="2E0709C9"/>
    <w:rsid w:val="2E162B4A"/>
    <w:rsid w:val="2E225B71"/>
    <w:rsid w:val="2E2376BD"/>
    <w:rsid w:val="2E2F550A"/>
    <w:rsid w:val="2E347D84"/>
    <w:rsid w:val="2E3E4ABB"/>
    <w:rsid w:val="2E405ABD"/>
    <w:rsid w:val="2E455723"/>
    <w:rsid w:val="2E4709A8"/>
    <w:rsid w:val="2E4F6444"/>
    <w:rsid w:val="2E5A1C5D"/>
    <w:rsid w:val="2E64438B"/>
    <w:rsid w:val="2E76495E"/>
    <w:rsid w:val="2E8876F3"/>
    <w:rsid w:val="2E8E614B"/>
    <w:rsid w:val="2E9302C2"/>
    <w:rsid w:val="2E9455B2"/>
    <w:rsid w:val="2E9E6759"/>
    <w:rsid w:val="2EB974C9"/>
    <w:rsid w:val="2EBE076E"/>
    <w:rsid w:val="2EC532AA"/>
    <w:rsid w:val="2ED06280"/>
    <w:rsid w:val="2ED74E8C"/>
    <w:rsid w:val="2EDC0B8D"/>
    <w:rsid w:val="2EE17A59"/>
    <w:rsid w:val="2EE525A6"/>
    <w:rsid w:val="2EFA717B"/>
    <w:rsid w:val="2EFF4939"/>
    <w:rsid w:val="2EFF6222"/>
    <w:rsid w:val="2F236EF0"/>
    <w:rsid w:val="2F352EA0"/>
    <w:rsid w:val="2F37233F"/>
    <w:rsid w:val="2F3E225D"/>
    <w:rsid w:val="2F481714"/>
    <w:rsid w:val="2F4A7B7B"/>
    <w:rsid w:val="2F4E2B4E"/>
    <w:rsid w:val="2F5729E1"/>
    <w:rsid w:val="2F5A0774"/>
    <w:rsid w:val="2F5D06D3"/>
    <w:rsid w:val="2F5F2A25"/>
    <w:rsid w:val="2F727FF5"/>
    <w:rsid w:val="2F785B88"/>
    <w:rsid w:val="2F7A2720"/>
    <w:rsid w:val="2F882CB7"/>
    <w:rsid w:val="2F934A7F"/>
    <w:rsid w:val="2F9B28CE"/>
    <w:rsid w:val="2F9C6E61"/>
    <w:rsid w:val="2FA04403"/>
    <w:rsid w:val="2FA54821"/>
    <w:rsid w:val="2FA708F2"/>
    <w:rsid w:val="2FAB73C8"/>
    <w:rsid w:val="2FC26D43"/>
    <w:rsid w:val="2FCF5254"/>
    <w:rsid w:val="2FD21C66"/>
    <w:rsid w:val="2FE94099"/>
    <w:rsid w:val="2FFA3657"/>
    <w:rsid w:val="2FFF30C9"/>
    <w:rsid w:val="3000354E"/>
    <w:rsid w:val="3008349E"/>
    <w:rsid w:val="301B7C8C"/>
    <w:rsid w:val="301E4B39"/>
    <w:rsid w:val="30200ACC"/>
    <w:rsid w:val="30221301"/>
    <w:rsid w:val="3025663B"/>
    <w:rsid w:val="302C79CA"/>
    <w:rsid w:val="302F78B3"/>
    <w:rsid w:val="30313C70"/>
    <w:rsid w:val="30343537"/>
    <w:rsid w:val="30493DBA"/>
    <w:rsid w:val="3054286C"/>
    <w:rsid w:val="3064671A"/>
    <w:rsid w:val="3065144D"/>
    <w:rsid w:val="30693762"/>
    <w:rsid w:val="306A26CB"/>
    <w:rsid w:val="30720218"/>
    <w:rsid w:val="30721A78"/>
    <w:rsid w:val="30730FEF"/>
    <w:rsid w:val="30835664"/>
    <w:rsid w:val="30850E88"/>
    <w:rsid w:val="308B70F3"/>
    <w:rsid w:val="30962A4A"/>
    <w:rsid w:val="30A14B0E"/>
    <w:rsid w:val="30A9353D"/>
    <w:rsid w:val="30C45E54"/>
    <w:rsid w:val="30C9695B"/>
    <w:rsid w:val="30CB2C69"/>
    <w:rsid w:val="30CF5E02"/>
    <w:rsid w:val="30EA6984"/>
    <w:rsid w:val="30EB1D2E"/>
    <w:rsid w:val="30EB76BB"/>
    <w:rsid w:val="30FC6C8F"/>
    <w:rsid w:val="31014948"/>
    <w:rsid w:val="31067D63"/>
    <w:rsid w:val="310721CF"/>
    <w:rsid w:val="310821E5"/>
    <w:rsid w:val="311B0138"/>
    <w:rsid w:val="312119E4"/>
    <w:rsid w:val="312D3557"/>
    <w:rsid w:val="312F5F1F"/>
    <w:rsid w:val="313F5411"/>
    <w:rsid w:val="31496450"/>
    <w:rsid w:val="31593CEB"/>
    <w:rsid w:val="31731072"/>
    <w:rsid w:val="31745499"/>
    <w:rsid w:val="31781E33"/>
    <w:rsid w:val="31794E91"/>
    <w:rsid w:val="31884C2B"/>
    <w:rsid w:val="318F0A0D"/>
    <w:rsid w:val="319E6F3D"/>
    <w:rsid w:val="31B22151"/>
    <w:rsid w:val="31B425BE"/>
    <w:rsid w:val="31C17AD2"/>
    <w:rsid w:val="31D11A00"/>
    <w:rsid w:val="31D6400D"/>
    <w:rsid w:val="31DD71CE"/>
    <w:rsid w:val="31E22407"/>
    <w:rsid w:val="31E47F1B"/>
    <w:rsid w:val="31E81B07"/>
    <w:rsid w:val="31EC7686"/>
    <w:rsid w:val="31F02EF1"/>
    <w:rsid w:val="31FA037C"/>
    <w:rsid w:val="31FC4AC9"/>
    <w:rsid w:val="320049D7"/>
    <w:rsid w:val="320E7790"/>
    <w:rsid w:val="32143598"/>
    <w:rsid w:val="321926E0"/>
    <w:rsid w:val="321C5B58"/>
    <w:rsid w:val="32242450"/>
    <w:rsid w:val="322A7BDB"/>
    <w:rsid w:val="32377BD4"/>
    <w:rsid w:val="324F3E58"/>
    <w:rsid w:val="32597B19"/>
    <w:rsid w:val="326371AF"/>
    <w:rsid w:val="32661404"/>
    <w:rsid w:val="326E0335"/>
    <w:rsid w:val="32722C20"/>
    <w:rsid w:val="32742CFE"/>
    <w:rsid w:val="327617D7"/>
    <w:rsid w:val="32793502"/>
    <w:rsid w:val="3281122A"/>
    <w:rsid w:val="328465A8"/>
    <w:rsid w:val="328467D6"/>
    <w:rsid w:val="328C4C71"/>
    <w:rsid w:val="329136D1"/>
    <w:rsid w:val="32957BBE"/>
    <w:rsid w:val="329A25A7"/>
    <w:rsid w:val="32A85A66"/>
    <w:rsid w:val="32C171AE"/>
    <w:rsid w:val="32C5686F"/>
    <w:rsid w:val="32C76C74"/>
    <w:rsid w:val="32C95949"/>
    <w:rsid w:val="32D154A5"/>
    <w:rsid w:val="32D85BE7"/>
    <w:rsid w:val="32E20583"/>
    <w:rsid w:val="32ED0FC8"/>
    <w:rsid w:val="330433B8"/>
    <w:rsid w:val="33071292"/>
    <w:rsid w:val="331827DA"/>
    <w:rsid w:val="331A37B7"/>
    <w:rsid w:val="331D6C7E"/>
    <w:rsid w:val="332151E0"/>
    <w:rsid w:val="33345751"/>
    <w:rsid w:val="3339664E"/>
    <w:rsid w:val="33436F8B"/>
    <w:rsid w:val="3344630E"/>
    <w:rsid w:val="33641B5F"/>
    <w:rsid w:val="3372625C"/>
    <w:rsid w:val="33920EF1"/>
    <w:rsid w:val="33A76BA9"/>
    <w:rsid w:val="33A803B9"/>
    <w:rsid w:val="33AF71AB"/>
    <w:rsid w:val="33B01A61"/>
    <w:rsid w:val="33B84EDE"/>
    <w:rsid w:val="33CA764A"/>
    <w:rsid w:val="33CE082F"/>
    <w:rsid w:val="33DD5720"/>
    <w:rsid w:val="33F14061"/>
    <w:rsid w:val="33F16826"/>
    <w:rsid w:val="33F219CB"/>
    <w:rsid w:val="33F57367"/>
    <w:rsid w:val="33F97469"/>
    <w:rsid w:val="33FB7DDF"/>
    <w:rsid w:val="33FD3AF4"/>
    <w:rsid w:val="34004D9F"/>
    <w:rsid w:val="340963C3"/>
    <w:rsid w:val="34164C19"/>
    <w:rsid w:val="3420310A"/>
    <w:rsid w:val="343266CA"/>
    <w:rsid w:val="343A2F39"/>
    <w:rsid w:val="343F5379"/>
    <w:rsid w:val="34536C1D"/>
    <w:rsid w:val="346D4F86"/>
    <w:rsid w:val="347800A3"/>
    <w:rsid w:val="34784400"/>
    <w:rsid w:val="34800E7F"/>
    <w:rsid w:val="348963A6"/>
    <w:rsid w:val="348C12D1"/>
    <w:rsid w:val="3495352F"/>
    <w:rsid w:val="349741F5"/>
    <w:rsid w:val="34A40A60"/>
    <w:rsid w:val="34A64789"/>
    <w:rsid w:val="34AC732B"/>
    <w:rsid w:val="34B947FA"/>
    <w:rsid w:val="34C0772F"/>
    <w:rsid w:val="34C96A64"/>
    <w:rsid w:val="34CB5C7B"/>
    <w:rsid w:val="34CE67ED"/>
    <w:rsid w:val="34E177C7"/>
    <w:rsid w:val="34E77835"/>
    <w:rsid w:val="34EC03A0"/>
    <w:rsid w:val="34ED5F5D"/>
    <w:rsid w:val="34EE2DDD"/>
    <w:rsid w:val="34F02CBF"/>
    <w:rsid w:val="351928A3"/>
    <w:rsid w:val="35595C2B"/>
    <w:rsid w:val="355E6EEE"/>
    <w:rsid w:val="35713C89"/>
    <w:rsid w:val="35763460"/>
    <w:rsid w:val="35933C71"/>
    <w:rsid w:val="35976E7B"/>
    <w:rsid w:val="359C54D7"/>
    <w:rsid w:val="35A41DB0"/>
    <w:rsid w:val="35B44F21"/>
    <w:rsid w:val="35BE1572"/>
    <w:rsid w:val="35CC7149"/>
    <w:rsid w:val="35D64063"/>
    <w:rsid w:val="35E74520"/>
    <w:rsid w:val="35F76A56"/>
    <w:rsid w:val="3603777B"/>
    <w:rsid w:val="3605599D"/>
    <w:rsid w:val="360A1526"/>
    <w:rsid w:val="36110DD9"/>
    <w:rsid w:val="36236C09"/>
    <w:rsid w:val="36290BB0"/>
    <w:rsid w:val="362D1DA6"/>
    <w:rsid w:val="362D6C52"/>
    <w:rsid w:val="363132FE"/>
    <w:rsid w:val="363A2CB9"/>
    <w:rsid w:val="363F39BB"/>
    <w:rsid w:val="365F0C57"/>
    <w:rsid w:val="36675436"/>
    <w:rsid w:val="366E094A"/>
    <w:rsid w:val="367874A2"/>
    <w:rsid w:val="367B3979"/>
    <w:rsid w:val="367C7841"/>
    <w:rsid w:val="36805789"/>
    <w:rsid w:val="368716DF"/>
    <w:rsid w:val="369F0DF6"/>
    <w:rsid w:val="36A673D9"/>
    <w:rsid w:val="36AB4205"/>
    <w:rsid w:val="36AC4240"/>
    <w:rsid w:val="36AD4808"/>
    <w:rsid w:val="36C828DB"/>
    <w:rsid w:val="36C95F72"/>
    <w:rsid w:val="36CC3AA3"/>
    <w:rsid w:val="36CF5607"/>
    <w:rsid w:val="36DE2E4F"/>
    <w:rsid w:val="36E16A4F"/>
    <w:rsid w:val="36EC5AA4"/>
    <w:rsid w:val="3708391A"/>
    <w:rsid w:val="370E5B64"/>
    <w:rsid w:val="3713353A"/>
    <w:rsid w:val="373B6744"/>
    <w:rsid w:val="37476B9F"/>
    <w:rsid w:val="374E18EF"/>
    <w:rsid w:val="37652796"/>
    <w:rsid w:val="376E2995"/>
    <w:rsid w:val="377A4B96"/>
    <w:rsid w:val="377E1242"/>
    <w:rsid w:val="37816524"/>
    <w:rsid w:val="378325C5"/>
    <w:rsid w:val="37865B39"/>
    <w:rsid w:val="378D592E"/>
    <w:rsid w:val="378E4182"/>
    <w:rsid w:val="37923388"/>
    <w:rsid w:val="37A15EE7"/>
    <w:rsid w:val="37A506ED"/>
    <w:rsid w:val="37B010C8"/>
    <w:rsid w:val="37B96F92"/>
    <w:rsid w:val="37BD4800"/>
    <w:rsid w:val="37BF1981"/>
    <w:rsid w:val="37D4193E"/>
    <w:rsid w:val="37F4173B"/>
    <w:rsid w:val="37FC5ED4"/>
    <w:rsid w:val="38085AEE"/>
    <w:rsid w:val="380F3E59"/>
    <w:rsid w:val="381A7128"/>
    <w:rsid w:val="38217DF3"/>
    <w:rsid w:val="3823464A"/>
    <w:rsid w:val="38313518"/>
    <w:rsid w:val="384152A8"/>
    <w:rsid w:val="38443B14"/>
    <w:rsid w:val="385E31E1"/>
    <w:rsid w:val="38622BB2"/>
    <w:rsid w:val="38634DD3"/>
    <w:rsid w:val="38741004"/>
    <w:rsid w:val="3886282A"/>
    <w:rsid w:val="389762E7"/>
    <w:rsid w:val="38A25413"/>
    <w:rsid w:val="38B939D2"/>
    <w:rsid w:val="38BD683E"/>
    <w:rsid w:val="38BF27BD"/>
    <w:rsid w:val="38C3013D"/>
    <w:rsid w:val="38C71166"/>
    <w:rsid w:val="38CA52C1"/>
    <w:rsid w:val="38DF397E"/>
    <w:rsid w:val="38E34F46"/>
    <w:rsid w:val="38E60F46"/>
    <w:rsid w:val="38F12B4F"/>
    <w:rsid w:val="38F512A1"/>
    <w:rsid w:val="38FC2D8E"/>
    <w:rsid w:val="3902576C"/>
    <w:rsid w:val="390D6B30"/>
    <w:rsid w:val="39110B50"/>
    <w:rsid w:val="391F16F6"/>
    <w:rsid w:val="3942200C"/>
    <w:rsid w:val="39454966"/>
    <w:rsid w:val="394A7E78"/>
    <w:rsid w:val="39585C7C"/>
    <w:rsid w:val="395B25CE"/>
    <w:rsid w:val="39783360"/>
    <w:rsid w:val="397B4855"/>
    <w:rsid w:val="398B1679"/>
    <w:rsid w:val="39B0240B"/>
    <w:rsid w:val="39BD1FF4"/>
    <w:rsid w:val="39C51EFE"/>
    <w:rsid w:val="39C80763"/>
    <w:rsid w:val="39DE0906"/>
    <w:rsid w:val="39DE59D3"/>
    <w:rsid w:val="39E71FBB"/>
    <w:rsid w:val="39E8637F"/>
    <w:rsid w:val="39EA50E1"/>
    <w:rsid w:val="3A1C285D"/>
    <w:rsid w:val="3A1F14C3"/>
    <w:rsid w:val="3A1F5EA9"/>
    <w:rsid w:val="3A2635EC"/>
    <w:rsid w:val="3A2E6DDA"/>
    <w:rsid w:val="3A4C7506"/>
    <w:rsid w:val="3A4F1A7A"/>
    <w:rsid w:val="3A4F334D"/>
    <w:rsid w:val="3A554DB9"/>
    <w:rsid w:val="3A557A75"/>
    <w:rsid w:val="3A677ED7"/>
    <w:rsid w:val="3A6B3A9A"/>
    <w:rsid w:val="3A7D5737"/>
    <w:rsid w:val="3A805DB1"/>
    <w:rsid w:val="3A875E50"/>
    <w:rsid w:val="3A8C70EB"/>
    <w:rsid w:val="3A943221"/>
    <w:rsid w:val="3A9B7C26"/>
    <w:rsid w:val="3A9C74FA"/>
    <w:rsid w:val="3AAB2040"/>
    <w:rsid w:val="3AB4341A"/>
    <w:rsid w:val="3AC61CF0"/>
    <w:rsid w:val="3AD75C33"/>
    <w:rsid w:val="3AD85F03"/>
    <w:rsid w:val="3AF50988"/>
    <w:rsid w:val="3AFD4854"/>
    <w:rsid w:val="3B0E416B"/>
    <w:rsid w:val="3B12280B"/>
    <w:rsid w:val="3B3922CE"/>
    <w:rsid w:val="3B3A36C7"/>
    <w:rsid w:val="3B3D519A"/>
    <w:rsid w:val="3B5168E9"/>
    <w:rsid w:val="3B5754DC"/>
    <w:rsid w:val="3B5D52E4"/>
    <w:rsid w:val="3B5F6C2C"/>
    <w:rsid w:val="3B626E0F"/>
    <w:rsid w:val="3B6969C9"/>
    <w:rsid w:val="3B6E620C"/>
    <w:rsid w:val="3B710390"/>
    <w:rsid w:val="3B7B2BCE"/>
    <w:rsid w:val="3B83223B"/>
    <w:rsid w:val="3B8F1C8B"/>
    <w:rsid w:val="3B9810D7"/>
    <w:rsid w:val="3B9A6D46"/>
    <w:rsid w:val="3BA42723"/>
    <w:rsid w:val="3BA52738"/>
    <w:rsid w:val="3BAC0FF2"/>
    <w:rsid w:val="3BB6399A"/>
    <w:rsid w:val="3BBC60A6"/>
    <w:rsid w:val="3BBE3130"/>
    <w:rsid w:val="3BC05CCB"/>
    <w:rsid w:val="3BC30810"/>
    <w:rsid w:val="3BC36C01"/>
    <w:rsid w:val="3BCA6236"/>
    <w:rsid w:val="3BD24A47"/>
    <w:rsid w:val="3BE407BC"/>
    <w:rsid w:val="3BF26D4D"/>
    <w:rsid w:val="3BF31E93"/>
    <w:rsid w:val="3BF50A89"/>
    <w:rsid w:val="3BFF0480"/>
    <w:rsid w:val="3C007C35"/>
    <w:rsid w:val="3C0F77F7"/>
    <w:rsid w:val="3C2A693F"/>
    <w:rsid w:val="3C3B3264"/>
    <w:rsid w:val="3C3E2F5F"/>
    <w:rsid w:val="3C4733D1"/>
    <w:rsid w:val="3C575E36"/>
    <w:rsid w:val="3C582FEB"/>
    <w:rsid w:val="3C636C41"/>
    <w:rsid w:val="3C6A01A7"/>
    <w:rsid w:val="3C6C6ECC"/>
    <w:rsid w:val="3C7B42F3"/>
    <w:rsid w:val="3C813932"/>
    <w:rsid w:val="3C857DEE"/>
    <w:rsid w:val="3C96638B"/>
    <w:rsid w:val="3C986744"/>
    <w:rsid w:val="3CA31014"/>
    <w:rsid w:val="3CBF30E3"/>
    <w:rsid w:val="3CC476A8"/>
    <w:rsid w:val="3CC84F02"/>
    <w:rsid w:val="3CCA25E7"/>
    <w:rsid w:val="3CED5F45"/>
    <w:rsid w:val="3CF55391"/>
    <w:rsid w:val="3CF6690D"/>
    <w:rsid w:val="3D1D1252"/>
    <w:rsid w:val="3D1F0407"/>
    <w:rsid w:val="3D23136D"/>
    <w:rsid w:val="3D2523FB"/>
    <w:rsid w:val="3D2F18A4"/>
    <w:rsid w:val="3D3B1344"/>
    <w:rsid w:val="3D55085C"/>
    <w:rsid w:val="3D647164"/>
    <w:rsid w:val="3D6E33A1"/>
    <w:rsid w:val="3D6E7B55"/>
    <w:rsid w:val="3D736B9E"/>
    <w:rsid w:val="3D7A0C68"/>
    <w:rsid w:val="3D832B7C"/>
    <w:rsid w:val="3D8919C3"/>
    <w:rsid w:val="3D8D3424"/>
    <w:rsid w:val="3D98669F"/>
    <w:rsid w:val="3D9D3CB5"/>
    <w:rsid w:val="3DA85494"/>
    <w:rsid w:val="3DA86A8F"/>
    <w:rsid w:val="3DA93324"/>
    <w:rsid w:val="3DAD421A"/>
    <w:rsid w:val="3DB77DC4"/>
    <w:rsid w:val="3DB80AEF"/>
    <w:rsid w:val="3DB91977"/>
    <w:rsid w:val="3DC13B44"/>
    <w:rsid w:val="3DD84B86"/>
    <w:rsid w:val="3DDC1B5E"/>
    <w:rsid w:val="3DEA5635"/>
    <w:rsid w:val="3DEB0EC4"/>
    <w:rsid w:val="3DEE7D68"/>
    <w:rsid w:val="3DEF7DB1"/>
    <w:rsid w:val="3DF72918"/>
    <w:rsid w:val="3E03262E"/>
    <w:rsid w:val="3E19375F"/>
    <w:rsid w:val="3E224DCC"/>
    <w:rsid w:val="3E2E48DE"/>
    <w:rsid w:val="3E2E6CFD"/>
    <w:rsid w:val="3E30164A"/>
    <w:rsid w:val="3E3F4EBB"/>
    <w:rsid w:val="3E456998"/>
    <w:rsid w:val="3E48254B"/>
    <w:rsid w:val="3E4D02E7"/>
    <w:rsid w:val="3E670DF8"/>
    <w:rsid w:val="3E6865D3"/>
    <w:rsid w:val="3E776D92"/>
    <w:rsid w:val="3E8E22E1"/>
    <w:rsid w:val="3E9338ED"/>
    <w:rsid w:val="3E9B4ACA"/>
    <w:rsid w:val="3EB909A3"/>
    <w:rsid w:val="3EC81B6A"/>
    <w:rsid w:val="3ECC1049"/>
    <w:rsid w:val="3ED20477"/>
    <w:rsid w:val="3EDB1C5A"/>
    <w:rsid w:val="3EE871B2"/>
    <w:rsid w:val="3EEE6BAB"/>
    <w:rsid w:val="3EF33C53"/>
    <w:rsid w:val="3EF63BD9"/>
    <w:rsid w:val="3F19380F"/>
    <w:rsid w:val="3F224CDF"/>
    <w:rsid w:val="3F2E4245"/>
    <w:rsid w:val="3F323817"/>
    <w:rsid w:val="3F376FE4"/>
    <w:rsid w:val="3F3921DA"/>
    <w:rsid w:val="3F546C47"/>
    <w:rsid w:val="3F59508D"/>
    <w:rsid w:val="3F8574FE"/>
    <w:rsid w:val="3F910DD4"/>
    <w:rsid w:val="3F924BD0"/>
    <w:rsid w:val="3F9B35A2"/>
    <w:rsid w:val="3FAD56A8"/>
    <w:rsid w:val="3FB3378C"/>
    <w:rsid w:val="3FBD3F0C"/>
    <w:rsid w:val="3FC07036"/>
    <w:rsid w:val="3FC6795B"/>
    <w:rsid w:val="3FD16032"/>
    <w:rsid w:val="3FD47EB4"/>
    <w:rsid w:val="3FDB47E3"/>
    <w:rsid w:val="3FEE3093"/>
    <w:rsid w:val="400C5D10"/>
    <w:rsid w:val="401713C6"/>
    <w:rsid w:val="40272630"/>
    <w:rsid w:val="403C0068"/>
    <w:rsid w:val="40622FD0"/>
    <w:rsid w:val="406A4E6A"/>
    <w:rsid w:val="407C1A68"/>
    <w:rsid w:val="407E41B2"/>
    <w:rsid w:val="407F35F0"/>
    <w:rsid w:val="408A05ED"/>
    <w:rsid w:val="408D1DBF"/>
    <w:rsid w:val="40940184"/>
    <w:rsid w:val="40A21439"/>
    <w:rsid w:val="40AA0BC3"/>
    <w:rsid w:val="40B8594E"/>
    <w:rsid w:val="40B94AD2"/>
    <w:rsid w:val="40BC6B48"/>
    <w:rsid w:val="40C515B6"/>
    <w:rsid w:val="40C61685"/>
    <w:rsid w:val="40D47ACF"/>
    <w:rsid w:val="40F71D63"/>
    <w:rsid w:val="41067DC3"/>
    <w:rsid w:val="410B48F3"/>
    <w:rsid w:val="41132F9E"/>
    <w:rsid w:val="41193E37"/>
    <w:rsid w:val="4134048C"/>
    <w:rsid w:val="41416411"/>
    <w:rsid w:val="4147026B"/>
    <w:rsid w:val="41603487"/>
    <w:rsid w:val="41626922"/>
    <w:rsid w:val="4165230C"/>
    <w:rsid w:val="4170490C"/>
    <w:rsid w:val="417116E0"/>
    <w:rsid w:val="4178576E"/>
    <w:rsid w:val="41807E0E"/>
    <w:rsid w:val="418F5CEA"/>
    <w:rsid w:val="41912A36"/>
    <w:rsid w:val="41913A7C"/>
    <w:rsid w:val="41A26008"/>
    <w:rsid w:val="41A43552"/>
    <w:rsid w:val="41C30908"/>
    <w:rsid w:val="41C71BC2"/>
    <w:rsid w:val="41CA2CB6"/>
    <w:rsid w:val="41CB3C23"/>
    <w:rsid w:val="41D91E3C"/>
    <w:rsid w:val="41DC106B"/>
    <w:rsid w:val="42070318"/>
    <w:rsid w:val="42132798"/>
    <w:rsid w:val="42195D2D"/>
    <w:rsid w:val="421B22DC"/>
    <w:rsid w:val="42297E0A"/>
    <w:rsid w:val="42403830"/>
    <w:rsid w:val="42440E69"/>
    <w:rsid w:val="42520D51"/>
    <w:rsid w:val="42613AF3"/>
    <w:rsid w:val="426F7E24"/>
    <w:rsid w:val="428142EF"/>
    <w:rsid w:val="42855794"/>
    <w:rsid w:val="42B40FCC"/>
    <w:rsid w:val="42BD527C"/>
    <w:rsid w:val="42C13EB9"/>
    <w:rsid w:val="42C24FC5"/>
    <w:rsid w:val="42EE6613"/>
    <w:rsid w:val="42F54A3F"/>
    <w:rsid w:val="42F6296F"/>
    <w:rsid w:val="430137E9"/>
    <w:rsid w:val="431A58DF"/>
    <w:rsid w:val="431B75B2"/>
    <w:rsid w:val="431D5A70"/>
    <w:rsid w:val="43385301"/>
    <w:rsid w:val="43413334"/>
    <w:rsid w:val="43525542"/>
    <w:rsid w:val="435369C1"/>
    <w:rsid w:val="43590C88"/>
    <w:rsid w:val="435A2640"/>
    <w:rsid w:val="435B06CF"/>
    <w:rsid w:val="435E22AD"/>
    <w:rsid w:val="436467F7"/>
    <w:rsid w:val="43671615"/>
    <w:rsid w:val="4367629A"/>
    <w:rsid w:val="436A0F38"/>
    <w:rsid w:val="437004D9"/>
    <w:rsid w:val="43786124"/>
    <w:rsid w:val="438374A9"/>
    <w:rsid w:val="43A77C65"/>
    <w:rsid w:val="43B14E46"/>
    <w:rsid w:val="43B21E6E"/>
    <w:rsid w:val="43BB1A82"/>
    <w:rsid w:val="43CD10E1"/>
    <w:rsid w:val="43CE7FFE"/>
    <w:rsid w:val="43D1226F"/>
    <w:rsid w:val="43D14A1D"/>
    <w:rsid w:val="43DA78A7"/>
    <w:rsid w:val="43E671DC"/>
    <w:rsid w:val="43F263DD"/>
    <w:rsid w:val="43FF7BAC"/>
    <w:rsid w:val="4412205D"/>
    <w:rsid w:val="441229F7"/>
    <w:rsid w:val="44134749"/>
    <w:rsid w:val="442712BB"/>
    <w:rsid w:val="442D7735"/>
    <w:rsid w:val="4436451B"/>
    <w:rsid w:val="443F71F8"/>
    <w:rsid w:val="44433302"/>
    <w:rsid w:val="444C1712"/>
    <w:rsid w:val="444E04C2"/>
    <w:rsid w:val="444F55DD"/>
    <w:rsid w:val="44580936"/>
    <w:rsid w:val="44650EE6"/>
    <w:rsid w:val="44720FAB"/>
    <w:rsid w:val="4472318E"/>
    <w:rsid w:val="447D61B9"/>
    <w:rsid w:val="447E372D"/>
    <w:rsid w:val="449142FD"/>
    <w:rsid w:val="449569FD"/>
    <w:rsid w:val="44996900"/>
    <w:rsid w:val="449A32D6"/>
    <w:rsid w:val="449B0240"/>
    <w:rsid w:val="44B91F2A"/>
    <w:rsid w:val="44C54AB2"/>
    <w:rsid w:val="44C85078"/>
    <w:rsid w:val="44D535C8"/>
    <w:rsid w:val="44DE52DF"/>
    <w:rsid w:val="44EF1026"/>
    <w:rsid w:val="44FB69EE"/>
    <w:rsid w:val="45007340"/>
    <w:rsid w:val="450A0C18"/>
    <w:rsid w:val="45147AA1"/>
    <w:rsid w:val="45155521"/>
    <w:rsid w:val="45293329"/>
    <w:rsid w:val="452A4420"/>
    <w:rsid w:val="452D591E"/>
    <w:rsid w:val="453401B9"/>
    <w:rsid w:val="454D5220"/>
    <w:rsid w:val="45563952"/>
    <w:rsid w:val="455F590C"/>
    <w:rsid w:val="45773159"/>
    <w:rsid w:val="457C0EC6"/>
    <w:rsid w:val="457D413B"/>
    <w:rsid w:val="45852AFF"/>
    <w:rsid w:val="45865481"/>
    <w:rsid w:val="45886FF9"/>
    <w:rsid w:val="458B5CA6"/>
    <w:rsid w:val="458F028D"/>
    <w:rsid w:val="45903ED4"/>
    <w:rsid w:val="45936E26"/>
    <w:rsid w:val="45AC718B"/>
    <w:rsid w:val="45AF5471"/>
    <w:rsid w:val="45B33C10"/>
    <w:rsid w:val="45B8585D"/>
    <w:rsid w:val="45B943AD"/>
    <w:rsid w:val="45C20E9E"/>
    <w:rsid w:val="45C35A92"/>
    <w:rsid w:val="45E217EA"/>
    <w:rsid w:val="45E433E3"/>
    <w:rsid w:val="45E6293B"/>
    <w:rsid w:val="45F73B36"/>
    <w:rsid w:val="46304530"/>
    <w:rsid w:val="464130D5"/>
    <w:rsid w:val="46491D56"/>
    <w:rsid w:val="464D718D"/>
    <w:rsid w:val="464F674F"/>
    <w:rsid w:val="465C2096"/>
    <w:rsid w:val="4665558C"/>
    <w:rsid w:val="466B0878"/>
    <w:rsid w:val="46733BA1"/>
    <w:rsid w:val="467E748A"/>
    <w:rsid w:val="467F4E94"/>
    <w:rsid w:val="469915E5"/>
    <w:rsid w:val="469A4C2E"/>
    <w:rsid w:val="46B7683C"/>
    <w:rsid w:val="46B86D90"/>
    <w:rsid w:val="46C910BD"/>
    <w:rsid w:val="46D24BA2"/>
    <w:rsid w:val="46D4115F"/>
    <w:rsid w:val="46D63809"/>
    <w:rsid w:val="46D640A7"/>
    <w:rsid w:val="46D755AD"/>
    <w:rsid w:val="46DF2EEC"/>
    <w:rsid w:val="46EB2A4C"/>
    <w:rsid w:val="46EB77B3"/>
    <w:rsid w:val="46EC3F9B"/>
    <w:rsid w:val="46EE5368"/>
    <w:rsid w:val="46FE3CE1"/>
    <w:rsid w:val="47060EEE"/>
    <w:rsid w:val="47082986"/>
    <w:rsid w:val="47142E75"/>
    <w:rsid w:val="471625F2"/>
    <w:rsid w:val="47264E3C"/>
    <w:rsid w:val="4731186A"/>
    <w:rsid w:val="473632F0"/>
    <w:rsid w:val="473E467A"/>
    <w:rsid w:val="47424AD1"/>
    <w:rsid w:val="474C5C41"/>
    <w:rsid w:val="474F7338"/>
    <w:rsid w:val="475C0558"/>
    <w:rsid w:val="476F7C8A"/>
    <w:rsid w:val="477C1626"/>
    <w:rsid w:val="477D2B79"/>
    <w:rsid w:val="477E3B4C"/>
    <w:rsid w:val="478B7EBB"/>
    <w:rsid w:val="47974D2B"/>
    <w:rsid w:val="479942A0"/>
    <w:rsid w:val="47BA7999"/>
    <w:rsid w:val="47C13872"/>
    <w:rsid w:val="47D106ED"/>
    <w:rsid w:val="47E24383"/>
    <w:rsid w:val="47E54B9B"/>
    <w:rsid w:val="47E631AF"/>
    <w:rsid w:val="47F45617"/>
    <w:rsid w:val="47FF0510"/>
    <w:rsid w:val="480120F2"/>
    <w:rsid w:val="4811359B"/>
    <w:rsid w:val="481E4E36"/>
    <w:rsid w:val="48261EA7"/>
    <w:rsid w:val="48466CC2"/>
    <w:rsid w:val="484B4B8C"/>
    <w:rsid w:val="484F5E1C"/>
    <w:rsid w:val="48520F48"/>
    <w:rsid w:val="485607CC"/>
    <w:rsid w:val="485D28DB"/>
    <w:rsid w:val="48662A4B"/>
    <w:rsid w:val="486E20AF"/>
    <w:rsid w:val="486F3AF2"/>
    <w:rsid w:val="48740B7B"/>
    <w:rsid w:val="48752BD8"/>
    <w:rsid w:val="48757EC8"/>
    <w:rsid w:val="487A4230"/>
    <w:rsid w:val="48A07C1D"/>
    <w:rsid w:val="48B16B7D"/>
    <w:rsid w:val="48C220F3"/>
    <w:rsid w:val="48C558F7"/>
    <w:rsid w:val="48CC4405"/>
    <w:rsid w:val="48CC544E"/>
    <w:rsid w:val="48CC7523"/>
    <w:rsid w:val="48D53F24"/>
    <w:rsid w:val="48D91E89"/>
    <w:rsid w:val="48E04309"/>
    <w:rsid w:val="490D04EA"/>
    <w:rsid w:val="49113969"/>
    <w:rsid w:val="49145BEE"/>
    <w:rsid w:val="491842B2"/>
    <w:rsid w:val="492E6109"/>
    <w:rsid w:val="493D22DB"/>
    <w:rsid w:val="49490796"/>
    <w:rsid w:val="494F73CC"/>
    <w:rsid w:val="495F7BE3"/>
    <w:rsid w:val="4962066D"/>
    <w:rsid w:val="49701657"/>
    <w:rsid w:val="49925DC2"/>
    <w:rsid w:val="499433DC"/>
    <w:rsid w:val="499B75E7"/>
    <w:rsid w:val="499B7E4D"/>
    <w:rsid w:val="49AA09A8"/>
    <w:rsid w:val="49AD4432"/>
    <w:rsid w:val="49AD4695"/>
    <w:rsid w:val="49B10B60"/>
    <w:rsid w:val="49BB452F"/>
    <w:rsid w:val="49C312A6"/>
    <w:rsid w:val="49D2347A"/>
    <w:rsid w:val="49D72BE7"/>
    <w:rsid w:val="49DB3D85"/>
    <w:rsid w:val="49EB7F45"/>
    <w:rsid w:val="49EE26D9"/>
    <w:rsid w:val="49F063B3"/>
    <w:rsid w:val="49F16684"/>
    <w:rsid w:val="4A1323A4"/>
    <w:rsid w:val="4A1638B0"/>
    <w:rsid w:val="4A2E75A4"/>
    <w:rsid w:val="4A3A3BEB"/>
    <w:rsid w:val="4A3C0639"/>
    <w:rsid w:val="4A546892"/>
    <w:rsid w:val="4A555376"/>
    <w:rsid w:val="4A58168F"/>
    <w:rsid w:val="4A6242BC"/>
    <w:rsid w:val="4A6F17A6"/>
    <w:rsid w:val="4A7B7BE8"/>
    <w:rsid w:val="4A895C4E"/>
    <w:rsid w:val="4A8A3DBA"/>
    <w:rsid w:val="4A8B198F"/>
    <w:rsid w:val="4A8B3549"/>
    <w:rsid w:val="4A8C4A78"/>
    <w:rsid w:val="4A905179"/>
    <w:rsid w:val="4A9326C8"/>
    <w:rsid w:val="4AA46D5D"/>
    <w:rsid w:val="4AA63559"/>
    <w:rsid w:val="4AB85386"/>
    <w:rsid w:val="4AC34182"/>
    <w:rsid w:val="4ACA1FE5"/>
    <w:rsid w:val="4AD74667"/>
    <w:rsid w:val="4ADE7362"/>
    <w:rsid w:val="4AF3760A"/>
    <w:rsid w:val="4AF953CF"/>
    <w:rsid w:val="4B056663"/>
    <w:rsid w:val="4B155BC8"/>
    <w:rsid w:val="4B1F10C5"/>
    <w:rsid w:val="4B46597F"/>
    <w:rsid w:val="4B521CCC"/>
    <w:rsid w:val="4B614574"/>
    <w:rsid w:val="4B67117B"/>
    <w:rsid w:val="4B674009"/>
    <w:rsid w:val="4B78480D"/>
    <w:rsid w:val="4B884AF7"/>
    <w:rsid w:val="4B8A0051"/>
    <w:rsid w:val="4B95649A"/>
    <w:rsid w:val="4BA02C73"/>
    <w:rsid w:val="4BA34CDE"/>
    <w:rsid w:val="4BA54928"/>
    <w:rsid w:val="4BAC361F"/>
    <w:rsid w:val="4BB90742"/>
    <w:rsid w:val="4BC053FB"/>
    <w:rsid w:val="4BC311DC"/>
    <w:rsid w:val="4BC64EC4"/>
    <w:rsid w:val="4BCB1D43"/>
    <w:rsid w:val="4BE536F9"/>
    <w:rsid w:val="4BF1769D"/>
    <w:rsid w:val="4C033AEE"/>
    <w:rsid w:val="4C072974"/>
    <w:rsid w:val="4C134F84"/>
    <w:rsid w:val="4C1B7790"/>
    <w:rsid w:val="4C1E6B55"/>
    <w:rsid w:val="4C383DD3"/>
    <w:rsid w:val="4C384C57"/>
    <w:rsid w:val="4C4404DB"/>
    <w:rsid w:val="4C575977"/>
    <w:rsid w:val="4C645EB9"/>
    <w:rsid w:val="4C67308A"/>
    <w:rsid w:val="4C7937CE"/>
    <w:rsid w:val="4C8137BB"/>
    <w:rsid w:val="4C881934"/>
    <w:rsid w:val="4C9038F3"/>
    <w:rsid w:val="4CA33D63"/>
    <w:rsid w:val="4CA70190"/>
    <w:rsid w:val="4CAA239A"/>
    <w:rsid w:val="4CAA35F2"/>
    <w:rsid w:val="4CB64219"/>
    <w:rsid w:val="4CC24F8D"/>
    <w:rsid w:val="4CCF62B8"/>
    <w:rsid w:val="4CD20C6F"/>
    <w:rsid w:val="4CD97FAC"/>
    <w:rsid w:val="4CE072A8"/>
    <w:rsid w:val="4CE0748D"/>
    <w:rsid w:val="4CF35EEC"/>
    <w:rsid w:val="4CF57E8F"/>
    <w:rsid w:val="4D060CA7"/>
    <w:rsid w:val="4D1F0A20"/>
    <w:rsid w:val="4D231FC6"/>
    <w:rsid w:val="4D335026"/>
    <w:rsid w:val="4D356797"/>
    <w:rsid w:val="4D363C4C"/>
    <w:rsid w:val="4D413ABE"/>
    <w:rsid w:val="4D472603"/>
    <w:rsid w:val="4D5C1852"/>
    <w:rsid w:val="4D6B7F97"/>
    <w:rsid w:val="4D7D07A9"/>
    <w:rsid w:val="4D7E7BCA"/>
    <w:rsid w:val="4D814A59"/>
    <w:rsid w:val="4DA57429"/>
    <w:rsid w:val="4DA84B2D"/>
    <w:rsid w:val="4DC1775A"/>
    <w:rsid w:val="4DC7052A"/>
    <w:rsid w:val="4DC94510"/>
    <w:rsid w:val="4DC9726E"/>
    <w:rsid w:val="4DD317D3"/>
    <w:rsid w:val="4DDD1D27"/>
    <w:rsid w:val="4DE01999"/>
    <w:rsid w:val="4DF23F3B"/>
    <w:rsid w:val="4DF5471B"/>
    <w:rsid w:val="4DF806E9"/>
    <w:rsid w:val="4E21054A"/>
    <w:rsid w:val="4E3156F1"/>
    <w:rsid w:val="4E373C44"/>
    <w:rsid w:val="4E5126E0"/>
    <w:rsid w:val="4E7C1327"/>
    <w:rsid w:val="4E7F5A78"/>
    <w:rsid w:val="4E8051B9"/>
    <w:rsid w:val="4E8B7676"/>
    <w:rsid w:val="4E942D21"/>
    <w:rsid w:val="4E9D7810"/>
    <w:rsid w:val="4EA13FBA"/>
    <w:rsid w:val="4EA4100F"/>
    <w:rsid w:val="4EA727A5"/>
    <w:rsid w:val="4EB7258D"/>
    <w:rsid w:val="4ECF3EEA"/>
    <w:rsid w:val="4ED70DD3"/>
    <w:rsid w:val="4EE008FE"/>
    <w:rsid w:val="4EF95DC6"/>
    <w:rsid w:val="4EFD5951"/>
    <w:rsid w:val="4F066196"/>
    <w:rsid w:val="4F0B5DF8"/>
    <w:rsid w:val="4F11017C"/>
    <w:rsid w:val="4F124446"/>
    <w:rsid w:val="4F1E3617"/>
    <w:rsid w:val="4F1E452A"/>
    <w:rsid w:val="4F412709"/>
    <w:rsid w:val="4F450787"/>
    <w:rsid w:val="4F4809DD"/>
    <w:rsid w:val="4F486359"/>
    <w:rsid w:val="4F4C1064"/>
    <w:rsid w:val="4F52671E"/>
    <w:rsid w:val="4F544BC0"/>
    <w:rsid w:val="4F5E1F23"/>
    <w:rsid w:val="4F700FBB"/>
    <w:rsid w:val="4F714EEB"/>
    <w:rsid w:val="4F772E6E"/>
    <w:rsid w:val="4F77676A"/>
    <w:rsid w:val="4F830CA1"/>
    <w:rsid w:val="4F9F022F"/>
    <w:rsid w:val="4FA002AA"/>
    <w:rsid w:val="4FA014A2"/>
    <w:rsid w:val="4FAC48F3"/>
    <w:rsid w:val="4FB26AD9"/>
    <w:rsid w:val="4FC34284"/>
    <w:rsid w:val="4FC6443E"/>
    <w:rsid w:val="4FD224BE"/>
    <w:rsid w:val="4FD964BE"/>
    <w:rsid w:val="4FDB56AB"/>
    <w:rsid w:val="4FDF2531"/>
    <w:rsid w:val="4FE64C1E"/>
    <w:rsid w:val="4FEC63D6"/>
    <w:rsid w:val="4FEF1DA6"/>
    <w:rsid w:val="4FF359B6"/>
    <w:rsid w:val="50004A95"/>
    <w:rsid w:val="50010C61"/>
    <w:rsid w:val="5006624C"/>
    <w:rsid w:val="50066FB3"/>
    <w:rsid w:val="500D54F6"/>
    <w:rsid w:val="501004A0"/>
    <w:rsid w:val="50137F4A"/>
    <w:rsid w:val="50173D37"/>
    <w:rsid w:val="5029007C"/>
    <w:rsid w:val="503660C0"/>
    <w:rsid w:val="503A2B14"/>
    <w:rsid w:val="50521801"/>
    <w:rsid w:val="505B3C87"/>
    <w:rsid w:val="50626FC5"/>
    <w:rsid w:val="506724CA"/>
    <w:rsid w:val="507E02A3"/>
    <w:rsid w:val="508C757F"/>
    <w:rsid w:val="508D33B3"/>
    <w:rsid w:val="50962F12"/>
    <w:rsid w:val="509740B3"/>
    <w:rsid w:val="509A0660"/>
    <w:rsid w:val="50A2437E"/>
    <w:rsid w:val="50A83174"/>
    <w:rsid w:val="50AB7422"/>
    <w:rsid w:val="50AC4D4C"/>
    <w:rsid w:val="50B51408"/>
    <w:rsid w:val="50BA0B94"/>
    <w:rsid w:val="50C620C8"/>
    <w:rsid w:val="50CF22E7"/>
    <w:rsid w:val="50ED1DB8"/>
    <w:rsid w:val="50F259EB"/>
    <w:rsid w:val="50F31D4C"/>
    <w:rsid w:val="50F94B1C"/>
    <w:rsid w:val="51020252"/>
    <w:rsid w:val="511D0051"/>
    <w:rsid w:val="5126392B"/>
    <w:rsid w:val="513B4FE6"/>
    <w:rsid w:val="514706F0"/>
    <w:rsid w:val="5156345E"/>
    <w:rsid w:val="515A20ED"/>
    <w:rsid w:val="51694D24"/>
    <w:rsid w:val="517472A2"/>
    <w:rsid w:val="51780B1C"/>
    <w:rsid w:val="517F7502"/>
    <w:rsid w:val="519C6CAE"/>
    <w:rsid w:val="51A07E36"/>
    <w:rsid w:val="51A72E00"/>
    <w:rsid w:val="51AE58E9"/>
    <w:rsid w:val="51B832C3"/>
    <w:rsid w:val="51D84E64"/>
    <w:rsid w:val="51DE269C"/>
    <w:rsid w:val="51F3498B"/>
    <w:rsid w:val="51F779E0"/>
    <w:rsid w:val="52114B18"/>
    <w:rsid w:val="52176D48"/>
    <w:rsid w:val="522709FC"/>
    <w:rsid w:val="52306A4E"/>
    <w:rsid w:val="52330F24"/>
    <w:rsid w:val="5236211A"/>
    <w:rsid w:val="52626275"/>
    <w:rsid w:val="526327CD"/>
    <w:rsid w:val="52653410"/>
    <w:rsid w:val="52750905"/>
    <w:rsid w:val="528658CC"/>
    <w:rsid w:val="5290625E"/>
    <w:rsid w:val="529333A5"/>
    <w:rsid w:val="529F4C29"/>
    <w:rsid w:val="52A5620A"/>
    <w:rsid w:val="52AA121E"/>
    <w:rsid w:val="52B05C17"/>
    <w:rsid w:val="52B47AF8"/>
    <w:rsid w:val="52B50F48"/>
    <w:rsid w:val="52C07935"/>
    <w:rsid w:val="52D15F58"/>
    <w:rsid w:val="52D853DF"/>
    <w:rsid w:val="52DC143A"/>
    <w:rsid w:val="52E32645"/>
    <w:rsid w:val="52E76F18"/>
    <w:rsid w:val="52FA39B7"/>
    <w:rsid w:val="53113D7C"/>
    <w:rsid w:val="53165ACD"/>
    <w:rsid w:val="531A282E"/>
    <w:rsid w:val="531E6088"/>
    <w:rsid w:val="531F2787"/>
    <w:rsid w:val="53230361"/>
    <w:rsid w:val="532636A9"/>
    <w:rsid w:val="532D2387"/>
    <w:rsid w:val="533704B8"/>
    <w:rsid w:val="53391570"/>
    <w:rsid w:val="533B1B4E"/>
    <w:rsid w:val="5342631C"/>
    <w:rsid w:val="53505DF0"/>
    <w:rsid w:val="53514B60"/>
    <w:rsid w:val="53591D99"/>
    <w:rsid w:val="535A4A14"/>
    <w:rsid w:val="53602DEC"/>
    <w:rsid w:val="53753945"/>
    <w:rsid w:val="53797A39"/>
    <w:rsid w:val="53815818"/>
    <w:rsid w:val="539F029C"/>
    <w:rsid w:val="53AE5938"/>
    <w:rsid w:val="53AF46FA"/>
    <w:rsid w:val="53B4350E"/>
    <w:rsid w:val="53C512E9"/>
    <w:rsid w:val="53CC7091"/>
    <w:rsid w:val="53CD05AD"/>
    <w:rsid w:val="53CE4770"/>
    <w:rsid w:val="53D55075"/>
    <w:rsid w:val="53D60BEC"/>
    <w:rsid w:val="53DA2A8A"/>
    <w:rsid w:val="53E23343"/>
    <w:rsid w:val="53E33CA0"/>
    <w:rsid w:val="53E46566"/>
    <w:rsid w:val="53E9328E"/>
    <w:rsid w:val="53FE7F31"/>
    <w:rsid w:val="54012FD3"/>
    <w:rsid w:val="54065170"/>
    <w:rsid w:val="5415104E"/>
    <w:rsid w:val="541A6BAD"/>
    <w:rsid w:val="54200CB5"/>
    <w:rsid w:val="54293912"/>
    <w:rsid w:val="542968E7"/>
    <w:rsid w:val="54370393"/>
    <w:rsid w:val="543B272A"/>
    <w:rsid w:val="543F4497"/>
    <w:rsid w:val="5446251D"/>
    <w:rsid w:val="54465E98"/>
    <w:rsid w:val="5451299B"/>
    <w:rsid w:val="545C1B97"/>
    <w:rsid w:val="5465175A"/>
    <w:rsid w:val="54651BD3"/>
    <w:rsid w:val="546A434C"/>
    <w:rsid w:val="54773068"/>
    <w:rsid w:val="547F6D5B"/>
    <w:rsid w:val="548D6505"/>
    <w:rsid w:val="549546C0"/>
    <w:rsid w:val="54967DBD"/>
    <w:rsid w:val="54970C2D"/>
    <w:rsid w:val="54992D2C"/>
    <w:rsid w:val="54B0307B"/>
    <w:rsid w:val="54B62769"/>
    <w:rsid w:val="54C32879"/>
    <w:rsid w:val="54D77DE2"/>
    <w:rsid w:val="54DF62FD"/>
    <w:rsid w:val="54EA671B"/>
    <w:rsid w:val="54EC0C8A"/>
    <w:rsid w:val="55091E63"/>
    <w:rsid w:val="55164621"/>
    <w:rsid w:val="552A729A"/>
    <w:rsid w:val="553076D9"/>
    <w:rsid w:val="55324787"/>
    <w:rsid w:val="553A070B"/>
    <w:rsid w:val="5543396E"/>
    <w:rsid w:val="5545368B"/>
    <w:rsid w:val="55485324"/>
    <w:rsid w:val="55556DCF"/>
    <w:rsid w:val="555B27E3"/>
    <w:rsid w:val="555C6AF7"/>
    <w:rsid w:val="5562237D"/>
    <w:rsid w:val="55762BE7"/>
    <w:rsid w:val="55855303"/>
    <w:rsid w:val="558B5C5A"/>
    <w:rsid w:val="558D23E4"/>
    <w:rsid w:val="55961E09"/>
    <w:rsid w:val="559C6013"/>
    <w:rsid w:val="55AA7999"/>
    <w:rsid w:val="55B33748"/>
    <w:rsid w:val="55BB6F76"/>
    <w:rsid w:val="55C26B6F"/>
    <w:rsid w:val="55C35029"/>
    <w:rsid w:val="55C56531"/>
    <w:rsid w:val="55C670F5"/>
    <w:rsid w:val="55CE4CE0"/>
    <w:rsid w:val="55D26E11"/>
    <w:rsid w:val="55D86398"/>
    <w:rsid w:val="55DC3463"/>
    <w:rsid w:val="55DC7289"/>
    <w:rsid w:val="55E31D4C"/>
    <w:rsid w:val="55E643CB"/>
    <w:rsid w:val="55F27EEA"/>
    <w:rsid w:val="55F31568"/>
    <w:rsid w:val="55F80996"/>
    <w:rsid w:val="56040378"/>
    <w:rsid w:val="56243561"/>
    <w:rsid w:val="56265AD2"/>
    <w:rsid w:val="563A0F92"/>
    <w:rsid w:val="564C2FC9"/>
    <w:rsid w:val="5651276F"/>
    <w:rsid w:val="566A6BF6"/>
    <w:rsid w:val="56787A85"/>
    <w:rsid w:val="568850AA"/>
    <w:rsid w:val="568D1D6A"/>
    <w:rsid w:val="568D4815"/>
    <w:rsid w:val="568E6439"/>
    <w:rsid w:val="56920472"/>
    <w:rsid w:val="569A354A"/>
    <w:rsid w:val="56A75DA7"/>
    <w:rsid w:val="56A874FB"/>
    <w:rsid w:val="56B62A0B"/>
    <w:rsid w:val="56D448BE"/>
    <w:rsid w:val="56DC1A82"/>
    <w:rsid w:val="56DD4F66"/>
    <w:rsid w:val="56DF393A"/>
    <w:rsid w:val="56EB02EC"/>
    <w:rsid w:val="56F02BC0"/>
    <w:rsid w:val="56FB79DE"/>
    <w:rsid w:val="57081D47"/>
    <w:rsid w:val="57092B06"/>
    <w:rsid w:val="570C38E2"/>
    <w:rsid w:val="570D6904"/>
    <w:rsid w:val="570E6F3C"/>
    <w:rsid w:val="57122E85"/>
    <w:rsid w:val="5717297F"/>
    <w:rsid w:val="572033DD"/>
    <w:rsid w:val="57263EA4"/>
    <w:rsid w:val="573561AF"/>
    <w:rsid w:val="574A6ADB"/>
    <w:rsid w:val="575B30B8"/>
    <w:rsid w:val="5771167B"/>
    <w:rsid w:val="577C2351"/>
    <w:rsid w:val="577E7DDF"/>
    <w:rsid w:val="57811640"/>
    <w:rsid w:val="578143A8"/>
    <w:rsid w:val="578776BC"/>
    <w:rsid w:val="57890A26"/>
    <w:rsid w:val="57995095"/>
    <w:rsid w:val="579B2BBB"/>
    <w:rsid w:val="579B7332"/>
    <w:rsid w:val="579E2361"/>
    <w:rsid w:val="57A03951"/>
    <w:rsid w:val="57A65985"/>
    <w:rsid w:val="57A91D10"/>
    <w:rsid w:val="57B17875"/>
    <w:rsid w:val="57CA580C"/>
    <w:rsid w:val="57CB57BA"/>
    <w:rsid w:val="57CC0AAC"/>
    <w:rsid w:val="57CE6B72"/>
    <w:rsid w:val="57D63C4A"/>
    <w:rsid w:val="57D7044A"/>
    <w:rsid w:val="57F350A9"/>
    <w:rsid w:val="57FF5025"/>
    <w:rsid w:val="580B3691"/>
    <w:rsid w:val="580D4907"/>
    <w:rsid w:val="581B2716"/>
    <w:rsid w:val="582D0C82"/>
    <w:rsid w:val="583628E4"/>
    <w:rsid w:val="58425A16"/>
    <w:rsid w:val="5847655D"/>
    <w:rsid w:val="584F0835"/>
    <w:rsid w:val="585B22AC"/>
    <w:rsid w:val="585B7B95"/>
    <w:rsid w:val="586124FB"/>
    <w:rsid w:val="586533D2"/>
    <w:rsid w:val="58655F51"/>
    <w:rsid w:val="58781BC3"/>
    <w:rsid w:val="589F639F"/>
    <w:rsid w:val="58AB446A"/>
    <w:rsid w:val="58C330C3"/>
    <w:rsid w:val="58CD73F0"/>
    <w:rsid w:val="58F4507C"/>
    <w:rsid w:val="58F6716A"/>
    <w:rsid w:val="590A7B4E"/>
    <w:rsid w:val="590F38BD"/>
    <w:rsid w:val="59154977"/>
    <w:rsid w:val="59183E67"/>
    <w:rsid w:val="591F58ED"/>
    <w:rsid w:val="59311E97"/>
    <w:rsid w:val="59320BCE"/>
    <w:rsid w:val="593554FE"/>
    <w:rsid w:val="593B2798"/>
    <w:rsid w:val="59441479"/>
    <w:rsid w:val="59541140"/>
    <w:rsid w:val="59547CA2"/>
    <w:rsid w:val="59561490"/>
    <w:rsid w:val="59773BEA"/>
    <w:rsid w:val="598B3FC7"/>
    <w:rsid w:val="598D0C2A"/>
    <w:rsid w:val="59945B14"/>
    <w:rsid w:val="599A6B02"/>
    <w:rsid w:val="59A863AD"/>
    <w:rsid w:val="59B763E4"/>
    <w:rsid w:val="59B8157B"/>
    <w:rsid w:val="59B9557B"/>
    <w:rsid w:val="59BC73E7"/>
    <w:rsid w:val="59C60694"/>
    <w:rsid w:val="59E45B6C"/>
    <w:rsid w:val="59EA118C"/>
    <w:rsid w:val="59ED7A03"/>
    <w:rsid w:val="59F11964"/>
    <w:rsid w:val="5A0866EB"/>
    <w:rsid w:val="5A0D21C7"/>
    <w:rsid w:val="5A255824"/>
    <w:rsid w:val="5A377F62"/>
    <w:rsid w:val="5A3F1F40"/>
    <w:rsid w:val="5A490FF5"/>
    <w:rsid w:val="5A5432DB"/>
    <w:rsid w:val="5A5A0E37"/>
    <w:rsid w:val="5A5A4D48"/>
    <w:rsid w:val="5A6723D9"/>
    <w:rsid w:val="5A710117"/>
    <w:rsid w:val="5A734E9E"/>
    <w:rsid w:val="5A83693F"/>
    <w:rsid w:val="5A884DFC"/>
    <w:rsid w:val="5A8A1271"/>
    <w:rsid w:val="5A985A88"/>
    <w:rsid w:val="5AA321B8"/>
    <w:rsid w:val="5AB07CF2"/>
    <w:rsid w:val="5AC14C4F"/>
    <w:rsid w:val="5AD13779"/>
    <w:rsid w:val="5AD72F8E"/>
    <w:rsid w:val="5ADB3AD9"/>
    <w:rsid w:val="5AE82D4A"/>
    <w:rsid w:val="5AE96334"/>
    <w:rsid w:val="5AF820D3"/>
    <w:rsid w:val="5B021F55"/>
    <w:rsid w:val="5B0920F7"/>
    <w:rsid w:val="5B12588A"/>
    <w:rsid w:val="5B2F3836"/>
    <w:rsid w:val="5B394DBB"/>
    <w:rsid w:val="5B4A4658"/>
    <w:rsid w:val="5B5E287E"/>
    <w:rsid w:val="5B5E63DA"/>
    <w:rsid w:val="5B6861B6"/>
    <w:rsid w:val="5B6D16C4"/>
    <w:rsid w:val="5B852C75"/>
    <w:rsid w:val="5B8C2A9D"/>
    <w:rsid w:val="5B9A19EF"/>
    <w:rsid w:val="5B9A4B12"/>
    <w:rsid w:val="5B9C0740"/>
    <w:rsid w:val="5B9D3EBA"/>
    <w:rsid w:val="5B9F30DC"/>
    <w:rsid w:val="5BA55492"/>
    <w:rsid w:val="5BAC4FB3"/>
    <w:rsid w:val="5BBA121B"/>
    <w:rsid w:val="5BC8097B"/>
    <w:rsid w:val="5BCB6526"/>
    <w:rsid w:val="5BD0312C"/>
    <w:rsid w:val="5BD67B34"/>
    <w:rsid w:val="5BE16D7E"/>
    <w:rsid w:val="5BFC52C6"/>
    <w:rsid w:val="5BFC7F71"/>
    <w:rsid w:val="5C095E6F"/>
    <w:rsid w:val="5C0A2F15"/>
    <w:rsid w:val="5C0C355F"/>
    <w:rsid w:val="5C1125D4"/>
    <w:rsid w:val="5C1178F0"/>
    <w:rsid w:val="5C3E303A"/>
    <w:rsid w:val="5C434C11"/>
    <w:rsid w:val="5C466753"/>
    <w:rsid w:val="5C4E6341"/>
    <w:rsid w:val="5C551EB1"/>
    <w:rsid w:val="5C553F9B"/>
    <w:rsid w:val="5C5C1969"/>
    <w:rsid w:val="5C5E2D32"/>
    <w:rsid w:val="5C6742CB"/>
    <w:rsid w:val="5C684645"/>
    <w:rsid w:val="5C6953BD"/>
    <w:rsid w:val="5C6D790A"/>
    <w:rsid w:val="5C7B686D"/>
    <w:rsid w:val="5C7C5F0C"/>
    <w:rsid w:val="5C814A4B"/>
    <w:rsid w:val="5C833FF3"/>
    <w:rsid w:val="5C87511F"/>
    <w:rsid w:val="5CA3681C"/>
    <w:rsid w:val="5CAD7458"/>
    <w:rsid w:val="5CB72CEF"/>
    <w:rsid w:val="5CB81E12"/>
    <w:rsid w:val="5CB85583"/>
    <w:rsid w:val="5CBA6615"/>
    <w:rsid w:val="5CBD2769"/>
    <w:rsid w:val="5CC6160F"/>
    <w:rsid w:val="5CD20E45"/>
    <w:rsid w:val="5CE05C01"/>
    <w:rsid w:val="5CED1068"/>
    <w:rsid w:val="5CF1336A"/>
    <w:rsid w:val="5CF33075"/>
    <w:rsid w:val="5CF66E77"/>
    <w:rsid w:val="5CFD5BC0"/>
    <w:rsid w:val="5D0A476F"/>
    <w:rsid w:val="5D0B3750"/>
    <w:rsid w:val="5D0C293C"/>
    <w:rsid w:val="5D0D0027"/>
    <w:rsid w:val="5D1C2035"/>
    <w:rsid w:val="5D2C3FDA"/>
    <w:rsid w:val="5D2E3760"/>
    <w:rsid w:val="5D400CEE"/>
    <w:rsid w:val="5D411606"/>
    <w:rsid w:val="5D503A85"/>
    <w:rsid w:val="5D504EDF"/>
    <w:rsid w:val="5D642E9A"/>
    <w:rsid w:val="5D752101"/>
    <w:rsid w:val="5D7719D5"/>
    <w:rsid w:val="5D7D1708"/>
    <w:rsid w:val="5D826A20"/>
    <w:rsid w:val="5D933EF6"/>
    <w:rsid w:val="5DA63671"/>
    <w:rsid w:val="5DA75D46"/>
    <w:rsid w:val="5DA84AF2"/>
    <w:rsid w:val="5DC0348E"/>
    <w:rsid w:val="5DCF0071"/>
    <w:rsid w:val="5DD43DAC"/>
    <w:rsid w:val="5DDC1ACC"/>
    <w:rsid w:val="5DDF7085"/>
    <w:rsid w:val="5DF105C3"/>
    <w:rsid w:val="5DF272AD"/>
    <w:rsid w:val="5DF90FB9"/>
    <w:rsid w:val="5DF94AE0"/>
    <w:rsid w:val="5E162E4A"/>
    <w:rsid w:val="5E33481B"/>
    <w:rsid w:val="5E3653EC"/>
    <w:rsid w:val="5E3D432D"/>
    <w:rsid w:val="5E3E112A"/>
    <w:rsid w:val="5E4D0486"/>
    <w:rsid w:val="5E4D6756"/>
    <w:rsid w:val="5E50053E"/>
    <w:rsid w:val="5E555A78"/>
    <w:rsid w:val="5E693A13"/>
    <w:rsid w:val="5E6965F6"/>
    <w:rsid w:val="5E7B40F9"/>
    <w:rsid w:val="5E822B82"/>
    <w:rsid w:val="5E874981"/>
    <w:rsid w:val="5E897F7A"/>
    <w:rsid w:val="5E9D5478"/>
    <w:rsid w:val="5EAA2F03"/>
    <w:rsid w:val="5EB542DA"/>
    <w:rsid w:val="5EB807A1"/>
    <w:rsid w:val="5EB970AB"/>
    <w:rsid w:val="5ECC3D6F"/>
    <w:rsid w:val="5ED2232A"/>
    <w:rsid w:val="5ED76291"/>
    <w:rsid w:val="5EDF1FB7"/>
    <w:rsid w:val="5EE176ED"/>
    <w:rsid w:val="5EFD7204"/>
    <w:rsid w:val="5EFF0303"/>
    <w:rsid w:val="5F022DE6"/>
    <w:rsid w:val="5F0C5812"/>
    <w:rsid w:val="5F1F6F52"/>
    <w:rsid w:val="5F2253EF"/>
    <w:rsid w:val="5F2310F5"/>
    <w:rsid w:val="5F240D70"/>
    <w:rsid w:val="5F2F5310"/>
    <w:rsid w:val="5F3A32DC"/>
    <w:rsid w:val="5F3E47CB"/>
    <w:rsid w:val="5F4C5A95"/>
    <w:rsid w:val="5F642FB3"/>
    <w:rsid w:val="5F6E3056"/>
    <w:rsid w:val="5F76082E"/>
    <w:rsid w:val="5F853DD1"/>
    <w:rsid w:val="5F88713F"/>
    <w:rsid w:val="5F893C41"/>
    <w:rsid w:val="5F8A1D20"/>
    <w:rsid w:val="5F92293B"/>
    <w:rsid w:val="5F953B4C"/>
    <w:rsid w:val="5F9F6FC4"/>
    <w:rsid w:val="5FA37F35"/>
    <w:rsid w:val="5FAC59C4"/>
    <w:rsid w:val="5FBA29C5"/>
    <w:rsid w:val="5FC31FE4"/>
    <w:rsid w:val="5FC65148"/>
    <w:rsid w:val="5FCC26CF"/>
    <w:rsid w:val="5FCD49AD"/>
    <w:rsid w:val="5FD36793"/>
    <w:rsid w:val="5FE13A7D"/>
    <w:rsid w:val="5FE33352"/>
    <w:rsid w:val="5FE367F4"/>
    <w:rsid w:val="5FFB7A47"/>
    <w:rsid w:val="5FFF4DF4"/>
    <w:rsid w:val="60051C5F"/>
    <w:rsid w:val="6009431E"/>
    <w:rsid w:val="600B4642"/>
    <w:rsid w:val="60391C97"/>
    <w:rsid w:val="60573122"/>
    <w:rsid w:val="605D4710"/>
    <w:rsid w:val="60603BC1"/>
    <w:rsid w:val="606E1D6E"/>
    <w:rsid w:val="606F0399"/>
    <w:rsid w:val="607341C0"/>
    <w:rsid w:val="60870181"/>
    <w:rsid w:val="608F3CC5"/>
    <w:rsid w:val="60973E72"/>
    <w:rsid w:val="609864D9"/>
    <w:rsid w:val="60A22E7F"/>
    <w:rsid w:val="60AB59CF"/>
    <w:rsid w:val="60D47EB3"/>
    <w:rsid w:val="60D631E2"/>
    <w:rsid w:val="60D84E52"/>
    <w:rsid w:val="60DC124A"/>
    <w:rsid w:val="60E25ED3"/>
    <w:rsid w:val="60E33BAB"/>
    <w:rsid w:val="610D68DF"/>
    <w:rsid w:val="610F7C32"/>
    <w:rsid w:val="611868F5"/>
    <w:rsid w:val="61187370"/>
    <w:rsid w:val="6122434D"/>
    <w:rsid w:val="613C44E4"/>
    <w:rsid w:val="614E38D3"/>
    <w:rsid w:val="615D0920"/>
    <w:rsid w:val="6165584E"/>
    <w:rsid w:val="61902A9B"/>
    <w:rsid w:val="61AB611C"/>
    <w:rsid w:val="61BC58BF"/>
    <w:rsid w:val="61C5664B"/>
    <w:rsid w:val="61C730AA"/>
    <w:rsid w:val="61C972B2"/>
    <w:rsid w:val="61D44E8F"/>
    <w:rsid w:val="61EA54DC"/>
    <w:rsid w:val="61ED38C3"/>
    <w:rsid w:val="61FC5093"/>
    <w:rsid w:val="6223037D"/>
    <w:rsid w:val="62243C5E"/>
    <w:rsid w:val="622A4C2C"/>
    <w:rsid w:val="62316E72"/>
    <w:rsid w:val="6237639F"/>
    <w:rsid w:val="625726D0"/>
    <w:rsid w:val="625A00D7"/>
    <w:rsid w:val="625A6204"/>
    <w:rsid w:val="625B4567"/>
    <w:rsid w:val="626562A0"/>
    <w:rsid w:val="62681347"/>
    <w:rsid w:val="627725AB"/>
    <w:rsid w:val="627E64F1"/>
    <w:rsid w:val="62820231"/>
    <w:rsid w:val="6291631A"/>
    <w:rsid w:val="629D4B6A"/>
    <w:rsid w:val="629D679F"/>
    <w:rsid w:val="629F597C"/>
    <w:rsid w:val="62AE1781"/>
    <w:rsid w:val="62BE5CFB"/>
    <w:rsid w:val="62BE75BB"/>
    <w:rsid w:val="62BF71E4"/>
    <w:rsid w:val="62C423F5"/>
    <w:rsid w:val="62C44677"/>
    <w:rsid w:val="62C616B2"/>
    <w:rsid w:val="62CC798F"/>
    <w:rsid w:val="62E81BAA"/>
    <w:rsid w:val="62F80D06"/>
    <w:rsid w:val="630C1130"/>
    <w:rsid w:val="630F445E"/>
    <w:rsid w:val="6311513B"/>
    <w:rsid w:val="63241C2E"/>
    <w:rsid w:val="63333F80"/>
    <w:rsid w:val="6334412D"/>
    <w:rsid w:val="634467FD"/>
    <w:rsid w:val="63453122"/>
    <w:rsid w:val="6350711D"/>
    <w:rsid w:val="6352453D"/>
    <w:rsid w:val="63582CE8"/>
    <w:rsid w:val="63767E9F"/>
    <w:rsid w:val="637B7FFC"/>
    <w:rsid w:val="637E158D"/>
    <w:rsid w:val="63A032B6"/>
    <w:rsid w:val="63A70595"/>
    <w:rsid w:val="63A97AA3"/>
    <w:rsid w:val="63B561E8"/>
    <w:rsid w:val="63CA6F23"/>
    <w:rsid w:val="63D74A9A"/>
    <w:rsid w:val="63E678B4"/>
    <w:rsid w:val="63EC2E7C"/>
    <w:rsid w:val="63EF135B"/>
    <w:rsid w:val="63EF7854"/>
    <w:rsid w:val="64041AE8"/>
    <w:rsid w:val="640C459B"/>
    <w:rsid w:val="641644AE"/>
    <w:rsid w:val="641F37E0"/>
    <w:rsid w:val="642063AE"/>
    <w:rsid w:val="64237A9E"/>
    <w:rsid w:val="642A7C63"/>
    <w:rsid w:val="64373563"/>
    <w:rsid w:val="6444677A"/>
    <w:rsid w:val="64473DFE"/>
    <w:rsid w:val="64481398"/>
    <w:rsid w:val="644F4B14"/>
    <w:rsid w:val="645048B6"/>
    <w:rsid w:val="64520C69"/>
    <w:rsid w:val="64546374"/>
    <w:rsid w:val="646D7943"/>
    <w:rsid w:val="648A198A"/>
    <w:rsid w:val="64AB6A78"/>
    <w:rsid w:val="64AD1AFC"/>
    <w:rsid w:val="64B463DE"/>
    <w:rsid w:val="64B7618D"/>
    <w:rsid w:val="64B76197"/>
    <w:rsid w:val="64BB1B76"/>
    <w:rsid w:val="64BE472B"/>
    <w:rsid w:val="64BF604B"/>
    <w:rsid w:val="64D760AA"/>
    <w:rsid w:val="64D83087"/>
    <w:rsid w:val="650A0089"/>
    <w:rsid w:val="651D0E7B"/>
    <w:rsid w:val="65244B21"/>
    <w:rsid w:val="65273CE0"/>
    <w:rsid w:val="652A1921"/>
    <w:rsid w:val="65407434"/>
    <w:rsid w:val="654314ED"/>
    <w:rsid w:val="656809DC"/>
    <w:rsid w:val="65714685"/>
    <w:rsid w:val="65767787"/>
    <w:rsid w:val="65785CAD"/>
    <w:rsid w:val="657B1BA6"/>
    <w:rsid w:val="657D6680"/>
    <w:rsid w:val="65855276"/>
    <w:rsid w:val="65862E1F"/>
    <w:rsid w:val="658C5132"/>
    <w:rsid w:val="65956842"/>
    <w:rsid w:val="65976067"/>
    <w:rsid w:val="65B508C7"/>
    <w:rsid w:val="65B52D15"/>
    <w:rsid w:val="65B77C2F"/>
    <w:rsid w:val="65C24E76"/>
    <w:rsid w:val="65C771ED"/>
    <w:rsid w:val="65DD10CF"/>
    <w:rsid w:val="65E43ED2"/>
    <w:rsid w:val="65E460F4"/>
    <w:rsid w:val="65E52B0F"/>
    <w:rsid w:val="65EB4CDF"/>
    <w:rsid w:val="65F36D30"/>
    <w:rsid w:val="65FE16AE"/>
    <w:rsid w:val="660832C8"/>
    <w:rsid w:val="66127F31"/>
    <w:rsid w:val="661B3143"/>
    <w:rsid w:val="66266AD5"/>
    <w:rsid w:val="66297599"/>
    <w:rsid w:val="662B1A94"/>
    <w:rsid w:val="663F5653"/>
    <w:rsid w:val="66410DD2"/>
    <w:rsid w:val="665C53C9"/>
    <w:rsid w:val="665E34E6"/>
    <w:rsid w:val="666331D0"/>
    <w:rsid w:val="6664549B"/>
    <w:rsid w:val="6664753D"/>
    <w:rsid w:val="6675759D"/>
    <w:rsid w:val="667A5538"/>
    <w:rsid w:val="6683521E"/>
    <w:rsid w:val="66A30A28"/>
    <w:rsid w:val="66A357BA"/>
    <w:rsid w:val="66A456A1"/>
    <w:rsid w:val="66AA2F82"/>
    <w:rsid w:val="66AC2E94"/>
    <w:rsid w:val="66D45A75"/>
    <w:rsid w:val="66E225B5"/>
    <w:rsid w:val="66F759D1"/>
    <w:rsid w:val="66FC06B8"/>
    <w:rsid w:val="66FC541B"/>
    <w:rsid w:val="66FE242C"/>
    <w:rsid w:val="67060FBE"/>
    <w:rsid w:val="670B5D1A"/>
    <w:rsid w:val="67140294"/>
    <w:rsid w:val="67187713"/>
    <w:rsid w:val="67361A4C"/>
    <w:rsid w:val="673812C6"/>
    <w:rsid w:val="675039FA"/>
    <w:rsid w:val="67517C95"/>
    <w:rsid w:val="676149A1"/>
    <w:rsid w:val="6762428C"/>
    <w:rsid w:val="6769182C"/>
    <w:rsid w:val="676A7027"/>
    <w:rsid w:val="676F5F65"/>
    <w:rsid w:val="677E6E1E"/>
    <w:rsid w:val="678205DA"/>
    <w:rsid w:val="67A41B77"/>
    <w:rsid w:val="67A67F01"/>
    <w:rsid w:val="67AA29A7"/>
    <w:rsid w:val="67AD1B83"/>
    <w:rsid w:val="67BB73AF"/>
    <w:rsid w:val="67FD0B83"/>
    <w:rsid w:val="680B6E9B"/>
    <w:rsid w:val="68152865"/>
    <w:rsid w:val="68243755"/>
    <w:rsid w:val="683E4589"/>
    <w:rsid w:val="684263BC"/>
    <w:rsid w:val="684F3FFB"/>
    <w:rsid w:val="685D0AD1"/>
    <w:rsid w:val="6868046C"/>
    <w:rsid w:val="686D7CF2"/>
    <w:rsid w:val="688050A1"/>
    <w:rsid w:val="68841ADE"/>
    <w:rsid w:val="688A60D0"/>
    <w:rsid w:val="689912B9"/>
    <w:rsid w:val="689D3E93"/>
    <w:rsid w:val="68AD53A5"/>
    <w:rsid w:val="68B62319"/>
    <w:rsid w:val="68C024B9"/>
    <w:rsid w:val="68C843C0"/>
    <w:rsid w:val="68D10490"/>
    <w:rsid w:val="68F730E3"/>
    <w:rsid w:val="6908537E"/>
    <w:rsid w:val="69085BD7"/>
    <w:rsid w:val="690A5DF3"/>
    <w:rsid w:val="6912480D"/>
    <w:rsid w:val="691A59E2"/>
    <w:rsid w:val="691D12B4"/>
    <w:rsid w:val="69332445"/>
    <w:rsid w:val="693B6660"/>
    <w:rsid w:val="694915CA"/>
    <w:rsid w:val="69542EF0"/>
    <w:rsid w:val="697B7490"/>
    <w:rsid w:val="697C2A5E"/>
    <w:rsid w:val="69A65B40"/>
    <w:rsid w:val="69B013F1"/>
    <w:rsid w:val="69B82549"/>
    <w:rsid w:val="69B93C3B"/>
    <w:rsid w:val="69D94674"/>
    <w:rsid w:val="69F50C02"/>
    <w:rsid w:val="69F523D1"/>
    <w:rsid w:val="69FF364B"/>
    <w:rsid w:val="69FF6E3D"/>
    <w:rsid w:val="6A026A5C"/>
    <w:rsid w:val="6A0B6169"/>
    <w:rsid w:val="6A1D1B56"/>
    <w:rsid w:val="6A2350BB"/>
    <w:rsid w:val="6A256B54"/>
    <w:rsid w:val="6A294333"/>
    <w:rsid w:val="6A386CBD"/>
    <w:rsid w:val="6A445F67"/>
    <w:rsid w:val="6A493D3D"/>
    <w:rsid w:val="6A4C7698"/>
    <w:rsid w:val="6A4F4E07"/>
    <w:rsid w:val="6A4F6E18"/>
    <w:rsid w:val="6A5B2612"/>
    <w:rsid w:val="6A62724B"/>
    <w:rsid w:val="6A6E6202"/>
    <w:rsid w:val="6A7D3FC4"/>
    <w:rsid w:val="6A7F5BE8"/>
    <w:rsid w:val="6AB64B1A"/>
    <w:rsid w:val="6AB967D1"/>
    <w:rsid w:val="6AC00990"/>
    <w:rsid w:val="6AC048C6"/>
    <w:rsid w:val="6AC76B81"/>
    <w:rsid w:val="6ACA084A"/>
    <w:rsid w:val="6AD14E1A"/>
    <w:rsid w:val="6ADB7A47"/>
    <w:rsid w:val="6AE27287"/>
    <w:rsid w:val="6AE83407"/>
    <w:rsid w:val="6AF73CAF"/>
    <w:rsid w:val="6B066257"/>
    <w:rsid w:val="6B155E07"/>
    <w:rsid w:val="6B161CF0"/>
    <w:rsid w:val="6B165DA5"/>
    <w:rsid w:val="6B174751"/>
    <w:rsid w:val="6B2148C5"/>
    <w:rsid w:val="6B306171"/>
    <w:rsid w:val="6B3F109D"/>
    <w:rsid w:val="6B43739A"/>
    <w:rsid w:val="6B482C03"/>
    <w:rsid w:val="6B535CAE"/>
    <w:rsid w:val="6B573965"/>
    <w:rsid w:val="6B575A68"/>
    <w:rsid w:val="6B607A7C"/>
    <w:rsid w:val="6B6A5AF0"/>
    <w:rsid w:val="6B6B5D6F"/>
    <w:rsid w:val="6B75506E"/>
    <w:rsid w:val="6B792DBC"/>
    <w:rsid w:val="6B7B5544"/>
    <w:rsid w:val="6B7B5DED"/>
    <w:rsid w:val="6B834589"/>
    <w:rsid w:val="6B870C51"/>
    <w:rsid w:val="6B91008B"/>
    <w:rsid w:val="6B9145AA"/>
    <w:rsid w:val="6B9570A0"/>
    <w:rsid w:val="6B9E23FA"/>
    <w:rsid w:val="6BA14220"/>
    <w:rsid w:val="6BA240C1"/>
    <w:rsid w:val="6BAA3173"/>
    <w:rsid w:val="6BBE72BF"/>
    <w:rsid w:val="6BC63E71"/>
    <w:rsid w:val="6BCB787A"/>
    <w:rsid w:val="6BE053C7"/>
    <w:rsid w:val="6C057FAC"/>
    <w:rsid w:val="6C0C1C29"/>
    <w:rsid w:val="6C132158"/>
    <w:rsid w:val="6C191A3A"/>
    <w:rsid w:val="6C276253"/>
    <w:rsid w:val="6C3F0FD6"/>
    <w:rsid w:val="6C3F3938"/>
    <w:rsid w:val="6C5F3CA6"/>
    <w:rsid w:val="6C695832"/>
    <w:rsid w:val="6C6E6960"/>
    <w:rsid w:val="6C757B50"/>
    <w:rsid w:val="6C8835FC"/>
    <w:rsid w:val="6C8A6C65"/>
    <w:rsid w:val="6C973A2F"/>
    <w:rsid w:val="6CA603CD"/>
    <w:rsid w:val="6CA7673A"/>
    <w:rsid w:val="6CA776FA"/>
    <w:rsid w:val="6CAC2E72"/>
    <w:rsid w:val="6CAE6A95"/>
    <w:rsid w:val="6CB36D21"/>
    <w:rsid w:val="6CB64CE4"/>
    <w:rsid w:val="6CBE1694"/>
    <w:rsid w:val="6CC652DE"/>
    <w:rsid w:val="6CCD74C8"/>
    <w:rsid w:val="6CCF3365"/>
    <w:rsid w:val="6CD41051"/>
    <w:rsid w:val="6CE70F0F"/>
    <w:rsid w:val="6CED7665"/>
    <w:rsid w:val="6CFD1EAF"/>
    <w:rsid w:val="6D072B49"/>
    <w:rsid w:val="6D09622C"/>
    <w:rsid w:val="6D1425B5"/>
    <w:rsid w:val="6D311FF8"/>
    <w:rsid w:val="6D3131F6"/>
    <w:rsid w:val="6D341690"/>
    <w:rsid w:val="6D367907"/>
    <w:rsid w:val="6D3B1955"/>
    <w:rsid w:val="6D3E14AA"/>
    <w:rsid w:val="6D3F285C"/>
    <w:rsid w:val="6D441123"/>
    <w:rsid w:val="6D451E03"/>
    <w:rsid w:val="6D510F2F"/>
    <w:rsid w:val="6D6209AD"/>
    <w:rsid w:val="6D7E3711"/>
    <w:rsid w:val="6D8C31DA"/>
    <w:rsid w:val="6D976907"/>
    <w:rsid w:val="6DA647B9"/>
    <w:rsid w:val="6DAB72D8"/>
    <w:rsid w:val="6DB712B0"/>
    <w:rsid w:val="6DB91794"/>
    <w:rsid w:val="6DBB6061"/>
    <w:rsid w:val="6DBD2048"/>
    <w:rsid w:val="6DC06CF9"/>
    <w:rsid w:val="6DC92557"/>
    <w:rsid w:val="6DD82B5C"/>
    <w:rsid w:val="6DE22E9A"/>
    <w:rsid w:val="6DF53275"/>
    <w:rsid w:val="6E0979AE"/>
    <w:rsid w:val="6E0D2AED"/>
    <w:rsid w:val="6E170B51"/>
    <w:rsid w:val="6E191891"/>
    <w:rsid w:val="6E241705"/>
    <w:rsid w:val="6E2B3E45"/>
    <w:rsid w:val="6E397736"/>
    <w:rsid w:val="6E462064"/>
    <w:rsid w:val="6E4A1ACC"/>
    <w:rsid w:val="6E5A1E1C"/>
    <w:rsid w:val="6E7D5BFF"/>
    <w:rsid w:val="6E7D5F44"/>
    <w:rsid w:val="6E847AC9"/>
    <w:rsid w:val="6E8F45DD"/>
    <w:rsid w:val="6E9103B3"/>
    <w:rsid w:val="6E9B4C6B"/>
    <w:rsid w:val="6EA2603B"/>
    <w:rsid w:val="6EA969B8"/>
    <w:rsid w:val="6EAA19EC"/>
    <w:rsid w:val="6EB5267B"/>
    <w:rsid w:val="6EC73C54"/>
    <w:rsid w:val="6ED15AAA"/>
    <w:rsid w:val="6ED722D3"/>
    <w:rsid w:val="6EDD34E0"/>
    <w:rsid w:val="6EE637AD"/>
    <w:rsid w:val="6EFB3A28"/>
    <w:rsid w:val="6F0403A3"/>
    <w:rsid w:val="6F114EF6"/>
    <w:rsid w:val="6F292BC8"/>
    <w:rsid w:val="6F362B99"/>
    <w:rsid w:val="6F3A6772"/>
    <w:rsid w:val="6F525429"/>
    <w:rsid w:val="6F53446B"/>
    <w:rsid w:val="6F5A549B"/>
    <w:rsid w:val="6F651616"/>
    <w:rsid w:val="6F6F1ADE"/>
    <w:rsid w:val="6F79782E"/>
    <w:rsid w:val="6F827811"/>
    <w:rsid w:val="6F9008DB"/>
    <w:rsid w:val="6FA208A3"/>
    <w:rsid w:val="6FAD024B"/>
    <w:rsid w:val="6FAD572A"/>
    <w:rsid w:val="6FB31CD3"/>
    <w:rsid w:val="6FB70DA8"/>
    <w:rsid w:val="6FBD4A8B"/>
    <w:rsid w:val="6FCD682F"/>
    <w:rsid w:val="6FCF7432"/>
    <w:rsid w:val="6FD20CED"/>
    <w:rsid w:val="6FD33116"/>
    <w:rsid w:val="6FD44282"/>
    <w:rsid w:val="6FD64C2D"/>
    <w:rsid w:val="6FEA0DFA"/>
    <w:rsid w:val="6FEE0C18"/>
    <w:rsid w:val="6FF7446D"/>
    <w:rsid w:val="700023CF"/>
    <w:rsid w:val="7011159A"/>
    <w:rsid w:val="702A6D7B"/>
    <w:rsid w:val="703419A7"/>
    <w:rsid w:val="704177BB"/>
    <w:rsid w:val="704523C0"/>
    <w:rsid w:val="70460E36"/>
    <w:rsid w:val="704C4F43"/>
    <w:rsid w:val="704E3E9E"/>
    <w:rsid w:val="705363EE"/>
    <w:rsid w:val="70540F69"/>
    <w:rsid w:val="70785D38"/>
    <w:rsid w:val="70925E24"/>
    <w:rsid w:val="70A148A2"/>
    <w:rsid w:val="70A148CA"/>
    <w:rsid w:val="70A61D60"/>
    <w:rsid w:val="70A639B5"/>
    <w:rsid w:val="70B65E11"/>
    <w:rsid w:val="70BF6753"/>
    <w:rsid w:val="70C22EC3"/>
    <w:rsid w:val="70C7488D"/>
    <w:rsid w:val="70E07820"/>
    <w:rsid w:val="70E43028"/>
    <w:rsid w:val="70EE4AEA"/>
    <w:rsid w:val="70F47233"/>
    <w:rsid w:val="70F91519"/>
    <w:rsid w:val="70F92FC5"/>
    <w:rsid w:val="70FE1F9D"/>
    <w:rsid w:val="711478BF"/>
    <w:rsid w:val="7120276A"/>
    <w:rsid w:val="712C73C3"/>
    <w:rsid w:val="71414588"/>
    <w:rsid w:val="71482607"/>
    <w:rsid w:val="71500A63"/>
    <w:rsid w:val="71525605"/>
    <w:rsid w:val="716B0D31"/>
    <w:rsid w:val="71710E1C"/>
    <w:rsid w:val="718203F9"/>
    <w:rsid w:val="718504D8"/>
    <w:rsid w:val="71902C0D"/>
    <w:rsid w:val="7190721B"/>
    <w:rsid w:val="71965F6E"/>
    <w:rsid w:val="71A5317F"/>
    <w:rsid w:val="71AB0DA3"/>
    <w:rsid w:val="71AC20AA"/>
    <w:rsid w:val="71B573EC"/>
    <w:rsid w:val="71BA1F03"/>
    <w:rsid w:val="71C02B50"/>
    <w:rsid w:val="71C17F8B"/>
    <w:rsid w:val="71C25CAC"/>
    <w:rsid w:val="71C9278B"/>
    <w:rsid w:val="71D112F1"/>
    <w:rsid w:val="71D549B0"/>
    <w:rsid w:val="71E31D6B"/>
    <w:rsid w:val="71ED117C"/>
    <w:rsid w:val="71F31D57"/>
    <w:rsid w:val="7215061B"/>
    <w:rsid w:val="721763EE"/>
    <w:rsid w:val="721B6CDD"/>
    <w:rsid w:val="72325697"/>
    <w:rsid w:val="72483591"/>
    <w:rsid w:val="724F33C0"/>
    <w:rsid w:val="72523BCF"/>
    <w:rsid w:val="72571B7C"/>
    <w:rsid w:val="7258591A"/>
    <w:rsid w:val="725D254C"/>
    <w:rsid w:val="7260132E"/>
    <w:rsid w:val="726C261A"/>
    <w:rsid w:val="726D2330"/>
    <w:rsid w:val="72734A09"/>
    <w:rsid w:val="72737A75"/>
    <w:rsid w:val="72750F6A"/>
    <w:rsid w:val="727A43F5"/>
    <w:rsid w:val="727D1076"/>
    <w:rsid w:val="72834263"/>
    <w:rsid w:val="72866006"/>
    <w:rsid w:val="729C3486"/>
    <w:rsid w:val="72A168A3"/>
    <w:rsid w:val="72B103AD"/>
    <w:rsid w:val="72D116C9"/>
    <w:rsid w:val="72D37C81"/>
    <w:rsid w:val="72DC36C2"/>
    <w:rsid w:val="72E719D0"/>
    <w:rsid w:val="72F04FEC"/>
    <w:rsid w:val="72F11725"/>
    <w:rsid w:val="73033AB5"/>
    <w:rsid w:val="731A1328"/>
    <w:rsid w:val="731C2E3A"/>
    <w:rsid w:val="731E6447"/>
    <w:rsid w:val="73277171"/>
    <w:rsid w:val="73362468"/>
    <w:rsid w:val="733E3C79"/>
    <w:rsid w:val="734144A1"/>
    <w:rsid w:val="7342337E"/>
    <w:rsid w:val="73474FE8"/>
    <w:rsid w:val="73695E53"/>
    <w:rsid w:val="73697769"/>
    <w:rsid w:val="737074D4"/>
    <w:rsid w:val="7373279F"/>
    <w:rsid w:val="737B3421"/>
    <w:rsid w:val="738A6344"/>
    <w:rsid w:val="738D3B7F"/>
    <w:rsid w:val="73966C01"/>
    <w:rsid w:val="739A2A1D"/>
    <w:rsid w:val="739C7B26"/>
    <w:rsid w:val="73A429A0"/>
    <w:rsid w:val="73AC388B"/>
    <w:rsid w:val="73AE7537"/>
    <w:rsid w:val="73AF3BFF"/>
    <w:rsid w:val="73D63849"/>
    <w:rsid w:val="73D87FCB"/>
    <w:rsid w:val="73E06EFA"/>
    <w:rsid w:val="73E32710"/>
    <w:rsid w:val="73F558DE"/>
    <w:rsid w:val="74022FF8"/>
    <w:rsid w:val="740308C7"/>
    <w:rsid w:val="7405486E"/>
    <w:rsid w:val="740A5D3B"/>
    <w:rsid w:val="74115AA4"/>
    <w:rsid w:val="74161CEC"/>
    <w:rsid w:val="741D30F3"/>
    <w:rsid w:val="74262FEF"/>
    <w:rsid w:val="74365605"/>
    <w:rsid w:val="74572FC1"/>
    <w:rsid w:val="746023E5"/>
    <w:rsid w:val="74867186"/>
    <w:rsid w:val="749A30F7"/>
    <w:rsid w:val="74A450B1"/>
    <w:rsid w:val="74BB0A32"/>
    <w:rsid w:val="74C8194E"/>
    <w:rsid w:val="74CB3A62"/>
    <w:rsid w:val="74CD50D1"/>
    <w:rsid w:val="74D2125C"/>
    <w:rsid w:val="74E019C5"/>
    <w:rsid w:val="74E25E76"/>
    <w:rsid w:val="74E76FE8"/>
    <w:rsid w:val="74EB00D4"/>
    <w:rsid w:val="74EB0CDB"/>
    <w:rsid w:val="74EC4189"/>
    <w:rsid w:val="74F0597F"/>
    <w:rsid w:val="75095894"/>
    <w:rsid w:val="75194663"/>
    <w:rsid w:val="7528130A"/>
    <w:rsid w:val="753705EB"/>
    <w:rsid w:val="753A7D56"/>
    <w:rsid w:val="7541089C"/>
    <w:rsid w:val="75410DEE"/>
    <w:rsid w:val="7546287E"/>
    <w:rsid w:val="755C1CB6"/>
    <w:rsid w:val="755E39A4"/>
    <w:rsid w:val="75616D9B"/>
    <w:rsid w:val="756D1247"/>
    <w:rsid w:val="757515B1"/>
    <w:rsid w:val="757D6CB0"/>
    <w:rsid w:val="757E15CA"/>
    <w:rsid w:val="758A2AF9"/>
    <w:rsid w:val="75AC5C63"/>
    <w:rsid w:val="75B20B22"/>
    <w:rsid w:val="75B33BB9"/>
    <w:rsid w:val="75C5637C"/>
    <w:rsid w:val="75CD4598"/>
    <w:rsid w:val="75D437A2"/>
    <w:rsid w:val="75DC69E9"/>
    <w:rsid w:val="75EF084A"/>
    <w:rsid w:val="76084B79"/>
    <w:rsid w:val="76085DD4"/>
    <w:rsid w:val="76086287"/>
    <w:rsid w:val="76094709"/>
    <w:rsid w:val="76240770"/>
    <w:rsid w:val="762B0E62"/>
    <w:rsid w:val="763B77F7"/>
    <w:rsid w:val="76415984"/>
    <w:rsid w:val="76441EF2"/>
    <w:rsid w:val="76590243"/>
    <w:rsid w:val="76593847"/>
    <w:rsid w:val="765E5E7A"/>
    <w:rsid w:val="76697DB1"/>
    <w:rsid w:val="767770E2"/>
    <w:rsid w:val="767B2CDA"/>
    <w:rsid w:val="768074AC"/>
    <w:rsid w:val="76841A59"/>
    <w:rsid w:val="76901537"/>
    <w:rsid w:val="769100D2"/>
    <w:rsid w:val="76911548"/>
    <w:rsid w:val="76A51FFC"/>
    <w:rsid w:val="76A60612"/>
    <w:rsid w:val="76AF4248"/>
    <w:rsid w:val="76B82E04"/>
    <w:rsid w:val="76B91F95"/>
    <w:rsid w:val="76BD39F5"/>
    <w:rsid w:val="76C04F47"/>
    <w:rsid w:val="76CE0493"/>
    <w:rsid w:val="76D00D99"/>
    <w:rsid w:val="76D621D7"/>
    <w:rsid w:val="76DA30E9"/>
    <w:rsid w:val="76E62708"/>
    <w:rsid w:val="77173222"/>
    <w:rsid w:val="772120FA"/>
    <w:rsid w:val="772207AC"/>
    <w:rsid w:val="772357B5"/>
    <w:rsid w:val="772478AC"/>
    <w:rsid w:val="773D2F84"/>
    <w:rsid w:val="773F132D"/>
    <w:rsid w:val="774066FF"/>
    <w:rsid w:val="775444AD"/>
    <w:rsid w:val="77583C4C"/>
    <w:rsid w:val="77600A6F"/>
    <w:rsid w:val="77650E22"/>
    <w:rsid w:val="7765364D"/>
    <w:rsid w:val="776876FA"/>
    <w:rsid w:val="7771566A"/>
    <w:rsid w:val="77754420"/>
    <w:rsid w:val="77906CA0"/>
    <w:rsid w:val="77A15B74"/>
    <w:rsid w:val="77A86FB8"/>
    <w:rsid w:val="77A967D7"/>
    <w:rsid w:val="77AB3CC9"/>
    <w:rsid w:val="77AB69F3"/>
    <w:rsid w:val="77B2597A"/>
    <w:rsid w:val="77C74E6E"/>
    <w:rsid w:val="77C91936"/>
    <w:rsid w:val="77D03781"/>
    <w:rsid w:val="77D67297"/>
    <w:rsid w:val="77DB2A4D"/>
    <w:rsid w:val="77DC3E97"/>
    <w:rsid w:val="77E36726"/>
    <w:rsid w:val="77E954BC"/>
    <w:rsid w:val="77F25450"/>
    <w:rsid w:val="77F435A1"/>
    <w:rsid w:val="780A260F"/>
    <w:rsid w:val="780E1879"/>
    <w:rsid w:val="78101A7C"/>
    <w:rsid w:val="78271CC0"/>
    <w:rsid w:val="78292D1F"/>
    <w:rsid w:val="782A7918"/>
    <w:rsid w:val="78604120"/>
    <w:rsid w:val="78634002"/>
    <w:rsid w:val="786372CE"/>
    <w:rsid w:val="78657F82"/>
    <w:rsid w:val="786E6819"/>
    <w:rsid w:val="78B27FCB"/>
    <w:rsid w:val="78B37CA1"/>
    <w:rsid w:val="78BB2162"/>
    <w:rsid w:val="78BF13BE"/>
    <w:rsid w:val="78C17092"/>
    <w:rsid w:val="78C87A25"/>
    <w:rsid w:val="78D36002"/>
    <w:rsid w:val="78D470D8"/>
    <w:rsid w:val="78EB4850"/>
    <w:rsid w:val="78F14C53"/>
    <w:rsid w:val="790F3350"/>
    <w:rsid w:val="79156927"/>
    <w:rsid w:val="79193605"/>
    <w:rsid w:val="791E2088"/>
    <w:rsid w:val="7922752A"/>
    <w:rsid w:val="79293035"/>
    <w:rsid w:val="792A1B99"/>
    <w:rsid w:val="792A72E8"/>
    <w:rsid w:val="792F7F47"/>
    <w:rsid w:val="793F4DDD"/>
    <w:rsid w:val="79546FAB"/>
    <w:rsid w:val="795F0B63"/>
    <w:rsid w:val="796C129E"/>
    <w:rsid w:val="796F26C1"/>
    <w:rsid w:val="79870D9A"/>
    <w:rsid w:val="798A57D2"/>
    <w:rsid w:val="79947E0E"/>
    <w:rsid w:val="799A557D"/>
    <w:rsid w:val="79A0525E"/>
    <w:rsid w:val="79B17BA3"/>
    <w:rsid w:val="79C52C81"/>
    <w:rsid w:val="79C97D76"/>
    <w:rsid w:val="79CB3F8A"/>
    <w:rsid w:val="79D11F65"/>
    <w:rsid w:val="79D40E0D"/>
    <w:rsid w:val="79D6367C"/>
    <w:rsid w:val="79DD26AE"/>
    <w:rsid w:val="79E20577"/>
    <w:rsid w:val="79E606E0"/>
    <w:rsid w:val="79E675CF"/>
    <w:rsid w:val="79ED06DF"/>
    <w:rsid w:val="79FE192A"/>
    <w:rsid w:val="7A205476"/>
    <w:rsid w:val="7A302C82"/>
    <w:rsid w:val="7A3B2C13"/>
    <w:rsid w:val="7A3F5543"/>
    <w:rsid w:val="7A5175FF"/>
    <w:rsid w:val="7A5E4818"/>
    <w:rsid w:val="7A6200CD"/>
    <w:rsid w:val="7A675C14"/>
    <w:rsid w:val="7A6D28DA"/>
    <w:rsid w:val="7A724AF2"/>
    <w:rsid w:val="7A7B44BE"/>
    <w:rsid w:val="7A7D2600"/>
    <w:rsid w:val="7A7E5FBE"/>
    <w:rsid w:val="7A873BB3"/>
    <w:rsid w:val="7A933A53"/>
    <w:rsid w:val="7A9350B8"/>
    <w:rsid w:val="7A99605C"/>
    <w:rsid w:val="7A9E157D"/>
    <w:rsid w:val="7AA03EC1"/>
    <w:rsid w:val="7AA528A4"/>
    <w:rsid w:val="7AAF6B85"/>
    <w:rsid w:val="7ABB40AE"/>
    <w:rsid w:val="7AC24328"/>
    <w:rsid w:val="7ACE07DF"/>
    <w:rsid w:val="7AE609A0"/>
    <w:rsid w:val="7AEC5D56"/>
    <w:rsid w:val="7AF67026"/>
    <w:rsid w:val="7AFA0EA6"/>
    <w:rsid w:val="7B0130F4"/>
    <w:rsid w:val="7B0D5DB9"/>
    <w:rsid w:val="7B1611E6"/>
    <w:rsid w:val="7B191639"/>
    <w:rsid w:val="7B2A7456"/>
    <w:rsid w:val="7B3473B8"/>
    <w:rsid w:val="7B3D17B2"/>
    <w:rsid w:val="7B455470"/>
    <w:rsid w:val="7B46268C"/>
    <w:rsid w:val="7B47082D"/>
    <w:rsid w:val="7B4F4072"/>
    <w:rsid w:val="7B5960C8"/>
    <w:rsid w:val="7B5E0327"/>
    <w:rsid w:val="7B8A65F5"/>
    <w:rsid w:val="7B917CAE"/>
    <w:rsid w:val="7B9368AD"/>
    <w:rsid w:val="7B9854E0"/>
    <w:rsid w:val="7BA80E68"/>
    <w:rsid w:val="7BB9184C"/>
    <w:rsid w:val="7BC260B9"/>
    <w:rsid w:val="7BDC0473"/>
    <w:rsid w:val="7BE85207"/>
    <w:rsid w:val="7BF42CAC"/>
    <w:rsid w:val="7BF67AE8"/>
    <w:rsid w:val="7C1F1A6F"/>
    <w:rsid w:val="7C25144F"/>
    <w:rsid w:val="7C2B2391"/>
    <w:rsid w:val="7C2E1994"/>
    <w:rsid w:val="7C3B2EB6"/>
    <w:rsid w:val="7C46335B"/>
    <w:rsid w:val="7C5251D9"/>
    <w:rsid w:val="7C766094"/>
    <w:rsid w:val="7C784496"/>
    <w:rsid w:val="7C792C1C"/>
    <w:rsid w:val="7C807725"/>
    <w:rsid w:val="7C843388"/>
    <w:rsid w:val="7C8731BB"/>
    <w:rsid w:val="7C8D66C7"/>
    <w:rsid w:val="7CA05ACD"/>
    <w:rsid w:val="7CCC1FB6"/>
    <w:rsid w:val="7CCD740C"/>
    <w:rsid w:val="7CDD2B4F"/>
    <w:rsid w:val="7CF27161"/>
    <w:rsid w:val="7CFF3BB1"/>
    <w:rsid w:val="7D0173BD"/>
    <w:rsid w:val="7D0907A1"/>
    <w:rsid w:val="7D1727C4"/>
    <w:rsid w:val="7D18150D"/>
    <w:rsid w:val="7D1974AD"/>
    <w:rsid w:val="7D22132A"/>
    <w:rsid w:val="7D2422A4"/>
    <w:rsid w:val="7D286322"/>
    <w:rsid w:val="7D292894"/>
    <w:rsid w:val="7D31246A"/>
    <w:rsid w:val="7D401CB4"/>
    <w:rsid w:val="7D436669"/>
    <w:rsid w:val="7D561B88"/>
    <w:rsid w:val="7D6876FE"/>
    <w:rsid w:val="7D6E474B"/>
    <w:rsid w:val="7D7019F1"/>
    <w:rsid w:val="7D724204"/>
    <w:rsid w:val="7D840B6D"/>
    <w:rsid w:val="7D8728F0"/>
    <w:rsid w:val="7D8776C5"/>
    <w:rsid w:val="7D8C67FD"/>
    <w:rsid w:val="7DC145EF"/>
    <w:rsid w:val="7DCA60A9"/>
    <w:rsid w:val="7DCC4BB2"/>
    <w:rsid w:val="7DD50946"/>
    <w:rsid w:val="7DDB4500"/>
    <w:rsid w:val="7DF01FDC"/>
    <w:rsid w:val="7DFB4A46"/>
    <w:rsid w:val="7DFD1BBE"/>
    <w:rsid w:val="7DFE1F67"/>
    <w:rsid w:val="7E13771B"/>
    <w:rsid w:val="7E14224E"/>
    <w:rsid w:val="7E1564F7"/>
    <w:rsid w:val="7E1D4EBE"/>
    <w:rsid w:val="7E2D0ED7"/>
    <w:rsid w:val="7E370D29"/>
    <w:rsid w:val="7E3F0118"/>
    <w:rsid w:val="7E437985"/>
    <w:rsid w:val="7E555F1F"/>
    <w:rsid w:val="7E566BF3"/>
    <w:rsid w:val="7E635B24"/>
    <w:rsid w:val="7E674C8E"/>
    <w:rsid w:val="7E691F7C"/>
    <w:rsid w:val="7E733CEE"/>
    <w:rsid w:val="7E7512BD"/>
    <w:rsid w:val="7E784322"/>
    <w:rsid w:val="7E876F2C"/>
    <w:rsid w:val="7E8A7362"/>
    <w:rsid w:val="7E972339"/>
    <w:rsid w:val="7EA146AC"/>
    <w:rsid w:val="7EA1645A"/>
    <w:rsid w:val="7EA51D37"/>
    <w:rsid w:val="7EB2465F"/>
    <w:rsid w:val="7EBE3382"/>
    <w:rsid w:val="7EBE5D2D"/>
    <w:rsid w:val="7EBF0A0E"/>
    <w:rsid w:val="7EC062CE"/>
    <w:rsid w:val="7EC30EDC"/>
    <w:rsid w:val="7EC32348"/>
    <w:rsid w:val="7ED16FDB"/>
    <w:rsid w:val="7ED27E41"/>
    <w:rsid w:val="7ED4224E"/>
    <w:rsid w:val="7ED71E7C"/>
    <w:rsid w:val="7ED820A5"/>
    <w:rsid w:val="7EDD6480"/>
    <w:rsid w:val="7EE11B79"/>
    <w:rsid w:val="7EE25A57"/>
    <w:rsid w:val="7EE633BC"/>
    <w:rsid w:val="7EE84162"/>
    <w:rsid w:val="7F0044E8"/>
    <w:rsid w:val="7F175DC5"/>
    <w:rsid w:val="7F2C5F2D"/>
    <w:rsid w:val="7F2F0A17"/>
    <w:rsid w:val="7F327CF2"/>
    <w:rsid w:val="7F3B1130"/>
    <w:rsid w:val="7F43785A"/>
    <w:rsid w:val="7F44420B"/>
    <w:rsid w:val="7F52000F"/>
    <w:rsid w:val="7F587B97"/>
    <w:rsid w:val="7F677DDD"/>
    <w:rsid w:val="7F894CE9"/>
    <w:rsid w:val="7F8A46E2"/>
    <w:rsid w:val="7F9A3E11"/>
    <w:rsid w:val="7F9B35F5"/>
    <w:rsid w:val="7FB8482C"/>
    <w:rsid w:val="7FBC3E60"/>
    <w:rsid w:val="7FC56178"/>
    <w:rsid w:val="7FC74075"/>
    <w:rsid w:val="7FC85B2D"/>
    <w:rsid w:val="7FDE02FA"/>
    <w:rsid w:val="7FE505C8"/>
    <w:rsid w:val="7FEE1B73"/>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Calibri" w:hAnsi="Calibri" w:eastAsia="宋体" w:cs="Times New Roman"/>
      <w:szCs w:val="22"/>
    </w:rPr>
  </w:style>
  <w:style w:type="paragraph" w:styleId="6">
    <w:name w:val="annotation text"/>
    <w:basedOn w:val="1"/>
    <w:qFormat/>
    <w:uiPriority w:val="0"/>
    <w:pPr>
      <w:jc w:val="left"/>
    </w:pPr>
  </w:style>
  <w:style w:type="paragraph" w:styleId="7">
    <w:name w:val="Body Text"/>
    <w:basedOn w:val="1"/>
    <w:qFormat/>
    <w:uiPriority w:val="0"/>
  </w:style>
  <w:style w:type="paragraph" w:styleId="8">
    <w:name w:val="Body Text Indent"/>
    <w:basedOn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0"/>
    <w:pPr>
      <w:ind w:firstLine="420" w:firstLineChars="100"/>
    </w:pPr>
    <w:rPr>
      <w:szCs w:val="21"/>
    </w:r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默认段落字体 Para Char"/>
    <w:basedOn w:val="1"/>
    <w:qFormat/>
    <w:uiPriority w:val="0"/>
    <w:pPr>
      <w:adjustRightInd w:val="0"/>
      <w:spacing w:line="360" w:lineRule="auto"/>
    </w:p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列出段落1"/>
    <w:basedOn w:val="1"/>
    <w:qFormat/>
    <w:uiPriority w:val="34"/>
    <w:pPr>
      <w:ind w:firstLine="420" w:firstLineChars="200"/>
    </w:pPr>
  </w:style>
  <w:style w:type="character" w:customStyle="1" w:styleId="27">
    <w:name w:val="font11"/>
    <w:basedOn w:val="20"/>
    <w:qFormat/>
    <w:uiPriority w:val="0"/>
    <w:rPr>
      <w:rFonts w:hint="default" w:ascii="Times New Roman" w:hAnsi="Times New Roman" w:cs="Times New Roman"/>
      <w:color w:val="000000"/>
      <w:sz w:val="24"/>
      <w:szCs w:val="24"/>
      <w:u w:val="none"/>
    </w:rPr>
  </w:style>
  <w:style w:type="character" w:customStyle="1" w:styleId="28">
    <w:name w:val="font31"/>
    <w:basedOn w:val="20"/>
    <w:qFormat/>
    <w:uiPriority w:val="0"/>
    <w:rPr>
      <w:rFonts w:hint="eastAsia" w:ascii="宋体" w:hAnsi="宋体" w:eastAsia="宋体" w:cs="宋体"/>
      <w:color w:val="000000"/>
      <w:sz w:val="24"/>
      <w:szCs w:val="24"/>
      <w:u w:val="none"/>
    </w:rPr>
  </w:style>
  <w:style w:type="paragraph" w:customStyle="1" w:styleId="29">
    <w:name w:val="WPS Plain"/>
    <w:qFormat/>
    <w:uiPriority w:val="0"/>
    <w:rPr>
      <w:rFonts w:ascii="Times New Roman" w:hAnsi="Times New Roman" w:eastAsia="宋体" w:cs="Times New Roman"/>
      <w:lang w:val="en-US" w:eastAsia="zh-CN" w:bidi="ar-SA"/>
    </w:rPr>
  </w:style>
  <w:style w:type="character" w:customStyle="1" w:styleId="30">
    <w:name w:val="批注框文本 Char"/>
    <w:basedOn w:val="20"/>
    <w:link w:val="12"/>
    <w:qFormat/>
    <w:uiPriority w:val="0"/>
    <w:rPr>
      <w:kern w:val="2"/>
      <w:sz w:val="18"/>
      <w:szCs w:val="18"/>
    </w:rPr>
  </w:style>
  <w:style w:type="paragraph" w:customStyle="1" w:styleId="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33">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34">
    <w:name w:val="List Paragraph"/>
    <w:basedOn w:val="1"/>
    <w:qFormat/>
    <w:uiPriority w:val="34"/>
    <w:pPr>
      <w:ind w:firstLine="420" w:firstLineChars="200"/>
    </w:pPr>
  </w:style>
  <w:style w:type="paragraph" w:customStyle="1" w:styleId="35">
    <w:name w:val="Table Paragraph"/>
    <w:basedOn w:val="1"/>
    <w:qFormat/>
    <w:uiPriority w:val="1"/>
    <w:rPr>
      <w:rFonts w:ascii="宋体" w:hAnsi="宋体" w:cs="宋体"/>
      <w:lang w:val="zh-CN" w:bidi="zh-CN"/>
    </w:rPr>
  </w:style>
  <w:style w:type="paragraph" w:customStyle="1" w:styleId="36">
    <w:name w:val="Item List in Table"/>
    <w:basedOn w:val="1"/>
    <w:qFormat/>
    <w:uiPriority w:val="0"/>
    <w:pPr>
      <w:numPr>
        <w:ilvl w:val="0"/>
        <w:numId w:val="1"/>
      </w:numPr>
      <w:tabs>
        <w:tab w:val="left" w:pos="420"/>
        <w:tab w:val="clear" w:pos="960"/>
      </w:tabs>
      <w:jc w:val="left"/>
    </w:pPr>
    <w:rPr>
      <w:rFonts w:eastAsia="宋体"/>
      <w:sz w:val="21"/>
      <w:szCs w:val="24"/>
    </w:rPr>
  </w:style>
  <w:style w:type="character" w:customStyle="1" w:styleId="37">
    <w:name w:val="font01"/>
    <w:basedOn w:val="20"/>
    <w:qFormat/>
    <w:uiPriority w:val="0"/>
    <w:rPr>
      <w:rFonts w:ascii="黑体" w:hAnsi="宋体" w:eastAsia="黑体" w:cs="黑体"/>
      <w:color w:val="000000"/>
      <w:sz w:val="36"/>
      <w:szCs w:val="36"/>
      <w:u w:val="none"/>
    </w:rPr>
  </w:style>
  <w:style w:type="character" w:customStyle="1" w:styleId="38">
    <w:name w:val="font21"/>
    <w:basedOn w:val="20"/>
    <w:qFormat/>
    <w:uiPriority w:val="0"/>
    <w:rPr>
      <w:rFonts w:hint="eastAsia" w:ascii="仿宋" w:hAnsi="仿宋" w:eastAsia="仿宋" w:cs="仿宋"/>
      <w:color w:val="000000"/>
      <w:sz w:val="32"/>
      <w:szCs w:val="32"/>
      <w:u w:val="none"/>
    </w:rPr>
  </w:style>
  <w:style w:type="paragraph" w:customStyle="1" w:styleId="39">
    <w:name w:val="样式 样式 样式 左侧:  2 字符1 + 首行缩进:  2 字符1 + 首行缩进:  2 字符"/>
    <w:basedOn w:val="1"/>
    <w:qFormat/>
    <w:uiPriority w:val="99"/>
    <w:pPr>
      <w:widowControl/>
      <w:spacing w:before="60" w:after="120" w:line="440" w:lineRule="atLeast"/>
      <w:ind w:firstLine="480"/>
    </w:pPr>
    <w:rPr>
      <w:rFonts w:hint="eastAsia"/>
      <w:sz w:val="24"/>
      <w:szCs w:val="20"/>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5" textRotate="1"/>
    <customShpInfo spid="_x0000_s1036" textRotate="1"/>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35950</Words>
  <Characters>37768</Characters>
  <Lines>201</Lines>
  <Paragraphs>56</Paragraphs>
  <TotalTime>66</TotalTime>
  <ScaleCrop>false</ScaleCrop>
  <LinksUpToDate>false</LinksUpToDate>
  <CharactersWithSpaces>39062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虫儿飞</cp:lastModifiedBy>
  <cp:lastPrinted>2019-05-09T12:07:00Z</cp:lastPrinted>
  <dcterms:modified xsi:type="dcterms:W3CDTF">2022-04-29T11:15:21Z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704CBE48334647148DB6DA4AE0A72E49</vt:lpwstr>
  </property>
</Properties>
</file>