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jc w:val="center"/>
        <w:rPr>
          <w:rFonts w:hAnsi="宋体"/>
          <w:b/>
          <w:i w:val="0"/>
          <w:iCs w:val="0"/>
          <w:kern w:val="0"/>
          <w:sz w:val="48"/>
          <w:szCs w:val="40"/>
        </w:rPr>
      </w:pPr>
    </w:p>
    <w:p/>
    <w:p/>
    <w:p>
      <w:pPr>
        <w:pStyle w:val="2"/>
        <w:jc w:val="center"/>
        <w:rPr>
          <w:rFonts w:hint="eastAsia" w:eastAsia="黑体"/>
          <w:lang w:eastAsia="zh-CN"/>
        </w:rPr>
      </w:pPr>
      <w:r>
        <w:rPr>
          <w:rFonts w:hint="eastAsia" w:ascii="Times New Roman" w:hAnsi="宋体" w:eastAsia="宋体"/>
          <w:bCs w:val="0"/>
          <w:kern w:val="0"/>
          <w:sz w:val="52"/>
          <w:szCs w:val="52"/>
          <w:lang w:eastAsia="zh-CN"/>
        </w:rPr>
        <w:t>新疆美术馆油画作品修复服务项目</w:t>
      </w:r>
    </w:p>
    <w:p/>
    <w:p>
      <w:pPr>
        <w:jc w:val="center"/>
        <w:rPr>
          <w:rFonts w:hAnsi="宋体"/>
          <w:b/>
          <w:sz w:val="84"/>
          <w:szCs w:val="84"/>
        </w:rPr>
      </w:pPr>
    </w:p>
    <w:p>
      <w:pPr>
        <w:jc w:val="center"/>
        <w:rPr>
          <w:rFonts w:hAnsi="宋体"/>
          <w:b/>
          <w:sz w:val="84"/>
          <w:szCs w:val="84"/>
        </w:rPr>
      </w:pPr>
      <w:r>
        <w:rPr>
          <w:rFonts w:hint="eastAsia" w:hAnsi="宋体"/>
          <w:b/>
          <w:sz w:val="84"/>
          <w:szCs w:val="84"/>
        </w:rPr>
        <w:t>磋商文件</w:t>
      </w:r>
    </w:p>
    <w:p>
      <w:pPr>
        <w:pStyle w:val="68"/>
        <w:rPr>
          <w:color w:val="auto"/>
        </w:rPr>
      </w:pPr>
    </w:p>
    <w:p>
      <w:pPr>
        <w:ind w:firstLine="900" w:firstLineChars="300"/>
        <w:rPr>
          <w:b/>
          <w:sz w:val="30"/>
          <w:szCs w:val="30"/>
        </w:rPr>
      </w:pPr>
    </w:p>
    <w:p>
      <w:pPr>
        <w:jc w:val="center"/>
        <w:rPr>
          <w:b/>
        </w:rPr>
      </w:pPr>
      <w:r>
        <w:rPr>
          <w:b/>
        </w:rPr>
        <w:drawing>
          <wp:inline distT="0" distB="0" distL="114300" distR="114300">
            <wp:extent cx="1704975" cy="2171700"/>
            <wp:effectExtent l="0" t="0" r="1905" b="762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cstate="print"/>
                    <a:stretch>
                      <a:fillRect/>
                    </a:stretch>
                  </pic:blipFill>
                  <pic:spPr>
                    <a:xfrm>
                      <a:off x="0" y="0"/>
                      <a:ext cx="1704975" cy="2171700"/>
                    </a:xfrm>
                    <a:prstGeom prst="rect">
                      <a:avLst/>
                    </a:prstGeom>
                    <a:noFill/>
                    <a:ln>
                      <a:noFill/>
                    </a:ln>
                  </pic:spPr>
                </pic:pic>
              </a:graphicData>
            </a:graphic>
          </wp:inline>
        </w:drawing>
      </w:r>
    </w:p>
    <w:p>
      <w:pPr>
        <w:pStyle w:val="32"/>
        <w:adjustRightInd w:val="0"/>
        <w:snapToGrid w:val="0"/>
        <w:spacing w:line="360" w:lineRule="auto"/>
        <w:rPr>
          <w:rFonts w:ascii="Arial" w:hAnsi="Arial" w:eastAsia="黑体" w:cs="Times New Roman"/>
          <w:b/>
          <w:bCs/>
          <w:sz w:val="32"/>
          <w:szCs w:val="32"/>
        </w:rPr>
      </w:pPr>
    </w:p>
    <w:p>
      <w:pPr>
        <w:pStyle w:val="32"/>
        <w:adjustRightInd w:val="0"/>
        <w:snapToGrid w:val="0"/>
        <w:spacing w:line="360" w:lineRule="auto"/>
        <w:rPr>
          <w:rFonts w:hAnsi="宋体"/>
          <w:b/>
          <w:sz w:val="28"/>
          <w:szCs w:val="28"/>
        </w:rPr>
      </w:pPr>
    </w:p>
    <w:p>
      <w:pPr>
        <w:pStyle w:val="32"/>
        <w:adjustRightInd w:val="0"/>
        <w:snapToGrid w:val="0"/>
        <w:spacing w:line="360" w:lineRule="auto"/>
        <w:ind w:firstLine="425" w:firstLineChars="152"/>
        <w:rPr>
          <w:rFonts w:hAnsi="宋体"/>
          <w:b/>
          <w:sz w:val="28"/>
          <w:szCs w:val="28"/>
        </w:rPr>
      </w:pPr>
      <w:r>
        <w:rPr>
          <w:rFonts w:hint="eastAsia" w:hAnsi="宋体"/>
          <w:b/>
          <w:sz w:val="28"/>
          <w:szCs w:val="28"/>
        </w:rPr>
        <w:t>采购人（盖章）：新疆美术馆(自治区书法艺术发展中心) </w:t>
      </w:r>
    </w:p>
    <w:p>
      <w:pPr>
        <w:pStyle w:val="32"/>
        <w:adjustRightInd w:val="0"/>
        <w:snapToGrid w:val="0"/>
        <w:spacing w:line="360" w:lineRule="auto"/>
        <w:ind w:firstLine="425" w:firstLineChars="152"/>
        <w:rPr>
          <w:rFonts w:hAnsi="宋体"/>
          <w:b/>
          <w:sz w:val="28"/>
          <w:szCs w:val="28"/>
        </w:rPr>
      </w:pPr>
      <w:r>
        <w:rPr>
          <w:rFonts w:hAnsi="宋体"/>
          <w:b/>
          <w:sz w:val="28"/>
          <w:szCs w:val="28"/>
        </w:rPr>
        <w:t xml:space="preserve">磋商代理机构: </w:t>
      </w:r>
      <w:r>
        <w:rPr>
          <w:rFonts w:hint="eastAsia" w:hAnsi="宋体"/>
          <w:b/>
          <w:sz w:val="28"/>
          <w:szCs w:val="28"/>
        </w:rPr>
        <w:t>新疆华域建设工程项目管理咨询有限公司</w:t>
      </w:r>
    </w:p>
    <w:p>
      <w:pPr>
        <w:pStyle w:val="32"/>
        <w:adjustRightInd w:val="0"/>
        <w:snapToGrid w:val="0"/>
        <w:spacing w:line="360" w:lineRule="auto"/>
        <w:ind w:firstLine="425" w:firstLineChars="152"/>
        <w:rPr>
          <w:rFonts w:hint="eastAsia" w:hAnsi="宋体" w:eastAsiaTheme="minorEastAsia"/>
          <w:b/>
          <w:sz w:val="28"/>
          <w:szCs w:val="28"/>
          <w:lang w:eastAsia="zh-CN"/>
        </w:rPr>
        <w:sectPr>
          <w:headerReference r:id="rId4" w:type="first"/>
          <w:footerReference r:id="rId5" w:type="first"/>
          <w:headerReference r:id="rId3" w:type="default"/>
          <w:pgSz w:w="11906" w:h="16838"/>
          <w:pgMar w:top="1440" w:right="1800" w:bottom="1440" w:left="1800" w:header="851" w:footer="851" w:gutter="0"/>
          <w:pgNumType w:start="1"/>
          <w:cols w:space="720" w:num="1"/>
          <w:docGrid w:type="linesAndChars" w:linePitch="312" w:charSpace="0"/>
        </w:sectPr>
      </w:pPr>
      <w:r>
        <w:rPr>
          <w:rFonts w:hAnsi="宋体"/>
          <w:b/>
          <w:sz w:val="28"/>
          <w:szCs w:val="28"/>
        </w:rPr>
        <w:t>项 目 编 号：</w:t>
      </w:r>
      <w:r>
        <w:rPr>
          <w:rFonts w:hint="eastAsia" w:hAnsi="宋体"/>
          <w:b/>
          <w:sz w:val="28"/>
          <w:szCs w:val="28"/>
        </w:rPr>
        <w:t>ZFCGHY-</w:t>
      </w:r>
      <w:r>
        <w:rPr>
          <w:rFonts w:hint="eastAsia" w:hAnsi="宋体"/>
          <w:b/>
          <w:sz w:val="28"/>
          <w:szCs w:val="28"/>
          <w:lang w:eastAsia="zh-CN"/>
        </w:rPr>
        <w:t>20220036</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36"/>
          <w:szCs w:val="28"/>
        </w:rPr>
      </w:pPr>
      <w:r>
        <w:rPr>
          <w:rFonts w:hint="eastAsia" w:asciiTheme="minorEastAsia" w:hAnsiTheme="minorEastAsia" w:eastAsiaTheme="minorEastAsia" w:cstheme="minorEastAsia"/>
          <w:b/>
          <w:bCs/>
          <w:kern w:val="0"/>
          <w:sz w:val="36"/>
          <w:szCs w:val="28"/>
        </w:rPr>
        <w:t>目    录</w:t>
      </w:r>
    </w:p>
    <w:p>
      <w:pPr>
        <w:pStyle w:val="2"/>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28"/>
          <w:szCs w:val="28"/>
        </w:rPr>
      </w:pPr>
    </w:p>
    <w:p>
      <w:pPr>
        <w:numPr>
          <w:ilvl w:val="0"/>
          <w:numId w:val="11"/>
        </w:numPr>
        <w:shd w:val="clear" w:color="auto" w:fill="FFFFFF"/>
        <w:autoSpaceDE w:val="0"/>
        <w:autoSpaceDN w:val="0"/>
        <w:adjustRightInd w:val="0"/>
        <w:spacing w:line="720" w:lineRule="auto"/>
        <w:jc w:val="distribute"/>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磋商公告</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kern w:val="0"/>
          <w:sz w:val="28"/>
          <w:szCs w:val="28"/>
        </w:rPr>
        <w:t>………………………………………3</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第二部分 投标须知前附表及投标须知………………………………</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bCs/>
          <w:kern w:val="0"/>
          <w:sz w:val="28"/>
          <w:szCs w:val="28"/>
        </w:rPr>
        <w:t>一、 投标须知前附表</w:t>
      </w:r>
      <w:r>
        <w:rPr>
          <w:rFonts w:hint="eastAsia" w:asciiTheme="minorEastAsia" w:hAnsiTheme="minorEastAsia" w:eastAsiaTheme="minorEastAsia" w:cstheme="minorEastAsia"/>
          <w:kern w:val="0"/>
          <w:sz w:val="28"/>
          <w:szCs w:val="28"/>
        </w:rPr>
        <w:t>…………………………………………………</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二、 投标须知</w:t>
      </w:r>
      <w:r>
        <w:rPr>
          <w:rFonts w:hint="eastAsia" w:asciiTheme="minorEastAsia" w:hAnsiTheme="minorEastAsia" w:eastAsiaTheme="minorEastAsia" w:cstheme="minorEastAsia"/>
          <w:kern w:val="0"/>
          <w:sz w:val="28"/>
          <w:szCs w:val="28"/>
        </w:rPr>
        <w:t>…………………………………………………………</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第三部分合同通用条款……………………………………</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第四部分 合同专用条款……………</w:t>
      </w:r>
      <w:r>
        <w:rPr>
          <w:rFonts w:hint="eastAsia" w:asciiTheme="minorEastAsia" w:hAnsiTheme="minorEastAsia" w:eastAsiaTheme="minorEastAsia" w:cstheme="minorEastAsia"/>
          <w:kern w:val="0"/>
          <w:sz w:val="28"/>
          <w:szCs w:val="28"/>
        </w:rPr>
        <w:t>…………………………………</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第五部分 磋商需求……………</w:t>
      </w:r>
      <w:r>
        <w:rPr>
          <w:rFonts w:hint="eastAsia" w:asciiTheme="minorEastAsia" w:hAnsiTheme="minorEastAsia" w:eastAsiaTheme="minorEastAsia" w:cstheme="minorEastAsia"/>
          <w:kern w:val="0"/>
          <w:sz w:val="28"/>
          <w:szCs w:val="28"/>
        </w:rPr>
        <w:t>………………………………………</w:t>
      </w:r>
    </w:p>
    <w:p>
      <w:pPr>
        <w:shd w:val="clear" w:color="auto" w:fill="FFFFFF"/>
        <w:autoSpaceDE w:val="0"/>
        <w:autoSpaceDN w:val="0"/>
        <w:adjustRightInd w:val="0"/>
        <w:spacing w:line="720" w:lineRule="auto"/>
        <w:jc w:val="distribute"/>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第六部分 投标文件格式………………………………………………</w:t>
      </w:r>
      <w:r>
        <w:rPr>
          <w:rFonts w:hint="eastAsia" w:asciiTheme="minorEastAsia" w:hAnsiTheme="minorEastAsia" w:eastAsiaTheme="minorEastAsia" w:cstheme="minorEastAsia"/>
          <w:kern w:val="0"/>
          <w:sz w:val="28"/>
          <w:szCs w:val="28"/>
          <w:lang w:val="en-US" w:eastAsia="zh-CN"/>
        </w:rPr>
        <w:t xml:space="preserve"> </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18"/>
          <w:szCs w:val="18"/>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18"/>
          <w:szCs w:val="18"/>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18"/>
          <w:szCs w:val="18"/>
        </w:rPr>
      </w:pPr>
    </w:p>
    <w:p>
      <w:pPr>
        <w:widowControl/>
        <w:shd w:val="clear" w:color="auto" w:fill="FFFFFF"/>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br w:type="page"/>
      </w:r>
    </w:p>
    <w:p>
      <w:pPr>
        <w:pStyle w:val="3"/>
        <w:jc w:val="center"/>
        <w:rPr>
          <w:rFonts w:ascii="宋体" w:hAnsi="宋体"/>
          <w:szCs w:val="32"/>
        </w:rPr>
      </w:pPr>
      <w:r>
        <w:rPr>
          <w:rFonts w:hint="eastAsia" w:ascii="宋体" w:hAnsi="宋体"/>
          <w:szCs w:val="32"/>
        </w:rPr>
        <w:t>第一部分磋商公告</w:t>
      </w:r>
    </w:p>
    <w:p/>
    <w:p>
      <w:pPr>
        <w:widowControl/>
        <w:spacing w:line="440" w:lineRule="exact"/>
        <w:jc w:val="center"/>
        <w:rPr>
          <w:rFonts w:ascii="宋体" w:hAnsi="宋体" w:cs="宋体"/>
          <w:b/>
          <w:kern w:val="0"/>
          <w:sz w:val="32"/>
          <w:szCs w:val="21"/>
        </w:rPr>
      </w:pPr>
      <w:r>
        <w:rPr>
          <w:rFonts w:hint="eastAsia" w:ascii="宋体" w:hAnsi="宋体" w:cs="宋体"/>
          <w:b/>
          <w:kern w:val="0"/>
          <w:sz w:val="32"/>
          <w:szCs w:val="21"/>
          <w:lang w:eastAsia="zh-CN"/>
        </w:rPr>
        <w:t>新疆美术馆油画作品修复服务项目</w:t>
      </w:r>
      <w:r>
        <w:rPr>
          <w:rFonts w:hint="eastAsia" w:ascii="宋体" w:hAnsi="宋体" w:cs="宋体"/>
          <w:b/>
          <w:kern w:val="0"/>
          <w:sz w:val="32"/>
          <w:szCs w:val="21"/>
        </w:rPr>
        <w:t>磋商公告</w:t>
      </w:r>
    </w:p>
    <w:p>
      <w:pPr>
        <w:widowControl/>
        <w:spacing w:line="420" w:lineRule="exact"/>
        <w:jc w:val="left"/>
        <w:rPr>
          <w:rFonts w:hint="eastAsia" w:ascii="宋体" w:hAnsi="宋体" w:eastAsia="宋体"/>
          <w:b/>
          <w:kern w:val="0"/>
          <w:sz w:val="24"/>
          <w:lang w:eastAsia="zh-CN"/>
        </w:rPr>
      </w:pPr>
      <w:r>
        <w:rPr>
          <w:rFonts w:hint="eastAsia" w:ascii="宋体" w:hAnsi="宋体"/>
          <w:b/>
          <w:kern w:val="0"/>
          <w:sz w:val="24"/>
        </w:rPr>
        <w:t>一、</w:t>
      </w:r>
      <w:r>
        <w:rPr>
          <w:rFonts w:ascii="宋体" w:hAnsi="宋体"/>
          <w:b/>
          <w:kern w:val="0"/>
          <w:sz w:val="24"/>
        </w:rPr>
        <w:t>项目名称：</w:t>
      </w:r>
      <w:r>
        <w:rPr>
          <w:rFonts w:hint="eastAsia" w:ascii="宋体" w:hAnsi="宋体"/>
          <w:bCs/>
          <w:kern w:val="0"/>
          <w:sz w:val="24"/>
          <w:lang w:eastAsia="zh-CN"/>
        </w:rPr>
        <w:t>新疆美术馆油画作品修复服务项目</w:t>
      </w:r>
    </w:p>
    <w:p>
      <w:pPr>
        <w:widowControl/>
        <w:spacing w:line="420" w:lineRule="exact"/>
        <w:jc w:val="left"/>
        <w:rPr>
          <w:rFonts w:hint="eastAsia" w:ascii="宋体" w:hAnsi="宋体" w:eastAsia="宋体"/>
          <w:bCs/>
          <w:kern w:val="0"/>
          <w:sz w:val="24"/>
          <w:lang w:eastAsia="zh-CN"/>
        </w:rPr>
      </w:pPr>
      <w:r>
        <w:rPr>
          <w:rFonts w:ascii="宋体" w:hAnsi="宋体"/>
          <w:b/>
          <w:kern w:val="0"/>
          <w:sz w:val="24"/>
        </w:rPr>
        <w:t>二、项目编号：</w:t>
      </w:r>
      <w:r>
        <w:rPr>
          <w:rFonts w:hint="eastAsia" w:ascii="宋体" w:hAnsi="宋体"/>
          <w:bCs/>
          <w:kern w:val="0"/>
          <w:sz w:val="24"/>
        </w:rPr>
        <w:t>ZFCGHY-</w:t>
      </w:r>
      <w:r>
        <w:rPr>
          <w:rFonts w:hint="eastAsia" w:ascii="宋体" w:hAnsi="宋体"/>
          <w:bCs/>
          <w:kern w:val="0"/>
          <w:sz w:val="24"/>
          <w:lang w:eastAsia="zh-CN"/>
        </w:rPr>
        <w:t>20220036</w:t>
      </w:r>
    </w:p>
    <w:p>
      <w:pPr>
        <w:widowControl/>
        <w:spacing w:line="420" w:lineRule="exact"/>
        <w:jc w:val="left"/>
        <w:rPr>
          <w:rFonts w:ascii="宋体" w:hAnsi="宋体"/>
          <w:sz w:val="24"/>
        </w:rPr>
      </w:pPr>
      <w:r>
        <w:rPr>
          <w:rFonts w:ascii="宋体" w:hAnsi="宋体"/>
          <w:b/>
          <w:kern w:val="0"/>
          <w:sz w:val="24"/>
        </w:rPr>
        <w:t>三、</w:t>
      </w:r>
      <w:r>
        <w:rPr>
          <w:rFonts w:hint="eastAsia" w:ascii="宋体" w:hAnsi="宋体"/>
          <w:b/>
          <w:kern w:val="0"/>
          <w:sz w:val="24"/>
        </w:rPr>
        <w:t>采购</w:t>
      </w:r>
      <w:r>
        <w:rPr>
          <w:rFonts w:ascii="宋体" w:hAnsi="宋体"/>
          <w:b/>
          <w:kern w:val="0"/>
          <w:sz w:val="24"/>
        </w:rPr>
        <w:t>人：</w:t>
      </w:r>
      <w:r>
        <w:rPr>
          <w:rFonts w:hint="eastAsia" w:ascii="宋体" w:hAnsi="宋体"/>
          <w:sz w:val="24"/>
        </w:rPr>
        <w:t>新疆美术馆(自治区书法艺术发展中心)</w:t>
      </w:r>
    </w:p>
    <w:p>
      <w:pPr>
        <w:widowControl/>
        <w:spacing w:line="420" w:lineRule="exact"/>
        <w:jc w:val="left"/>
        <w:rPr>
          <w:rFonts w:ascii="宋体" w:hAnsi="宋体"/>
          <w:kern w:val="0"/>
          <w:sz w:val="24"/>
        </w:rPr>
      </w:pPr>
      <w:r>
        <w:rPr>
          <w:rFonts w:ascii="宋体" w:hAnsi="宋体"/>
          <w:b/>
          <w:kern w:val="0"/>
          <w:sz w:val="24"/>
        </w:rPr>
        <w:t>四、磋商代理机构：</w:t>
      </w:r>
      <w:r>
        <w:rPr>
          <w:rFonts w:hint="eastAsia" w:ascii="宋体" w:hAnsi="宋体"/>
          <w:kern w:val="0"/>
          <w:sz w:val="24"/>
        </w:rPr>
        <w:t>新疆华域建设工程项目管理咨询有限公司</w:t>
      </w:r>
    </w:p>
    <w:p>
      <w:pPr>
        <w:widowControl/>
        <w:spacing w:line="420" w:lineRule="exact"/>
        <w:jc w:val="left"/>
        <w:rPr>
          <w:rFonts w:ascii="宋体" w:hAnsi="宋体"/>
          <w:b/>
          <w:kern w:val="0"/>
          <w:sz w:val="24"/>
        </w:rPr>
      </w:pPr>
      <w:r>
        <w:rPr>
          <w:rFonts w:hint="eastAsia" w:ascii="宋体" w:hAnsi="宋体"/>
          <w:b/>
          <w:kern w:val="0"/>
          <w:sz w:val="24"/>
        </w:rPr>
        <w:t>五、采购内容：</w:t>
      </w:r>
    </w:p>
    <w:p>
      <w:pPr>
        <w:pStyle w:val="68"/>
        <w:rPr>
          <w:rFonts w:hint="default" w:hAnsi="宋体" w:eastAsia="宋体"/>
          <w:bCs/>
          <w:color w:val="auto"/>
          <w:szCs w:val="24"/>
          <w:lang w:val="en-US" w:eastAsia="zh-CN"/>
        </w:rPr>
      </w:pPr>
      <w:r>
        <w:rPr>
          <w:rFonts w:hint="eastAsia" w:hAnsi="宋体"/>
          <w:bCs/>
          <w:color w:val="auto"/>
          <w:szCs w:val="24"/>
        </w:rPr>
        <w:t>预算金额（万元）：30</w:t>
      </w:r>
      <w:r>
        <w:rPr>
          <w:rFonts w:hint="eastAsia" w:hAnsi="宋体"/>
          <w:bCs/>
          <w:color w:val="auto"/>
          <w:szCs w:val="24"/>
          <w:lang w:val="en-US" w:eastAsia="zh-CN"/>
        </w:rPr>
        <w:t>万元/每年</w:t>
      </w:r>
    </w:p>
    <w:p>
      <w:pPr>
        <w:pStyle w:val="68"/>
        <w:rPr>
          <w:rFonts w:hAnsi="宋体"/>
          <w:bCs/>
          <w:color w:val="auto"/>
          <w:szCs w:val="24"/>
        </w:rPr>
      </w:pPr>
      <w:r>
        <w:rPr>
          <w:rFonts w:hint="eastAsia" w:hAnsi="宋体"/>
          <w:bCs/>
          <w:color w:val="auto"/>
          <w:szCs w:val="24"/>
        </w:rPr>
        <w:t>最高限价（万元）：30</w:t>
      </w:r>
      <w:r>
        <w:rPr>
          <w:rFonts w:hint="eastAsia" w:hAnsi="宋体"/>
          <w:bCs/>
          <w:color w:val="auto"/>
          <w:szCs w:val="24"/>
          <w:lang w:val="en-US" w:eastAsia="zh-CN"/>
        </w:rPr>
        <w:t>万元/每年</w:t>
      </w:r>
    </w:p>
    <w:p>
      <w:pPr>
        <w:pStyle w:val="68"/>
        <w:rPr>
          <w:rFonts w:hAnsi="宋体"/>
          <w:bCs/>
          <w:color w:val="auto"/>
          <w:szCs w:val="24"/>
        </w:rPr>
      </w:pPr>
      <w:r>
        <w:rPr>
          <w:rFonts w:hint="eastAsia" w:hAnsi="宋体"/>
          <w:bCs/>
          <w:color w:val="auto"/>
          <w:szCs w:val="24"/>
        </w:rPr>
        <w:t>以上项目简要规格及描述详见磋商文件。</w:t>
      </w:r>
    </w:p>
    <w:p>
      <w:pPr>
        <w:widowControl/>
        <w:spacing w:line="420" w:lineRule="exact"/>
        <w:jc w:val="left"/>
        <w:rPr>
          <w:rFonts w:ascii="宋体" w:hAnsi="宋体"/>
          <w:kern w:val="0"/>
          <w:sz w:val="24"/>
        </w:rPr>
      </w:pPr>
      <w:r>
        <w:rPr>
          <w:rFonts w:hint="eastAsia" w:ascii="宋体" w:hAnsi="宋体"/>
          <w:b/>
          <w:kern w:val="0"/>
          <w:sz w:val="24"/>
        </w:rPr>
        <w:t>六、采购方式：竞争性磋商</w:t>
      </w:r>
    </w:p>
    <w:p>
      <w:pPr>
        <w:widowControl/>
        <w:spacing w:line="420" w:lineRule="exact"/>
        <w:jc w:val="left"/>
        <w:rPr>
          <w:rFonts w:hint="default" w:ascii="宋体" w:hAnsi="宋体"/>
          <w:kern w:val="0"/>
          <w:sz w:val="24"/>
          <w:lang w:val="en-US"/>
        </w:rPr>
      </w:pPr>
      <w:r>
        <w:rPr>
          <w:rFonts w:hint="eastAsia" w:ascii="宋体" w:hAnsi="宋体"/>
          <w:b/>
          <w:kern w:val="0"/>
          <w:sz w:val="24"/>
        </w:rPr>
        <w:t>七</w:t>
      </w:r>
      <w:r>
        <w:rPr>
          <w:rFonts w:ascii="宋体" w:hAnsi="宋体"/>
          <w:b/>
          <w:kern w:val="0"/>
          <w:sz w:val="24"/>
        </w:rPr>
        <w:t>、项目概况</w:t>
      </w:r>
      <w:r>
        <w:rPr>
          <w:rFonts w:hint="eastAsia" w:ascii="宋体" w:hAnsi="宋体"/>
          <w:b/>
          <w:kern w:val="0"/>
          <w:sz w:val="24"/>
        </w:rPr>
        <w:t>：</w:t>
      </w:r>
      <w:r>
        <w:rPr>
          <w:rFonts w:hint="eastAsia" w:ascii="宋体" w:hAnsi="宋体"/>
          <w:kern w:val="0"/>
          <w:sz w:val="24"/>
          <w:lang w:val="en-US" w:eastAsia="zh-CN"/>
        </w:rPr>
        <w:t>服务期限2年完成；</w:t>
      </w:r>
    </w:p>
    <w:p>
      <w:pPr>
        <w:widowControl/>
        <w:spacing w:line="420" w:lineRule="exact"/>
        <w:jc w:val="left"/>
        <w:rPr>
          <w:rFonts w:ascii="宋体" w:hAnsi="宋体"/>
          <w:b/>
          <w:kern w:val="0"/>
          <w:sz w:val="24"/>
        </w:rPr>
      </w:pPr>
      <w:r>
        <w:rPr>
          <w:rFonts w:hint="eastAsia" w:ascii="宋体" w:hAnsi="宋体"/>
          <w:b/>
          <w:kern w:val="0"/>
          <w:sz w:val="24"/>
        </w:rPr>
        <w:t>八、政府采购政策：</w:t>
      </w:r>
    </w:p>
    <w:p>
      <w:pPr>
        <w:widowControl/>
        <w:spacing w:line="420" w:lineRule="exact"/>
        <w:jc w:val="left"/>
        <w:rPr>
          <w:rFonts w:ascii="宋体" w:hAnsi="宋体"/>
          <w:bCs/>
          <w:kern w:val="0"/>
          <w:sz w:val="24"/>
        </w:rPr>
      </w:pPr>
      <w:r>
        <w:rPr>
          <w:rFonts w:hint="eastAsia" w:ascii="宋体" w:hAnsi="宋体"/>
          <w:bCs/>
          <w:kern w:val="0"/>
          <w:sz w:val="24"/>
        </w:rPr>
        <w:t>符合政府采购优先（节约能源、保护环境）采购政策及促进中小企业（监狱企业、残疾人福利性单位）发展政策的，依据规定给予评审优惠。</w:t>
      </w:r>
    </w:p>
    <w:p>
      <w:pPr>
        <w:widowControl/>
        <w:spacing w:line="420" w:lineRule="exact"/>
        <w:jc w:val="left"/>
        <w:rPr>
          <w:rFonts w:ascii="宋体" w:hAnsi="宋体"/>
          <w:b/>
          <w:kern w:val="0"/>
          <w:sz w:val="24"/>
        </w:rPr>
      </w:pPr>
      <w:r>
        <w:rPr>
          <w:rFonts w:hint="eastAsia" w:ascii="宋体" w:hAnsi="宋体"/>
          <w:b/>
          <w:kern w:val="0"/>
          <w:sz w:val="24"/>
        </w:rPr>
        <w:t>九、供应商资格要求：</w:t>
      </w:r>
    </w:p>
    <w:p>
      <w:pPr>
        <w:widowControl/>
        <w:spacing w:line="420" w:lineRule="exact"/>
        <w:jc w:val="left"/>
        <w:rPr>
          <w:rFonts w:ascii="宋体" w:hAnsi="宋体"/>
          <w:bCs/>
          <w:kern w:val="0"/>
          <w:sz w:val="24"/>
        </w:rPr>
      </w:pPr>
      <w:r>
        <w:rPr>
          <w:rFonts w:hint="eastAsia" w:ascii="宋体" w:hAnsi="宋体"/>
          <w:bCs/>
          <w:kern w:val="0"/>
          <w:sz w:val="24"/>
        </w:rPr>
        <w:t>（1）符合《中华人民共和国政府采购法》第二十二条规定，有能力提供本项目全部采购内容及服务能力的供应商；</w:t>
      </w:r>
    </w:p>
    <w:p>
      <w:pPr>
        <w:widowControl/>
        <w:spacing w:line="420" w:lineRule="exact"/>
        <w:jc w:val="left"/>
        <w:rPr>
          <w:rFonts w:ascii="宋体" w:hAnsi="宋体"/>
          <w:bCs/>
          <w:kern w:val="0"/>
          <w:sz w:val="24"/>
        </w:rPr>
      </w:pPr>
      <w:r>
        <w:rPr>
          <w:rFonts w:hint="eastAsia" w:ascii="宋体" w:hAnsi="宋体"/>
          <w:bCs/>
          <w:kern w:val="0"/>
          <w:sz w:val="24"/>
        </w:rPr>
        <w:t>（2）本项目要求投标人具备独立法人资格，具备有效的工商营业执照、税务登记证、组织机构代码证或“三证合一”的营业执照；</w:t>
      </w:r>
    </w:p>
    <w:p>
      <w:pPr>
        <w:widowControl/>
        <w:spacing w:line="420" w:lineRule="exact"/>
        <w:jc w:val="left"/>
        <w:rPr>
          <w:rFonts w:ascii="宋体" w:hAnsi="宋体"/>
          <w:bCs/>
          <w:kern w:val="0"/>
          <w:sz w:val="24"/>
        </w:rPr>
      </w:pPr>
      <w:r>
        <w:rPr>
          <w:rFonts w:hint="eastAsia" w:ascii="宋体" w:hAnsi="宋体"/>
          <w:bCs/>
          <w:kern w:val="0"/>
          <w:sz w:val="24"/>
        </w:rPr>
        <w:t>（3）有依法缴纳社会保障资金的良好记录；</w:t>
      </w:r>
    </w:p>
    <w:p>
      <w:pPr>
        <w:widowControl/>
        <w:spacing w:line="420" w:lineRule="exact"/>
        <w:jc w:val="left"/>
        <w:rPr>
          <w:rFonts w:ascii="宋体" w:hAnsi="宋体"/>
          <w:bCs/>
          <w:kern w:val="0"/>
          <w:sz w:val="24"/>
        </w:rPr>
      </w:pPr>
      <w:r>
        <w:rPr>
          <w:rFonts w:hint="eastAsia" w:ascii="宋体" w:hAnsi="宋体"/>
          <w:bCs/>
          <w:kern w:val="0"/>
          <w:sz w:val="24"/>
        </w:rPr>
        <w:t>（4）投标人应在中国政府采购网（www.ccgp.gov.cn）“政府采购严重违法失信行为信息记录”信用记录查询结果（需注明截止时间，不得早于招标公告发布日期）打印页面并加盖公章；</w:t>
      </w:r>
    </w:p>
    <w:p>
      <w:pPr>
        <w:widowControl/>
        <w:spacing w:line="420" w:lineRule="exact"/>
        <w:jc w:val="left"/>
        <w:rPr>
          <w:rFonts w:ascii="宋体" w:hAnsi="宋体"/>
          <w:bCs/>
          <w:kern w:val="0"/>
          <w:sz w:val="24"/>
        </w:rPr>
      </w:pPr>
      <w:r>
        <w:rPr>
          <w:rFonts w:hint="eastAsia" w:ascii="宋体" w:hAnsi="宋体"/>
          <w:bCs/>
          <w:kern w:val="0"/>
          <w:sz w:val="24"/>
        </w:rPr>
        <w:t>（5）提供法人授权委托书原件及被授权人身份证原件，授权委托人须为投标人缴纳社保人员；</w:t>
      </w:r>
    </w:p>
    <w:p>
      <w:pPr>
        <w:widowControl/>
        <w:spacing w:line="420" w:lineRule="exact"/>
        <w:jc w:val="left"/>
        <w:rPr>
          <w:rFonts w:ascii="宋体" w:hAnsi="宋体"/>
          <w:bCs/>
          <w:kern w:val="0"/>
          <w:sz w:val="24"/>
        </w:rPr>
      </w:pPr>
      <w:r>
        <w:rPr>
          <w:rFonts w:hint="eastAsia" w:ascii="宋体" w:hAnsi="宋体"/>
          <w:bCs/>
          <w:kern w:val="0"/>
          <w:sz w:val="24"/>
        </w:rPr>
        <w:t>（6）本次招标不接受联合体。</w:t>
      </w:r>
    </w:p>
    <w:p>
      <w:pPr>
        <w:widowControl/>
        <w:spacing w:line="420" w:lineRule="exact"/>
        <w:jc w:val="left"/>
        <w:rPr>
          <w:rFonts w:ascii="宋体" w:hAnsi="宋体"/>
          <w:b/>
          <w:sz w:val="24"/>
        </w:rPr>
      </w:pPr>
      <w:r>
        <w:rPr>
          <w:rFonts w:ascii="宋体" w:hAnsi="宋体"/>
          <w:b/>
          <w:kern w:val="0"/>
          <w:sz w:val="24"/>
        </w:rPr>
        <w:t>十、</w:t>
      </w:r>
      <w:r>
        <w:rPr>
          <w:rFonts w:hint="eastAsia" w:ascii="宋体" w:hAnsi="宋体"/>
          <w:b/>
          <w:sz w:val="24"/>
        </w:rPr>
        <w:t>磋商文件</w:t>
      </w:r>
      <w:r>
        <w:rPr>
          <w:rFonts w:ascii="宋体" w:hAnsi="宋体"/>
          <w:b/>
          <w:sz w:val="24"/>
        </w:rPr>
        <w:t>的获取：</w:t>
      </w:r>
    </w:p>
    <w:p>
      <w:pPr>
        <w:widowControl/>
        <w:spacing w:line="420" w:lineRule="exact"/>
        <w:ind w:firstLine="121" w:firstLineChars="50"/>
        <w:jc w:val="left"/>
        <w:rPr>
          <w:rFonts w:ascii="宋体" w:hAnsi="宋体"/>
          <w:kern w:val="0"/>
          <w:sz w:val="24"/>
        </w:rPr>
      </w:pPr>
      <w:r>
        <w:rPr>
          <w:rFonts w:hint="eastAsia" w:ascii="宋体" w:hAnsi="宋体"/>
          <w:kern w:val="0"/>
          <w:sz w:val="24"/>
        </w:rPr>
        <w:t>（1）获取磋商文件时须提供：现场获取，携带本公告第九项资格要求（2）-（5）项的资格证明文件（均为原件）。以上证件需提供原件核查及复印件二份加盖公章留存，磋商文件售后不退。</w:t>
      </w:r>
    </w:p>
    <w:p>
      <w:pPr>
        <w:widowControl/>
        <w:spacing w:line="420" w:lineRule="exact"/>
        <w:ind w:firstLine="121" w:firstLineChars="50"/>
        <w:jc w:val="left"/>
        <w:rPr>
          <w:rFonts w:ascii="宋体" w:hAnsi="宋体"/>
          <w:kern w:val="0"/>
          <w:sz w:val="24"/>
        </w:rPr>
      </w:pPr>
      <w:r>
        <w:rPr>
          <w:rFonts w:hint="eastAsia" w:ascii="宋体" w:hAnsi="宋体"/>
          <w:kern w:val="0"/>
          <w:sz w:val="24"/>
        </w:rPr>
        <w:t>（2）获取时间：</w:t>
      </w:r>
      <w:r>
        <w:rPr>
          <w:rFonts w:hint="eastAsia" w:ascii="宋体" w:hAnsi="宋体"/>
          <w:kern w:val="0"/>
          <w:sz w:val="24"/>
          <w:lang w:eastAsia="zh-CN"/>
        </w:rPr>
        <w:t>2022</w:t>
      </w:r>
      <w:r>
        <w:rPr>
          <w:rFonts w:hint="eastAsia" w:ascii="宋体" w:hAnsi="宋体"/>
          <w:kern w:val="0"/>
          <w:sz w:val="24"/>
        </w:rPr>
        <w:t>年</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28</w:t>
      </w:r>
      <w:r>
        <w:rPr>
          <w:rFonts w:hint="eastAsia" w:ascii="宋体" w:hAnsi="宋体"/>
          <w:kern w:val="0"/>
          <w:sz w:val="24"/>
        </w:rPr>
        <w:t>日至</w:t>
      </w:r>
      <w:r>
        <w:rPr>
          <w:rFonts w:hint="eastAsia" w:ascii="宋体" w:hAnsi="宋体"/>
          <w:kern w:val="0"/>
          <w:sz w:val="24"/>
          <w:lang w:eastAsia="zh-CN"/>
        </w:rPr>
        <w:t>2022</w:t>
      </w:r>
      <w:r>
        <w:rPr>
          <w:rFonts w:hint="eastAsia" w:ascii="宋体" w:hAnsi="宋体"/>
          <w:kern w:val="0"/>
          <w:sz w:val="24"/>
        </w:rPr>
        <w:t>年</w:t>
      </w:r>
      <w:r>
        <w:rPr>
          <w:rFonts w:hint="eastAsia" w:ascii="宋体" w:hAnsi="宋体"/>
          <w:kern w:val="0"/>
          <w:sz w:val="24"/>
          <w:lang w:val="en-US" w:eastAsia="zh-CN"/>
        </w:rPr>
        <w:t>5</w:t>
      </w:r>
      <w:r>
        <w:rPr>
          <w:rFonts w:hint="eastAsia" w:ascii="宋体" w:hAnsi="宋体"/>
          <w:kern w:val="0"/>
          <w:sz w:val="24"/>
        </w:rPr>
        <w:t>月</w:t>
      </w:r>
      <w:r>
        <w:rPr>
          <w:rFonts w:hint="eastAsia" w:ascii="宋体" w:hAnsi="宋体"/>
          <w:kern w:val="0"/>
          <w:sz w:val="24"/>
          <w:lang w:val="en-US" w:eastAsia="zh-CN"/>
        </w:rPr>
        <w:t>10</w:t>
      </w:r>
      <w:r>
        <w:rPr>
          <w:rFonts w:hint="eastAsia" w:ascii="宋体" w:hAnsi="宋体"/>
          <w:kern w:val="0"/>
          <w:sz w:val="24"/>
        </w:rPr>
        <w:t xml:space="preserve"> 日（节假日除外），上午10:00至13:00，下午16:00至19:00（北京时间）。</w:t>
      </w:r>
    </w:p>
    <w:p>
      <w:pPr>
        <w:widowControl/>
        <w:spacing w:line="420" w:lineRule="exact"/>
        <w:ind w:firstLine="121" w:firstLineChars="50"/>
        <w:jc w:val="left"/>
        <w:rPr>
          <w:rFonts w:ascii="宋体" w:hAnsi="宋体"/>
          <w:kern w:val="0"/>
          <w:sz w:val="24"/>
        </w:rPr>
      </w:pPr>
      <w:r>
        <w:rPr>
          <w:rFonts w:hint="eastAsia" w:ascii="宋体" w:hAnsi="宋体"/>
          <w:kern w:val="0"/>
          <w:sz w:val="24"/>
        </w:rPr>
        <w:t>（3）获取地点：新疆华域建设工程项目管理咨询有限公司。</w:t>
      </w:r>
    </w:p>
    <w:p>
      <w:pPr>
        <w:spacing w:line="420" w:lineRule="exact"/>
        <w:rPr>
          <w:rFonts w:ascii="宋体" w:hAnsi="宋体"/>
          <w:sz w:val="24"/>
        </w:rPr>
      </w:pPr>
      <w:r>
        <w:rPr>
          <w:rFonts w:hint="eastAsia" w:ascii="宋体" w:hAnsi="宋体"/>
          <w:b/>
          <w:sz w:val="24"/>
        </w:rPr>
        <w:t>十一、投标文件递交截止时间及开标时间：</w:t>
      </w:r>
      <w:r>
        <w:rPr>
          <w:rFonts w:hint="eastAsia" w:ascii="宋体" w:hAnsi="宋体"/>
          <w:sz w:val="24"/>
          <w:lang w:eastAsia="zh-CN"/>
        </w:rPr>
        <w:t>2022</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11</w:t>
      </w:r>
      <w:r>
        <w:rPr>
          <w:rFonts w:hint="eastAsia" w:ascii="宋体" w:hAnsi="宋体"/>
          <w:sz w:val="24"/>
        </w:rPr>
        <w:t xml:space="preserve">日 </w:t>
      </w:r>
      <w:r>
        <w:rPr>
          <w:rFonts w:hint="eastAsia" w:ascii="宋体" w:hAnsi="宋体"/>
          <w:sz w:val="24"/>
          <w:lang w:val="en-US" w:eastAsia="zh-CN"/>
        </w:rPr>
        <w:t>16</w:t>
      </w:r>
      <w:r>
        <w:rPr>
          <w:rFonts w:hint="eastAsia" w:ascii="宋体" w:hAnsi="宋体"/>
          <w:sz w:val="24"/>
        </w:rPr>
        <w:t>:00（北京时间）。</w:t>
      </w:r>
    </w:p>
    <w:p>
      <w:pPr>
        <w:spacing w:line="420" w:lineRule="exact"/>
        <w:rPr>
          <w:rFonts w:ascii="宋体" w:hAnsi="宋体"/>
          <w:kern w:val="0"/>
          <w:sz w:val="24"/>
        </w:rPr>
      </w:pPr>
      <w:r>
        <w:rPr>
          <w:rFonts w:hint="eastAsia" w:ascii="宋体" w:hAnsi="宋体"/>
          <w:b/>
          <w:sz w:val="24"/>
        </w:rPr>
        <w:t>十二、</w:t>
      </w:r>
      <w:r>
        <w:rPr>
          <w:rFonts w:ascii="宋体" w:hAnsi="宋体"/>
          <w:b/>
          <w:sz w:val="24"/>
        </w:rPr>
        <w:t>开标地点：</w:t>
      </w:r>
      <w:r>
        <w:rPr>
          <w:rFonts w:hint="eastAsia" w:ascii="宋体" w:hAnsi="宋体"/>
          <w:kern w:val="0"/>
          <w:sz w:val="24"/>
        </w:rPr>
        <w:t>新疆华域建设工程项目管理咨询有限公司开标室（乌鲁木齐市五星北路194号新地园大厦13楼）</w:t>
      </w:r>
    </w:p>
    <w:p>
      <w:pPr>
        <w:widowControl/>
        <w:spacing w:line="420" w:lineRule="exact"/>
        <w:jc w:val="left"/>
        <w:rPr>
          <w:rFonts w:ascii="宋体" w:hAnsi="宋体"/>
          <w:b/>
          <w:sz w:val="24"/>
        </w:rPr>
      </w:pPr>
      <w:r>
        <w:rPr>
          <w:rFonts w:ascii="宋体" w:hAnsi="宋体"/>
          <w:b/>
          <w:sz w:val="24"/>
        </w:rPr>
        <w:t>十</w:t>
      </w:r>
      <w:r>
        <w:rPr>
          <w:rFonts w:hint="eastAsia" w:ascii="宋体" w:hAnsi="宋体"/>
          <w:b/>
          <w:sz w:val="24"/>
        </w:rPr>
        <w:t>三</w:t>
      </w:r>
      <w:r>
        <w:rPr>
          <w:rFonts w:ascii="宋体" w:hAnsi="宋体"/>
          <w:b/>
          <w:sz w:val="24"/>
        </w:rPr>
        <w:t>、联系方式</w:t>
      </w:r>
    </w:p>
    <w:p>
      <w:pPr>
        <w:widowControl/>
        <w:spacing w:line="420" w:lineRule="exact"/>
        <w:ind w:firstLine="486" w:firstLineChars="200"/>
        <w:jc w:val="left"/>
        <w:rPr>
          <w:rFonts w:ascii="宋体" w:hAnsi="宋体"/>
          <w:kern w:val="0"/>
          <w:sz w:val="24"/>
        </w:rPr>
      </w:pPr>
      <w:r>
        <w:rPr>
          <w:rFonts w:hint="eastAsia" w:ascii="宋体" w:hAnsi="宋体"/>
          <w:kern w:val="0"/>
          <w:sz w:val="24"/>
        </w:rPr>
        <w:t>采购</w:t>
      </w:r>
      <w:r>
        <w:rPr>
          <w:rFonts w:ascii="宋体" w:hAnsi="宋体"/>
          <w:kern w:val="0"/>
          <w:sz w:val="24"/>
        </w:rPr>
        <w:t>人：</w:t>
      </w:r>
      <w:r>
        <w:rPr>
          <w:rFonts w:hint="eastAsia" w:ascii="宋体" w:hAnsi="宋体"/>
          <w:kern w:val="0"/>
          <w:sz w:val="24"/>
        </w:rPr>
        <w:t>新疆美术馆(自治区书法艺术发展中心)</w:t>
      </w:r>
    </w:p>
    <w:p>
      <w:pPr>
        <w:widowControl/>
        <w:spacing w:line="420" w:lineRule="exact"/>
        <w:ind w:firstLine="486" w:firstLineChars="200"/>
        <w:jc w:val="left"/>
        <w:rPr>
          <w:rFonts w:hint="eastAsia" w:ascii="宋体" w:hAnsi="宋体" w:eastAsia="宋体"/>
          <w:kern w:val="0"/>
          <w:sz w:val="24"/>
          <w:highlight w:val="yellow"/>
          <w:lang w:eastAsia="zh-CN"/>
        </w:rPr>
      </w:pPr>
      <w:r>
        <w:rPr>
          <w:rFonts w:hint="eastAsia" w:ascii="宋体" w:hAnsi="宋体"/>
          <w:kern w:val="0"/>
          <w:sz w:val="24"/>
          <w:highlight w:val="yellow"/>
        </w:rPr>
        <w:t>联系人：</w:t>
      </w:r>
      <w:r>
        <w:rPr>
          <w:rFonts w:hint="eastAsia" w:ascii="宋体" w:hAnsi="宋体"/>
          <w:kern w:val="0"/>
          <w:sz w:val="24"/>
          <w:highlight w:val="yellow"/>
          <w:lang w:val="en-US" w:eastAsia="zh-CN"/>
        </w:rPr>
        <w:t xml:space="preserve"> </w:t>
      </w:r>
    </w:p>
    <w:p>
      <w:pPr>
        <w:widowControl/>
        <w:spacing w:line="420" w:lineRule="exact"/>
        <w:ind w:firstLine="486" w:firstLineChars="200"/>
        <w:jc w:val="left"/>
        <w:rPr>
          <w:rFonts w:hint="eastAsia" w:ascii="宋体" w:hAnsi="宋体" w:eastAsia="宋体"/>
          <w:kern w:val="0"/>
          <w:sz w:val="24"/>
          <w:highlight w:val="yellow"/>
          <w:lang w:eastAsia="zh-CN"/>
        </w:rPr>
      </w:pPr>
      <w:r>
        <w:rPr>
          <w:rFonts w:hint="eastAsia" w:ascii="宋体" w:hAnsi="宋体"/>
          <w:kern w:val="0"/>
          <w:sz w:val="24"/>
          <w:highlight w:val="yellow"/>
        </w:rPr>
        <w:t>联系方式：</w:t>
      </w:r>
      <w:r>
        <w:rPr>
          <w:rFonts w:hint="eastAsia" w:ascii="宋体" w:hAnsi="宋体"/>
          <w:kern w:val="0"/>
          <w:sz w:val="24"/>
          <w:highlight w:val="yellow"/>
          <w:lang w:val="en-US" w:eastAsia="zh-CN"/>
        </w:rPr>
        <w:t xml:space="preserve"> </w:t>
      </w:r>
    </w:p>
    <w:p>
      <w:pPr>
        <w:widowControl/>
        <w:spacing w:line="420" w:lineRule="exact"/>
        <w:ind w:firstLine="486" w:firstLineChars="200"/>
        <w:jc w:val="left"/>
        <w:rPr>
          <w:rFonts w:ascii="宋体" w:hAnsi="宋体"/>
          <w:kern w:val="0"/>
          <w:sz w:val="24"/>
        </w:rPr>
      </w:pPr>
      <w:r>
        <w:rPr>
          <w:rFonts w:ascii="宋体" w:hAnsi="宋体"/>
          <w:kern w:val="0"/>
          <w:sz w:val="24"/>
        </w:rPr>
        <w:t>地 址：新疆乌鲁木齐市友好北路167号</w:t>
      </w:r>
    </w:p>
    <w:p>
      <w:pPr>
        <w:widowControl/>
        <w:spacing w:line="420" w:lineRule="exact"/>
        <w:ind w:firstLine="486" w:firstLineChars="200"/>
        <w:jc w:val="left"/>
        <w:rPr>
          <w:rFonts w:ascii="宋体" w:hAnsi="宋体"/>
          <w:kern w:val="0"/>
          <w:sz w:val="24"/>
        </w:rPr>
      </w:pPr>
      <w:r>
        <w:rPr>
          <w:rFonts w:ascii="宋体" w:hAnsi="宋体"/>
          <w:kern w:val="0"/>
          <w:sz w:val="24"/>
        </w:rPr>
        <w:t>磋商代理机构：</w:t>
      </w:r>
      <w:r>
        <w:rPr>
          <w:rFonts w:hint="eastAsia" w:ascii="宋体" w:hAnsi="宋体"/>
          <w:kern w:val="0"/>
          <w:sz w:val="24"/>
        </w:rPr>
        <w:t>新疆华域建设工程项目管理咨询有限公司</w:t>
      </w:r>
    </w:p>
    <w:p>
      <w:pPr>
        <w:widowControl/>
        <w:spacing w:line="420" w:lineRule="exact"/>
        <w:ind w:firstLine="486" w:firstLineChars="200"/>
        <w:jc w:val="left"/>
        <w:rPr>
          <w:rFonts w:ascii="宋体" w:hAnsi="宋体"/>
          <w:kern w:val="0"/>
          <w:sz w:val="24"/>
        </w:rPr>
      </w:pPr>
      <w:r>
        <w:rPr>
          <w:rFonts w:ascii="宋体" w:hAnsi="宋体"/>
          <w:kern w:val="0"/>
          <w:sz w:val="24"/>
        </w:rPr>
        <w:t>地  址：</w:t>
      </w:r>
      <w:r>
        <w:rPr>
          <w:rFonts w:hint="eastAsia" w:ascii="宋体" w:hAnsi="宋体"/>
          <w:kern w:val="0"/>
          <w:sz w:val="24"/>
        </w:rPr>
        <w:t>乌鲁木齐市五星北路194号新地园大厦13楼</w:t>
      </w:r>
    </w:p>
    <w:p>
      <w:pPr>
        <w:widowControl/>
        <w:spacing w:line="420" w:lineRule="exact"/>
        <w:ind w:firstLine="486" w:firstLineChars="200"/>
        <w:jc w:val="left"/>
        <w:rPr>
          <w:rFonts w:ascii="宋体" w:hAnsi="宋体"/>
          <w:kern w:val="0"/>
          <w:sz w:val="24"/>
        </w:rPr>
      </w:pPr>
      <w:r>
        <w:rPr>
          <w:rFonts w:ascii="宋体" w:hAnsi="宋体"/>
          <w:kern w:val="0"/>
          <w:sz w:val="24"/>
        </w:rPr>
        <w:t>联系人</w:t>
      </w:r>
      <w:r>
        <w:rPr>
          <w:rFonts w:hint="eastAsia" w:ascii="宋体" w:hAnsi="宋体"/>
          <w:kern w:val="0"/>
          <w:sz w:val="24"/>
        </w:rPr>
        <w:t>：李娟娟、王鹤宇、马老师</w:t>
      </w:r>
    </w:p>
    <w:p>
      <w:pPr>
        <w:pStyle w:val="51"/>
        <w:spacing w:before="0" w:beforeAutospacing="0" w:after="0" w:afterAutospacing="0" w:line="264" w:lineRule="auto"/>
        <w:ind w:firstLine="486" w:firstLineChars="200"/>
      </w:pPr>
      <w:r>
        <w:rPr>
          <w:rFonts w:hint="eastAsia"/>
        </w:rPr>
        <w:t>联系方式：13179816599、18997972745、0991-4630336</w:t>
      </w: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rPr>
          <w:rFonts w:hint="eastAsia"/>
          <w:lang w:eastAsia="zh-CN"/>
        </w:rPr>
      </w:pPr>
    </w:p>
    <w:p>
      <w:pPr>
        <w:pStyle w:val="51"/>
        <w:spacing w:before="0" w:beforeAutospacing="0" w:after="0" w:afterAutospacing="0" w:line="264" w:lineRule="auto"/>
        <w:ind w:firstLine="486" w:firstLineChars="200"/>
        <w:rPr>
          <w:rFonts w:hint="eastAsia"/>
          <w:lang w:eastAsia="zh-CN"/>
        </w:rPr>
      </w:pPr>
    </w:p>
    <w:p>
      <w:pPr>
        <w:pStyle w:val="51"/>
        <w:spacing w:before="0" w:beforeAutospacing="0" w:after="0" w:afterAutospacing="0" w:line="264" w:lineRule="auto"/>
        <w:ind w:firstLine="486" w:firstLineChars="200"/>
        <w:rPr>
          <w:rFonts w:hint="eastAsia"/>
          <w:lang w:eastAsia="zh-CN"/>
        </w:rPr>
      </w:pPr>
    </w:p>
    <w:p>
      <w:pPr>
        <w:pStyle w:val="51"/>
        <w:spacing w:before="0" w:beforeAutospacing="0" w:after="0" w:afterAutospacing="0" w:line="264" w:lineRule="auto"/>
        <w:ind w:firstLine="486" w:firstLineChars="200"/>
        <w:rPr>
          <w:rFonts w:hint="eastAsia"/>
          <w:lang w:eastAsia="zh-CN"/>
        </w:rPr>
      </w:pPr>
    </w:p>
    <w:p>
      <w:pPr>
        <w:pStyle w:val="51"/>
        <w:spacing w:before="0" w:beforeAutospacing="0" w:after="0" w:afterAutospacing="0" w:line="264" w:lineRule="auto"/>
        <w:ind w:firstLine="486" w:firstLineChars="200"/>
        <w:rPr>
          <w:rFonts w:hint="eastAsia"/>
          <w:lang w:eastAsia="zh-CN"/>
        </w:rPr>
      </w:pPr>
    </w:p>
    <w:p>
      <w:pPr>
        <w:pStyle w:val="51"/>
        <w:spacing w:before="0" w:beforeAutospacing="0" w:after="0" w:afterAutospacing="0" w:line="264" w:lineRule="auto"/>
      </w:pPr>
    </w:p>
    <w:p>
      <w:pPr>
        <w:pStyle w:val="51"/>
        <w:spacing w:before="0" w:beforeAutospacing="0" w:after="0" w:afterAutospacing="0" w:line="264" w:lineRule="auto"/>
      </w:pPr>
    </w:p>
    <w:p>
      <w:pPr>
        <w:pStyle w:val="51"/>
        <w:spacing w:before="0" w:beforeAutospacing="0" w:after="0" w:afterAutospacing="0" w:line="264" w:lineRule="auto"/>
      </w:pPr>
    </w:p>
    <w:p>
      <w:pPr>
        <w:pStyle w:val="51"/>
        <w:spacing w:before="0" w:beforeAutospacing="0" w:after="0" w:afterAutospacing="0" w:line="264" w:lineRule="auto"/>
      </w:pPr>
    </w:p>
    <w:p>
      <w:pPr>
        <w:pStyle w:val="3"/>
        <w:numPr>
          <w:ilvl w:val="0"/>
          <w:numId w:val="12"/>
        </w:numPr>
        <w:spacing w:line="36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投标须知前附表及投标须知</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24"/>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b/>
          <w:bCs/>
          <w:kern w:val="0"/>
          <w:sz w:val="24"/>
        </w:rPr>
        <w:t>一、投标须知前附表</w:t>
      </w:r>
    </w:p>
    <w:tbl>
      <w:tblPr>
        <w:tblStyle w:val="57"/>
        <w:tblpPr w:leftFromText="180" w:rightFromText="180" w:vertAnchor="text" w:horzAnchor="page" w:tblpX="1817" w:tblpY="337"/>
        <w:tblOverlap w:val="never"/>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68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项号</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内  容</w:t>
            </w:r>
          </w:p>
        </w:tc>
        <w:tc>
          <w:tcPr>
            <w:tcW w:w="684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Merge w:val="restart"/>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１</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项目名称</w:t>
            </w:r>
          </w:p>
        </w:tc>
        <w:tc>
          <w:tcPr>
            <w:tcW w:w="6840" w:type="dxa"/>
            <w:vAlign w:val="center"/>
          </w:tcPr>
          <w:p>
            <w:pPr>
              <w:shd w:val="clear" w:color="auto" w:fill="FFFFFF"/>
              <w:autoSpaceDE w:val="0"/>
              <w:autoSpaceDN w:val="0"/>
              <w:spacing w:line="360" w:lineRule="exact"/>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sz w:val="24"/>
                <w:shd w:val="clear" w:color="auto" w:fill="FFFFFF"/>
                <w:lang w:eastAsia="zh-CN"/>
              </w:rPr>
              <w:t>新疆美术馆油画作品修复服务项目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服务地点</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采购方式</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资金来源</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采购内容</w:t>
            </w:r>
          </w:p>
        </w:tc>
        <w:tc>
          <w:tcPr>
            <w:tcW w:w="6840" w:type="dxa"/>
            <w:vAlign w:val="center"/>
          </w:tcPr>
          <w:p>
            <w:pPr>
              <w:widowControl/>
              <w:shd w:val="clear" w:color="auto" w:fill="FFFFFF"/>
              <w:spacing w:line="500" w:lineRule="exact"/>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kern w:val="0"/>
                <w:sz w:val="24"/>
              </w:rPr>
              <w:t>具体详见磋商文件第五部分技术参数及要求。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最高限价</w:t>
            </w:r>
          </w:p>
        </w:tc>
        <w:tc>
          <w:tcPr>
            <w:tcW w:w="6840" w:type="dxa"/>
            <w:vAlign w:val="center"/>
          </w:tcPr>
          <w:p>
            <w:pPr>
              <w:shd w:val="clear" w:color="auto" w:fill="FFFFFF"/>
              <w:autoSpaceDE w:val="0"/>
              <w:autoSpaceDN w:val="0"/>
              <w:spacing w:line="360" w:lineRule="exac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bCs/>
                <w:kern w:val="0"/>
                <w:sz w:val="24"/>
              </w:rPr>
              <w:t>30万元</w:t>
            </w:r>
            <w:r>
              <w:rPr>
                <w:rFonts w:hint="eastAsia" w:asciiTheme="minorEastAsia" w:hAnsiTheme="minorEastAsia" w:eastAsiaTheme="minorEastAsia" w:cstheme="minorEastAsia"/>
                <w:bCs/>
                <w:kern w:val="0"/>
                <w:sz w:val="24"/>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4</w:t>
            </w:r>
          </w:p>
        </w:tc>
        <w:tc>
          <w:tcPr>
            <w:tcW w:w="1560" w:type="dxa"/>
            <w:vAlign w:val="center"/>
          </w:tcPr>
          <w:p>
            <w:pPr>
              <w:shd w:val="clear" w:color="auto" w:fill="FFFFFF"/>
              <w:autoSpaceDE w:val="0"/>
              <w:autoSpaceDN w:val="0"/>
              <w:spacing w:line="360" w:lineRule="exact"/>
              <w:ind w:firstLine="243" w:firstLineChars="100"/>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质量标准</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5</w:t>
            </w:r>
          </w:p>
        </w:tc>
        <w:tc>
          <w:tcPr>
            <w:tcW w:w="1560" w:type="dxa"/>
            <w:vAlign w:val="center"/>
          </w:tcPr>
          <w:p>
            <w:pPr>
              <w:shd w:val="clear" w:color="auto" w:fill="FFFFFF"/>
              <w:autoSpaceDE w:val="0"/>
              <w:autoSpaceDN w:val="0"/>
              <w:spacing w:line="360" w:lineRule="exact"/>
              <w:jc w:val="center"/>
              <w:rPr>
                <w:rFonts w:hint="default"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t>服务期限</w:t>
            </w:r>
          </w:p>
        </w:tc>
        <w:tc>
          <w:tcPr>
            <w:tcW w:w="6840" w:type="dxa"/>
            <w:vAlign w:val="center"/>
          </w:tcPr>
          <w:p>
            <w:pPr>
              <w:shd w:val="clear" w:color="auto" w:fill="FFFFFF"/>
              <w:autoSpaceDE w:val="0"/>
              <w:autoSpaceDN w:val="0"/>
              <w:spacing w:line="360" w:lineRule="exac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服务期限2年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6</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投标人资格要求</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（1）符合《中华人民共和国政府采购法》第二十二条规定，有能力提供本项目全部采购内容及服务能力的供应商；</w:t>
            </w:r>
          </w:p>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（2）本项目要求投标人具备独立法人资格，具备有效的工商营业执照、税务登记证、组织机构代码证或“三证合一”的营业执照；</w:t>
            </w:r>
          </w:p>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（3）有依法缴纳社会保障资金的良好记录（提供近三月社保缴纳证明）；</w:t>
            </w:r>
          </w:p>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（4）投标人应在中国政府采购网（www.ccgp.gov.cn）“政府采购严重违法失信行为信息记录”信用记录查询结果（需注明截止时间，不得早于招标公告发布日期）打印页面并加盖公章；</w:t>
            </w:r>
          </w:p>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（5）提供法人授权委托书原件及被授权人身份证原件，授权委托人须为投标人缴纳社保人员；</w:t>
            </w:r>
          </w:p>
          <w:p>
            <w:pPr>
              <w:shd w:val="clear" w:color="auto" w:fill="FFFFFF"/>
              <w:autoSpaceDE w:val="0"/>
              <w:autoSpaceDN w:val="0"/>
              <w:spacing w:line="360" w:lineRule="exact"/>
              <w:rPr>
                <w:rFonts w:asciiTheme="minorEastAsia" w:hAnsiTheme="minorEastAsia" w:eastAsiaTheme="minorEastAsia" w:cstheme="minorEastAsia"/>
              </w:rPr>
            </w:pPr>
            <w:r>
              <w:rPr>
                <w:rFonts w:hint="eastAsia" w:asciiTheme="minorEastAsia" w:hAnsiTheme="minorEastAsia" w:eastAsiaTheme="minorEastAsia" w:cstheme="minorEastAsia"/>
                <w:bCs/>
                <w:kern w:val="0"/>
                <w:sz w:val="24"/>
              </w:rPr>
              <w:t>（6）本次招标不接受联合体。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7</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信用查询</w:t>
            </w:r>
          </w:p>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时间</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sz w:val="24"/>
              </w:rPr>
              <w:t>投标截止时间前一天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8</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投标文件</w:t>
            </w:r>
          </w:p>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份数</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正本</w:t>
            </w:r>
            <w:r>
              <w:rPr>
                <w:rFonts w:hint="eastAsia" w:asciiTheme="minorEastAsia" w:hAnsiTheme="minorEastAsia" w:eastAsiaTheme="minorEastAsia" w:cstheme="minorEastAsia"/>
                <w:bCs/>
                <w:kern w:val="0"/>
                <w:sz w:val="24"/>
                <w:u w:val="single"/>
              </w:rPr>
              <w:t xml:space="preserve">  1  </w:t>
            </w:r>
            <w:r>
              <w:rPr>
                <w:rFonts w:hint="eastAsia" w:asciiTheme="minorEastAsia" w:hAnsiTheme="minorEastAsia" w:eastAsiaTheme="minorEastAsia" w:cstheme="minorEastAsia"/>
                <w:bCs/>
                <w:kern w:val="0"/>
                <w:sz w:val="24"/>
              </w:rPr>
              <w:t>份，副本</w:t>
            </w:r>
            <w:r>
              <w:rPr>
                <w:rFonts w:hint="eastAsia" w:asciiTheme="minorEastAsia" w:hAnsiTheme="minorEastAsia" w:eastAsiaTheme="minorEastAsia" w:cstheme="minorEastAsia"/>
                <w:bCs/>
                <w:kern w:val="0"/>
                <w:sz w:val="24"/>
                <w:u w:val="single"/>
              </w:rPr>
              <w:t xml:space="preserve">  4  </w:t>
            </w:r>
            <w:r>
              <w:rPr>
                <w:rFonts w:hint="eastAsia" w:asciiTheme="minorEastAsia" w:hAnsiTheme="minorEastAsia" w:eastAsiaTheme="minorEastAsia" w:cstheme="minorEastAsia"/>
                <w:bCs/>
                <w:kern w:val="0"/>
                <w:sz w:val="24"/>
              </w:rPr>
              <w:t>份，开标一览表1份（单独密封）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9</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投标文件递交截止时间</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截止日期：</w:t>
            </w:r>
            <w:r>
              <w:rPr>
                <w:rFonts w:hint="eastAsia" w:asciiTheme="minorEastAsia" w:hAnsiTheme="minorEastAsia" w:eastAsiaTheme="minorEastAsia" w:cstheme="minorEastAsia"/>
                <w:sz w:val="24"/>
                <w:u w:val="single"/>
                <w:lang w:eastAsia="zh-CN"/>
              </w:rPr>
              <w:t>2022</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lang w:val="en-US" w:eastAsia="zh-CN"/>
              </w:rPr>
              <w:t>11</w:t>
            </w:r>
            <w:r>
              <w:rPr>
                <w:rFonts w:hint="eastAsia" w:asciiTheme="minorEastAsia" w:hAnsiTheme="minorEastAsia" w:eastAsiaTheme="minorEastAsia" w:cstheme="minorEastAsia"/>
                <w:sz w:val="24"/>
              </w:rPr>
              <w:t>日；</w:t>
            </w:r>
          </w:p>
          <w:p>
            <w:pPr>
              <w:shd w:val="clear" w:color="auto" w:fill="FFFFFF"/>
              <w:autoSpaceDE w:val="0"/>
              <w:autoSpaceDN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u w:val="single"/>
                <w:lang w:val="en-US" w:eastAsia="zh-CN"/>
              </w:rPr>
              <w:t>16</w:t>
            </w:r>
            <w:r>
              <w:rPr>
                <w:rFonts w:hint="eastAsia" w:asciiTheme="minorEastAsia" w:hAnsiTheme="minorEastAsia" w:eastAsiaTheme="minorEastAsia" w:cstheme="minorEastAsia"/>
                <w:sz w:val="24"/>
                <w:u w:val="single"/>
              </w:rPr>
              <w:t>：00时</w:t>
            </w:r>
            <w:r>
              <w:rPr>
                <w:rFonts w:hint="eastAsia" w:asciiTheme="minorEastAsia" w:hAnsiTheme="minorEastAsia" w:eastAsiaTheme="minorEastAsia" w:cstheme="minorEastAsia"/>
                <w:sz w:val="24"/>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10</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投标有效期</w:t>
            </w:r>
          </w:p>
        </w:tc>
        <w:tc>
          <w:tcPr>
            <w:tcW w:w="6840" w:type="dxa"/>
            <w:vAlign w:val="center"/>
          </w:tcPr>
          <w:p>
            <w:pPr>
              <w:shd w:val="clear" w:color="auto" w:fill="FFFFFF"/>
              <w:tabs>
                <w:tab w:val="center" w:pos="3312"/>
              </w:tabs>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投标截止之日起</w:t>
            </w:r>
            <w:r>
              <w:rPr>
                <w:rFonts w:hint="eastAsia" w:asciiTheme="minorEastAsia" w:hAnsiTheme="minorEastAsia" w:eastAsiaTheme="minorEastAsia" w:cstheme="minorEastAsia"/>
                <w:bCs/>
                <w:kern w:val="0"/>
                <w:sz w:val="24"/>
                <w:u w:val="single"/>
              </w:rPr>
              <w:t>90</w:t>
            </w:r>
            <w:r>
              <w:rPr>
                <w:rFonts w:hint="eastAsia" w:asciiTheme="minorEastAsia" w:hAnsiTheme="minorEastAsia" w:eastAsiaTheme="minorEastAsia" w:cstheme="minorEastAsia"/>
                <w:bCs/>
                <w:kern w:val="0"/>
                <w:sz w:val="24"/>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11</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投标文件递交地点</w:t>
            </w:r>
          </w:p>
        </w:tc>
        <w:tc>
          <w:tcPr>
            <w:tcW w:w="6840" w:type="dxa"/>
            <w:vAlign w:val="center"/>
          </w:tcPr>
          <w:p>
            <w:pPr>
              <w:widowControl/>
              <w:shd w:val="clear" w:color="auto" w:fill="FFFFFF"/>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bCs/>
                <w:kern w:val="0"/>
                <w:sz w:val="24"/>
              </w:rPr>
              <w:t>同开标地点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12</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磋商时间、地点</w:t>
            </w:r>
          </w:p>
        </w:tc>
        <w:tc>
          <w:tcPr>
            <w:tcW w:w="6840" w:type="dxa"/>
            <w:vAlign w:val="center"/>
          </w:tcPr>
          <w:p>
            <w:pPr>
              <w:adjustRightInd w:val="0"/>
              <w:snapToGrid w:val="0"/>
              <w:spacing w:beforeLines="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磋商时间：</w:t>
            </w:r>
            <w:r>
              <w:rPr>
                <w:rFonts w:hint="eastAsia" w:asciiTheme="minorEastAsia" w:hAnsiTheme="minorEastAsia" w:eastAsiaTheme="minorEastAsia" w:cstheme="minorEastAsia"/>
                <w:kern w:val="0"/>
                <w:sz w:val="24"/>
                <w:lang w:eastAsia="zh-CN"/>
              </w:rPr>
              <w:t>2022</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月</w:t>
            </w:r>
            <w:r>
              <w:rPr>
                <w:rFonts w:hint="eastAsia" w:asciiTheme="minorEastAsia" w:hAnsiTheme="minorEastAsia" w:eastAsiaTheme="minorEastAsia" w:cstheme="minorEastAsia"/>
                <w:kern w:val="0"/>
                <w:sz w:val="24"/>
                <w:lang w:val="en-US" w:eastAsia="zh-CN"/>
              </w:rPr>
              <w:t>11</w:t>
            </w:r>
            <w:r>
              <w:rPr>
                <w:rFonts w:hint="eastAsia" w:asciiTheme="minorEastAsia" w:hAnsiTheme="minorEastAsia" w:eastAsiaTheme="minorEastAsia" w:cstheme="minorEastAsia"/>
                <w:kern w:val="0"/>
                <w:sz w:val="24"/>
              </w:rPr>
              <w:t>日</w:t>
            </w:r>
            <w:r>
              <w:rPr>
                <w:rFonts w:hint="eastAsia" w:asciiTheme="minorEastAsia" w:hAnsiTheme="minorEastAsia" w:eastAsiaTheme="minorEastAsia" w:cstheme="minorEastAsia"/>
                <w:kern w:val="0"/>
                <w:sz w:val="24"/>
                <w:lang w:val="en-US" w:eastAsia="zh-CN"/>
              </w:rPr>
              <w:t>16</w:t>
            </w:r>
            <w:bookmarkStart w:id="44" w:name="_GoBack"/>
            <w:bookmarkEnd w:id="44"/>
            <w:r>
              <w:rPr>
                <w:rFonts w:hint="eastAsia" w:asciiTheme="minorEastAsia" w:hAnsiTheme="minorEastAsia" w:eastAsiaTheme="minorEastAsia" w:cstheme="minorEastAsia"/>
                <w:kern w:val="0"/>
                <w:sz w:val="24"/>
              </w:rPr>
              <w:t xml:space="preserve">:00（北京时间）                        </w:t>
            </w:r>
          </w:p>
          <w:p>
            <w:pPr>
              <w:shd w:val="clear" w:color="auto" w:fill="FFFFFF"/>
              <w:autoSpaceDE w:val="0"/>
              <w:autoSpaceDN w:val="0"/>
              <w:spacing w:line="36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磋商地点：新疆华域建设工程项目管理咨询有限公司开标室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13</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评标标准</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14</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投标保证金</w:t>
            </w:r>
          </w:p>
        </w:tc>
        <w:tc>
          <w:tcPr>
            <w:tcW w:w="6840" w:type="dxa"/>
            <w:vAlign w:val="center"/>
          </w:tcPr>
          <w:p>
            <w:pPr>
              <w:pStyle w:val="82"/>
              <w:shd w:val="clear" w:color="auto" w:fill="FFFFFF"/>
              <w:spacing w:line="360" w:lineRule="exact"/>
              <w:ind w:firstLine="0" w:firstLineChars="0"/>
              <w:rPr>
                <w:rFonts w:ascii="宋体" w:eastAsia="宋体" w:cs="宋体"/>
                <w:bCs/>
                <w:kern w:val="0"/>
                <w:sz w:val="24"/>
                <w:szCs w:val="24"/>
              </w:rPr>
            </w:pPr>
            <w:r>
              <w:rPr>
                <w:rFonts w:hint="eastAsia" w:ascii="宋体" w:eastAsia="宋体" w:cs="宋体"/>
                <w:bCs/>
                <w:kern w:val="0"/>
                <w:sz w:val="24"/>
                <w:szCs w:val="24"/>
              </w:rPr>
              <w:t>投标保证金金额：</w:t>
            </w:r>
            <w:r>
              <w:rPr>
                <w:rFonts w:hint="eastAsia" w:ascii="宋体" w:eastAsia="宋体" w:cs="宋体"/>
                <w:bCs/>
                <w:kern w:val="0"/>
                <w:sz w:val="24"/>
                <w:szCs w:val="24"/>
                <w:lang w:val="en-US" w:eastAsia="zh-CN"/>
              </w:rPr>
              <w:t xml:space="preserve">  </w:t>
            </w:r>
            <w:r>
              <w:rPr>
                <w:rFonts w:hint="eastAsia" w:ascii="宋体" w:eastAsia="宋体" w:cs="宋体"/>
                <w:bCs/>
                <w:kern w:val="0"/>
                <w:sz w:val="24"/>
                <w:szCs w:val="24"/>
              </w:rPr>
              <w:t>元整（¥：</w:t>
            </w:r>
            <w:r>
              <w:rPr>
                <w:rFonts w:hint="eastAsia" w:ascii="宋体" w:eastAsia="宋体" w:cs="宋体"/>
                <w:bCs/>
                <w:kern w:val="0"/>
                <w:sz w:val="24"/>
                <w:szCs w:val="24"/>
                <w:lang w:val="en-US" w:eastAsia="zh-CN"/>
              </w:rPr>
              <w:t xml:space="preserve"> </w:t>
            </w:r>
            <w:r>
              <w:rPr>
                <w:rFonts w:hint="eastAsia" w:ascii="宋体" w:eastAsia="宋体" w:cs="宋体"/>
                <w:bCs/>
                <w:kern w:val="0"/>
                <w:sz w:val="24"/>
                <w:szCs w:val="24"/>
              </w:rPr>
              <w:t>.00元）</w:t>
            </w:r>
          </w:p>
          <w:p>
            <w:pPr>
              <w:adjustRightInd w:val="0"/>
              <w:snapToGrid w:val="0"/>
              <w:spacing w:line="380" w:lineRule="exact"/>
              <w:rPr>
                <w:rFonts w:ascii="宋体" w:hAnsi="宋体" w:cs="宋体"/>
                <w:sz w:val="24"/>
              </w:rPr>
            </w:pPr>
            <w:r>
              <w:rPr>
                <w:rFonts w:hint="eastAsia" w:ascii="宋体" w:hAnsi="宋体" w:cs="宋体"/>
                <w:sz w:val="24"/>
              </w:rPr>
              <w:t>账户信息：</w:t>
            </w:r>
          </w:p>
          <w:p>
            <w:pPr>
              <w:adjustRightInd w:val="0"/>
              <w:snapToGrid w:val="0"/>
              <w:spacing w:line="380" w:lineRule="exact"/>
              <w:rPr>
                <w:rFonts w:ascii="宋体" w:hAnsi="宋体" w:cs="宋体"/>
                <w:sz w:val="24"/>
              </w:rPr>
            </w:pPr>
            <w:r>
              <w:rPr>
                <w:rFonts w:hint="eastAsia" w:ascii="宋体" w:hAnsi="宋体" w:cs="宋体"/>
                <w:sz w:val="24"/>
              </w:rPr>
              <w:t>单位名称：新疆华域建设工程项目管理咨询有限公司</w:t>
            </w:r>
          </w:p>
          <w:p>
            <w:pPr>
              <w:adjustRightInd w:val="0"/>
              <w:snapToGrid w:val="0"/>
              <w:spacing w:line="380" w:lineRule="exact"/>
              <w:rPr>
                <w:rFonts w:ascii="宋体" w:hAnsi="宋体" w:cs="宋体"/>
                <w:sz w:val="24"/>
              </w:rPr>
            </w:pPr>
            <w:r>
              <w:rPr>
                <w:rFonts w:hint="eastAsia" w:ascii="宋体" w:hAnsi="宋体" w:cs="宋体"/>
                <w:sz w:val="24"/>
              </w:rPr>
              <w:t>开户行：中国银行乌鲁木齐市南湖东路支行</w:t>
            </w:r>
          </w:p>
          <w:p>
            <w:pPr>
              <w:adjustRightInd w:val="0"/>
              <w:snapToGrid w:val="0"/>
              <w:spacing w:line="380" w:lineRule="exact"/>
              <w:rPr>
                <w:rFonts w:ascii="宋体" w:hAnsi="宋体" w:cs="宋体"/>
                <w:sz w:val="24"/>
              </w:rPr>
            </w:pPr>
            <w:r>
              <w:rPr>
                <w:rFonts w:hint="eastAsia" w:ascii="宋体" w:hAnsi="宋体" w:cs="宋体"/>
                <w:sz w:val="24"/>
              </w:rPr>
              <w:t>账    号：107083025521</w:t>
            </w:r>
          </w:p>
          <w:p>
            <w:pPr>
              <w:adjustRightInd w:val="0"/>
              <w:snapToGrid w:val="0"/>
              <w:spacing w:line="380" w:lineRule="exact"/>
              <w:rPr>
                <w:rFonts w:ascii="宋体" w:hAnsi="宋体" w:cs="宋体"/>
                <w:sz w:val="24"/>
              </w:rPr>
            </w:pPr>
            <w:r>
              <w:rPr>
                <w:rFonts w:hint="eastAsia" w:ascii="宋体" w:hAnsi="宋体" w:cs="宋体"/>
                <w:sz w:val="24"/>
              </w:rPr>
              <w:t>行    号：104881006151</w:t>
            </w:r>
          </w:p>
          <w:p>
            <w:pPr>
              <w:adjustRightInd w:val="0"/>
              <w:snapToGrid w:val="0"/>
              <w:spacing w:line="380" w:lineRule="exact"/>
              <w:rPr>
                <w:rFonts w:ascii="宋体" w:hAnsi="宋体" w:cs="宋体"/>
                <w:sz w:val="24"/>
              </w:rPr>
            </w:pPr>
            <w:r>
              <w:rPr>
                <w:rFonts w:hint="eastAsia" w:ascii="宋体" w:hAnsi="宋体" w:cs="宋体"/>
                <w:sz w:val="24"/>
              </w:rPr>
              <w:t>退还保证金方式：电汇</w:t>
            </w:r>
          </w:p>
          <w:p>
            <w:pPr>
              <w:pStyle w:val="68"/>
              <w:numPr>
                <w:ilvl w:val="0"/>
                <w:numId w:val="13"/>
              </w:numPr>
              <w:rPr>
                <w:rFonts w:hAnsi="宋体" w:cs="宋体"/>
                <w:b/>
                <w:color w:val="auto"/>
                <w:szCs w:val="24"/>
              </w:rPr>
            </w:pPr>
            <w:r>
              <w:rPr>
                <w:rFonts w:hint="eastAsia" w:hAnsi="宋体" w:cs="宋体"/>
                <w:b/>
                <w:color w:val="auto"/>
                <w:szCs w:val="24"/>
              </w:rPr>
              <w:t>投标保证金的缴纳形式：投标保证金于投标截止时间（北京时间，以到账时间为准）之前，从投标人基本账户以银行电汇、网银的形式汇至或递交至磋商代理机构账户，各投标单位缴纳投标保证金时在附加信息及用途栏内注明“项目名称简写”（转）款时，应在用途栏（备注栏）准确注明“（简写项目名称）投标保证金”字样，由于未按要求注明信息而导致的一切后果由投标人承担。</w:t>
            </w:r>
          </w:p>
          <w:p>
            <w:pPr>
              <w:pStyle w:val="82"/>
              <w:shd w:val="clear" w:color="auto" w:fill="FFFFFF"/>
              <w:spacing w:line="360" w:lineRule="exact"/>
              <w:ind w:firstLine="0" w:firstLineChars="0"/>
              <w:rPr>
                <w:rFonts w:asciiTheme="minorEastAsia" w:hAnsiTheme="minorEastAsia" w:eastAsiaTheme="minorEastAsia" w:cstheme="minorEastAsia"/>
                <w:b/>
                <w:bCs/>
                <w:kern w:val="0"/>
                <w:sz w:val="24"/>
                <w:szCs w:val="24"/>
              </w:rPr>
            </w:pPr>
            <w:r>
              <w:rPr>
                <w:rFonts w:hint="eastAsia" w:ascii="宋体" w:eastAsia="宋体" w:cs="宋体"/>
                <w:b/>
                <w:sz w:val="24"/>
                <w:szCs w:val="24"/>
              </w:rPr>
              <w:t>退保证金须办理人携带以下资料到我公司办理手续：1.前来办理退还保证金的投标人代表，须持授权委托书及本人身份证（均为原件）及本人在投标单位缴纳社保证明材料。2.投标保证金汇款凭证及开户行许可证（均为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15</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投标文件密封</w:t>
            </w:r>
          </w:p>
        </w:tc>
        <w:tc>
          <w:tcPr>
            <w:tcW w:w="6840" w:type="dxa"/>
            <w:vAlign w:val="center"/>
          </w:tcPr>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1、投标文件分为开标一览表信封和投标文件袋，应包括下列内容：</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1.1开标一览表信封</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(1)开标一览表</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(2)投标保证金支付的凭证(也可以为网上银行汇款凭证)</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1.2投标文件袋（投标文件正副本）</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(3)投标文件</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(4)投标文件正本扫描电子版（Word格式）</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2、投标文件袋和《开标一览表》信封封面上应写明：</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采购人：</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项目名称：</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项目编号：</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w:t>
            </w:r>
          </w:p>
          <w:p>
            <w:pPr>
              <w:widowControl/>
              <w:spacing w:line="360" w:lineRule="exact"/>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法定代表人：</w:t>
            </w:r>
          </w:p>
          <w:p>
            <w:pPr>
              <w:widowControl/>
              <w:spacing w:line="360" w:lineRule="exact"/>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被授权代理人：</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地址：</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邮政编码：</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联系人：</w:t>
            </w:r>
          </w:p>
          <w:p>
            <w:pPr>
              <w:pStyle w:val="68"/>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t>联系电话：</w:t>
            </w:r>
          </w:p>
          <w:p>
            <w:pPr>
              <w:widowControl/>
              <w:spacing w:line="3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并标注“ 年 月 日 时 分开标前不得开启”，并在骑缝处加盖公章、法定代表人印章，并应确保密封完好。</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3、投标文件袋密封</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投标文件正本与副本分开密封装订后和投标文件电子版（光盘或u盘）可以密封在同一投标文件袋中。光盘封面或u盘请载明项目名称、项目编号、投标内容、公司名称）。</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光盘或u盘与投标文件恕不退还。</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4、开标一览表密封</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投标人必须单独制作“开标一览表”，并单独密封提交，开标一览表密封在一个信封内。</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5、投标文件袋及开标一览表信封密封盖章</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投标文件袋及开标一览表信封密封袋封口处须加盖投标公司公章及法人章，并注明“开标时启封”字样。</w:t>
            </w:r>
          </w:p>
          <w:p>
            <w:pPr>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kern w:val="0"/>
                <w:sz w:val="24"/>
              </w:rPr>
              <w:t>未按磋商文件前附表8投标文件制作及密封要求的，投标被拒绝。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16</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履约担保金额</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投标人提供的履约担保金额为：</w:t>
            </w:r>
            <w:r>
              <w:rPr>
                <w:rFonts w:hint="eastAsia" w:asciiTheme="minorEastAsia" w:hAnsiTheme="minorEastAsia" w:eastAsiaTheme="minorEastAsia" w:cstheme="minorEastAsia"/>
                <w:kern w:val="0"/>
                <w:sz w:val="24"/>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highlight w:val="yellow"/>
              </w:rPr>
            </w:pPr>
            <w:r>
              <w:rPr>
                <w:rFonts w:hint="eastAsia" w:asciiTheme="minorEastAsia" w:hAnsiTheme="minorEastAsia" w:eastAsiaTheme="minorEastAsia" w:cstheme="minorEastAsia"/>
                <w:b/>
                <w:kern w:val="0"/>
                <w:sz w:val="24"/>
                <w:highlight w:val="yellow"/>
              </w:rPr>
              <w:t>17</w:t>
            </w:r>
          </w:p>
        </w:tc>
        <w:tc>
          <w:tcPr>
            <w:tcW w:w="1560" w:type="dxa"/>
            <w:vAlign w:val="center"/>
          </w:tcPr>
          <w:p>
            <w:pPr>
              <w:shd w:val="clear" w:color="auto" w:fill="FFFFFF"/>
              <w:autoSpaceDE w:val="0"/>
              <w:autoSpaceDN w:val="0"/>
              <w:spacing w:line="360" w:lineRule="exact"/>
              <w:ind w:firstLine="243" w:firstLineChars="100"/>
              <w:rPr>
                <w:rFonts w:asciiTheme="minorEastAsia" w:hAnsiTheme="minorEastAsia" w:eastAsiaTheme="minorEastAsia" w:cstheme="minorEastAsia"/>
                <w:b/>
                <w:bCs/>
                <w:kern w:val="0"/>
                <w:sz w:val="24"/>
                <w:highlight w:val="yellow"/>
              </w:rPr>
            </w:pPr>
            <w:r>
              <w:rPr>
                <w:rFonts w:hint="eastAsia" w:asciiTheme="minorEastAsia" w:hAnsiTheme="minorEastAsia" w:eastAsiaTheme="minorEastAsia" w:cstheme="minorEastAsia"/>
                <w:b/>
                <w:bCs/>
                <w:kern w:val="0"/>
                <w:sz w:val="24"/>
                <w:highlight w:val="yellow"/>
              </w:rPr>
              <w:t>质保期</w:t>
            </w:r>
          </w:p>
        </w:tc>
        <w:tc>
          <w:tcPr>
            <w:tcW w:w="6840" w:type="dxa"/>
            <w:vAlign w:val="center"/>
          </w:tcPr>
          <w:p>
            <w:pPr>
              <w:spacing w:line="360" w:lineRule="auto"/>
              <w:rPr>
                <w:rFonts w:hint="eastAsia" w:asciiTheme="minorEastAsia" w:hAnsiTheme="minorEastAsia" w:eastAsiaTheme="minorEastAsia" w:cstheme="minorEastAsia"/>
                <w:bCs/>
                <w:sz w:val="24"/>
                <w:highlight w:val="yellow"/>
                <w:lang w:val="en-US" w:eastAsia="zh-CN"/>
              </w:rPr>
            </w:pPr>
            <w:r>
              <w:rPr>
                <w:rFonts w:hint="eastAsia" w:asciiTheme="minorEastAsia" w:hAnsiTheme="minorEastAsia" w:eastAsiaTheme="minorEastAsia" w:cstheme="minorEastAsia"/>
                <w:bCs/>
                <w:sz w:val="24"/>
                <w:highlight w:val="yellow"/>
                <w:lang w:val="en-US" w:eastAsia="zh-CN"/>
              </w:rPr>
              <w:t xml:space="preserve"> 修复完成后的三年内对作品进行两次维护保养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18</w:t>
            </w:r>
          </w:p>
        </w:tc>
        <w:tc>
          <w:tcPr>
            <w:tcW w:w="1560" w:type="dxa"/>
            <w:vAlign w:val="center"/>
          </w:tcPr>
          <w:p>
            <w:pPr>
              <w:shd w:val="clear" w:color="auto" w:fill="FFFFFF"/>
              <w:autoSpaceDE w:val="0"/>
              <w:autoSpaceDN w:val="0"/>
              <w:spacing w:line="360" w:lineRule="exact"/>
              <w:ind w:firstLine="243" w:firstLineChars="1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付款方式</w:t>
            </w:r>
          </w:p>
        </w:tc>
        <w:tc>
          <w:tcPr>
            <w:tcW w:w="6840" w:type="dxa"/>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签订合同时约定（质保金）合同总价5%。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75" w:type="dxa"/>
            <w:vAlign w:val="center"/>
          </w:tcPr>
          <w:p>
            <w:pPr>
              <w:shd w:val="clear" w:color="auto" w:fill="FFFFFF"/>
              <w:tabs>
                <w:tab w:val="left" w:pos="211"/>
              </w:tabs>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19</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kern w:val="1"/>
                <w:sz w:val="24"/>
              </w:rPr>
            </w:pPr>
            <w:r>
              <w:rPr>
                <w:rFonts w:hint="eastAsia" w:asciiTheme="minorEastAsia" w:hAnsiTheme="minorEastAsia" w:eastAsiaTheme="minorEastAsia" w:cstheme="minorEastAsia"/>
                <w:b/>
                <w:bCs/>
                <w:kern w:val="0"/>
                <w:sz w:val="24"/>
              </w:rPr>
              <w:t>磋商代理服务费</w:t>
            </w:r>
          </w:p>
        </w:tc>
        <w:tc>
          <w:tcPr>
            <w:tcW w:w="6840" w:type="dxa"/>
            <w:vAlign w:val="center"/>
          </w:tcPr>
          <w:p>
            <w:pPr>
              <w:spacing w:line="360" w:lineRule="auto"/>
              <w:jc w:val="left"/>
              <w:rPr>
                <w:rFonts w:asciiTheme="minorEastAsia" w:hAnsiTheme="minorEastAsia" w:eastAsiaTheme="minorEastAsia" w:cstheme="minorEastAsia"/>
                <w:kern w:val="1"/>
                <w:sz w:val="24"/>
              </w:rPr>
            </w:pPr>
            <w:r>
              <w:rPr>
                <w:rFonts w:hint="eastAsia" w:asciiTheme="minorEastAsia" w:hAnsiTheme="minorEastAsia" w:eastAsiaTheme="minorEastAsia" w:cstheme="minorEastAsia"/>
                <w:sz w:val="24"/>
              </w:rPr>
              <w:t>成交单位应向采购代理机构缴纳代理服务费及专家评审费，</w:t>
            </w:r>
            <w:r>
              <w:rPr>
                <w:rFonts w:hint="eastAsia" w:asciiTheme="minorEastAsia" w:hAnsiTheme="minorEastAsia" w:eastAsiaTheme="minorEastAsia" w:cstheme="minorEastAsia"/>
                <w:bCs/>
                <w:sz w:val="24"/>
              </w:rPr>
              <w:t>采购代理服务费按</w:t>
            </w:r>
            <w:r>
              <w:rPr>
                <w:rFonts w:hint="eastAsia" w:asciiTheme="minorEastAsia" w:hAnsiTheme="minorEastAsia" w:eastAsiaTheme="minorEastAsia" w:cstheme="minorEastAsia"/>
                <w:sz w:val="24"/>
              </w:rPr>
              <w:t>国家发改委计价格[2002]1980号文计取，由成交单位领取成交通知书时向采购代理机构缴纳。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20</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kern w:val="1"/>
                <w:sz w:val="24"/>
              </w:rPr>
            </w:pPr>
            <w:r>
              <w:rPr>
                <w:rFonts w:hint="eastAsia" w:asciiTheme="minorEastAsia" w:hAnsiTheme="minorEastAsia" w:eastAsiaTheme="minorEastAsia" w:cstheme="minorEastAsia"/>
                <w:b/>
                <w:bCs/>
                <w:kern w:val="0"/>
                <w:sz w:val="24"/>
              </w:rPr>
              <w:t>低于成本价不正当竞争预防措施</w:t>
            </w:r>
          </w:p>
        </w:tc>
        <w:tc>
          <w:tcPr>
            <w:tcW w:w="6840" w:type="dxa"/>
            <w:vAlign w:val="center"/>
          </w:tcPr>
          <w:p>
            <w:pPr>
              <w:spacing w:line="44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jc w:val="left"/>
              <w:rPr>
                <w:rFonts w:asciiTheme="minorEastAsia" w:hAnsiTheme="minorEastAsia" w:eastAsiaTheme="minorEastAsia" w:cstheme="minorEastAsia"/>
                <w:kern w:val="1"/>
                <w:sz w:val="24"/>
              </w:rPr>
            </w:pPr>
            <w:r>
              <w:rPr>
                <w:rFonts w:hint="eastAsia" w:asciiTheme="minorEastAsia" w:hAnsiTheme="minorEastAsia" w:eastAsiaTheme="minorEastAsia" w:cstheme="minorEastAsia"/>
                <w:sz w:val="24"/>
              </w:rPr>
              <w:t>供应商提供书面说明后，评标委员会应当结合采购项目磋商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21</w:t>
            </w:r>
          </w:p>
        </w:tc>
        <w:tc>
          <w:tcPr>
            <w:tcW w:w="1560" w:type="dxa"/>
            <w:vAlign w:val="center"/>
          </w:tcPr>
          <w:p>
            <w:pPr>
              <w:shd w:val="clear" w:color="auto" w:fill="FFFFFF"/>
              <w:autoSpaceDE w:val="0"/>
              <w:autoSpaceDN w:val="0"/>
              <w:spacing w:line="36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政府采购政策支持</w:t>
            </w:r>
          </w:p>
        </w:tc>
        <w:tc>
          <w:tcPr>
            <w:tcW w:w="6840" w:type="dxa"/>
          </w:tcPr>
          <w:p>
            <w:pPr>
              <w:spacing w:line="530" w:lineRule="exact"/>
              <w:jc w:val="left"/>
              <w:rPr>
                <w:rFonts w:ascii="宋体" w:hAnsi="宋体"/>
                <w:sz w:val="24"/>
              </w:rPr>
            </w:pPr>
            <w:r>
              <w:rPr>
                <w:rFonts w:ascii="宋体" w:hAnsi="宋体"/>
                <w:sz w:val="24"/>
              </w:rPr>
              <w:t>1</w:t>
            </w:r>
            <w:r>
              <w:rPr>
                <w:rFonts w:hint="eastAsia" w:ascii="宋体" w:hAnsi="宋体"/>
                <w:sz w:val="24"/>
              </w:rPr>
              <w:t>、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360" w:lineRule="auto"/>
              <w:jc w:val="left"/>
              <w:rPr>
                <w:rFonts w:asciiTheme="minorEastAsia" w:hAnsiTheme="minorEastAsia" w:eastAsiaTheme="minorEastAsia" w:cstheme="minorEastAsia"/>
                <w:sz w:val="24"/>
              </w:rPr>
            </w:pPr>
            <w:r>
              <w:rPr>
                <w:rFonts w:hint="eastAsia" w:ascii="宋体" w:hAnsi="宋体"/>
                <w:sz w:val="24"/>
              </w:rPr>
              <w:t>2、落实其他政府采购政策条款。具体办法详见评分办法。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22</w:t>
            </w:r>
          </w:p>
        </w:tc>
        <w:tc>
          <w:tcPr>
            <w:tcW w:w="1560" w:type="dxa"/>
            <w:vAlign w:val="center"/>
          </w:tcPr>
          <w:p>
            <w:pPr>
              <w:shd w:val="clear" w:color="auto" w:fill="FFFFFF"/>
              <w:autoSpaceDE w:val="0"/>
              <w:autoSpaceDN w:val="0"/>
              <w:spacing w:line="360" w:lineRule="exact"/>
              <w:rPr>
                <w:rFonts w:asciiTheme="minorEastAsia" w:hAnsiTheme="minorEastAsia" w:eastAsiaTheme="minorEastAsia" w:cstheme="minorEastAsia"/>
                <w:b/>
                <w:bCs/>
                <w:kern w:val="0"/>
                <w:sz w:val="24"/>
              </w:rPr>
            </w:pPr>
            <w:r>
              <w:rPr>
                <w:rFonts w:hint="eastAsia" w:ascii="宋体" w:hAnsi="宋体" w:cs="宋体"/>
                <w:bCs/>
                <w:sz w:val="24"/>
              </w:rPr>
              <w:t>磋商轮数和最后报价的其他要求</w:t>
            </w:r>
          </w:p>
        </w:tc>
        <w:tc>
          <w:tcPr>
            <w:tcW w:w="6840" w:type="dxa"/>
            <w:vAlign w:val="center"/>
          </w:tcPr>
          <w:p>
            <w:pPr>
              <w:autoSpaceDE w:val="0"/>
              <w:autoSpaceDN w:val="0"/>
              <w:adjustRightInd w:val="0"/>
              <w:rPr>
                <w:rFonts w:ascii="宋体" w:hAnsi="宋体" w:cs="宋体"/>
                <w:bCs/>
                <w:kern w:val="0"/>
                <w:sz w:val="24"/>
                <w:lang w:val="zh-CN"/>
              </w:rPr>
            </w:pPr>
            <w:r>
              <w:rPr>
                <w:rFonts w:hint="eastAsia" w:ascii="宋体" w:hAnsi="宋体" w:cs="宋体"/>
                <w:bCs/>
                <w:kern w:val="0"/>
                <w:sz w:val="24"/>
                <w:lang w:val="zh-CN"/>
              </w:rPr>
              <w:t>1、磋商轮数:二轮或二轮以上；</w:t>
            </w:r>
          </w:p>
          <w:p>
            <w:pPr>
              <w:autoSpaceDE w:val="0"/>
              <w:autoSpaceDN w:val="0"/>
              <w:adjustRightInd w:val="0"/>
              <w:rPr>
                <w:rFonts w:ascii="宋体" w:hAnsi="宋体" w:cs="宋体"/>
                <w:bCs/>
                <w:sz w:val="24"/>
              </w:rPr>
            </w:pPr>
            <w:r>
              <w:rPr>
                <w:rFonts w:hint="eastAsia" w:ascii="宋体" w:hAnsi="宋体" w:cs="宋体"/>
                <w:bCs/>
                <w:kern w:val="0"/>
                <w:sz w:val="24"/>
                <w:lang w:val="zh-CN"/>
              </w:rPr>
              <w:t>2、最后一轮磋商结束后，所有仍在参加磋商的供应商按照磋商小组的要求做最后报价（含修正的响应文件，如有），最后报价由其</w:t>
            </w:r>
            <w:r>
              <w:rPr>
                <w:rFonts w:hint="eastAsia" w:ascii="宋体" w:hAnsi="宋体" w:cs="宋体"/>
                <w:bCs/>
                <w:sz w:val="24"/>
              </w:rPr>
              <w:t>法定代表人或其授权代表签字后递交给采购代理机构。</w:t>
            </w:r>
          </w:p>
          <w:p>
            <w:pPr>
              <w:spacing w:line="530" w:lineRule="exact"/>
              <w:jc w:val="left"/>
              <w:rPr>
                <w:rFonts w:ascii="宋体" w:hAnsi="宋体"/>
                <w:sz w:val="24"/>
              </w:rPr>
            </w:pPr>
            <w:r>
              <w:rPr>
                <w:rFonts w:hint="eastAsia" w:ascii="宋体" w:hAnsi="宋体" w:cs="宋体"/>
                <w:bCs/>
                <w:kern w:val="0"/>
                <w:sz w:val="24"/>
                <w:lang w:val="zh-CN"/>
              </w:rPr>
              <w:t>3、最后报价的递交地点、公布地点同开标地点，并在所有参加磋商的供应商见证下统一集中收缴，逐一展示、公布和登记报价，</w:t>
            </w:r>
            <w:r>
              <w:rPr>
                <w:rFonts w:hint="eastAsia" w:ascii="宋体" w:hAnsi="宋体" w:cs="宋体"/>
                <w:bCs/>
                <w:sz w:val="24"/>
              </w:rPr>
              <w:t>并由供应商代表签字确认以示公开。</w:t>
            </w:r>
          </w:p>
        </w:tc>
      </w:tr>
    </w:tbl>
    <w:p>
      <w:pPr>
        <w:jc w:val="center"/>
        <w:rPr>
          <w:rFonts w:asciiTheme="minorEastAsia" w:hAnsiTheme="minorEastAsia" w:eastAsiaTheme="minorEastAsia" w:cstheme="minorEastAsia"/>
          <w:b/>
          <w:bCs/>
          <w:kern w:val="0"/>
          <w:sz w:val="24"/>
        </w:rPr>
      </w:pPr>
    </w:p>
    <w:p>
      <w:pPr>
        <w:pStyle w:val="2"/>
        <w:rPr>
          <w:rFonts w:asciiTheme="minorEastAsia" w:hAnsiTheme="minorEastAsia" w:eastAsiaTheme="minorEastAsia" w:cstheme="minorEastAsia"/>
          <w:b/>
          <w:bCs/>
          <w:kern w:val="0"/>
          <w:sz w:val="24"/>
        </w:rPr>
      </w:pPr>
    </w:p>
    <w:p>
      <w:pPr>
        <w:rPr>
          <w:rFonts w:asciiTheme="minorEastAsia" w:hAnsiTheme="minorEastAsia" w:eastAsiaTheme="minorEastAsia" w:cstheme="minorEastAsia"/>
          <w:b/>
          <w:bCs/>
          <w:kern w:val="0"/>
          <w:sz w:val="24"/>
        </w:rPr>
      </w:pPr>
    </w:p>
    <w:p>
      <w:pPr>
        <w:pStyle w:val="2"/>
      </w:pPr>
    </w:p>
    <w:p>
      <w:pPr>
        <w:jc w:val="center"/>
        <w:rPr>
          <w:rFonts w:asciiTheme="minorEastAsia" w:hAnsiTheme="minorEastAsia" w:eastAsiaTheme="minorEastAsia" w:cstheme="minorEastAsia"/>
          <w:b/>
          <w:bCs/>
          <w:kern w:val="0"/>
          <w:sz w:val="24"/>
        </w:rPr>
      </w:pPr>
    </w:p>
    <w:p>
      <w:pPr>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二、投标须知</w:t>
      </w:r>
    </w:p>
    <w:p>
      <w:pPr>
        <w:shd w:val="clear" w:color="auto" w:fill="FFFFFF"/>
        <w:spacing w:line="500" w:lineRule="exact"/>
        <w:ind w:firstLine="458" w:firstLineChars="18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（一）总则</w:t>
      </w:r>
    </w:p>
    <w:p>
      <w:pPr>
        <w:shd w:val="clear" w:color="auto" w:fill="FFFFFF"/>
        <w:spacing w:line="500" w:lineRule="exact"/>
        <w:ind w:firstLine="490" w:firstLineChars="20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 项目说明</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本项目的说明详见投标须知前附表（以下简称“前附表”）所述。</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1.2本磋商项目已经批准，采购人为</w:t>
      </w:r>
      <w:r>
        <w:rPr>
          <w:rFonts w:hint="eastAsia" w:asciiTheme="minorEastAsia" w:hAnsiTheme="minorEastAsia" w:eastAsiaTheme="minorEastAsia" w:cstheme="minorEastAsia"/>
          <w:sz w:val="24"/>
          <w:u w:val="single"/>
        </w:rPr>
        <w:t>新疆美术馆(自治区书法艺术发展中心)</w:t>
      </w:r>
      <w:r>
        <w:rPr>
          <w:rFonts w:hint="eastAsia" w:asciiTheme="minorEastAsia" w:hAnsiTheme="minorEastAsia" w:eastAsiaTheme="minorEastAsia" w:cstheme="minorEastAsia"/>
          <w:sz w:val="24"/>
        </w:rPr>
        <w:t xml:space="preserve"> ，该项目已具备磋商条件，现对该项目进行</w:t>
      </w:r>
      <w:r>
        <w:rPr>
          <w:rFonts w:hint="eastAsia" w:asciiTheme="minorEastAsia" w:hAnsiTheme="minorEastAsia" w:eastAsiaTheme="minorEastAsia" w:cstheme="minorEastAsia"/>
          <w:b/>
          <w:sz w:val="24"/>
          <w:u w:val="single"/>
        </w:rPr>
        <w:t>竞争性磋商</w:t>
      </w:r>
      <w:r>
        <w:rPr>
          <w:rFonts w:hint="eastAsia" w:asciiTheme="minorEastAsia" w:hAnsiTheme="minorEastAsia" w:eastAsiaTheme="minorEastAsia" w:cstheme="minorEastAsia"/>
          <w:sz w:val="24"/>
        </w:rPr>
        <w:t>。</w:t>
      </w:r>
    </w:p>
    <w:p>
      <w:pPr>
        <w:shd w:val="clear" w:color="auto" w:fill="FFFFFF"/>
        <w:spacing w:line="500" w:lineRule="exact"/>
        <w:ind w:firstLine="490" w:firstLineChars="202"/>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kern w:val="0"/>
          <w:sz w:val="24"/>
        </w:rPr>
        <w:t>1.3</w:t>
      </w:r>
      <w:r>
        <w:rPr>
          <w:rFonts w:hint="eastAsia" w:asciiTheme="minorEastAsia" w:hAnsiTheme="minorEastAsia" w:eastAsiaTheme="minorEastAsia" w:cstheme="minorEastAsia"/>
          <w:sz w:val="24"/>
        </w:rPr>
        <w:t>本磋商项目投标人的资格审查采取</w:t>
      </w:r>
      <w:r>
        <w:rPr>
          <w:rFonts w:hint="eastAsia" w:asciiTheme="minorEastAsia" w:hAnsiTheme="minorEastAsia" w:eastAsiaTheme="minorEastAsia" w:cstheme="minorEastAsia"/>
          <w:b/>
          <w:sz w:val="24"/>
          <w:u w:val="single"/>
        </w:rPr>
        <w:t>资格后审</w:t>
      </w:r>
      <w:r>
        <w:rPr>
          <w:rFonts w:hint="eastAsia" w:asciiTheme="minorEastAsia" w:hAnsiTheme="minorEastAsia" w:eastAsiaTheme="minorEastAsia" w:cstheme="minorEastAsia"/>
          <w:sz w:val="24"/>
        </w:rPr>
        <w:t>方式。投标人必须符合投标人须知前附表说明，通过资格后审的投标人为合格的投标人。</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 资格后审包括下列的内容</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1.4.1 投标人具有独立法人资格并满足“前附表”规定的资格要求 ；</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1.4.2磋商文件有要求投标人法定代表人或其授权代表签字或盖章和加盖投标人公章要求的，投标人须按磋商文件要求签署；</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1.4.3供货期符合磋商文件要求；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1.4.4供货地点符合磋商文件规定；</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1.4.5投标内容、数量、质量、服务等满足磋商文件要求；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1.4.6投标文件中所提条件均须符合采购人的要求；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1.4.7符合磋商文件中规定的其他实质性要求；</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1.4.8无法律、法规和规章禁止的其他情况。</w:t>
      </w:r>
    </w:p>
    <w:p>
      <w:pPr>
        <w:shd w:val="clear" w:color="auto" w:fill="FFFFFF"/>
        <w:spacing w:line="500" w:lineRule="exact"/>
        <w:ind w:firstLine="486"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 采购内容</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2.1本磋商项目磋商范围</w:t>
      </w:r>
      <w:r>
        <w:rPr>
          <w:rFonts w:hint="eastAsia" w:asciiTheme="minorEastAsia" w:hAnsiTheme="minorEastAsia" w:eastAsiaTheme="minorEastAsia" w:cstheme="minorEastAsia"/>
          <w:kern w:val="0"/>
          <w:sz w:val="24"/>
        </w:rPr>
        <w:t>已通过“前附表”第2项所述，</w:t>
      </w:r>
      <w:r>
        <w:rPr>
          <w:rFonts w:hint="eastAsia" w:asciiTheme="minorEastAsia" w:hAnsiTheme="minorEastAsia" w:eastAsiaTheme="minorEastAsia" w:cstheme="minorEastAsia"/>
          <w:sz w:val="24"/>
        </w:rPr>
        <w:t>指本项目磋商文件中范围内所要求的所有工作内容。</w:t>
      </w:r>
    </w:p>
    <w:p>
      <w:pPr>
        <w:shd w:val="clear" w:color="auto" w:fill="FFFFFF"/>
        <w:spacing w:line="500" w:lineRule="exact"/>
        <w:ind w:firstLine="490" w:firstLineChars="20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 适用法律及约束力</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本次磋商及由本次磋商产生的合同受中华人民共和国的相关法律、法规制约和保护。投标人一旦购买了磋商文件并参加本项目，即被认为接受了磋商文件中的所有条件和规定。</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3.2投标人应保证，在中华人民共和国境内使用投标成果、服务或其任何一部分时，不会产生因第三方提出侵犯其专利权或其它知识产权而引起的法律和经济纠纷。</w:t>
      </w:r>
    </w:p>
    <w:p>
      <w:pPr>
        <w:shd w:val="clear" w:color="auto" w:fill="FFFFFF"/>
        <w:spacing w:line="500" w:lineRule="exact"/>
        <w:ind w:firstLine="490" w:firstLineChars="20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 磋商项目实施要求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4.1质量标准已通过“前附表”第4项所述，本磋商项目的质量等级标准为</w:t>
      </w:r>
      <w:r>
        <w:rPr>
          <w:rFonts w:hint="eastAsia" w:asciiTheme="minorEastAsia" w:hAnsiTheme="minorEastAsia" w:eastAsiaTheme="minorEastAsia" w:cstheme="minorEastAsia"/>
          <w:bCs/>
          <w:kern w:val="0"/>
          <w:sz w:val="24"/>
          <w:u w:val="single"/>
        </w:rPr>
        <w:t>合格（通过采购人及有关部门组织的项目验收）</w:t>
      </w:r>
      <w:r>
        <w:rPr>
          <w:rFonts w:hint="eastAsia" w:asciiTheme="minorEastAsia" w:hAnsiTheme="minorEastAsia" w:eastAsiaTheme="minorEastAsia" w:cstheme="minorEastAsia"/>
          <w:kern w:val="0"/>
          <w:sz w:val="24"/>
        </w:rPr>
        <w:t>。</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4.2 供应方与采购人签订合同后，按照磋商文件及合同相关的要求编制现场服务计划。</w:t>
      </w:r>
    </w:p>
    <w:p>
      <w:pPr>
        <w:shd w:val="clear" w:color="auto" w:fill="FFFFFF"/>
        <w:spacing w:line="500" w:lineRule="exact"/>
        <w:ind w:firstLine="490" w:firstLineChars="20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 供货期及供货地点</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供货期已</w:t>
      </w:r>
      <w:r>
        <w:rPr>
          <w:rFonts w:hint="eastAsia" w:asciiTheme="minorEastAsia" w:hAnsiTheme="minorEastAsia" w:eastAsiaTheme="minorEastAsia" w:cstheme="minorEastAsia"/>
          <w:kern w:val="0"/>
          <w:sz w:val="24"/>
        </w:rPr>
        <w:t>通过“前附表”所述，</w:t>
      </w:r>
      <w:r>
        <w:rPr>
          <w:rFonts w:hint="eastAsia" w:asciiTheme="minorEastAsia" w:hAnsiTheme="minorEastAsia" w:eastAsiaTheme="minorEastAsia" w:cstheme="minorEastAsia"/>
          <w:sz w:val="24"/>
        </w:rPr>
        <w:t>是指最后一件货物运抵交货地点、验收合格并移交采购人的时间；供货地点已</w:t>
      </w:r>
      <w:r>
        <w:rPr>
          <w:rFonts w:hint="eastAsia" w:asciiTheme="minorEastAsia" w:hAnsiTheme="minorEastAsia" w:eastAsiaTheme="minorEastAsia" w:cstheme="minorEastAsia"/>
          <w:kern w:val="0"/>
          <w:sz w:val="24"/>
        </w:rPr>
        <w:t>通过“前附表”所述</w:t>
      </w:r>
      <w:r>
        <w:rPr>
          <w:rFonts w:hint="eastAsia" w:asciiTheme="minorEastAsia" w:hAnsiTheme="minorEastAsia" w:eastAsiaTheme="minorEastAsia" w:cstheme="minorEastAsia"/>
          <w:sz w:val="24"/>
        </w:rPr>
        <w:t>。</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 资金来源</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Cs/>
          <w:kern w:val="0"/>
          <w:sz w:val="24"/>
        </w:rPr>
        <w:t>6.1</w:t>
      </w:r>
      <w:r>
        <w:rPr>
          <w:rFonts w:hint="eastAsia" w:asciiTheme="minorEastAsia" w:hAnsiTheme="minorEastAsia" w:eastAsiaTheme="minorEastAsia" w:cstheme="minorEastAsia"/>
          <w:kern w:val="0"/>
          <w:sz w:val="24"/>
        </w:rPr>
        <w:t>采购单位的资金通过“前附表”第 1 项所述的方式获得，并将资金用于本项目合同下的合格支付。</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7. 投标人资格要求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7.1投标人应当符合</w:t>
      </w:r>
      <w:r>
        <w:rPr>
          <w:rFonts w:hint="eastAsia" w:asciiTheme="minorEastAsia" w:hAnsiTheme="minorEastAsia" w:eastAsiaTheme="minorEastAsia" w:cstheme="minorEastAsia"/>
          <w:b/>
          <w:kern w:val="0"/>
          <w:sz w:val="24"/>
        </w:rPr>
        <w:t>磋商文件前附表</w:t>
      </w:r>
      <w:r>
        <w:rPr>
          <w:rFonts w:hint="eastAsia" w:asciiTheme="minorEastAsia" w:hAnsiTheme="minorEastAsia" w:eastAsiaTheme="minorEastAsia" w:cstheme="minorEastAsia"/>
          <w:kern w:val="0"/>
          <w:sz w:val="24"/>
        </w:rPr>
        <w:t>中规定的下列资格条件要求。</w:t>
      </w:r>
    </w:p>
    <w:p>
      <w:pPr>
        <w:widowControl/>
        <w:shd w:val="clear" w:color="auto" w:fill="FFFFFF"/>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7.2投标人不得存在下列情形之一：</w:t>
      </w:r>
    </w:p>
    <w:p>
      <w:pPr>
        <w:widowControl/>
        <w:shd w:val="clear" w:color="auto" w:fill="FFFFFF"/>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（1）与采购人存在利害关系可能影响磋商公正性的法人、其他组织或者个人，不得参加投标。</w:t>
      </w:r>
    </w:p>
    <w:p>
      <w:pPr>
        <w:widowControl/>
        <w:shd w:val="clear" w:color="auto" w:fill="FFFFFF"/>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（2）单位负责人为同一人或者存在控股、管理关系的不同单位，不得参加同一标段或者未划分标段的同一磋商项目投标，违反前两款规定的，相关投标均无效。</w:t>
      </w:r>
    </w:p>
    <w:p>
      <w:pPr>
        <w:widowControl/>
        <w:shd w:val="clear" w:color="auto" w:fill="FFFFFF"/>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受到刑事处罚，或者受到三万元以上的罚款、责令停产停业、在一至三年内禁止参加政府采购活动、暂扣或者吊销许可证、暂扣或者吊销执照等情形之一的行政处罚，或者存在财政部门认定的其他重大违法记录，不得参加投标。</w:t>
      </w:r>
    </w:p>
    <w:p>
      <w:pPr>
        <w:widowControl/>
        <w:shd w:val="clear" w:color="auto" w:fill="FFFFFF"/>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须处于正常经营状态，没有处于被责令停业，投标资格被取消、财产被接管、冻结、破产状态；投标申请人近三年没有出现违法违规或失信行为，没有骗取成交和严重违约及重大施工质量事故；没有因违法被有关部门给与任何形式的处罚。</w:t>
      </w:r>
    </w:p>
    <w:p>
      <w:pPr>
        <w:widowControl/>
        <w:shd w:val="clear" w:color="auto" w:fill="FFFFFF"/>
        <w:spacing w:line="500" w:lineRule="exact"/>
        <w:ind w:firstLine="486"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7.3投标人的家数计算</w:t>
      </w:r>
    </w:p>
    <w:p>
      <w:pPr>
        <w:widowControl/>
        <w:shd w:val="clear" w:color="auto" w:fill="FFFFFF"/>
        <w:spacing w:line="500" w:lineRule="exact"/>
        <w:ind w:firstLine="486"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7.3.1使用综合评分法的采购项目，提供相同品牌产品且通过资格审查、符合性审查的不同投标人参加同一合同项下投标的，按一家投标人计算，评审后得分最高的同品牌投标人获得成交人推荐资格；评审得分相同的，由采购人或者采购人委托评标委员会按照磋商文件规定的方式确定一个投标人获得成交人推荐资格，磋商文件未规定的采取随机抽取方式确定，其他同品牌投标人不作为成交候选人。（本项目规定评审得分相同的，按照技术部分得分由高到低的顺序推荐，评审得分和技术部分得分相同的，按照投标报价由低到高的顺序推荐。）</w:t>
      </w:r>
    </w:p>
    <w:p>
      <w:pPr>
        <w:shd w:val="clear" w:color="auto" w:fill="FFFFFF"/>
        <w:spacing w:line="500" w:lineRule="exact"/>
        <w:ind w:firstLine="486"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8. </w:t>
      </w:r>
      <w:r>
        <w:rPr>
          <w:rFonts w:hint="eastAsia" w:asciiTheme="minorEastAsia" w:hAnsiTheme="minorEastAsia" w:eastAsiaTheme="minorEastAsia" w:cstheme="minorEastAsia"/>
          <w:b/>
          <w:bCs/>
          <w:kern w:val="0"/>
          <w:sz w:val="24"/>
        </w:rPr>
        <w:t>投标费用</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投标人应承担其编制投标文件与递交投标文件所涉及的一切费用，不论投标结果如何，采购人或采购代理机构均无义务和责任承担这些费用。</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9. 授权委托</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 xml:space="preserve">9.1 </w:t>
      </w:r>
      <w:r>
        <w:rPr>
          <w:rFonts w:hint="eastAsia" w:asciiTheme="minorEastAsia" w:hAnsiTheme="minorEastAsia" w:eastAsiaTheme="minorEastAsia" w:cstheme="minorEastAsia"/>
          <w:bCs/>
          <w:kern w:val="0"/>
          <w:sz w:val="24"/>
          <w:u w:val="single"/>
        </w:rPr>
        <w:t>投标人代表为法定代表人的，应持有法定代表人身份证明书和法定代表人身份证；投标人代表不是投标人的法定代表人的，应持有授权委托书和授权代表人的身份证。</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10. 联合体投标</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10.1投标须知前附表中接受联合体投标的，投标人可以联合体形式投标，否则联合体投标视为无效投标；接受联合体投标的，除应符合本章第7.2</w:t>
      </w:r>
      <w:r>
        <w:rPr>
          <w:rFonts w:hint="eastAsia" w:asciiTheme="minorEastAsia" w:hAnsiTheme="minorEastAsia" w:eastAsiaTheme="minorEastAsia" w:cstheme="minorEastAsia"/>
          <w:bCs/>
          <w:kern w:val="0"/>
          <w:sz w:val="24"/>
          <w:lang w:val="zh-CN"/>
        </w:rPr>
        <w:t>款</w:t>
      </w:r>
      <w:r>
        <w:rPr>
          <w:rFonts w:hint="eastAsia" w:asciiTheme="minorEastAsia" w:hAnsiTheme="minorEastAsia" w:eastAsiaTheme="minorEastAsia" w:cstheme="minorEastAsia"/>
          <w:bCs/>
          <w:kern w:val="0"/>
          <w:sz w:val="24"/>
        </w:rPr>
        <w:t xml:space="preserve">规定外，还应遵守以下规定： </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（l）联合体各方应按磋商文件提供的格式签订</w:t>
      </w:r>
      <w:r>
        <w:rPr>
          <w:rFonts w:hint="eastAsia" w:asciiTheme="minorEastAsia" w:hAnsiTheme="minorEastAsia" w:eastAsiaTheme="minorEastAsia" w:cstheme="minorEastAsia"/>
          <w:bCs/>
          <w:kern w:val="0"/>
          <w:sz w:val="24"/>
          <w:u w:val="single"/>
        </w:rPr>
        <w:t>联合协议</w:t>
      </w:r>
      <w:r>
        <w:rPr>
          <w:rFonts w:hint="eastAsia" w:asciiTheme="minorEastAsia" w:hAnsiTheme="minorEastAsia" w:eastAsiaTheme="minorEastAsia" w:cstheme="minorEastAsia"/>
          <w:bCs/>
          <w:kern w:val="0"/>
          <w:sz w:val="24"/>
        </w:rPr>
        <w:t>，明确联合体牵头人和各方的权利义务、合同工作量比例；</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（2）联合体各方中至少应当有一方符合本章第7.1款规定的投标人特定资格条件；</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（4）联合体各方签订联合体协议书后，不得再单独参加或者与其他投标人组成新的联合体参加同一项目的采购活动。</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（二）磋商文件</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11. 磋商文件的组成</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磋商文件包括下列内容</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第一部分 磋商公告</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第二部分 投标须知前附表及投标须知</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第三部分 合同通用条款</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第四部分 合同专用条款</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第五部分 磋商需求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第六部分 投标文件格式</w:t>
      </w:r>
    </w:p>
    <w:p>
      <w:pPr>
        <w:shd w:val="clear" w:color="auto" w:fill="FFFFFF"/>
        <w:autoSpaceDE w:val="0"/>
        <w:autoSpaceDN w:val="0"/>
        <w:adjustRightInd w:val="0"/>
        <w:spacing w:line="500" w:lineRule="exact"/>
        <w:ind w:firstLine="486"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11.2 磋商的最小单位是包。磋商文件未分包的，投标人须对全部磋商内容投标，不得部分投标；磋商文件分包的，投标人应当以包为单位编制并提交投标文件。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11.3 磋商文件如果要求投标人提交备选投标方案的，投标人可以提交备选方案；否则，备选方案将被拒绝。</w:t>
      </w:r>
    </w:p>
    <w:p>
      <w:pPr>
        <w:shd w:val="clear" w:color="auto" w:fill="FFFFFF"/>
        <w:spacing w:line="500" w:lineRule="exact"/>
        <w:ind w:firstLine="490" w:firstLineChars="202"/>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11.4 磋商文件由本文件及由采购人按磋商文件有关规定发出的磋商文件补充构成。</w:t>
      </w:r>
    </w:p>
    <w:p>
      <w:pPr>
        <w:shd w:val="clear" w:color="auto" w:fill="FFFFFF"/>
        <w:spacing w:line="500" w:lineRule="exact"/>
        <w:ind w:firstLine="490" w:firstLineChars="202"/>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11.5 磋商文件的澄清、修改、磋商答疑会纪要等书面材料在本磋商项目中均称磋商文件补充。</w:t>
      </w:r>
    </w:p>
    <w:p>
      <w:pPr>
        <w:shd w:val="clear" w:color="auto" w:fill="FFFFFF"/>
        <w:spacing w:line="500" w:lineRule="exact"/>
        <w:ind w:firstLine="490" w:firstLineChars="202"/>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11.6 磋商文件补充作为磋商文件的组成部分，对投标人起同等约束作用。如果磋商文件补充内容与在此磋商文件补充发出之前的磋商文件等书面材料中相关内容相冲突，请投标人执行磋商文件补充的相关内容，先前发出的磋商文件等书面材料中相关内容自动废止。</w:t>
      </w:r>
    </w:p>
    <w:p>
      <w:pPr>
        <w:shd w:val="clear" w:color="auto" w:fill="FFFFFF"/>
        <w:spacing w:line="500" w:lineRule="exact"/>
        <w:ind w:firstLine="490" w:firstLineChars="202"/>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11.7 投标人应认真审阅和理解磋商文件所有内容，尤其注意可能引起“否决投标”、“拒绝评审”、“无效投标”、“评审不予通过”等的条款，按照磋商文件要求编制投标文件。任何对磋商文件的忽略或误解不能作为投标文件存在缺陷或瑕疵的理由，其风险由投标人承担。</w:t>
      </w:r>
    </w:p>
    <w:p>
      <w:pPr>
        <w:shd w:val="clear" w:color="auto" w:fill="FFFFFF"/>
        <w:spacing w:line="500" w:lineRule="exact"/>
        <w:ind w:firstLine="490" w:firstLineChars="202"/>
        <w:rPr>
          <w:rFonts w:asciiTheme="minorEastAsia" w:hAnsiTheme="minorEastAsia" w:eastAsiaTheme="minorEastAsia" w:cstheme="minorEastAsia"/>
          <w:b/>
          <w:sz w:val="24"/>
          <w:lang w:val="zh-CN"/>
        </w:rPr>
      </w:pPr>
      <w:r>
        <w:rPr>
          <w:rFonts w:hint="eastAsia" w:asciiTheme="minorEastAsia" w:hAnsiTheme="minorEastAsia" w:eastAsiaTheme="minorEastAsia" w:cstheme="minorEastAsia"/>
          <w:b/>
          <w:sz w:val="24"/>
          <w:lang w:val="zh-CN"/>
        </w:rPr>
        <w:t>12. 磋商文件的获取</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12.1磋商文件的提供期限自开始发出之日起不得少于五个工作日。具体提供期限见</w:t>
      </w:r>
      <w:r>
        <w:rPr>
          <w:rFonts w:hint="eastAsia" w:asciiTheme="minorEastAsia" w:hAnsiTheme="minorEastAsia" w:eastAsiaTheme="minorEastAsia" w:cstheme="minorEastAsia"/>
          <w:b/>
          <w:kern w:val="0"/>
          <w:sz w:val="24"/>
        </w:rPr>
        <w:t>磋商公告</w:t>
      </w:r>
      <w:r>
        <w:rPr>
          <w:rFonts w:hint="eastAsia" w:asciiTheme="minorEastAsia" w:hAnsiTheme="minorEastAsia" w:eastAsiaTheme="minorEastAsia" w:cstheme="minorEastAsia"/>
          <w:kern w:val="0"/>
          <w:sz w:val="24"/>
        </w:rPr>
        <w:t>。</w:t>
      </w:r>
    </w:p>
    <w:p>
      <w:pPr>
        <w:shd w:val="clear" w:color="auto" w:fill="FFFFFF"/>
        <w:spacing w:line="500" w:lineRule="exact"/>
        <w:ind w:firstLine="490" w:firstLineChars="202"/>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12.2凡符合资格要求并有意参加投标的投标人,</w:t>
      </w:r>
      <w:r>
        <w:rPr>
          <w:rFonts w:hint="eastAsia" w:asciiTheme="minorEastAsia" w:hAnsiTheme="minorEastAsia" w:eastAsiaTheme="minorEastAsia" w:cstheme="minorEastAsia"/>
          <w:kern w:val="0"/>
          <w:sz w:val="24"/>
        </w:rPr>
        <w:t xml:space="preserve"> 须经采购代理机构处提交购买标书的资料后获取。</w:t>
      </w:r>
    </w:p>
    <w:p>
      <w:pPr>
        <w:shd w:val="clear" w:color="auto" w:fill="FFFFFF"/>
        <w:spacing w:line="500" w:lineRule="exact"/>
        <w:ind w:firstLine="490" w:firstLineChars="202"/>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13. 磋商文件的澄清或修改</w:t>
      </w:r>
    </w:p>
    <w:p>
      <w:pPr>
        <w:shd w:val="clear" w:color="auto" w:fill="FFFFFF"/>
        <w:spacing w:line="500" w:lineRule="exact"/>
        <w:ind w:firstLine="490" w:firstLineChars="202"/>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13.1投标人若对磋商文件有任何疑问，应于投标截至时间</w:t>
      </w:r>
      <w:r>
        <w:rPr>
          <w:rFonts w:hint="eastAsia" w:asciiTheme="minorEastAsia" w:hAnsiTheme="minorEastAsia" w:eastAsiaTheme="minorEastAsia" w:cstheme="minorEastAsia"/>
          <w:bCs/>
          <w:kern w:val="0"/>
          <w:sz w:val="24"/>
          <w:u w:val="single"/>
        </w:rPr>
        <w:t xml:space="preserve"> 10 </w:t>
      </w:r>
      <w:r>
        <w:rPr>
          <w:rFonts w:hint="eastAsia" w:asciiTheme="minorEastAsia" w:hAnsiTheme="minorEastAsia" w:eastAsiaTheme="minorEastAsia" w:cstheme="minorEastAsia"/>
          <w:bCs/>
          <w:kern w:val="0"/>
          <w:sz w:val="24"/>
        </w:rPr>
        <w:t>日前以书面形式向采购人提出澄清要求。</w:t>
      </w:r>
      <w:r>
        <w:rPr>
          <w:rFonts w:hint="eastAsia" w:asciiTheme="minorEastAsia" w:hAnsiTheme="minorEastAsia" w:eastAsiaTheme="minorEastAsia" w:cstheme="minorEastAsia"/>
          <w:bCs/>
          <w:kern w:val="0"/>
          <w:sz w:val="24"/>
          <w:u w:val="single"/>
        </w:rPr>
        <w:t>澄清要求须以书面形式并加盖投标人公章送至采购代理机构。</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13.2采购人对已发出的磋商文件进行必要澄清或者修改的，</w:t>
      </w:r>
      <w:r>
        <w:rPr>
          <w:rFonts w:hint="eastAsia" w:asciiTheme="minorEastAsia" w:hAnsiTheme="minorEastAsia" w:eastAsiaTheme="minorEastAsia" w:cstheme="minorEastAsia"/>
          <w:bCs/>
          <w:kern w:val="0"/>
          <w:sz w:val="24"/>
        </w:rPr>
        <w:t>在投标截止时间</w:t>
      </w:r>
      <w:r>
        <w:rPr>
          <w:rFonts w:hint="eastAsia" w:asciiTheme="minorEastAsia" w:hAnsiTheme="minorEastAsia" w:eastAsiaTheme="minorEastAsia" w:cstheme="minorEastAsia"/>
          <w:bCs/>
          <w:kern w:val="0"/>
          <w:sz w:val="24"/>
          <w:u w:val="single"/>
        </w:rPr>
        <w:t xml:space="preserve"> 15 </w:t>
      </w:r>
      <w:r>
        <w:rPr>
          <w:rFonts w:hint="eastAsia" w:asciiTheme="minorEastAsia" w:hAnsiTheme="minorEastAsia" w:eastAsiaTheme="minorEastAsia" w:cstheme="minorEastAsia"/>
          <w:bCs/>
          <w:kern w:val="0"/>
          <w:sz w:val="24"/>
        </w:rPr>
        <w:t>日前，采购人可</w:t>
      </w:r>
      <w:r>
        <w:rPr>
          <w:rFonts w:hint="eastAsia" w:asciiTheme="minorEastAsia" w:hAnsiTheme="minorEastAsia" w:eastAsiaTheme="minorEastAsia" w:cstheme="minorEastAsia"/>
          <w:sz w:val="24"/>
          <w:lang w:val="zh-CN"/>
        </w:rPr>
        <w:t>在原磋商公告媒体发布更正公告，</w:t>
      </w:r>
      <w:r>
        <w:rPr>
          <w:rFonts w:hint="eastAsia" w:asciiTheme="minorEastAsia" w:hAnsiTheme="minorEastAsia" w:eastAsiaTheme="minorEastAsia" w:cstheme="minorEastAsia"/>
          <w:bCs/>
          <w:kern w:val="0"/>
          <w:sz w:val="24"/>
        </w:rPr>
        <w:t>对磋商文件进行必要的修改或者澄清，</w:t>
      </w:r>
      <w:r>
        <w:rPr>
          <w:rFonts w:hint="eastAsia" w:asciiTheme="minorEastAsia" w:hAnsiTheme="minorEastAsia" w:eastAsiaTheme="minorEastAsia" w:cstheme="minorEastAsia"/>
          <w:sz w:val="24"/>
          <w:lang w:val="zh-CN"/>
        </w:rPr>
        <w:t>该澄清或者修改的内容为磋商文件的组成部分，</w:t>
      </w:r>
      <w:r>
        <w:rPr>
          <w:rFonts w:hint="eastAsia" w:asciiTheme="minorEastAsia" w:hAnsiTheme="minorEastAsia" w:eastAsiaTheme="minorEastAsia" w:cstheme="minorEastAsia"/>
          <w:bCs/>
          <w:kern w:val="0"/>
          <w:sz w:val="24"/>
        </w:rPr>
        <w:t>具有约束作用。不足15日的，应当顺延投标截止时间。为使投标人在编制投标文件时有充分的时间对磋商文件的修改或者澄清等内容进行研究，采购人可酌情延长提交磋商文件。</w:t>
      </w:r>
    </w:p>
    <w:p>
      <w:pPr>
        <w:shd w:val="clear" w:color="auto" w:fill="FFFFFF"/>
        <w:spacing w:line="500" w:lineRule="exact"/>
        <w:ind w:firstLine="490" w:firstLineChars="202"/>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sz w:val="24"/>
        </w:rPr>
        <w:t>13.3</w:t>
      </w:r>
      <w:r>
        <w:rPr>
          <w:rFonts w:hint="eastAsia" w:asciiTheme="minorEastAsia" w:hAnsiTheme="minorEastAsia" w:eastAsiaTheme="minorEastAsia" w:cstheme="minorEastAsia"/>
          <w:sz w:val="24"/>
          <w:lang w:val="zh-CN"/>
        </w:rPr>
        <w:t>采购人在磋商文件要求提交投标文件截止时间</w:t>
      </w:r>
      <w:r>
        <w:rPr>
          <w:rFonts w:hint="eastAsia" w:asciiTheme="minorEastAsia" w:hAnsiTheme="minorEastAsia" w:eastAsiaTheme="minorEastAsia" w:cstheme="minorEastAsia"/>
          <w:bCs/>
          <w:iCs/>
          <w:sz w:val="24"/>
          <w:u w:val="single"/>
          <w:lang w:val="zh-CN"/>
        </w:rPr>
        <w:t>3日</w:t>
      </w:r>
      <w:r>
        <w:rPr>
          <w:rFonts w:hint="eastAsia" w:asciiTheme="minorEastAsia" w:hAnsiTheme="minorEastAsia" w:eastAsiaTheme="minorEastAsia" w:cstheme="minorEastAsia"/>
          <w:sz w:val="24"/>
          <w:lang w:val="zh-CN"/>
        </w:rPr>
        <w:t>前，有权决定延长投标截止时间和开标时间，并</w:t>
      </w:r>
      <w:r>
        <w:rPr>
          <w:rFonts w:hint="eastAsia" w:asciiTheme="minorEastAsia" w:hAnsiTheme="minorEastAsia" w:eastAsiaTheme="minorEastAsia" w:cstheme="minorEastAsia"/>
          <w:sz w:val="24"/>
        </w:rPr>
        <w:t>在原磋商信息发布媒体上发布变更公告。</w:t>
      </w:r>
    </w:p>
    <w:p>
      <w:pPr>
        <w:shd w:val="clear" w:color="auto" w:fill="FFFFFF"/>
        <w:spacing w:line="500" w:lineRule="exact"/>
        <w:ind w:firstLine="490" w:firstLineChars="202"/>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kern w:val="0"/>
          <w:sz w:val="24"/>
        </w:rPr>
        <w:t>13.4</w:t>
      </w:r>
      <w:r>
        <w:rPr>
          <w:rFonts w:hint="eastAsia" w:asciiTheme="minorEastAsia" w:hAnsiTheme="minorEastAsia" w:eastAsiaTheme="minorEastAsia" w:cstheme="minorEastAsia"/>
          <w:bCs/>
          <w:kern w:val="0"/>
          <w:sz w:val="24"/>
          <w:u w:val="single"/>
        </w:rPr>
        <w:t>投标文件递交截止时间前，投标人须随时关注本项目磋商公告发布网站上本项目的最新</w:t>
      </w:r>
      <w:r>
        <w:rPr>
          <w:rFonts w:hint="eastAsia" w:asciiTheme="minorEastAsia" w:hAnsiTheme="minorEastAsia" w:eastAsiaTheme="minorEastAsia" w:cstheme="minorEastAsia"/>
          <w:sz w:val="24"/>
          <w:u w:val="single"/>
        </w:rPr>
        <w:t>的变更公告、更正公告、澄清公告等相关信息，并对上述查看行为自行承担责任；</w:t>
      </w:r>
      <w:r>
        <w:rPr>
          <w:rFonts w:hint="eastAsia" w:asciiTheme="minorEastAsia" w:hAnsiTheme="minorEastAsia" w:eastAsiaTheme="minorEastAsia" w:cstheme="minorEastAsia"/>
          <w:bCs/>
          <w:sz w:val="24"/>
          <w:u w:val="single"/>
        </w:rPr>
        <w:t>投标人对索取书面修改或者澄清文件或者查阅电子修改或者澄清文件的行为自行承担责任，在投标截止时间后递交的投标文件视为无效投标文件。</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14. 投标报价</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0" w:name="_Toc520282154"/>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.1投标</w:t>
      </w:r>
      <w:r>
        <w:rPr>
          <w:rFonts w:hint="eastAsia" w:asciiTheme="minorEastAsia" w:hAnsiTheme="minorEastAsia" w:eastAsiaTheme="minorEastAsia" w:cstheme="minorEastAsia"/>
          <w:kern w:val="0"/>
          <w:sz w:val="24"/>
          <w:lang w:val="en-US" w:eastAsia="zh-CN"/>
        </w:rPr>
        <w:t>工作量</w:t>
      </w:r>
      <w:r>
        <w:rPr>
          <w:rFonts w:hint="eastAsia" w:asciiTheme="minorEastAsia" w:hAnsiTheme="minorEastAsia" w:eastAsiaTheme="minorEastAsia" w:cstheme="minorEastAsia"/>
          <w:kern w:val="0"/>
          <w:sz w:val="24"/>
          <w:lang w:val="zh-CN"/>
        </w:rPr>
        <w:t>、数量及报价明细表应一次性报定，并按下列方式分别填写：</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a.投标报价应为实施本项目提供全部内容所包括的全部价格的体现。</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b.报价明细表中特别要求的零部件、备件的费用；</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c.报价明细表中特别要求的培训、售后服务等费用。</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.2投标人应在磋商文件所附相应的《报价明细表》成交明所提供货物单价和总价。如单价和总价不符，以单价累计为准。</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.3投标人应对《报价明细表》中全部货物分项逐一进行报价。</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.4</w:t>
      </w:r>
      <w:r>
        <w:rPr>
          <w:rFonts w:hint="eastAsia" w:asciiTheme="minorEastAsia" w:hAnsiTheme="minorEastAsia" w:eastAsiaTheme="minorEastAsia" w:cstheme="minorEastAsia"/>
          <w:b/>
          <w:bCs/>
          <w:kern w:val="0"/>
          <w:sz w:val="24"/>
          <w:lang w:val="zh-CN"/>
        </w:rPr>
        <w:t>《开标一览表》和《报价明细表》中的总价应一致，如不一致时以《开标一览表》的投标报价为准。</w:t>
      </w:r>
    </w:p>
    <w:bookmarkEnd w:id="0"/>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14.5</w:t>
      </w:r>
      <w:r>
        <w:rPr>
          <w:rFonts w:hint="eastAsia" w:asciiTheme="minorEastAsia" w:hAnsiTheme="minorEastAsia" w:eastAsiaTheme="minorEastAsia" w:cstheme="minorEastAsia"/>
          <w:kern w:val="0"/>
          <w:sz w:val="24"/>
          <w:u w:val="single"/>
        </w:rPr>
        <w:t>任何有选择的报价将不予接受（除非采购人另有约定），否则，在评标时将其视为无效投标。</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14.6投标文件报价出现前后不一致的，除磋商文件另有规定外，按照下列规定修正：</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（一）投标文件中开标一览表（报价表）内容与投标文件中相应内容不一致的，以开标一览表（报价表）为准；</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（二）大写金额和小写金额不一致的，以大写金额为准；</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（三）单价金额小数点或者百分比有明显错位的，以开标一览表的总价为准，并修改单价；</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（四）总价金额与按单价汇总金额不一致的，以单价金额计算结果为准。</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同时出现两种以上不一致的，按照前款规定的顺序修正。</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15.投标保证金</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15.1投标保证金是为了保护采购人和磋商机构免遭因投标人的违规、违约行为而引起的风险，采购人/代理机构在受到损害时可根据本须知的有关规定没收投标人的投标保证金。成交人如未能按磋商文件要求与采购人签署项目合同并提交建设履约保证金，视为投标人违约，则采购人有权提取成交人投标保证金。</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15.2 投标人应提交投标保证金，并作为其投标的一部分。磋商文件前附表规定交纳</w:t>
      </w:r>
      <w:r>
        <w:rPr>
          <w:rFonts w:hint="eastAsia" w:asciiTheme="minorEastAsia" w:hAnsiTheme="minorEastAsia" w:eastAsiaTheme="minorEastAsia" w:cstheme="minorEastAsia"/>
          <w:bCs/>
          <w:kern w:val="0"/>
          <w:sz w:val="24"/>
        </w:rPr>
        <w:t>投标保证金的</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Cs/>
          <w:kern w:val="0"/>
          <w:sz w:val="24"/>
        </w:rPr>
        <w:t>投标人应按磋商文件前附表</w:t>
      </w:r>
      <w:r>
        <w:rPr>
          <w:rFonts w:hint="eastAsia" w:asciiTheme="minorEastAsia" w:hAnsiTheme="minorEastAsia" w:eastAsiaTheme="minorEastAsia" w:cstheme="minorEastAsia"/>
          <w:kern w:val="0"/>
          <w:sz w:val="24"/>
        </w:rPr>
        <w:t>规定的要求</w:t>
      </w:r>
      <w:r>
        <w:rPr>
          <w:rFonts w:hint="eastAsia" w:asciiTheme="minorEastAsia" w:hAnsiTheme="minorEastAsia" w:eastAsiaTheme="minorEastAsia" w:cstheme="minorEastAsia"/>
          <w:bCs/>
          <w:kern w:val="0"/>
          <w:sz w:val="24"/>
        </w:rPr>
        <w:t>提交保证金</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Cs/>
          <w:kern w:val="0"/>
          <w:sz w:val="24"/>
          <w:u w:val="single"/>
        </w:rPr>
        <w:t>投标保证金有效期应与</w:t>
      </w:r>
      <w:r>
        <w:rPr>
          <w:rFonts w:hint="eastAsia" w:asciiTheme="minorEastAsia" w:hAnsiTheme="minorEastAsia" w:eastAsiaTheme="minorEastAsia" w:cstheme="minorEastAsia"/>
          <w:kern w:val="0"/>
          <w:sz w:val="24"/>
          <w:u w:val="single"/>
        </w:rPr>
        <w:t>磋商文件规定</w:t>
      </w:r>
      <w:r>
        <w:rPr>
          <w:rFonts w:hint="eastAsia" w:asciiTheme="minorEastAsia" w:hAnsiTheme="minorEastAsia" w:eastAsiaTheme="minorEastAsia" w:cstheme="minorEastAsia"/>
          <w:bCs/>
          <w:kern w:val="0"/>
          <w:sz w:val="24"/>
          <w:u w:val="single"/>
        </w:rPr>
        <w:t>的投标有效期一致。投标人</w:t>
      </w:r>
      <w:r>
        <w:rPr>
          <w:rFonts w:hint="eastAsia" w:asciiTheme="minorEastAsia" w:hAnsiTheme="minorEastAsia" w:eastAsiaTheme="minorEastAsia" w:cstheme="minorEastAsia"/>
          <w:kern w:val="0"/>
          <w:sz w:val="24"/>
          <w:u w:val="single"/>
        </w:rPr>
        <w:t>未按照磋商文件要求提交投标保证金的，投标无效。</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15.3 投标保证金不接受银行保函，具体提交要求见投标须知前附表。凡未按磋商文件要求提交投标保证金的投标，将视为非实质性响应性投标而被拒绝。</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15.4磋商文件接受联合体投标的，可以由联合体中的一方或者共同提交投标保证金。以一方名义提交投标保证金的，对联合体各方均具有约束力。</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kern w:val="0"/>
          <w:sz w:val="24"/>
        </w:rPr>
        <w:t>15.5 未成交人的投标保证金，将在成交通知书发出5个工作日内退还。因违反规定被没收的投标保证金不予退回。</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15.6 成交人的投标保证金自采购合同签订之日起5个工作日内退还。</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15.7 </w:t>
      </w:r>
      <w:r>
        <w:rPr>
          <w:rFonts w:hint="eastAsia" w:asciiTheme="minorEastAsia" w:hAnsiTheme="minorEastAsia" w:eastAsiaTheme="minorEastAsia" w:cstheme="minorEastAsia"/>
          <w:b/>
          <w:kern w:val="0"/>
          <w:sz w:val="24"/>
        </w:rPr>
        <w:t>下列任何情况发生时，投标保证金将可能被没收：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15.7.1 投标人在规定的投标有效期内撤回其投标；</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15.7.2 成交人无正当理由拒绝按规定与采购人签订合同或未能在规定期限内签署合同的或未按磋商文件要求提交履约保证金的；</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15.8 </w:t>
      </w:r>
      <w:r>
        <w:rPr>
          <w:rFonts w:hint="eastAsia" w:asciiTheme="minorEastAsia" w:hAnsiTheme="minorEastAsia" w:eastAsiaTheme="minorEastAsia" w:cstheme="minorEastAsia"/>
          <w:b/>
          <w:kern w:val="0"/>
          <w:sz w:val="24"/>
        </w:rPr>
        <w:t>投标人办理投标保证金退款申请手续须提供以下资料：</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15.8.1 采购代理机构开具的投标保证金《财务收据》复印件（原件以便核查）；</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15.8.2 供应商给代理机构开具的收款收据（收款单位开具并加盖收款单位财务章）；同时须提供清晰的开户银行名称、银行账号及收款单位名称。</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15.8.3供应商需带5-15元转账手续费（代收代付，银行手续费）。</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15.8.4 退还成交供应商方投标保证金时，成交供应商方还须提供与采购人签订的合同原件一份（原件核查无误后退还）和已加盖成交方公章的合同全本复印件一份（代理机构存档备查）。</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16. 磋商答疑会和现场踏勘</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16.1本项目不组织磋商答疑会。</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16.2 采购人不组织投标人进行现场踏勘，投标人应自行在投标截止前对项目服务现场和周围环境进行勘察，以获取须投标人自己负责的有关编制投标文件和签署合同所需的所有资料。勘察现场所发生的费用由投标人自己承担。</w:t>
      </w:r>
    </w:p>
    <w:p>
      <w:pPr>
        <w:shd w:val="clear" w:color="auto" w:fill="FFFFFF"/>
        <w:spacing w:line="500" w:lineRule="exact"/>
        <w:ind w:firstLine="486"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17. 投标有效期</w:t>
      </w:r>
    </w:p>
    <w:p>
      <w:pPr>
        <w:shd w:val="clear" w:color="auto" w:fill="FFFFFF"/>
        <w:spacing w:line="500" w:lineRule="exact"/>
        <w:ind w:firstLine="490" w:firstLineChars="202"/>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kern w:val="0"/>
          <w:sz w:val="24"/>
        </w:rPr>
        <w:t>17.1 投标有效期见本须知前附表所规定的期限，在此期限内，凡符合本磋商文件要求的投标文件均保持有效。</w:t>
      </w:r>
      <w:r>
        <w:rPr>
          <w:rFonts w:hint="eastAsia" w:asciiTheme="minorEastAsia" w:hAnsiTheme="minorEastAsia" w:eastAsiaTheme="minorEastAsia" w:cstheme="minorEastAsia"/>
          <w:b/>
          <w:bCs/>
          <w:kern w:val="0"/>
          <w:sz w:val="24"/>
          <w:lang w:val="zh-CN"/>
        </w:rPr>
        <w:t>投标有效期不满足要求的投标，将被视为无效投标被拒绝。</w:t>
      </w:r>
    </w:p>
    <w:p>
      <w:pPr>
        <w:shd w:val="clear" w:color="auto" w:fill="FFFFFF"/>
        <w:spacing w:line="500" w:lineRule="exact"/>
        <w:ind w:firstLine="490" w:firstLineChars="202"/>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kern w:val="0"/>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shd w:val="clear" w:color="auto" w:fill="FFFFFF"/>
        <w:spacing w:line="500" w:lineRule="exact"/>
        <w:ind w:firstLine="490" w:firstLineChars="202"/>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 投标文件的编制</w:t>
      </w:r>
    </w:p>
    <w:p>
      <w:pPr>
        <w:shd w:val="clear" w:color="auto" w:fill="FFFFFF"/>
        <w:spacing w:line="500" w:lineRule="exact"/>
        <w:ind w:firstLine="490" w:firstLineChars="202"/>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18. 投标文件编制要求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18.1投标人提交的投标文件及投标人与采购代理机构就有关投标的所有来往函电均使用中文。</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19. 投标文件编制的依据</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 采购人提供的有关资料；</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19.2 本磋商文件及磋商文件的修改或者澄清；</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19.3 相关的法律、法规和规定。</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20. 投标文件的组成</w:t>
      </w:r>
    </w:p>
    <w:p>
      <w:pPr>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20.1</w:t>
      </w:r>
      <w:r>
        <w:rPr>
          <w:rFonts w:hint="eastAsia" w:asciiTheme="minorEastAsia" w:hAnsiTheme="minorEastAsia" w:eastAsiaTheme="minorEastAsia" w:cstheme="minorEastAsia"/>
          <w:sz w:val="24"/>
        </w:rPr>
        <w:t>投标承诺书</w:t>
      </w:r>
    </w:p>
    <w:p>
      <w:pPr>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20.2开标一览表</w:t>
      </w:r>
    </w:p>
    <w:p>
      <w:pPr>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20.3报价明细表</w:t>
      </w:r>
    </w:p>
    <w:p>
      <w:pPr>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bCs/>
          <w:kern w:val="0"/>
          <w:sz w:val="24"/>
        </w:rPr>
        <w:t>20.4</w:t>
      </w:r>
      <w:r>
        <w:rPr>
          <w:rFonts w:hint="eastAsia" w:asciiTheme="minorEastAsia" w:hAnsiTheme="minorEastAsia" w:eastAsiaTheme="minorEastAsia" w:cstheme="minorEastAsia"/>
          <w:kern w:val="0"/>
          <w:sz w:val="24"/>
        </w:rPr>
        <w:t>法定代表人身份证明书</w:t>
      </w:r>
    </w:p>
    <w:p>
      <w:pPr>
        <w:autoSpaceDE w:val="0"/>
        <w:autoSpaceDN w:val="0"/>
        <w:adjustRightInd w:val="0"/>
        <w:spacing w:line="500" w:lineRule="exact"/>
        <w:ind w:firstLine="486"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20.5</w:t>
      </w:r>
      <w:r>
        <w:rPr>
          <w:rFonts w:hint="eastAsia" w:asciiTheme="minorEastAsia" w:hAnsiTheme="minorEastAsia" w:eastAsiaTheme="minorEastAsia" w:cstheme="minorEastAsia"/>
          <w:bCs/>
          <w:sz w:val="24"/>
        </w:rPr>
        <w:t>法定代表人授权委托书</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20.6依法缴纳税收承诺书</w:t>
      </w:r>
    </w:p>
    <w:p>
      <w:pPr>
        <w:autoSpaceDE w:val="0"/>
        <w:autoSpaceDN w:val="0"/>
        <w:adjustRightInd w:val="0"/>
        <w:spacing w:line="500" w:lineRule="exact"/>
        <w:ind w:firstLine="486"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20.7投标人的资格声明</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20.8无重大违法记录声明书</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20.9投标资格证明文件</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20.10技术规格偏离表</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20.11投标人</w:t>
      </w:r>
      <w:r>
        <w:rPr>
          <w:rFonts w:hint="eastAsia" w:asciiTheme="minorEastAsia" w:hAnsiTheme="minorEastAsia" w:eastAsiaTheme="minorEastAsia" w:cstheme="minorEastAsia"/>
          <w:sz w:val="24"/>
          <w:lang w:eastAsia="zh-CN"/>
        </w:rPr>
        <w:t>2019</w:t>
      </w:r>
      <w:r>
        <w:rPr>
          <w:rFonts w:hint="eastAsia" w:asciiTheme="minorEastAsia" w:hAnsiTheme="minorEastAsia" w:eastAsiaTheme="minorEastAsia" w:cstheme="minorEastAsia"/>
          <w:sz w:val="24"/>
        </w:rPr>
        <w:t>年1月1日至今业绩表</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20.12评审中所需资料</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20.13投标人认为有必要提供的其他资料</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21. 投标文件的编制及格式</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21.1 投标文件包括本磋商文件第20条规定的内容，投标人提供的投标文件应当使用磋商文件所提供投标文件格式（表格可按照同样格式扩展），并保证所提供的资料的真实性。未提供格式的，投标人可自行编制。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21.2 </w:t>
      </w:r>
      <w:r>
        <w:rPr>
          <w:rFonts w:hint="eastAsia" w:asciiTheme="minorEastAsia" w:hAnsiTheme="minorEastAsia" w:eastAsiaTheme="minorEastAsia" w:cstheme="minorEastAsia"/>
          <w:kern w:val="0"/>
          <w:sz w:val="24"/>
          <w:u w:val="single"/>
        </w:rPr>
        <w:t>磋商文件要求提供的所有证书、合同、获奖表彰文件等磋商要求的证明资料，均使用复印件，特别说明为原件的除外。</w:t>
      </w:r>
      <w:r>
        <w:rPr>
          <w:rFonts w:hint="eastAsia" w:asciiTheme="minorEastAsia" w:hAnsiTheme="minorEastAsia" w:eastAsiaTheme="minorEastAsia" w:cstheme="minorEastAsia"/>
          <w:sz w:val="24"/>
          <w:u w:val="single"/>
        </w:rPr>
        <w:t>本磋商文件规定的内容中所有复印件须加盖投标人公章,</w:t>
      </w:r>
      <w:r>
        <w:rPr>
          <w:rFonts w:hint="eastAsia" w:asciiTheme="minorEastAsia" w:hAnsiTheme="minorEastAsia" w:eastAsiaTheme="minorEastAsia" w:cstheme="minorEastAsia"/>
          <w:kern w:val="0"/>
          <w:sz w:val="24"/>
          <w:u w:val="single"/>
        </w:rPr>
        <w:t xml:space="preserve"> 否则视为非实质响应磋商文件</w:t>
      </w:r>
      <w:r>
        <w:rPr>
          <w:rFonts w:hint="eastAsia" w:asciiTheme="minorEastAsia" w:hAnsiTheme="minorEastAsia" w:eastAsiaTheme="minorEastAsia" w:cstheme="minorEastAsia"/>
          <w:sz w:val="24"/>
          <w:u w:val="single"/>
        </w:rPr>
        <w:t>。</w:t>
      </w:r>
    </w:p>
    <w:p>
      <w:pPr>
        <w:shd w:val="clear" w:color="auto" w:fill="FFFFFF"/>
        <w:spacing w:line="500" w:lineRule="exact"/>
        <w:ind w:firstLine="490" w:firstLineChars="202"/>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21.3 投标文件严禁涂改或行间插字和增删。除非这些修改是根据采购人的指示进行的，或者是投标人造成的必须修改的错误，</w:t>
      </w:r>
      <w:r>
        <w:rPr>
          <w:rFonts w:hint="eastAsia" w:asciiTheme="minorEastAsia" w:hAnsiTheme="minorEastAsia" w:eastAsiaTheme="minorEastAsia" w:cstheme="minorEastAsia"/>
          <w:sz w:val="24"/>
        </w:rPr>
        <w:t>必要的修改处必须有投标人法人代表或其授权代表人签字。</w:t>
      </w:r>
    </w:p>
    <w:p>
      <w:pPr>
        <w:shd w:val="clear" w:color="auto" w:fill="FFFFFF"/>
        <w:spacing w:line="500" w:lineRule="exact"/>
        <w:ind w:firstLine="490" w:firstLineChars="202"/>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21.4 </w:t>
      </w:r>
      <w:r>
        <w:rPr>
          <w:rFonts w:hint="eastAsia" w:asciiTheme="minorEastAsia" w:hAnsiTheme="minorEastAsia" w:eastAsiaTheme="minorEastAsia" w:cstheme="minorEastAsia"/>
          <w:sz w:val="24"/>
          <w:u w:val="single"/>
        </w:rPr>
        <w:t>磋商文件中分包段的，</w:t>
      </w:r>
      <w:r>
        <w:rPr>
          <w:rFonts w:hint="eastAsia" w:asciiTheme="minorEastAsia" w:hAnsiTheme="minorEastAsia" w:eastAsiaTheme="minorEastAsia" w:cstheme="minorEastAsia"/>
          <w:bCs/>
          <w:sz w:val="24"/>
          <w:u w:val="single"/>
          <w:lang w:val="zh-CN"/>
        </w:rPr>
        <w:t>投标人须针对本单位所投包段分别编制投标文件并单独提交。</w:t>
      </w:r>
      <w:r>
        <w:rPr>
          <w:rFonts w:hint="eastAsia" w:asciiTheme="minorEastAsia" w:hAnsiTheme="minorEastAsia" w:eastAsiaTheme="minorEastAsia" w:cstheme="minorEastAsia"/>
          <w:bCs/>
          <w:sz w:val="24"/>
        </w:rPr>
        <w:t>投标人应当按照磋商文件的要求编制投标文件。投标文件应当对磋商文件提出的要求和条件作出明确响应。</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22. 投标文件的份数和签署</w:t>
      </w:r>
    </w:p>
    <w:p>
      <w:pPr>
        <w:shd w:val="clear" w:color="auto" w:fill="FFFFFF"/>
        <w:spacing w:line="500" w:lineRule="exact"/>
        <w:ind w:firstLine="486" w:firstLineChars="200"/>
        <w:rPr>
          <w:rFonts w:asciiTheme="minorEastAsia" w:hAnsiTheme="minorEastAsia" w:eastAsiaTheme="minorEastAsia" w:cstheme="minorEastAsia"/>
          <w:b/>
          <w:kern w:val="0"/>
          <w:sz w:val="24"/>
          <w:u w:val="single"/>
        </w:rPr>
      </w:pPr>
      <w:r>
        <w:rPr>
          <w:rFonts w:hint="eastAsia" w:asciiTheme="minorEastAsia" w:hAnsiTheme="minorEastAsia" w:eastAsiaTheme="minorEastAsia" w:cstheme="minorEastAsia"/>
          <w:kern w:val="0"/>
          <w:sz w:val="24"/>
        </w:rPr>
        <w:t xml:space="preserve">22.1 </w:t>
      </w:r>
      <w:r>
        <w:rPr>
          <w:rFonts w:hint="eastAsia" w:asciiTheme="minorEastAsia" w:hAnsiTheme="minorEastAsia" w:eastAsiaTheme="minorEastAsia" w:cstheme="minorEastAsia"/>
          <w:kern w:val="0"/>
          <w:sz w:val="24"/>
          <w:u w:val="single"/>
        </w:rPr>
        <w:t>投标人应当按照本须知前附表规定的份数提交投标文件。否则视为非实质响应磋商文件的投标。</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22.2 投标文件均须印刷体打印。</w:t>
      </w:r>
    </w:p>
    <w:p>
      <w:pPr>
        <w:shd w:val="clear" w:color="auto" w:fill="FFFFFF"/>
        <w:spacing w:line="500" w:lineRule="exact"/>
        <w:ind w:firstLine="490" w:firstLineChars="202"/>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22.3 </w:t>
      </w:r>
      <w:r>
        <w:rPr>
          <w:rFonts w:hint="eastAsia" w:asciiTheme="minorEastAsia" w:hAnsiTheme="minorEastAsia" w:eastAsiaTheme="minorEastAsia" w:cstheme="minorEastAsia"/>
          <w:kern w:val="0"/>
          <w:sz w:val="24"/>
          <w:u w:val="single"/>
        </w:rPr>
        <w:t>投标文件签署要求均应符合磋商要求。投标文件未按照上述规定编制，初步评审将不予已通过。</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22</w:t>
      </w:r>
      <w:r>
        <w:rPr>
          <w:rFonts w:hint="eastAsia" w:asciiTheme="minorEastAsia" w:hAnsiTheme="minorEastAsia" w:eastAsiaTheme="minorEastAsia" w:cstheme="minorEastAsia"/>
          <w:sz w:val="24"/>
        </w:rPr>
        <w:t xml:space="preserve">.4 </w:t>
      </w:r>
      <w:r>
        <w:rPr>
          <w:rFonts w:hint="eastAsia" w:asciiTheme="minorEastAsia" w:hAnsiTheme="minorEastAsia" w:eastAsiaTheme="minorEastAsia" w:cstheme="minorEastAsia"/>
          <w:b/>
          <w:sz w:val="24"/>
        </w:rPr>
        <w:t>发生下列情况之一者，应在资格性、符合性检查时按照无效投标处理：</w:t>
      </w:r>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1" w:name="_Toc520282245"/>
      <w:r>
        <w:rPr>
          <w:rFonts w:hint="eastAsia" w:asciiTheme="minorEastAsia" w:hAnsiTheme="minorEastAsia" w:eastAsiaTheme="minorEastAsia" w:cstheme="minorEastAsia"/>
          <w:sz w:val="24"/>
          <w:lang w:val="zh-CN"/>
        </w:rPr>
        <w:t>（1）未按磋商文件规定的形式和金额交纳投标保证金的；</w:t>
      </w:r>
      <w:bookmarkEnd w:id="1"/>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2" w:name="_Toc520282246"/>
      <w:r>
        <w:rPr>
          <w:rFonts w:hint="eastAsia" w:asciiTheme="minorEastAsia" w:hAnsiTheme="minorEastAsia" w:eastAsiaTheme="minorEastAsia" w:cstheme="minorEastAsia"/>
          <w:sz w:val="24"/>
          <w:lang w:val="zh-CN"/>
        </w:rPr>
        <w:t>（2）未按照磋商文件规定要求签署、盖章的；</w:t>
      </w:r>
      <w:bookmarkEnd w:id="2"/>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zh-CN"/>
        </w:rPr>
        <w:t>）</w:t>
      </w:r>
      <w:bookmarkStart w:id="3" w:name="_Toc520282247"/>
      <w:r>
        <w:rPr>
          <w:rFonts w:hint="eastAsia" w:asciiTheme="minorEastAsia" w:hAnsiTheme="minorEastAsia" w:eastAsiaTheme="minorEastAsia" w:cstheme="minorEastAsia"/>
          <w:sz w:val="24"/>
          <w:lang w:val="zh-CN"/>
        </w:rPr>
        <w:t>未满足</w:t>
      </w:r>
      <w:r>
        <w:rPr>
          <w:rFonts w:hint="eastAsia" w:asciiTheme="minorEastAsia" w:hAnsiTheme="minorEastAsia" w:eastAsiaTheme="minorEastAsia" w:cstheme="minorEastAsia"/>
          <w:sz w:val="24"/>
        </w:rPr>
        <w:t>磋商文件规定资格要求的；</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（4）未满足“投标须知”</w:t>
      </w:r>
      <w:r>
        <w:rPr>
          <w:rFonts w:hint="eastAsia" w:asciiTheme="minorEastAsia" w:hAnsiTheme="minorEastAsia" w:eastAsiaTheme="minorEastAsia" w:cstheme="minorEastAsia"/>
          <w:bCs/>
          <w:sz w:val="24"/>
        </w:rPr>
        <w:t>规定的</w:t>
      </w:r>
      <w:r>
        <w:rPr>
          <w:rFonts w:hint="eastAsia" w:asciiTheme="minorEastAsia" w:hAnsiTheme="minorEastAsia" w:eastAsiaTheme="minorEastAsia" w:cstheme="minorEastAsia"/>
          <w:sz w:val="24"/>
        </w:rPr>
        <w:t>实质性要求的；</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（5）同一投标人提交两个以上不同的投标文件或者投标报价的（磋商文件要求允许提交备选方案的除外）；</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（6）投标文件载明的投标范围小于磋商文件规定的磋商范围的(缺漏磋商文件所要求的内容)；</w:t>
      </w:r>
    </w:p>
    <w:p>
      <w:pPr>
        <w:shd w:val="clear" w:color="auto" w:fill="FFFFFF"/>
        <w:spacing w:line="500" w:lineRule="exact"/>
        <w:ind w:firstLine="486"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（7）投标有效期</w:t>
      </w:r>
      <w:r>
        <w:rPr>
          <w:rFonts w:hint="eastAsia" w:asciiTheme="minorEastAsia" w:hAnsiTheme="minorEastAsia" w:eastAsiaTheme="minorEastAsia" w:cstheme="minorEastAsia"/>
          <w:sz w:val="24"/>
          <w:lang w:val="zh-CN"/>
        </w:rPr>
        <w:t>不满足要求</w:t>
      </w:r>
      <w:r>
        <w:rPr>
          <w:rFonts w:hint="eastAsia" w:asciiTheme="minorEastAsia" w:hAnsiTheme="minorEastAsia" w:eastAsiaTheme="minorEastAsia" w:cstheme="minorEastAsia"/>
          <w:sz w:val="24"/>
        </w:rPr>
        <w:t>的；</w:t>
      </w:r>
    </w:p>
    <w:p>
      <w:pPr>
        <w:shd w:val="clear" w:color="auto" w:fill="FFFFFF"/>
        <w:spacing w:line="500" w:lineRule="exact"/>
        <w:ind w:firstLine="486"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zh-CN"/>
        </w:rPr>
        <w:t>）未满足磋商文件中商务及技术条款的实质性要求；</w:t>
      </w:r>
      <w:bookmarkEnd w:id="3"/>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4" w:name="_Toc520282248"/>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sz w:val="24"/>
          <w:lang w:val="zh-CN"/>
        </w:rPr>
        <w:t>）与其他投标人串通投标，或者与采购人串通投标妨碍其他投标人竞争行为，损害采购人或者其他投标人合法权益的；</w:t>
      </w:r>
      <w:bookmarkEnd w:id="4"/>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5" w:name="_Toc520282249"/>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lang w:val="zh-CN"/>
        </w:rPr>
        <w:t>）属于磋商文件规定的其他无效投标情形；</w:t>
      </w:r>
      <w:bookmarkEnd w:id="5"/>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6" w:name="_Toc520282250"/>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val="zh-CN"/>
        </w:rPr>
        <w:t>）评标委员会认为投标人的价格浮动比例明显低于其他通过符合性检查投标人的按价格浮动比例，有可能影响履约的，且投标人未按照规定证明其报价合理性的；</w:t>
      </w:r>
      <w:bookmarkEnd w:id="6"/>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7" w:name="_Toc520282251"/>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val="zh-CN"/>
        </w:rPr>
        <w:t>）投标文件含有采购人不能接受的附加条件的；</w:t>
      </w:r>
      <w:bookmarkEnd w:id="7"/>
    </w:p>
    <w:p>
      <w:pPr>
        <w:shd w:val="clear" w:color="auto" w:fill="FFFFFF"/>
        <w:spacing w:line="500" w:lineRule="exact"/>
        <w:ind w:firstLine="486" w:firstLineChars="200"/>
        <w:rPr>
          <w:rFonts w:asciiTheme="minorEastAsia" w:hAnsiTheme="minorEastAsia" w:eastAsiaTheme="minorEastAsia" w:cstheme="minorEastAsia"/>
          <w:sz w:val="24"/>
        </w:rPr>
      </w:pPr>
      <w:bookmarkStart w:id="8" w:name="_Toc520282252"/>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lang w:val="zh-CN"/>
        </w:rPr>
        <w:t>）不符合法规和磋商文件中规定的其他实质性要求的。</w:t>
      </w:r>
      <w:bookmarkEnd w:id="8"/>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（四） 投标文件的递交</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23. 投标文件的封装与标记</w:t>
      </w:r>
    </w:p>
    <w:p>
      <w:pPr>
        <w:shd w:val="clear" w:color="auto" w:fill="FFFFFF"/>
        <w:spacing w:line="500" w:lineRule="exact"/>
        <w:ind w:firstLine="490" w:firstLineChars="202"/>
        <w:rPr>
          <w:rFonts w:asciiTheme="minorEastAsia" w:hAnsiTheme="minorEastAsia" w:eastAsiaTheme="minorEastAsia" w:cstheme="minorEastAsia"/>
          <w:b/>
          <w:bCs/>
          <w:kern w:val="0"/>
          <w:sz w:val="24"/>
          <w:u w:val="single"/>
        </w:rPr>
      </w:pPr>
      <w:r>
        <w:rPr>
          <w:rFonts w:hint="eastAsia" w:asciiTheme="minorEastAsia" w:hAnsiTheme="minorEastAsia" w:eastAsiaTheme="minorEastAsia" w:cstheme="minorEastAsia"/>
          <w:kern w:val="0"/>
          <w:sz w:val="24"/>
        </w:rPr>
        <w:t>23.1</w:t>
      </w:r>
      <w:r>
        <w:rPr>
          <w:rFonts w:hint="eastAsia" w:asciiTheme="minorEastAsia" w:hAnsiTheme="minorEastAsia" w:eastAsiaTheme="minorEastAsia" w:cstheme="minorEastAsia"/>
          <w:b/>
          <w:bCs/>
          <w:kern w:val="0"/>
          <w:sz w:val="24"/>
        </w:rPr>
        <w:t>纸质版投标文件：</w:t>
      </w:r>
      <w:r>
        <w:rPr>
          <w:rFonts w:hint="eastAsia" w:asciiTheme="minorEastAsia" w:hAnsiTheme="minorEastAsia" w:eastAsiaTheme="minorEastAsia" w:cstheme="minorEastAsia"/>
          <w:kern w:val="0"/>
          <w:sz w:val="24"/>
        </w:rPr>
        <w:t>封面须</w:t>
      </w:r>
      <w:r>
        <w:rPr>
          <w:rFonts w:hint="eastAsia" w:asciiTheme="minorEastAsia" w:hAnsiTheme="minorEastAsia" w:eastAsiaTheme="minorEastAsia" w:cstheme="minorEastAsia"/>
          <w:kern w:val="0"/>
          <w:sz w:val="24"/>
          <w:u w:val="single"/>
        </w:rPr>
        <w:t>注明“采购人、项目名称、项目编号、投标人、</w:t>
      </w:r>
      <w:r>
        <w:rPr>
          <w:rFonts w:hint="eastAsia" w:asciiTheme="minorEastAsia" w:hAnsiTheme="minorEastAsia" w:eastAsiaTheme="minorEastAsia" w:cstheme="minorEastAsia"/>
          <w:kern w:val="0"/>
          <w:sz w:val="24"/>
          <w:u w:val="single"/>
          <w:lang w:val="zh-CN"/>
        </w:rPr>
        <w:t>法定代表人、被授权代理人、</w:t>
      </w:r>
      <w:r>
        <w:rPr>
          <w:rFonts w:hint="eastAsia" w:asciiTheme="minorEastAsia" w:hAnsiTheme="minorEastAsia" w:eastAsiaTheme="minorEastAsia" w:cstheme="minorEastAsia"/>
          <w:kern w:val="0"/>
          <w:sz w:val="24"/>
          <w:u w:val="single"/>
        </w:rPr>
        <w:t>地址、邮政编码、联系人、联系电话”，</w:t>
      </w:r>
      <w:r>
        <w:rPr>
          <w:rFonts w:hint="eastAsia" w:asciiTheme="minorEastAsia" w:hAnsiTheme="minorEastAsia" w:eastAsiaTheme="minorEastAsia" w:cstheme="minorEastAsia"/>
          <w:sz w:val="24"/>
          <w:u w:val="single"/>
        </w:rPr>
        <w:t>并标注“ 年 月 日 时 分开标前不得开启”，并在骑缝处加盖公章、法定代表人印章，并应确保密封完好。</w:t>
      </w:r>
      <w:r>
        <w:rPr>
          <w:rFonts w:hint="eastAsia" w:asciiTheme="minorEastAsia" w:hAnsiTheme="minorEastAsia" w:eastAsiaTheme="minorEastAsia" w:cstheme="minorEastAsia"/>
          <w:kern w:val="0"/>
          <w:sz w:val="24"/>
        </w:rPr>
        <w:t>“正本”、“副本”如有不一致时，以“正本”为准。</w:t>
      </w:r>
      <w:r>
        <w:rPr>
          <w:rFonts w:hint="eastAsia" w:asciiTheme="minorEastAsia" w:hAnsiTheme="minorEastAsia" w:eastAsiaTheme="minorEastAsia" w:cstheme="minorEastAsia"/>
          <w:sz w:val="24"/>
          <w:u w:val="single"/>
        </w:rPr>
        <w:t>投标文件正本与副本须分开密封装订（并须在外封套封皮注明“正本”、“副本”字样）。</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除特别说明外，全套响应文件的书面部分均须使用A4规格纸张无线胶装方式装订，不得采用活页夹等可随时拆换的方式装订。</w:t>
      </w:r>
    </w:p>
    <w:p>
      <w:pPr>
        <w:shd w:val="clear" w:color="auto" w:fill="FFFFFF"/>
        <w:spacing w:line="500" w:lineRule="exact"/>
        <w:ind w:firstLine="486"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23.3</w:t>
      </w:r>
      <w:r>
        <w:rPr>
          <w:rFonts w:hint="eastAsia" w:asciiTheme="minorEastAsia" w:hAnsiTheme="minorEastAsia" w:eastAsiaTheme="minorEastAsia" w:cstheme="minorEastAsia"/>
          <w:b/>
          <w:sz w:val="24"/>
        </w:rPr>
        <w:t>电子版投标文件</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Cs/>
          <w:kern w:val="0"/>
          <w:sz w:val="24"/>
        </w:rPr>
        <w:t>投标人递交纸质版投标文件时，还需同步提交投标文件正本扫描电子版（PDF格式）（u盘或光盘提交，电子版投标文件须同纸质版投标文件正本内容保持一致；电子版文件按磋商文件中密封要求密封提交）；</w:t>
      </w:r>
      <w:r>
        <w:rPr>
          <w:rFonts w:hint="eastAsia" w:asciiTheme="minorEastAsia" w:hAnsiTheme="minorEastAsia" w:eastAsiaTheme="minorEastAsia" w:cstheme="minorEastAsia"/>
          <w:kern w:val="0"/>
          <w:sz w:val="24"/>
        </w:rPr>
        <w:t>光盘封面或u盘请载明项目名称、项目编号、投标内容、公司名称。</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23.4 </w:t>
      </w:r>
      <w:r>
        <w:rPr>
          <w:rFonts w:hint="eastAsia" w:asciiTheme="minorEastAsia" w:hAnsiTheme="minorEastAsia" w:eastAsiaTheme="minorEastAsia" w:cstheme="minorEastAsia"/>
          <w:b/>
          <w:sz w:val="24"/>
        </w:rPr>
        <w:t>投标文件袋和《开标一览表》信封封面</w:t>
      </w:r>
      <w:r>
        <w:rPr>
          <w:rFonts w:hint="eastAsia" w:asciiTheme="minorEastAsia" w:hAnsiTheme="minorEastAsia" w:eastAsiaTheme="minorEastAsia" w:cstheme="minorEastAsia"/>
          <w:sz w:val="24"/>
        </w:rPr>
        <w:t>须</w:t>
      </w:r>
      <w:r>
        <w:rPr>
          <w:rFonts w:hint="eastAsia" w:asciiTheme="minorEastAsia" w:hAnsiTheme="minorEastAsia" w:eastAsiaTheme="minorEastAsia" w:cstheme="minorEastAsia"/>
          <w:kern w:val="0"/>
          <w:sz w:val="24"/>
          <w:u w:val="single"/>
        </w:rPr>
        <w:t>注明“采购人、项目名称、项目编号、投标人、</w:t>
      </w:r>
      <w:r>
        <w:rPr>
          <w:rFonts w:hint="eastAsia" w:asciiTheme="minorEastAsia" w:hAnsiTheme="minorEastAsia" w:eastAsiaTheme="minorEastAsia" w:cstheme="minorEastAsia"/>
          <w:kern w:val="0"/>
          <w:sz w:val="24"/>
          <w:u w:val="single"/>
          <w:lang w:val="zh-CN"/>
        </w:rPr>
        <w:t>法定代表人、被授权代理人、</w:t>
      </w:r>
      <w:r>
        <w:rPr>
          <w:rFonts w:hint="eastAsia" w:asciiTheme="minorEastAsia" w:hAnsiTheme="minorEastAsia" w:eastAsiaTheme="minorEastAsia" w:cstheme="minorEastAsia"/>
          <w:kern w:val="0"/>
          <w:sz w:val="24"/>
          <w:u w:val="single"/>
        </w:rPr>
        <w:t>地址、邮政编码、联系人、联系电话”</w:t>
      </w:r>
      <w:r>
        <w:rPr>
          <w:rFonts w:hint="eastAsia" w:asciiTheme="minorEastAsia" w:hAnsiTheme="minorEastAsia" w:eastAsiaTheme="minorEastAsia" w:cstheme="minorEastAsia"/>
          <w:sz w:val="24"/>
          <w:u w:val="single"/>
        </w:rPr>
        <w:t>等字样，并标注“ 年 月 日 时 分开标前不得开启”，并在骑缝处加盖公章、法定代表人印章，并应确保密封完好。</w:t>
      </w:r>
    </w:p>
    <w:p>
      <w:pPr>
        <w:shd w:val="clear" w:color="auto" w:fill="FFFFFF"/>
        <w:spacing w:line="500" w:lineRule="exact"/>
        <w:ind w:firstLine="490" w:firstLineChars="202"/>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kern w:val="0"/>
          <w:sz w:val="24"/>
        </w:rPr>
        <w:t>23.5未按照上述规定提交的投标文件将被拒绝，并退还给投标人。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24. 投标文件的提交</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投标人应当按照本投标须知前附表所规定的地点，于投标截止时间前提交投标文件。</w:t>
      </w:r>
      <w:r>
        <w:rPr>
          <w:rFonts w:hint="eastAsia" w:asciiTheme="minorEastAsia" w:hAnsiTheme="minorEastAsia" w:eastAsiaTheme="minorEastAsia" w:cstheme="minorEastAsia"/>
          <w:kern w:val="0"/>
          <w:sz w:val="24"/>
          <w:u w:val="single"/>
        </w:rPr>
        <w:t>未按磋商文件规定地点、时间送达或未按磋商文件要求封装、标识、提交的投标文件</w:t>
      </w:r>
      <w:r>
        <w:rPr>
          <w:rFonts w:hint="eastAsia" w:asciiTheme="minorEastAsia" w:hAnsiTheme="minorEastAsia" w:eastAsiaTheme="minorEastAsia" w:cstheme="minorEastAsia"/>
          <w:sz w:val="24"/>
          <w:u w:val="single"/>
        </w:rPr>
        <w:t>视为非实质性响应磋商文件</w:t>
      </w:r>
      <w:r>
        <w:rPr>
          <w:rFonts w:hint="eastAsia" w:asciiTheme="minorEastAsia" w:hAnsiTheme="minorEastAsia" w:eastAsiaTheme="minorEastAsia" w:cstheme="minorEastAsia"/>
          <w:kern w:val="0"/>
          <w:sz w:val="24"/>
          <w:u w:val="single"/>
        </w:rPr>
        <w:t>。</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25. 投标文件提交的截止时间</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25.1 投标文件提交的截止时间详见本投标须知前附表规定。</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25.2 采购人可按本磋商文件第13条规定以修改补充通知的方式，酌情延长提交投标书的截止时间。在上述情况下，采购人与投标人在原投标截止时间前的全部权力和义务，将适用于延长后新的投标截止时间。</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25.3 至投标文件递交截止时间，采购人收到的投标文件少于3个的，采购人将依法重新组织磋商。评标过程中有效投标人少于3个的，参照执行。</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26. 迟交的投标文件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投标人在本投标须知前附表规定的投标截止时间以后送达的投标文件将被拒绝并退回投标人。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27. 投标文件的补充、修改与撤回</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27.1 投标人可以在投标须知前附表规定的投标截止时间之前，可以以书面形式补充、修改或撤回已提交的投标文件。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27.2 投标人对投标文件的补充、修改或撤回，应按本磋商文件第 23 条的规定编制、密封、标识和提交，并在内层和外层封套上清楚标明“补充”、“修改”或“撤回”字样。</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27.3 在投标截止时间之后，投标人不得补充、修改投标文件。</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（五） 开标</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28. 开标</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9" w:name="_Toc520282214"/>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8.1磋商文件是评标的唯一依据。评标委员会评标要依据磋商方的竞争性磋商文件和投标方的投标文件进行比较与评标。</w:t>
      </w:r>
      <w:bookmarkEnd w:id="9"/>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0" w:name="_Toc520282215"/>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8.1.1采用最低评标价法的采购项目，提供相同品牌产品的不同投标人参加同一合同项下投标的，以其中通过资格审查、符合性审查且报价最低的参加评标；报价相同的，由采购人或者采购人委托评标委员会按照磋商文件规定的方式确定一个参加评标的投标人，磋商文件未规定的采取随机抽取方式确定，其他投标无效。</w:t>
      </w:r>
      <w:bookmarkEnd w:id="10"/>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1" w:name="_Toc520282216"/>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8.1.2使用综合评分法的采购项目，提供相同品牌产品且通过资格审查、符合性审查的不同投标人参加同一合同项下投标的，按一家投标人计算，评审后得分最高的同品牌投标人获得成交人推荐资格；评审得分相同的，由采购人或者采购人委托评标委员会按照磋商文件规定的方式确定一个投标人获得成交人推荐资格，磋商文件未规定的采取随机抽取方式确定，其他同品牌投标人不作为成交候选人。</w:t>
      </w:r>
      <w:bookmarkEnd w:id="11"/>
    </w:p>
    <w:p>
      <w:pPr>
        <w:shd w:val="clear" w:color="auto" w:fill="FFFFFF"/>
        <w:spacing w:line="500" w:lineRule="exact"/>
        <w:ind w:firstLine="490" w:firstLineChars="202"/>
        <w:rPr>
          <w:rFonts w:asciiTheme="minorEastAsia" w:hAnsiTheme="minorEastAsia" w:eastAsiaTheme="minorEastAsia" w:cstheme="minorEastAsia"/>
          <w:kern w:val="0"/>
          <w:sz w:val="24"/>
        </w:rPr>
      </w:pPr>
      <w:bookmarkStart w:id="12" w:name="_Toc520282217"/>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8.1.3非单一产品采购项目，采购人应当根据采购项目技术构成、产品价格比重等合理确定核心产品，并在磋商文件中载明。多家投标人提供的核心产品品牌相同的，按前两款规定处理。(87号令第31条)</w:t>
      </w:r>
      <w:bookmarkEnd w:id="12"/>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28.2 磋商会将于投标须知前附表规定的时间和地点召开，邀请投标人参加。评标委员会成员不得参加开标活动。投标人须委派开标代表参加开标。与会的投标人代表应在投标文件递交登记表上签字确认其投标文件已递交。</w:t>
      </w:r>
      <w:r>
        <w:rPr>
          <w:rFonts w:hint="eastAsia" w:asciiTheme="minorEastAsia" w:hAnsiTheme="minorEastAsia" w:eastAsiaTheme="minorEastAsia" w:cstheme="minorEastAsia"/>
          <w:b/>
          <w:kern w:val="0"/>
          <w:sz w:val="24"/>
        </w:rPr>
        <w:t>在开标前不得开启投标文件。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28.3 </w:t>
      </w:r>
      <w:r>
        <w:rPr>
          <w:rFonts w:hint="eastAsia" w:ascii="宋体" w:hAnsi="宋体" w:cs="宋体"/>
          <w:sz w:val="24"/>
        </w:rPr>
        <w:t>竞争性磋商程序</w:t>
      </w:r>
    </w:p>
    <w:p>
      <w:pPr>
        <w:widowControl/>
        <w:spacing w:line="450" w:lineRule="exact"/>
        <w:ind w:firstLine="486" w:firstLineChars="200"/>
        <w:textAlignment w:val="baseline"/>
        <w:rPr>
          <w:rFonts w:ascii="宋体" w:hAnsi="宋体" w:cs="宋体"/>
          <w:bCs/>
          <w:sz w:val="24"/>
        </w:rPr>
      </w:pPr>
      <w:r>
        <w:rPr>
          <w:rFonts w:hint="eastAsia" w:ascii="宋体" w:hAnsi="宋体" w:cs="宋体"/>
          <w:bCs/>
          <w:sz w:val="24"/>
        </w:rPr>
        <w:t>磋商小组的组成</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磋商小组由采购人代表和有关技术、经济等方面的专家组成。全面负责对响应文件的审查、评审、磋商、打分等全部评审工作。磋商小组人数以及技术、经济方面的专家组成见</w:t>
      </w:r>
      <w:r>
        <w:fldChar w:fldCharType="begin"/>
      </w:r>
      <w:r>
        <w:instrText xml:space="preserve">HYPERLINK "file:///G:\\WordForm\\e944b4b1-01b6-4e42-b170-f783fcf7903a.doc" \l "_评标委员会"</w:instrText>
      </w:r>
      <w:r>
        <w:fldChar w:fldCharType="separate"/>
      </w:r>
      <w:r>
        <w:rPr>
          <w:rFonts w:hint="eastAsia" w:ascii="宋体" w:hAnsi="宋体" w:cs="宋体"/>
          <w:bCs/>
          <w:kern w:val="0"/>
          <w:sz w:val="24"/>
        </w:rPr>
        <w:t>供应商须知前附表</w:t>
      </w:r>
      <w:r>
        <w:fldChar w:fldCharType="end"/>
      </w:r>
      <w:r>
        <w:rPr>
          <w:rFonts w:hint="eastAsia" w:ascii="宋体" w:hAnsi="宋体" w:cs="宋体"/>
          <w:bCs/>
          <w:kern w:val="0"/>
          <w:sz w:val="24"/>
        </w:rPr>
        <w:t>。</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磋商方法</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磋商小组将按照磋商文件确定的评审方法进行评审。磋商小组对响应文件的评审分为响应文件初审、澄清有关问题、比较与评价响应文件、推荐成交候选人名单。</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项目评审方法详见磋商文件“第四章 评审方法、步骤及标准”。</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响应文件的初审</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初审分为资格性检查和符合性检查。</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资格性检查</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（1）磋商小组根据评审办法前附表规定的评审因素和评审标准，对供应商的响应文件进行资格评审。资格性检查不合格的供应商的响应文件作无效文件处理。</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（2）磋商小组在进行资格检查时，不得改变磋商文件中已载明的资格条件、标准和办法。资格性检查不合格的供应商的响应文件作无效文件处理。</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（3）供应商在递交响应文件的同时，应逐项对照上述资格性检查要求提交相应的原件和资格证明文件供磋商小组核查，否则评委将不予采信。</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（4）磋商小组在评审中必要时可按供应商提供的联系方式就有关问题进行查询核实，或要求供应商做出书面澄清，查询及澄清结果将作为审查的依据。</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（5）通过全部资格性检查条件合格的供应商才能通过资格检查，其响应文件方可进入下一个检查阶段。</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符合性检查</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磋商小组根据评审办法前附表规定的评审因素和评审标准，对供应商的响应文件进行符合性检查。符合性检查不合格的供应商的响应文件作无效文件处理。</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 xml:space="preserve">违法违规行为 </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在评审过程中，磋商小组发现供应商有下列情形之一的，作无效文件处理：</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（1）属于同一集团、协会、商会等组织成员的供应商按照该组织要求协同投标；</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（2）不同供应商的响应文件由同一单位或者个人编制；</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（3）不同供应商委托同一单位或者个人办理投标事宜；</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（4）不同供应商的响应文件载明的项目管理成员为同一人；</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（5）不同供应商的响应文件异常一致或者投标报价呈规律性差异；</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（6）不同供应商的响应文件相互混装；</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（7）不同供应商的投标保证金从同一单位或者个人的账户转出；</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（8）使用伪造、变造的行政许可证件；</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（9）提供虚假的财务状况或者业绩；</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（10）提供虚假的项目负责人或者主要技术人员简历、劳动关系证明；</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（11）提供虚假的信用状况；</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（12）其他弄虚作假的行为。</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磋商小组审查响应文件是否完整、有无计算上的错误等。</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响应文件的修正及澄清</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（1）磋商小组对确定为实质上响应磋商文件要求的响应文件进行校核，看其是否有计算或表达上的错误，算术错误将按以下方法更正：</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实质上没有响应磋商文件要求的响应文件将被视为无效文件。供应商不得通过修正或撤销不合要求的偏离从而使其成为实质上响应的文件。</w:t>
      </w:r>
    </w:p>
    <w:p>
      <w:pPr>
        <w:pStyle w:val="32"/>
        <w:spacing w:line="450" w:lineRule="exact"/>
        <w:ind w:firstLine="486" w:firstLineChars="200"/>
        <w:contextualSpacing/>
        <w:rPr>
          <w:rFonts w:hAnsi="宋体" w:cs="宋体"/>
          <w:bCs/>
          <w:kern w:val="0"/>
          <w:sz w:val="24"/>
          <w:szCs w:val="24"/>
        </w:rPr>
      </w:pPr>
      <w:r>
        <w:rPr>
          <w:rFonts w:hint="eastAsia" w:hAnsi="宋体" w:cs="宋体"/>
          <w:bCs/>
          <w:kern w:val="0"/>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6"/>
        <w:spacing w:before="156" w:after="156" w:line="450" w:lineRule="exact"/>
        <w:ind w:firstLine="486"/>
        <w:rPr>
          <w:rFonts w:ascii="宋体" w:hAnsi="宋体" w:cs="宋体"/>
          <w:bCs/>
          <w:sz w:val="24"/>
        </w:rPr>
      </w:pPr>
      <w:r>
        <w:rPr>
          <w:rFonts w:hint="eastAsia" w:ascii="宋体" w:hAnsi="宋体" w:cs="宋体"/>
          <w:bCs/>
          <w:kern w:val="0"/>
          <w:sz w:val="24"/>
        </w:rPr>
        <w:t>供应商的澄清文件是其响应文件</w:t>
      </w:r>
      <w:r>
        <w:rPr>
          <w:rFonts w:hint="eastAsia" w:ascii="宋体" w:hAnsi="宋体" w:cs="宋体"/>
          <w:bCs/>
          <w:sz w:val="24"/>
        </w:rPr>
        <w:t>的组成部分。</w:t>
      </w:r>
    </w:p>
    <w:p>
      <w:pPr>
        <w:pStyle w:val="16"/>
        <w:spacing w:before="156" w:after="156" w:line="450" w:lineRule="exact"/>
        <w:ind w:firstLine="486"/>
        <w:rPr>
          <w:rFonts w:ascii="宋体" w:hAnsi="宋体" w:cs="宋体"/>
          <w:bCs/>
          <w:sz w:val="24"/>
        </w:rPr>
      </w:pPr>
      <w:r>
        <w:rPr>
          <w:rFonts w:hint="eastAsia" w:ascii="宋体" w:hAnsi="宋体" w:cs="宋体"/>
          <w:bCs/>
          <w:sz w:val="24"/>
        </w:rPr>
        <w:t>磋商</w:t>
      </w:r>
    </w:p>
    <w:p>
      <w:pPr>
        <w:pStyle w:val="16"/>
        <w:spacing w:before="156" w:after="156" w:line="450" w:lineRule="exact"/>
        <w:ind w:firstLine="486"/>
        <w:rPr>
          <w:rFonts w:ascii="宋体" w:hAnsi="宋体" w:cs="宋体"/>
          <w:bCs/>
          <w:sz w:val="24"/>
        </w:rPr>
      </w:pPr>
      <w:r>
        <w:rPr>
          <w:rFonts w:hint="eastAsia" w:ascii="宋体" w:hAnsi="宋体" w:cs="宋体"/>
          <w:bCs/>
          <w:sz w:val="24"/>
        </w:rPr>
        <w:t>磋商小组所有成员应当集中与单一供应商分别进行磋商，并给予所有参加磋商的供应商平等的磋商机会。</w:t>
      </w:r>
    </w:p>
    <w:p>
      <w:pPr>
        <w:pStyle w:val="16"/>
        <w:spacing w:before="156" w:after="156" w:line="450" w:lineRule="exact"/>
        <w:ind w:firstLine="486"/>
        <w:rPr>
          <w:rFonts w:ascii="宋体" w:hAnsi="宋体" w:cs="宋体"/>
          <w:bCs/>
          <w:sz w:val="24"/>
        </w:rPr>
      </w:pPr>
      <w:r>
        <w:rPr>
          <w:rFonts w:hint="eastAsia" w:ascii="宋体" w:hAnsi="宋体" w:cs="宋体"/>
          <w:bCs/>
          <w:sz w:val="24"/>
        </w:rPr>
        <w:t>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bCs/>
          <w:sz w:val="24"/>
        </w:rPr>
        <w:br w:type="textWrapping"/>
      </w:r>
      <w:r>
        <w:rPr>
          <w:rFonts w:hint="eastAsia" w:ascii="宋体" w:hAnsi="宋体" w:cs="宋体"/>
          <w:bCs/>
          <w:sz w:val="24"/>
        </w:rPr>
        <w:t>　　对磋商文件作出的实质性变动是磋商文件的有效组成部分，磋商小组应当及时以书面形式同时通知所有参加磋商的供应商。</w:t>
      </w:r>
      <w:r>
        <w:rPr>
          <w:rFonts w:hint="eastAsia" w:ascii="宋体" w:hAnsi="宋体" w:cs="宋体"/>
          <w:bCs/>
          <w:sz w:val="24"/>
        </w:rPr>
        <w:br w:type="textWrapping"/>
      </w:r>
      <w:r>
        <w:rPr>
          <w:rFonts w:hint="eastAsia" w:ascii="宋体" w:hAnsi="宋体" w:cs="宋体"/>
          <w:bCs/>
          <w:sz w:val="24"/>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cs="宋体"/>
          <w:bCs/>
          <w:sz w:val="24"/>
        </w:rPr>
        <w:br w:type="textWrapping"/>
      </w:r>
      <w:r>
        <w:rPr>
          <w:rFonts w:hint="eastAsia" w:ascii="宋体" w:hAnsi="宋体" w:cs="宋体"/>
          <w:bCs/>
          <w:sz w:val="24"/>
        </w:rPr>
        <w:t>　  磋商文件能够详细列明采购标的的技术、服务要求的，磋商结束后，磋商小组应当要求所有实质性响应的供应商在规定时间内提交最后报价，提交最后报价的供应商不得少于2家。</w:t>
      </w:r>
    </w:p>
    <w:p>
      <w:pPr>
        <w:pStyle w:val="16"/>
        <w:spacing w:before="156" w:after="156" w:line="450" w:lineRule="exact"/>
        <w:ind w:firstLine="486"/>
        <w:rPr>
          <w:rFonts w:ascii="宋体" w:hAnsi="宋体" w:cs="宋体"/>
          <w:bCs/>
          <w:sz w:val="24"/>
        </w:rPr>
      </w:pPr>
      <w:r>
        <w:rPr>
          <w:rFonts w:hint="eastAsia" w:ascii="宋体" w:hAnsi="宋体" w:cs="宋体"/>
          <w:bCs/>
          <w:sz w:val="24"/>
        </w:rPr>
        <w:t>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16"/>
        <w:spacing w:before="156" w:after="156" w:line="450" w:lineRule="exact"/>
        <w:ind w:firstLine="486"/>
        <w:rPr>
          <w:rFonts w:ascii="宋体" w:hAnsi="宋体" w:cs="宋体"/>
          <w:bCs/>
          <w:sz w:val="24"/>
        </w:rPr>
      </w:pPr>
      <w:r>
        <w:rPr>
          <w:rFonts w:hint="eastAsia" w:ascii="宋体" w:hAnsi="宋体" w:cs="宋体"/>
          <w:bCs/>
          <w:sz w:val="24"/>
        </w:rPr>
        <w:t>已提交响应文件的供应商，在提交最后报价之前，可以根据磋商情况退出磋商。其磋商保证金将予以退还。</w:t>
      </w:r>
    </w:p>
    <w:p>
      <w:pPr>
        <w:widowControl/>
        <w:spacing w:line="450" w:lineRule="exact"/>
        <w:ind w:firstLine="486" w:firstLineChars="200"/>
        <w:textAlignment w:val="baseline"/>
        <w:rPr>
          <w:rFonts w:ascii="宋体" w:hAnsi="宋体" w:cs="宋体"/>
          <w:bCs/>
          <w:sz w:val="24"/>
        </w:rPr>
      </w:pPr>
      <w:r>
        <w:rPr>
          <w:rFonts w:hint="eastAsia" w:ascii="宋体" w:hAnsi="宋体" w:cs="宋体"/>
          <w:bCs/>
          <w:sz w:val="24"/>
        </w:rPr>
        <w:t>最后报价是供应商响应文件的有效组成部分。符合本办法第三条第四项情形的，提交最后报价的供应商可以为2家。</w:t>
      </w:r>
    </w:p>
    <w:p>
      <w:pPr>
        <w:pStyle w:val="16"/>
        <w:spacing w:before="156" w:after="156" w:line="450" w:lineRule="exact"/>
        <w:ind w:firstLine="486"/>
        <w:rPr>
          <w:rFonts w:ascii="宋体" w:hAnsi="宋体" w:cs="宋体"/>
          <w:bCs/>
          <w:sz w:val="24"/>
        </w:rPr>
      </w:pPr>
      <w:r>
        <w:rPr>
          <w:rFonts w:hint="eastAsia" w:ascii="宋体" w:hAnsi="宋体" w:cs="宋体"/>
          <w:bCs/>
          <w:sz w:val="24"/>
        </w:rPr>
        <w:t>经磋商确定最终采购需求和提交最后报价的供应商后，由磋商小组采用综合评分法对提交最后报价的供应商的响应文件和最后报价进行综合评分。</w:t>
      </w:r>
    </w:p>
    <w:p>
      <w:pPr>
        <w:pStyle w:val="16"/>
        <w:spacing w:before="156" w:after="156" w:line="450" w:lineRule="exact"/>
        <w:ind w:firstLine="486"/>
        <w:rPr>
          <w:rFonts w:ascii="宋体" w:hAnsi="宋体" w:cs="宋体"/>
          <w:bCs/>
          <w:sz w:val="24"/>
        </w:rPr>
      </w:pPr>
      <w:r>
        <w:rPr>
          <w:rFonts w:hint="eastAsia" w:ascii="宋体" w:hAnsi="宋体" w:cs="宋体"/>
          <w:bCs/>
          <w:sz w:val="24"/>
        </w:rPr>
        <w:t>采购结果确认</w:t>
      </w:r>
    </w:p>
    <w:p>
      <w:pPr>
        <w:pStyle w:val="16"/>
        <w:spacing w:before="156" w:after="156" w:line="450" w:lineRule="exact"/>
        <w:ind w:firstLine="486"/>
        <w:rPr>
          <w:rFonts w:ascii="宋体" w:hAnsi="宋体" w:cs="宋体"/>
          <w:bCs/>
          <w:sz w:val="24"/>
        </w:rPr>
      </w:pPr>
      <w:r>
        <w:rPr>
          <w:rFonts w:hint="eastAsia" w:ascii="宋体" w:hAnsi="宋体" w:cs="宋体"/>
          <w:bCs/>
          <w:sz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32"/>
        <w:adjustRightInd w:val="0"/>
        <w:snapToGrid w:val="0"/>
        <w:spacing w:line="450" w:lineRule="exact"/>
        <w:ind w:firstLine="486" w:firstLineChars="200"/>
        <w:rPr>
          <w:rFonts w:hAnsi="宋体" w:cs="宋体"/>
          <w:bCs/>
          <w:sz w:val="24"/>
          <w:szCs w:val="24"/>
        </w:rPr>
      </w:pPr>
      <w:r>
        <w:rPr>
          <w:rFonts w:hint="eastAsia" w:hAnsi="宋体" w:cs="宋体"/>
          <w:bCs/>
          <w:sz w:val="24"/>
          <w:szCs w:val="24"/>
        </w:rPr>
        <w:t>公示或公告</w:t>
      </w:r>
    </w:p>
    <w:p>
      <w:pPr>
        <w:tabs>
          <w:tab w:val="left" w:pos="1875"/>
        </w:tabs>
        <w:adjustRightInd w:val="0"/>
        <w:snapToGrid w:val="0"/>
        <w:spacing w:line="450" w:lineRule="exact"/>
        <w:ind w:firstLine="486" w:firstLineChars="200"/>
        <w:rPr>
          <w:rFonts w:ascii="宋体" w:hAnsi="宋体" w:cs="宋体"/>
          <w:bCs/>
          <w:kern w:val="0"/>
          <w:sz w:val="24"/>
        </w:rPr>
      </w:pPr>
      <w:r>
        <w:rPr>
          <w:rFonts w:hint="eastAsia" w:ascii="宋体" w:hAnsi="宋体" w:cs="宋体"/>
          <w:bCs/>
          <w:sz w:val="24"/>
        </w:rPr>
        <w:t>成交供应商确定后，采购代理机构将在政府采购监管部门指定的媒体上发布成交公告，同时向成交供应商发出《成交通知书》。《成交通知书》是合同的组成部分,对成交供应商和采购人具有同等法律效力。</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29. 资格审查</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29.1 采购人或采购代理机构依据法律法规和磋商文件中规定的内容，对投标人及其投标货物的资格进行审查，未通过资格审查的投标人不进入评标；通过资格审查的投标人不足三家的，不得评标。</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29.2采购人或采购代理机构将按投标须知前附表中规定的时间查询投标人的信用记录。</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29.2.1投标人在中国政府采购网（www.ccgp.gov.cn）被列入政府采购严重违法失信行为记录名单；在“信用中国”网站（www.creditchina.gov.cn）被列入失信被执行人、重大税收违法案件当事人名单；</w:t>
      </w:r>
      <w:r>
        <w:rPr>
          <w:rFonts w:hint="eastAsia" w:asciiTheme="minorEastAsia" w:hAnsiTheme="minorEastAsia" w:eastAsiaTheme="minorEastAsia" w:cstheme="minorEastAsia"/>
          <w:sz w:val="24"/>
        </w:rPr>
        <w:t>国家企业信用信息公示系统（http://www.gsxt.gov.cn）被列入行政处罚、经营异常名录、严重违法失信企业名单（黑名单）；</w:t>
      </w:r>
      <w:r>
        <w:rPr>
          <w:rFonts w:hint="eastAsia" w:asciiTheme="minorEastAsia" w:hAnsiTheme="minorEastAsia" w:eastAsiaTheme="minorEastAsia" w:cstheme="minorEastAsia"/>
          <w:kern w:val="0"/>
          <w:sz w:val="24"/>
        </w:rPr>
        <w:t>以及存在《中华人民共和国政府采购法实施条例》第十九条规定的行政处罚记录，投标将被认定为投标无效。</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以联合体形式参加投标的，联合体任何成员存在以上不良信用记录的，联合体投标将被认定为投标无效。</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29.2.2 采购人或采购代理机构经办人将查询网页打印、签字并存档备查。投标人不良信用记录以采购人或采购代理机构查询结果为准。投标人自行提供的与网站信息不一致的其他证明材料亦不作为资格审查依据。</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在本磋商文件规定的查询时间之外，网站信息发生的任何变更均不作为资格审查依据。</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29.3</w:t>
      </w:r>
      <w:r>
        <w:rPr>
          <w:rFonts w:hint="eastAsia" w:asciiTheme="minorEastAsia" w:hAnsiTheme="minorEastAsia" w:eastAsiaTheme="minorEastAsia" w:cstheme="minorEastAsia"/>
          <w:kern w:val="0"/>
          <w:sz w:val="24"/>
          <w:u w:val="single"/>
        </w:rPr>
        <w:t>请各投标人委派代表携带身份证并按要求提供下列有效证明材料</w:t>
      </w:r>
      <w:r>
        <w:rPr>
          <w:rFonts w:hint="eastAsia" w:asciiTheme="minorEastAsia" w:hAnsiTheme="minorEastAsia" w:eastAsiaTheme="minorEastAsia" w:cstheme="minorEastAsia"/>
          <w:b/>
          <w:bCs/>
          <w:kern w:val="0"/>
          <w:sz w:val="24"/>
          <w:u w:val="single"/>
        </w:rPr>
        <w:t>复印件加盖公章</w:t>
      </w:r>
      <w:r>
        <w:rPr>
          <w:rFonts w:hint="eastAsia" w:asciiTheme="minorEastAsia" w:hAnsiTheme="minorEastAsia" w:eastAsiaTheme="minorEastAsia" w:cstheme="minorEastAsia"/>
          <w:kern w:val="0"/>
          <w:sz w:val="24"/>
          <w:u w:val="single"/>
        </w:rPr>
        <w:t>进行资格审查：</w:t>
      </w:r>
      <w:r>
        <w:rPr>
          <w:rFonts w:hint="eastAsia" w:asciiTheme="minorEastAsia" w:hAnsiTheme="minorEastAsia" w:eastAsiaTheme="minorEastAsia" w:cstheme="minorEastAsia"/>
          <w:kern w:val="0"/>
          <w:sz w:val="24"/>
        </w:rPr>
        <w:t>（注：开标代表为法定代表人的，须出具法定代表人身份证明书及法定代表人身份证；开标代表为授权委托人的，须出具法定代表人授权委托书及代理人身份证）</w:t>
      </w:r>
    </w:p>
    <w:p>
      <w:pPr>
        <w:widowControl/>
        <w:spacing w:line="360" w:lineRule="auto"/>
        <w:rPr>
          <w:rFonts w:asciiTheme="minorEastAsia" w:hAnsiTheme="minorEastAsia" w:eastAsiaTheme="minorEastAsia" w:cstheme="minorEastAsia"/>
          <w:sz w:val="24"/>
          <w:u w:val="single"/>
          <w:lang w:val="zh-CN"/>
        </w:rPr>
      </w:pP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
          <w:bCs/>
          <w:kern w:val="0"/>
          <w:sz w:val="24"/>
          <w:u w:val="single"/>
        </w:rPr>
        <w:t>法定代表人身份证明书及法定代表人身份证或者法定代表人授权委托书及身份证；营业执照；投标保证金缴纳凭证</w:t>
      </w:r>
      <w:r>
        <w:rPr>
          <w:rFonts w:hint="eastAsia" w:asciiTheme="minorEastAsia" w:hAnsiTheme="minorEastAsia" w:eastAsiaTheme="minorEastAsia" w:cstheme="minorEastAsia"/>
          <w:kern w:val="0"/>
          <w:sz w:val="24"/>
        </w:rPr>
        <w:t>】。</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（六） 评标</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30. 评标委员会与评标</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30.1 </w:t>
      </w:r>
      <w:r>
        <w:rPr>
          <w:rFonts w:hint="eastAsia" w:asciiTheme="minorEastAsia" w:hAnsiTheme="minorEastAsia" w:eastAsiaTheme="minorEastAsia" w:cstheme="minorEastAsia"/>
          <w:kern w:val="0"/>
          <w:sz w:val="24"/>
          <w:lang w:val="zh-CN"/>
        </w:rPr>
        <w:t>按照《中华人民共和国政府采购法》、《中华人民共和国政府采购实施条例》规定达到竞争性磋商数额的项目评标委员会成员为五人以上单数，由采购人代表和评审专家组成，其中评审专家不得少于成员总数的三分之二。</w:t>
      </w:r>
      <w:r>
        <w:rPr>
          <w:rFonts w:hint="eastAsia" w:asciiTheme="minorEastAsia" w:hAnsiTheme="minorEastAsia" w:eastAsiaTheme="minorEastAsia" w:cstheme="minorEastAsia"/>
          <w:kern w:val="0"/>
          <w:sz w:val="24"/>
        </w:rPr>
        <w:t>评标工作由采购人依法组建的评标委员会负责。评标委员会的名单在评标结果公告前应当保密。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30.2 开标结束后，开始评标，评标采用保密方式进行。</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30.3 评标委员会主任由评标委员会成员推举产生，并与评标委员会其他成员有同等的权利和义务。采购人代表不得担任评标委员会主任。</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30.4 评标委员会成员应当客观、公正地履行职责，遵守职业道德，对所提出的评审意见承担个人责任。</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30.5 评标委员会根据磋商文件确定的评比标准和方法，对投标文件进行系统地评审和比较。磋商文件中没有规定的标准和方法不得作为评标的依据。</w:t>
      </w:r>
    </w:p>
    <w:p>
      <w:pPr>
        <w:shd w:val="clear" w:color="auto" w:fill="FFFFFF"/>
        <w:spacing w:line="500" w:lineRule="exact"/>
        <w:ind w:firstLine="490" w:firstLineChars="202"/>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30.6</w:t>
      </w:r>
      <w:r>
        <w:rPr>
          <w:rFonts w:hint="eastAsia" w:asciiTheme="minorEastAsia" w:hAnsiTheme="minorEastAsia" w:eastAsiaTheme="minorEastAsia" w:cstheme="minorEastAsia"/>
          <w:kern w:val="0"/>
          <w:sz w:val="24"/>
          <w:u w:val="single"/>
        </w:rPr>
        <w:t>在评标过程中，评标委员会发现投标人以他人的名义投标、串通投标、以行贿手段谋取成交或者以其他弄虚作假方式投标的，该投标人的投标应作无效标处理。</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31. 投标文件的澄清</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31.1 为有助于对投标文件进行审查、评估和比较，投标人对评审中评标委员会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31.2 </w:t>
      </w:r>
      <w:r>
        <w:rPr>
          <w:rFonts w:hint="eastAsia" w:asciiTheme="minorEastAsia" w:hAnsiTheme="minorEastAsia" w:eastAsiaTheme="minorEastAsia" w:cstheme="minorEastAsia"/>
          <w:kern w:val="0"/>
          <w:sz w:val="24"/>
          <w:u w:val="single"/>
        </w:rPr>
        <w:t>投标人未按照要求对投标文件进行澄清、说明或者补正的，评标委员会可以否决其投标</w:t>
      </w:r>
      <w:r>
        <w:rPr>
          <w:rFonts w:hint="eastAsia" w:asciiTheme="minorEastAsia" w:hAnsiTheme="minorEastAsia" w:eastAsiaTheme="minorEastAsia" w:cstheme="minorEastAsia"/>
          <w:kern w:val="0"/>
          <w:sz w:val="24"/>
        </w:rPr>
        <w:t>。</w:t>
      </w:r>
    </w:p>
    <w:p>
      <w:pPr>
        <w:shd w:val="clear" w:color="auto" w:fill="FFFFFF"/>
        <w:spacing w:line="500" w:lineRule="exact"/>
        <w:ind w:firstLine="475" w:firstLineChars="196"/>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32. 投标文件的评审、比较</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32.1 投标文件符合性审查</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32.1.1评标委员会应当对符合资格的投标人的投标文件进行符合性审查，以确定其是否满足磋商文件的实质性要求。通过资格审查的投标人的投标文件进入详细评审。</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 投标文件的详细评审</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32.2.1</w:t>
      </w:r>
      <w:r>
        <w:rPr>
          <w:rFonts w:hint="eastAsia" w:asciiTheme="minorEastAsia" w:hAnsiTheme="minorEastAsia" w:eastAsiaTheme="minorEastAsia" w:cstheme="minorEastAsia"/>
          <w:bCs/>
          <w:kern w:val="0"/>
          <w:sz w:val="24"/>
        </w:rPr>
        <w:t>综合评分法是指投标文件满足磋商文件全部实质性要求，且按照评审因素的量化指标评审得分最高的投标人为成交候选人的评标方法。采用综合评分法的，评标结果按评审后得分由高到低顺序排列。得分相同的，按投标报价由低到高顺序排列。得分且投标报价相同的并列。</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32.2.2 评审中，评标委员会可对投标文件中含义不明确、同类问题表述不一致或者有明显文字和计算错误的内容，评标委员会应当以书面形式要求投标人作出必要的澄清、说明或者补正。</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投标人的澄清、说明或者补正应当采用书面形式，并加盖公章，或者由法定代表人或其授权的代表签字。</w:t>
      </w:r>
      <w:r>
        <w:rPr>
          <w:rFonts w:hint="eastAsia" w:asciiTheme="minorEastAsia" w:hAnsiTheme="minorEastAsia" w:eastAsiaTheme="minorEastAsia" w:cstheme="minorEastAsia"/>
          <w:kern w:val="0"/>
          <w:sz w:val="24"/>
          <w:u w:val="single"/>
        </w:rPr>
        <w:t>投标人的澄清、说明或者补正不得超出投标文件的范围或者改变投标文件的实质性内容。</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32.2.4评标委员会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32.2.6评标结果汇总完成后，除下列情形外，任何人不得修改评标结果：</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（一）分值汇总计算错误的；</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（二）分项评分超出评分标准范围的；</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（三）评标委员会成员对客观评审因素评分不一致的；</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（四）经评标委员会认定评分畸高、畸低的。</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kern w:val="0"/>
          <w:sz w:val="24"/>
        </w:rPr>
        <w:t>32.2.7 评标委员会依据投标须知前附表规定的评标方法，对投标人的投标文件进行评审和比较，</w:t>
      </w:r>
      <w:r>
        <w:rPr>
          <w:rFonts w:hint="eastAsia" w:asciiTheme="minorEastAsia" w:hAnsiTheme="minorEastAsia" w:eastAsiaTheme="minorEastAsia" w:cstheme="minorEastAsia"/>
          <w:bCs/>
          <w:kern w:val="0"/>
          <w:sz w:val="24"/>
        </w:rPr>
        <w:t>投标人最终得分等于商务标、技术标、经济标得分之和。评标委员会确定投标人最终得分向采购人提出书面报告，并推荐合格的成交候选人。投标文件满足磋商文件全部实质性要求，且按照评审因素的量化指标评审得分最高的投标人为排名第一的成交候选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33. 评标的办法和标准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33.1 本磋商项目评标方法为投标须知前附表规定的方法；评标委员会以评分方式对投标文件提出的商务标、技术标等，能否最大限度满足磋商文件中规定的各项要求和评价标准进行评估。</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 审查</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33.2.1 资格审查</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33.2.2 投标文件符合性审查</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33.2.3 投标文件详细评审</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（1）投标报价评审</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（2）投标文件的详细评审</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33.3 评审办法和标准</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附表1</w:t>
      </w:r>
    </w:p>
    <w:p>
      <w:pPr>
        <w:shd w:val="clear" w:color="auto" w:fill="FFFFFF"/>
        <w:tabs>
          <w:tab w:val="left" w:pos="3045"/>
        </w:tabs>
        <w:autoSpaceDE w:val="0"/>
        <w:autoSpaceDN w:val="0"/>
        <w:adjustRightInd w:val="0"/>
        <w:snapToGrid w:val="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资格审查表</w:t>
      </w:r>
    </w:p>
    <w:tbl>
      <w:tblPr>
        <w:tblStyle w:val="57"/>
        <w:tblpPr w:leftFromText="180" w:rightFromText="180" w:vertAnchor="text" w:horzAnchor="page" w:tblpX="1800" w:tblpY="550"/>
        <w:tblOverlap w:val="never"/>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784"/>
        <w:gridCol w:w="851"/>
        <w:gridCol w:w="850"/>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trPr>
        <w:tc>
          <w:tcPr>
            <w:tcW w:w="703" w:type="dxa"/>
            <w:vMerge w:val="restart"/>
            <w:noWrap/>
            <w:vAlign w:val="center"/>
          </w:tcPr>
          <w:p>
            <w:pPr>
              <w:shd w:val="clear" w:color="auto" w:fill="FFFFFF"/>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5784" w:type="dxa"/>
            <w:vMerge w:val="restart"/>
            <w:noWrap/>
            <w:vAlign w:val="center"/>
          </w:tcPr>
          <w:p>
            <w:pPr>
              <w:shd w:val="clear" w:color="auto" w:fill="FFFFFF"/>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评审项目</w:t>
            </w:r>
          </w:p>
        </w:tc>
        <w:tc>
          <w:tcPr>
            <w:tcW w:w="3344" w:type="dxa"/>
            <w:gridSpan w:val="4"/>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trPr>
        <w:tc>
          <w:tcPr>
            <w:tcW w:w="703" w:type="dxa"/>
            <w:vMerge w:val="continue"/>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bCs/>
                <w:sz w:val="24"/>
              </w:rPr>
            </w:pPr>
          </w:p>
        </w:tc>
        <w:tc>
          <w:tcPr>
            <w:tcW w:w="5784" w:type="dxa"/>
            <w:vMerge w:val="continue"/>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b/>
                <w:sz w:val="24"/>
              </w:rPr>
            </w:pPr>
          </w:p>
        </w:tc>
        <w:tc>
          <w:tcPr>
            <w:tcW w:w="851"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sz w:val="24"/>
              </w:rPr>
            </w:pPr>
          </w:p>
        </w:tc>
        <w:tc>
          <w:tcPr>
            <w:tcW w:w="850"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sz w:val="24"/>
              </w:rPr>
            </w:pPr>
          </w:p>
        </w:tc>
        <w:tc>
          <w:tcPr>
            <w:tcW w:w="851"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sz w:val="24"/>
              </w:rPr>
            </w:pPr>
          </w:p>
        </w:tc>
        <w:tc>
          <w:tcPr>
            <w:tcW w:w="792"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3" w:type="dxa"/>
            <w:noWrap/>
            <w:vAlign w:val="center"/>
          </w:tcPr>
          <w:p>
            <w:pPr>
              <w:shd w:val="clear" w:color="auto" w:fill="FFFFFF"/>
              <w:spacing w:line="48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5784" w:type="dxa"/>
            <w:noWrap/>
            <w:vAlign w:val="center"/>
          </w:tcPr>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法定代表人身份证明书及法定代表人身份证或者法定代表人授权委托书及身份证；</w:t>
            </w: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0"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792" w:type="dxa"/>
            <w:noWrap/>
            <w:vAlign w:val="center"/>
          </w:tcPr>
          <w:p>
            <w:pPr>
              <w:shd w:val="clear" w:color="auto" w:fill="FFFFFF"/>
              <w:spacing w:line="48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703" w:type="dxa"/>
            <w:noWrap/>
            <w:vAlign w:val="center"/>
          </w:tcPr>
          <w:p>
            <w:pPr>
              <w:shd w:val="clear" w:color="auto" w:fill="FFFFFF"/>
              <w:spacing w:line="48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5784" w:type="dxa"/>
            <w:noWrap/>
            <w:vAlign w:val="center"/>
          </w:tcPr>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有效的营业执照；</w:t>
            </w: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0"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792" w:type="dxa"/>
            <w:noWrap/>
            <w:vAlign w:val="center"/>
          </w:tcPr>
          <w:p>
            <w:pPr>
              <w:shd w:val="clear" w:color="auto" w:fill="FFFFFF"/>
              <w:spacing w:line="48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703" w:type="dxa"/>
            <w:noWrap/>
            <w:vAlign w:val="center"/>
          </w:tcPr>
          <w:p>
            <w:pPr>
              <w:shd w:val="clear" w:color="auto" w:fill="FFFFFF"/>
              <w:spacing w:line="48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5784" w:type="dxa"/>
            <w:noWrap/>
            <w:vAlign w:val="center"/>
          </w:tcPr>
          <w:p>
            <w:pPr>
              <w:pStyle w:val="51"/>
              <w:tabs>
                <w:tab w:val="left" w:pos="1374"/>
              </w:tabs>
              <w:spacing w:before="75" w:beforeAutospacing="0" w:after="75" w:afterAutospacing="0" w:line="480" w:lineRule="auto"/>
              <w:jc w:val="both"/>
              <w:rPr>
                <w:rFonts w:asciiTheme="minorEastAsia" w:hAnsiTheme="minorEastAsia" w:eastAsiaTheme="minorEastAsia" w:cstheme="minorEastAsia"/>
              </w:rPr>
            </w:pPr>
            <w:r>
              <w:rPr>
                <w:rFonts w:hint="eastAsia" w:asciiTheme="minorEastAsia" w:hAnsiTheme="minorEastAsia" w:cstheme="minorEastAsia"/>
              </w:rPr>
              <w:t>凡拟参加本次磋商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w:t>
            </w: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0"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792" w:type="dxa"/>
            <w:noWrap/>
            <w:vAlign w:val="center"/>
          </w:tcPr>
          <w:p>
            <w:pPr>
              <w:shd w:val="clear" w:color="auto" w:fill="FFFFFF"/>
              <w:spacing w:line="48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703" w:type="dxa"/>
            <w:noWrap/>
            <w:vAlign w:val="center"/>
          </w:tcPr>
          <w:p>
            <w:pPr>
              <w:shd w:val="clear" w:color="auto" w:fill="FFFFFF"/>
              <w:spacing w:line="48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5784" w:type="dxa"/>
            <w:noWrap/>
            <w:vAlign w:val="center"/>
          </w:tcPr>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投标保证金缴纳凭证（按照磋商文件规定的金额、形式、时效和内容提供了投标担保）</w:t>
            </w: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0"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792" w:type="dxa"/>
            <w:noWrap/>
            <w:vAlign w:val="center"/>
          </w:tcPr>
          <w:p>
            <w:pPr>
              <w:shd w:val="clear" w:color="auto" w:fill="FFFFFF"/>
              <w:spacing w:line="48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trPr>
        <w:tc>
          <w:tcPr>
            <w:tcW w:w="9831" w:type="dxa"/>
            <w:gridSpan w:val="6"/>
            <w:noWrap/>
            <w:vAlign w:val="center"/>
          </w:tcPr>
          <w:p>
            <w:pPr>
              <w:shd w:val="clear" w:color="auto" w:fill="FFFFFF"/>
              <w:spacing w:line="48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结论：</w:t>
            </w:r>
            <w:bookmarkStart w:id="13" w:name="_Toc520282567"/>
            <w:r>
              <w:rPr>
                <w:rFonts w:hint="eastAsia" w:asciiTheme="minorEastAsia" w:hAnsiTheme="minorEastAsia" w:eastAsiaTheme="minorEastAsia" w:cstheme="minorEastAsia"/>
                <w:sz w:val="24"/>
                <w:lang w:val="zh-CN"/>
              </w:rPr>
              <w:t>（通过打√，不通过打×）</w:t>
            </w:r>
            <w:bookmarkEnd w:id="13"/>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Cs/>
                <w:sz w:val="24"/>
              </w:rPr>
              <w:t>资格审查</w:t>
            </w:r>
            <w:r>
              <w:rPr>
                <w:rFonts w:hint="eastAsia" w:asciiTheme="minorEastAsia" w:hAnsiTheme="minorEastAsia" w:eastAsiaTheme="minorEastAsia" w:cstheme="minorEastAsia"/>
                <w:sz w:val="24"/>
              </w:rPr>
              <w:t>合格后方可进入符合性审查阶段）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trPr>
        <w:tc>
          <w:tcPr>
            <w:tcW w:w="9831" w:type="dxa"/>
            <w:gridSpan w:val="6"/>
            <w:noWrap/>
            <w:vAlign w:val="center"/>
          </w:tcPr>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审核人签字：</w:t>
            </w:r>
          </w:p>
        </w:tc>
      </w:tr>
    </w:tbl>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附表2</w:t>
      </w:r>
    </w:p>
    <w:p>
      <w:pPr>
        <w:shd w:val="clear" w:color="auto" w:fill="FFFFFF"/>
        <w:tabs>
          <w:tab w:val="left" w:pos="3045"/>
        </w:tabs>
        <w:autoSpaceDE w:val="0"/>
        <w:autoSpaceDN w:val="0"/>
        <w:adjustRightInd w:val="0"/>
        <w:snapToGrid w:val="0"/>
        <w:spacing w:line="36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b/>
          <w:sz w:val="24"/>
        </w:rPr>
        <w:t>初步评审（符合性审查）</w:t>
      </w:r>
    </w:p>
    <w:tbl>
      <w:tblPr>
        <w:tblStyle w:val="57"/>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65"/>
        <w:gridCol w:w="6174"/>
        <w:gridCol w:w="567"/>
        <w:gridCol w:w="567"/>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trPr>
        <w:tc>
          <w:tcPr>
            <w:tcW w:w="699" w:type="dxa"/>
            <w:vMerge w:val="restart"/>
            <w:vAlign w:val="center"/>
          </w:tcPr>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项目</w:t>
            </w:r>
          </w:p>
        </w:tc>
        <w:tc>
          <w:tcPr>
            <w:tcW w:w="6639" w:type="dxa"/>
            <w:gridSpan w:val="2"/>
            <w:vMerge w:val="restart"/>
            <w:vAlign w:val="center"/>
          </w:tcPr>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  审  内  容</w:t>
            </w:r>
          </w:p>
        </w:tc>
        <w:tc>
          <w:tcPr>
            <w:tcW w:w="2493" w:type="dxa"/>
            <w:gridSpan w:val="4"/>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 w:hRule="atLeast"/>
        </w:trPr>
        <w:tc>
          <w:tcPr>
            <w:tcW w:w="699" w:type="dxa"/>
            <w:vMerge w:val="continue"/>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b/>
                <w:sz w:val="24"/>
              </w:rPr>
            </w:pPr>
          </w:p>
        </w:tc>
        <w:tc>
          <w:tcPr>
            <w:tcW w:w="6639" w:type="dxa"/>
            <w:gridSpan w:val="2"/>
            <w:vMerge w:val="continue"/>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b/>
                <w:sz w:val="24"/>
              </w:rPr>
            </w:pPr>
          </w:p>
        </w:tc>
        <w:tc>
          <w:tcPr>
            <w:tcW w:w="567"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c>
          <w:tcPr>
            <w:tcW w:w="567"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c>
          <w:tcPr>
            <w:tcW w:w="708"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c>
          <w:tcPr>
            <w:tcW w:w="651"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699" w:type="dxa"/>
            <w:vMerge w:val="restart"/>
            <w:vAlign w:val="center"/>
          </w:tcPr>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初</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步</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审</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符</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性</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审</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查</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表</w:t>
            </w:r>
          </w:p>
          <w:p>
            <w:pPr>
              <w:shd w:val="clear" w:color="auto" w:fill="FFFFFF"/>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是否提供投标承诺书且</w:t>
            </w:r>
            <w:r>
              <w:rPr>
                <w:rFonts w:hint="eastAsia" w:asciiTheme="minorEastAsia" w:hAnsiTheme="minorEastAsia" w:eastAsiaTheme="minorEastAsia" w:cstheme="minorEastAsia"/>
                <w:sz w:val="24"/>
                <w:lang w:val="zh-CN"/>
              </w:rPr>
              <w:t>按照磋商文件规定格式完整提供</w:t>
            </w:r>
            <w:r>
              <w:rPr>
                <w:rFonts w:hint="eastAsia" w:asciiTheme="minorEastAsia" w:hAnsiTheme="minorEastAsia" w:eastAsiaTheme="minorEastAsia" w:cstheme="minorEastAsia"/>
                <w:sz w:val="24"/>
              </w:rPr>
              <w:t>；</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是否提供开标一览表且按照磋商文件规定格式完整提供；</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投标文件中法定代表人身份证明书、法定代表人授权委托书是否按磋商文件规定格式完整提供；</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是否按规定提交投标文件份数；</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投标文件是否按照磋商文件要求编写、装订、签字或盖章；</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是否对所投包段磋商文件中所列的所有内容进行投标；</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投标文件的供货期是否超过磋商文件规定期限；</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投标有效期是否满足磋商文件要求的；</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技术规格、技术性能是否满足磋商文件要求的；</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投标文件是否附有采购人不能接受的条件</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是否满足磋商文件实质性要求的其他情形。</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结论：是否通过初步评审</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初步评审合格后方可进入详细评审阶段</w:t>
            </w:r>
            <w:r>
              <w:rPr>
                <w:rFonts w:hint="eastAsia" w:asciiTheme="minorEastAsia" w:hAnsiTheme="minorEastAsia" w:eastAsiaTheme="minorEastAsia" w:cstheme="minorEastAsia"/>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评标委员会签字：</w:t>
            </w:r>
          </w:p>
          <w:p>
            <w:pPr>
              <w:shd w:val="clear" w:color="auto" w:fill="FFFFFF"/>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0"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备注：如果投标文件中有一项未通过上述审查标准，评标委员会将认定整个投标文件不响应磋商文件而予以投标无效，并且不允许投标人通过修改或撤销其不符合要求的差异或保留，使之成为具有响应性的投标。通过重大偏差审核的以“√”标记；未通过重大偏差审核的以“×”标记，并予以说明。</w:t>
            </w:r>
          </w:p>
        </w:tc>
      </w:tr>
    </w:tbl>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附表3</w:t>
      </w:r>
    </w:p>
    <w:p>
      <w:pPr>
        <w:pStyle w:val="521"/>
        <w:shd w:val="clear" w:color="auto" w:fill="FFFFFF"/>
        <w:spacing w:line="440" w:lineRule="exact"/>
        <w:jc w:val="center"/>
        <w:rPr>
          <w:rFonts w:asciiTheme="minorEastAsia" w:hAnsiTheme="minorEastAsia" w:eastAsiaTheme="minorEastAsia" w:cstheme="minorEastAsia"/>
          <w:sz w:val="24"/>
          <w:szCs w:val="24"/>
        </w:rPr>
      </w:pPr>
      <w:bookmarkStart w:id="14" w:name="_Toc520282259"/>
      <w:r>
        <w:rPr>
          <w:rFonts w:hint="eastAsia" w:asciiTheme="minorEastAsia" w:hAnsiTheme="minorEastAsia" w:eastAsiaTheme="minorEastAsia" w:cstheme="minorEastAsia"/>
          <w:b/>
          <w:sz w:val="24"/>
          <w:szCs w:val="24"/>
        </w:rPr>
        <w:t>价格评审（</w:t>
      </w:r>
      <w:r>
        <w:rPr>
          <w:rFonts w:hint="eastAsia" w:asciiTheme="minorEastAsia" w:hAnsiTheme="minorEastAsia" w:eastAsiaTheme="minorEastAsia" w:cstheme="minorEastAsia"/>
          <w:b/>
          <w:sz w:val="24"/>
          <w:szCs w:val="24"/>
          <w:lang w:val="en-US" w:eastAsia="zh-CN"/>
        </w:rPr>
        <w:t>10分</w:t>
      </w:r>
      <w:r>
        <w:rPr>
          <w:rFonts w:hint="eastAsia" w:asciiTheme="minorEastAsia" w:hAnsiTheme="minorEastAsia" w:eastAsiaTheme="minorEastAsia" w:cstheme="minorEastAsia"/>
          <w:b/>
          <w:sz w:val="24"/>
          <w:szCs w:val="24"/>
        </w:rPr>
        <w:t>）</w:t>
      </w:r>
    </w:p>
    <w:tbl>
      <w:tblPr>
        <w:tblStyle w:val="57"/>
        <w:tblpPr w:leftFromText="180" w:rightFromText="180" w:vertAnchor="text" w:horzAnchor="page" w:tblpX="1467" w:tblpY="574"/>
        <w:tblOverlap w:val="never"/>
        <w:tblW w:w="964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73"/>
        <w:gridCol w:w="1045"/>
        <w:gridCol w:w="62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373" w:type="dxa"/>
            <w:tcBorders>
              <w:left w:val="single" w:color="auto" w:sz="4" w:space="0"/>
              <w:bottom w:val="single" w:color="auto" w:sz="4" w:space="0"/>
              <w:right w:val="single" w:color="auto" w:sz="4" w:space="0"/>
            </w:tcBorders>
            <w:noWrap/>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评审因素</w:t>
            </w:r>
          </w:p>
        </w:tc>
        <w:tc>
          <w:tcPr>
            <w:tcW w:w="1045" w:type="dxa"/>
            <w:tcBorders>
              <w:left w:val="single" w:color="auto" w:sz="4" w:space="0"/>
              <w:bottom w:val="single" w:color="auto" w:sz="4" w:space="0"/>
              <w:right w:val="single" w:color="auto" w:sz="4" w:space="0"/>
            </w:tcBorders>
            <w:noWrap/>
            <w:vAlign w:val="center"/>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分值</w:t>
            </w:r>
          </w:p>
        </w:tc>
        <w:tc>
          <w:tcPr>
            <w:tcW w:w="6222" w:type="dxa"/>
            <w:tcBorders>
              <w:left w:val="single" w:color="auto" w:sz="4" w:space="0"/>
              <w:bottom w:val="single" w:color="auto" w:sz="4" w:space="0"/>
            </w:tcBorders>
            <w:noWrap/>
            <w:vAlign w:val="center"/>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1" w:hRule="atLeast"/>
        </w:trPr>
        <w:tc>
          <w:tcPr>
            <w:tcW w:w="2373" w:type="dxa"/>
            <w:tcBorders>
              <w:top w:val="single" w:color="auto" w:sz="4" w:space="0"/>
              <w:left w:val="single" w:color="auto" w:sz="4" w:space="0"/>
              <w:bottom w:val="single" w:color="auto" w:sz="4" w:space="0"/>
              <w:right w:val="single" w:color="auto" w:sz="4" w:space="0"/>
            </w:tcBorders>
            <w:noWrap/>
          </w:tcPr>
          <w:p>
            <w:pPr>
              <w:shd w:val="clear" w:color="auto" w:fill="FFFFFF"/>
              <w:spacing w:line="500" w:lineRule="exact"/>
              <w:jc w:val="center"/>
              <w:rPr>
                <w:rFonts w:asciiTheme="minorEastAsia" w:hAnsiTheme="minorEastAsia" w:eastAsiaTheme="minorEastAsia" w:cstheme="minorEastAsia"/>
                <w:sz w:val="24"/>
              </w:rPr>
            </w:pPr>
          </w:p>
          <w:p>
            <w:pPr>
              <w:shd w:val="clear" w:color="auto" w:fill="FFFFFF"/>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价格部分（</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分）</w:t>
            </w:r>
          </w:p>
        </w:tc>
        <w:tc>
          <w:tcPr>
            <w:tcW w:w="1045" w:type="dxa"/>
            <w:tcBorders>
              <w:top w:val="single" w:color="auto" w:sz="4" w:space="0"/>
              <w:left w:val="single" w:color="auto" w:sz="4" w:space="0"/>
              <w:bottom w:val="single" w:color="auto" w:sz="4" w:space="0"/>
              <w:right w:val="single" w:color="auto" w:sz="4" w:space="0"/>
            </w:tcBorders>
            <w:noWrap/>
            <w:vAlign w:val="center"/>
          </w:tcPr>
          <w:p>
            <w:pPr>
              <w:shd w:val="clear" w:color="auto" w:fill="FFFFFF"/>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6222" w:type="dxa"/>
            <w:tcBorders>
              <w:top w:val="single" w:color="auto" w:sz="4" w:space="0"/>
              <w:left w:val="single" w:color="auto" w:sz="4" w:space="0"/>
              <w:bottom w:val="single" w:color="auto" w:sz="4" w:space="0"/>
            </w:tcBorders>
            <w:noWrap/>
            <w:vAlign w:val="center"/>
          </w:tcPr>
          <w:p>
            <w:pPr>
              <w:shd w:val="clear" w:color="auto" w:fill="FFFFFF"/>
              <w:spacing w:line="3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采用低价优先法计算，即满足磋商文件要求且投标价格</w:t>
            </w:r>
            <w:r>
              <w:rPr>
                <w:rFonts w:hint="eastAsia" w:asciiTheme="minorEastAsia" w:hAnsiTheme="minorEastAsia" w:eastAsiaTheme="minorEastAsia" w:cstheme="minorEastAsia"/>
                <w:sz w:val="24"/>
                <w:lang w:val="zh-CN"/>
              </w:rPr>
              <w:t>最低</w:t>
            </w:r>
            <w:r>
              <w:rPr>
                <w:rFonts w:hint="eastAsia" w:asciiTheme="minorEastAsia" w:hAnsiTheme="minorEastAsia" w:eastAsiaTheme="minorEastAsia" w:cstheme="minorEastAsia"/>
                <w:sz w:val="24"/>
              </w:rPr>
              <w:t>的投标报价为评标基准价，其价格分为满分。其他投标人的价格分统一按照下列公式计算：</w:t>
            </w:r>
          </w:p>
          <w:p>
            <w:pPr>
              <w:shd w:val="clear" w:color="auto" w:fill="FFFFFF"/>
              <w:spacing w:line="3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投标报价得分=（评标基准价／投标报价）×价格权值×100（小数点保留两位</w:t>
            </w:r>
            <w:r>
              <w:rPr>
                <w:rFonts w:hint="eastAsia" w:asciiTheme="minorEastAsia" w:hAnsiTheme="minorEastAsia" w:eastAsiaTheme="minorEastAsia" w:cstheme="minorEastAsia"/>
                <w:sz w:val="24"/>
                <w:lang w:val="zh-CN"/>
              </w:rPr>
              <w:t>，后余位数四舍五入计。</w:t>
            </w:r>
            <w:r>
              <w:rPr>
                <w:rFonts w:hint="eastAsia" w:asciiTheme="minorEastAsia" w:hAnsiTheme="minorEastAsia" w:eastAsiaTheme="minorEastAsia" w:cstheme="minorEastAsia"/>
                <w:sz w:val="24"/>
              </w:rPr>
              <w:t>）</w:t>
            </w:r>
          </w:p>
        </w:tc>
      </w:tr>
    </w:tbl>
    <w:p>
      <w:pPr>
        <w:pStyle w:val="32"/>
        <w:spacing w:line="360" w:lineRule="exact"/>
        <w:ind w:firstLine="527" w:firstLineChars="248"/>
        <w:rPr>
          <w:rFonts w:asciiTheme="minorEastAsia" w:hAnsiTheme="minorEastAsia" w:cstheme="minorEastAsia"/>
          <w:b/>
          <w:bCs/>
        </w:rPr>
      </w:pPr>
    </w:p>
    <w:p>
      <w:pPr>
        <w:pStyle w:val="521"/>
        <w:shd w:val="clear" w:color="auto" w:fill="FFFFFF"/>
        <w:spacing w:line="500" w:lineRule="exact"/>
        <w:rPr>
          <w:rFonts w:ascii="宋体" w:hAnsi="宋体"/>
          <w:sz w:val="24"/>
          <w:szCs w:val="24"/>
        </w:rPr>
      </w:pPr>
      <w:r>
        <w:rPr>
          <w:rFonts w:hint="eastAsia" w:ascii="宋体" w:hAnsi="宋体"/>
          <w:b/>
          <w:bCs/>
          <w:sz w:val="24"/>
          <w:szCs w:val="24"/>
        </w:rPr>
        <w:t>特别提醒：因落实政府采购政策进行价格调整的，以调整后的价格计算评标基准价和投标报价。</w:t>
      </w:r>
      <w:r>
        <w:rPr>
          <w:rFonts w:hint="eastAsia" w:ascii="宋体" w:hAnsi="宋体"/>
          <w:sz w:val="24"/>
          <w:szCs w:val="24"/>
        </w:rPr>
        <w:t>评标委员会将根据政府采购政策支持对投标报价进行价格折扣，折扣的价格将作为评审价格。</w:t>
      </w:r>
      <w:r>
        <w:rPr>
          <w:rFonts w:hint="eastAsia" w:ascii="宋体" w:hAnsi="宋体"/>
          <w:sz w:val="24"/>
          <w:szCs w:val="24"/>
          <w:lang w:val="zh-CN"/>
        </w:rPr>
        <w:t>制造商、代理商的评审</w:t>
      </w:r>
      <w:r>
        <w:rPr>
          <w:rFonts w:hint="eastAsia" w:ascii="宋体" w:hAnsi="宋体"/>
          <w:sz w:val="24"/>
          <w:szCs w:val="24"/>
        </w:rPr>
        <w:t>价格由制造商、代理商代表签字确认。</w:t>
      </w:r>
    </w:p>
    <w:p>
      <w:pPr>
        <w:tabs>
          <w:tab w:val="left" w:pos="0"/>
        </w:tabs>
        <w:adjustRightInd w:val="0"/>
        <w:snapToGrid w:val="0"/>
        <w:spacing w:line="440" w:lineRule="exact"/>
        <w:rPr>
          <w:rFonts w:ascii="宋体" w:hAnsi="宋体"/>
          <w:b/>
          <w:bCs/>
          <w:kern w:val="0"/>
          <w:sz w:val="24"/>
        </w:rPr>
      </w:pPr>
      <w:r>
        <w:rPr>
          <w:rFonts w:hint="eastAsia" w:ascii="宋体" w:hAnsi="宋体"/>
          <w:b/>
          <w:bCs/>
          <w:kern w:val="0"/>
          <w:sz w:val="24"/>
        </w:rPr>
        <w:t>中小企业价格折扣比例及方法</w:t>
      </w:r>
    </w:p>
    <w:tbl>
      <w:tblPr>
        <w:tblStyle w:val="57"/>
        <w:tblW w:w="974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6" w:hRule="atLeast"/>
        </w:trPr>
        <w:tc>
          <w:tcPr>
            <w:tcW w:w="9747" w:type="dxa"/>
            <w:tcBorders>
              <w:top w:val="single" w:color="auto" w:sz="4" w:space="0"/>
              <w:bottom w:val="single" w:color="auto" w:sz="4" w:space="0"/>
            </w:tcBorders>
            <w:vAlign w:val="center"/>
          </w:tcPr>
          <w:p>
            <w:pPr>
              <w:snapToGrid w:val="0"/>
              <w:spacing w:line="440" w:lineRule="exact"/>
              <w:jc w:val="left"/>
              <w:rPr>
                <w:rFonts w:ascii="宋体" w:hAnsi="宋体"/>
                <w:sz w:val="24"/>
              </w:rPr>
            </w:pPr>
            <w:r>
              <w:rPr>
                <w:rFonts w:hint="eastAsia" w:ascii="宋体" w:hAnsi="宋体"/>
                <w:sz w:val="24"/>
              </w:rPr>
              <w:t>根据中华人民共和国财政部、中华人民共和国工业和信息化部《政府采购促进中小企业发展暂行办法》（财库</w:t>
            </w:r>
            <w:r>
              <w:rPr>
                <w:rFonts w:ascii="宋体" w:hAnsi="宋体"/>
                <w:sz w:val="24"/>
              </w:rPr>
              <w:t>[2011]181</w:t>
            </w:r>
            <w:r>
              <w:rPr>
                <w:rFonts w:hint="eastAsia" w:ascii="宋体" w:hAnsi="宋体"/>
                <w:sz w:val="24"/>
              </w:rPr>
              <w:t>号）文件的规定，</w:t>
            </w:r>
            <w:r>
              <w:rPr>
                <w:rFonts w:hint="eastAsia" w:ascii="宋体" w:hAnsi="宋体"/>
                <w:bCs/>
                <w:sz w:val="24"/>
              </w:rPr>
              <w:t>属于中小企业</w:t>
            </w:r>
            <w:r>
              <w:rPr>
                <w:rFonts w:hint="eastAsia" w:ascii="宋体" w:hAnsi="宋体"/>
                <w:sz w:val="24"/>
              </w:rPr>
              <w:t>评审优惠内容及幅度如下：</w:t>
            </w:r>
          </w:p>
          <w:p>
            <w:pPr>
              <w:snapToGrid w:val="0"/>
              <w:spacing w:line="440" w:lineRule="exact"/>
              <w:rPr>
                <w:rFonts w:ascii="宋体" w:hAnsi="宋体"/>
                <w:sz w:val="24"/>
              </w:rPr>
            </w:pPr>
            <w:r>
              <w:rPr>
                <w:rFonts w:hint="eastAsia" w:ascii="宋体" w:hAnsi="宋体"/>
                <w:b/>
                <w:sz w:val="24"/>
              </w:rPr>
              <w:t>（一）</w:t>
            </w:r>
            <w:r>
              <w:rPr>
                <w:rFonts w:hint="eastAsia" w:ascii="宋体" w:hAnsi="宋体"/>
                <w:sz w:val="24"/>
              </w:rPr>
              <w:t>中小企业（含中型、小型、微型企业）应当</w:t>
            </w:r>
            <w:r>
              <w:rPr>
                <w:rFonts w:hint="eastAsia" w:ascii="宋体" w:hAnsi="宋体"/>
                <w:b/>
                <w:sz w:val="24"/>
              </w:rPr>
              <w:t>同时符合</w:t>
            </w:r>
            <w:r>
              <w:rPr>
                <w:rFonts w:hint="eastAsia" w:ascii="宋体" w:hAnsi="宋体"/>
                <w:sz w:val="24"/>
              </w:rPr>
              <w:t>以下条件：</w:t>
            </w:r>
          </w:p>
          <w:p>
            <w:pPr>
              <w:pStyle w:val="701"/>
              <w:spacing w:line="440" w:lineRule="exact"/>
              <w:ind w:firstLine="243" w:firstLineChars="100"/>
              <w:jc w:val="left"/>
              <w:rPr>
                <w:rFonts w:ascii="宋体" w:hAnsi="宋体"/>
                <w:sz w:val="24"/>
              </w:rPr>
            </w:pPr>
            <w:r>
              <w:rPr>
                <w:rFonts w:hint="eastAsia" w:ascii="宋体" w:hAnsi="宋体"/>
                <w:sz w:val="24"/>
              </w:rPr>
              <w:t>①符合中小企业划分标准（按《关于印发中小企业划型标准规定的通知》（工信部联企业〔2011〕300号）执行）；</w:t>
            </w:r>
          </w:p>
          <w:p>
            <w:pPr>
              <w:pStyle w:val="701"/>
              <w:spacing w:line="440" w:lineRule="exact"/>
              <w:ind w:firstLine="243" w:firstLineChars="100"/>
              <w:jc w:val="left"/>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pStyle w:val="701"/>
              <w:spacing w:line="440" w:lineRule="exact"/>
              <w:ind w:firstLine="243" w:firstLineChars="100"/>
              <w:jc w:val="left"/>
              <w:rPr>
                <w:rFonts w:ascii="宋体" w:hAnsi="宋体"/>
                <w:sz w:val="24"/>
              </w:rPr>
            </w:pPr>
            <w:r>
              <w:rPr>
                <w:rFonts w:hint="eastAsia" w:ascii="宋体" w:hAnsi="宋体"/>
                <w:sz w:val="24"/>
              </w:rPr>
              <w:t>③小型、微型企业提供中型企业制造的货物的，视同为中型企业。</w:t>
            </w:r>
          </w:p>
          <w:p>
            <w:pPr>
              <w:snapToGrid w:val="0"/>
              <w:spacing w:line="440" w:lineRule="exact"/>
              <w:jc w:val="left"/>
              <w:rPr>
                <w:rFonts w:ascii="宋体" w:hAnsi="宋体"/>
                <w:sz w:val="24"/>
              </w:rPr>
            </w:pPr>
            <w:r>
              <w:rPr>
                <w:rFonts w:hint="eastAsia" w:ascii="宋体" w:hAnsi="宋体"/>
                <w:b/>
                <w:sz w:val="24"/>
              </w:rPr>
              <w:t>（二）</w:t>
            </w:r>
            <w:r>
              <w:rPr>
                <w:rFonts w:hint="eastAsia" w:ascii="宋体" w:hAnsi="宋体"/>
                <w:sz w:val="24"/>
              </w:rPr>
              <w:t>价格扣除办法：</w:t>
            </w:r>
          </w:p>
          <w:p>
            <w:pPr>
              <w:pStyle w:val="701"/>
              <w:spacing w:line="440" w:lineRule="exact"/>
              <w:ind w:firstLine="243" w:firstLineChars="100"/>
              <w:jc w:val="left"/>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w:t>
            </w:r>
          </w:p>
          <w:p>
            <w:pPr>
              <w:pStyle w:val="701"/>
              <w:spacing w:line="440" w:lineRule="exact"/>
              <w:jc w:val="left"/>
              <w:rPr>
                <w:rFonts w:ascii="宋体" w:hAnsi="宋体"/>
                <w:sz w:val="24"/>
              </w:rPr>
            </w:pPr>
            <w:r>
              <w:rPr>
                <w:rFonts w:hint="eastAsia" w:ascii="宋体" w:hAnsi="宋体"/>
                <w:sz w:val="24"/>
              </w:rPr>
              <w:t>微型企业的，残疾人福利性单位、监狱企业视为小微企业）产品的价格给予</w:t>
            </w:r>
            <w:r>
              <w:rPr>
                <w:rFonts w:ascii="宋体" w:hAnsi="宋体"/>
                <w:sz w:val="24"/>
              </w:rPr>
              <w:t>6%</w:t>
            </w:r>
            <w:r>
              <w:rPr>
                <w:rFonts w:hint="eastAsia" w:ascii="宋体" w:hAnsi="宋体"/>
                <w:sz w:val="24"/>
              </w:rPr>
              <w:t>的扣除，用扣除后的价格参与价格的评审。</w:t>
            </w:r>
          </w:p>
          <w:p>
            <w:pPr>
              <w:snapToGrid w:val="0"/>
              <w:spacing w:line="440" w:lineRule="exact"/>
              <w:jc w:val="left"/>
              <w:rPr>
                <w:rFonts w:ascii="宋体" w:hAnsi="宋体"/>
                <w:sz w:val="24"/>
              </w:rPr>
            </w:pPr>
            <w:r>
              <w:rPr>
                <w:rFonts w:hint="eastAsia" w:ascii="宋体" w:hAnsi="宋体"/>
                <w:b/>
                <w:sz w:val="24"/>
              </w:rPr>
              <w:t>（三）</w:t>
            </w:r>
            <w:r>
              <w:rPr>
                <w:rFonts w:hint="eastAsia" w:ascii="宋体" w:hAnsi="宋体"/>
                <w:sz w:val="24"/>
              </w:rPr>
              <w:t>小型和微型企业适用价格扣除办法时应提供的相关资料：</w:t>
            </w:r>
          </w:p>
          <w:p>
            <w:pPr>
              <w:pStyle w:val="701"/>
              <w:spacing w:line="440" w:lineRule="exact"/>
              <w:ind w:firstLine="243" w:firstLineChars="100"/>
              <w:jc w:val="left"/>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、制造商、代理商《中小企业声明函》或残疾人福利性单位声明函、监狱企业声明函。</w:t>
            </w:r>
          </w:p>
          <w:p>
            <w:pPr>
              <w:pStyle w:val="701"/>
              <w:spacing w:line="440" w:lineRule="exact"/>
              <w:ind w:firstLine="243" w:firstLineChars="100"/>
              <w:jc w:val="left"/>
              <w:rPr>
                <w:rFonts w:ascii="宋体" w:hAnsi="宋体"/>
                <w:sz w:val="24"/>
              </w:rPr>
            </w:pPr>
            <w:r>
              <w:rPr>
                <w:rFonts w:hint="eastAsia" w:ascii="宋体" w:hAnsi="宋体"/>
                <w:sz w:val="24"/>
              </w:rPr>
              <w:t>②、制造商、代理商应提供其属地主管部门出具的证明函；</w:t>
            </w:r>
          </w:p>
          <w:p>
            <w:pPr>
              <w:pStyle w:val="701"/>
              <w:spacing w:line="440" w:lineRule="exact"/>
              <w:ind w:firstLine="243" w:firstLineChars="100"/>
              <w:jc w:val="left"/>
              <w:rPr>
                <w:rFonts w:ascii="宋体" w:hAnsi="宋体"/>
                <w:sz w:val="24"/>
              </w:rPr>
            </w:pPr>
            <w:r>
              <w:rPr>
                <w:rFonts w:hint="eastAsia" w:ascii="宋体" w:hAnsi="宋体"/>
                <w:sz w:val="24"/>
              </w:rPr>
              <w:t>③、制造商、代理商应提供产品生产厂家的属地主管部门出具的证明函；</w:t>
            </w:r>
          </w:p>
          <w:p>
            <w:pPr>
              <w:pStyle w:val="701"/>
              <w:spacing w:line="440" w:lineRule="exact"/>
              <w:ind w:firstLine="486" w:firstLineChars="200"/>
              <w:jc w:val="left"/>
              <w:rPr>
                <w:rFonts w:ascii="宋体" w:hAnsi="宋体"/>
                <w:sz w:val="24"/>
              </w:rPr>
            </w:pPr>
            <w:r>
              <w:rPr>
                <w:rFonts w:hint="eastAsia" w:ascii="宋体" w:hAnsi="宋体"/>
                <w:sz w:val="24"/>
              </w:rPr>
              <w:t>注：制造商、代理商均符合小微企业条件，并且同时提供以上三个材料（否则将不给予价格扣除），则其评审价格=投标人的投标报价中属于小型和微型企业产品的价格部分×（100%-6%）+投标人的投标报价中不属于小型和微型企业产品的价格部分；否则，其评审价格=投标报价。</w:t>
            </w:r>
          </w:p>
          <w:p>
            <w:pPr>
              <w:pStyle w:val="701"/>
              <w:spacing w:line="440" w:lineRule="exact"/>
              <w:ind w:firstLine="486" w:firstLineChars="200"/>
              <w:jc w:val="left"/>
              <w:rPr>
                <w:rFonts w:ascii="宋体" w:hAnsi="宋体"/>
                <w:b/>
                <w:sz w:val="24"/>
              </w:rPr>
            </w:pPr>
            <w:r>
              <w:rPr>
                <w:rFonts w:hint="eastAsia" w:ascii="宋体" w:hAnsi="宋体"/>
                <w:sz w:val="24"/>
              </w:rPr>
              <w:t>若所供应产品为进口产品的，不适用《政府采购促进中小企业发展暂行办法》。残疾人福利性单位、监狱企业仅需提供声明函，不须要提供其他证明材料。</w:t>
            </w:r>
          </w:p>
        </w:tc>
      </w:tr>
    </w:tbl>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附表4</w:t>
      </w:r>
    </w:p>
    <w:p>
      <w:pPr>
        <w:pStyle w:val="521"/>
        <w:shd w:val="clear" w:color="auto" w:fill="FFFFFF"/>
        <w:spacing w:line="44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技术、商务部分评审（</w:t>
      </w:r>
      <w:r>
        <w:rPr>
          <w:rFonts w:hint="eastAsia" w:asciiTheme="minorEastAsia" w:hAnsiTheme="minorEastAsia" w:eastAsiaTheme="minorEastAsia" w:cstheme="minorEastAsia"/>
          <w:b/>
          <w:bCs/>
          <w:sz w:val="24"/>
          <w:szCs w:val="24"/>
          <w:lang w:val="en-US" w:eastAsia="zh-CN"/>
        </w:rPr>
        <w:t>90</w:t>
      </w:r>
      <w:r>
        <w:rPr>
          <w:rFonts w:hint="eastAsia" w:asciiTheme="minorEastAsia" w:hAnsiTheme="minorEastAsia" w:eastAsiaTheme="minorEastAsia" w:cstheme="minorEastAsia"/>
          <w:b/>
          <w:bCs/>
          <w:sz w:val="24"/>
          <w:szCs w:val="24"/>
        </w:rPr>
        <w:t>）</w:t>
      </w:r>
    </w:p>
    <w:p>
      <w:pPr>
        <w:spacing w:line="320" w:lineRule="exact"/>
        <w:ind w:left="28"/>
        <w:rPr>
          <w:rFonts w:ascii="宋体" w:hAnsi="宋体" w:cs="宋体"/>
          <w:b/>
          <w:bCs/>
          <w:kern w:val="0"/>
          <w:sz w:val="28"/>
          <w:szCs w:val="28"/>
        </w:rPr>
      </w:pPr>
    </w:p>
    <w:tbl>
      <w:tblPr>
        <w:tblStyle w:val="57"/>
        <w:tblW w:w="9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01"/>
        <w:gridCol w:w="643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kern w:val="0"/>
                <w:szCs w:val="21"/>
              </w:rPr>
              <w:t>序号</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szCs w:val="21"/>
              </w:rPr>
              <w:t>评审因素</w:t>
            </w:r>
          </w:p>
        </w:tc>
        <w:tc>
          <w:tcPr>
            <w:tcW w:w="64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szCs w:val="21"/>
              </w:rPr>
              <w:t>评分标准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bCs/>
                <w:sz w:val="24"/>
              </w:rPr>
            </w:pPr>
            <w:r>
              <w:rPr>
                <w:rFonts w:hint="eastAsia" w:ascii="宋体" w:hAnsi="宋体"/>
                <w:bCs/>
                <w:sz w:val="24"/>
              </w:rPr>
              <w:t>1</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bCs/>
                <w:sz w:val="24"/>
                <w:highlight w:val="yellow"/>
              </w:rPr>
            </w:pPr>
            <w:r>
              <w:rPr>
                <w:rFonts w:hint="eastAsia" w:ascii="宋体" w:hAnsi="宋体" w:cs="宋体"/>
                <w:kern w:val="0"/>
                <w:sz w:val="24"/>
              </w:rPr>
              <w:t>项目要求</w:t>
            </w:r>
          </w:p>
        </w:tc>
        <w:tc>
          <w:tcPr>
            <w:tcW w:w="6433" w:type="dxa"/>
            <w:tcBorders>
              <w:top w:val="single" w:color="auto" w:sz="4" w:space="0"/>
              <w:left w:val="single" w:color="auto" w:sz="4" w:space="0"/>
              <w:bottom w:val="single" w:color="auto" w:sz="4" w:space="0"/>
              <w:right w:val="single" w:color="auto" w:sz="4" w:space="0"/>
            </w:tcBorders>
            <w:vAlign w:val="center"/>
          </w:tcPr>
          <w:p>
            <w:pPr>
              <w:spacing w:line="320" w:lineRule="exact"/>
              <w:ind w:left="28"/>
              <w:rPr>
                <w:rFonts w:ascii="宋体"/>
                <w:bCs/>
                <w:sz w:val="24"/>
                <w:highlight w:val="yellow"/>
              </w:rPr>
            </w:pPr>
            <w:r>
              <w:rPr>
                <w:rFonts w:hint="eastAsia" w:ascii="宋体" w:hAnsi="宋体" w:cs="宋体"/>
                <w:bCs/>
                <w:sz w:val="24"/>
              </w:rPr>
              <w:t>完全符合磋商文件第五章磋商需求没有负偏离得20分；低于磋商文件要求的（负偏离），一项扣1分，最多扣20分；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bCs/>
                <w:sz w:val="24"/>
              </w:rPr>
            </w:pPr>
            <w:r>
              <w:rPr>
                <w:rFonts w:hint="eastAsia" w:ascii="宋体"/>
                <w:bCs/>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cs="宋体"/>
                <w:bCs/>
                <w:kern w:val="0"/>
                <w:sz w:val="24"/>
              </w:rPr>
            </w:pPr>
            <w:r>
              <w:rPr>
                <w:rFonts w:hint="eastAsia" w:ascii="宋体" w:hAnsi="宋体" w:cs="宋体"/>
                <w:bCs/>
                <w:kern w:val="0"/>
                <w:sz w:val="24"/>
              </w:rPr>
              <w:t>2</w:t>
            </w:r>
          </w:p>
        </w:tc>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cs="宋体"/>
                <w:bCs/>
                <w:kern w:val="0"/>
                <w:sz w:val="24"/>
              </w:rPr>
            </w:pPr>
            <w:r>
              <w:rPr>
                <w:rFonts w:hint="eastAsia" w:ascii="宋体" w:cs="宋体"/>
                <w:bCs/>
                <w:kern w:val="0"/>
                <w:sz w:val="24"/>
              </w:rPr>
              <w:t>服务方案</w:t>
            </w:r>
          </w:p>
        </w:tc>
        <w:tc>
          <w:tcPr>
            <w:tcW w:w="6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宋体"/>
                <w:bCs/>
                <w:kern w:val="0"/>
                <w:sz w:val="24"/>
              </w:rPr>
            </w:pPr>
            <w:r>
              <w:rPr>
                <w:rFonts w:hint="eastAsia" w:ascii="宋体" w:hAnsi="宋体" w:cs="宋体"/>
                <w:bCs/>
                <w:kern w:val="0"/>
                <w:sz w:val="24"/>
              </w:rPr>
              <w:t>针对供应商对本项目编制的服务方案内容是否完整，是否能够满足本项目需求，进行综合评审打分。优得26-30分，良得20-25分，中得10-15分，差得1-5分。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sz w:val="24"/>
              </w:rPr>
            </w:pPr>
            <w:r>
              <w:rPr>
                <w:rFonts w:hint="eastAsia" w:ascii="宋体" w:hAnsi="宋体" w:cs="宋体"/>
                <w:bCs/>
                <w:sz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Cs/>
                <w:kern w:val="0"/>
                <w:sz w:val="24"/>
              </w:rPr>
            </w:pPr>
            <w:r>
              <w:rPr>
                <w:rFonts w:hint="eastAsia" w:ascii="宋体" w:hAnsi="宋体" w:cs="宋体"/>
                <w:bCs/>
                <w:kern w:val="0"/>
                <w:sz w:val="24"/>
              </w:rPr>
              <w:t>3</w:t>
            </w:r>
          </w:p>
        </w:tc>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sz w:val="24"/>
              </w:rPr>
            </w:pPr>
            <w:r>
              <w:rPr>
                <w:rFonts w:hint="eastAsia" w:ascii="宋体" w:hAnsi="宋体"/>
                <w:sz w:val="24"/>
              </w:rPr>
              <w:t>业绩</w:t>
            </w:r>
          </w:p>
        </w:tc>
        <w:tc>
          <w:tcPr>
            <w:tcW w:w="64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00" w:lineRule="exact"/>
              <w:rPr>
                <w:rFonts w:ascii="宋体" w:hAnsi="宋体"/>
                <w:sz w:val="24"/>
              </w:rPr>
            </w:pPr>
            <w:r>
              <w:rPr>
                <w:rFonts w:hint="eastAsia" w:ascii="宋体" w:hAnsi="宋体"/>
                <w:sz w:val="24"/>
              </w:rPr>
              <w:t>根据供应商提供类似业绩（</w:t>
            </w:r>
            <w:r>
              <w:rPr>
                <w:rFonts w:hint="eastAsia" w:ascii="宋体" w:hAnsi="宋体"/>
                <w:sz w:val="24"/>
                <w:lang w:eastAsia="zh-CN"/>
              </w:rPr>
              <w:t>2019</w:t>
            </w:r>
            <w:r>
              <w:rPr>
                <w:rFonts w:hint="eastAsia" w:ascii="宋体" w:hAnsi="宋体"/>
                <w:sz w:val="24"/>
              </w:rPr>
              <w:t>年-至今）进行评定，每提供一个业绩得</w:t>
            </w:r>
            <w:r>
              <w:rPr>
                <w:rFonts w:hint="eastAsia" w:ascii="宋体" w:hAnsi="宋体"/>
                <w:sz w:val="24"/>
                <w:lang w:val="en-US" w:eastAsia="zh-CN"/>
              </w:rPr>
              <w:t>7</w:t>
            </w:r>
            <w:r>
              <w:rPr>
                <w:rFonts w:hint="eastAsia" w:ascii="宋体" w:hAnsi="宋体"/>
                <w:sz w:val="24"/>
              </w:rPr>
              <w:t>分，最多得</w:t>
            </w:r>
            <w:r>
              <w:rPr>
                <w:rFonts w:hint="eastAsia" w:ascii="宋体" w:hAnsi="宋体"/>
                <w:sz w:val="24"/>
                <w:lang w:val="en-US" w:eastAsia="zh-CN"/>
              </w:rPr>
              <w:t>28</w:t>
            </w:r>
            <w:r>
              <w:rPr>
                <w:rFonts w:hint="eastAsia" w:ascii="宋体" w:hAnsi="宋体"/>
                <w:sz w:val="24"/>
              </w:rPr>
              <w:t>分。</w:t>
            </w:r>
          </w:p>
          <w:p>
            <w:pPr>
              <w:autoSpaceDE w:val="0"/>
              <w:autoSpaceDN w:val="0"/>
              <w:adjustRightInd w:val="0"/>
              <w:spacing w:line="300" w:lineRule="exact"/>
              <w:rPr>
                <w:rFonts w:ascii="宋体" w:hAnsi="宋体"/>
                <w:sz w:val="24"/>
              </w:rPr>
            </w:pPr>
            <w:r>
              <w:rPr>
                <w:rFonts w:hint="eastAsia" w:ascii="宋体" w:hAnsi="宋体"/>
                <w:b/>
                <w:bCs/>
                <w:sz w:val="24"/>
              </w:rPr>
              <w:t>备注：提供服务合同或中标通知书复印件</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hint="eastAsia" w:ascii="宋体" w:hAnsi="宋体"/>
                <w:sz w:val="24"/>
                <w:lang w:val="en-US" w:eastAsia="zh-CN"/>
              </w:rPr>
              <w:t>28</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1"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Cs/>
                <w:kern w:val="0"/>
                <w:sz w:val="24"/>
              </w:rPr>
            </w:pPr>
            <w:r>
              <w:rPr>
                <w:rFonts w:hint="eastAsia" w:ascii="宋体" w:hAnsi="宋体" w:cs="宋体"/>
                <w:bCs/>
                <w:kern w:val="0"/>
                <w:sz w:val="24"/>
              </w:rPr>
              <w:t>4</w:t>
            </w:r>
          </w:p>
        </w:tc>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sz w:val="24"/>
              </w:rPr>
            </w:pPr>
            <w:r>
              <w:rPr>
                <w:rFonts w:hint="eastAsia" w:ascii="宋体" w:hAnsi="宋体"/>
                <w:sz w:val="24"/>
              </w:rPr>
              <w:t>人员、设备配置</w:t>
            </w:r>
          </w:p>
        </w:tc>
        <w:tc>
          <w:tcPr>
            <w:tcW w:w="64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00" w:lineRule="exact"/>
              <w:rPr>
                <w:rFonts w:ascii="宋体" w:hAnsi="宋体"/>
                <w:sz w:val="24"/>
              </w:rPr>
            </w:pPr>
            <w:r>
              <w:rPr>
                <w:rFonts w:hint="eastAsia" w:ascii="宋体" w:hAnsi="宋体"/>
                <w:sz w:val="24"/>
              </w:rPr>
              <w:t>供应商应</w:t>
            </w:r>
            <w:r>
              <w:rPr>
                <w:rFonts w:ascii="宋体" w:hAnsi="宋体"/>
                <w:sz w:val="24"/>
              </w:rPr>
              <w:t>为本项目</w:t>
            </w:r>
            <w:r>
              <w:rPr>
                <w:rFonts w:hint="eastAsia" w:ascii="宋体" w:hAnsi="宋体"/>
                <w:sz w:val="24"/>
              </w:rPr>
              <w:t>制定详细的服务技术</w:t>
            </w:r>
            <w:r>
              <w:rPr>
                <w:rFonts w:ascii="宋体" w:hAnsi="宋体"/>
                <w:sz w:val="24"/>
              </w:rPr>
              <w:t>人员</w:t>
            </w:r>
            <w:r>
              <w:rPr>
                <w:rFonts w:hint="eastAsia" w:ascii="宋体" w:hAnsi="宋体"/>
                <w:sz w:val="24"/>
              </w:rPr>
              <w:t>及设备配置</w:t>
            </w:r>
            <w:r>
              <w:rPr>
                <w:rFonts w:ascii="宋体" w:hAnsi="宋体"/>
                <w:sz w:val="24"/>
              </w:rPr>
              <w:t>方案，</w:t>
            </w:r>
            <w:r>
              <w:rPr>
                <w:rFonts w:hint="eastAsia" w:ascii="宋体" w:hAnsi="宋体"/>
                <w:sz w:val="24"/>
              </w:rPr>
              <w:t>方案内容包括服务技术人员</w:t>
            </w:r>
            <w:r>
              <w:rPr>
                <w:rFonts w:ascii="宋体" w:hAnsi="宋体"/>
                <w:sz w:val="24"/>
              </w:rPr>
              <w:t>配置</w:t>
            </w:r>
            <w:r>
              <w:rPr>
                <w:rFonts w:hint="eastAsia" w:ascii="宋体" w:hAnsi="宋体"/>
                <w:sz w:val="24"/>
              </w:rPr>
              <w:t>名单</w:t>
            </w:r>
            <w:r>
              <w:rPr>
                <w:rFonts w:ascii="宋体" w:hAnsi="宋体"/>
                <w:sz w:val="24"/>
              </w:rPr>
              <w:t>、组织结构、</w:t>
            </w:r>
            <w:r>
              <w:rPr>
                <w:rFonts w:hint="eastAsia" w:ascii="宋体" w:hAnsi="宋体"/>
                <w:sz w:val="24"/>
              </w:rPr>
              <w:t>分工职责</w:t>
            </w:r>
            <w:r>
              <w:rPr>
                <w:rFonts w:ascii="宋体" w:hAnsi="宋体"/>
                <w:sz w:val="24"/>
              </w:rPr>
              <w:t>、</w:t>
            </w:r>
            <w:r>
              <w:rPr>
                <w:rFonts w:hint="eastAsia" w:ascii="宋体" w:hAnsi="宋体"/>
                <w:sz w:val="24"/>
              </w:rPr>
              <w:t>行为</w:t>
            </w:r>
            <w:r>
              <w:rPr>
                <w:rFonts w:ascii="宋体" w:hAnsi="宋体"/>
                <w:sz w:val="24"/>
              </w:rPr>
              <w:t>要求</w:t>
            </w:r>
            <w:r>
              <w:rPr>
                <w:rFonts w:hint="eastAsia" w:ascii="宋体" w:hAnsi="宋体"/>
                <w:sz w:val="24"/>
              </w:rPr>
              <w:t>、设备组成、功能用途等，方案内容优得10分，良得7分，中得4分，差得1分。</w:t>
            </w:r>
          </w:p>
          <w:p>
            <w:pPr>
              <w:autoSpaceDE w:val="0"/>
              <w:autoSpaceDN w:val="0"/>
              <w:adjustRightInd w:val="0"/>
              <w:spacing w:line="300" w:lineRule="exact"/>
              <w:rPr>
                <w:rFonts w:ascii="宋体" w:hAnsi="宋体"/>
                <w:sz w:val="24"/>
              </w:rPr>
            </w:pPr>
            <w:r>
              <w:rPr>
                <w:rFonts w:hint="eastAsia" w:ascii="宋体" w:hAnsi="宋体"/>
                <w:sz w:val="24"/>
              </w:rPr>
              <w:t>备注：提供相应证明材料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NewRoman"/>
                <w:bCs/>
                <w:kern w:val="0"/>
                <w:sz w:val="24"/>
              </w:rPr>
            </w:pPr>
            <w:r>
              <w:rPr>
                <w:rFonts w:hint="eastAsia" w:ascii="宋体" w:hAnsi="宋体" w:cs="TimesNewRoman"/>
                <w:bCs/>
                <w:kern w:val="0"/>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Cs/>
                <w:kern w:val="0"/>
                <w:sz w:val="24"/>
              </w:rPr>
            </w:pPr>
            <w:r>
              <w:rPr>
                <w:rFonts w:hint="eastAsia" w:ascii="宋体" w:hAnsi="宋体" w:cs="宋体"/>
                <w:bCs/>
                <w:kern w:val="0"/>
                <w:sz w:val="24"/>
              </w:rPr>
              <w:t>5</w:t>
            </w:r>
          </w:p>
        </w:tc>
        <w:tc>
          <w:tcPr>
            <w:tcW w:w="1301" w:type="dxa"/>
            <w:tcBorders>
              <w:top w:val="single" w:color="auto" w:sz="4" w:space="0"/>
              <w:left w:val="single" w:color="auto" w:sz="4" w:space="0"/>
              <w:bottom w:val="single" w:color="auto" w:sz="4" w:space="0"/>
              <w:right w:val="single" w:color="auto" w:sz="4" w:space="0"/>
            </w:tcBorders>
            <w:vAlign w:val="center"/>
          </w:tcPr>
          <w:p>
            <w:pPr>
              <w:ind w:left="243" w:hanging="243" w:hangingChars="100"/>
              <w:jc w:val="center"/>
              <w:rPr>
                <w:rFonts w:ascii="宋体" w:hAnsi="宋体" w:cs="宋体"/>
                <w:kern w:val="0"/>
                <w:sz w:val="24"/>
              </w:rPr>
            </w:pPr>
            <w:r>
              <w:rPr>
                <w:rFonts w:hint="eastAsia" w:ascii="宋体" w:hAnsi="宋体" w:cs="宋体"/>
                <w:kern w:val="0"/>
                <w:sz w:val="24"/>
              </w:rPr>
              <w:t>响应文件的规范性</w:t>
            </w:r>
          </w:p>
        </w:tc>
        <w:tc>
          <w:tcPr>
            <w:tcW w:w="643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rPr>
            </w:pPr>
            <w:r>
              <w:rPr>
                <w:rFonts w:hint="eastAsia" w:ascii="宋体" w:hAnsi="宋体"/>
                <w:sz w:val="24"/>
              </w:rPr>
              <w:t>响应文件制作规范，没有细微偏差情形的得2分；有一项细微偏差扣0.5分，直至该项分值扣完为止。</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2分</w:t>
            </w:r>
          </w:p>
        </w:tc>
      </w:tr>
    </w:tbl>
    <w:p>
      <w:pPr>
        <w:rPr>
          <w:rFonts w:asciiTheme="minorEastAsia" w:hAnsiTheme="minorEastAsia" w:eastAsiaTheme="minorEastAsia" w:cstheme="minorEastAsia"/>
          <w:b/>
          <w:kern w:val="0"/>
          <w:sz w:val="24"/>
        </w:rPr>
      </w:pPr>
    </w:p>
    <w:p>
      <w:pPr>
        <w:shd w:val="clear" w:color="auto" w:fill="FFFFFF"/>
        <w:spacing w:line="500" w:lineRule="exact"/>
        <w:ind w:firstLine="490" w:firstLineChars="202"/>
        <w:rPr>
          <w:rFonts w:asciiTheme="minorEastAsia" w:hAnsiTheme="minorEastAsia" w:eastAsiaTheme="minorEastAsia" w:cstheme="minorEastAsia"/>
          <w:b/>
          <w:kern w:val="0"/>
          <w:sz w:val="24"/>
          <w:lang w:val="zh-CN"/>
        </w:rPr>
      </w:pPr>
      <w:r>
        <w:rPr>
          <w:rFonts w:hint="eastAsia" w:asciiTheme="minorEastAsia" w:hAnsiTheme="minorEastAsia" w:eastAsiaTheme="minorEastAsia" w:cstheme="minorEastAsia"/>
          <w:b/>
          <w:kern w:val="0"/>
          <w:sz w:val="24"/>
        </w:rPr>
        <w:t>34</w:t>
      </w:r>
      <w:r>
        <w:rPr>
          <w:rFonts w:hint="eastAsia" w:asciiTheme="minorEastAsia" w:hAnsiTheme="minorEastAsia" w:eastAsiaTheme="minorEastAsia" w:cstheme="minorEastAsia"/>
          <w:b/>
          <w:kern w:val="0"/>
          <w:sz w:val="24"/>
          <w:lang w:val="zh-CN"/>
        </w:rPr>
        <w:t>.废标</w:t>
      </w:r>
      <w:bookmarkEnd w:id="14"/>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5" w:name="_Toc520282260"/>
      <w:r>
        <w:rPr>
          <w:rFonts w:hint="eastAsia" w:asciiTheme="minorEastAsia" w:hAnsiTheme="minorEastAsia" w:eastAsiaTheme="minorEastAsia" w:cstheme="minorEastAsia"/>
          <w:kern w:val="0"/>
          <w:sz w:val="24"/>
          <w:lang w:val="zh-CN"/>
        </w:rPr>
        <w:t>出现下列情形之一，将导致项目废标即本项目的所有投标被拒绝：</w:t>
      </w:r>
      <w:bookmarkEnd w:id="15"/>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6" w:name="_Toc520282261"/>
      <w:r>
        <w:rPr>
          <w:rFonts w:hint="eastAsia" w:asciiTheme="minorEastAsia" w:hAnsiTheme="minorEastAsia" w:eastAsiaTheme="minorEastAsia" w:cstheme="minorEastAsia"/>
          <w:kern w:val="0"/>
          <w:sz w:val="24"/>
          <w:lang w:val="zh-CN"/>
        </w:rPr>
        <w:t>（1）符合专业条件的供应商或者对磋商文件做实质性响应的供应商不足三家；</w:t>
      </w:r>
      <w:bookmarkEnd w:id="16"/>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7" w:name="_Toc520282262"/>
      <w:r>
        <w:rPr>
          <w:rFonts w:hint="eastAsia" w:asciiTheme="minorEastAsia" w:hAnsiTheme="minorEastAsia" w:eastAsiaTheme="minorEastAsia" w:cstheme="minorEastAsia"/>
          <w:kern w:val="0"/>
          <w:sz w:val="24"/>
          <w:lang w:val="zh-CN"/>
        </w:rPr>
        <w:t>（2）出现影响采购公正的违法、违规行为的；</w:t>
      </w:r>
      <w:bookmarkEnd w:id="17"/>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8" w:name="_Toc520282263"/>
      <w:r>
        <w:rPr>
          <w:rFonts w:hint="eastAsia" w:asciiTheme="minorEastAsia" w:hAnsiTheme="minorEastAsia" w:eastAsiaTheme="minorEastAsia" w:cstheme="minorEastAsia"/>
          <w:kern w:val="0"/>
          <w:sz w:val="24"/>
          <w:lang w:val="zh-CN"/>
        </w:rPr>
        <w:t>（3）投标人的报价均超过了采购预算，采购人不能支付的；</w:t>
      </w:r>
      <w:bookmarkEnd w:id="18"/>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9" w:name="_Toc520282264"/>
      <w:r>
        <w:rPr>
          <w:rFonts w:hint="eastAsia" w:asciiTheme="minorEastAsia" w:hAnsiTheme="minorEastAsia" w:eastAsiaTheme="minorEastAsia" w:cstheme="minorEastAsia"/>
          <w:kern w:val="0"/>
          <w:sz w:val="24"/>
          <w:lang w:val="zh-CN"/>
        </w:rPr>
        <w:t>（4）因重大变故，采购任务取消的。</w:t>
      </w:r>
      <w:bookmarkEnd w:id="19"/>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35. 评标过程的保密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35.1凡属于对投标文件的审查、澄清、评价和比较有关的资料、成交候选人的推荐情况以及与评标有关的其他任何情况，评标委员会成员和与评标活动有关的工作人员不得对任何单位和个人透露。</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35.2 在投标文件的评审和比较、成交候选人推荐以及授予合同的过程中，投标人向采购人或者评标委员会施加影响的任何行为，都将会导致其投标被拒绝。</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35.3 成交人确定后，采购人不对未成交人就评标过程以及未能成交原因做出任何解释。未成交人不得向评标委员会组成人员或者其他有关人员索问评标过程的情况和材料。</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36. 定标原则</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36.1 评标委员会依据投标须知前附表规定的评标方法和标准，按照排序确定出前三名作为成交候选人推荐给采购人。</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36.2采购代理机构应当在评标结束后2个工作日内将评标报告送采购人。</w:t>
      </w:r>
      <w:r>
        <w:rPr>
          <w:rFonts w:hint="eastAsia" w:asciiTheme="minorEastAsia" w:hAnsiTheme="minorEastAsia" w:eastAsiaTheme="minorEastAsia" w:cstheme="minorEastAsia"/>
          <w:bCs/>
          <w:kern w:val="0"/>
          <w:sz w:val="24"/>
        </w:rPr>
        <w:t>采购人应当自收到评标报告之日起５个工作日内，在评标报告确定的成交候选人名单中按顺序确定成交人。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（七） 授予合同</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37. 确定成交人</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 成交的标准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37.1.1 投标文件对磋商文件做出了实质性响应；</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37.1.2 具有良好的履行合同的能力和条件；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37.1.3 能够最大限度满足磋商文件的各项要求；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37.2 采购人将确定资格合格的成交候选人为成交人。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38. 授予合同的准则</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38.1 采购人将把合同授予经确认的成交人。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39. 成交通知书</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39.1 采购人依据评标委员会推荐的成交候选人确定成交人后，将</w:t>
      </w:r>
      <w:r>
        <w:rPr>
          <w:rFonts w:hint="eastAsia" w:asciiTheme="minorEastAsia" w:hAnsiTheme="minorEastAsia" w:eastAsiaTheme="minorEastAsia" w:cstheme="minorEastAsia"/>
          <w:sz w:val="24"/>
        </w:rPr>
        <w:t>对成交结果公示1工作日，同时向成交人发出成交通知书。</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39.2 投标人成交或者成交结果有异议的，可以在知道或者应知其权益受到损害之日起7个工作日内，向采购人、采购代理机构提出质疑。采购人在收到投标人的书面质疑后七个工作日内作出答复，并以书面形式通知质疑投标人和其他有关投标人；作出答复前，将暂停磋商投标活动。</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39.3 成交通知书对成交人和成交人具有法律约束力。成交通知书发出后，采购人不得违法改变成交结果，成交人无正当理由不得放弃成交。 </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40. 合同的签订</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40.1采购人应当自成交通知书发出之日起30日内，按照磋商文件和成交人投标文件的规定，与成交人签订书面合同。所签订的合同不得对磋商文件确定的事项和成交人投标文件作实质性修改。</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40.2 磋商文件要求成交人提交履约保证金或者其他形式履约担保的，成交人应当提交；拒绝提交的，视为放弃成交项目。</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40.3 磋商文件和成交人的投标文件均是该书面合同的附件。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40.4 成交人因不可抗力或自身原因不能履行采购合同的，采购人可以与排位在成交人之后第一位的成交候选人签订采购合同，以此类推。或采购人重新组织磋商。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40.5 政府采购项目的采购合同自签订之日起七个工作日内，采购人应当将合同副本报同级政府采购监督管理部门和有关部门备案。</w:t>
      </w:r>
    </w:p>
    <w:p>
      <w:pPr>
        <w:shd w:val="clear" w:color="auto" w:fill="FFFFFF"/>
        <w:spacing w:line="500" w:lineRule="exact"/>
        <w:ind w:firstLine="475" w:firstLineChars="196"/>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41.质疑与投诉</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41.1投标人认为采购文件、采购过程、成交或者成交结果使自己的权益受到损害的，可以在知道或者应知其权益受到损害之日起7个工作日内，向采购人、采购代理机构提出质疑。投标人须在法定质疑期内一次性提出针对同一采购程序环节的质疑。</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41.2质疑函的必备内容</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（1）投标人提交的质疑函必须注明单位名称、地址、邮编、可供查询的单位和法定代表人的电话号码、联系人电话；</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（2）质疑项目的名称、编号；</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（3）具体质疑事项和与质疑事项相关的请求；</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（4）事实依据；</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（5）提起质疑的日期；</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（6）质疑函须加盖单位公章，由法定代表人签章。</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41.3质疑应符合下列条件：</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⑴质疑人是参与所质疑项目的采购活动的投标人；</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⑵质疑函内容符合相关的规定；</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⑶在规定的有效期限内提起质疑；</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⑷招投标监管部门规定的其他条件。</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41.4采购人在收到投标人的书面质疑后七个工作日内作出答复，并以书面形式通知质疑投标人和其他有关投标人，但答复的内容不涉及商业秘密。</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41.5提出质疑的投标人对答复不满意的，可以在答复期满后十五个工作日内向同级政府磋商监督管理部门投诉。政府磋商监督管理部门应当在收到投诉三十个工作日内，对投诉事项作出处理决定，并以书面形式通知投诉人和与投诉事项相关的当事人。</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42. 履约担保</w:t>
      </w:r>
    </w:p>
    <w:p>
      <w:pPr>
        <w:shd w:val="clear" w:color="auto" w:fill="FFFFFF"/>
        <w:autoSpaceDE w:val="0"/>
        <w:autoSpaceDN w:val="0"/>
        <w:adjustRightInd w:val="0"/>
        <w:spacing w:line="500" w:lineRule="exact"/>
        <w:ind w:firstLine="443" w:firstLineChars="189"/>
        <w:jc w:val="left"/>
        <w:rPr>
          <w:rFonts w:asciiTheme="minorEastAsia" w:hAnsiTheme="minorEastAsia" w:eastAsiaTheme="minorEastAsia" w:cstheme="minorEastAsia"/>
          <w:spacing w:val="-4"/>
          <w:kern w:val="0"/>
          <w:sz w:val="24"/>
        </w:rPr>
      </w:pPr>
      <w:r>
        <w:rPr>
          <w:rFonts w:hint="eastAsia" w:asciiTheme="minorEastAsia" w:hAnsiTheme="minorEastAsia" w:eastAsiaTheme="minorEastAsia" w:cstheme="minorEastAsia"/>
          <w:spacing w:val="-4"/>
          <w:kern w:val="0"/>
          <w:sz w:val="24"/>
        </w:rPr>
        <w:t>42.1 成交人须在与采购人签署合同前按磋商文件有关要求提交履约担保。成交人应按照下列规定的方式和金额向采购人提交履约担保。</w:t>
      </w:r>
    </w:p>
    <w:p>
      <w:pPr>
        <w:shd w:val="clear" w:color="auto" w:fill="FFFFFF"/>
        <w:autoSpaceDE w:val="0"/>
        <w:autoSpaceDN w:val="0"/>
        <w:adjustRightInd w:val="0"/>
        <w:spacing w:line="500" w:lineRule="exact"/>
        <w:ind w:firstLine="458" w:firstLineChars="189"/>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42.1.1 履约担保采用下列</w:t>
      </w:r>
      <w:r>
        <w:rPr>
          <w:rFonts w:hint="eastAsia" w:asciiTheme="minorEastAsia" w:hAnsiTheme="minorEastAsia" w:eastAsiaTheme="minorEastAsia" w:cstheme="minorEastAsia"/>
          <w:kern w:val="0"/>
          <w:sz w:val="24"/>
          <w:u w:val="single"/>
        </w:rPr>
        <w:t xml:space="preserve">  1  </w:t>
      </w:r>
      <w:r>
        <w:rPr>
          <w:rFonts w:hint="eastAsia" w:asciiTheme="minorEastAsia" w:hAnsiTheme="minorEastAsia" w:eastAsiaTheme="minorEastAsia" w:cstheme="minorEastAsia"/>
          <w:kern w:val="0"/>
          <w:sz w:val="24"/>
        </w:rPr>
        <w:t>方式</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（1）履约保证金担保方式：</w:t>
      </w:r>
      <w:r>
        <w:rPr>
          <w:rFonts w:hint="eastAsia" w:asciiTheme="minorEastAsia" w:hAnsiTheme="minorEastAsia" w:eastAsiaTheme="minorEastAsia" w:cstheme="minorEastAsia"/>
          <w:kern w:val="0"/>
          <w:sz w:val="24"/>
          <w:u w:val="single"/>
        </w:rPr>
        <w:t xml:space="preserve"> （2）或（3） </w:t>
      </w:r>
    </w:p>
    <w:p>
      <w:pPr>
        <w:shd w:val="clear" w:color="auto" w:fill="FFFFFF"/>
        <w:spacing w:line="500" w:lineRule="exact"/>
        <w:ind w:firstLine="486"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 银行汇票；2） 支票；</w:t>
      </w:r>
      <w:r>
        <w:rPr>
          <w:rFonts w:hint="eastAsia" w:asciiTheme="minorEastAsia" w:hAnsiTheme="minorEastAsia" w:eastAsiaTheme="minorEastAsia" w:cstheme="minorEastAsia"/>
          <w:kern w:val="0"/>
          <w:sz w:val="24"/>
        </w:rPr>
        <w:t>3）银行转账；4）担保公司担保；</w:t>
      </w:r>
      <w:r>
        <w:rPr>
          <w:rFonts w:hint="eastAsia" w:asciiTheme="minorEastAsia" w:hAnsiTheme="minorEastAsia" w:eastAsiaTheme="minorEastAsia" w:cstheme="minorEastAsia"/>
          <w:sz w:val="24"/>
        </w:rPr>
        <w:t>5）采购人与投标人协商确定的其他担保方式。</w:t>
      </w:r>
    </w:p>
    <w:p>
      <w:pPr>
        <w:shd w:val="clear" w:color="auto" w:fill="FFFFFF"/>
        <w:spacing w:line="500" w:lineRule="exact"/>
        <w:ind w:firstLine="490" w:firstLineChars="202"/>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42.1.2 履约担保金额：</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42.2 如成交人不能按照投标须知第40条的规定执行，采购人将视为成交人放弃成交项目；已经订立合同的，采购人有充分理由解除合同，给采购人造成损失的，放弃成交项目的成交人应当赔偿。</w:t>
      </w:r>
    </w:p>
    <w:p>
      <w:pPr>
        <w:shd w:val="clear" w:color="auto" w:fill="FFFFFF"/>
        <w:spacing w:line="500" w:lineRule="exact"/>
        <w:ind w:firstLine="490" w:firstLineChars="202"/>
        <w:outlineLvl w:val="0"/>
        <w:rPr>
          <w:rFonts w:asciiTheme="minorEastAsia" w:hAnsiTheme="minorEastAsia" w:eastAsiaTheme="minorEastAsia" w:cstheme="minorEastAsia"/>
          <w:b/>
          <w:spacing w:val="-6"/>
          <w:kern w:val="0"/>
          <w:sz w:val="24"/>
        </w:rPr>
      </w:pPr>
      <w:bookmarkStart w:id="20" w:name="_Toc228180139"/>
      <w:r>
        <w:rPr>
          <w:rFonts w:hint="eastAsia" w:asciiTheme="minorEastAsia" w:hAnsiTheme="minorEastAsia" w:eastAsiaTheme="minorEastAsia" w:cstheme="minorEastAsia"/>
          <w:b/>
          <w:kern w:val="0"/>
          <w:sz w:val="24"/>
        </w:rPr>
        <w:t>43.</w:t>
      </w:r>
      <w:r>
        <w:rPr>
          <w:rFonts w:hint="eastAsia" w:asciiTheme="minorEastAsia" w:hAnsiTheme="minorEastAsia" w:eastAsiaTheme="minorEastAsia" w:cstheme="minorEastAsia"/>
          <w:b/>
          <w:spacing w:val="-6"/>
          <w:kern w:val="0"/>
          <w:sz w:val="24"/>
        </w:rPr>
        <w:t>磋商服务费</w:t>
      </w:r>
      <w:bookmarkEnd w:id="20"/>
    </w:p>
    <w:p>
      <w:pPr>
        <w:shd w:val="clear" w:color="auto" w:fill="FFFFFF"/>
        <w:spacing w:line="500" w:lineRule="exact"/>
        <w:ind w:firstLine="490" w:firstLineChars="202"/>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43.1</w:t>
      </w:r>
      <w:r>
        <w:rPr>
          <w:rFonts w:hint="eastAsia" w:asciiTheme="minorEastAsia" w:hAnsiTheme="minorEastAsia" w:eastAsiaTheme="minorEastAsia" w:cstheme="minorEastAsia"/>
          <w:bCs/>
          <w:kern w:val="0"/>
          <w:sz w:val="24"/>
        </w:rPr>
        <w:t>本项目磋商代理服务费由成交人支付。投标人在递交投标书的同时将被视为同意承担本项费用；成交人必须在领取成交通知书时一次性付清磋商代理服务费用。该费用由投标人计入投标总报价中但不单独列项，发包人亦不再另行支付。</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44. 其他</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未尽事宜将依照《中华人民共和国政府采购法》及相关法规执行。</w:t>
      </w:r>
    </w:p>
    <w:p>
      <w:pPr>
        <w:pStyle w:val="3"/>
        <w:jc w:val="center"/>
        <w:rPr>
          <w:rFonts w:asciiTheme="minorEastAsia" w:hAnsiTheme="minorEastAsia" w:eastAsiaTheme="minorEastAsia" w:cstheme="minorEastAsia"/>
        </w:rPr>
      </w:pPr>
      <w:r>
        <w:rPr>
          <w:rFonts w:hint="eastAsia" w:asciiTheme="minorEastAsia" w:hAnsiTheme="minorEastAsia" w:eastAsiaTheme="minorEastAsia" w:cstheme="minorEastAsia"/>
          <w:sz w:val="18"/>
          <w:szCs w:val="18"/>
        </w:rPr>
        <w:br w:type="page"/>
      </w:r>
      <w:bookmarkStart w:id="21" w:name="_Toc358451687"/>
      <w:bookmarkStart w:id="22" w:name="_Toc5218"/>
      <w:bookmarkStart w:id="23" w:name="_Hlk519793124"/>
    </w:p>
    <w:p>
      <w:pPr>
        <w:pStyle w:val="3"/>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第三部分</w:t>
      </w:r>
      <w:bookmarkEnd w:id="21"/>
      <w:bookmarkStart w:id="24" w:name="_Toc390445897"/>
      <w:bookmarkStart w:id="25" w:name="_Toc383944383"/>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合同通用条款</w:t>
      </w:r>
      <w:bookmarkEnd w:id="22"/>
      <w:bookmarkEnd w:id="24"/>
      <w:bookmarkEnd w:id="25"/>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以最终签订的合同为准</w:t>
      </w:r>
      <w:r>
        <w:rPr>
          <w:rFonts w:hint="eastAsia" w:asciiTheme="minorEastAsia" w:hAnsiTheme="minorEastAsia" w:eastAsiaTheme="minorEastAsia" w:cstheme="minorEastAsia"/>
          <w:sz w:val="28"/>
          <w:szCs w:val="28"/>
          <w:lang w:eastAsia="zh-CN"/>
        </w:rPr>
        <w:t>）</w:t>
      </w:r>
    </w:p>
    <w:p>
      <w:pPr>
        <w:pStyle w:val="3"/>
        <w:ind w:firstLine="849" w:firstLineChars="300"/>
        <w:jc w:val="both"/>
        <w:rPr>
          <w:rFonts w:asciiTheme="minorEastAsia" w:hAnsiTheme="minorEastAsia" w:eastAsiaTheme="minorEastAsia" w:cstheme="minorEastAsia"/>
          <w:lang w:val="zh-CN"/>
        </w:rPr>
        <w:sectPr>
          <w:footerReference r:id="rId7" w:type="first"/>
          <w:footerReference r:id="rId6" w:type="default"/>
          <w:pgSz w:w="11906" w:h="16838"/>
          <w:pgMar w:top="1440" w:right="1797" w:bottom="1440" w:left="1797" w:header="851" w:footer="992" w:gutter="0"/>
          <w:cols w:space="720" w:num="1"/>
          <w:titlePg/>
          <w:docGrid w:type="linesAndChars" w:linePitch="319" w:charSpace="640"/>
        </w:sectPr>
      </w:pPr>
      <w:bookmarkStart w:id="26" w:name="_Toc325126568"/>
      <w:bookmarkStart w:id="27" w:name="_Toc390445898"/>
      <w:bookmarkStart w:id="28" w:name="_Toc383944384"/>
      <w:bookmarkStart w:id="29" w:name="_Toc1646"/>
      <w:bookmarkStart w:id="30" w:name="_Toc324441230"/>
      <w:r>
        <w:rPr>
          <w:rFonts w:hint="eastAsia" w:asciiTheme="minorEastAsia" w:hAnsiTheme="minorEastAsia" w:eastAsiaTheme="minorEastAsia" w:cstheme="minorEastAsia"/>
          <w:sz w:val="28"/>
          <w:szCs w:val="28"/>
        </w:rPr>
        <w:t>第四部分  合同专用条款</w:t>
      </w:r>
      <w:bookmarkEnd w:id="26"/>
      <w:bookmarkEnd w:id="27"/>
      <w:bookmarkEnd w:id="28"/>
      <w:bookmarkEnd w:id="29"/>
      <w:bookmarkEnd w:id="30"/>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以最终签订的合同为准</w:t>
      </w:r>
      <w:r>
        <w:rPr>
          <w:rFonts w:hint="eastAsia" w:asciiTheme="minorEastAsia" w:hAnsiTheme="minorEastAsia" w:eastAsiaTheme="minorEastAsia" w:cstheme="minorEastAsia"/>
          <w:sz w:val="28"/>
          <w:szCs w:val="28"/>
          <w:lang w:eastAsia="zh-CN"/>
        </w:rPr>
        <w:t>）</w:t>
      </w:r>
    </w:p>
    <w:p>
      <w:pPr>
        <w:pStyle w:val="3"/>
        <w:numPr>
          <w:ilvl w:val="0"/>
          <w:numId w:val="14"/>
        </w:numPr>
        <w:spacing w:line="500" w:lineRule="atLeast"/>
        <w:jc w:val="center"/>
        <w:rPr>
          <w:rFonts w:ascii="宋体" w:hAnsi="宋体" w:cs="宋体"/>
          <w:szCs w:val="28"/>
        </w:rPr>
      </w:pPr>
      <w:r>
        <w:rPr>
          <w:rFonts w:hint="eastAsia" w:ascii="宋体" w:hAnsi="宋体" w:cs="宋体"/>
          <w:szCs w:val="28"/>
        </w:rPr>
        <w:t>磋商需求</w:t>
      </w:r>
    </w:p>
    <w:tbl>
      <w:tblPr>
        <w:tblW w:w="11320" w:type="dxa"/>
        <w:jc w:val="center"/>
        <w:tblInd w:w="-1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560"/>
        <w:gridCol w:w="820"/>
        <w:gridCol w:w="1020"/>
        <w:gridCol w:w="760"/>
        <w:gridCol w:w="460"/>
        <w:gridCol w:w="820"/>
        <w:gridCol w:w="1170"/>
        <w:gridCol w:w="1170"/>
        <w:gridCol w:w="1170"/>
        <w:gridCol w:w="2910"/>
        <w:gridCol w:w="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0" w:hRule="atLeast"/>
          <w:jc w:val="center"/>
        </w:trPr>
        <w:tc>
          <w:tcPr>
            <w:tcW w:w="11320" w:type="dxa"/>
            <w:gridSpan w:val="11"/>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新疆美术馆修复作品参数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720" w:hRule="atLeast"/>
          <w:jc w:val="center"/>
        </w:trPr>
        <w:tc>
          <w:tcPr>
            <w:tcW w:w="5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序号</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材质</w:t>
            </w:r>
          </w:p>
        </w:tc>
        <w:tc>
          <w:tcPr>
            <w:tcW w:w="10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规格（cm）</w:t>
            </w:r>
          </w:p>
        </w:tc>
        <w:tc>
          <w:tcPr>
            <w:tcW w:w="7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创作时间</w:t>
            </w:r>
          </w:p>
        </w:tc>
        <w:tc>
          <w:tcPr>
            <w:tcW w:w="4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数量</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保存现状</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作品状况</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修复内容</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修复预期</w:t>
            </w:r>
          </w:p>
        </w:tc>
        <w:tc>
          <w:tcPr>
            <w:tcW w:w="2910" w:type="dxa"/>
            <w:shd w:val="clear"/>
            <w:tcMar>
              <w:top w:w="10" w:type="dxa"/>
              <w:left w:w="10" w:type="dxa"/>
              <w:right w:w="10" w:type="dxa"/>
            </w:tcMar>
            <w:vAlign w:val="center"/>
          </w:tcPr>
          <w:p>
            <w:pPr>
              <w:keepNext w:val="0"/>
              <w:keepLines w:val="0"/>
              <w:widowControl/>
              <w:suppressLineNumbers w:val="0"/>
              <w:jc w:val="center"/>
              <w:textAlignment w:val="center"/>
              <w:rPr>
                <w:rFonts w:ascii="Microsoft YaHei UI" w:hAnsi="Microsoft YaHei UI" w:eastAsia="Microsoft YaHei UI" w:cs="Microsoft YaHei UI"/>
                <w:i w:val="0"/>
                <w:color w:val="000000"/>
                <w:sz w:val="21"/>
                <w:szCs w:val="21"/>
                <w:u w:val="none"/>
              </w:rPr>
            </w:pPr>
            <w:r>
              <w:rPr>
                <w:rFonts w:hint="eastAsia" w:ascii="Microsoft YaHei UI" w:hAnsi="Microsoft YaHei UI" w:eastAsia="Microsoft YaHei UI" w:cs="Microsoft YaHei UI"/>
                <w:i w:val="0"/>
                <w:color w:val="000000"/>
                <w:kern w:val="0"/>
                <w:sz w:val="21"/>
                <w:szCs w:val="21"/>
                <w:u w:val="none"/>
                <w:bdr w:val="none" w:color="auto" w:sz="0" w:space="0"/>
                <w:lang w:val="en-US" w:eastAsia="zh-CN" w:bidi="ar"/>
              </w:rPr>
              <w:t>残损区域（局部）</w:t>
            </w:r>
          </w:p>
        </w:tc>
        <w:tc>
          <w:tcPr>
            <w:tcW w:w="460" w:type="dxa"/>
            <w:shd w:val="clear"/>
            <w:noWrap/>
            <w:tcMar>
              <w:top w:w="10" w:type="dxa"/>
              <w:left w:w="10" w:type="dxa"/>
              <w:right w:w="10" w:type="dxa"/>
            </w:tcMar>
            <w:vAlign w:val="center"/>
          </w:tcPr>
          <w:p>
            <w:pPr>
              <w:keepNext w:val="0"/>
              <w:keepLines w:val="0"/>
              <w:widowControl/>
              <w:suppressLineNumbers w:val="0"/>
              <w:jc w:val="left"/>
              <w:textAlignment w:val="center"/>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999" w:hRule="atLeast"/>
          <w:jc w:val="center"/>
        </w:trPr>
        <w:tc>
          <w:tcPr>
            <w:tcW w:w="5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布面油画</w:t>
            </w:r>
          </w:p>
        </w:tc>
        <w:tc>
          <w:tcPr>
            <w:tcW w:w="10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144x200cm</w:t>
            </w:r>
          </w:p>
        </w:tc>
        <w:tc>
          <w:tcPr>
            <w:tcW w:w="7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1977</w:t>
            </w:r>
          </w:p>
        </w:tc>
        <w:tc>
          <w:tcPr>
            <w:tcW w:w="4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完好</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推测作品曾纵向卷曲，画面有大量纵向的折痕，折痕处颜料层开裂，整幅画面颜料层有极其严重的开裂、分层、脱落等状况，脱落处暴露底层颜料和支撑物</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稳定作品整体结构，加固开裂、分层的颜料层，填补缺失并润饰补色</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尽可能减弱作品支撑物变形，减弱作品显性状况带来的视觉影响，补全作品缺失形象</w:t>
            </w:r>
          </w:p>
        </w:tc>
        <w:tc>
          <w:tcPr>
            <w:tcW w:w="2910" w:type="dxa"/>
            <w:shd w:val="clear"/>
            <w:noWrap/>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61595</wp:posOffset>
                  </wp:positionH>
                  <wp:positionV relativeFrom="paragraph">
                    <wp:posOffset>989330</wp:posOffset>
                  </wp:positionV>
                  <wp:extent cx="1549400" cy="672465"/>
                  <wp:effectExtent l="0" t="0" r="0" b="635"/>
                  <wp:wrapNone/>
                  <wp:docPr id="12" name="图片_18"/>
                  <wp:cNvGraphicFramePr/>
                  <a:graphic xmlns:a="http://schemas.openxmlformats.org/drawingml/2006/main">
                    <a:graphicData uri="http://schemas.openxmlformats.org/drawingml/2006/picture">
                      <pic:pic xmlns:pic="http://schemas.openxmlformats.org/drawingml/2006/picture">
                        <pic:nvPicPr>
                          <pic:cNvPr id="12" name="图片_18"/>
                          <pic:cNvPicPr/>
                        </pic:nvPicPr>
                        <pic:blipFill>
                          <a:blip r:link="rId12"/>
                          <a:stretch>
                            <a:fillRect/>
                          </a:stretch>
                        </pic:blipFill>
                        <pic:spPr>
                          <a:xfrm>
                            <a:off x="0" y="0"/>
                            <a:ext cx="1549400" cy="672465"/>
                          </a:xfrm>
                          <a:prstGeom prst="rect">
                            <a:avLst/>
                          </a:prstGeom>
                          <a:noFill/>
                          <a:ln>
                            <a:noFill/>
                          </a:ln>
                        </pic:spPr>
                      </pic:pic>
                    </a:graphicData>
                  </a:graphic>
                </wp:anchor>
              </w:drawing>
            </w:r>
          </w:p>
        </w:tc>
        <w:tc>
          <w:tcPr>
            <w:tcW w:w="460" w:type="dxa"/>
            <w:vMerge w:val="restart"/>
            <w:shd w:val="clear"/>
            <w:noWrap/>
            <w:tcMar>
              <w:top w:w="10" w:type="dxa"/>
              <w:left w:w="10" w:type="dxa"/>
              <w:right w:w="10" w:type="dxa"/>
            </w:tcMar>
            <w:vAlign w:val="center"/>
          </w:tcPr>
          <w:p>
            <w:pPr>
              <w:rPr>
                <w:rFonts w:hint="eastAsia"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99" w:hRule="atLeast"/>
          <w:jc w:val="center"/>
        </w:trPr>
        <w:tc>
          <w:tcPr>
            <w:tcW w:w="5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布面油画</w:t>
            </w:r>
          </w:p>
        </w:tc>
        <w:tc>
          <w:tcPr>
            <w:tcW w:w="10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140x210cm</w:t>
            </w:r>
          </w:p>
        </w:tc>
        <w:tc>
          <w:tcPr>
            <w:tcW w:w="7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1972</w:t>
            </w:r>
          </w:p>
        </w:tc>
        <w:tc>
          <w:tcPr>
            <w:tcW w:w="4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完好</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作品有纵向卷曲甚至折叠的经历，画面有多条严重的折痕，有多处破洞、撕裂口，大面积的颜料层脱落、缺失等状况</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稳定作品整体结构，拼补破洞，加固作品开裂、分层的颜料层，填补缺失并润饰补色</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尽可能减弱作品支撑物变形，破洞和缺失处修复后肉眼不易识别，补全作品缺失形象</w:t>
            </w:r>
          </w:p>
        </w:tc>
        <w:tc>
          <w:tcPr>
            <w:tcW w:w="2910" w:type="dxa"/>
            <w:shd w:val="clear"/>
            <w:noWrap/>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325120</wp:posOffset>
                  </wp:positionH>
                  <wp:positionV relativeFrom="paragraph">
                    <wp:posOffset>349885</wp:posOffset>
                  </wp:positionV>
                  <wp:extent cx="1257300" cy="1176655"/>
                  <wp:effectExtent l="0" t="0" r="0" b="4445"/>
                  <wp:wrapNone/>
                  <wp:docPr id="9" name="图片_14"/>
                  <wp:cNvGraphicFramePr/>
                  <a:graphic xmlns:a="http://schemas.openxmlformats.org/drawingml/2006/main">
                    <a:graphicData uri="http://schemas.openxmlformats.org/drawingml/2006/picture">
                      <pic:pic xmlns:pic="http://schemas.openxmlformats.org/drawingml/2006/picture">
                        <pic:nvPicPr>
                          <pic:cNvPr id="9" name="图片_14"/>
                          <pic:cNvPicPr/>
                        </pic:nvPicPr>
                        <pic:blipFill>
                          <a:blip r:link="rId13"/>
                          <a:stretch>
                            <a:fillRect/>
                          </a:stretch>
                        </pic:blipFill>
                        <pic:spPr>
                          <a:xfrm>
                            <a:off x="0" y="0"/>
                            <a:ext cx="1257300" cy="1176655"/>
                          </a:xfrm>
                          <a:prstGeom prst="rect">
                            <a:avLst/>
                          </a:prstGeom>
                          <a:noFill/>
                          <a:ln>
                            <a:noFill/>
                          </a:ln>
                        </pic:spPr>
                      </pic:pic>
                    </a:graphicData>
                  </a:graphic>
                </wp:anchor>
              </w:drawing>
            </w:r>
          </w:p>
        </w:tc>
        <w:tc>
          <w:tcPr>
            <w:tcW w:w="460" w:type="dxa"/>
            <w:vMerge w:val="continue"/>
            <w:shd w:val="clear"/>
            <w:noWrap/>
            <w:tcMar>
              <w:top w:w="10" w:type="dxa"/>
              <w:left w:w="10" w:type="dxa"/>
              <w:right w:w="10" w:type="dxa"/>
            </w:tcMar>
            <w:vAlign w:val="center"/>
          </w:tcPr>
          <w:p>
            <w:pPr>
              <w:rPr>
                <w:rFonts w:hint="eastAsia"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99" w:hRule="atLeast"/>
          <w:jc w:val="center"/>
        </w:trPr>
        <w:tc>
          <w:tcPr>
            <w:tcW w:w="5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布面油画</w:t>
            </w:r>
          </w:p>
        </w:tc>
        <w:tc>
          <w:tcPr>
            <w:tcW w:w="10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187x290cm</w:t>
            </w:r>
          </w:p>
        </w:tc>
        <w:tc>
          <w:tcPr>
            <w:tcW w:w="7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1975</w:t>
            </w:r>
          </w:p>
        </w:tc>
        <w:tc>
          <w:tcPr>
            <w:tcW w:w="4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完好</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画面脏污，划痕，光泽不均匀，有多处颜料层缺失等状况</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清洗作品，填补缺失，统一折光</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尽可能恢复作品颜色光彩，缺失处填补后肉眼不易识别</w:t>
            </w:r>
          </w:p>
        </w:tc>
        <w:tc>
          <w:tcPr>
            <w:tcW w:w="2910" w:type="dxa"/>
            <w:shd w:val="clear"/>
            <w:noWrap/>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145415</wp:posOffset>
                  </wp:positionH>
                  <wp:positionV relativeFrom="paragraph">
                    <wp:posOffset>182880</wp:posOffset>
                  </wp:positionV>
                  <wp:extent cx="1680210" cy="815975"/>
                  <wp:effectExtent l="0" t="0" r="8890" b="9525"/>
                  <wp:wrapNone/>
                  <wp:docPr id="11" name="图片_22"/>
                  <wp:cNvGraphicFramePr/>
                  <a:graphic xmlns:a="http://schemas.openxmlformats.org/drawingml/2006/main">
                    <a:graphicData uri="http://schemas.openxmlformats.org/drawingml/2006/picture">
                      <pic:pic xmlns:pic="http://schemas.openxmlformats.org/drawingml/2006/picture">
                        <pic:nvPicPr>
                          <pic:cNvPr id="11" name="图片_22"/>
                          <pic:cNvPicPr/>
                        </pic:nvPicPr>
                        <pic:blipFill>
                          <a:blip r:link="rId14"/>
                          <a:stretch>
                            <a:fillRect/>
                          </a:stretch>
                        </pic:blipFill>
                        <pic:spPr>
                          <a:xfrm>
                            <a:off x="0" y="0"/>
                            <a:ext cx="1680210" cy="815975"/>
                          </a:xfrm>
                          <a:prstGeom prst="rect">
                            <a:avLst/>
                          </a:prstGeom>
                          <a:noFill/>
                          <a:ln>
                            <a:noFill/>
                          </a:ln>
                        </pic:spPr>
                      </pic:pic>
                    </a:graphicData>
                  </a:graphic>
                </wp:anchor>
              </w:drawing>
            </w:r>
          </w:p>
        </w:tc>
        <w:tc>
          <w:tcPr>
            <w:tcW w:w="460" w:type="dxa"/>
            <w:vMerge w:val="continue"/>
            <w:shd w:val="clear"/>
            <w:noWrap/>
            <w:tcMar>
              <w:top w:w="10" w:type="dxa"/>
              <w:left w:w="10" w:type="dxa"/>
              <w:right w:w="10" w:type="dxa"/>
            </w:tcMar>
            <w:vAlign w:val="center"/>
          </w:tcPr>
          <w:p>
            <w:pPr>
              <w:rPr>
                <w:rFonts w:hint="eastAsia"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999" w:hRule="atLeast"/>
          <w:jc w:val="center"/>
        </w:trPr>
        <w:tc>
          <w:tcPr>
            <w:tcW w:w="5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布面油画</w:t>
            </w:r>
          </w:p>
        </w:tc>
        <w:tc>
          <w:tcPr>
            <w:tcW w:w="10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50×40cm</w:t>
            </w:r>
          </w:p>
        </w:tc>
        <w:tc>
          <w:tcPr>
            <w:tcW w:w="7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1980</w:t>
            </w:r>
          </w:p>
        </w:tc>
        <w:tc>
          <w:tcPr>
            <w:tcW w:w="4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保存完好</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大面积颜料层起皮、分层、脱落</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加固起皮、分层的颜料层，填补缺失</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尽可能减弱作品状况带来的视觉影响</w:t>
            </w:r>
          </w:p>
        </w:tc>
        <w:tc>
          <w:tcPr>
            <w:tcW w:w="2910" w:type="dxa"/>
            <w:shd w:val="clear"/>
            <w:noWrap/>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234950</wp:posOffset>
                  </wp:positionH>
                  <wp:positionV relativeFrom="paragraph">
                    <wp:posOffset>111760</wp:posOffset>
                  </wp:positionV>
                  <wp:extent cx="1362075" cy="974090"/>
                  <wp:effectExtent l="0" t="0" r="9525" b="3810"/>
                  <wp:wrapNone/>
                  <wp:docPr id="10" name="图片_6"/>
                  <wp:cNvGraphicFramePr/>
                  <a:graphic xmlns:a="http://schemas.openxmlformats.org/drawingml/2006/main">
                    <a:graphicData uri="http://schemas.openxmlformats.org/drawingml/2006/picture">
                      <pic:pic xmlns:pic="http://schemas.openxmlformats.org/drawingml/2006/picture">
                        <pic:nvPicPr>
                          <pic:cNvPr id="10" name="图片_6"/>
                          <pic:cNvPicPr/>
                        </pic:nvPicPr>
                        <pic:blipFill>
                          <a:blip r:link="rId15"/>
                          <a:stretch>
                            <a:fillRect/>
                          </a:stretch>
                        </pic:blipFill>
                        <pic:spPr>
                          <a:xfrm>
                            <a:off x="0" y="0"/>
                            <a:ext cx="1362075" cy="974090"/>
                          </a:xfrm>
                          <a:prstGeom prst="rect">
                            <a:avLst/>
                          </a:prstGeom>
                          <a:noFill/>
                          <a:ln>
                            <a:noFill/>
                          </a:ln>
                        </pic:spPr>
                      </pic:pic>
                    </a:graphicData>
                  </a:graphic>
                </wp:anchor>
              </w:drawing>
            </w:r>
          </w:p>
        </w:tc>
        <w:tc>
          <w:tcPr>
            <w:tcW w:w="460" w:type="dxa"/>
            <w:vMerge w:val="continue"/>
            <w:shd w:val="clear"/>
            <w:noWrap/>
            <w:tcMar>
              <w:top w:w="10" w:type="dxa"/>
              <w:left w:w="10" w:type="dxa"/>
              <w:right w:w="10" w:type="dxa"/>
            </w:tcMar>
            <w:vAlign w:val="center"/>
          </w:tcPr>
          <w:p>
            <w:pPr>
              <w:rPr>
                <w:rFonts w:hint="eastAsia"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999" w:hRule="atLeast"/>
          <w:jc w:val="center"/>
        </w:trPr>
        <w:tc>
          <w:tcPr>
            <w:tcW w:w="5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布面油画</w:t>
            </w:r>
          </w:p>
        </w:tc>
        <w:tc>
          <w:tcPr>
            <w:tcW w:w="10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140×110cm</w:t>
            </w:r>
          </w:p>
        </w:tc>
        <w:tc>
          <w:tcPr>
            <w:tcW w:w="7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1979</w:t>
            </w:r>
          </w:p>
        </w:tc>
        <w:tc>
          <w:tcPr>
            <w:tcW w:w="4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保存完好</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画布变松，支撑物变形，颜料表面色层开裂。</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调整画布张力，稳定作品结构，加固开裂的颜料层</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尽可能减弱支撑物变形，减弱作品显性状况带来的视觉影响</w:t>
            </w:r>
          </w:p>
        </w:tc>
        <w:tc>
          <w:tcPr>
            <w:tcW w:w="2910" w:type="dxa"/>
            <w:shd w:val="clear"/>
            <w:noWrap/>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122555</wp:posOffset>
                  </wp:positionH>
                  <wp:positionV relativeFrom="paragraph">
                    <wp:posOffset>134620</wp:posOffset>
                  </wp:positionV>
                  <wp:extent cx="1616075" cy="1007745"/>
                  <wp:effectExtent l="0" t="0" r="9525" b="8255"/>
                  <wp:wrapNone/>
                  <wp:docPr id="15" name="图片_3"/>
                  <wp:cNvGraphicFramePr/>
                  <a:graphic xmlns:a="http://schemas.openxmlformats.org/drawingml/2006/main">
                    <a:graphicData uri="http://schemas.openxmlformats.org/drawingml/2006/picture">
                      <pic:pic xmlns:pic="http://schemas.openxmlformats.org/drawingml/2006/picture">
                        <pic:nvPicPr>
                          <pic:cNvPr id="15" name="图片_3"/>
                          <pic:cNvPicPr/>
                        </pic:nvPicPr>
                        <pic:blipFill>
                          <a:blip r:link="rId16"/>
                          <a:stretch>
                            <a:fillRect/>
                          </a:stretch>
                        </pic:blipFill>
                        <pic:spPr>
                          <a:xfrm>
                            <a:off x="0" y="0"/>
                            <a:ext cx="1616075" cy="1007745"/>
                          </a:xfrm>
                          <a:prstGeom prst="rect">
                            <a:avLst/>
                          </a:prstGeom>
                          <a:noFill/>
                          <a:ln>
                            <a:noFill/>
                          </a:ln>
                        </pic:spPr>
                      </pic:pic>
                    </a:graphicData>
                  </a:graphic>
                </wp:anchor>
              </w:drawing>
            </w:r>
          </w:p>
        </w:tc>
        <w:tc>
          <w:tcPr>
            <w:tcW w:w="460" w:type="dxa"/>
            <w:vMerge w:val="continue"/>
            <w:shd w:val="clear"/>
            <w:noWrap/>
            <w:tcMar>
              <w:top w:w="10" w:type="dxa"/>
              <w:left w:w="10" w:type="dxa"/>
              <w:right w:w="10" w:type="dxa"/>
            </w:tcMar>
            <w:vAlign w:val="center"/>
          </w:tcPr>
          <w:p>
            <w:pPr>
              <w:rPr>
                <w:rFonts w:hint="eastAsia"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999" w:hRule="atLeast"/>
          <w:jc w:val="center"/>
        </w:trPr>
        <w:tc>
          <w:tcPr>
            <w:tcW w:w="5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161925</wp:posOffset>
                  </wp:positionH>
                  <wp:positionV relativeFrom="paragraph">
                    <wp:posOffset>0</wp:posOffset>
                  </wp:positionV>
                  <wp:extent cx="0" cy="9525"/>
                  <wp:effectExtent l="0" t="0" r="0" b="0"/>
                  <wp:wrapNone/>
                  <wp:docPr id="13" name="Picture_35"/>
                  <wp:cNvGraphicFramePr/>
                  <a:graphic xmlns:a="http://schemas.openxmlformats.org/drawingml/2006/main">
                    <a:graphicData uri="http://schemas.openxmlformats.org/drawingml/2006/picture">
                      <pic:pic xmlns:pic="http://schemas.openxmlformats.org/drawingml/2006/picture">
                        <pic:nvPicPr>
                          <pic:cNvPr id="13" name="Picture_35"/>
                          <pic:cNvPicPr/>
                        </pic:nvPicPr>
                        <pic:blipFill>
                          <a:blip r:link="rId17"/>
                          <a:stretch>
                            <a:fillRect/>
                          </a:stretch>
                        </pic:blipFill>
                        <pic:spPr>
                          <a:xfrm>
                            <a:off x="0" y="0"/>
                            <a:ext cx="0" cy="9525"/>
                          </a:xfrm>
                          <a:prstGeom prst="rect">
                            <a:avLst/>
                          </a:prstGeom>
                          <a:noFill/>
                          <a:ln>
                            <a:noFill/>
                          </a:ln>
                        </pic:spPr>
                      </pic:pic>
                    </a:graphicData>
                  </a:graphic>
                </wp:anchor>
              </w:drawing>
            </w:r>
            <w:r>
              <w:rPr>
                <w:rFonts w:hint="eastAsia" w:ascii="宋体" w:hAnsi="宋体" w:eastAsia="宋体" w:cs="宋体"/>
                <w:i w:val="0"/>
                <w:color w:val="000000"/>
                <w:kern w:val="0"/>
                <w:sz w:val="20"/>
                <w:szCs w:val="20"/>
                <w:u w:val="none"/>
                <w:bdr w:val="none" w:color="auto" w:sz="0" w:space="0"/>
                <w:lang w:val="en-US" w:eastAsia="zh-CN" w:bidi="ar"/>
              </w:rPr>
              <w:t>6</w:t>
            </w:r>
          </w:p>
        </w:tc>
        <w:tc>
          <w:tcPr>
            <w:tcW w:w="820" w:type="dxa"/>
            <w:shd w:val="clear"/>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布面油画</w:t>
            </w:r>
          </w:p>
        </w:tc>
        <w:tc>
          <w:tcPr>
            <w:tcW w:w="1020" w:type="dxa"/>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117.5x99cm</w:t>
            </w:r>
          </w:p>
        </w:tc>
        <w:tc>
          <w:tcPr>
            <w:tcW w:w="760" w:type="dxa"/>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60" w:type="dxa"/>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820" w:type="dxa"/>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保存完好</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画布颜料层开裂，缺失，缺失处有先前补色</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加固颜料层，去除不恰当的先前修复</w:t>
            </w:r>
          </w:p>
        </w:tc>
        <w:tc>
          <w:tcPr>
            <w:tcW w:w="11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作品结构趋于稳定，形象补全</w:t>
            </w:r>
          </w:p>
        </w:tc>
        <w:tc>
          <w:tcPr>
            <w:tcW w:w="2910" w:type="dxa"/>
            <w:shd w:val="clear"/>
            <w:noWrap/>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140335</wp:posOffset>
                  </wp:positionH>
                  <wp:positionV relativeFrom="paragraph">
                    <wp:posOffset>40005</wp:posOffset>
                  </wp:positionV>
                  <wp:extent cx="1591310" cy="1188085"/>
                  <wp:effectExtent l="0" t="0" r="8890" b="5715"/>
                  <wp:wrapNone/>
                  <wp:docPr id="14" name="图片_20"/>
                  <wp:cNvGraphicFramePr/>
                  <a:graphic xmlns:a="http://schemas.openxmlformats.org/drawingml/2006/main">
                    <a:graphicData uri="http://schemas.openxmlformats.org/drawingml/2006/picture">
                      <pic:pic xmlns:pic="http://schemas.openxmlformats.org/drawingml/2006/picture">
                        <pic:nvPicPr>
                          <pic:cNvPr id="14" name="图片_20"/>
                          <pic:cNvPicPr/>
                        </pic:nvPicPr>
                        <pic:blipFill>
                          <a:blip r:link="rId18"/>
                          <a:stretch>
                            <a:fillRect/>
                          </a:stretch>
                        </pic:blipFill>
                        <pic:spPr>
                          <a:xfrm>
                            <a:off x="0" y="0"/>
                            <a:ext cx="1591310" cy="1188085"/>
                          </a:xfrm>
                          <a:prstGeom prst="rect">
                            <a:avLst/>
                          </a:prstGeom>
                          <a:noFill/>
                          <a:ln>
                            <a:noFill/>
                          </a:ln>
                        </pic:spPr>
                      </pic:pic>
                    </a:graphicData>
                  </a:graphic>
                </wp:anchor>
              </w:drawing>
            </w:r>
          </w:p>
        </w:tc>
        <w:tc>
          <w:tcPr>
            <w:tcW w:w="460" w:type="dxa"/>
            <w:vMerge w:val="continue"/>
            <w:shd w:val="clear"/>
            <w:noWrap/>
            <w:tcMar>
              <w:top w:w="10" w:type="dxa"/>
              <w:left w:w="10" w:type="dxa"/>
              <w:right w:w="10" w:type="dxa"/>
            </w:tcMar>
            <w:vAlign w:val="center"/>
          </w:tcPr>
          <w:p>
            <w:pPr>
              <w:rPr>
                <w:rFonts w:hint="eastAsia" w:ascii="等线" w:hAnsi="等线" w:eastAsia="等线" w:cs="等线"/>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560" w:type="dxa"/>
            <w:shd w:val="clear"/>
            <w:noWrap/>
            <w:tcMar>
              <w:top w:w="10" w:type="dxa"/>
              <w:left w:w="10" w:type="dxa"/>
              <w:right w:w="10"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bdr w:val="none" w:color="auto" w:sz="0" w:space="0"/>
                <w:lang w:val="en-US" w:eastAsia="zh-CN" w:bidi="ar"/>
              </w:rPr>
              <w:t>备注</w:t>
            </w:r>
          </w:p>
        </w:tc>
        <w:tc>
          <w:tcPr>
            <w:tcW w:w="10760" w:type="dxa"/>
            <w:gridSpan w:val="10"/>
            <w:shd w:val="clear"/>
            <w:tcMar>
              <w:top w:w="10" w:type="dxa"/>
              <w:left w:w="10" w:type="dxa"/>
              <w:right w:w="10"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bdr w:val="none" w:color="auto" w:sz="0" w:space="0"/>
                <w:lang w:val="en-US" w:eastAsia="zh-CN" w:bidi="ar"/>
              </w:rPr>
              <w:t>修复要求；1）对藏品的修复是在当下技术允许的条件下，做可逆性的修复，2）对每件藏品的修复过程因有详细的文字记录和关键点视频记录（不少于60分钟，重要作品不得少于120分钟。3）并提供与修复相关使用的修复材料的样品小样，并附说明。</w:t>
            </w:r>
          </w:p>
        </w:tc>
      </w:tr>
    </w:tbl>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hint="eastAsia" w:asciiTheme="minorEastAsia" w:hAnsiTheme="minorEastAsia" w:eastAsiaTheme="minorEastAsia" w:cstheme="minorEastAsia"/>
          <w:b/>
          <w:sz w:val="28"/>
          <w:szCs w:val="28"/>
        </w:rPr>
      </w:pPr>
    </w:p>
    <w:p>
      <w:pPr>
        <w:widowControl/>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8"/>
          <w:szCs w:val="28"/>
        </w:rPr>
        <w:t>第六部分  投标文件格式</w:t>
      </w:r>
    </w:p>
    <w:p>
      <w:pPr>
        <w:shd w:val="clear" w:color="auto" w:fill="FFFFFF"/>
        <w:tabs>
          <w:tab w:val="center" w:pos="4157"/>
          <w:tab w:val="left" w:pos="5241"/>
        </w:tabs>
        <w:spacing w:line="50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ab/>
      </w:r>
    </w:p>
    <w:bookmarkEnd w:id="23"/>
    <w:p>
      <w:pPr>
        <w:shd w:val="clear" w:color="auto" w:fill="FFFFFF"/>
        <w:spacing w:line="360" w:lineRule="exact"/>
        <w:jc w:val="center"/>
        <w:rPr>
          <w:rFonts w:asciiTheme="minorEastAsia" w:hAnsiTheme="minorEastAsia" w:eastAsiaTheme="minorEastAsia" w:cstheme="minorEastAsia"/>
          <w:b/>
          <w:bCs/>
          <w:sz w:val="24"/>
        </w:rPr>
      </w:pPr>
    </w:p>
    <w:p>
      <w:pPr>
        <w:shd w:val="clear" w:color="auto" w:fill="FFFFFF"/>
        <w:spacing w:line="360" w:lineRule="exac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封面示例</w:t>
      </w:r>
      <w:r>
        <w:rPr>
          <w:rFonts w:hint="eastAsia" w:asciiTheme="minorEastAsia" w:hAnsiTheme="minorEastAsia" w:eastAsiaTheme="minorEastAsia" w:cstheme="minorEastAsia"/>
          <w:sz w:val="24"/>
        </w:rPr>
        <w:t>）</w:t>
      </w:r>
    </w:p>
    <w:p>
      <w:pPr>
        <w:shd w:val="clear" w:color="auto" w:fill="FFFFFF"/>
        <w:spacing w:line="360" w:lineRule="exact"/>
        <w:ind w:firstLine="420"/>
        <w:jc w:val="right"/>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zh-CN"/>
        </w:rPr>
        <w:t>正本</w:t>
      </w:r>
      <w:r>
        <w:rPr>
          <w:rFonts w:hint="eastAsia" w:asciiTheme="minorEastAsia" w:hAnsiTheme="minorEastAsia" w:eastAsiaTheme="minorEastAsia" w:cstheme="minorEastAsia"/>
          <w:b/>
          <w:bCs/>
          <w:sz w:val="24"/>
        </w:rPr>
        <w:t>/副本</w:t>
      </w: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outlineLvl w:val="0"/>
        <w:rPr>
          <w:rFonts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投 标 文 件</w:t>
      </w: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采购人：</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项目名称：</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项目编号：</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投标人（盖公章）：</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法定代表人（签字或盖章）:</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被授权代理人（签字）:</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地址：</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邮编：</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联系电话：</w:t>
      </w:r>
    </w:p>
    <w:p>
      <w:pPr>
        <w:shd w:val="clear" w:color="auto" w:fill="FFFFFF"/>
        <w:spacing w:line="360" w:lineRule="exact"/>
        <w:jc w:val="center"/>
        <w:rPr>
          <w:rFonts w:asciiTheme="minorEastAsia" w:hAnsiTheme="minorEastAsia" w:eastAsiaTheme="minorEastAsia" w:cstheme="minorEastAsia"/>
          <w:sz w:val="24"/>
          <w:lang w:val="zh-CN"/>
        </w:rPr>
      </w:pPr>
    </w:p>
    <w:p>
      <w:pPr>
        <w:shd w:val="clear" w:color="auto" w:fill="FFFFFF"/>
        <w:spacing w:line="360" w:lineRule="exact"/>
        <w:jc w:val="center"/>
        <w:rPr>
          <w:rFonts w:asciiTheme="minorEastAsia" w:hAnsiTheme="minorEastAsia" w:eastAsiaTheme="minorEastAsia" w:cstheme="minorEastAsia"/>
          <w:sz w:val="24"/>
          <w:lang w:val="zh-CN"/>
        </w:rPr>
      </w:pPr>
    </w:p>
    <w:p>
      <w:pPr>
        <w:shd w:val="clear" w:color="auto" w:fill="FFFFFF"/>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 xml:space="preserve"> 年 月 日 时 分开标前不得开启</w:t>
      </w:r>
      <w:r>
        <w:rPr>
          <w:rFonts w:hint="eastAsia" w:asciiTheme="minorEastAsia" w:hAnsiTheme="minorEastAsia" w:eastAsiaTheme="minorEastAsia" w:cstheme="minorEastAsia"/>
          <w:sz w:val="24"/>
          <w:lang w:val="zh-CN"/>
        </w:rPr>
        <w:br w:type="page"/>
      </w:r>
    </w:p>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目 录</w:t>
      </w:r>
    </w:p>
    <w:p>
      <w:pPr>
        <w:shd w:val="clear" w:color="auto" w:fill="FFFFFF"/>
        <w:spacing w:line="500" w:lineRule="exact"/>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bCs/>
          <w:kern w:val="0"/>
          <w:sz w:val="24"/>
        </w:rPr>
        <w:t>主要包括</w:t>
      </w:r>
      <w:r>
        <w:rPr>
          <w:rFonts w:hint="eastAsia" w:asciiTheme="minorEastAsia" w:hAnsiTheme="minorEastAsia" w:eastAsiaTheme="minorEastAsia" w:cstheme="minorEastAsia"/>
          <w:b/>
          <w:sz w:val="24"/>
        </w:rPr>
        <w:t>但不限于以下内容：</w:t>
      </w:r>
    </w:p>
    <w:p>
      <w:pPr>
        <w:spacing w:line="500" w:lineRule="exact"/>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w:t>
      </w:r>
      <w:r>
        <w:rPr>
          <w:rFonts w:hint="eastAsia" w:asciiTheme="minorEastAsia" w:hAnsiTheme="minorEastAsia" w:eastAsiaTheme="minorEastAsia" w:cstheme="minorEastAsia"/>
          <w:sz w:val="24"/>
        </w:rPr>
        <w:t>投标承诺书</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2、开标一览表</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3、报价明细表</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bCs/>
          <w:kern w:val="0"/>
          <w:sz w:val="24"/>
        </w:rPr>
        <w:t>4、</w:t>
      </w:r>
      <w:r>
        <w:rPr>
          <w:rFonts w:hint="eastAsia" w:asciiTheme="minorEastAsia" w:hAnsiTheme="minorEastAsia" w:eastAsiaTheme="minorEastAsia" w:cstheme="minorEastAsia"/>
          <w:kern w:val="0"/>
          <w:sz w:val="24"/>
        </w:rPr>
        <w:t>法定代表人身份证明书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bCs/>
          <w:sz w:val="24"/>
        </w:rPr>
        <w:t>法定代表人授权委托书</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6、依法缴纳税收承诺书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7、投标人的资格声明</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8、无重大违法记录声明书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9、投标资格证明文件</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10、技术规格偏离表</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11、投标人</w:t>
      </w:r>
      <w:r>
        <w:rPr>
          <w:rFonts w:hint="eastAsia" w:asciiTheme="minorEastAsia" w:hAnsiTheme="minorEastAsia" w:eastAsiaTheme="minorEastAsia" w:cstheme="minorEastAsia"/>
          <w:sz w:val="24"/>
          <w:lang w:eastAsia="zh-CN"/>
        </w:rPr>
        <w:t>2019</w:t>
      </w:r>
      <w:r>
        <w:rPr>
          <w:rFonts w:hint="eastAsia" w:asciiTheme="minorEastAsia" w:hAnsiTheme="minorEastAsia" w:eastAsiaTheme="minorEastAsia" w:cstheme="minorEastAsia"/>
          <w:sz w:val="24"/>
        </w:rPr>
        <w:t>年1月1日至今业绩表</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12、评审中所需资料</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13、投标人认为有必要提供的其他资料</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p>
    <w:p>
      <w:pPr>
        <w:spacing w:line="500" w:lineRule="exact"/>
        <w:ind w:firstLine="470" w:firstLineChars="196"/>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（注：投标人须按磋商要求提供，投标文件应当使用磋商文件所提供投标文件格式（表格可按照同样格式扩展）。未提供格式的，需要时由投标人用文字或者表格、图片等其它形式提供。）</w:t>
      </w:r>
    </w:p>
    <w:p>
      <w:pPr>
        <w:shd w:val="clear" w:color="auto" w:fill="FFFFFF"/>
        <w:spacing w:line="360" w:lineRule="exact"/>
        <w:ind w:right="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br w:type="page"/>
      </w:r>
    </w:p>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附件1</w:t>
      </w:r>
    </w:p>
    <w:p>
      <w:pPr>
        <w:shd w:val="clear" w:color="auto" w:fill="FFFFFF"/>
        <w:spacing w:line="500" w:lineRule="exact"/>
        <w:ind w:right="42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投标承诺书</w:t>
      </w:r>
    </w:p>
    <w:p>
      <w:pPr>
        <w:shd w:val="clear" w:color="auto" w:fill="FFFFFF"/>
        <w:spacing w:line="500" w:lineRule="exact"/>
        <w:ind w:right="420"/>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采购人：</w:t>
      </w:r>
    </w:p>
    <w:p>
      <w:pPr>
        <w:shd w:val="clear" w:color="auto" w:fill="FFFFFF"/>
        <w:spacing w:line="480" w:lineRule="exact"/>
        <w:ind w:left="1" w:firstLine="489" w:firstLineChars="20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我方收到并研究了贵方</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项目的磋商文件，愿意按照磋商文件规定的内容承担该项目的投标任务，严格执行我方所承诺的责任和义务。为此，我方郑重声明以下诸点，并负法律责任。</w:t>
      </w:r>
    </w:p>
    <w:p>
      <w:pPr>
        <w:shd w:val="clear" w:color="auto" w:fill="FFFFFF"/>
        <w:spacing w:line="480" w:lineRule="exact"/>
        <w:ind w:left="1" w:firstLine="489" w:firstLineChars="20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1、我方提交投标文件，正本壹份，副本肆份；我方愿按《中华人民共和国政府采购法》及其他有关法律、法规的规定，自觉履行自己的全部责任。</w:t>
      </w:r>
    </w:p>
    <w:p>
      <w:pPr>
        <w:shd w:val="clear" w:color="auto" w:fill="FFFFFF"/>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2、我方同意在投标有效期内遵守本投标文件，在此期限期满前的任何时间，本投标文件一直对我们具有约束力；</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3、如果我方投标文件被接受，我方将按照磋商文件的规定，我方保证将按磋商要求和投标文件中的承诺按期、按质、按量交付使用方；</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4、如果我方成交，我方将在磋商文件规定的时间内签订委托合同并按磋商要求提供履约担保。如果我方违约，除投标保证金不予退还外，贵方有权终止我方成交并选择其它成交人。</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如果我方成交，我方将在磋商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单位。</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6、一旦我方成交，我方愿意按磋商要求承担磋商代理服务费。</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7、贵方的成交通知书和本投标文件将构成约束双方的合同。</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8、如果我方未成交，贵方没有必要对我方做出任何解释和说明，我方将充分尊重和理解贵方的选择。</w:t>
      </w:r>
    </w:p>
    <w:p>
      <w:pPr>
        <w:shd w:val="clear" w:color="auto" w:fill="FFFFFF"/>
        <w:spacing w:line="480" w:lineRule="exact"/>
        <w:ind w:right="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9、我方的投标文件自提交投标文件截止之日起有效期为</w:t>
      </w:r>
      <w:r>
        <w:rPr>
          <w:rFonts w:hint="eastAsia" w:asciiTheme="minorEastAsia" w:hAnsiTheme="minorEastAsia" w:eastAsiaTheme="minorEastAsia" w:cstheme="minorEastAsia"/>
          <w:sz w:val="24"/>
          <w:u w:val="single"/>
        </w:rPr>
        <w:t xml:space="preserve">  90  </w:t>
      </w:r>
      <w:r>
        <w:rPr>
          <w:rFonts w:hint="eastAsia" w:asciiTheme="minorEastAsia" w:hAnsiTheme="minorEastAsia" w:eastAsiaTheme="minorEastAsia" w:cstheme="minorEastAsia"/>
          <w:sz w:val="24"/>
        </w:rPr>
        <w:t>天。</w:t>
      </w:r>
    </w:p>
    <w:p>
      <w:pPr>
        <w:pStyle w:val="302"/>
        <w:shd w:val="clear" w:color="auto" w:fill="FFFFFF"/>
        <w:snapToGrid w:val="0"/>
        <w:spacing w:line="500" w:lineRule="exact"/>
        <w:ind w:firstLine="21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投标人（盖公章）：</w:t>
      </w:r>
    </w:p>
    <w:p>
      <w:pPr>
        <w:shd w:val="clear" w:color="auto" w:fill="FFFFFF"/>
        <w:spacing w:line="50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spacing w:line="50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adjustRightInd w:val="0"/>
        <w:snapToGrid w:val="0"/>
        <w:spacing w:line="500" w:lineRule="exact"/>
        <w:ind w:right="480"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r>
        <w:rPr>
          <w:rFonts w:hint="eastAsia" w:asciiTheme="minorEastAsia" w:hAnsiTheme="minorEastAsia" w:eastAsiaTheme="minorEastAsia" w:cstheme="minorEastAsia"/>
          <w:sz w:val="24"/>
        </w:rPr>
        <w:br w:type="page"/>
      </w:r>
    </w:p>
    <w:p>
      <w:pPr>
        <w:shd w:val="clear" w:color="auto" w:fill="FFFFFF"/>
        <w:spacing w:line="360" w:lineRule="exact"/>
        <w:ind w:right="42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附件2</w:t>
      </w:r>
    </w:p>
    <w:p>
      <w:pPr>
        <w:shd w:val="clear" w:color="auto" w:fill="FFFFFF"/>
        <w:spacing w:line="500" w:lineRule="exact"/>
        <w:jc w:val="center"/>
        <w:rPr>
          <w:rFonts w:asciiTheme="minorEastAsia" w:hAnsiTheme="minorEastAsia" w:eastAsiaTheme="minorEastAsia" w:cstheme="minorEastAsia"/>
          <w:b/>
          <w:bCs/>
          <w:sz w:val="24"/>
        </w:rPr>
      </w:pPr>
    </w:p>
    <w:p>
      <w:pPr>
        <w:shd w:val="clear" w:color="auto" w:fill="FFFFFF"/>
        <w:spacing w:line="50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开标一览表</w:t>
      </w:r>
    </w:p>
    <w:tbl>
      <w:tblPr>
        <w:tblStyle w:val="57"/>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007"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采购项目编号</w:t>
            </w:r>
          </w:p>
        </w:tc>
        <w:tc>
          <w:tcPr>
            <w:tcW w:w="6007"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投标报价</w:t>
            </w:r>
          </w:p>
        </w:tc>
        <w:tc>
          <w:tcPr>
            <w:tcW w:w="6007" w:type="dxa"/>
            <w:noWrap/>
            <w:vAlign w:val="center"/>
          </w:tcPr>
          <w:p>
            <w:pPr>
              <w:shd w:val="clear" w:color="auto" w:fill="FFFFFF"/>
              <w:spacing w:line="500" w:lineRule="exac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 xml:space="preserve">小写：    </w:t>
            </w:r>
            <w:r>
              <w:rPr>
                <w:rFonts w:hint="eastAsia" w:asciiTheme="minorEastAsia" w:hAnsiTheme="minorEastAsia" w:eastAsiaTheme="minorEastAsia" w:cstheme="minorEastAsia"/>
                <w:sz w:val="24"/>
                <w:lang w:val="zh-CN"/>
              </w:rPr>
              <w:t>元</w:t>
            </w:r>
            <w:r>
              <w:rPr>
                <w:rFonts w:hint="eastAsia" w:asciiTheme="minorEastAsia" w:hAnsiTheme="minorEastAsia" w:eastAsiaTheme="minorEastAsia" w:cstheme="minorEastAsia"/>
                <w:sz w:val="24"/>
                <w:lang w:val="en-US" w:eastAsia="zh-CN"/>
              </w:rPr>
              <w:t>/年</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3373" w:type="dxa"/>
            <w:noWrap/>
            <w:vAlign w:val="center"/>
          </w:tcPr>
          <w:p>
            <w:pPr>
              <w:shd w:val="clear" w:color="auto" w:fill="FFFFFF"/>
              <w:tabs>
                <w:tab w:val="left" w:pos="3780"/>
              </w:tabs>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服务期限</w:t>
            </w:r>
          </w:p>
        </w:tc>
        <w:tc>
          <w:tcPr>
            <w:tcW w:w="6007" w:type="dxa"/>
            <w:noWrap/>
            <w:vAlign w:val="center"/>
          </w:tcPr>
          <w:p>
            <w:pPr>
              <w:shd w:val="clear" w:color="auto" w:fill="FFFFFF"/>
              <w:spacing w:line="500" w:lineRule="exac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yellow"/>
              </w:rPr>
              <w:t>质保期</w:t>
            </w:r>
          </w:p>
        </w:tc>
        <w:tc>
          <w:tcPr>
            <w:tcW w:w="6007" w:type="dxa"/>
            <w:noWrap/>
            <w:vAlign w:val="center"/>
          </w:tcPr>
          <w:p>
            <w:pPr>
              <w:shd w:val="clear" w:color="auto" w:fill="FFFFFF"/>
              <w:tabs>
                <w:tab w:val="left" w:pos="3780"/>
              </w:tabs>
              <w:spacing w:line="50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c>
          <w:tcPr>
            <w:tcW w:w="6007" w:type="dxa"/>
            <w:noWrap/>
            <w:vAlign w:val="center"/>
          </w:tcPr>
          <w:p>
            <w:pPr>
              <w:shd w:val="clear" w:color="auto" w:fill="FFFFFF"/>
              <w:tabs>
                <w:tab w:val="left" w:pos="3780"/>
              </w:tabs>
              <w:spacing w:line="500" w:lineRule="exact"/>
              <w:rPr>
                <w:rFonts w:asciiTheme="minorEastAsia" w:hAnsiTheme="minorEastAsia" w:eastAsiaTheme="minorEastAsia" w:cstheme="minorEastAsia"/>
                <w:sz w:val="24"/>
              </w:rPr>
            </w:pPr>
          </w:p>
        </w:tc>
      </w:tr>
    </w:tbl>
    <w:p>
      <w:pPr>
        <w:shd w:val="clear" w:color="auto" w:fill="FFFFFF"/>
        <w:tabs>
          <w:tab w:val="left" w:pos="3780"/>
        </w:tabs>
        <w:spacing w:line="500" w:lineRule="exact"/>
        <w:rPr>
          <w:rFonts w:asciiTheme="minorEastAsia" w:hAnsiTheme="minorEastAsia" w:eastAsiaTheme="minorEastAsia" w:cstheme="minorEastAsia"/>
          <w:b/>
          <w:bCs/>
          <w:sz w:val="24"/>
        </w:rPr>
      </w:pPr>
    </w:p>
    <w:p>
      <w:pPr>
        <w:shd w:val="clear" w:color="auto" w:fill="FFFFFF"/>
        <w:tabs>
          <w:tab w:val="left" w:pos="3780"/>
        </w:tabs>
        <w:spacing w:line="50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备注：</w:t>
      </w:r>
    </w:p>
    <w:p>
      <w:pPr>
        <w:shd w:val="clear" w:color="auto" w:fill="FFFFFF"/>
        <w:spacing w:line="500" w:lineRule="exact"/>
        <w:ind w:firstLine="489" w:firstLineChars="204"/>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1、供应商如果需要对其它内容加以说明，可在报价说明中填写。</w:t>
      </w:r>
    </w:p>
    <w:p>
      <w:pPr>
        <w:shd w:val="clear" w:color="auto" w:fill="FFFFFF"/>
        <w:spacing w:line="500" w:lineRule="exact"/>
        <w:ind w:firstLine="489" w:firstLineChars="204"/>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b/>
          <w:bCs/>
          <w:sz w:val="24"/>
        </w:rPr>
        <w:t>此表用于开标现场唱标使用，须按磋商要求单独密封、标识提供，否则将按无效标处理。</w:t>
      </w:r>
    </w:p>
    <w:p>
      <w:pPr>
        <w:shd w:val="clear" w:color="auto" w:fill="FFFFFF"/>
        <w:spacing w:line="360" w:lineRule="auto"/>
        <w:ind w:firstLine="489" w:firstLineChars="204"/>
        <w:rPr>
          <w:rFonts w:asciiTheme="minorEastAsia" w:hAnsiTheme="minorEastAsia" w:eastAsiaTheme="minorEastAsia" w:cstheme="minorEastAsia"/>
          <w:sz w:val="24"/>
        </w:rPr>
      </w:pPr>
    </w:p>
    <w:p>
      <w:pPr>
        <w:shd w:val="clear" w:color="auto" w:fill="FFFFFF"/>
        <w:spacing w:line="360" w:lineRule="auto"/>
        <w:ind w:firstLine="489" w:firstLineChars="204"/>
        <w:rPr>
          <w:rFonts w:asciiTheme="minorEastAsia" w:hAnsiTheme="minorEastAsia" w:eastAsiaTheme="minorEastAsia" w:cstheme="minorEastAsia"/>
          <w:sz w:val="24"/>
        </w:rPr>
      </w:pPr>
    </w:p>
    <w:p>
      <w:pPr>
        <w:shd w:val="clear" w:color="auto" w:fill="FFFFFF"/>
        <w:spacing w:line="360" w:lineRule="auto"/>
        <w:ind w:firstLine="489" w:firstLineChars="204"/>
        <w:rPr>
          <w:rFonts w:asciiTheme="minorEastAsia" w:hAnsiTheme="minorEastAsia" w:eastAsiaTheme="minorEastAsia" w:cstheme="minorEastAsia"/>
          <w:sz w:val="24"/>
        </w:rPr>
      </w:pPr>
    </w:p>
    <w:p>
      <w:pPr>
        <w:shd w:val="clear" w:color="auto" w:fill="FFFFFF"/>
        <w:spacing w:line="360" w:lineRule="auto"/>
        <w:ind w:firstLine="489" w:firstLineChars="204"/>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投标人（盖公章）：</w:t>
      </w:r>
    </w:p>
    <w:p>
      <w:pPr>
        <w:shd w:val="clear" w:color="auto" w:fill="FFFFFF"/>
        <w:tabs>
          <w:tab w:val="left" w:pos="37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tabs>
          <w:tab w:val="left" w:pos="37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tabs>
          <w:tab w:val="left" w:pos="37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line="360" w:lineRule="auto"/>
        <w:rPr>
          <w:rFonts w:asciiTheme="minorEastAsia" w:hAnsiTheme="minorEastAsia" w:eastAsiaTheme="minorEastAsia" w:cstheme="minorEastAsia"/>
          <w:b/>
          <w:sz w:val="28"/>
          <w:szCs w:val="28"/>
        </w:rPr>
        <w:sectPr>
          <w:footerReference r:id="rId8" w:type="default"/>
          <w:pgSz w:w="11906" w:h="16838"/>
          <w:pgMar w:top="1440" w:right="1800" w:bottom="1440" w:left="1800" w:header="703" w:footer="851" w:gutter="0"/>
          <w:pgNumType w:fmt="numberInDash"/>
          <w:cols w:space="720" w:num="1"/>
          <w:docGrid w:type="linesAndChars" w:linePitch="314" w:charSpace="0"/>
        </w:sectPr>
      </w:pPr>
    </w:p>
    <w:p>
      <w:pPr>
        <w:shd w:val="clear" w:color="auto" w:fill="FFFFFF"/>
        <w:spacing w:line="50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附件3</w:t>
      </w:r>
    </w:p>
    <w:p>
      <w:pPr>
        <w:shd w:val="clear" w:color="auto" w:fill="FFFFFF"/>
        <w:spacing w:line="500" w:lineRule="exact"/>
        <w:ind w:firstLine="482" w:firstLineChars="200"/>
        <w:jc w:val="center"/>
        <w:rPr>
          <w:rFonts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报价明细表</w:t>
      </w:r>
    </w:p>
    <w:p>
      <w:pPr>
        <w:pStyle w:val="26"/>
        <w:rPr>
          <w:rFonts w:asciiTheme="minorEastAsia" w:hAnsiTheme="minorEastAsia" w:cstheme="minorEastAsia"/>
          <w:color w:val="auto"/>
          <w:sz w:val="24"/>
          <w:szCs w:val="24"/>
        </w:rPr>
      </w:pP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cstheme="minorEastAsia"/>
          <w:b/>
          <w:bCs/>
          <w:sz w:val="24"/>
        </w:rPr>
        <w:t>《报价明细表》的总价必须与《开标一览表》的投标报价一致，如有冲突，以《开标一览表》的投标报价为准</w:t>
      </w:r>
      <w:r>
        <w:rPr>
          <w:rFonts w:hint="eastAsia" w:asciiTheme="minorEastAsia" w:hAnsiTheme="minorEastAsia" w:eastAsiaTheme="minorEastAsia" w:cstheme="minorEastAsia"/>
          <w:b/>
          <w:bCs/>
          <w:sz w:val="24"/>
        </w:rPr>
        <w:t>。）</w:t>
      </w:r>
    </w:p>
    <w:p>
      <w:pPr>
        <w:shd w:val="clear" w:color="auto" w:fill="FFFFFF"/>
        <w:spacing w:line="360" w:lineRule="auto"/>
        <w:ind w:right="420"/>
        <w:jc w:val="left"/>
        <w:rPr>
          <w:rFonts w:asciiTheme="minorEastAsia" w:hAnsiTheme="minorEastAsia" w:eastAsiaTheme="minorEastAsia" w:cstheme="minorEastAsia"/>
          <w:sz w:val="24"/>
        </w:rPr>
      </w:pPr>
    </w:p>
    <w:p>
      <w:pPr>
        <w:pStyle w:val="2"/>
      </w:pPr>
    </w:p>
    <w:p>
      <w:pPr>
        <w:tabs>
          <w:tab w:val="left" w:pos="5838"/>
        </w:tabs>
        <w:jc w:val="left"/>
        <w:sectPr>
          <w:footerReference r:id="rId9" w:type="default"/>
          <w:pgSz w:w="11906" w:h="16838"/>
          <w:pgMar w:top="1440" w:right="1803" w:bottom="1440" w:left="1803" w:header="703" w:footer="850" w:gutter="0"/>
          <w:pgNumType w:fmt="numberInDash"/>
          <w:cols w:space="0" w:num="1"/>
          <w:docGrid w:type="lines" w:linePitch="319" w:charSpace="0"/>
        </w:sectPr>
      </w:pPr>
      <w:r>
        <w:rPr>
          <w:rFonts w:hint="eastAsia"/>
        </w:rPr>
        <w:tab/>
      </w:r>
    </w:p>
    <w:p>
      <w:pPr>
        <w:shd w:val="clear" w:color="auto" w:fill="FFFFFF"/>
        <w:spacing w:line="50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附件4</w:t>
      </w:r>
    </w:p>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法定代表人身份证明书</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单位名称：</w:t>
      </w:r>
    </w:p>
    <w:p>
      <w:pPr>
        <w:shd w:val="clear" w:color="auto" w:fill="FFFFFF"/>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所属行业：</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hd w:val="clear" w:color="auto" w:fill="FFFFFF"/>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营业期限：</w:t>
      </w:r>
    </w:p>
    <w:p>
      <w:pPr>
        <w:shd w:val="clear" w:color="auto" w:fill="FFFFFF"/>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成立时间：</w:t>
      </w:r>
    </w:p>
    <w:p>
      <w:pPr>
        <w:shd w:val="clear" w:color="auto" w:fill="FFFFFF"/>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经营范围：</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    性别：   年龄：     职务：</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（投标人）</w:t>
      </w:r>
      <w:r>
        <w:rPr>
          <w:rFonts w:hint="eastAsia" w:asciiTheme="minorEastAsia" w:hAnsiTheme="minorEastAsia" w:eastAsiaTheme="minorEastAsia" w:cstheme="minorEastAsia"/>
          <w:sz w:val="24"/>
        </w:rPr>
        <w:t>的法定代表人。</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r>
        <w:rPr>
          <w:rFonts w:asciiTheme="minorEastAsia" w:hAnsiTheme="minorEastAsia" w:eastAsiaTheme="minorEastAsia" w:cstheme="minorEastAsia"/>
          <w:sz w:val="24"/>
        </w:rPr>
        <w:pict>
          <v:shape id="文本框 4" o:spid="_x0000_s1026" o:spt="202" type="#_x0000_t202" style="position:absolute;left:0pt;margin-left:-1.5pt;margin-top:12.8pt;height:149.25pt;width:234pt;z-index:251661312;mso-width-relative:page;mso-height-relative:page;"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Theme="minorEastAsia" w:hAnsiTheme="minorEastAsia" w:eastAsiaTheme="minorEastAsia" w:cstheme="minorEastAsia"/>
          <w:sz w:val="24"/>
        </w:rPr>
        <w:pict>
          <v:shape id="文本框 3" o:spid="_x0000_s1029" o:spt="202" type="#_x0000_t202" style="position:absolute;left:0pt;margin-left:249pt;margin-top:12.8pt;height:149.25pt;width:234pt;z-index:251662336;mso-width-relative:page;mso-height-relative:page;"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xDbE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n3PmhKWG33z9cvPtx833z+xp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FqxDbEgCAACWBAAADgAA&#10;AAAAAAABACAAAAAqAQAAZHJzL2Uyb0RvYy54bWxQSwUGAAAAAAYABgBZAQAA5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投标人（盖公章）：</w:t>
      </w:r>
    </w:p>
    <w:p>
      <w:pPr>
        <w:shd w:val="clear" w:color="auto" w:fill="FFFFFF"/>
        <w:spacing w:line="48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法定代表人（签字或盖章）：</w:t>
      </w:r>
    </w:p>
    <w:p>
      <w:pPr>
        <w:shd w:val="clear" w:color="auto" w:fill="FFFFFF"/>
        <w:tabs>
          <w:tab w:val="left" w:pos="3780"/>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hd w:val="clear" w:color="auto" w:fill="FFFFFF"/>
        <w:spacing w:line="500" w:lineRule="exact"/>
        <w:rPr>
          <w:rFonts w:asciiTheme="minorEastAsia" w:hAnsiTheme="minorEastAsia" w:eastAsiaTheme="minorEastAsia" w:cstheme="minorEastAsia"/>
          <w:b/>
          <w:bCs/>
          <w:sz w:val="24"/>
        </w:rPr>
      </w:pPr>
    </w:p>
    <w:p>
      <w:pPr>
        <w:shd w:val="clear" w:color="auto" w:fill="FFFFFF"/>
        <w:spacing w:line="50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r>
        <w:rPr>
          <w:rFonts w:hint="eastAsia" w:asciiTheme="minorEastAsia" w:hAnsiTheme="minorEastAsia" w:eastAsiaTheme="minorEastAsia" w:cstheme="minorEastAsia"/>
          <w:b/>
          <w:bCs/>
          <w:sz w:val="24"/>
        </w:rPr>
        <w:t>附件5</w:t>
      </w:r>
    </w:p>
    <w:p>
      <w:pPr>
        <w:shd w:val="clear" w:color="auto" w:fill="FFFFFF"/>
        <w:spacing w:line="50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法定代表人授权委托书</w:t>
      </w:r>
    </w:p>
    <w:p>
      <w:pPr>
        <w:shd w:val="clear" w:color="auto" w:fill="FFFFFF"/>
        <w:spacing w:line="500" w:lineRule="exact"/>
        <w:jc w:val="center"/>
        <w:rPr>
          <w:rFonts w:asciiTheme="minorEastAsia" w:hAnsiTheme="minorEastAsia" w:eastAsiaTheme="minorEastAsia" w:cstheme="minorEastAsia"/>
          <w:b/>
          <w:bCs/>
          <w:sz w:val="24"/>
        </w:rPr>
      </w:pPr>
    </w:p>
    <w:p>
      <w:pPr>
        <w:shd w:val="clear" w:color="auto" w:fill="FFFFFF"/>
        <w:spacing w:line="500" w:lineRule="exact"/>
        <w:ind w:firstLine="453" w:firstLineChars="189"/>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本授权委托书声明：我系</w:t>
      </w:r>
      <w:r>
        <w:rPr>
          <w:rFonts w:hint="eastAsia" w:asciiTheme="minorEastAsia" w:hAnsiTheme="minorEastAsia" w:eastAsiaTheme="minorEastAsia" w:cstheme="minorEastAsia"/>
          <w:bCs/>
          <w:sz w:val="24"/>
          <w:u w:val="single"/>
        </w:rPr>
        <w:t xml:space="preserve">                             （投标人）</w:t>
      </w:r>
      <w:r>
        <w:rPr>
          <w:rFonts w:hint="eastAsia" w:asciiTheme="minorEastAsia" w:hAnsiTheme="minorEastAsia" w:eastAsiaTheme="minorEastAsia" w:cstheme="minorEastAsia"/>
          <w:bCs/>
          <w:sz w:val="24"/>
        </w:rPr>
        <w:t>的法定代表人，现授权委托</w:t>
      </w:r>
      <w:r>
        <w:rPr>
          <w:rFonts w:hint="eastAsia" w:asciiTheme="minorEastAsia" w:hAnsiTheme="minorEastAsia" w:eastAsiaTheme="minorEastAsia" w:cstheme="minorEastAsia"/>
          <w:bCs/>
          <w:sz w:val="24"/>
          <w:u w:val="single"/>
        </w:rPr>
        <w:t xml:space="preserve">           （投标人）</w:t>
      </w:r>
      <w:r>
        <w:rPr>
          <w:rFonts w:hint="eastAsia" w:asciiTheme="minorEastAsia" w:hAnsiTheme="minorEastAsia" w:eastAsiaTheme="minorEastAsia" w:cstheme="minorEastAsia"/>
          <w:bCs/>
          <w:sz w:val="24"/>
        </w:rPr>
        <w:t>的为我的代理人，以</w:t>
      </w:r>
      <w:r>
        <w:rPr>
          <w:rFonts w:hint="eastAsia" w:asciiTheme="minorEastAsia" w:hAnsiTheme="minorEastAsia" w:eastAsiaTheme="minorEastAsia" w:cstheme="minorEastAsia"/>
          <w:bCs/>
          <w:sz w:val="24"/>
          <w:u w:val="single"/>
        </w:rPr>
        <w:t>（投标人）</w:t>
      </w:r>
      <w:r>
        <w:rPr>
          <w:rFonts w:hint="eastAsia" w:asciiTheme="minorEastAsia" w:hAnsiTheme="minorEastAsia" w:eastAsiaTheme="minorEastAsia" w:cstheme="minorEastAsia"/>
          <w:bCs/>
          <w:sz w:val="24"/>
        </w:rPr>
        <w:t>的名义参加</w:t>
      </w:r>
      <w:r>
        <w:rPr>
          <w:rFonts w:hint="eastAsia" w:asciiTheme="minorEastAsia" w:hAnsiTheme="minorEastAsia" w:eastAsiaTheme="minorEastAsia" w:cstheme="minorEastAsia"/>
          <w:bCs/>
          <w:sz w:val="24"/>
          <w:u w:val="single"/>
        </w:rPr>
        <w:t>（项目名称和项目编号）</w:t>
      </w:r>
      <w:r>
        <w:rPr>
          <w:rFonts w:hint="eastAsia" w:asciiTheme="minorEastAsia" w:hAnsiTheme="minorEastAsia" w:eastAsiaTheme="minorEastAsia" w:cstheme="minorEastAsia"/>
          <w:bCs/>
          <w:sz w:val="24"/>
        </w:rPr>
        <w:t>磋商项目的投标活动。代理人在参加整个磋商投标活动所签署的一切文件和处理与之相关的一切事物，我均予承认。</w:t>
      </w:r>
    </w:p>
    <w:p>
      <w:pPr>
        <w:shd w:val="clear" w:color="auto" w:fill="FFFFFF"/>
        <w:spacing w:line="500" w:lineRule="exact"/>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代理人：   性别：  年龄：</w:t>
      </w:r>
    </w:p>
    <w:p>
      <w:pPr>
        <w:shd w:val="clear" w:color="auto" w:fill="FFFFFF"/>
        <w:spacing w:line="500" w:lineRule="exact"/>
        <w:ind w:firstLine="453" w:firstLineChars="189"/>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部  门：  职务：</w:t>
      </w:r>
    </w:p>
    <w:p>
      <w:pPr>
        <w:shd w:val="clear" w:color="auto" w:fill="FFFFFF"/>
        <w:spacing w:line="360" w:lineRule="exact"/>
        <w:rPr>
          <w:rFonts w:asciiTheme="minorEastAsia" w:hAnsiTheme="minorEastAsia" w:eastAsiaTheme="minorEastAsia" w:cstheme="minorEastAsia"/>
          <w:bCs/>
          <w:sz w:val="24"/>
        </w:rPr>
      </w:pPr>
      <w:r>
        <w:rPr>
          <w:rFonts w:asciiTheme="minorEastAsia" w:hAnsiTheme="minorEastAsia" w:eastAsiaTheme="minorEastAsia" w:cstheme="minorEastAsia"/>
          <w:bCs/>
          <w:sz w:val="24"/>
        </w:rPr>
        <w:pict>
          <v:shape id="文本框 2" o:spid="_x0000_s1028" o:spt="202" type="#_x0000_t202" style="position:absolute;left:0pt;margin-left:-7.3pt;margin-top:9.65pt;height:149.25pt;width:234pt;z-index:251659264;mso-width-relative:page;mso-height-relative:page;"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Theme="minorEastAsia" w:hAnsiTheme="minorEastAsia" w:eastAsiaTheme="minorEastAsia" w:cstheme="minorEastAsia"/>
          <w:bCs/>
          <w:sz w:val="24"/>
        </w:rPr>
        <w:pict>
          <v:shape id="文本框 1" o:spid="_x0000_s1027" o:spt="202" type="#_x0000_t202" style="position:absolute;left:0pt;margin-left:244.7pt;margin-top:9.65pt;height:149.25pt;width:234pt;z-index:251660288;mso-width-relative:page;mso-height-relative:page;"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hd w:val="clear" w:color="auto" w:fill="FFFFFF"/>
        <w:spacing w:line="360" w:lineRule="exact"/>
        <w:rPr>
          <w:rFonts w:asciiTheme="minorEastAsia" w:hAnsiTheme="minorEastAsia" w:eastAsiaTheme="minorEastAsia" w:cstheme="minorEastAsia"/>
          <w:bCs/>
          <w:sz w:val="24"/>
        </w:rPr>
      </w:pPr>
    </w:p>
    <w:p>
      <w:pPr>
        <w:shd w:val="clear" w:color="auto" w:fill="FFFFFF"/>
        <w:spacing w:line="360" w:lineRule="exact"/>
        <w:rPr>
          <w:rFonts w:asciiTheme="minorEastAsia" w:hAnsiTheme="minorEastAsia" w:eastAsiaTheme="minorEastAsia" w:cstheme="minorEastAsia"/>
          <w:bCs/>
          <w:sz w:val="24"/>
        </w:rPr>
      </w:pPr>
    </w:p>
    <w:p>
      <w:pPr>
        <w:shd w:val="clear" w:color="auto" w:fill="FFFFFF"/>
        <w:spacing w:line="360" w:lineRule="exact"/>
        <w:rPr>
          <w:rFonts w:asciiTheme="minorEastAsia" w:hAnsiTheme="minorEastAsia" w:eastAsiaTheme="minorEastAsia" w:cstheme="minorEastAsia"/>
          <w:bCs/>
          <w:sz w:val="24"/>
        </w:rPr>
      </w:pPr>
    </w:p>
    <w:p>
      <w:pPr>
        <w:shd w:val="clear" w:color="auto" w:fill="FFFFFF"/>
        <w:spacing w:line="360" w:lineRule="exact"/>
        <w:rPr>
          <w:rFonts w:asciiTheme="minorEastAsia" w:hAnsiTheme="minorEastAsia" w:eastAsiaTheme="minorEastAsia" w:cstheme="minorEastAsia"/>
          <w:bCs/>
          <w:sz w:val="24"/>
        </w:rPr>
      </w:pPr>
    </w:p>
    <w:p>
      <w:pPr>
        <w:shd w:val="clear" w:color="auto" w:fill="FFFFFF"/>
        <w:spacing w:line="360" w:lineRule="exact"/>
        <w:rPr>
          <w:rFonts w:asciiTheme="minorEastAsia" w:hAnsiTheme="minorEastAsia" w:eastAsiaTheme="minorEastAsia" w:cstheme="minorEastAsia"/>
          <w:bCs/>
          <w:sz w:val="24"/>
        </w:rPr>
      </w:pPr>
    </w:p>
    <w:p>
      <w:pPr>
        <w:shd w:val="clear" w:color="auto" w:fill="FFFFFF"/>
        <w:spacing w:line="360" w:lineRule="exact"/>
        <w:rPr>
          <w:rFonts w:asciiTheme="minorEastAsia" w:hAnsiTheme="minorEastAsia" w:eastAsiaTheme="minorEastAsia" w:cstheme="minorEastAsia"/>
          <w:bCs/>
          <w:sz w:val="24"/>
        </w:rPr>
      </w:pPr>
    </w:p>
    <w:p>
      <w:pPr>
        <w:pStyle w:val="302"/>
        <w:shd w:val="clear" w:color="auto" w:fill="FFFFFF"/>
        <w:snapToGrid w:val="0"/>
        <w:spacing w:line="360" w:lineRule="exact"/>
        <w:ind w:firstLine="210"/>
        <w:rPr>
          <w:rFonts w:asciiTheme="minorEastAsia" w:hAnsiTheme="minorEastAsia" w:eastAsiaTheme="minorEastAsia" w:cstheme="minorEastAsia"/>
          <w:color w:val="auto"/>
          <w:sz w:val="24"/>
        </w:rPr>
      </w:pPr>
    </w:p>
    <w:p>
      <w:pPr>
        <w:pStyle w:val="302"/>
        <w:shd w:val="clear" w:color="auto" w:fill="FFFFFF"/>
        <w:snapToGrid w:val="0"/>
        <w:spacing w:line="360" w:lineRule="exact"/>
        <w:ind w:firstLine="210"/>
        <w:rPr>
          <w:rFonts w:asciiTheme="minorEastAsia" w:hAnsiTheme="minorEastAsia" w:eastAsiaTheme="minorEastAsia" w:cstheme="minorEastAsia"/>
          <w:color w:val="auto"/>
          <w:sz w:val="24"/>
        </w:rPr>
      </w:pPr>
    </w:p>
    <w:p>
      <w:pPr>
        <w:pStyle w:val="302"/>
        <w:shd w:val="clear" w:color="auto" w:fill="FFFFFF"/>
        <w:snapToGrid w:val="0"/>
        <w:spacing w:line="500" w:lineRule="exact"/>
        <w:ind w:firstLine="210"/>
        <w:rPr>
          <w:rFonts w:asciiTheme="minorEastAsia" w:hAnsiTheme="minorEastAsia" w:eastAsiaTheme="minorEastAsia" w:cstheme="minorEastAsia"/>
          <w:color w:val="auto"/>
          <w:sz w:val="24"/>
        </w:rPr>
      </w:pPr>
    </w:p>
    <w:p>
      <w:pPr>
        <w:pStyle w:val="302"/>
        <w:shd w:val="clear" w:color="auto" w:fill="FFFFFF"/>
        <w:snapToGrid w:val="0"/>
        <w:spacing w:line="48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投标人（盖公章）：</w:t>
      </w: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spacing w:line="480" w:lineRule="auto"/>
        <w:rPr>
          <w:rFonts w:asciiTheme="minorEastAsia" w:hAnsiTheme="minorEastAsia" w:eastAsiaTheme="minorEastAsia" w:cstheme="minorEastAsia"/>
          <w:sz w:val="24"/>
        </w:rPr>
      </w:pPr>
    </w:p>
    <w:p>
      <w:pPr>
        <w:shd w:val="clear" w:color="auto" w:fill="FFFFFF"/>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附件6</w:t>
      </w:r>
    </w:p>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依法缴纳税收承诺书</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我单位自</w:t>
      </w:r>
      <w:r>
        <w:rPr>
          <w:rFonts w:hint="eastAsia" w:asciiTheme="minorEastAsia" w:hAnsiTheme="minorEastAsia" w:eastAsiaTheme="minorEastAsia" w:cstheme="minorEastAsia"/>
          <w:sz w:val="24"/>
          <w:lang w:eastAsia="zh-CN"/>
        </w:rPr>
        <w:t>2019</w:t>
      </w:r>
      <w:r>
        <w:rPr>
          <w:rFonts w:hint="eastAsia" w:asciiTheme="minorEastAsia" w:hAnsiTheme="minorEastAsia" w:eastAsiaTheme="minorEastAsia" w:cstheme="minorEastAsia"/>
          <w:sz w:val="24"/>
        </w:rPr>
        <w:t>年1月1日至今已依法足额缴纳各项税款，符合《中华人民共和国政府采购法》第二十二条中第四项依法缴纳税收的规定。</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我单位保证以上陈述真实，如有不符，视为提供虚假资料谋取成交，我单位愿承担相应法律责任。</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hd w:val="clear" w:color="auto" w:fill="FFFFFF"/>
        <w:spacing w:line="500" w:lineRule="exact"/>
        <w:jc w:val="right"/>
        <w:rPr>
          <w:rFonts w:asciiTheme="minorEastAsia" w:hAnsiTheme="minorEastAsia" w:eastAsiaTheme="minorEastAsia" w:cstheme="minorEastAsia"/>
          <w:sz w:val="24"/>
        </w:rPr>
      </w:pPr>
    </w:p>
    <w:p>
      <w:pPr>
        <w:shd w:val="clear" w:color="auto" w:fill="FFFFFF"/>
        <w:spacing w:line="500" w:lineRule="exact"/>
        <w:jc w:val="right"/>
        <w:rPr>
          <w:rFonts w:asciiTheme="minorEastAsia" w:hAnsiTheme="minorEastAsia" w:eastAsiaTheme="minorEastAsia" w:cstheme="minorEastAsia"/>
          <w:sz w:val="24"/>
        </w:rPr>
      </w:pPr>
    </w:p>
    <w:p>
      <w:pPr>
        <w:shd w:val="clear" w:color="auto" w:fill="FFFFFF"/>
        <w:spacing w:line="500" w:lineRule="exact"/>
        <w:jc w:val="right"/>
        <w:rPr>
          <w:rFonts w:asciiTheme="minorEastAsia" w:hAnsiTheme="minorEastAsia" w:eastAsiaTheme="minorEastAsia" w:cstheme="minorEastAsia"/>
          <w:sz w:val="24"/>
        </w:rPr>
      </w:pPr>
    </w:p>
    <w:p>
      <w:pPr>
        <w:shd w:val="clear" w:color="auto" w:fill="FFFFFF"/>
        <w:spacing w:line="500" w:lineRule="exact"/>
        <w:jc w:val="right"/>
        <w:rPr>
          <w:rFonts w:asciiTheme="minorEastAsia" w:hAnsiTheme="minorEastAsia" w:eastAsiaTheme="minorEastAsia" w:cstheme="minorEastAsia"/>
          <w:sz w:val="24"/>
        </w:rPr>
      </w:pPr>
    </w:p>
    <w:p>
      <w:pPr>
        <w:shd w:val="clear" w:color="auto" w:fill="FFFFFF"/>
        <w:spacing w:line="500" w:lineRule="exact"/>
        <w:jc w:val="righ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承诺人（盖公章）：</w:t>
      </w:r>
      <w:r>
        <w:rPr>
          <w:rFonts w:hint="eastAsia" w:asciiTheme="minorEastAsia" w:hAnsiTheme="minorEastAsia" w:eastAsiaTheme="minorEastAsia" w:cstheme="minorEastAsia"/>
          <w:sz w:val="24"/>
          <w:u w:val="single"/>
        </w:rPr>
        <w:t xml:space="preserve">     （投标单位全称）</w:t>
      </w:r>
    </w:p>
    <w:p>
      <w:pPr>
        <w:shd w:val="clear" w:color="auto" w:fill="FFFFFF"/>
        <w:spacing w:line="500" w:lineRule="exact"/>
        <w:jc w:val="right"/>
        <w:rPr>
          <w:rFonts w:asciiTheme="minorEastAsia" w:hAnsiTheme="minorEastAsia" w:eastAsiaTheme="minorEastAsia" w:cstheme="minorEastAsia"/>
          <w:sz w:val="24"/>
          <w:u w:val="single"/>
        </w:rPr>
      </w:pPr>
    </w:p>
    <w:p>
      <w:pPr>
        <w:shd w:val="clear" w:color="auto" w:fill="FFFFFF"/>
        <w:wordWrap w:val="0"/>
        <w:spacing w:line="500" w:lineRule="exact"/>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日期：   年    月    日</w:t>
      </w:r>
    </w:p>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附件7</w:t>
      </w:r>
    </w:p>
    <w:p>
      <w:pPr>
        <w:shd w:val="clear" w:color="auto" w:fill="FFFFFF"/>
        <w:spacing w:line="50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投标人的资格声明</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（采购人）</w:t>
      </w:r>
      <w:r>
        <w:rPr>
          <w:rFonts w:hint="eastAsia" w:asciiTheme="minorEastAsia" w:hAnsiTheme="minorEastAsia" w:eastAsiaTheme="minorEastAsia" w:cstheme="minorEastAsia"/>
          <w:sz w:val="24"/>
        </w:rPr>
        <w:t>：</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关于贵方发出的采购文件，本投标人愿意参加投标，并证明资格文件中和所要求的说明是真实和准确无误的。</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本投标人对可能要求的进一步的资格资料表示理解和同意，并同意按贵方的要求提供任何有关资料。</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投标人（盖公章）：</w:t>
      </w: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hd w:val="clear" w:color="auto" w:fill="FFFFFF"/>
        <w:tabs>
          <w:tab w:val="left" w:pos="9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b/>
      </w:r>
    </w:p>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附件8</w:t>
      </w:r>
    </w:p>
    <w:p>
      <w:pPr>
        <w:shd w:val="clear" w:color="auto" w:fill="FFFFFF"/>
        <w:tabs>
          <w:tab w:val="left" w:pos="996"/>
        </w:tabs>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无重大违法记录声明书</w:t>
      </w:r>
    </w:p>
    <w:p>
      <w:pPr>
        <w:shd w:val="clear" w:color="auto" w:fill="FFFFFF"/>
        <w:tabs>
          <w:tab w:val="left" w:pos="996"/>
        </w:tabs>
        <w:spacing w:line="500" w:lineRule="exact"/>
        <w:rPr>
          <w:rFonts w:asciiTheme="minorEastAsia" w:hAnsiTheme="minorEastAsia" w:eastAsiaTheme="minorEastAsia" w:cstheme="minorEastAsia"/>
          <w:sz w:val="24"/>
        </w:rPr>
      </w:pPr>
    </w:p>
    <w:p>
      <w:pPr>
        <w:shd w:val="clear" w:color="auto" w:fill="FFFFFF"/>
        <w:tabs>
          <w:tab w:val="left" w:pos="996"/>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（采购人）         </w:t>
      </w:r>
      <w:r>
        <w:rPr>
          <w:rFonts w:hint="eastAsia" w:asciiTheme="minorEastAsia" w:hAnsiTheme="minorEastAsia" w:eastAsiaTheme="minorEastAsia" w:cstheme="minorEastAsia"/>
          <w:sz w:val="24"/>
        </w:rPr>
        <w:t>：</w:t>
      </w:r>
    </w:p>
    <w:p>
      <w:pPr>
        <w:shd w:val="clear" w:color="auto" w:fill="FFFFFF"/>
        <w:tabs>
          <w:tab w:val="left" w:pos="996"/>
        </w:tabs>
        <w:spacing w:line="500" w:lineRule="exact"/>
        <w:rPr>
          <w:rFonts w:asciiTheme="minorEastAsia" w:hAnsiTheme="minorEastAsia" w:eastAsiaTheme="minorEastAsia" w:cstheme="minorEastAsia"/>
          <w:sz w:val="24"/>
        </w:rPr>
      </w:pPr>
    </w:p>
    <w:p>
      <w:pPr>
        <w:shd w:val="clear" w:color="auto" w:fill="FFFFFF"/>
        <w:tabs>
          <w:tab w:val="left" w:pos="996"/>
        </w:tabs>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我公司参与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名称、项目编号）磋商投标活动，本公司郑重声明，我方参加本项目政府采购活动前三年内无重大违法记录，符合《政府采购法》规定的投标人条件。若贵方在本项目磋商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特此声明  </w:t>
      </w:r>
    </w:p>
    <w:p>
      <w:pPr>
        <w:shd w:val="clear" w:color="auto" w:fill="FFFFFF"/>
        <w:tabs>
          <w:tab w:val="left" w:pos="996"/>
        </w:tabs>
        <w:spacing w:line="500" w:lineRule="exact"/>
        <w:rPr>
          <w:rFonts w:asciiTheme="minorEastAsia" w:hAnsiTheme="minorEastAsia" w:eastAsiaTheme="minorEastAsia" w:cstheme="minorEastAsia"/>
          <w:sz w:val="24"/>
        </w:rPr>
      </w:pPr>
    </w:p>
    <w:p>
      <w:pPr>
        <w:shd w:val="clear" w:color="auto" w:fill="FFFFFF"/>
        <w:tabs>
          <w:tab w:val="left" w:pos="9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投标人（盖公章）：</w:t>
      </w:r>
    </w:p>
    <w:p>
      <w:pPr>
        <w:shd w:val="clear" w:color="auto" w:fill="FFFFFF"/>
        <w:tabs>
          <w:tab w:val="left" w:pos="9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tabs>
          <w:tab w:val="left" w:pos="9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tabs>
          <w:tab w:val="left" w:pos="9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日期：年月日</w:t>
      </w:r>
    </w:p>
    <w:p>
      <w:pPr>
        <w:shd w:val="clear" w:color="auto" w:fill="FFFFFF"/>
        <w:tabs>
          <w:tab w:val="left" w:pos="996"/>
        </w:tabs>
        <w:spacing w:line="500" w:lineRule="exact"/>
        <w:rPr>
          <w:rFonts w:asciiTheme="minorEastAsia" w:hAnsiTheme="minorEastAsia" w:eastAsiaTheme="minorEastAsia" w:cstheme="minorEastAsia"/>
          <w:sz w:val="24"/>
        </w:rPr>
      </w:pPr>
    </w:p>
    <w:p>
      <w:pPr>
        <w:shd w:val="clear" w:color="auto" w:fill="FFFFFF"/>
        <w:tabs>
          <w:tab w:val="left" w:pos="996"/>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注：[近三年：指成立三年以上的，为提交首次投标文件截止时间前三年内；成立不足三年的，为实际时间。]</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br w:type="page"/>
      </w: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附件9</w:t>
      </w:r>
    </w:p>
    <w:p>
      <w:pPr>
        <w:widowControl/>
        <w:jc w:val="left"/>
        <w:rPr>
          <w:rFonts w:asciiTheme="minorEastAsia" w:hAnsiTheme="minorEastAsia" w:eastAsiaTheme="minorEastAsia" w:cstheme="minorEastAsia"/>
          <w:b/>
          <w:bCs/>
          <w:sz w:val="24"/>
        </w:rPr>
      </w:pPr>
    </w:p>
    <w:p>
      <w:pPr>
        <w:widowControl/>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投标资格证明文件</w:t>
      </w:r>
    </w:p>
    <w:p>
      <w:pPr>
        <w:widowControl/>
        <w:jc w:val="center"/>
        <w:rPr>
          <w:rFonts w:asciiTheme="minorEastAsia" w:hAnsiTheme="minorEastAsia" w:eastAsiaTheme="minorEastAsia" w:cstheme="minorEastAsia"/>
          <w:b/>
          <w:bCs/>
          <w:sz w:val="24"/>
        </w:rPr>
      </w:pP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提供以下证明资料（但不限于）：</w:t>
      </w:r>
    </w:p>
    <w:p>
      <w:pPr>
        <w:pStyle w:val="604"/>
        <w:widowControl/>
        <w:numPr>
          <w:ilvl w:val="0"/>
          <w:numId w:val="15"/>
        </w:numPr>
        <w:spacing w:line="480" w:lineRule="auto"/>
        <w:ind w:firstLineChars="0"/>
        <w:rPr>
          <w:rFonts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营业执照；</w:t>
      </w:r>
    </w:p>
    <w:p>
      <w:pPr>
        <w:pStyle w:val="604"/>
        <w:widowControl/>
        <w:numPr>
          <w:ilvl w:val="0"/>
          <w:numId w:val="15"/>
        </w:numPr>
        <w:spacing w:line="480" w:lineRule="auto"/>
        <w:ind w:firstLineChars="0"/>
        <w:rPr>
          <w:rFonts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信用信息查询截图；</w:t>
      </w:r>
    </w:p>
    <w:p>
      <w:pPr>
        <w:pStyle w:val="604"/>
        <w:widowControl/>
        <w:numPr>
          <w:ilvl w:val="0"/>
          <w:numId w:val="15"/>
        </w:numPr>
        <w:spacing w:line="480" w:lineRule="auto"/>
        <w:ind w:firstLineChars="0"/>
        <w:rPr>
          <w:rFonts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投标保证金缴纳凭证。</w:t>
      </w:r>
    </w:p>
    <w:p>
      <w:pPr>
        <w:widowControl/>
        <w:spacing w:line="360" w:lineRule="auto"/>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bookmarkStart w:id="31" w:name="_Toc520282777"/>
      <w:r>
        <w:rPr>
          <w:rFonts w:hint="eastAsia" w:asciiTheme="minorEastAsia" w:hAnsiTheme="minorEastAsia" w:eastAsiaTheme="minorEastAsia" w:cstheme="minorEastAsia"/>
          <w:b/>
          <w:bCs/>
          <w:sz w:val="24"/>
        </w:rPr>
        <w:t>附件10</w:t>
      </w:r>
    </w:p>
    <w:p>
      <w:pPr>
        <w:widowControl/>
        <w:jc w:val="center"/>
        <w:rPr>
          <w:rFonts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技术规格偏离表</w:t>
      </w:r>
      <w:bookmarkEnd w:id="31"/>
    </w:p>
    <w:p>
      <w:pPr>
        <w:tabs>
          <w:tab w:val="left" w:pos="3226"/>
        </w:tabs>
        <w:autoSpaceDE w:val="0"/>
        <w:autoSpaceDN w:val="0"/>
        <w:adjustRightInd w:val="0"/>
        <w:spacing w:before="43"/>
        <w:ind w:right="420"/>
        <w:jc w:val="center"/>
        <w:outlineLvl w:val="0"/>
        <w:rPr>
          <w:rFonts w:asciiTheme="minorEastAsia" w:hAnsiTheme="minorEastAsia" w:eastAsiaTheme="minorEastAsia" w:cstheme="minorEastAsia"/>
          <w:b/>
          <w:bCs/>
          <w:kern w:val="0"/>
          <w:szCs w:val="21"/>
          <w:lang w:val="zh-CN"/>
        </w:rPr>
      </w:pP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                             采购项目编号：</w:t>
      </w:r>
    </w:p>
    <w:p>
      <w:pPr>
        <w:shd w:val="clear" w:color="auto" w:fill="FFFFFF"/>
        <w:spacing w:line="500" w:lineRule="exact"/>
        <w:ind w:firstLine="420" w:firstLineChars="200"/>
        <w:rPr>
          <w:rFonts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kern w:val="0"/>
          <w:szCs w:val="21"/>
          <w:lang w:val="zh-CN"/>
        </w:rPr>
        <w:tab/>
      </w:r>
    </w:p>
    <w:tbl>
      <w:tblPr>
        <w:tblStyle w:val="57"/>
        <w:tblW w:w="8413" w:type="dxa"/>
        <w:tblInd w:w="264" w:type="dxa"/>
        <w:tblLayout w:type="fixed"/>
        <w:tblCellMar>
          <w:top w:w="0" w:type="dxa"/>
          <w:left w:w="0" w:type="dxa"/>
          <w:bottom w:w="0" w:type="dxa"/>
          <w:right w:w="0" w:type="dxa"/>
        </w:tblCellMar>
      </w:tblPr>
      <w:tblGrid>
        <w:gridCol w:w="828"/>
        <w:gridCol w:w="1260"/>
        <w:gridCol w:w="2080"/>
        <w:gridCol w:w="1845"/>
        <w:gridCol w:w="1455"/>
        <w:gridCol w:w="945"/>
      </w:tblGrid>
      <w:tr>
        <w:tblPrEx>
          <w:tblLayout w:type="fixed"/>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172"/>
              <w:jc w:val="center"/>
              <w:outlineLvl w:val="0"/>
              <w:rPr>
                <w:rFonts w:asciiTheme="minorEastAsia" w:hAnsiTheme="minorEastAsia" w:eastAsiaTheme="minorEastAsia" w:cstheme="minorEastAsia"/>
                <w:kern w:val="0"/>
                <w:sz w:val="24"/>
                <w:lang w:val="zh-CN"/>
              </w:rPr>
            </w:pPr>
            <w:bookmarkStart w:id="32" w:name="_Toc520282779"/>
            <w:r>
              <w:rPr>
                <w:rFonts w:hint="eastAsia" w:asciiTheme="minorEastAsia" w:hAnsiTheme="minorEastAsia" w:eastAsiaTheme="minorEastAsia" w:cstheme="minorEastAsia"/>
                <w:kern w:val="0"/>
                <w:sz w:val="24"/>
                <w:lang w:val="zh-CN"/>
              </w:rPr>
              <w:t>序号</w:t>
            </w:r>
            <w:bookmarkEnd w:id="32"/>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148"/>
              <w:jc w:val="center"/>
              <w:outlineLvl w:val="0"/>
              <w:rPr>
                <w:rFonts w:asciiTheme="minorEastAsia" w:hAnsiTheme="minorEastAsia" w:eastAsiaTheme="minorEastAsia" w:cstheme="minorEastAsia"/>
                <w:kern w:val="0"/>
                <w:sz w:val="24"/>
                <w:lang w:val="zh-CN"/>
              </w:rPr>
            </w:pPr>
            <w:bookmarkStart w:id="33" w:name="_Toc520282780"/>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lang w:val="zh-CN"/>
              </w:rPr>
              <w:t>名称</w:t>
            </w:r>
            <w:bookmarkEnd w:id="33"/>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463"/>
              <w:jc w:val="center"/>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磋商规格</w:t>
            </w: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148"/>
              <w:jc w:val="center"/>
              <w:outlineLvl w:val="0"/>
              <w:rPr>
                <w:rFonts w:asciiTheme="minorEastAsia" w:hAnsiTheme="minorEastAsia" w:eastAsiaTheme="minorEastAsia" w:cstheme="minorEastAsia"/>
                <w:kern w:val="0"/>
                <w:sz w:val="24"/>
                <w:lang w:val="zh-CN"/>
              </w:rPr>
            </w:pPr>
            <w:bookmarkStart w:id="34" w:name="_Toc520282783"/>
            <w:r>
              <w:rPr>
                <w:rFonts w:hint="eastAsia" w:asciiTheme="minorEastAsia" w:hAnsiTheme="minorEastAsia" w:eastAsiaTheme="minorEastAsia" w:cstheme="minorEastAsia"/>
                <w:kern w:val="0"/>
                <w:sz w:val="24"/>
                <w:lang w:val="zh-CN"/>
              </w:rPr>
              <w:t>投标规格</w:t>
            </w:r>
            <w:bookmarkEnd w:id="34"/>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208"/>
              <w:jc w:val="center"/>
              <w:outlineLvl w:val="0"/>
              <w:rPr>
                <w:rFonts w:asciiTheme="minorEastAsia" w:hAnsiTheme="minorEastAsia" w:eastAsiaTheme="minorEastAsia" w:cstheme="minorEastAsia"/>
                <w:kern w:val="0"/>
                <w:sz w:val="24"/>
              </w:rPr>
            </w:pPr>
            <w:bookmarkStart w:id="35" w:name="_Toc520282784"/>
            <w:r>
              <w:rPr>
                <w:rFonts w:hint="eastAsia" w:asciiTheme="minorEastAsia" w:hAnsiTheme="minorEastAsia" w:eastAsiaTheme="minorEastAsia" w:cstheme="minorEastAsia"/>
                <w:kern w:val="0"/>
                <w:sz w:val="24"/>
                <w:lang w:val="zh-CN"/>
              </w:rPr>
              <w:t>偏离</w:t>
            </w:r>
            <w:bookmarkEnd w:id="35"/>
            <w:r>
              <w:rPr>
                <w:rFonts w:hint="eastAsia" w:asciiTheme="minorEastAsia" w:hAnsiTheme="minorEastAsia" w:eastAsiaTheme="minorEastAsia" w:cstheme="minorEastAsia"/>
                <w:kern w:val="0"/>
                <w:sz w:val="24"/>
              </w:rPr>
              <w:t>/响应</w:t>
            </w: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208"/>
              <w:jc w:val="center"/>
              <w:outlineLvl w:val="0"/>
              <w:rPr>
                <w:rFonts w:asciiTheme="minorEastAsia" w:hAnsiTheme="minorEastAsia" w:eastAsiaTheme="minorEastAsia" w:cstheme="minorEastAsia"/>
                <w:kern w:val="0"/>
                <w:sz w:val="24"/>
                <w:lang w:val="zh-CN"/>
              </w:rPr>
            </w:pPr>
            <w:bookmarkStart w:id="36" w:name="_Toc520282785"/>
            <w:r>
              <w:rPr>
                <w:rFonts w:hint="eastAsia" w:asciiTheme="minorEastAsia" w:hAnsiTheme="minorEastAsia" w:eastAsiaTheme="minorEastAsia" w:cstheme="minorEastAsia"/>
                <w:kern w:val="0"/>
                <w:sz w:val="24"/>
                <w:lang w:val="zh-CN"/>
              </w:rPr>
              <w:t>说明</w:t>
            </w:r>
            <w:bookmarkEnd w:id="36"/>
          </w:p>
        </w:tc>
      </w:tr>
      <w:tr>
        <w:tblPrEx>
          <w:tblLayout w:type="fixed"/>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bl>
    <w:p>
      <w:pPr>
        <w:shd w:val="clear" w:color="auto" w:fill="FFFFFF"/>
        <w:tabs>
          <w:tab w:val="left" w:pos="996"/>
        </w:tabs>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投标人（盖公章）：</w:t>
      </w:r>
    </w:p>
    <w:p>
      <w:pPr>
        <w:shd w:val="clear" w:color="auto" w:fill="FFFFFF"/>
        <w:tabs>
          <w:tab w:val="left" w:pos="996"/>
        </w:tabs>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tabs>
          <w:tab w:val="left" w:pos="996"/>
        </w:tabs>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w:t>
      </w: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1、投标人应对照磋商文件技术参数内容，说明所提供产品已对磋商文件的技术参数做出了响应或偏离（正负偏离情况），投标人必须提供所投产品的具体参数；</w:t>
      </w: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2、以上响应/偏离内容应在说明栏中注明该条在投标文件中相关部分（或页码）有相应的依据；</w:t>
      </w: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3、投标人所投产品如与磋商文件要求的技术参数不一致，则需在上表说明栏中注明</w:t>
      </w:r>
      <w:bookmarkStart w:id="37" w:name="_Toc136162860"/>
      <w:r>
        <w:rPr>
          <w:rFonts w:hint="eastAsia" w:asciiTheme="minorEastAsia" w:hAnsiTheme="minorEastAsia" w:eastAsiaTheme="minorEastAsia" w:cstheme="minorEastAsia"/>
          <w:bCs/>
          <w:sz w:val="24"/>
        </w:rPr>
        <w:t>；</w:t>
      </w: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4、如不按要求填写，产生的一切后果由投标人负责。</w:t>
      </w:r>
      <w:bookmarkEnd w:id="37"/>
    </w:p>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附件11</w:t>
      </w:r>
    </w:p>
    <w:p>
      <w:pPr>
        <w:shd w:val="clear" w:color="auto" w:fill="FFFFFF"/>
        <w:spacing w:line="50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投标人</w:t>
      </w:r>
      <w:r>
        <w:rPr>
          <w:rFonts w:hint="eastAsia" w:asciiTheme="minorEastAsia" w:hAnsiTheme="minorEastAsia" w:eastAsiaTheme="minorEastAsia" w:cstheme="minorEastAsia"/>
          <w:b/>
          <w:sz w:val="24"/>
          <w:lang w:eastAsia="zh-CN"/>
        </w:rPr>
        <w:t>2019</w:t>
      </w:r>
      <w:r>
        <w:rPr>
          <w:rFonts w:hint="eastAsia" w:asciiTheme="minorEastAsia" w:hAnsiTheme="minorEastAsia" w:eastAsiaTheme="minorEastAsia" w:cstheme="minorEastAsia"/>
          <w:b/>
          <w:sz w:val="24"/>
        </w:rPr>
        <w:t>年1月1日至今类似项目业绩</w:t>
      </w:r>
    </w:p>
    <w:tbl>
      <w:tblPr>
        <w:tblStyle w:val="57"/>
        <w:tblW w:w="8794" w:type="dxa"/>
        <w:tblInd w:w="-459" w:type="dxa"/>
        <w:tblLayout w:type="fixed"/>
        <w:tblCellMar>
          <w:top w:w="0" w:type="dxa"/>
          <w:left w:w="108" w:type="dxa"/>
          <w:bottom w:w="0" w:type="dxa"/>
          <w:right w:w="108" w:type="dxa"/>
        </w:tblCellMar>
      </w:tblPr>
      <w:tblGrid>
        <w:gridCol w:w="1572"/>
        <w:gridCol w:w="1736"/>
        <w:gridCol w:w="1038"/>
        <w:gridCol w:w="1736"/>
        <w:gridCol w:w="1229"/>
        <w:gridCol w:w="1483"/>
      </w:tblGrid>
      <w:tr>
        <w:tblPrEx>
          <w:tblLayout w:type="fixed"/>
          <w:tblCellMar>
            <w:top w:w="0" w:type="dxa"/>
            <w:left w:w="108" w:type="dxa"/>
            <w:bottom w:w="0" w:type="dxa"/>
            <w:right w:w="108" w:type="dxa"/>
          </w:tblCellMar>
        </w:tblPrEx>
        <w:trPr>
          <w:trHeight w:val="1355"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采购单位</w:t>
            </w: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bookmarkStart w:id="38" w:name="_Toc520282834"/>
            <w:r>
              <w:rPr>
                <w:rFonts w:hint="eastAsia" w:asciiTheme="minorEastAsia" w:hAnsiTheme="minorEastAsia" w:eastAsiaTheme="minorEastAsia" w:cstheme="minorEastAsia"/>
                <w:kern w:val="0"/>
                <w:sz w:val="24"/>
                <w:lang w:val="zh-CN"/>
              </w:rPr>
              <w:t>项目名称及供货地点</w:t>
            </w:r>
            <w:bookmarkEnd w:id="38"/>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bookmarkStart w:id="39" w:name="_Toc520282835"/>
            <w:r>
              <w:rPr>
                <w:rFonts w:hint="eastAsia" w:asciiTheme="minorEastAsia" w:hAnsiTheme="minorEastAsia" w:eastAsiaTheme="minorEastAsia" w:cstheme="minorEastAsia"/>
                <w:kern w:val="0"/>
                <w:sz w:val="24"/>
                <w:lang w:val="zh-CN"/>
              </w:rPr>
              <w:t>数量</w:t>
            </w:r>
            <w:bookmarkEnd w:id="39"/>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bookmarkStart w:id="40" w:name="_Toc520282837"/>
            <w:r>
              <w:rPr>
                <w:rFonts w:hint="eastAsia" w:asciiTheme="minorEastAsia" w:hAnsiTheme="minorEastAsia" w:eastAsiaTheme="minorEastAsia" w:cstheme="minorEastAsia"/>
                <w:kern w:val="0"/>
                <w:sz w:val="24"/>
                <w:lang w:val="zh-CN"/>
              </w:rPr>
              <w:t>合同</w:t>
            </w:r>
            <w:bookmarkEnd w:id="40"/>
            <w:bookmarkStart w:id="41" w:name="_Toc520282838"/>
            <w:r>
              <w:rPr>
                <w:rFonts w:hint="eastAsia" w:asciiTheme="minorEastAsia" w:hAnsiTheme="minorEastAsia" w:eastAsiaTheme="minorEastAsia" w:cstheme="minorEastAsia"/>
                <w:kern w:val="0"/>
                <w:sz w:val="24"/>
                <w:lang w:val="zh-CN"/>
              </w:rPr>
              <w:t>价款</w:t>
            </w:r>
            <w:bookmarkEnd w:id="41"/>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bookmarkStart w:id="42" w:name="_Toc520282839"/>
            <w:r>
              <w:rPr>
                <w:rFonts w:hint="eastAsia" w:asciiTheme="minorEastAsia" w:hAnsiTheme="minorEastAsia" w:eastAsiaTheme="minorEastAsia" w:cstheme="minorEastAsia"/>
                <w:kern w:val="0"/>
                <w:sz w:val="24"/>
                <w:lang w:val="zh-CN"/>
              </w:rPr>
              <w:t>质量</w:t>
            </w:r>
            <w:bookmarkEnd w:id="42"/>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bookmarkStart w:id="43" w:name="_Toc520282840"/>
            <w:r>
              <w:rPr>
                <w:rFonts w:hint="eastAsia" w:asciiTheme="minorEastAsia" w:hAnsiTheme="minorEastAsia" w:eastAsiaTheme="minorEastAsia" w:cstheme="minorEastAsia"/>
                <w:kern w:val="0"/>
                <w:sz w:val="24"/>
                <w:lang w:val="zh-CN"/>
              </w:rPr>
              <w:t>履约情况</w:t>
            </w:r>
            <w:bookmarkEnd w:id="43"/>
          </w:p>
        </w:tc>
      </w:tr>
      <w:tr>
        <w:tblPrEx>
          <w:tblLayout w:type="fixed"/>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4"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2" w:hRule="atLeast"/>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bl>
    <w:p>
      <w:pPr>
        <w:pStyle w:val="302"/>
        <w:shd w:val="clear" w:color="auto" w:fill="FFFFFF"/>
        <w:snapToGrid w:val="0"/>
        <w:spacing w:line="500" w:lineRule="exact"/>
        <w:ind w:firstLine="480" w:firstLineChars="200"/>
        <w:rPr>
          <w:rFonts w:asciiTheme="minorEastAsia" w:hAnsiTheme="minorEastAsia" w:eastAsiaTheme="minorEastAsia" w:cstheme="minorEastAsia"/>
          <w:color w:val="auto"/>
          <w:sz w:val="24"/>
        </w:rPr>
      </w:pPr>
    </w:p>
    <w:p>
      <w:pPr>
        <w:pStyle w:val="302"/>
        <w:shd w:val="clear" w:color="auto" w:fill="FFFFFF"/>
        <w:snapToGrid w:val="0"/>
        <w:spacing w:line="500" w:lineRule="exact"/>
        <w:ind w:firstLine="480" w:firstLineChars="200"/>
        <w:rPr>
          <w:rFonts w:asciiTheme="minorEastAsia" w:hAnsiTheme="minorEastAsia" w:eastAsiaTheme="minorEastAsia" w:cstheme="minorEastAsia"/>
          <w:color w:val="auto"/>
          <w:sz w:val="24"/>
        </w:rPr>
      </w:pPr>
    </w:p>
    <w:p>
      <w:pPr>
        <w:pStyle w:val="302"/>
        <w:shd w:val="clear" w:color="auto" w:fill="FFFFFF"/>
        <w:snapToGrid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投标人（盖公章）：</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br w:type="page"/>
      </w:r>
    </w:p>
    <w:p>
      <w:pPr>
        <w:widowControl/>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附件12</w:t>
      </w:r>
    </w:p>
    <w:p>
      <w:pPr>
        <w:pStyle w:val="2"/>
        <w:jc w:val="center"/>
        <w:rPr>
          <w:rFonts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评审中所需资料</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pPr>
        <w:widowControl/>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附件13</w:t>
      </w:r>
    </w:p>
    <w:p>
      <w:pPr>
        <w:pStyle w:val="2"/>
        <w:jc w:val="center"/>
        <w:rPr>
          <w:rFonts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投标人认为有必要提供的其他资料</w:t>
      </w:r>
    </w:p>
    <w:p>
      <w:pPr>
        <w:widowControl/>
        <w:jc w:val="left"/>
        <w:rPr>
          <w:rFonts w:asciiTheme="minorEastAsia" w:hAnsiTheme="minorEastAsia" w:eastAsiaTheme="minorEastAsia" w:cstheme="minorEastAsia"/>
          <w:bCs/>
          <w:sz w:val="24"/>
        </w:rPr>
      </w:pPr>
    </w:p>
    <w:sectPr>
      <w:pgSz w:w="11906" w:h="16838"/>
      <w:pgMar w:top="1440" w:right="1800" w:bottom="1440" w:left="1800" w:header="703" w:footer="850"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魏碑体">
    <w:altName w:val="微软雅黑"/>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幼圆">
    <w:altName w:val="宋体"/>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0000000000000000000"/>
    <w:charset w:val="00"/>
    <w:family w:val="roman"/>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eneva">
    <w:altName w:val="Arial"/>
    <w:panose1 w:val="00000000000000000000"/>
    <w:charset w:val="00"/>
    <w:family w:val="auto"/>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0"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新魏">
    <w:altName w:val="Malgun Gothic Semilight"/>
    <w:panose1 w:val="00000000000000000000"/>
    <w:charset w:val="86"/>
    <w:family w:val="auto"/>
    <w:pitch w:val="default"/>
    <w:sig w:usb0="00000000" w:usb1="00000000" w:usb2="0000001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Arial">
    <w:panose1 w:val="020B0604020202020204"/>
    <w:charset w:val="00"/>
    <w:family w:val="roman"/>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hint="eastAsia" w:ascii="宋体" w:hAnsi="宋体"/>
        <w:b/>
        <w:i/>
      </w:rPr>
      <w:t>新疆华域建设工程项目管理咨询有限公司乌鲁木齐分公司编制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49</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6" o:spid="_x0000_s205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8Khwx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PCocMQIAAGMEAAAOAAAAAAAAAAEAIAAAAB8BAABkcnMvZTJvRG9jLnhtbFBLBQYA&#10;AAAABgAGAFkBAADC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fldChar w:fldCharType="begin"/>
    </w:r>
    <w:r>
      <w:instrText xml:space="preserve">PAGE   \* MERGEFORMAT</w:instrText>
    </w:r>
    <w:r>
      <w:fldChar w:fldCharType="separate"/>
    </w:r>
    <w:r>
      <w:rPr>
        <w:lang w:val="zh-CN"/>
      </w:rPr>
      <w:t>-</w:t>
    </w:r>
    <w:r>
      <w:t xml:space="preserve"> 51 -</w:t>
    </w:r>
    <w:r>
      <w:fldChar w:fldCharType="end"/>
    </w:r>
  </w:p>
  <w:p>
    <w:pPr>
      <w:pStyle w:val="38"/>
      <w:ind w:right="360"/>
      <w:rPr>
        <w:rFonts w:ascii="宋体"/>
        <w:kern w:val="0"/>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520667"/>
    </w:sdtPr>
    <w:sdtContent>
      <w:p>
        <w:pPr>
          <w:pStyle w:val="38"/>
          <w:jc w:val="center"/>
        </w:pPr>
        <w:r>
          <w:fldChar w:fldCharType="begin"/>
        </w:r>
        <w:r>
          <w:instrText xml:space="preserve">PAGE   \* MERGEFORMAT</w:instrText>
        </w:r>
        <w:r>
          <w:fldChar w:fldCharType="separate"/>
        </w:r>
        <w:r>
          <w:rPr>
            <w:lang w:val="zh-CN"/>
          </w:rPr>
          <w:t>-</w:t>
        </w:r>
        <w:r>
          <w:t xml:space="preserve"> 64 -</w:t>
        </w:r>
        <w:r>
          <w:fldChar w:fldCharType="end"/>
        </w:r>
      </w:p>
    </w:sdtContent>
  </w:sdt>
  <w:p>
    <w:pPr>
      <w:ind w:right="359" w:rightChars="171"/>
      <w:jc w:val="left"/>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left"/>
    </w:pPr>
    <w:r>
      <w:rPr>
        <w:rFonts w:hint="eastAsia" w:ascii="仿宋_GB2312" w:eastAsia="仿宋_GB2312"/>
        <w:b/>
        <w:bCs/>
        <w:spacing w:val="20"/>
        <w:sz w:val="28"/>
        <w:szCs w:val="28"/>
      </w:rPr>
      <w:t>新疆华域建设工程项目管理咨询有限公司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dashDotStroked" w:color="auto" w:sz="24" w:space="0"/>
      </w:pBdr>
      <w:tabs>
        <w:tab w:val="clear" w:pos="4153"/>
        <w:tab w:val="clear" w:pos="8306"/>
      </w:tabs>
      <w:rPr>
        <w:rFonts w:ascii="宋体" w:hAnsi="宋体"/>
        <w:b/>
        <w:bCs/>
        <w:i/>
        <w:iC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4246A"/>
    <w:multiLevelType w:val="singleLevel"/>
    <w:tmpl w:val="9F64246A"/>
    <w:lvl w:ilvl="0" w:tentative="0">
      <w:start w:val="2"/>
      <w:numFmt w:val="chineseCounting"/>
      <w:suff w:val="space"/>
      <w:lvlText w:val="第%1部分"/>
      <w:lvlJc w:val="left"/>
      <w:rPr>
        <w:rFonts w:hint="eastAsia"/>
      </w:rPr>
    </w:lvl>
  </w:abstractNum>
  <w:abstractNum w:abstractNumId="1">
    <w:nsid w:val="AC2F3C96"/>
    <w:multiLevelType w:val="singleLevel"/>
    <w:tmpl w:val="AC2F3C96"/>
    <w:lvl w:ilvl="0" w:tentative="0">
      <w:start w:val="1"/>
      <w:numFmt w:val="decimal"/>
      <w:suff w:val="nothing"/>
      <w:lvlText w:val="%1、"/>
      <w:lvlJc w:val="left"/>
    </w:lvl>
  </w:abstractNum>
  <w:abstractNum w:abstractNumId="2">
    <w:nsid w:val="B575A566"/>
    <w:multiLevelType w:val="singleLevel"/>
    <w:tmpl w:val="B575A566"/>
    <w:lvl w:ilvl="0" w:tentative="0">
      <w:start w:val="1"/>
      <w:numFmt w:val="chineseCounting"/>
      <w:suff w:val="space"/>
      <w:lvlText w:val="第%1部分"/>
      <w:lvlJc w:val="left"/>
      <w:rPr>
        <w:rFonts w:hint="eastAsia"/>
      </w:rPr>
    </w:lvl>
  </w:abstractNum>
  <w:abstractNum w:abstractNumId="3">
    <w:nsid w:val="0EDB2900"/>
    <w:multiLevelType w:val="multilevel"/>
    <w:tmpl w:val="0EDB2900"/>
    <w:lvl w:ilvl="0" w:tentative="0">
      <w:start w:val="1"/>
      <w:numFmt w:val="bullet"/>
      <w:pStyle w:val="510"/>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11BF6E1B"/>
    <w:multiLevelType w:val="multilevel"/>
    <w:tmpl w:val="11BF6E1B"/>
    <w:lvl w:ilvl="0" w:tentative="0">
      <w:start w:val="1"/>
      <w:numFmt w:val="decimal"/>
      <w:pStyle w:val="150"/>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5">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6"/>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6">
    <w:nsid w:val="18232DD3"/>
    <w:multiLevelType w:val="singleLevel"/>
    <w:tmpl w:val="18232DD3"/>
    <w:lvl w:ilvl="0" w:tentative="0">
      <w:start w:val="1"/>
      <w:numFmt w:val="decimal"/>
      <w:pStyle w:val="507"/>
      <w:lvlText w:val="（%1）"/>
      <w:lvlJc w:val="left"/>
      <w:pPr>
        <w:tabs>
          <w:tab w:val="left" w:pos="1800"/>
        </w:tabs>
        <w:ind w:left="1800" w:hanging="900"/>
      </w:pPr>
      <w:rPr>
        <w:rFonts w:hint="eastAsia"/>
      </w:rPr>
    </w:lvl>
  </w:abstractNum>
  <w:abstractNum w:abstractNumId="7">
    <w:nsid w:val="20A10221"/>
    <w:multiLevelType w:val="multilevel"/>
    <w:tmpl w:val="20A10221"/>
    <w:lvl w:ilvl="0" w:tentative="0">
      <w:start w:val="1"/>
      <w:numFmt w:val="decimal"/>
      <w:pStyle w:val="215"/>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7727B63"/>
    <w:multiLevelType w:val="multilevel"/>
    <w:tmpl w:val="27727B63"/>
    <w:lvl w:ilvl="0" w:tentative="0">
      <w:start w:val="1"/>
      <w:numFmt w:val="bullet"/>
      <w:pStyle w:val="429"/>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0">
    <w:nsid w:val="5B6D3AF1"/>
    <w:multiLevelType w:val="multilevel"/>
    <w:tmpl w:val="5B6D3AF1"/>
    <w:lvl w:ilvl="0" w:tentative="0">
      <w:start w:val="1"/>
      <w:numFmt w:val="decimal"/>
      <w:pStyle w:val="58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1">
    <w:nsid w:val="6E230785"/>
    <w:multiLevelType w:val="multilevel"/>
    <w:tmpl w:val="6E230785"/>
    <w:lvl w:ilvl="0" w:tentative="0">
      <w:start w:val="1"/>
      <w:numFmt w:val="bullet"/>
      <w:pStyle w:val="61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D71DC18"/>
    <w:multiLevelType w:val="singleLevel"/>
    <w:tmpl w:val="7D71DC18"/>
    <w:lvl w:ilvl="0" w:tentative="0">
      <w:start w:val="5"/>
      <w:numFmt w:val="chineseCounting"/>
      <w:suff w:val="space"/>
      <w:lvlText w:val="第%1部分"/>
      <w:lvlJc w:val="left"/>
      <w:rPr>
        <w:rFonts w:hint="eastAsia"/>
      </w:rPr>
    </w:lvl>
  </w:abstractNum>
  <w:abstractNum w:abstractNumId="14">
    <w:nsid w:val="7E3B679F"/>
    <w:multiLevelType w:val="multilevel"/>
    <w:tmpl w:val="7E3B679F"/>
    <w:lvl w:ilvl="0" w:tentative="0">
      <w:start w:val="1"/>
      <w:numFmt w:val="chineseCountingThousand"/>
      <w:pStyle w:val="367"/>
      <w:lvlText w:val="%1."/>
      <w:lvlJc w:val="left"/>
      <w:pPr>
        <w:ind w:left="0" w:firstLine="0"/>
      </w:pPr>
      <w:rPr>
        <w:rFonts w:hint="default"/>
        <w:color w:val="auto"/>
        <w:sz w:val="44"/>
      </w:rPr>
    </w:lvl>
    <w:lvl w:ilvl="1" w:tentative="0">
      <w:start w:val="1"/>
      <w:numFmt w:val="decimal"/>
      <w:pStyle w:val="442"/>
      <w:lvlText w:val="%2"/>
      <w:lvlJc w:val="left"/>
      <w:pPr>
        <w:ind w:left="0" w:firstLine="0"/>
      </w:pPr>
      <w:rPr>
        <w:rFonts w:hint="eastAsia"/>
      </w:rPr>
    </w:lvl>
    <w:lvl w:ilvl="2" w:tentative="0">
      <w:start w:val="1"/>
      <w:numFmt w:val="decimal"/>
      <w:pStyle w:val="550"/>
      <w:lvlText w:val="%2.%3"/>
      <w:lvlJc w:val="left"/>
      <w:pPr>
        <w:ind w:left="0" w:firstLine="0"/>
      </w:pPr>
      <w:rPr>
        <w:rFonts w:hint="eastAsia"/>
      </w:rPr>
    </w:lvl>
    <w:lvl w:ilvl="3" w:tentative="0">
      <w:start w:val="1"/>
      <w:numFmt w:val="decimal"/>
      <w:pStyle w:val="180"/>
      <w:lvlText w:val="%2.%3.%4"/>
      <w:lvlJc w:val="left"/>
      <w:pPr>
        <w:ind w:left="0" w:firstLine="0"/>
      </w:pPr>
      <w:rPr>
        <w:rFonts w:hint="eastAsia"/>
      </w:rPr>
    </w:lvl>
    <w:lvl w:ilvl="4" w:tentative="0">
      <w:start w:val="1"/>
      <w:numFmt w:val="decimal"/>
      <w:pStyle w:val="617"/>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9"/>
  </w:num>
  <w:num w:numId="2">
    <w:abstractNumId w:val="4"/>
  </w:num>
  <w:num w:numId="3">
    <w:abstractNumId w:val="14"/>
  </w:num>
  <w:num w:numId="4">
    <w:abstractNumId w:val="7"/>
  </w:num>
  <w:num w:numId="5">
    <w:abstractNumId w:val="8"/>
  </w:num>
  <w:num w:numId="6">
    <w:abstractNumId w:val="5"/>
  </w:num>
  <w:num w:numId="7">
    <w:abstractNumId w:val="6"/>
  </w:num>
  <w:num w:numId="8">
    <w:abstractNumId w:val="3"/>
  </w:num>
  <w:num w:numId="9">
    <w:abstractNumId w:val="10"/>
  </w:num>
  <w:num w:numId="10">
    <w:abstractNumId w:val="11"/>
  </w:num>
  <w:num w:numId="11">
    <w:abstractNumId w:val="2"/>
  </w:num>
  <w:num w:numId="12">
    <w:abstractNumId w:val="0"/>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D0709"/>
    <w:rsid w:val="0000080C"/>
    <w:rsid w:val="0000219E"/>
    <w:rsid w:val="00002A72"/>
    <w:rsid w:val="00003116"/>
    <w:rsid w:val="00004BCF"/>
    <w:rsid w:val="00013694"/>
    <w:rsid w:val="000138DF"/>
    <w:rsid w:val="00013ECD"/>
    <w:rsid w:val="000159B9"/>
    <w:rsid w:val="00020F51"/>
    <w:rsid w:val="000235E9"/>
    <w:rsid w:val="00023E07"/>
    <w:rsid w:val="0002579A"/>
    <w:rsid w:val="00027213"/>
    <w:rsid w:val="00032774"/>
    <w:rsid w:val="00033651"/>
    <w:rsid w:val="00035989"/>
    <w:rsid w:val="0004351B"/>
    <w:rsid w:val="0005094C"/>
    <w:rsid w:val="00052D90"/>
    <w:rsid w:val="000538C9"/>
    <w:rsid w:val="00053EE4"/>
    <w:rsid w:val="000615F7"/>
    <w:rsid w:val="00061E49"/>
    <w:rsid w:val="00070238"/>
    <w:rsid w:val="0007149E"/>
    <w:rsid w:val="000717B3"/>
    <w:rsid w:val="000720DB"/>
    <w:rsid w:val="00073D89"/>
    <w:rsid w:val="00073E8E"/>
    <w:rsid w:val="00085DC8"/>
    <w:rsid w:val="000863E3"/>
    <w:rsid w:val="00086C8A"/>
    <w:rsid w:val="00087F01"/>
    <w:rsid w:val="00093D4C"/>
    <w:rsid w:val="00094064"/>
    <w:rsid w:val="0009593D"/>
    <w:rsid w:val="00095994"/>
    <w:rsid w:val="000A08A9"/>
    <w:rsid w:val="000A08F8"/>
    <w:rsid w:val="000A11E5"/>
    <w:rsid w:val="000A5AE9"/>
    <w:rsid w:val="000B0279"/>
    <w:rsid w:val="000B0851"/>
    <w:rsid w:val="000B0960"/>
    <w:rsid w:val="000B1CC4"/>
    <w:rsid w:val="000B2F75"/>
    <w:rsid w:val="000B45E6"/>
    <w:rsid w:val="000B60AE"/>
    <w:rsid w:val="000B6137"/>
    <w:rsid w:val="000C1011"/>
    <w:rsid w:val="000C1377"/>
    <w:rsid w:val="000C2CB4"/>
    <w:rsid w:val="000C41EA"/>
    <w:rsid w:val="000D1DCF"/>
    <w:rsid w:val="000D451E"/>
    <w:rsid w:val="000D6A10"/>
    <w:rsid w:val="000D780A"/>
    <w:rsid w:val="000E0FEE"/>
    <w:rsid w:val="000E1358"/>
    <w:rsid w:val="000E1A89"/>
    <w:rsid w:val="000E6A1B"/>
    <w:rsid w:val="000E7EAF"/>
    <w:rsid w:val="000F0017"/>
    <w:rsid w:val="000F0549"/>
    <w:rsid w:val="000F21E5"/>
    <w:rsid w:val="000F39A1"/>
    <w:rsid w:val="000F5A98"/>
    <w:rsid w:val="00103C81"/>
    <w:rsid w:val="001113CC"/>
    <w:rsid w:val="0011671D"/>
    <w:rsid w:val="00120DC2"/>
    <w:rsid w:val="00122209"/>
    <w:rsid w:val="00126796"/>
    <w:rsid w:val="001331DD"/>
    <w:rsid w:val="00133537"/>
    <w:rsid w:val="00140633"/>
    <w:rsid w:val="00141903"/>
    <w:rsid w:val="00145DFD"/>
    <w:rsid w:val="0014611F"/>
    <w:rsid w:val="00150704"/>
    <w:rsid w:val="00152B27"/>
    <w:rsid w:val="00153ED1"/>
    <w:rsid w:val="001568D4"/>
    <w:rsid w:val="00156F35"/>
    <w:rsid w:val="00163CF4"/>
    <w:rsid w:val="00165A93"/>
    <w:rsid w:val="00167210"/>
    <w:rsid w:val="00171434"/>
    <w:rsid w:val="001762E9"/>
    <w:rsid w:val="00177D68"/>
    <w:rsid w:val="00180985"/>
    <w:rsid w:val="001810AB"/>
    <w:rsid w:val="00182460"/>
    <w:rsid w:val="0018262A"/>
    <w:rsid w:val="00183396"/>
    <w:rsid w:val="00183D54"/>
    <w:rsid w:val="00183FEA"/>
    <w:rsid w:val="001846AE"/>
    <w:rsid w:val="00190DC4"/>
    <w:rsid w:val="0019173B"/>
    <w:rsid w:val="00195C50"/>
    <w:rsid w:val="00196965"/>
    <w:rsid w:val="0019721D"/>
    <w:rsid w:val="00197C2E"/>
    <w:rsid w:val="001A0940"/>
    <w:rsid w:val="001A1572"/>
    <w:rsid w:val="001A259C"/>
    <w:rsid w:val="001A376D"/>
    <w:rsid w:val="001A5CF0"/>
    <w:rsid w:val="001B0E64"/>
    <w:rsid w:val="001B6CA7"/>
    <w:rsid w:val="001B712A"/>
    <w:rsid w:val="001C2501"/>
    <w:rsid w:val="001C4AD2"/>
    <w:rsid w:val="001C56DD"/>
    <w:rsid w:val="001D21B6"/>
    <w:rsid w:val="001D471C"/>
    <w:rsid w:val="001D5068"/>
    <w:rsid w:val="001D516E"/>
    <w:rsid w:val="001E0506"/>
    <w:rsid w:val="001E6FAE"/>
    <w:rsid w:val="001F039C"/>
    <w:rsid w:val="001F04F8"/>
    <w:rsid w:val="001F09B3"/>
    <w:rsid w:val="001F3DA6"/>
    <w:rsid w:val="001F4381"/>
    <w:rsid w:val="001F5134"/>
    <w:rsid w:val="001F5141"/>
    <w:rsid w:val="001F54DB"/>
    <w:rsid w:val="001F674A"/>
    <w:rsid w:val="00200E97"/>
    <w:rsid w:val="002053A0"/>
    <w:rsid w:val="00206433"/>
    <w:rsid w:val="00206AD9"/>
    <w:rsid w:val="00206AE0"/>
    <w:rsid w:val="00212407"/>
    <w:rsid w:val="00212DA2"/>
    <w:rsid w:val="00213954"/>
    <w:rsid w:val="00213F1B"/>
    <w:rsid w:val="00215B0C"/>
    <w:rsid w:val="00215CD4"/>
    <w:rsid w:val="002171B9"/>
    <w:rsid w:val="00222058"/>
    <w:rsid w:val="00222A25"/>
    <w:rsid w:val="00226665"/>
    <w:rsid w:val="0022690C"/>
    <w:rsid w:val="00227189"/>
    <w:rsid w:val="00234304"/>
    <w:rsid w:val="0023463B"/>
    <w:rsid w:val="00234EF7"/>
    <w:rsid w:val="0023627D"/>
    <w:rsid w:val="00240846"/>
    <w:rsid w:val="002408A3"/>
    <w:rsid w:val="002409E6"/>
    <w:rsid w:val="00240E9B"/>
    <w:rsid w:val="002461BB"/>
    <w:rsid w:val="002502A5"/>
    <w:rsid w:val="002534DA"/>
    <w:rsid w:val="002538DB"/>
    <w:rsid w:val="00256C1C"/>
    <w:rsid w:val="002603E8"/>
    <w:rsid w:val="00262BE9"/>
    <w:rsid w:val="00264859"/>
    <w:rsid w:val="00271231"/>
    <w:rsid w:val="00273FC8"/>
    <w:rsid w:val="00274336"/>
    <w:rsid w:val="0027776E"/>
    <w:rsid w:val="002808D0"/>
    <w:rsid w:val="00281FD8"/>
    <w:rsid w:val="00282325"/>
    <w:rsid w:val="00282416"/>
    <w:rsid w:val="00283395"/>
    <w:rsid w:val="002842CD"/>
    <w:rsid w:val="00286A37"/>
    <w:rsid w:val="002905DB"/>
    <w:rsid w:val="0029094D"/>
    <w:rsid w:val="00292A77"/>
    <w:rsid w:val="00293B80"/>
    <w:rsid w:val="002943C2"/>
    <w:rsid w:val="0029493F"/>
    <w:rsid w:val="00297F03"/>
    <w:rsid w:val="002A71EF"/>
    <w:rsid w:val="002A7872"/>
    <w:rsid w:val="002B24CA"/>
    <w:rsid w:val="002B48B5"/>
    <w:rsid w:val="002B7559"/>
    <w:rsid w:val="002C0420"/>
    <w:rsid w:val="002C2460"/>
    <w:rsid w:val="002C5358"/>
    <w:rsid w:val="002C55A1"/>
    <w:rsid w:val="002C6E0E"/>
    <w:rsid w:val="002D04A9"/>
    <w:rsid w:val="002D26B3"/>
    <w:rsid w:val="002D497C"/>
    <w:rsid w:val="002D4DB5"/>
    <w:rsid w:val="002D6B8E"/>
    <w:rsid w:val="002E2119"/>
    <w:rsid w:val="002E3AA7"/>
    <w:rsid w:val="002E3F89"/>
    <w:rsid w:val="002E74F7"/>
    <w:rsid w:val="002F1A79"/>
    <w:rsid w:val="002F3591"/>
    <w:rsid w:val="002F5998"/>
    <w:rsid w:val="002F716B"/>
    <w:rsid w:val="002F7AAB"/>
    <w:rsid w:val="003001D4"/>
    <w:rsid w:val="00300A22"/>
    <w:rsid w:val="00305902"/>
    <w:rsid w:val="003073B9"/>
    <w:rsid w:val="00310AED"/>
    <w:rsid w:val="00313AC0"/>
    <w:rsid w:val="00313E14"/>
    <w:rsid w:val="00320A3A"/>
    <w:rsid w:val="00320ABF"/>
    <w:rsid w:val="00320D6C"/>
    <w:rsid w:val="003222CC"/>
    <w:rsid w:val="00322661"/>
    <w:rsid w:val="0032292E"/>
    <w:rsid w:val="003241AB"/>
    <w:rsid w:val="00331D65"/>
    <w:rsid w:val="0033224C"/>
    <w:rsid w:val="003330D8"/>
    <w:rsid w:val="00333F73"/>
    <w:rsid w:val="00334BDE"/>
    <w:rsid w:val="0033684E"/>
    <w:rsid w:val="00337C72"/>
    <w:rsid w:val="00340E71"/>
    <w:rsid w:val="00343CF9"/>
    <w:rsid w:val="00345C11"/>
    <w:rsid w:val="00347E04"/>
    <w:rsid w:val="00352859"/>
    <w:rsid w:val="00353E82"/>
    <w:rsid w:val="00354000"/>
    <w:rsid w:val="003553C2"/>
    <w:rsid w:val="00356678"/>
    <w:rsid w:val="0036017E"/>
    <w:rsid w:val="00361E00"/>
    <w:rsid w:val="0036239E"/>
    <w:rsid w:val="00362FD7"/>
    <w:rsid w:val="00364897"/>
    <w:rsid w:val="003648F9"/>
    <w:rsid w:val="00366369"/>
    <w:rsid w:val="003677DF"/>
    <w:rsid w:val="003718D8"/>
    <w:rsid w:val="00373D60"/>
    <w:rsid w:val="00381183"/>
    <w:rsid w:val="00381EE6"/>
    <w:rsid w:val="00382ACB"/>
    <w:rsid w:val="00383E41"/>
    <w:rsid w:val="00390113"/>
    <w:rsid w:val="00391116"/>
    <w:rsid w:val="00392431"/>
    <w:rsid w:val="00393710"/>
    <w:rsid w:val="00395268"/>
    <w:rsid w:val="00395B8D"/>
    <w:rsid w:val="00396967"/>
    <w:rsid w:val="003A0A12"/>
    <w:rsid w:val="003A46F1"/>
    <w:rsid w:val="003A5CC6"/>
    <w:rsid w:val="003A6ABA"/>
    <w:rsid w:val="003B331E"/>
    <w:rsid w:val="003B7829"/>
    <w:rsid w:val="003C00A6"/>
    <w:rsid w:val="003C099E"/>
    <w:rsid w:val="003C1115"/>
    <w:rsid w:val="003C1E7A"/>
    <w:rsid w:val="003C74C8"/>
    <w:rsid w:val="003C772D"/>
    <w:rsid w:val="003C7927"/>
    <w:rsid w:val="003D02A2"/>
    <w:rsid w:val="003D19AF"/>
    <w:rsid w:val="003E155B"/>
    <w:rsid w:val="003E1671"/>
    <w:rsid w:val="003E236E"/>
    <w:rsid w:val="003E308B"/>
    <w:rsid w:val="003F04B1"/>
    <w:rsid w:val="003F6B37"/>
    <w:rsid w:val="004045E9"/>
    <w:rsid w:val="00404791"/>
    <w:rsid w:val="004065D0"/>
    <w:rsid w:val="00413318"/>
    <w:rsid w:val="004133F2"/>
    <w:rsid w:val="00422195"/>
    <w:rsid w:val="004222B8"/>
    <w:rsid w:val="00422CCB"/>
    <w:rsid w:val="00426991"/>
    <w:rsid w:val="0042740F"/>
    <w:rsid w:val="00430F55"/>
    <w:rsid w:val="00432A96"/>
    <w:rsid w:val="004377CE"/>
    <w:rsid w:val="00441705"/>
    <w:rsid w:val="0044337C"/>
    <w:rsid w:val="00450C2E"/>
    <w:rsid w:val="00451077"/>
    <w:rsid w:val="0045344E"/>
    <w:rsid w:val="00453627"/>
    <w:rsid w:val="00453B2D"/>
    <w:rsid w:val="00455075"/>
    <w:rsid w:val="004614C1"/>
    <w:rsid w:val="00464E63"/>
    <w:rsid w:val="0046590F"/>
    <w:rsid w:val="00473380"/>
    <w:rsid w:val="004744DB"/>
    <w:rsid w:val="00480923"/>
    <w:rsid w:val="00481854"/>
    <w:rsid w:val="004844ED"/>
    <w:rsid w:val="00485146"/>
    <w:rsid w:val="00486B88"/>
    <w:rsid w:val="00491EF6"/>
    <w:rsid w:val="004926EC"/>
    <w:rsid w:val="00495508"/>
    <w:rsid w:val="004959BA"/>
    <w:rsid w:val="004964B2"/>
    <w:rsid w:val="004A3ABF"/>
    <w:rsid w:val="004B119F"/>
    <w:rsid w:val="004B5490"/>
    <w:rsid w:val="004C0C50"/>
    <w:rsid w:val="004C2B51"/>
    <w:rsid w:val="004C6413"/>
    <w:rsid w:val="004C6FE5"/>
    <w:rsid w:val="004D1D07"/>
    <w:rsid w:val="004D1F65"/>
    <w:rsid w:val="004D2A5A"/>
    <w:rsid w:val="004D3EE4"/>
    <w:rsid w:val="004D4C57"/>
    <w:rsid w:val="004D4CA5"/>
    <w:rsid w:val="004E0585"/>
    <w:rsid w:val="004E6128"/>
    <w:rsid w:val="004F0439"/>
    <w:rsid w:val="004F1317"/>
    <w:rsid w:val="004F4191"/>
    <w:rsid w:val="004F457F"/>
    <w:rsid w:val="004F45E0"/>
    <w:rsid w:val="004F6BF6"/>
    <w:rsid w:val="005039A5"/>
    <w:rsid w:val="00506F22"/>
    <w:rsid w:val="00506FDE"/>
    <w:rsid w:val="00507A12"/>
    <w:rsid w:val="005114E3"/>
    <w:rsid w:val="00512800"/>
    <w:rsid w:val="00512B83"/>
    <w:rsid w:val="00513F0A"/>
    <w:rsid w:val="00516197"/>
    <w:rsid w:val="005165BB"/>
    <w:rsid w:val="00521E28"/>
    <w:rsid w:val="00522334"/>
    <w:rsid w:val="00523825"/>
    <w:rsid w:val="005254F7"/>
    <w:rsid w:val="00525D08"/>
    <w:rsid w:val="00531370"/>
    <w:rsid w:val="00531DC2"/>
    <w:rsid w:val="0053463D"/>
    <w:rsid w:val="00544CE1"/>
    <w:rsid w:val="00550637"/>
    <w:rsid w:val="00552F63"/>
    <w:rsid w:val="005543FF"/>
    <w:rsid w:val="005546DD"/>
    <w:rsid w:val="00555125"/>
    <w:rsid w:val="005613DD"/>
    <w:rsid w:val="00561932"/>
    <w:rsid w:val="00561CE4"/>
    <w:rsid w:val="00563935"/>
    <w:rsid w:val="005654E8"/>
    <w:rsid w:val="00565F64"/>
    <w:rsid w:val="005745B3"/>
    <w:rsid w:val="0057503C"/>
    <w:rsid w:val="00576688"/>
    <w:rsid w:val="00576910"/>
    <w:rsid w:val="00576CE9"/>
    <w:rsid w:val="005809B0"/>
    <w:rsid w:val="0058109C"/>
    <w:rsid w:val="00581A5A"/>
    <w:rsid w:val="00582391"/>
    <w:rsid w:val="0058288A"/>
    <w:rsid w:val="00582D5B"/>
    <w:rsid w:val="005837CE"/>
    <w:rsid w:val="00586CF2"/>
    <w:rsid w:val="0058717C"/>
    <w:rsid w:val="005875A5"/>
    <w:rsid w:val="0059116B"/>
    <w:rsid w:val="00593F20"/>
    <w:rsid w:val="005A1AFB"/>
    <w:rsid w:val="005A2638"/>
    <w:rsid w:val="005A35E0"/>
    <w:rsid w:val="005A458D"/>
    <w:rsid w:val="005A585D"/>
    <w:rsid w:val="005A664A"/>
    <w:rsid w:val="005A66A1"/>
    <w:rsid w:val="005A7418"/>
    <w:rsid w:val="005B70C4"/>
    <w:rsid w:val="005C0393"/>
    <w:rsid w:val="005C08D3"/>
    <w:rsid w:val="005C596C"/>
    <w:rsid w:val="005C5CF5"/>
    <w:rsid w:val="005C6A2A"/>
    <w:rsid w:val="005C6F7A"/>
    <w:rsid w:val="005C7F8D"/>
    <w:rsid w:val="005D196E"/>
    <w:rsid w:val="005D3073"/>
    <w:rsid w:val="005D3598"/>
    <w:rsid w:val="005D52B9"/>
    <w:rsid w:val="005D7541"/>
    <w:rsid w:val="005E0F22"/>
    <w:rsid w:val="005E3478"/>
    <w:rsid w:val="005E4B7C"/>
    <w:rsid w:val="005E5FE8"/>
    <w:rsid w:val="005E67DB"/>
    <w:rsid w:val="005E7379"/>
    <w:rsid w:val="005F1786"/>
    <w:rsid w:val="005F3FD8"/>
    <w:rsid w:val="00600A30"/>
    <w:rsid w:val="006014BF"/>
    <w:rsid w:val="00603281"/>
    <w:rsid w:val="00605807"/>
    <w:rsid w:val="00612D93"/>
    <w:rsid w:val="006156B8"/>
    <w:rsid w:val="00616052"/>
    <w:rsid w:val="00617785"/>
    <w:rsid w:val="00621679"/>
    <w:rsid w:val="00624FA7"/>
    <w:rsid w:val="00626E58"/>
    <w:rsid w:val="006304CC"/>
    <w:rsid w:val="006328B3"/>
    <w:rsid w:val="00632F53"/>
    <w:rsid w:val="00646AF2"/>
    <w:rsid w:val="006475FC"/>
    <w:rsid w:val="006515F1"/>
    <w:rsid w:val="006602D4"/>
    <w:rsid w:val="006635E3"/>
    <w:rsid w:val="00663FAA"/>
    <w:rsid w:val="00663FF5"/>
    <w:rsid w:val="00664F1A"/>
    <w:rsid w:val="006650F8"/>
    <w:rsid w:val="0066649A"/>
    <w:rsid w:val="00666B79"/>
    <w:rsid w:val="00675A96"/>
    <w:rsid w:val="00675C3A"/>
    <w:rsid w:val="00676091"/>
    <w:rsid w:val="006773E7"/>
    <w:rsid w:val="006778F6"/>
    <w:rsid w:val="00680E87"/>
    <w:rsid w:val="00682557"/>
    <w:rsid w:val="00685579"/>
    <w:rsid w:val="006857CE"/>
    <w:rsid w:val="00686A37"/>
    <w:rsid w:val="00687145"/>
    <w:rsid w:val="00687AFD"/>
    <w:rsid w:val="00690CF0"/>
    <w:rsid w:val="006912B3"/>
    <w:rsid w:val="006A39BF"/>
    <w:rsid w:val="006A6178"/>
    <w:rsid w:val="006B13AA"/>
    <w:rsid w:val="006B675D"/>
    <w:rsid w:val="006C38BA"/>
    <w:rsid w:val="006C432F"/>
    <w:rsid w:val="006C71A6"/>
    <w:rsid w:val="006D55A4"/>
    <w:rsid w:val="006D72E0"/>
    <w:rsid w:val="006E0896"/>
    <w:rsid w:val="006E3FCA"/>
    <w:rsid w:val="006E6ADE"/>
    <w:rsid w:val="006F31EC"/>
    <w:rsid w:val="006F748A"/>
    <w:rsid w:val="00700A50"/>
    <w:rsid w:val="007014D9"/>
    <w:rsid w:val="00703952"/>
    <w:rsid w:val="007054DA"/>
    <w:rsid w:val="00705FA8"/>
    <w:rsid w:val="0070798F"/>
    <w:rsid w:val="00710352"/>
    <w:rsid w:val="00710A1F"/>
    <w:rsid w:val="00713CD4"/>
    <w:rsid w:val="00715E5E"/>
    <w:rsid w:val="007162F1"/>
    <w:rsid w:val="00716877"/>
    <w:rsid w:val="00723CE7"/>
    <w:rsid w:val="00733308"/>
    <w:rsid w:val="00735D0C"/>
    <w:rsid w:val="0073737F"/>
    <w:rsid w:val="007378F8"/>
    <w:rsid w:val="0074229B"/>
    <w:rsid w:val="007430AA"/>
    <w:rsid w:val="007443B2"/>
    <w:rsid w:val="00744FFF"/>
    <w:rsid w:val="0074594B"/>
    <w:rsid w:val="007462F6"/>
    <w:rsid w:val="0075303A"/>
    <w:rsid w:val="00757505"/>
    <w:rsid w:val="00757CE3"/>
    <w:rsid w:val="00760DAB"/>
    <w:rsid w:val="007670EA"/>
    <w:rsid w:val="0077719B"/>
    <w:rsid w:val="00786D1A"/>
    <w:rsid w:val="00791ACD"/>
    <w:rsid w:val="00793CFD"/>
    <w:rsid w:val="00794758"/>
    <w:rsid w:val="00796D35"/>
    <w:rsid w:val="007A247F"/>
    <w:rsid w:val="007A3F6E"/>
    <w:rsid w:val="007A4078"/>
    <w:rsid w:val="007A50D0"/>
    <w:rsid w:val="007B019A"/>
    <w:rsid w:val="007B0728"/>
    <w:rsid w:val="007B16F6"/>
    <w:rsid w:val="007B25CD"/>
    <w:rsid w:val="007B3119"/>
    <w:rsid w:val="007B4670"/>
    <w:rsid w:val="007C3112"/>
    <w:rsid w:val="007C50D0"/>
    <w:rsid w:val="007D08C6"/>
    <w:rsid w:val="007D0B5D"/>
    <w:rsid w:val="007D2106"/>
    <w:rsid w:val="007D321F"/>
    <w:rsid w:val="007D5845"/>
    <w:rsid w:val="007E67D9"/>
    <w:rsid w:val="007E7754"/>
    <w:rsid w:val="007F19EC"/>
    <w:rsid w:val="007F256B"/>
    <w:rsid w:val="007F2D69"/>
    <w:rsid w:val="007F4B12"/>
    <w:rsid w:val="007F5030"/>
    <w:rsid w:val="007F65B7"/>
    <w:rsid w:val="00800194"/>
    <w:rsid w:val="008037A6"/>
    <w:rsid w:val="00804BB8"/>
    <w:rsid w:val="00804D50"/>
    <w:rsid w:val="00813376"/>
    <w:rsid w:val="00815175"/>
    <w:rsid w:val="00824624"/>
    <w:rsid w:val="008250BD"/>
    <w:rsid w:val="00827F35"/>
    <w:rsid w:val="0084056F"/>
    <w:rsid w:val="00841C59"/>
    <w:rsid w:val="00843702"/>
    <w:rsid w:val="00846A56"/>
    <w:rsid w:val="00851FB5"/>
    <w:rsid w:val="00854695"/>
    <w:rsid w:val="0085483F"/>
    <w:rsid w:val="00862442"/>
    <w:rsid w:val="00867E8B"/>
    <w:rsid w:val="0087014B"/>
    <w:rsid w:val="00871B44"/>
    <w:rsid w:val="00872E71"/>
    <w:rsid w:val="00875E0F"/>
    <w:rsid w:val="00877522"/>
    <w:rsid w:val="0087791C"/>
    <w:rsid w:val="00882862"/>
    <w:rsid w:val="00883F59"/>
    <w:rsid w:val="00891398"/>
    <w:rsid w:val="008921C3"/>
    <w:rsid w:val="00896AAF"/>
    <w:rsid w:val="00897E63"/>
    <w:rsid w:val="008A0481"/>
    <w:rsid w:val="008A2871"/>
    <w:rsid w:val="008A4787"/>
    <w:rsid w:val="008A4932"/>
    <w:rsid w:val="008A54D0"/>
    <w:rsid w:val="008A6FD2"/>
    <w:rsid w:val="008A79D2"/>
    <w:rsid w:val="008B167E"/>
    <w:rsid w:val="008B4FDA"/>
    <w:rsid w:val="008B50A4"/>
    <w:rsid w:val="008B54D4"/>
    <w:rsid w:val="008B55E3"/>
    <w:rsid w:val="008B5D36"/>
    <w:rsid w:val="008B7119"/>
    <w:rsid w:val="008C1816"/>
    <w:rsid w:val="008C4DB4"/>
    <w:rsid w:val="008C7BF5"/>
    <w:rsid w:val="008D669B"/>
    <w:rsid w:val="008E1813"/>
    <w:rsid w:val="008F2BF4"/>
    <w:rsid w:val="008F75E6"/>
    <w:rsid w:val="00904E29"/>
    <w:rsid w:val="00913FF0"/>
    <w:rsid w:val="0091419F"/>
    <w:rsid w:val="009234BB"/>
    <w:rsid w:val="0092726C"/>
    <w:rsid w:val="00936430"/>
    <w:rsid w:val="00942CB7"/>
    <w:rsid w:val="00943436"/>
    <w:rsid w:val="00945825"/>
    <w:rsid w:val="00954186"/>
    <w:rsid w:val="00954626"/>
    <w:rsid w:val="009548FB"/>
    <w:rsid w:val="00955A58"/>
    <w:rsid w:val="00956646"/>
    <w:rsid w:val="00957E72"/>
    <w:rsid w:val="00960E9A"/>
    <w:rsid w:val="00962ABA"/>
    <w:rsid w:val="00966F16"/>
    <w:rsid w:val="00973879"/>
    <w:rsid w:val="009739D7"/>
    <w:rsid w:val="00974D45"/>
    <w:rsid w:val="009759C4"/>
    <w:rsid w:val="00980155"/>
    <w:rsid w:val="00982C28"/>
    <w:rsid w:val="00986F97"/>
    <w:rsid w:val="00993F22"/>
    <w:rsid w:val="00997F93"/>
    <w:rsid w:val="009A2FDF"/>
    <w:rsid w:val="009A483B"/>
    <w:rsid w:val="009A504A"/>
    <w:rsid w:val="009A54EB"/>
    <w:rsid w:val="009A640B"/>
    <w:rsid w:val="009B6EE9"/>
    <w:rsid w:val="009B7FA8"/>
    <w:rsid w:val="009C3C65"/>
    <w:rsid w:val="009C52BF"/>
    <w:rsid w:val="009C6768"/>
    <w:rsid w:val="009C6D88"/>
    <w:rsid w:val="009D0224"/>
    <w:rsid w:val="009D29F7"/>
    <w:rsid w:val="009D2D76"/>
    <w:rsid w:val="009D5727"/>
    <w:rsid w:val="009E0898"/>
    <w:rsid w:val="009E35B3"/>
    <w:rsid w:val="009E4BCD"/>
    <w:rsid w:val="009E4D65"/>
    <w:rsid w:val="009F0262"/>
    <w:rsid w:val="009F0BC9"/>
    <w:rsid w:val="009F12C0"/>
    <w:rsid w:val="009F19AE"/>
    <w:rsid w:val="009F20D5"/>
    <w:rsid w:val="009F6589"/>
    <w:rsid w:val="00A0308F"/>
    <w:rsid w:val="00A03A6B"/>
    <w:rsid w:val="00A04DC4"/>
    <w:rsid w:val="00A0653F"/>
    <w:rsid w:val="00A065E4"/>
    <w:rsid w:val="00A126AD"/>
    <w:rsid w:val="00A1310F"/>
    <w:rsid w:val="00A13843"/>
    <w:rsid w:val="00A1481C"/>
    <w:rsid w:val="00A20B35"/>
    <w:rsid w:val="00A21513"/>
    <w:rsid w:val="00A22426"/>
    <w:rsid w:val="00A239D8"/>
    <w:rsid w:val="00A30AEE"/>
    <w:rsid w:val="00A32FA4"/>
    <w:rsid w:val="00A3443D"/>
    <w:rsid w:val="00A34C23"/>
    <w:rsid w:val="00A351CC"/>
    <w:rsid w:val="00A36EA8"/>
    <w:rsid w:val="00A37E13"/>
    <w:rsid w:val="00A416AC"/>
    <w:rsid w:val="00A41B5F"/>
    <w:rsid w:val="00A41E9F"/>
    <w:rsid w:val="00A52015"/>
    <w:rsid w:val="00A53746"/>
    <w:rsid w:val="00A53DD0"/>
    <w:rsid w:val="00A5508C"/>
    <w:rsid w:val="00A57635"/>
    <w:rsid w:val="00A6001F"/>
    <w:rsid w:val="00A631EC"/>
    <w:rsid w:val="00A642B4"/>
    <w:rsid w:val="00A659D1"/>
    <w:rsid w:val="00A735C3"/>
    <w:rsid w:val="00A7753F"/>
    <w:rsid w:val="00A83951"/>
    <w:rsid w:val="00A84536"/>
    <w:rsid w:val="00A974DA"/>
    <w:rsid w:val="00AA1D8C"/>
    <w:rsid w:val="00AA3365"/>
    <w:rsid w:val="00AA4CB8"/>
    <w:rsid w:val="00AA6D60"/>
    <w:rsid w:val="00AB11F1"/>
    <w:rsid w:val="00AB609A"/>
    <w:rsid w:val="00AB7056"/>
    <w:rsid w:val="00AC3D3C"/>
    <w:rsid w:val="00AC6371"/>
    <w:rsid w:val="00AC7059"/>
    <w:rsid w:val="00AD0877"/>
    <w:rsid w:val="00AD2B52"/>
    <w:rsid w:val="00AD4843"/>
    <w:rsid w:val="00AD4B7D"/>
    <w:rsid w:val="00AE1B46"/>
    <w:rsid w:val="00AE2C75"/>
    <w:rsid w:val="00AE3473"/>
    <w:rsid w:val="00AE3715"/>
    <w:rsid w:val="00AE4A82"/>
    <w:rsid w:val="00AE7281"/>
    <w:rsid w:val="00AE72C9"/>
    <w:rsid w:val="00AF04EF"/>
    <w:rsid w:val="00AF10D2"/>
    <w:rsid w:val="00AF216D"/>
    <w:rsid w:val="00AF5252"/>
    <w:rsid w:val="00AF71E4"/>
    <w:rsid w:val="00AF738C"/>
    <w:rsid w:val="00B07C29"/>
    <w:rsid w:val="00B1025C"/>
    <w:rsid w:val="00B155F2"/>
    <w:rsid w:val="00B1732C"/>
    <w:rsid w:val="00B20717"/>
    <w:rsid w:val="00B20A03"/>
    <w:rsid w:val="00B224D7"/>
    <w:rsid w:val="00B230F4"/>
    <w:rsid w:val="00B24B2B"/>
    <w:rsid w:val="00B309A4"/>
    <w:rsid w:val="00B346ED"/>
    <w:rsid w:val="00B34B4B"/>
    <w:rsid w:val="00B449E1"/>
    <w:rsid w:val="00B455A9"/>
    <w:rsid w:val="00B47DB8"/>
    <w:rsid w:val="00B524FC"/>
    <w:rsid w:val="00B52F7C"/>
    <w:rsid w:val="00B54BBC"/>
    <w:rsid w:val="00B572F5"/>
    <w:rsid w:val="00B61611"/>
    <w:rsid w:val="00B61B1A"/>
    <w:rsid w:val="00B636CA"/>
    <w:rsid w:val="00B65C88"/>
    <w:rsid w:val="00B66000"/>
    <w:rsid w:val="00B66B73"/>
    <w:rsid w:val="00B66FBA"/>
    <w:rsid w:val="00B82D67"/>
    <w:rsid w:val="00B835AA"/>
    <w:rsid w:val="00B83639"/>
    <w:rsid w:val="00B8387F"/>
    <w:rsid w:val="00B84450"/>
    <w:rsid w:val="00B85DD0"/>
    <w:rsid w:val="00B918FE"/>
    <w:rsid w:val="00BA167C"/>
    <w:rsid w:val="00BA26B3"/>
    <w:rsid w:val="00BA2DD7"/>
    <w:rsid w:val="00BA5425"/>
    <w:rsid w:val="00BA576F"/>
    <w:rsid w:val="00BA6326"/>
    <w:rsid w:val="00BB0D09"/>
    <w:rsid w:val="00BB499F"/>
    <w:rsid w:val="00BB53A2"/>
    <w:rsid w:val="00BB7DD9"/>
    <w:rsid w:val="00BC20B4"/>
    <w:rsid w:val="00BD021F"/>
    <w:rsid w:val="00BD1CC5"/>
    <w:rsid w:val="00BD43CF"/>
    <w:rsid w:val="00BD477A"/>
    <w:rsid w:val="00BD78AF"/>
    <w:rsid w:val="00BE13D7"/>
    <w:rsid w:val="00BE3479"/>
    <w:rsid w:val="00BE492C"/>
    <w:rsid w:val="00BE6317"/>
    <w:rsid w:val="00BE6C0D"/>
    <w:rsid w:val="00BE7361"/>
    <w:rsid w:val="00BF0CAD"/>
    <w:rsid w:val="00BF1818"/>
    <w:rsid w:val="00BF5316"/>
    <w:rsid w:val="00BF60A9"/>
    <w:rsid w:val="00BF6E2F"/>
    <w:rsid w:val="00BF7ED2"/>
    <w:rsid w:val="00C0391B"/>
    <w:rsid w:val="00C03C58"/>
    <w:rsid w:val="00C04682"/>
    <w:rsid w:val="00C1456E"/>
    <w:rsid w:val="00C209C6"/>
    <w:rsid w:val="00C20B47"/>
    <w:rsid w:val="00C2498C"/>
    <w:rsid w:val="00C24CC7"/>
    <w:rsid w:val="00C26044"/>
    <w:rsid w:val="00C300DD"/>
    <w:rsid w:val="00C31A6F"/>
    <w:rsid w:val="00C3294A"/>
    <w:rsid w:val="00C3585C"/>
    <w:rsid w:val="00C4231C"/>
    <w:rsid w:val="00C428E0"/>
    <w:rsid w:val="00C43E45"/>
    <w:rsid w:val="00C442AA"/>
    <w:rsid w:val="00C45C4C"/>
    <w:rsid w:val="00C46202"/>
    <w:rsid w:val="00C52AB8"/>
    <w:rsid w:val="00C561B9"/>
    <w:rsid w:val="00C570C0"/>
    <w:rsid w:val="00C62676"/>
    <w:rsid w:val="00C70325"/>
    <w:rsid w:val="00C7042E"/>
    <w:rsid w:val="00C714A1"/>
    <w:rsid w:val="00C82244"/>
    <w:rsid w:val="00C826D4"/>
    <w:rsid w:val="00C83024"/>
    <w:rsid w:val="00C851BB"/>
    <w:rsid w:val="00C85B0E"/>
    <w:rsid w:val="00C86FCC"/>
    <w:rsid w:val="00C87264"/>
    <w:rsid w:val="00C905AA"/>
    <w:rsid w:val="00C90D48"/>
    <w:rsid w:val="00C90D52"/>
    <w:rsid w:val="00C93003"/>
    <w:rsid w:val="00C94419"/>
    <w:rsid w:val="00C95242"/>
    <w:rsid w:val="00C96B2C"/>
    <w:rsid w:val="00C9760D"/>
    <w:rsid w:val="00CA06E3"/>
    <w:rsid w:val="00CA0C2A"/>
    <w:rsid w:val="00CA77DA"/>
    <w:rsid w:val="00CB206F"/>
    <w:rsid w:val="00CB5246"/>
    <w:rsid w:val="00CB5993"/>
    <w:rsid w:val="00CC544B"/>
    <w:rsid w:val="00CC60F8"/>
    <w:rsid w:val="00CC733D"/>
    <w:rsid w:val="00CD06DD"/>
    <w:rsid w:val="00CD0893"/>
    <w:rsid w:val="00CD2716"/>
    <w:rsid w:val="00CD3548"/>
    <w:rsid w:val="00CD4C1F"/>
    <w:rsid w:val="00CD552D"/>
    <w:rsid w:val="00CD5A38"/>
    <w:rsid w:val="00CD5B14"/>
    <w:rsid w:val="00CD6276"/>
    <w:rsid w:val="00CD650F"/>
    <w:rsid w:val="00CD7D8F"/>
    <w:rsid w:val="00CD7EED"/>
    <w:rsid w:val="00CE1520"/>
    <w:rsid w:val="00CE1F8B"/>
    <w:rsid w:val="00CE2B12"/>
    <w:rsid w:val="00CF0661"/>
    <w:rsid w:val="00CF171A"/>
    <w:rsid w:val="00CF1D35"/>
    <w:rsid w:val="00CF3E77"/>
    <w:rsid w:val="00CF4431"/>
    <w:rsid w:val="00CF6418"/>
    <w:rsid w:val="00CF74F8"/>
    <w:rsid w:val="00D00095"/>
    <w:rsid w:val="00D001F0"/>
    <w:rsid w:val="00D00D1B"/>
    <w:rsid w:val="00D0144E"/>
    <w:rsid w:val="00D02601"/>
    <w:rsid w:val="00D0386E"/>
    <w:rsid w:val="00D04C57"/>
    <w:rsid w:val="00D06320"/>
    <w:rsid w:val="00D0691B"/>
    <w:rsid w:val="00D06966"/>
    <w:rsid w:val="00D06FFF"/>
    <w:rsid w:val="00D072D3"/>
    <w:rsid w:val="00D07CCD"/>
    <w:rsid w:val="00D114FF"/>
    <w:rsid w:val="00D11BC2"/>
    <w:rsid w:val="00D22700"/>
    <w:rsid w:val="00D24E40"/>
    <w:rsid w:val="00D2697A"/>
    <w:rsid w:val="00D31BB9"/>
    <w:rsid w:val="00D32139"/>
    <w:rsid w:val="00D40D38"/>
    <w:rsid w:val="00D42611"/>
    <w:rsid w:val="00D4295A"/>
    <w:rsid w:val="00D5079D"/>
    <w:rsid w:val="00D5561A"/>
    <w:rsid w:val="00D669B4"/>
    <w:rsid w:val="00D7062A"/>
    <w:rsid w:val="00D706EA"/>
    <w:rsid w:val="00D70BA1"/>
    <w:rsid w:val="00D71A52"/>
    <w:rsid w:val="00D74680"/>
    <w:rsid w:val="00D75A2E"/>
    <w:rsid w:val="00D75A98"/>
    <w:rsid w:val="00D9275B"/>
    <w:rsid w:val="00D93F9B"/>
    <w:rsid w:val="00D94979"/>
    <w:rsid w:val="00D94A21"/>
    <w:rsid w:val="00D94D96"/>
    <w:rsid w:val="00D95C4A"/>
    <w:rsid w:val="00DA224E"/>
    <w:rsid w:val="00DA2BB7"/>
    <w:rsid w:val="00DA2C2F"/>
    <w:rsid w:val="00DA3D7E"/>
    <w:rsid w:val="00DA7136"/>
    <w:rsid w:val="00DB3CD1"/>
    <w:rsid w:val="00DB4C5F"/>
    <w:rsid w:val="00DB709C"/>
    <w:rsid w:val="00DB74AF"/>
    <w:rsid w:val="00DC00F8"/>
    <w:rsid w:val="00DC01B4"/>
    <w:rsid w:val="00DC22CB"/>
    <w:rsid w:val="00DC3F85"/>
    <w:rsid w:val="00DC6637"/>
    <w:rsid w:val="00DC7845"/>
    <w:rsid w:val="00DC78A3"/>
    <w:rsid w:val="00DD0B6C"/>
    <w:rsid w:val="00DD25E4"/>
    <w:rsid w:val="00DD57C3"/>
    <w:rsid w:val="00DD6983"/>
    <w:rsid w:val="00DD6BDB"/>
    <w:rsid w:val="00DD7321"/>
    <w:rsid w:val="00DE39BD"/>
    <w:rsid w:val="00DE609E"/>
    <w:rsid w:val="00DF0C97"/>
    <w:rsid w:val="00DF1FF7"/>
    <w:rsid w:val="00DF5951"/>
    <w:rsid w:val="00E001A8"/>
    <w:rsid w:val="00E012B4"/>
    <w:rsid w:val="00E040FA"/>
    <w:rsid w:val="00E04490"/>
    <w:rsid w:val="00E046BB"/>
    <w:rsid w:val="00E06485"/>
    <w:rsid w:val="00E11091"/>
    <w:rsid w:val="00E114E4"/>
    <w:rsid w:val="00E16860"/>
    <w:rsid w:val="00E16B09"/>
    <w:rsid w:val="00E304C5"/>
    <w:rsid w:val="00E32095"/>
    <w:rsid w:val="00E327E5"/>
    <w:rsid w:val="00E3357B"/>
    <w:rsid w:val="00E34077"/>
    <w:rsid w:val="00E36B96"/>
    <w:rsid w:val="00E41461"/>
    <w:rsid w:val="00E44B09"/>
    <w:rsid w:val="00E45B3E"/>
    <w:rsid w:val="00E460A8"/>
    <w:rsid w:val="00E4618B"/>
    <w:rsid w:val="00E51155"/>
    <w:rsid w:val="00E52447"/>
    <w:rsid w:val="00E5498D"/>
    <w:rsid w:val="00E613C5"/>
    <w:rsid w:val="00E676BA"/>
    <w:rsid w:val="00E71AB2"/>
    <w:rsid w:val="00E743C8"/>
    <w:rsid w:val="00E7563D"/>
    <w:rsid w:val="00E757AF"/>
    <w:rsid w:val="00E75F91"/>
    <w:rsid w:val="00E7688C"/>
    <w:rsid w:val="00E76D5A"/>
    <w:rsid w:val="00E7753E"/>
    <w:rsid w:val="00E80092"/>
    <w:rsid w:val="00E8282E"/>
    <w:rsid w:val="00E8337B"/>
    <w:rsid w:val="00E84D5F"/>
    <w:rsid w:val="00E86A70"/>
    <w:rsid w:val="00E87BE5"/>
    <w:rsid w:val="00EA19DF"/>
    <w:rsid w:val="00EA293D"/>
    <w:rsid w:val="00EA3AA4"/>
    <w:rsid w:val="00EB04AE"/>
    <w:rsid w:val="00EB2530"/>
    <w:rsid w:val="00EB2EEB"/>
    <w:rsid w:val="00EB4B18"/>
    <w:rsid w:val="00EB5C63"/>
    <w:rsid w:val="00EB6FF1"/>
    <w:rsid w:val="00EB79C5"/>
    <w:rsid w:val="00EC05C1"/>
    <w:rsid w:val="00EC52E1"/>
    <w:rsid w:val="00EC784C"/>
    <w:rsid w:val="00ED7373"/>
    <w:rsid w:val="00EE177D"/>
    <w:rsid w:val="00EE2AAB"/>
    <w:rsid w:val="00EE3247"/>
    <w:rsid w:val="00EE4D2A"/>
    <w:rsid w:val="00EE5C37"/>
    <w:rsid w:val="00EE6BAA"/>
    <w:rsid w:val="00EE6FE2"/>
    <w:rsid w:val="00EF0988"/>
    <w:rsid w:val="00EF300D"/>
    <w:rsid w:val="00EF4E6A"/>
    <w:rsid w:val="00EF52C3"/>
    <w:rsid w:val="00EF5EC0"/>
    <w:rsid w:val="00EF652F"/>
    <w:rsid w:val="00EF7B13"/>
    <w:rsid w:val="00F059B0"/>
    <w:rsid w:val="00F0634B"/>
    <w:rsid w:val="00F10C7D"/>
    <w:rsid w:val="00F15BA0"/>
    <w:rsid w:val="00F17636"/>
    <w:rsid w:val="00F20836"/>
    <w:rsid w:val="00F22A0F"/>
    <w:rsid w:val="00F31D69"/>
    <w:rsid w:val="00F40016"/>
    <w:rsid w:val="00F4248F"/>
    <w:rsid w:val="00F44A66"/>
    <w:rsid w:val="00F516C5"/>
    <w:rsid w:val="00F527DC"/>
    <w:rsid w:val="00F52EE0"/>
    <w:rsid w:val="00F56CF1"/>
    <w:rsid w:val="00F607B3"/>
    <w:rsid w:val="00F63CDA"/>
    <w:rsid w:val="00F676D1"/>
    <w:rsid w:val="00F678B7"/>
    <w:rsid w:val="00F7124F"/>
    <w:rsid w:val="00F7208E"/>
    <w:rsid w:val="00F72D40"/>
    <w:rsid w:val="00F75746"/>
    <w:rsid w:val="00F757F1"/>
    <w:rsid w:val="00F76B03"/>
    <w:rsid w:val="00F77935"/>
    <w:rsid w:val="00F80057"/>
    <w:rsid w:val="00F80503"/>
    <w:rsid w:val="00F820F3"/>
    <w:rsid w:val="00F823E8"/>
    <w:rsid w:val="00F8546B"/>
    <w:rsid w:val="00F9179F"/>
    <w:rsid w:val="00F9425A"/>
    <w:rsid w:val="00F96208"/>
    <w:rsid w:val="00F976E6"/>
    <w:rsid w:val="00FA4B56"/>
    <w:rsid w:val="00FB4B92"/>
    <w:rsid w:val="00FB5640"/>
    <w:rsid w:val="00FB7B46"/>
    <w:rsid w:val="00FC0141"/>
    <w:rsid w:val="00FC08FB"/>
    <w:rsid w:val="00FC714E"/>
    <w:rsid w:val="00FD0709"/>
    <w:rsid w:val="00FD0E54"/>
    <w:rsid w:val="00FD23F1"/>
    <w:rsid w:val="00FD7FA4"/>
    <w:rsid w:val="00FE0DCD"/>
    <w:rsid w:val="00FE3CF4"/>
    <w:rsid w:val="00FF6EFD"/>
    <w:rsid w:val="01AD70C2"/>
    <w:rsid w:val="01FA60F7"/>
    <w:rsid w:val="022417EA"/>
    <w:rsid w:val="022C10EA"/>
    <w:rsid w:val="027F749F"/>
    <w:rsid w:val="031A57FC"/>
    <w:rsid w:val="033E5B87"/>
    <w:rsid w:val="03425EC1"/>
    <w:rsid w:val="03857E47"/>
    <w:rsid w:val="03AB01A7"/>
    <w:rsid w:val="040953B9"/>
    <w:rsid w:val="045354EF"/>
    <w:rsid w:val="04932EEF"/>
    <w:rsid w:val="04C46BFF"/>
    <w:rsid w:val="04C9443F"/>
    <w:rsid w:val="05941637"/>
    <w:rsid w:val="05951964"/>
    <w:rsid w:val="059A1D99"/>
    <w:rsid w:val="05C816BB"/>
    <w:rsid w:val="05F95942"/>
    <w:rsid w:val="06481ECF"/>
    <w:rsid w:val="06491022"/>
    <w:rsid w:val="06650337"/>
    <w:rsid w:val="06CA6F0E"/>
    <w:rsid w:val="06DC6768"/>
    <w:rsid w:val="07812925"/>
    <w:rsid w:val="07AA566C"/>
    <w:rsid w:val="07CA431C"/>
    <w:rsid w:val="07CE4A06"/>
    <w:rsid w:val="07E02B39"/>
    <w:rsid w:val="080F66DA"/>
    <w:rsid w:val="081052A1"/>
    <w:rsid w:val="081A6C05"/>
    <w:rsid w:val="08317F64"/>
    <w:rsid w:val="08474542"/>
    <w:rsid w:val="084817F0"/>
    <w:rsid w:val="08873750"/>
    <w:rsid w:val="089900D0"/>
    <w:rsid w:val="08CA51C1"/>
    <w:rsid w:val="08F60D91"/>
    <w:rsid w:val="092646C1"/>
    <w:rsid w:val="099C4BFB"/>
    <w:rsid w:val="09DA3F66"/>
    <w:rsid w:val="09E81516"/>
    <w:rsid w:val="09EC7A03"/>
    <w:rsid w:val="0A2E314F"/>
    <w:rsid w:val="0A955B91"/>
    <w:rsid w:val="0AA87740"/>
    <w:rsid w:val="0ACF1000"/>
    <w:rsid w:val="0AD27840"/>
    <w:rsid w:val="0AFD381C"/>
    <w:rsid w:val="0B032B8D"/>
    <w:rsid w:val="0B134999"/>
    <w:rsid w:val="0B260C4F"/>
    <w:rsid w:val="0B6B0822"/>
    <w:rsid w:val="0B881B14"/>
    <w:rsid w:val="0B8956E5"/>
    <w:rsid w:val="0BBC3E96"/>
    <w:rsid w:val="0BCF5D9D"/>
    <w:rsid w:val="0C0F3843"/>
    <w:rsid w:val="0C1F3DF6"/>
    <w:rsid w:val="0C243E2A"/>
    <w:rsid w:val="0C330459"/>
    <w:rsid w:val="0C3F76F4"/>
    <w:rsid w:val="0C5578A5"/>
    <w:rsid w:val="0C723FCD"/>
    <w:rsid w:val="0C820D9D"/>
    <w:rsid w:val="0C8913A4"/>
    <w:rsid w:val="0C96140B"/>
    <w:rsid w:val="0D3F2409"/>
    <w:rsid w:val="0D510239"/>
    <w:rsid w:val="0D787973"/>
    <w:rsid w:val="0D844C57"/>
    <w:rsid w:val="0D992A4F"/>
    <w:rsid w:val="0DA90C99"/>
    <w:rsid w:val="0DCE05F5"/>
    <w:rsid w:val="0DCF5807"/>
    <w:rsid w:val="0E381045"/>
    <w:rsid w:val="0E8C396F"/>
    <w:rsid w:val="0E9309A3"/>
    <w:rsid w:val="0EBE0829"/>
    <w:rsid w:val="0F022E1D"/>
    <w:rsid w:val="0F40267E"/>
    <w:rsid w:val="0F4B533E"/>
    <w:rsid w:val="0F6C653E"/>
    <w:rsid w:val="0F6C728B"/>
    <w:rsid w:val="0F9D05FF"/>
    <w:rsid w:val="0FA118E0"/>
    <w:rsid w:val="109B34C4"/>
    <w:rsid w:val="10D10D1E"/>
    <w:rsid w:val="10DB4CBD"/>
    <w:rsid w:val="10F17CDA"/>
    <w:rsid w:val="11562030"/>
    <w:rsid w:val="11701017"/>
    <w:rsid w:val="11923189"/>
    <w:rsid w:val="11BC5BE6"/>
    <w:rsid w:val="11CD654E"/>
    <w:rsid w:val="12431533"/>
    <w:rsid w:val="12553727"/>
    <w:rsid w:val="12A560C0"/>
    <w:rsid w:val="12C80F7D"/>
    <w:rsid w:val="12FA3198"/>
    <w:rsid w:val="13087988"/>
    <w:rsid w:val="1386413B"/>
    <w:rsid w:val="13BA0E52"/>
    <w:rsid w:val="13BB42FE"/>
    <w:rsid w:val="143847E8"/>
    <w:rsid w:val="144152CE"/>
    <w:rsid w:val="145F0B86"/>
    <w:rsid w:val="14A402F6"/>
    <w:rsid w:val="14A75BD3"/>
    <w:rsid w:val="14B96B9F"/>
    <w:rsid w:val="159F3F1C"/>
    <w:rsid w:val="15C17EA5"/>
    <w:rsid w:val="15FC3C5D"/>
    <w:rsid w:val="161539F8"/>
    <w:rsid w:val="162E7D1A"/>
    <w:rsid w:val="16ED43BC"/>
    <w:rsid w:val="16FA0D66"/>
    <w:rsid w:val="16FB338D"/>
    <w:rsid w:val="17222DFE"/>
    <w:rsid w:val="172E4E19"/>
    <w:rsid w:val="17331236"/>
    <w:rsid w:val="17A844C6"/>
    <w:rsid w:val="17C0626C"/>
    <w:rsid w:val="17C56A1D"/>
    <w:rsid w:val="17CE1DCE"/>
    <w:rsid w:val="18D559A4"/>
    <w:rsid w:val="191847CD"/>
    <w:rsid w:val="193E2251"/>
    <w:rsid w:val="194B5193"/>
    <w:rsid w:val="197078C6"/>
    <w:rsid w:val="19A61D58"/>
    <w:rsid w:val="19CE57A5"/>
    <w:rsid w:val="19D068FB"/>
    <w:rsid w:val="1A033DAD"/>
    <w:rsid w:val="1A1107EE"/>
    <w:rsid w:val="1A2623A5"/>
    <w:rsid w:val="1A284C98"/>
    <w:rsid w:val="1A3369C8"/>
    <w:rsid w:val="1A561548"/>
    <w:rsid w:val="1A6C1301"/>
    <w:rsid w:val="1AE71C4A"/>
    <w:rsid w:val="1AFB5771"/>
    <w:rsid w:val="1B3B4C55"/>
    <w:rsid w:val="1B3E4BE0"/>
    <w:rsid w:val="1B4A2D35"/>
    <w:rsid w:val="1B677FE0"/>
    <w:rsid w:val="1BCE0A5A"/>
    <w:rsid w:val="1BDE5250"/>
    <w:rsid w:val="1BF0048C"/>
    <w:rsid w:val="1BF3128B"/>
    <w:rsid w:val="1C1C40DA"/>
    <w:rsid w:val="1C204B72"/>
    <w:rsid w:val="1C823391"/>
    <w:rsid w:val="1CB23AEE"/>
    <w:rsid w:val="1CBE20FC"/>
    <w:rsid w:val="1CC51F1F"/>
    <w:rsid w:val="1CE85609"/>
    <w:rsid w:val="1D280FD7"/>
    <w:rsid w:val="1D54352C"/>
    <w:rsid w:val="1D5F6CCA"/>
    <w:rsid w:val="1DA258FB"/>
    <w:rsid w:val="1DC64CD8"/>
    <w:rsid w:val="1E320145"/>
    <w:rsid w:val="1E5777CA"/>
    <w:rsid w:val="1E58446C"/>
    <w:rsid w:val="1EC43873"/>
    <w:rsid w:val="1ED64CEF"/>
    <w:rsid w:val="1EEA1F41"/>
    <w:rsid w:val="1EF83379"/>
    <w:rsid w:val="1F2C7368"/>
    <w:rsid w:val="1F2E30D6"/>
    <w:rsid w:val="1FAF4E3B"/>
    <w:rsid w:val="1FE20029"/>
    <w:rsid w:val="1FE67A2A"/>
    <w:rsid w:val="201E69C0"/>
    <w:rsid w:val="202009A2"/>
    <w:rsid w:val="20637E8A"/>
    <w:rsid w:val="20711D06"/>
    <w:rsid w:val="21332428"/>
    <w:rsid w:val="21464490"/>
    <w:rsid w:val="219E6FF3"/>
    <w:rsid w:val="21FB3A00"/>
    <w:rsid w:val="21FF77BB"/>
    <w:rsid w:val="230C79F5"/>
    <w:rsid w:val="233F474B"/>
    <w:rsid w:val="234B7B35"/>
    <w:rsid w:val="23511A08"/>
    <w:rsid w:val="236A7B88"/>
    <w:rsid w:val="23B14708"/>
    <w:rsid w:val="240630D0"/>
    <w:rsid w:val="2431386F"/>
    <w:rsid w:val="24BD7B15"/>
    <w:rsid w:val="25235B3E"/>
    <w:rsid w:val="25397004"/>
    <w:rsid w:val="25A56F98"/>
    <w:rsid w:val="264E37AE"/>
    <w:rsid w:val="26853417"/>
    <w:rsid w:val="26960CC4"/>
    <w:rsid w:val="269777D4"/>
    <w:rsid w:val="26B07F9F"/>
    <w:rsid w:val="27560537"/>
    <w:rsid w:val="27813F15"/>
    <w:rsid w:val="27DF1415"/>
    <w:rsid w:val="27EC116E"/>
    <w:rsid w:val="27F66674"/>
    <w:rsid w:val="28306F69"/>
    <w:rsid w:val="285249B8"/>
    <w:rsid w:val="286B09FD"/>
    <w:rsid w:val="286E1984"/>
    <w:rsid w:val="28997484"/>
    <w:rsid w:val="28CB3969"/>
    <w:rsid w:val="291D653A"/>
    <w:rsid w:val="292C43BB"/>
    <w:rsid w:val="29576F26"/>
    <w:rsid w:val="296B640A"/>
    <w:rsid w:val="2972625F"/>
    <w:rsid w:val="29767907"/>
    <w:rsid w:val="297A74D8"/>
    <w:rsid w:val="298E380D"/>
    <w:rsid w:val="29AA242C"/>
    <w:rsid w:val="29C51C07"/>
    <w:rsid w:val="29C75FDB"/>
    <w:rsid w:val="29CF4A20"/>
    <w:rsid w:val="29F36FE0"/>
    <w:rsid w:val="2AA96857"/>
    <w:rsid w:val="2AE52A07"/>
    <w:rsid w:val="2AF24EC3"/>
    <w:rsid w:val="2B0903ED"/>
    <w:rsid w:val="2B137431"/>
    <w:rsid w:val="2B2D7771"/>
    <w:rsid w:val="2B8034D7"/>
    <w:rsid w:val="2B8F0668"/>
    <w:rsid w:val="2BB20A58"/>
    <w:rsid w:val="2BF057FB"/>
    <w:rsid w:val="2C3F2C16"/>
    <w:rsid w:val="2C5F4BE0"/>
    <w:rsid w:val="2CA73E0E"/>
    <w:rsid w:val="2CCA7B38"/>
    <w:rsid w:val="2CF543AE"/>
    <w:rsid w:val="2D662CEF"/>
    <w:rsid w:val="2D7302D3"/>
    <w:rsid w:val="2DA97EE5"/>
    <w:rsid w:val="2DE146BC"/>
    <w:rsid w:val="2DF91AB7"/>
    <w:rsid w:val="2E0E3A74"/>
    <w:rsid w:val="2E4C38E2"/>
    <w:rsid w:val="2E506CEA"/>
    <w:rsid w:val="2E906D06"/>
    <w:rsid w:val="2EBE67E5"/>
    <w:rsid w:val="2ECD18C2"/>
    <w:rsid w:val="2F522633"/>
    <w:rsid w:val="2F5E2D96"/>
    <w:rsid w:val="2FCA0D36"/>
    <w:rsid w:val="2FDB5CC5"/>
    <w:rsid w:val="2FE12AE8"/>
    <w:rsid w:val="301265B1"/>
    <w:rsid w:val="307545BF"/>
    <w:rsid w:val="309A1D62"/>
    <w:rsid w:val="30A525E6"/>
    <w:rsid w:val="30E154EA"/>
    <w:rsid w:val="30ED481D"/>
    <w:rsid w:val="310966F9"/>
    <w:rsid w:val="314C1FD1"/>
    <w:rsid w:val="315E2595"/>
    <w:rsid w:val="316E04D9"/>
    <w:rsid w:val="317E4AFA"/>
    <w:rsid w:val="31815DC7"/>
    <w:rsid w:val="31DB17D4"/>
    <w:rsid w:val="32164A32"/>
    <w:rsid w:val="32352D3F"/>
    <w:rsid w:val="324F5143"/>
    <w:rsid w:val="32802E0C"/>
    <w:rsid w:val="329E673E"/>
    <w:rsid w:val="32DD2C1B"/>
    <w:rsid w:val="32E16863"/>
    <w:rsid w:val="32E72634"/>
    <w:rsid w:val="33535B0E"/>
    <w:rsid w:val="33BA3DB1"/>
    <w:rsid w:val="33C331C5"/>
    <w:rsid w:val="33CA2AA8"/>
    <w:rsid w:val="33F27615"/>
    <w:rsid w:val="348B131A"/>
    <w:rsid w:val="3498545D"/>
    <w:rsid w:val="35057CAD"/>
    <w:rsid w:val="354B3B4E"/>
    <w:rsid w:val="35546343"/>
    <w:rsid w:val="35641856"/>
    <w:rsid w:val="359E2916"/>
    <w:rsid w:val="35A47FFA"/>
    <w:rsid w:val="35BC3BE0"/>
    <w:rsid w:val="35CB7A9B"/>
    <w:rsid w:val="3611550F"/>
    <w:rsid w:val="361C61D5"/>
    <w:rsid w:val="36327C8A"/>
    <w:rsid w:val="36F331FE"/>
    <w:rsid w:val="36F42E9A"/>
    <w:rsid w:val="372943E5"/>
    <w:rsid w:val="37400B53"/>
    <w:rsid w:val="374D46E4"/>
    <w:rsid w:val="377C67B2"/>
    <w:rsid w:val="37813D7F"/>
    <w:rsid w:val="37854978"/>
    <w:rsid w:val="378A27B4"/>
    <w:rsid w:val="37945FD4"/>
    <w:rsid w:val="37A44F91"/>
    <w:rsid w:val="37CF4D35"/>
    <w:rsid w:val="37FA3653"/>
    <w:rsid w:val="38635D4C"/>
    <w:rsid w:val="386E5F15"/>
    <w:rsid w:val="3874295B"/>
    <w:rsid w:val="387839CF"/>
    <w:rsid w:val="38CB4D71"/>
    <w:rsid w:val="3A160103"/>
    <w:rsid w:val="3A9720E3"/>
    <w:rsid w:val="3ABD368F"/>
    <w:rsid w:val="3ABE51ED"/>
    <w:rsid w:val="3AFC4BBC"/>
    <w:rsid w:val="3B1E3B9E"/>
    <w:rsid w:val="3B2559FA"/>
    <w:rsid w:val="3B27383A"/>
    <w:rsid w:val="3B502ED0"/>
    <w:rsid w:val="3B9B78D0"/>
    <w:rsid w:val="3BCC23D2"/>
    <w:rsid w:val="3BFF4398"/>
    <w:rsid w:val="3C090F74"/>
    <w:rsid w:val="3C095919"/>
    <w:rsid w:val="3C352E53"/>
    <w:rsid w:val="3C991DFF"/>
    <w:rsid w:val="3CD016A9"/>
    <w:rsid w:val="3D8022C9"/>
    <w:rsid w:val="3D917497"/>
    <w:rsid w:val="3DEA042B"/>
    <w:rsid w:val="3DFE6870"/>
    <w:rsid w:val="3E214A88"/>
    <w:rsid w:val="3E6E706B"/>
    <w:rsid w:val="3E963C03"/>
    <w:rsid w:val="3EF96C8D"/>
    <w:rsid w:val="3F203713"/>
    <w:rsid w:val="3FB14895"/>
    <w:rsid w:val="3FBE41E2"/>
    <w:rsid w:val="40071190"/>
    <w:rsid w:val="40520E88"/>
    <w:rsid w:val="4089679F"/>
    <w:rsid w:val="40E759F0"/>
    <w:rsid w:val="40F1187B"/>
    <w:rsid w:val="410267E3"/>
    <w:rsid w:val="41163263"/>
    <w:rsid w:val="41366D8A"/>
    <w:rsid w:val="419D72F8"/>
    <w:rsid w:val="41D616F3"/>
    <w:rsid w:val="428003B2"/>
    <w:rsid w:val="42DB4B7C"/>
    <w:rsid w:val="43252A67"/>
    <w:rsid w:val="437835D9"/>
    <w:rsid w:val="43C535EF"/>
    <w:rsid w:val="43D50488"/>
    <w:rsid w:val="4425233E"/>
    <w:rsid w:val="443A0FA1"/>
    <w:rsid w:val="447643F8"/>
    <w:rsid w:val="44E80110"/>
    <w:rsid w:val="452C295B"/>
    <w:rsid w:val="45401F52"/>
    <w:rsid w:val="45B241FC"/>
    <w:rsid w:val="45F57E5E"/>
    <w:rsid w:val="461A7BF1"/>
    <w:rsid w:val="4641549E"/>
    <w:rsid w:val="46A755FF"/>
    <w:rsid w:val="46BA294A"/>
    <w:rsid w:val="46F21D16"/>
    <w:rsid w:val="472E32C6"/>
    <w:rsid w:val="47787DC0"/>
    <w:rsid w:val="47843467"/>
    <w:rsid w:val="47AE74D5"/>
    <w:rsid w:val="47C91A90"/>
    <w:rsid w:val="482C10C2"/>
    <w:rsid w:val="48695475"/>
    <w:rsid w:val="48A511AB"/>
    <w:rsid w:val="48B00082"/>
    <w:rsid w:val="48BD78CA"/>
    <w:rsid w:val="49277812"/>
    <w:rsid w:val="49622174"/>
    <w:rsid w:val="49625AF6"/>
    <w:rsid w:val="497A16F3"/>
    <w:rsid w:val="49913450"/>
    <w:rsid w:val="49947E81"/>
    <w:rsid w:val="49DC6214"/>
    <w:rsid w:val="49DE77A2"/>
    <w:rsid w:val="49F76774"/>
    <w:rsid w:val="4A291E03"/>
    <w:rsid w:val="4A900BC0"/>
    <w:rsid w:val="4A9D5722"/>
    <w:rsid w:val="4AAD488C"/>
    <w:rsid w:val="4ADC01BD"/>
    <w:rsid w:val="4B0F51D4"/>
    <w:rsid w:val="4B476598"/>
    <w:rsid w:val="4B4E04B7"/>
    <w:rsid w:val="4BFF2F0D"/>
    <w:rsid w:val="4C0456BE"/>
    <w:rsid w:val="4C0E6E52"/>
    <w:rsid w:val="4C567541"/>
    <w:rsid w:val="4C7C02F5"/>
    <w:rsid w:val="4D561A3C"/>
    <w:rsid w:val="4D611582"/>
    <w:rsid w:val="4D6C1838"/>
    <w:rsid w:val="4D7D497C"/>
    <w:rsid w:val="4D9F2B46"/>
    <w:rsid w:val="4E016F38"/>
    <w:rsid w:val="4E071867"/>
    <w:rsid w:val="4E0738E0"/>
    <w:rsid w:val="4E6D044E"/>
    <w:rsid w:val="4E775F7D"/>
    <w:rsid w:val="4E90249C"/>
    <w:rsid w:val="4E95578B"/>
    <w:rsid w:val="4EA13139"/>
    <w:rsid w:val="4EA25C85"/>
    <w:rsid w:val="4EA61A5C"/>
    <w:rsid w:val="4EAD2B51"/>
    <w:rsid w:val="4EDA7210"/>
    <w:rsid w:val="4EE25D17"/>
    <w:rsid w:val="4EF01F87"/>
    <w:rsid w:val="4F192AC0"/>
    <w:rsid w:val="4F485312"/>
    <w:rsid w:val="4F5D037F"/>
    <w:rsid w:val="4FBC4948"/>
    <w:rsid w:val="4FE86C11"/>
    <w:rsid w:val="50063919"/>
    <w:rsid w:val="503C192F"/>
    <w:rsid w:val="504340CD"/>
    <w:rsid w:val="505E0A09"/>
    <w:rsid w:val="50933F3F"/>
    <w:rsid w:val="50A61334"/>
    <w:rsid w:val="514161AE"/>
    <w:rsid w:val="515C68F9"/>
    <w:rsid w:val="51746DF8"/>
    <w:rsid w:val="5194499C"/>
    <w:rsid w:val="51D52D4B"/>
    <w:rsid w:val="51E4299F"/>
    <w:rsid w:val="521A10C4"/>
    <w:rsid w:val="524A7B7A"/>
    <w:rsid w:val="524C178D"/>
    <w:rsid w:val="5252144C"/>
    <w:rsid w:val="527D47B1"/>
    <w:rsid w:val="528E5602"/>
    <w:rsid w:val="52A441AC"/>
    <w:rsid w:val="52A55A57"/>
    <w:rsid w:val="52AC094D"/>
    <w:rsid w:val="52B514D0"/>
    <w:rsid w:val="52D1026F"/>
    <w:rsid w:val="5350500D"/>
    <w:rsid w:val="537127BA"/>
    <w:rsid w:val="537C2308"/>
    <w:rsid w:val="53D11ED9"/>
    <w:rsid w:val="53EA79BA"/>
    <w:rsid w:val="53FA3CA9"/>
    <w:rsid w:val="5419710C"/>
    <w:rsid w:val="546C782C"/>
    <w:rsid w:val="548010BF"/>
    <w:rsid w:val="548736AE"/>
    <w:rsid w:val="54BA63B6"/>
    <w:rsid w:val="54EE2765"/>
    <w:rsid w:val="54F47686"/>
    <w:rsid w:val="55A3116A"/>
    <w:rsid w:val="567D0470"/>
    <w:rsid w:val="56AA1966"/>
    <w:rsid w:val="56BF2918"/>
    <w:rsid w:val="56C472A1"/>
    <w:rsid w:val="56F47B7E"/>
    <w:rsid w:val="578E6884"/>
    <w:rsid w:val="57B6124F"/>
    <w:rsid w:val="57C213E7"/>
    <w:rsid w:val="57E84A6F"/>
    <w:rsid w:val="58132F61"/>
    <w:rsid w:val="581552B7"/>
    <w:rsid w:val="582E0E3C"/>
    <w:rsid w:val="58335A19"/>
    <w:rsid w:val="58A02FC2"/>
    <w:rsid w:val="594D3595"/>
    <w:rsid w:val="595402E8"/>
    <w:rsid w:val="59D7204F"/>
    <w:rsid w:val="5A2B2EB7"/>
    <w:rsid w:val="5A596C99"/>
    <w:rsid w:val="5A5D6F7E"/>
    <w:rsid w:val="5A6366B3"/>
    <w:rsid w:val="5A747E7B"/>
    <w:rsid w:val="5A8C0B0E"/>
    <w:rsid w:val="5AF5651C"/>
    <w:rsid w:val="5B3A4D6A"/>
    <w:rsid w:val="5B5247F5"/>
    <w:rsid w:val="5B636C7C"/>
    <w:rsid w:val="5B995A97"/>
    <w:rsid w:val="5B9E2FC1"/>
    <w:rsid w:val="5BBA5D28"/>
    <w:rsid w:val="5BED19F4"/>
    <w:rsid w:val="5C0C39CE"/>
    <w:rsid w:val="5C0E08A2"/>
    <w:rsid w:val="5C201789"/>
    <w:rsid w:val="5C2A52C5"/>
    <w:rsid w:val="5C2F70A2"/>
    <w:rsid w:val="5C691310"/>
    <w:rsid w:val="5C935A1A"/>
    <w:rsid w:val="5CA10B34"/>
    <w:rsid w:val="5CB179C5"/>
    <w:rsid w:val="5CCC5D71"/>
    <w:rsid w:val="5D152857"/>
    <w:rsid w:val="5D5E6A53"/>
    <w:rsid w:val="5D685E64"/>
    <w:rsid w:val="5D6E637A"/>
    <w:rsid w:val="5D9F6431"/>
    <w:rsid w:val="5DA75FB2"/>
    <w:rsid w:val="5DC47EAD"/>
    <w:rsid w:val="5E46595A"/>
    <w:rsid w:val="5EDD6792"/>
    <w:rsid w:val="5EF4726A"/>
    <w:rsid w:val="5F256F26"/>
    <w:rsid w:val="5F7C0882"/>
    <w:rsid w:val="5FBC79F4"/>
    <w:rsid w:val="600B3CB9"/>
    <w:rsid w:val="6032382C"/>
    <w:rsid w:val="603900E0"/>
    <w:rsid w:val="607944AE"/>
    <w:rsid w:val="609D31EF"/>
    <w:rsid w:val="60CD42CD"/>
    <w:rsid w:val="60D35481"/>
    <w:rsid w:val="610B478D"/>
    <w:rsid w:val="615A47BA"/>
    <w:rsid w:val="627C1875"/>
    <w:rsid w:val="62A15DA4"/>
    <w:rsid w:val="62D968EB"/>
    <w:rsid w:val="62F14357"/>
    <w:rsid w:val="630629A1"/>
    <w:rsid w:val="6312082D"/>
    <w:rsid w:val="639A6845"/>
    <w:rsid w:val="63A368C1"/>
    <w:rsid w:val="63A86607"/>
    <w:rsid w:val="63D40494"/>
    <w:rsid w:val="63E16C8E"/>
    <w:rsid w:val="64273A0B"/>
    <w:rsid w:val="649F2364"/>
    <w:rsid w:val="64FE0FC7"/>
    <w:rsid w:val="651A5434"/>
    <w:rsid w:val="65420CEB"/>
    <w:rsid w:val="65811DFF"/>
    <w:rsid w:val="65D11CF6"/>
    <w:rsid w:val="65DC6980"/>
    <w:rsid w:val="661063CD"/>
    <w:rsid w:val="663426A3"/>
    <w:rsid w:val="66867E32"/>
    <w:rsid w:val="66F6684B"/>
    <w:rsid w:val="676255F3"/>
    <w:rsid w:val="67673E39"/>
    <w:rsid w:val="677C51F1"/>
    <w:rsid w:val="67A30602"/>
    <w:rsid w:val="67DC33BA"/>
    <w:rsid w:val="67FE5CAE"/>
    <w:rsid w:val="681E5E96"/>
    <w:rsid w:val="6854713E"/>
    <w:rsid w:val="6865576D"/>
    <w:rsid w:val="68852C8E"/>
    <w:rsid w:val="689C11C5"/>
    <w:rsid w:val="68CA6760"/>
    <w:rsid w:val="69143E1A"/>
    <w:rsid w:val="69A64B51"/>
    <w:rsid w:val="6A3D3DFF"/>
    <w:rsid w:val="6A6C5263"/>
    <w:rsid w:val="6A8F5E03"/>
    <w:rsid w:val="6AA94CBB"/>
    <w:rsid w:val="6AD12D53"/>
    <w:rsid w:val="6B3E0324"/>
    <w:rsid w:val="6B433011"/>
    <w:rsid w:val="6B5E0A03"/>
    <w:rsid w:val="6BD33523"/>
    <w:rsid w:val="6C0844C7"/>
    <w:rsid w:val="6C4F046A"/>
    <w:rsid w:val="6C7750CB"/>
    <w:rsid w:val="6CF158B5"/>
    <w:rsid w:val="6DAE186C"/>
    <w:rsid w:val="6DE372D9"/>
    <w:rsid w:val="6DF71F59"/>
    <w:rsid w:val="6E3E1358"/>
    <w:rsid w:val="6E430C20"/>
    <w:rsid w:val="6ED83CB3"/>
    <w:rsid w:val="6ED9001B"/>
    <w:rsid w:val="6F2016BE"/>
    <w:rsid w:val="6F4450AC"/>
    <w:rsid w:val="6F4F2DE7"/>
    <w:rsid w:val="6F6A678F"/>
    <w:rsid w:val="6F7D13E7"/>
    <w:rsid w:val="6F98085D"/>
    <w:rsid w:val="6FBF7DD9"/>
    <w:rsid w:val="70731D25"/>
    <w:rsid w:val="709275FF"/>
    <w:rsid w:val="70961672"/>
    <w:rsid w:val="70CC1C98"/>
    <w:rsid w:val="70F16D6C"/>
    <w:rsid w:val="70FE47A5"/>
    <w:rsid w:val="71190330"/>
    <w:rsid w:val="714762E6"/>
    <w:rsid w:val="716B2A09"/>
    <w:rsid w:val="71942299"/>
    <w:rsid w:val="71B51CD3"/>
    <w:rsid w:val="71B53CB7"/>
    <w:rsid w:val="71E42082"/>
    <w:rsid w:val="720410F0"/>
    <w:rsid w:val="72CA12B1"/>
    <w:rsid w:val="72D676B3"/>
    <w:rsid w:val="72E1051A"/>
    <w:rsid w:val="72FD66AE"/>
    <w:rsid w:val="73436804"/>
    <w:rsid w:val="735E6354"/>
    <w:rsid w:val="73BE6D5C"/>
    <w:rsid w:val="73C12652"/>
    <w:rsid w:val="73E11664"/>
    <w:rsid w:val="73EA4E4C"/>
    <w:rsid w:val="74003373"/>
    <w:rsid w:val="7412551C"/>
    <w:rsid w:val="7414001A"/>
    <w:rsid w:val="74994ADB"/>
    <w:rsid w:val="74B30AF8"/>
    <w:rsid w:val="74DC3719"/>
    <w:rsid w:val="75431DF5"/>
    <w:rsid w:val="75EB163A"/>
    <w:rsid w:val="75EE0105"/>
    <w:rsid w:val="760F6E99"/>
    <w:rsid w:val="7646531F"/>
    <w:rsid w:val="767D2E2C"/>
    <w:rsid w:val="76907AF5"/>
    <w:rsid w:val="76A102D7"/>
    <w:rsid w:val="77340DB2"/>
    <w:rsid w:val="77F54595"/>
    <w:rsid w:val="782869F8"/>
    <w:rsid w:val="784766EA"/>
    <w:rsid w:val="785406A3"/>
    <w:rsid w:val="788E1AB4"/>
    <w:rsid w:val="78C12089"/>
    <w:rsid w:val="78D250D1"/>
    <w:rsid w:val="78E4189A"/>
    <w:rsid w:val="79442426"/>
    <w:rsid w:val="7989449A"/>
    <w:rsid w:val="79A0321C"/>
    <w:rsid w:val="79A07D4E"/>
    <w:rsid w:val="7A1A19E7"/>
    <w:rsid w:val="7A294231"/>
    <w:rsid w:val="7A366FBF"/>
    <w:rsid w:val="7A6A20D1"/>
    <w:rsid w:val="7ACA27B7"/>
    <w:rsid w:val="7B2D62D2"/>
    <w:rsid w:val="7B3C6457"/>
    <w:rsid w:val="7B91726B"/>
    <w:rsid w:val="7C215D74"/>
    <w:rsid w:val="7C7B251A"/>
    <w:rsid w:val="7CBB47C2"/>
    <w:rsid w:val="7CCA790B"/>
    <w:rsid w:val="7D0F1AC8"/>
    <w:rsid w:val="7D2E221B"/>
    <w:rsid w:val="7D5170DA"/>
    <w:rsid w:val="7D7609EE"/>
    <w:rsid w:val="7DA35654"/>
    <w:rsid w:val="7DAC6234"/>
    <w:rsid w:val="7DE36142"/>
    <w:rsid w:val="7DE94D8E"/>
    <w:rsid w:val="7E7A28A3"/>
    <w:rsid w:val="7EC75054"/>
    <w:rsid w:val="7F4029C8"/>
    <w:rsid w:val="7F4205CE"/>
    <w:rsid w:val="7F4233D9"/>
    <w:rsid w:val="7F5E6069"/>
    <w:rsid w:val="7F5F04E4"/>
    <w:rsid w:val="7FDF2E27"/>
    <w:rsid w:val="7FE91B90"/>
    <w:rsid w:val="7FEE6A0D"/>
    <w:rsid w:val="7FEF7A40"/>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1"/>
    <w:link w:val="72"/>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3"/>
    <w:qFormat/>
    <w:uiPriority w:val="0"/>
    <w:pPr>
      <w:keepNext/>
      <w:keepLines/>
      <w:spacing w:before="260" w:after="260" w:line="360" w:lineRule="auto"/>
      <w:ind w:left="171" w:leftChars="171"/>
      <w:outlineLvl w:val="2"/>
    </w:pPr>
    <w:rPr>
      <w:rFonts w:eastAsia="Arial Unicode MS"/>
      <w:b/>
      <w:szCs w:val="20"/>
    </w:rPr>
  </w:style>
  <w:style w:type="paragraph" w:styleId="5">
    <w:name w:val="heading 4"/>
    <w:basedOn w:val="1"/>
    <w:next w:val="1"/>
    <w:link w:val="74"/>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5"/>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76"/>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7"/>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78"/>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79"/>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numPr>
        <w:ilvl w:val="0"/>
        <w:numId w:val="1"/>
      </w:numPr>
      <w:tabs>
        <w:tab w:val="left" w:pos="840"/>
      </w:tabs>
    </w:pPr>
    <w:rPr>
      <w:rFonts w:ascii="Calibri" w:hAnsi="Calibri"/>
      <w:sz w:val="28"/>
      <w:szCs w:val="22"/>
    </w:rPr>
  </w:style>
  <w:style w:type="paragraph" w:styleId="16">
    <w:name w:val="Normal Indent"/>
    <w:basedOn w:val="1"/>
    <w:link w:val="119"/>
    <w:qFormat/>
    <w:uiPriority w:val="0"/>
    <w:pPr>
      <w:ind w:firstLine="420" w:firstLineChars="200"/>
    </w:pPr>
    <w:rPr>
      <w:rFonts w:asciiTheme="minorHAnsi" w:hAnsiTheme="minorHAnsi" w:eastAsiaTheme="minorEastAsia" w:cstheme="minorBidi"/>
    </w:rPr>
  </w:style>
  <w:style w:type="paragraph" w:styleId="17">
    <w:name w:val="caption"/>
    <w:basedOn w:val="1"/>
    <w:next w:val="1"/>
    <w:link w:val="200"/>
    <w:qFormat/>
    <w:uiPriority w:val="0"/>
    <w:pPr>
      <w:widowControl/>
      <w:jc w:val="left"/>
    </w:pPr>
    <w:rPr>
      <w:rFonts w:ascii="Arial" w:hAnsi="Arial" w:eastAsia="黑体" w:cstheme="minorBidi"/>
      <w:szCs w:val="22"/>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256"/>
    <w:qFormat/>
    <w:uiPriority w:val="99"/>
    <w:pPr>
      <w:shd w:val="clear" w:color="auto" w:fill="000080"/>
    </w:pPr>
    <w:rPr>
      <w:rFonts w:asciiTheme="minorHAnsi" w:hAnsiTheme="minorHAnsi" w:eastAsiaTheme="minorEastAsia" w:cstheme="minorBidi"/>
    </w:rPr>
  </w:style>
  <w:style w:type="paragraph" w:styleId="21">
    <w:name w:val="annotation text"/>
    <w:basedOn w:val="1"/>
    <w:link w:val="244"/>
    <w:unhideWhenUsed/>
    <w:qFormat/>
    <w:uiPriority w:val="0"/>
    <w:pPr>
      <w:jc w:val="left"/>
    </w:pPr>
  </w:style>
  <w:style w:type="paragraph" w:styleId="22">
    <w:name w:val="Salutation"/>
    <w:basedOn w:val="1"/>
    <w:next w:val="1"/>
    <w:link w:val="253"/>
    <w:qFormat/>
    <w:uiPriority w:val="0"/>
    <w:rPr>
      <w:rFonts w:asciiTheme="minorHAnsi" w:hAnsiTheme="minorHAnsi" w:eastAsiaTheme="minorEastAsia" w:cstheme="minorBidi"/>
    </w:rPr>
  </w:style>
  <w:style w:type="paragraph" w:styleId="23">
    <w:name w:val="Body Text 3"/>
    <w:basedOn w:val="1"/>
    <w:link w:val="224"/>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4">
    <w:name w:val="Closing"/>
    <w:basedOn w:val="1"/>
    <w:link w:val="285"/>
    <w:qFormat/>
    <w:uiPriority w:val="0"/>
    <w:pPr>
      <w:ind w:left="100" w:leftChars="2100"/>
    </w:pPr>
    <w:rPr>
      <w:rFonts w:ascii="宋体" w:hAnsi="宋体" w:eastAsiaTheme="minorEastAsia" w:cstheme="minorBidi"/>
      <w:b/>
      <w:sz w:val="24"/>
    </w:rPr>
  </w:style>
  <w:style w:type="paragraph" w:styleId="25">
    <w:name w:val="List Bullet 3"/>
    <w:basedOn w:val="1"/>
    <w:unhideWhenUsed/>
    <w:qFormat/>
    <w:uiPriority w:val="0"/>
    <w:pPr>
      <w:tabs>
        <w:tab w:val="left" w:pos="1200"/>
      </w:tabs>
      <w:ind w:left="1200" w:leftChars="400" w:hanging="360" w:hangingChars="200"/>
      <w:contextualSpacing/>
    </w:pPr>
    <w:rPr>
      <w:szCs w:val="20"/>
    </w:rPr>
  </w:style>
  <w:style w:type="paragraph" w:styleId="26">
    <w:name w:val="Body Text"/>
    <w:basedOn w:val="1"/>
    <w:next w:val="1"/>
    <w:link w:val="250"/>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7">
    <w:name w:val="Body Text Indent"/>
    <w:basedOn w:val="1"/>
    <w:link w:val="221"/>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28">
    <w:name w:val="List 2"/>
    <w:basedOn w:val="1"/>
    <w:qFormat/>
    <w:uiPriority w:val="0"/>
    <w:pPr>
      <w:spacing w:beforeLines="50" w:afterLines="50" w:line="360" w:lineRule="auto"/>
      <w:ind w:left="100" w:leftChars="200" w:hanging="200" w:hangingChars="200"/>
    </w:pPr>
    <w:rPr>
      <w:sz w:val="24"/>
    </w:rPr>
  </w:style>
  <w:style w:type="paragraph" w:styleId="29">
    <w:name w:val="Block Text"/>
    <w:basedOn w:val="1"/>
    <w:qFormat/>
    <w:uiPriority w:val="0"/>
    <w:pPr>
      <w:spacing w:beforeLines="50" w:afterLines="50" w:line="360" w:lineRule="auto"/>
      <w:ind w:left="1440" w:leftChars="700" w:right="1440" w:rightChars="700"/>
    </w:pPr>
    <w:rPr>
      <w:sz w:val="24"/>
    </w:rPr>
  </w:style>
  <w:style w:type="paragraph" w:styleId="30">
    <w:name w:val="toc 5"/>
    <w:basedOn w:val="1"/>
    <w:next w:val="1"/>
    <w:qFormat/>
    <w:uiPriority w:val="39"/>
    <w:pPr>
      <w:ind w:left="840"/>
      <w:jc w:val="left"/>
    </w:pPr>
    <w:rPr>
      <w:sz w:val="18"/>
      <w:szCs w:val="18"/>
    </w:rPr>
  </w:style>
  <w:style w:type="paragraph" w:styleId="31">
    <w:name w:val="toc 3"/>
    <w:basedOn w:val="1"/>
    <w:next w:val="1"/>
    <w:qFormat/>
    <w:uiPriority w:val="39"/>
    <w:pPr>
      <w:ind w:left="420"/>
      <w:jc w:val="left"/>
    </w:pPr>
    <w:rPr>
      <w:i/>
      <w:iCs/>
      <w:sz w:val="20"/>
      <w:szCs w:val="20"/>
    </w:rPr>
  </w:style>
  <w:style w:type="paragraph" w:styleId="32">
    <w:name w:val="Plain Text"/>
    <w:basedOn w:val="1"/>
    <w:link w:val="236"/>
    <w:qFormat/>
    <w:uiPriority w:val="0"/>
    <w:rPr>
      <w:rFonts w:ascii="宋体" w:hAnsi="Courier New" w:cs="Courier New" w:eastAsiaTheme="minorEastAsia"/>
      <w:szCs w:val="21"/>
    </w:rPr>
  </w:style>
  <w:style w:type="paragraph" w:styleId="33">
    <w:name w:val="toc 8"/>
    <w:basedOn w:val="1"/>
    <w:next w:val="1"/>
    <w:qFormat/>
    <w:uiPriority w:val="39"/>
    <w:pPr>
      <w:ind w:left="1470"/>
      <w:jc w:val="left"/>
    </w:pPr>
    <w:rPr>
      <w:sz w:val="18"/>
      <w:szCs w:val="18"/>
    </w:rPr>
  </w:style>
  <w:style w:type="paragraph" w:styleId="34">
    <w:name w:val="Date"/>
    <w:basedOn w:val="1"/>
    <w:next w:val="1"/>
    <w:link w:val="260"/>
    <w:qFormat/>
    <w:uiPriority w:val="0"/>
    <w:pPr>
      <w:ind w:left="100" w:leftChars="2500"/>
    </w:pPr>
    <w:rPr>
      <w:rFonts w:eastAsia="仿宋_GB2312" w:asciiTheme="minorHAnsi" w:hAnsiTheme="minorHAnsi" w:cstheme="minorBidi"/>
      <w:color w:val="000000"/>
      <w:sz w:val="28"/>
    </w:rPr>
  </w:style>
  <w:style w:type="paragraph" w:styleId="35">
    <w:name w:val="Body Text Indent 2"/>
    <w:basedOn w:val="1"/>
    <w:link w:val="214"/>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6">
    <w:name w:val="endnote text"/>
    <w:basedOn w:val="1"/>
    <w:link w:val="289"/>
    <w:qFormat/>
    <w:uiPriority w:val="0"/>
    <w:pPr>
      <w:snapToGrid w:val="0"/>
      <w:jc w:val="left"/>
    </w:pPr>
    <w:rPr>
      <w:rFonts w:asciiTheme="minorHAnsi" w:hAnsiTheme="minorHAnsi" w:eastAsiaTheme="minorEastAsia" w:cstheme="minorBidi"/>
      <w:szCs w:val="22"/>
    </w:rPr>
  </w:style>
  <w:style w:type="paragraph" w:styleId="37">
    <w:name w:val="Balloon Text"/>
    <w:basedOn w:val="1"/>
    <w:link w:val="242"/>
    <w:qFormat/>
    <w:uiPriority w:val="0"/>
    <w:rPr>
      <w:rFonts w:asciiTheme="minorHAnsi" w:hAnsiTheme="minorHAnsi" w:eastAsiaTheme="minorEastAsia" w:cstheme="minorBidi"/>
      <w:sz w:val="18"/>
      <w:szCs w:val="18"/>
    </w:rPr>
  </w:style>
  <w:style w:type="paragraph" w:styleId="38">
    <w:name w:val="footer"/>
    <w:basedOn w:val="1"/>
    <w:link w:val="70"/>
    <w:unhideWhenUsed/>
    <w:qFormat/>
    <w:uiPriority w:val="99"/>
    <w:pPr>
      <w:tabs>
        <w:tab w:val="center" w:pos="4153"/>
        <w:tab w:val="right" w:pos="8306"/>
      </w:tabs>
      <w:snapToGrid w:val="0"/>
      <w:jc w:val="left"/>
    </w:pPr>
    <w:rPr>
      <w:sz w:val="18"/>
      <w:szCs w:val="18"/>
    </w:rPr>
  </w:style>
  <w:style w:type="paragraph" w:styleId="39">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1">
    <w:name w:val="toc 4"/>
    <w:basedOn w:val="1"/>
    <w:next w:val="1"/>
    <w:qFormat/>
    <w:uiPriority w:val="39"/>
    <w:pPr>
      <w:ind w:left="630"/>
      <w:jc w:val="left"/>
    </w:pPr>
    <w:rPr>
      <w:sz w:val="18"/>
      <w:szCs w:val="18"/>
    </w:rPr>
  </w:style>
  <w:style w:type="paragraph" w:styleId="42">
    <w:name w:val="Subtitle"/>
    <w:basedOn w:val="1"/>
    <w:next w:val="1"/>
    <w:link w:val="286"/>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3">
    <w:name w:val="List"/>
    <w:basedOn w:val="1"/>
    <w:qFormat/>
    <w:uiPriority w:val="0"/>
    <w:pPr>
      <w:ind w:left="420" w:hanging="420"/>
    </w:pPr>
    <w:rPr>
      <w:sz w:val="24"/>
      <w:szCs w:val="20"/>
    </w:rPr>
  </w:style>
  <w:style w:type="paragraph" w:styleId="44">
    <w:name w:val="toc 6"/>
    <w:basedOn w:val="1"/>
    <w:next w:val="1"/>
    <w:qFormat/>
    <w:uiPriority w:val="39"/>
    <w:pPr>
      <w:ind w:left="1050"/>
      <w:jc w:val="left"/>
    </w:pPr>
    <w:rPr>
      <w:sz w:val="18"/>
      <w:szCs w:val="18"/>
    </w:rPr>
  </w:style>
  <w:style w:type="paragraph" w:styleId="45">
    <w:name w:val="Body Text Indent 3"/>
    <w:basedOn w:val="1"/>
    <w:link w:val="246"/>
    <w:qFormat/>
    <w:uiPriority w:val="0"/>
    <w:pPr>
      <w:ind w:firstLine="480" w:firstLineChars="200"/>
    </w:pPr>
    <w:rPr>
      <w:rFonts w:ascii="幼圆" w:eastAsia="幼圆" w:hAnsiTheme="minorHAnsi" w:cstheme="minorBidi"/>
      <w:sz w:val="24"/>
      <w:szCs w:val="32"/>
    </w:rPr>
  </w:style>
  <w:style w:type="paragraph" w:styleId="46">
    <w:name w:val="table of figures"/>
    <w:basedOn w:val="1"/>
    <w:next w:val="1"/>
    <w:qFormat/>
    <w:uiPriority w:val="99"/>
    <w:pPr>
      <w:ind w:left="200" w:leftChars="200" w:hanging="200" w:hangingChars="200"/>
    </w:pPr>
  </w:style>
  <w:style w:type="paragraph" w:styleId="47">
    <w:name w:val="toc 2"/>
    <w:basedOn w:val="1"/>
    <w:next w:val="1"/>
    <w:qFormat/>
    <w:uiPriority w:val="39"/>
    <w:pPr>
      <w:ind w:left="210"/>
      <w:jc w:val="left"/>
    </w:pPr>
    <w:rPr>
      <w:smallCaps/>
      <w:sz w:val="20"/>
      <w:szCs w:val="20"/>
    </w:rPr>
  </w:style>
  <w:style w:type="paragraph" w:styleId="48">
    <w:name w:val="toc 9"/>
    <w:basedOn w:val="1"/>
    <w:next w:val="1"/>
    <w:qFormat/>
    <w:uiPriority w:val="39"/>
    <w:pPr>
      <w:ind w:left="1680"/>
      <w:jc w:val="left"/>
    </w:pPr>
    <w:rPr>
      <w:sz w:val="18"/>
      <w:szCs w:val="18"/>
    </w:rPr>
  </w:style>
  <w:style w:type="paragraph" w:styleId="49">
    <w:name w:val="Body Text 2"/>
    <w:basedOn w:val="1"/>
    <w:link w:val="280"/>
    <w:qFormat/>
    <w:uiPriority w:val="0"/>
    <w:pPr>
      <w:jc w:val="center"/>
    </w:pPr>
    <w:rPr>
      <w:rFonts w:ascii="宋体" w:hAnsi="宋体" w:eastAsiaTheme="minorEastAsia" w:cstheme="minorBidi"/>
      <w:sz w:val="24"/>
    </w:rPr>
  </w:style>
  <w:style w:type="paragraph" w:styleId="50">
    <w:name w:val="HTML Preformatted"/>
    <w:basedOn w:val="1"/>
    <w:link w:val="2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2">
    <w:name w:val="index 1"/>
    <w:basedOn w:val="1"/>
    <w:next w:val="1"/>
    <w:qFormat/>
    <w:uiPriority w:val="0"/>
    <w:rPr>
      <w:kern w:val="0"/>
      <w:sz w:val="24"/>
      <w:szCs w:val="21"/>
    </w:rPr>
  </w:style>
  <w:style w:type="paragraph" w:styleId="53">
    <w:name w:val="Title"/>
    <w:basedOn w:val="1"/>
    <w:next w:val="1"/>
    <w:link w:val="227"/>
    <w:qFormat/>
    <w:uiPriority w:val="0"/>
    <w:pPr>
      <w:spacing w:before="240" w:after="60"/>
      <w:jc w:val="center"/>
      <w:outlineLvl w:val="0"/>
    </w:pPr>
    <w:rPr>
      <w:rFonts w:ascii="Arial" w:hAnsi="Arial" w:eastAsiaTheme="minorEastAsia" w:cstheme="minorBidi"/>
      <w:b/>
      <w:bCs/>
      <w:sz w:val="32"/>
      <w:szCs w:val="32"/>
    </w:rPr>
  </w:style>
  <w:style w:type="paragraph" w:styleId="54">
    <w:name w:val="annotation subject"/>
    <w:basedOn w:val="21"/>
    <w:next w:val="21"/>
    <w:link w:val="245"/>
    <w:qFormat/>
    <w:uiPriority w:val="0"/>
    <w:rPr>
      <w:rFonts w:asciiTheme="minorHAnsi" w:hAnsiTheme="minorHAnsi" w:eastAsiaTheme="minorEastAsia" w:cstheme="minorBidi"/>
      <w:b/>
    </w:rPr>
  </w:style>
  <w:style w:type="paragraph" w:styleId="55">
    <w:name w:val="Body Text First Indent"/>
    <w:basedOn w:val="26"/>
    <w:link w:val="279"/>
    <w:qFormat/>
    <w:uiPriority w:val="0"/>
    <w:pPr>
      <w:autoSpaceDE/>
      <w:autoSpaceDN/>
      <w:adjustRightInd/>
      <w:spacing w:after="120" w:line="240" w:lineRule="auto"/>
      <w:ind w:firstLine="420" w:firstLineChars="100"/>
      <w:jc w:val="both"/>
    </w:pPr>
    <w:rPr>
      <w:sz w:val="21"/>
    </w:rPr>
  </w:style>
  <w:style w:type="paragraph" w:styleId="56">
    <w:name w:val="Body Text First Indent 2"/>
    <w:basedOn w:val="27"/>
    <w:link w:val="232"/>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58">
    <w:name w:val="Table Grid"/>
    <w:basedOn w:val="5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60">
    <w:name w:val="Strong"/>
    <w:basedOn w:val="59"/>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0"/>
  </w:style>
  <w:style w:type="character" w:styleId="63">
    <w:name w:val="FollowedHyperlink"/>
    <w:qFormat/>
    <w:uiPriority w:val="99"/>
    <w:rPr>
      <w:color w:val="800080"/>
      <w:u w:val="single"/>
    </w:rPr>
  </w:style>
  <w:style w:type="character" w:styleId="64">
    <w:name w:val="Emphasis"/>
    <w:qFormat/>
    <w:uiPriority w:val="0"/>
    <w:rPr>
      <w:i/>
      <w:iCs/>
    </w:rPr>
  </w:style>
  <w:style w:type="character" w:styleId="65">
    <w:name w:val="Hyperlink"/>
    <w:qFormat/>
    <w:uiPriority w:val="0"/>
    <w:rPr>
      <w:color w:val="0000FF"/>
      <w:u w:val="single"/>
    </w:rPr>
  </w:style>
  <w:style w:type="character" w:styleId="66">
    <w:name w:val="annotation reference"/>
    <w:qFormat/>
    <w:uiPriority w:val="0"/>
    <w:rPr>
      <w:sz w:val="21"/>
    </w:rPr>
  </w:style>
  <w:style w:type="character" w:styleId="67">
    <w:name w:val="HTML Sample"/>
    <w:basedOn w:val="59"/>
    <w:qFormat/>
    <w:uiPriority w:val="0"/>
    <w:rPr>
      <w:rFonts w:ascii="Courier New" w:hAnsi="Courier New"/>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页眉 Char"/>
    <w:basedOn w:val="59"/>
    <w:link w:val="39"/>
    <w:qFormat/>
    <w:uiPriority w:val="99"/>
    <w:rPr>
      <w:sz w:val="18"/>
      <w:szCs w:val="18"/>
    </w:rPr>
  </w:style>
  <w:style w:type="character" w:customStyle="1" w:styleId="70">
    <w:name w:val="页脚 Char"/>
    <w:basedOn w:val="59"/>
    <w:link w:val="38"/>
    <w:qFormat/>
    <w:uiPriority w:val="99"/>
    <w:rPr>
      <w:sz w:val="18"/>
      <w:szCs w:val="18"/>
    </w:rPr>
  </w:style>
  <w:style w:type="character" w:customStyle="1" w:styleId="71">
    <w:name w:val="标题 1 Char"/>
    <w:basedOn w:val="59"/>
    <w:link w:val="3"/>
    <w:qFormat/>
    <w:uiPriority w:val="0"/>
    <w:rPr>
      <w:rFonts w:ascii="Times New Roman" w:hAnsi="Times New Roman" w:eastAsia="宋体" w:cs="Times New Roman"/>
      <w:b/>
      <w:kern w:val="44"/>
      <w:sz w:val="32"/>
      <w:szCs w:val="20"/>
    </w:rPr>
  </w:style>
  <w:style w:type="character" w:customStyle="1" w:styleId="72">
    <w:name w:val="标题 2 Char"/>
    <w:basedOn w:val="59"/>
    <w:link w:val="2"/>
    <w:qFormat/>
    <w:uiPriority w:val="0"/>
    <w:rPr>
      <w:rFonts w:ascii="Arial" w:hAnsi="Arial" w:eastAsia="黑体" w:cs="Times New Roman"/>
      <w:b/>
      <w:bCs/>
      <w:sz w:val="32"/>
      <w:szCs w:val="32"/>
    </w:rPr>
  </w:style>
  <w:style w:type="character" w:customStyle="1" w:styleId="73">
    <w:name w:val="标题 3 Char"/>
    <w:basedOn w:val="59"/>
    <w:link w:val="4"/>
    <w:qFormat/>
    <w:uiPriority w:val="0"/>
    <w:rPr>
      <w:rFonts w:ascii="Times New Roman" w:hAnsi="Times New Roman" w:eastAsia="Arial Unicode MS" w:cs="Times New Roman"/>
      <w:b/>
      <w:szCs w:val="20"/>
    </w:rPr>
  </w:style>
  <w:style w:type="character" w:customStyle="1" w:styleId="74">
    <w:name w:val="标题 4 Char"/>
    <w:basedOn w:val="59"/>
    <w:link w:val="5"/>
    <w:qFormat/>
    <w:uiPriority w:val="0"/>
    <w:rPr>
      <w:rFonts w:ascii="Cambria" w:hAnsi="Cambria" w:eastAsia="宋体" w:cs="Times New Roman"/>
      <w:b/>
      <w:bCs/>
      <w:sz w:val="28"/>
      <w:szCs w:val="28"/>
    </w:rPr>
  </w:style>
  <w:style w:type="character" w:customStyle="1" w:styleId="75">
    <w:name w:val="标题 5 Char"/>
    <w:basedOn w:val="59"/>
    <w:link w:val="6"/>
    <w:qFormat/>
    <w:uiPriority w:val="0"/>
    <w:rPr>
      <w:rFonts w:ascii="Calibri" w:hAnsi="Calibri" w:eastAsia="宋体" w:cs="Times New Roman"/>
      <w:b/>
      <w:bCs/>
      <w:sz w:val="28"/>
      <w:szCs w:val="28"/>
    </w:rPr>
  </w:style>
  <w:style w:type="character" w:customStyle="1" w:styleId="76">
    <w:name w:val="标题 6 Char"/>
    <w:basedOn w:val="59"/>
    <w:link w:val="7"/>
    <w:qFormat/>
    <w:uiPriority w:val="0"/>
    <w:rPr>
      <w:rFonts w:ascii="Arial" w:hAnsi="Arial" w:eastAsia="黑体" w:cs="Times New Roman"/>
      <w:b/>
      <w:bCs/>
      <w:kern w:val="0"/>
      <w:sz w:val="24"/>
      <w:szCs w:val="24"/>
    </w:rPr>
  </w:style>
  <w:style w:type="character" w:customStyle="1" w:styleId="77">
    <w:name w:val="标题 7 Char"/>
    <w:basedOn w:val="59"/>
    <w:link w:val="8"/>
    <w:qFormat/>
    <w:uiPriority w:val="0"/>
    <w:rPr>
      <w:rFonts w:ascii="Times New Roman" w:hAnsi="Times New Roman" w:eastAsia="宋体" w:cs="Times New Roman"/>
      <w:b/>
      <w:bCs/>
      <w:kern w:val="0"/>
      <w:sz w:val="24"/>
      <w:szCs w:val="24"/>
    </w:rPr>
  </w:style>
  <w:style w:type="character" w:customStyle="1" w:styleId="78">
    <w:name w:val="标题 8 Char"/>
    <w:basedOn w:val="59"/>
    <w:link w:val="9"/>
    <w:qFormat/>
    <w:uiPriority w:val="0"/>
    <w:rPr>
      <w:rFonts w:ascii="Arial" w:hAnsi="Arial" w:eastAsia="黑体" w:cs="Times New Roman"/>
      <w:kern w:val="0"/>
      <w:sz w:val="24"/>
      <w:szCs w:val="24"/>
    </w:rPr>
  </w:style>
  <w:style w:type="character" w:customStyle="1" w:styleId="79">
    <w:name w:val="标题 9 Char"/>
    <w:basedOn w:val="59"/>
    <w:link w:val="10"/>
    <w:qFormat/>
    <w:uiPriority w:val="0"/>
    <w:rPr>
      <w:rFonts w:ascii="Arial" w:hAnsi="Arial" w:eastAsia="黑体" w:cs="Times New Roman"/>
      <w:kern w:val="0"/>
      <w:szCs w:val="21"/>
    </w:rPr>
  </w:style>
  <w:style w:type="character" w:customStyle="1" w:styleId="80">
    <w:name w:val="hei12"/>
    <w:basedOn w:val="59"/>
    <w:qFormat/>
    <w:uiPriority w:val="0"/>
  </w:style>
  <w:style w:type="character" w:customStyle="1" w:styleId="81">
    <w:name w:val="正文缩进2格 Char"/>
    <w:link w:val="82"/>
    <w:qFormat/>
    <w:uiPriority w:val="0"/>
    <w:rPr>
      <w:rFonts w:ascii="仿宋_GB2312" w:hAnsi="宋体" w:eastAsia="仿宋_GB2312"/>
      <w:sz w:val="31"/>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cstheme="minorBidi"/>
      <w:sz w:val="31"/>
      <w:szCs w:val="22"/>
    </w:rPr>
  </w:style>
  <w:style w:type="character" w:customStyle="1" w:styleId="83">
    <w:name w:val="font51"/>
    <w:qFormat/>
    <w:uiPriority w:val="0"/>
    <w:rPr>
      <w:rFonts w:hint="eastAsia" w:ascii="宋体" w:hAnsi="宋体" w:eastAsia="宋体" w:cs="宋体"/>
      <w:color w:val="000000"/>
      <w:sz w:val="20"/>
      <w:szCs w:val="20"/>
      <w:u w:val="none"/>
    </w:rPr>
  </w:style>
  <w:style w:type="character" w:customStyle="1" w:styleId="84">
    <w:name w:val="font61"/>
    <w:qFormat/>
    <w:uiPriority w:val="0"/>
    <w:rPr>
      <w:rFonts w:hint="default" w:ascii="Times New Roman" w:hAnsi="Times New Roman" w:cs="Times New Roman"/>
      <w:color w:val="000000"/>
      <w:sz w:val="20"/>
      <w:szCs w:val="20"/>
      <w:u w:val="none"/>
    </w:rPr>
  </w:style>
  <w:style w:type="character" w:customStyle="1" w:styleId="85">
    <w:name w:val="表中左小5 Char"/>
    <w:link w:val="86"/>
    <w:qFormat/>
    <w:uiPriority w:val="0"/>
    <w:rPr>
      <w:color w:val="0000FF"/>
      <w:sz w:val="18"/>
      <w:szCs w:val="18"/>
    </w:rPr>
  </w:style>
  <w:style w:type="paragraph" w:customStyle="1" w:styleId="86">
    <w:name w:val="表中左小5"/>
    <w:link w:val="85"/>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7">
    <w:name w:val="font71"/>
    <w:qFormat/>
    <w:uiPriority w:val="0"/>
    <w:rPr>
      <w:rFonts w:hint="eastAsia" w:ascii="宋体" w:hAnsi="宋体" w:eastAsia="宋体" w:cs="宋体"/>
      <w:color w:val="000000"/>
      <w:sz w:val="20"/>
      <w:szCs w:val="20"/>
      <w:u w:val="none"/>
    </w:rPr>
  </w:style>
  <w:style w:type="character" w:customStyle="1" w:styleId="88">
    <w:name w:val="z-窗体底端 Char"/>
    <w:qFormat/>
    <w:uiPriority w:val="99"/>
    <w:rPr>
      <w:rFonts w:ascii="Arial" w:hAnsi="Arial" w:cs="Arial"/>
      <w:vanish/>
      <w:sz w:val="16"/>
      <w:szCs w:val="16"/>
    </w:rPr>
  </w:style>
  <w:style w:type="paragraph" w:customStyle="1" w:styleId="89">
    <w:name w:val="z-窗体底端1"/>
    <w:basedOn w:val="1"/>
    <w:next w:val="1"/>
    <w:link w:val="275"/>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0">
    <w:name w:val="ca-251"/>
    <w:qFormat/>
    <w:uiPriority w:val="0"/>
    <w:rPr>
      <w:rFonts w:hint="default" w:ascii="Times New Roman" w:hAnsi="Times New Roman" w:cs="Times New Roman"/>
      <w:sz w:val="24"/>
      <w:szCs w:val="24"/>
    </w:rPr>
  </w:style>
  <w:style w:type="character" w:customStyle="1" w:styleId="91">
    <w:name w:val="Char Char3"/>
    <w:semiHidden/>
    <w:qFormat/>
    <w:uiPriority w:val="0"/>
    <w:rPr>
      <w:sz w:val="18"/>
      <w:szCs w:val="18"/>
    </w:rPr>
  </w:style>
  <w:style w:type="character" w:customStyle="1" w:styleId="92">
    <w:name w:val="批注文字 Char"/>
    <w:qFormat/>
    <w:uiPriority w:val="0"/>
    <w:rPr>
      <w:kern w:val="2"/>
      <w:sz w:val="21"/>
      <w:szCs w:val="24"/>
    </w:rPr>
  </w:style>
  <w:style w:type="character" w:customStyle="1" w:styleId="93">
    <w:name w:val="apple-converted-space"/>
    <w:basedOn w:val="59"/>
    <w:qFormat/>
    <w:uiPriority w:val="0"/>
  </w:style>
  <w:style w:type="character" w:customStyle="1" w:styleId="94">
    <w:name w:val="chanpinname"/>
    <w:basedOn w:val="59"/>
    <w:qFormat/>
    <w:uiPriority w:val="0"/>
  </w:style>
  <w:style w:type="character" w:customStyle="1" w:styleId="95">
    <w:name w:val="副标题 Char"/>
    <w:qFormat/>
    <w:uiPriority w:val="0"/>
    <w:rPr>
      <w:rFonts w:ascii="Cambria" w:hAnsi="Cambria"/>
      <w:b/>
      <w:bCs/>
      <w:kern w:val="28"/>
      <w:sz w:val="32"/>
      <w:szCs w:val="32"/>
    </w:rPr>
  </w:style>
  <w:style w:type="character" w:customStyle="1" w:styleId="96">
    <w:name w:val="ca-231"/>
    <w:qFormat/>
    <w:uiPriority w:val="0"/>
    <w:rPr>
      <w:rFonts w:hint="eastAsia" w:ascii="宋体" w:hAnsi="宋体" w:eastAsia="宋体"/>
      <w:sz w:val="24"/>
      <w:szCs w:val="24"/>
    </w:rPr>
  </w:style>
  <w:style w:type="character" w:customStyle="1" w:styleId="97">
    <w:name w:val="Figure Text Char"/>
    <w:link w:val="98"/>
    <w:qFormat/>
    <w:uiPriority w:val="0"/>
    <w:rPr>
      <w:rFonts w:ascii="Arial" w:hAnsi="Arial" w:cs="Arial"/>
      <w:sz w:val="18"/>
      <w:szCs w:val="18"/>
      <w:lang w:eastAsia="en-US"/>
    </w:rPr>
  </w:style>
  <w:style w:type="paragraph" w:customStyle="1" w:styleId="98">
    <w:name w:val="Figure Text"/>
    <w:link w:val="97"/>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99">
    <w:name w:val="font91"/>
    <w:qFormat/>
    <w:uiPriority w:val="0"/>
    <w:rPr>
      <w:rFonts w:hint="eastAsia" w:ascii="宋体" w:hAnsi="宋体" w:eastAsia="宋体" w:cs="宋体"/>
      <w:color w:val="000000"/>
      <w:sz w:val="20"/>
      <w:szCs w:val="20"/>
      <w:u w:val="none"/>
    </w:rPr>
  </w:style>
  <w:style w:type="character" w:customStyle="1" w:styleId="100">
    <w:name w:val="正文小四 Char"/>
    <w:link w:val="101"/>
    <w:qFormat/>
    <w:uiPriority w:val="0"/>
    <w:rPr>
      <w:rFonts w:ascii="宋体" w:hAnsi="宋体"/>
      <w:sz w:val="24"/>
    </w:rPr>
  </w:style>
  <w:style w:type="paragraph" w:customStyle="1" w:styleId="101">
    <w:name w:val="正文小四"/>
    <w:link w:val="100"/>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2">
    <w:name w:val="正文文本 3 Char"/>
    <w:qFormat/>
    <w:uiPriority w:val="0"/>
    <w:rPr>
      <w:sz w:val="16"/>
      <w:szCs w:val="16"/>
    </w:rPr>
  </w:style>
  <w:style w:type="character" w:customStyle="1" w:styleId="103">
    <w:name w:val="font01"/>
    <w:qFormat/>
    <w:uiPriority w:val="0"/>
    <w:rPr>
      <w:rFonts w:hint="eastAsia" w:ascii="宋体" w:hAnsi="宋体" w:eastAsia="宋体" w:cs="宋体"/>
      <w:color w:val="000000"/>
      <w:sz w:val="24"/>
      <w:szCs w:val="24"/>
      <w:u w:val="none"/>
      <w:vertAlign w:val="superscript"/>
    </w:rPr>
  </w:style>
  <w:style w:type="character" w:customStyle="1" w:styleId="104">
    <w:name w:val="Table Description Char Char"/>
    <w:link w:val="105"/>
    <w:qFormat/>
    <w:uiPriority w:val="0"/>
    <w:rPr>
      <w:rFonts w:ascii="Arial" w:hAnsi="Arial" w:eastAsia="黑体"/>
      <w:sz w:val="18"/>
    </w:rPr>
  </w:style>
  <w:style w:type="paragraph" w:customStyle="1" w:styleId="105">
    <w:name w:val="Table Description"/>
    <w:next w:val="1"/>
    <w:link w:val="104"/>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6">
    <w:name w:val="表格标题(居中) Char"/>
    <w:link w:val="107"/>
    <w:qFormat/>
    <w:uiPriority w:val="0"/>
    <w:rPr>
      <w:rFonts w:eastAsia="黑体"/>
      <w:sz w:val="24"/>
    </w:rPr>
  </w:style>
  <w:style w:type="paragraph" w:customStyle="1" w:styleId="107">
    <w:name w:val="表格标题(居中)"/>
    <w:basedOn w:val="1"/>
    <w:link w:val="106"/>
    <w:qFormat/>
    <w:uiPriority w:val="0"/>
    <w:pPr>
      <w:snapToGrid w:val="0"/>
      <w:spacing w:line="300" w:lineRule="auto"/>
      <w:jc w:val="center"/>
    </w:pPr>
    <w:rPr>
      <w:rFonts w:eastAsia="黑体" w:asciiTheme="minorHAnsi" w:hAnsiTheme="minorHAnsi" w:cstheme="minorBidi"/>
      <w:sz w:val="24"/>
      <w:szCs w:val="22"/>
    </w:rPr>
  </w:style>
  <w:style w:type="character" w:customStyle="1" w:styleId="108">
    <w:name w:val="称呼 Char"/>
    <w:qFormat/>
    <w:uiPriority w:val="0"/>
    <w:rPr>
      <w:szCs w:val="24"/>
    </w:rPr>
  </w:style>
  <w:style w:type="character" w:customStyle="1" w:styleId="109">
    <w:name w:val="样式 目录 2 + 宋体 Char"/>
    <w:link w:val="110"/>
    <w:qFormat/>
    <w:uiPriority w:val="0"/>
    <w:rPr>
      <w:rFonts w:ascii="宋体" w:hAnsi="宋体"/>
      <w:sz w:val="28"/>
    </w:rPr>
  </w:style>
  <w:style w:type="paragraph" w:customStyle="1" w:styleId="110">
    <w:name w:val="样式 目录 2 + 宋体"/>
    <w:basedOn w:val="26"/>
    <w:next w:val="26"/>
    <w:link w:val="109"/>
    <w:qFormat/>
    <w:uiPriority w:val="0"/>
    <w:pPr>
      <w:autoSpaceDE/>
      <w:autoSpaceDN/>
      <w:adjustRightInd/>
      <w:spacing w:after="120" w:line="240" w:lineRule="auto"/>
      <w:jc w:val="both"/>
    </w:pPr>
    <w:rPr>
      <w:rFonts w:hAnsi="宋体"/>
      <w:color w:val="auto"/>
      <w:szCs w:val="22"/>
    </w:rPr>
  </w:style>
  <w:style w:type="character" w:customStyle="1" w:styleId="111">
    <w:name w:val="副标题 Char1"/>
    <w:qFormat/>
    <w:uiPriority w:val="0"/>
    <w:rPr>
      <w:rFonts w:ascii="Cambria" w:hAnsi="Cambria" w:cs="Times New Roman"/>
      <w:b/>
      <w:bCs/>
      <w:kern w:val="28"/>
      <w:sz w:val="32"/>
      <w:szCs w:val="32"/>
    </w:rPr>
  </w:style>
  <w:style w:type="character" w:customStyle="1" w:styleId="112">
    <w:name w:val="正文首行缩进 Char"/>
    <w:qFormat/>
    <w:uiPriority w:val="0"/>
    <w:rPr>
      <w:rFonts w:ascii="宋体"/>
      <w:color w:val="000000"/>
      <w:szCs w:val="32"/>
    </w:rPr>
  </w:style>
  <w:style w:type="character" w:customStyle="1" w:styleId="113">
    <w:name w:val="正文文本缩进 2 Char"/>
    <w:qFormat/>
    <w:locked/>
    <w:uiPriority w:val="0"/>
    <w:rPr>
      <w:rFonts w:ascii="幼圆" w:eastAsia="幼圆"/>
      <w:color w:val="000000"/>
      <w:sz w:val="30"/>
      <w:szCs w:val="32"/>
    </w:rPr>
  </w:style>
  <w:style w:type="character" w:customStyle="1" w:styleId="114">
    <w:name w:val="font81"/>
    <w:qFormat/>
    <w:uiPriority w:val="0"/>
    <w:rPr>
      <w:rFonts w:hint="eastAsia" w:ascii="宋体" w:hAnsi="宋体" w:eastAsia="宋体" w:cs="宋体"/>
      <w:color w:val="000000"/>
      <w:sz w:val="20"/>
      <w:szCs w:val="20"/>
      <w:u w:val="none"/>
    </w:rPr>
  </w:style>
  <w:style w:type="character" w:customStyle="1" w:styleId="115">
    <w:name w:val="正文文本 Char"/>
    <w:qFormat/>
    <w:uiPriority w:val="0"/>
    <w:rPr>
      <w:rFonts w:ascii="宋体"/>
      <w:color w:val="000000"/>
      <w:sz w:val="28"/>
      <w:szCs w:val="32"/>
    </w:rPr>
  </w:style>
  <w:style w:type="character" w:customStyle="1" w:styleId="116">
    <w:name w:val="尾注文本 Char"/>
    <w:basedOn w:val="59"/>
    <w:qFormat/>
    <w:uiPriority w:val="0"/>
  </w:style>
  <w:style w:type="character" w:customStyle="1" w:styleId="117">
    <w:name w:val="HTML 预设格式 Char1"/>
    <w:semiHidden/>
    <w:qFormat/>
    <w:uiPriority w:val="0"/>
    <w:rPr>
      <w:rFonts w:ascii="Courier New" w:hAnsi="Courier New" w:eastAsia="宋体" w:cs="Courier New"/>
      <w:sz w:val="20"/>
      <w:szCs w:val="20"/>
    </w:rPr>
  </w:style>
  <w:style w:type="character" w:customStyle="1" w:styleId="118">
    <w:name w:val="3zw1"/>
    <w:qFormat/>
    <w:uiPriority w:val="0"/>
    <w:rPr>
      <w:color w:val="000000"/>
      <w:sz w:val="21"/>
      <w:szCs w:val="21"/>
    </w:rPr>
  </w:style>
  <w:style w:type="character" w:customStyle="1" w:styleId="119">
    <w:name w:val="正文缩进 Char"/>
    <w:link w:val="16"/>
    <w:qFormat/>
    <w:uiPriority w:val="0"/>
    <w:rPr>
      <w:szCs w:val="24"/>
    </w:rPr>
  </w:style>
  <w:style w:type="character" w:customStyle="1" w:styleId="120">
    <w:name w:val="正文2级 Char"/>
    <w:link w:val="121"/>
    <w:qFormat/>
    <w:uiPriority w:val="0"/>
    <w:rPr>
      <w:bCs/>
      <w:kern w:val="44"/>
      <w:sz w:val="24"/>
      <w:szCs w:val="44"/>
    </w:rPr>
  </w:style>
  <w:style w:type="paragraph" w:customStyle="1" w:styleId="121">
    <w:name w:val="正文2级"/>
    <w:link w:val="120"/>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2">
    <w:name w:val="param-name"/>
    <w:qFormat/>
    <w:uiPriority w:val="0"/>
  </w:style>
  <w:style w:type="character" w:customStyle="1" w:styleId="123">
    <w:name w:val="Table Text Char1"/>
    <w:qFormat/>
    <w:uiPriority w:val="0"/>
    <w:rPr>
      <w:rFonts w:ascii="Arial" w:hAnsi="Arial" w:eastAsia="宋体" w:cs="Arial"/>
      <w:snapToGrid w:val="0"/>
      <w:sz w:val="21"/>
      <w:szCs w:val="21"/>
      <w:lang w:val="en-US" w:eastAsia="zh-CN" w:bidi="ar-SA"/>
    </w:rPr>
  </w:style>
  <w:style w:type="character" w:customStyle="1" w:styleId="124">
    <w:name w:val="word21"/>
    <w:qFormat/>
    <w:uiPriority w:val="0"/>
    <w:rPr>
      <w:b/>
      <w:bCs/>
      <w:color w:val="194D7C"/>
      <w:spacing w:val="400"/>
      <w:sz w:val="24"/>
      <w:szCs w:val="24"/>
    </w:rPr>
  </w:style>
  <w:style w:type="character" w:customStyle="1" w:styleId="125">
    <w:name w:val="页眉 Char1"/>
    <w:semiHidden/>
    <w:qFormat/>
    <w:uiPriority w:val="99"/>
    <w:rPr>
      <w:rFonts w:ascii="Times New Roman" w:hAnsi="Times New Roman" w:eastAsia="宋体" w:cs="Times New Roman"/>
      <w:sz w:val="18"/>
      <w:szCs w:val="18"/>
    </w:rPr>
  </w:style>
  <w:style w:type="character" w:customStyle="1" w:styleId="126">
    <w:name w:val="表格非标题文字 Char"/>
    <w:link w:val="127"/>
    <w:qFormat/>
    <w:uiPriority w:val="0"/>
    <w:rPr>
      <w:rFonts w:ascii="Arial" w:hAnsi="Arial"/>
      <w:sz w:val="18"/>
      <w:szCs w:val="21"/>
    </w:rPr>
  </w:style>
  <w:style w:type="paragraph" w:customStyle="1" w:styleId="127">
    <w:name w:val="表格非标题文字"/>
    <w:link w:val="126"/>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8">
    <w:name w:val="正文首行缩进 2 Char1"/>
    <w:basedOn w:val="129"/>
    <w:qFormat/>
    <w:uiPriority w:val="0"/>
    <w:rPr>
      <w:rFonts w:ascii="楷体_GB2312" w:eastAsia="楷体_GB2312"/>
      <w:kern w:val="2"/>
      <w:sz w:val="28"/>
      <w:szCs w:val="31"/>
    </w:rPr>
  </w:style>
  <w:style w:type="character" w:customStyle="1" w:styleId="129">
    <w:name w:val="正文文本缩进 Char1"/>
    <w:qFormat/>
    <w:uiPriority w:val="0"/>
    <w:rPr>
      <w:rFonts w:ascii="楷体_GB2312" w:eastAsia="楷体_GB2312"/>
      <w:kern w:val="2"/>
      <w:sz w:val="28"/>
      <w:szCs w:val="31"/>
    </w:rPr>
  </w:style>
  <w:style w:type="character" w:customStyle="1" w:styleId="130">
    <w:name w:val="正文新 Char"/>
    <w:link w:val="131"/>
    <w:qFormat/>
    <w:uiPriority w:val="0"/>
    <w:rPr>
      <w:rFonts w:ascii="宋体" w:hAnsi="宋体"/>
      <w:sz w:val="28"/>
    </w:rPr>
  </w:style>
  <w:style w:type="paragraph" w:customStyle="1" w:styleId="131">
    <w:name w:val="正文新"/>
    <w:basedOn w:val="1"/>
    <w:link w:val="130"/>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2">
    <w:name w:val="font31"/>
    <w:qFormat/>
    <w:uiPriority w:val="0"/>
    <w:rPr>
      <w:rFonts w:hint="default" w:ascii="Times New Roman" w:hAnsi="Times New Roman" w:cs="Times New Roman"/>
      <w:color w:val="000000"/>
      <w:sz w:val="20"/>
      <w:szCs w:val="20"/>
      <w:u w:val="none"/>
    </w:rPr>
  </w:style>
  <w:style w:type="character" w:customStyle="1" w:styleId="133">
    <w:name w:val="B正文 Char"/>
    <w:link w:val="134"/>
    <w:qFormat/>
    <w:locked/>
    <w:uiPriority w:val="0"/>
    <w:rPr>
      <w:rFonts w:ascii="宋体" w:hAnsi="宋体"/>
      <w:sz w:val="24"/>
    </w:rPr>
  </w:style>
  <w:style w:type="paragraph" w:customStyle="1" w:styleId="134">
    <w:name w:val="B正文"/>
    <w:basedOn w:val="1"/>
    <w:link w:val="133"/>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5">
    <w:name w:val="日期 Char"/>
    <w:qFormat/>
    <w:locked/>
    <w:uiPriority w:val="0"/>
    <w:rPr>
      <w:rFonts w:eastAsia="仿宋_GB2312"/>
      <w:color w:val="000000"/>
      <w:sz w:val="28"/>
      <w:szCs w:val="24"/>
    </w:rPr>
  </w:style>
  <w:style w:type="character" w:customStyle="1" w:styleId="136">
    <w:name w:val="缩进 Char"/>
    <w:link w:val="137"/>
    <w:qFormat/>
    <w:uiPriority w:val="0"/>
    <w:rPr>
      <w:color w:val="0000FF"/>
      <w:szCs w:val="18"/>
    </w:rPr>
  </w:style>
  <w:style w:type="paragraph" w:customStyle="1" w:styleId="137">
    <w:name w:val="缩进"/>
    <w:link w:val="136"/>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8">
    <w:name w:val="font41"/>
    <w:qFormat/>
    <w:uiPriority w:val="0"/>
    <w:rPr>
      <w:rFonts w:hint="eastAsia" w:ascii="宋体" w:hAnsi="宋体" w:eastAsia="宋体" w:cs="宋体"/>
      <w:color w:val="000000"/>
      <w:sz w:val="20"/>
      <w:szCs w:val="20"/>
      <w:u w:val="none"/>
    </w:rPr>
  </w:style>
  <w:style w:type="character" w:customStyle="1" w:styleId="139">
    <w:name w:val="txt"/>
    <w:basedOn w:val="59"/>
    <w:qFormat/>
    <w:uiPriority w:val="0"/>
  </w:style>
  <w:style w:type="character" w:customStyle="1" w:styleId="140">
    <w:name w:val="首行缩进 Char Char1"/>
    <w:link w:val="141"/>
    <w:qFormat/>
    <w:locked/>
    <w:uiPriority w:val="0"/>
    <w:rPr>
      <w:sz w:val="24"/>
      <w:szCs w:val="24"/>
    </w:rPr>
  </w:style>
  <w:style w:type="paragraph" w:customStyle="1" w:styleId="141">
    <w:name w:val="首行缩进 Char"/>
    <w:basedOn w:val="1"/>
    <w:next w:val="16"/>
    <w:link w:val="140"/>
    <w:qFormat/>
    <w:uiPriority w:val="0"/>
    <w:pPr>
      <w:spacing w:line="300" w:lineRule="auto"/>
      <w:ind w:firstLine="420"/>
    </w:pPr>
    <w:rPr>
      <w:rFonts w:asciiTheme="minorHAnsi" w:hAnsiTheme="minorHAnsi" w:eastAsiaTheme="minorEastAsia" w:cstheme="minorBidi"/>
      <w:sz w:val="24"/>
    </w:rPr>
  </w:style>
  <w:style w:type="character" w:customStyle="1" w:styleId="142">
    <w:name w:val="ca-131"/>
    <w:qFormat/>
    <w:uiPriority w:val="0"/>
    <w:rPr>
      <w:rFonts w:hint="default" w:ascii="Times New Roman" w:hAnsi="Times New Roman" w:cs="Times New Roman"/>
      <w:sz w:val="21"/>
      <w:szCs w:val="21"/>
    </w:rPr>
  </w:style>
  <w:style w:type="character" w:customStyle="1" w:styleId="143">
    <w:name w:val="标题 Char"/>
    <w:qFormat/>
    <w:uiPriority w:val="0"/>
    <w:rPr>
      <w:rFonts w:ascii="Arial" w:hAnsi="Arial"/>
      <w:b/>
      <w:bCs/>
      <w:sz w:val="32"/>
      <w:szCs w:val="32"/>
    </w:rPr>
  </w:style>
  <w:style w:type="character" w:customStyle="1" w:styleId="144">
    <w:name w:val="悬挂22 Char"/>
    <w:link w:val="145"/>
    <w:qFormat/>
    <w:uiPriority w:val="0"/>
    <w:rPr>
      <w:color w:val="FF0000"/>
      <w:szCs w:val="28"/>
    </w:rPr>
  </w:style>
  <w:style w:type="paragraph" w:customStyle="1" w:styleId="145">
    <w:name w:val="悬挂22"/>
    <w:link w:val="144"/>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6">
    <w:name w:val="正文文本 Char1"/>
    <w:qFormat/>
    <w:uiPriority w:val="0"/>
    <w:rPr>
      <w:rFonts w:ascii="楷体_GB2312" w:eastAsia="楷体_GB2312"/>
      <w:kern w:val="2"/>
      <w:sz w:val="28"/>
    </w:rPr>
  </w:style>
  <w:style w:type="character" w:customStyle="1" w:styleId="147">
    <w:name w:val="纯文本 Char"/>
    <w:qFormat/>
    <w:uiPriority w:val="0"/>
    <w:rPr>
      <w:rFonts w:ascii="宋体" w:hAnsi="Courier New" w:cs="Courier New"/>
      <w:szCs w:val="21"/>
    </w:rPr>
  </w:style>
  <w:style w:type="character" w:customStyle="1" w:styleId="148">
    <w:name w:val="正文文本缩进 3 Char"/>
    <w:qFormat/>
    <w:locked/>
    <w:uiPriority w:val="0"/>
    <w:rPr>
      <w:rFonts w:ascii="幼圆" w:eastAsia="幼圆"/>
      <w:sz w:val="24"/>
      <w:szCs w:val="32"/>
    </w:rPr>
  </w:style>
  <w:style w:type="character" w:customStyle="1" w:styleId="149">
    <w:name w:val="悬挂2 Char"/>
    <w:link w:val="150"/>
    <w:qFormat/>
    <w:uiPriority w:val="0"/>
    <w:rPr>
      <w:szCs w:val="21"/>
    </w:rPr>
  </w:style>
  <w:style w:type="paragraph" w:customStyle="1" w:styleId="150">
    <w:name w:val="悬挂2"/>
    <w:link w:val="149"/>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1">
    <w:name w:val="Char Char5"/>
    <w:qFormat/>
    <w:uiPriority w:val="0"/>
    <w:rPr>
      <w:rFonts w:ascii="Times New Roman" w:hAnsi="Times New Roman" w:eastAsia="宋体"/>
      <w:sz w:val="18"/>
    </w:rPr>
  </w:style>
  <w:style w:type="character" w:customStyle="1" w:styleId="152">
    <w:name w:val="prod_content_font_011"/>
    <w:qFormat/>
    <w:uiPriority w:val="0"/>
    <w:rPr>
      <w:rFonts w:hint="default" w:ascii="Verdana" w:hAnsi="Verdana"/>
      <w:color w:val="5E5E5E"/>
      <w:sz w:val="17"/>
      <w:szCs w:val="17"/>
    </w:rPr>
  </w:style>
  <w:style w:type="character" w:customStyle="1" w:styleId="153">
    <w:name w:val="尾注文本 Char1"/>
    <w:qFormat/>
    <w:uiPriority w:val="99"/>
    <w:rPr>
      <w:kern w:val="2"/>
      <w:sz w:val="21"/>
      <w:szCs w:val="24"/>
    </w:rPr>
  </w:style>
  <w:style w:type="character" w:customStyle="1" w:styleId="154">
    <w:name w:val="普通 (Web) Char"/>
    <w:link w:val="155"/>
    <w:qFormat/>
    <w:uiPriority w:val="99"/>
    <w:rPr>
      <w:rFonts w:ascii="宋体" w:hAnsi="宋体"/>
      <w:sz w:val="24"/>
      <w:szCs w:val="24"/>
    </w:rPr>
  </w:style>
  <w:style w:type="paragraph" w:customStyle="1" w:styleId="155">
    <w:name w:val="普通 (Web)"/>
    <w:basedOn w:val="1"/>
    <w:link w:val="154"/>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6">
    <w:name w:val="标题 Char1"/>
    <w:qFormat/>
    <w:uiPriority w:val="0"/>
    <w:rPr>
      <w:rFonts w:ascii="Cambria" w:hAnsi="Cambria" w:cs="Times New Roman"/>
      <w:b/>
      <w:bCs/>
      <w:kern w:val="2"/>
      <w:sz w:val="32"/>
      <w:szCs w:val="32"/>
    </w:rPr>
  </w:style>
  <w:style w:type="character" w:customStyle="1" w:styleId="157">
    <w:name w:val="正文缩进 Char1"/>
    <w:qFormat/>
    <w:uiPriority w:val="0"/>
    <w:rPr>
      <w:rFonts w:eastAsia="宋体"/>
      <w:kern w:val="2"/>
      <w:sz w:val="21"/>
      <w:szCs w:val="24"/>
      <w:lang w:val="en-US" w:eastAsia="zh-CN" w:bidi="ar-SA"/>
    </w:rPr>
  </w:style>
  <w:style w:type="character" w:customStyle="1" w:styleId="158">
    <w:name w:val="正文文本缩进 Char"/>
    <w:qFormat/>
    <w:uiPriority w:val="99"/>
    <w:rPr>
      <w:rFonts w:ascii="宋体"/>
      <w:color w:val="000000"/>
      <w:sz w:val="32"/>
      <w:szCs w:val="32"/>
    </w:rPr>
  </w:style>
  <w:style w:type="character" w:customStyle="1" w:styleId="159">
    <w:name w:val="Table Text Char"/>
    <w:link w:val="160"/>
    <w:qFormat/>
    <w:uiPriority w:val="0"/>
    <w:rPr>
      <w:rFonts w:ascii="Arial" w:hAnsi="Arial"/>
      <w:sz w:val="18"/>
    </w:rPr>
  </w:style>
  <w:style w:type="paragraph" w:customStyle="1" w:styleId="160">
    <w:name w:val="Table Text"/>
    <w:link w:val="159"/>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1">
    <w:name w:val="批注框文本 Char"/>
    <w:qFormat/>
    <w:uiPriority w:val="0"/>
    <w:rPr>
      <w:rFonts w:ascii="Times New Roman" w:hAnsi="Times New Roman"/>
      <w:kern w:val="2"/>
      <w:sz w:val="18"/>
      <w:szCs w:val="18"/>
    </w:rPr>
  </w:style>
  <w:style w:type="character" w:customStyle="1" w:styleId="162">
    <w:name w:val="Table Heading Char"/>
    <w:link w:val="163"/>
    <w:qFormat/>
    <w:uiPriority w:val="0"/>
    <w:rPr>
      <w:rFonts w:ascii="Arial" w:hAnsi="Arial" w:eastAsia="黑体" w:cs="Book Antiqua"/>
      <w:bCs/>
      <w:snapToGrid w:val="0"/>
      <w:szCs w:val="21"/>
    </w:rPr>
  </w:style>
  <w:style w:type="paragraph" w:customStyle="1" w:styleId="163">
    <w:name w:val="Table Heading"/>
    <w:basedOn w:val="1"/>
    <w:link w:val="162"/>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4">
    <w:name w:val="样式 宋体"/>
    <w:qFormat/>
    <w:uiPriority w:val="0"/>
    <w:rPr>
      <w:rFonts w:ascii="宋体" w:hAnsi="宋体" w:eastAsia="宋体"/>
      <w:sz w:val="24"/>
      <w:szCs w:val="24"/>
    </w:rPr>
  </w:style>
  <w:style w:type="character" w:customStyle="1" w:styleId="165">
    <w:name w:val="正文文本 2 Char"/>
    <w:qFormat/>
    <w:uiPriority w:val="0"/>
    <w:rPr>
      <w:rFonts w:ascii="宋体" w:hAnsi="宋体"/>
      <w:sz w:val="24"/>
      <w:szCs w:val="24"/>
    </w:rPr>
  </w:style>
  <w:style w:type="character" w:customStyle="1" w:styleId="166">
    <w:name w:val="myp1111"/>
    <w:qFormat/>
    <w:uiPriority w:val="0"/>
    <w:rPr>
      <w:rFonts w:hint="default" w:ascii="ˎ̥" w:hAnsi="ˎ̥"/>
      <w:color w:val="000000"/>
      <w:sz w:val="15"/>
      <w:szCs w:val="15"/>
      <w:u w:val="none"/>
    </w:rPr>
  </w:style>
  <w:style w:type="character" w:customStyle="1" w:styleId="167">
    <w:name w:val="hang1"/>
    <w:basedOn w:val="59"/>
    <w:qFormat/>
    <w:uiPriority w:val="0"/>
  </w:style>
  <w:style w:type="character" w:customStyle="1" w:styleId="168">
    <w:name w:val="段 Char Char"/>
    <w:qFormat/>
    <w:uiPriority w:val="0"/>
    <w:rPr>
      <w:rFonts w:ascii="宋体"/>
      <w:sz w:val="21"/>
      <w:lang w:val="en-US" w:eastAsia="zh-CN" w:bidi="ar-SA"/>
    </w:rPr>
  </w:style>
  <w:style w:type="character" w:customStyle="1" w:styleId="169">
    <w:name w:val="悬挂1 Char"/>
    <w:link w:val="170"/>
    <w:qFormat/>
    <w:uiPriority w:val="0"/>
    <w:rPr>
      <w:szCs w:val="21"/>
    </w:rPr>
  </w:style>
  <w:style w:type="paragraph" w:customStyle="1" w:styleId="170">
    <w:name w:val="悬挂1"/>
    <w:link w:val="169"/>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1">
    <w:name w:val="text_12_black1"/>
    <w:qFormat/>
    <w:uiPriority w:val="0"/>
    <w:rPr>
      <w:rFonts w:hint="default" w:ascii="ˎ̥" w:hAnsi="ˎ̥"/>
      <w:color w:val="333333"/>
      <w:sz w:val="18"/>
      <w:szCs w:val="18"/>
      <w:u w:val="none"/>
    </w:rPr>
  </w:style>
  <w:style w:type="character" w:customStyle="1" w:styleId="172">
    <w:name w:val="font11"/>
    <w:qFormat/>
    <w:uiPriority w:val="0"/>
    <w:rPr>
      <w:rFonts w:hint="eastAsia" w:ascii="宋体" w:hAnsi="宋体" w:eastAsia="宋体" w:cs="宋体"/>
      <w:color w:val="000000"/>
      <w:sz w:val="20"/>
      <w:szCs w:val="20"/>
      <w:u w:val="none"/>
    </w:rPr>
  </w:style>
  <w:style w:type="character" w:customStyle="1" w:styleId="173">
    <w:name w:val="正文缩进(ALT+Z) Char"/>
    <w:link w:val="174"/>
    <w:qFormat/>
    <w:uiPriority w:val="0"/>
    <w:rPr>
      <w:sz w:val="24"/>
      <w:szCs w:val="24"/>
    </w:rPr>
  </w:style>
  <w:style w:type="paragraph" w:customStyle="1" w:styleId="174">
    <w:name w:val="正文缩进(ALT+Z)"/>
    <w:basedOn w:val="1"/>
    <w:link w:val="173"/>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5">
    <w:name w:val="font21"/>
    <w:qFormat/>
    <w:uiPriority w:val="0"/>
    <w:rPr>
      <w:rFonts w:hint="eastAsia" w:ascii="宋体" w:hAnsi="宋体" w:eastAsia="宋体" w:cs="宋体"/>
      <w:color w:val="000000"/>
      <w:sz w:val="24"/>
      <w:szCs w:val="24"/>
      <w:u w:val="none"/>
    </w:rPr>
  </w:style>
  <w:style w:type="character" w:customStyle="1" w:styleId="176">
    <w:name w:val="标题 3 Char1"/>
    <w:qFormat/>
    <w:uiPriority w:val="0"/>
    <w:rPr>
      <w:b/>
      <w:bCs/>
      <w:kern w:val="2"/>
      <w:sz w:val="32"/>
      <w:szCs w:val="32"/>
    </w:rPr>
  </w:style>
  <w:style w:type="character" w:customStyle="1" w:styleId="177">
    <w:name w:val="页脚 Char1"/>
    <w:semiHidden/>
    <w:qFormat/>
    <w:uiPriority w:val="0"/>
    <w:rPr>
      <w:rFonts w:ascii="Times New Roman" w:hAnsi="Times New Roman" w:eastAsia="宋体" w:cs="Times New Roman"/>
      <w:sz w:val="18"/>
      <w:szCs w:val="18"/>
    </w:rPr>
  </w:style>
  <w:style w:type="character" w:customStyle="1" w:styleId="178">
    <w:name w:val="z71"/>
    <w:qFormat/>
    <w:uiPriority w:val="0"/>
    <w:rPr>
      <w:spacing w:val="300"/>
      <w:sz w:val="18"/>
      <w:szCs w:val="18"/>
    </w:rPr>
  </w:style>
  <w:style w:type="character" w:customStyle="1" w:styleId="179">
    <w:name w:val="四级大纲 Char"/>
    <w:link w:val="180"/>
    <w:qFormat/>
    <w:uiPriority w:val="0"/>
    <w:rPr>
      <w:rFonts w:ascii="Calibri" w:hAnsi="Calibri"/>
      <w:b/>
      <w:sz w:val="30"/>
    </w:rPr>
  </w:style>
  <w:style w:type="paragraph" w:customStyle="1" w:styleId="180">
    <w:name w:val="四级大纲"/>
    <w:next w:val="101"/>
    <w:link w:val="179"/>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1">
    <w:name w:val="文档正文 Char"/>
    <w:link w:val="182"/>
    <w:qFormat/>
    <w:uiPriority w:val="0"/>
    <w:rPr>
      <w:rFonts w:ascii="Arial" w:eastAsia="长城仿宋"/>
      <w:sz w:val="28"/>
    </w:rPr>
  </w:style>
  <w:style w:type="paragraph" w:customStyle="1" w:styleId="182">
    <w:name w:val="文档正文"/>
    <w:basedOn w:val="1"/>
    <w:link w:val="181"/>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3">
    <w:name w:val="15"/>
    <w:qFormat/>
    <w:uiPriority w:val="0"/>
    <w:rPr>
      <w:rFonts w:hint="default" w:ascii="Times New Roman" w:hAnsi="Times New Roman" w:cs="Times New Roman"/>
      <w:color w:val="0000FF"/>
      <w:u w:val="single"/>
    </w:rPr>
  </w:style>
  <w:style w:type="character" w:customStyle="1" w:styleId="184">
    <w:name w:val="批注主题 Char"/>
    <w:qFormat/>
    <w:uiPriority w:val="0"/>
    <w:rPr>
      <w:b/>
      <w:szCs w:val="24"/>
    </w:rPr>
  </w:style>
  <w:style w:type="character" w:customStyle="1" w:styleId="185">
    <w:name w:val="纯文本 Char1"/>
    <w:qFormat/>
    <w:uiPriority w:val="0"/>
    <w:rPr>
      <w:rFonts w:ascii="宋体" w:hAnsi="Courier New" w:cs="Courier New"/>
      <w:kern w:val="2"/>
      <w:sz w:val="21"/>
      <w:szCs w:val="21"/>
    </w:rPr>
  </w:style>
  <w:style w:type="character" w:customStyle="1" w:styleId="186">
    <w:name w:val="批注框文本 Char1"/>
    <w:qFormat/>
    <w:locked/>
    <w:uiPriority w:val="0"/>
    <w:rPr>
      <w:sz w:val="18"/>
      <w:szCs w:val="18"/>
    </w:rPr>
  </w:style>
  <w:style w:type="character" w:customStyle="1" w:styleId="187">
    <w:name w:val="结束语 Char"/>
    <w:qFormat/>
    <w:uiPriority w:val="0"/>
    <w:rPr>
      <w:rFonts w:ascii="宋体" w:hAnsi="宋体"/>
      <w:b/>
      <w:sz w:val="24"/>
      <w:szCs w:val="24"/>
    </w:rPr>
  </w:style>
  <w:style w:type="character" w:customStyle="1" w:styleId="188">
    <w:name w:val="正文文本 Char2"/>
    <w:qFormat/>
    <w:uiPriority w:val="0"/>
    <w:rPr>
      <w:rFonts w:ascii="宋体"/>
      <w:color w:val="000000"/>
      <w:sz w:val="28"/>
      <w:szCs w:val="32"/>
    </w:rPr>
  </w:style>
  <w:style w:type="character" w:customStyle="1" w:styleId="189">
    <w:name w:val="文档结构图 Char"/>
    <w:qFormat/>
    <w:uiPriority w:val="99"/>
    <w:rPr>
      <w:szCs w:val="24"/>
      <w:shd w:val="clear" w:color="auto" w:fill="000080"/>
    </w:rPr>
  </w:style>
  <w:style w:type="character" w:customStyle="1" w:styleId="190">
    <w:name w:val="contentheaderrev1"/>
    <w:qFormat/>
    <w:uiPriority w:val="0"/>
    <w:rPr>
      <w:rFonts w:hint="default" w:ascii="Arial" w:hAnsi="Arial" w:cs="Arial"/>
      <w:b/>
      <w:bCs/>
      <w:color w:val="FFFFFF"/>
      <w:sz w:val="18"/>
      <w:szCs w:val="18"/>
      <w:u w:val="none"/>
    </w:rPr>
  </w:style>
  <w:style w:type="character" w:customStyle="1" w:styleId="191">
    <w:name w:val="z-窗体底端 Char1"/>
    <w:qFormat/>
    <w:uiPriority w:val="0"/>
    <w:rPr>
      <w:rFonts w:ascii="Arial" w:hAnsi="Arial" w:cs="Arial"/>
      <w:vanish/>
      <w:kern w:val="2"/>
      <w:sz w:val="16"/>
      <w:szCs w:val="16"/>
    </w:rPr>
  </w:style>
  <w:style w:type="character" w:customStyle="1" w:styleId="192">
    <w:name w:val="content021"/>
    <w:qFormat/>
    <w:uiPriority w:val="0"/>
    <w:rPr>
      <w:color w:val="444444"/>
      <w:spacing w:val="330"/>
      <w:sz w:val="21"/>
      <w:szCs w:val="21"/>
      <w:u w:val="none"/>
    </w:rPr>
  </w:style>
  <w:style w:type="character" w:customStyle="1" w:styleId="193">
    <w:name w:val="abcde1"/>
    <w:qFormat/>
    <w:uiPriority w:val="0"/>
    <w:rPr>
      <w:spacing w:val="400"/>
      <w:sz w:val="26"/>
      <w:szCs w:val="26"/>
    </w:rPr>
  </w:style>
  <w:style w:type="character" w:customStyle="1" w:styleId="194">
    <w:name w:val="HTML 预设格式 Char"/>
    <w:qFormat/>
    <w:uiPriority w:val="99"/>
    <w:rPr>
      <w:rFonts w:ascii="宋体" w:hAnsi="宋体" w:cs="宋体"/>
      <w:sz w:val="24"/>
      <w:szCs w:val="24"/>
    </w:rPr>
  </w:style>
  <w:style w:type="character" w:customStyle="1" w:styleId="195">
    <w:name w:val="结束语 Char1"/>
    <w:qFormat/>
    <w:uiPriority w:val="0"/>
    <w:rPr>
      <w:kern w:val="2"/>
      <w:sz w:val="21"/>
      <w:szCs w:val="24"/>
    </w:rPr>
  </w:style>
  <w:style w:type="character" w:customStyle="1" w:styleId="196">
    <w:name w:val="常规 Char"/>
    <w:link w:val="197"/>
    <w:qFormat/>
    <w:uiPriority w:val="0"/>
    <w:rPr>
      <w:rFonts w:ascii="Tahoma" w:hAnsi="Tahoma"/>
      <w:color w:val="000000"/>
      <w:sz w:val="28"/>
      <w:szCs w:val="21"/>
    </w:rPr>
  </w:style>
  <w:style w:type="paragraph" w:customStyle="1" w:styleId="197">
    <w:name w:val="常规"/>
    <w:basedOn w:val="1"/>
    <w:link w:val="196"/>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8">
    <w:name w:val="正文首行缩进 2 Char"/>
    <w:qFormat/>
    <w:uiPriority w:val="0"/>
    <w:rPr>
      <w:rFonts w:ascii="仿宋_GB2312" w:eastAsia="仿宋_GB2312"/>
      <w:color w:val="000000"/>
      <w:sz w:val="24"/>
      <w:szCs w:val="24"/>
    </w:rPr>
  </w:style>
  <w:style w:type="character" w:customStyle="1" w:styleId="199">
    <w:name w:val="unnamed11"/>
    <w:qFormat/>
    <w:uiPriority w:val="0"/>
    <w:rPr>
      <w:sz w:val="20"/>
      <w:szCs w:val="20"/>
    </w:rPr>
  </w:style>
  <w:style w:type="character" w:customStyle="1" w:styleId="200">
    <w:name w:val="题注 Char"/>
    <w:link w:val="17"/>
    <w:qFormat/>
    <w:locked/>
    <w:uiPriority w:val="0"/>
    <w:rPr>
      <w:rFonts w:ascii="Arial" w:hAnsi="Arial" w:eastAsia="黑体"/>
    </w:rPr>
  </w:style>
  <w:style w:type="character" w:customStyle="1" w:styleId="201">
    <w:name w:val="text_12_subject1"/>
    <w:qFormat/>
    <w:uiPriority w:val="0"/>
    <w:rPr>
      <w:rFonts w:hint="default" w:ascii="ˎ̥" w:hAnsi="ˎ̥"/>
      <w:b/>
      <w:bCs/>
      <w:color w:val="006699"/>
      <w:sz w:val="18"/>
      <w:szCs w:val="18"/>
      <w:u w:val="none"/>
    </w:rPr>
  </w:style>
  <w:style w:type="character" w:customStyle="1" w:styleId="202">
    <w:name w:val="正文文本 3 Char1"/>
    <w:qFormat/>
    <w:uiPriority w:val="0"/>
    <w:rPr>
      <w:kern w:val="2"/>
      <w:sz w:val="16"/>
      <w:szCs w:val="16"/>
    </w:rPr>
  </w:style>
  <w:style w:type="character" w:customStyle="1" w:styleId="203">
    <w:name w:val="正文文本缩进 Char2"/>
    <w:qFormat/>
    <w:uiPriority w:val="0"/>
    <w:rPr>
      <w:rFonts w:ascii="宋体"/>
      <w:color w:val="000000"/>
      <w:sz w:val="32"/>
      <w:szCs w:val="32"/>
    </w:rPr>
  </w:style>
  <w:style w:type="character" w:customStyle="1" w:styleId="204">
    <w:name w:val="z21"/>
    <w:qFormat/>
    <w:uiPriority w:val="0"/>
    <w:rPr>
      <w:color w:val="000000"/>
      <w:spacing w:val="255"/>
      <w:sz w:val="18"/>
      <w:szCs w:val="18"/>
    </w:rPr>
  </w:style>
  <w:style w:type="character" w:customStyle="1" w:styleId="205">
    <w:name w:val="段 Char"/>
    <w:link w:val="206"/>
    <w:qFormat/>
    <w:locked/>
    <w:uiPriority w:val="0"/>
    <w:rPr>
      <w:rFonts w:ascii="宋体" w:hAnsi="宋体"/>
    </w:rPr>
  </w:style>
  <w:style w:type="paragraph" w:customStyle="1" w:styleId="206">
    <w:name w:val="段"/>
    <w:link w:val="205"/>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7">
    <w:name w:val="line14pj"/>
    <w:basedOn w:val="59"/>
    <w:qFormat/>
    <w:uiPriority w:val="0"/>
  </w:style>
  <w:style w:type="character" w:customStyle="1" w:styleId="208">
    <w:name w:val="ca-121"/>
    <w:qFormat/>
    <w:uiPriority w:val="0"/>
    <w:rPr>
      <w:rFonts w:hint="eastAsia" w:ascii="宋体" w:hAnsi="宋体" w:eastAsia="宋体"/>
      <w:sz w:val="21"/>
      <w:szCs w:val="21"/>
    </w:rPr>
  </w:style>
  <w:style w:type="character" w:customStyle="1" w:styleId="209">
    <w:name w:val="页脚 Char2"/>
    <w:basedOn w:val="59"/>
    <w:semiHidden/>
    <w:qFormat/>
    <w:uiPriority w:val="99"/>
    <w:rPr>
      <w:rFonts w:ascii="Times New Roman" w:hAnsi="Times New Roman" w:eastAsia="宋体" w:cs="Times New Roman"/>
      <w:sz w:val="18"/>
      <w:szCs w:val="18"/>
    </w:rPr>
  </w:style>
  <w:style w:type="paragraph" w:customStyle="1" w:styleId="210">
    <w:name w:val="样式 标题 + 段前: 0.5 行 段后: 0.5 行"/>
    <w:basedOn w:val="53"/>
    <w:qFormat/>
    <w:uiPriority w:val="0"/>
  </w:style>
  <w:style w:type="paragraph" w:customStyle="1" w:styleId="211">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2">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3">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4">
    <w:name w:val="正文文本缩进 2 Char1"/>
    <w:basedOn w:val="59"/>
    <w:link w:val="35"/>
    <w:semiHidden/>
    <w:qFormat/>
    <w:uiPriority w:val="99"/>
    <w:rPr>
      <w:rFonts w:ascii="Times New Roman" w:hAnsi="Times New Roman" w:eastAsia="宋体" w:cs="Times New Roman"/>
      <w:szCs w:val="24"/>
    </w:rPr>
  </w:style>
  <w:style w:type="paragraph" w:customStyle="1" w:styleId="215">
    <w:name w:val="表2"/>
    <w:basedOn w:val="216"/>
    <w:qFormat/>
    <w:uiPriority w:val="0"/>
    <w:pPr>
      <w:numPr>
        <w:ilvl w:val="0"/>
        <w:numId w:val="4"/>
      </w:numPr>
    </w:pPr>
  </w:style>
  <w:style w:type="paragraph" w:customStyle="1" w:styleId="216">
    <w:name w:val="表1"/>
    <w:basedOn w:val="217"/>
    <w:qFormat/>
    <w:uiPriority w:val="0"/>
  </w:style>
  <w:style w:type="paragraph" w:customStyle="1" w:styleId="217">
    <w:name w:val="表格样式"/>
    <w:basedOn w:val="1"/>
    <w:qFormat/>
    <w:uiPriority w:val="0"/>
    <w:pPr>
      <w:spacing w:before="156" w:after="156"/>
      <w:jc w:val="center"/>
    </w:pPr>
    <w:rPr>
      <w:rFonts w:ascii="宋体" w:hAnsi="宋体" w:cs="宋体"/>
      <w:b/>
      <w:bCs/>
      <w:kern w:val="0"/>
      <w:szCs w:val="20"/>
    </w:rPr>
  </w:style>
  <w:style w:type="paragraph" w:customStyle="1" w:styleId="218">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19">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0">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1">
    <w:name w:val="正文文本缩进 Char3"/>
    <w:basedOn w:val="59"/>
    <w:link w:val="27"/>
    <w:semiHidden/>
    <w:qFormat/>
    <w:uiPriority w:val="99"/>
    <w:rPr>
      <w:rFonts w:ascii="Times New Roman" w:hAnsi="Times New Roman" w:eastAsia="宋体" w:cs="Times New Roman"/>
      <w:szCs w:val="24"/>
    </w:rPr>
  </w:style>
  <w:style w:type="paragraph" w:customStyle="1" w:styleId="222">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3">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4">
    <w:name w:val="正文文本 3 Char2"/>
    <w:basedOn w:val="59"/>
    <w:link w:val="23"/>
    <w:semiHidden/>
    <w:qFormat/>
    <w:uiPriority w:val="99"/>
    <w:rPr>
      <w:rFonts w:ascii="Times New Roman" w:hAnsi="Times New Roman" w:eastAsia="宋体" w:cs="Times New Roman"/>
      <w:sz w:val="16"/>
      <w:szCs w:val="16"/>
    </w:rPr>
  </w:style>
  <w:style w:type="paragraph" w:customStyle="1" w:styleId="225">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6">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7">
    <w:name w:val="标题 Char2"/>
    <w:basedOn w:val="59"/>
    <w:link w:val="53"/>
    <w:qFormat/>
    <w:uiPriority w:val="10"/>
    <w:rPr>
      <w:rFonts w:eastAsia="宋体" w:asciiTheme="majorHAnsi" w:hAnsiTheme="majorHAnsi" w:cstheme="majorBidi"/>
      <w:b/>
      <w:bCs/>
      <w:sz w:val="32"/>
      <w:szCs w:val="32"/>
    </w:rPr>
  </w:style>
  <w:style w:type="paragraph" w:customStyle="1" w:styleId="228">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29">
    <w:name w:val="表格2"/>
    <w:basedOn w:val="1"/>
    <w:qFormat/>
    <w:uiPriority w:val="0"/>
    <w:pPr>
      <w:snapToGrid w:val="0"/>
      <w:jc w:val="center"/>
    </w:pPr>
    <w:rPr>
      <w:rFonts w:ascii="Arial" w:hAnsi="Arial" w:cs="Arial"/>
      <w:snapToGrid w:val="0"/>
      <w:kern w:val="0"/>
      <w:sz w:val="24"/>
    </w:rPr>
  </w:style>
  <w:style w:type="paragraph" w:customStyle="1" w:styleId="230">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2">
    <w:name w:val="正文首行缩进 2 Char2"/>
    <w:basedOn w:val="221"/>
    <w:link w:val="56"/>
    <w:semiHidden/>
    <w:qFormat/>
    <w:uiPriority w:val="99"/>
    <w:rPr>
      <w:rFonts w:ascii="Times New Roman" w:hAnsi="Times New Roman" w:eastAsia="宋体" w:cs="Times New Roman"/>
      <w:szCs w:val="24"/>
    </w:rPr>
  </w:style>
  <w:style w:type="paragraph" w:customStyle="1" w:styleId="233">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4">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5">
    <w:name w:val="说明正文"/>
    <w:basedOn w:val="1"/>
    <w:qFormat/>
    <w:uiPriority w:val="0"/>
    <w:pPr>
      <w:spacing w:line="360" w:lineRule="auto"/>
      <w:ind w:firstLine="480" w:firstLineChars="200"/>
    </w:pPr>
    <w:rPr>
      <w:rFonts w:ascii="宋体" w:hAnsi="宋体"/>
      <w:sz w:val="24"/>
    </w:rPr>
  </w:style>
  <w:style w:type="character" w:customStyle="1" w:styleId="236">
    <w:name w:val="纯文本 Char2"/>
    <w:basedOn w:val="59"/>
    <w:link w:val="32"/>
    <w:qFormat/>
    <w:uiPriority w:val="0"/>
    <w:rPr>
      <w:rFonts w:ascii="宋体" w:hAnsi="Courier New" w:eastAsia="宋体" w:cs="Courier New"/>
      <w:szCs w:val="21"/>
    </w:rPr>
  </w:style>
  <w:style w:type="paragraph" w:customStyle="1" w:styleId="237">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8">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39">
    <w:name w:val="lgh排序1"/>
    <w:basedOn w:val="32"/>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0">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2">
    <w:name w:val="批注框文本 Char2"/>
    <w:basedOn w:val="59"/>
    <w:link w:val="37"/>
    <w:semiHidden/>
    <w:qFormat/>
    <w:uiPriority w:val="99"/>
    <w:rPr>
      <w:rFonts w:ascii="Times New Roman" w:hAnsi="Times New Roman" w:eastAsia="宋体" w:cs="Times New Roman"/>
      <w:sz w:val="18"/>
      <w:szCs w:val="18"/>
    </w:rPr>
  </w:style>
  <w:style w:type="paragraph" w:customStyle="1" w:styleId="243">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4">
    <w:name w:val="批注文字 Char1"/>
    <w:basedOn w:val="59"/>
    <w:link w:val="21"/>
    <w:qFormat/>
    <w:uiPriority w:val="0"/>
    <w:rPr>
      <w:rFonts w:ascii="Times New Roman" w:hAnsi="Times New Roman" w:eastAsia="宋体" w:cs="Times New Roman"/>
      <w:szCs w:val="24"/>
    </w:rPr>
  </w:style>
  <w:style w:type="character" w:customStyle="1" w:styleId="245">
    <w:name w:val="批注主题 Char1"/>
    <w:basedOn w:val="244"/>
    <w:link w:val="54"/>
    <w:semiHidden/>
    <w:qFormat/>
    <w:uiPriority w:val="99"/>
    <w:rPr>
      <w:rFonts w:ascii="Times New Roman" w:hAnsi="Times New Roman" w:eastAsia="宋体" w:cs="Times New Roman"/>
      <w:b/>
      <w:bCs/>
      <w:szCs w:val="24"/>
    </w:rPr>
  </w:style>
  <w:style w:type="character" w:customStyle="1" w:styleId="246">
    <w:name w:val="正文文本缩进 3 Char1"/>
    <w:basedOn w:val="59"/>
    <w:link w:val="45"/>
    <w:semiHidden/>
    <w:qFormat/>
    <w:uiPriority w:val="99"/>
    <w:rPr>
      <w:rFonts w:ascii="Times New Roman" w:hAnsi="Times New Roman" w:eastAsia="宋体" w:cs="Times New Roman"/>
      <w:sz w:val="16"/>
      <w:szCs w:val="16"/>
    </w:rPr>
  </w:style>
  <w:style w:type="paragraph" w:customStyle="1" w:styleId="247">
    <w:name w:val="CM2"/>
    <w:basedOn w:val="68"/>
    <w:next w:val="68"/>
    <w:qFormat/>
    <w:uiPriority w:val="0"/>
    <w:pPr>
      <w:spacing w:line="623" w:lineRule="atLeast"/>
    </w:pPr>
    <w:rPr>
      <w:rFonts w:ascii=".a..DD.." w:eastAsia=".a..DD.."/>
      <w:color w:val="auto"/>
      <w:szCs w:val="24"/>
    </w:rPr>
  </w:style>
  <w:style w:type="paragraph" w:customStyle="1" w:styleId="248">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49">
    <w:name w:val="复选框1"/>
    <w:basedOn w:val="1"/>
    <w:qFormat/>
    <w:uiPriority w:val="0"/>
    <w:pPr>
      <w:widowControl/>
      <w:spacing w:before="360" w:after="360"/>
      <w:jc w:val="left"/>
    </w:pPr>
    <w:rPr>
      <w:kern w:val="0"/>
      <w:sz w:val="20"/>
      <w:szCs w:val="20"/>
    </w:rPr>
  </w:style>
  <w:style w:type="character" w:customStyle="1" w:styleId="250">
    <w:name w:val="正文文本 Char3"/>
    <w:basedOn w:val="59"/>
    <w:link w:val="26"/>
    <w:semiHidden/>
    <w:qFormat/>
    <w:uiPriority w:val="99"/>
    <w:rPr>
      <w:rFonts w:ascii="Times New Roman" w:hAnsi="Times New Roman" w:eastAsia="宋体" w:cs="Times New Roman"/>
      <w:szCs w:val="24"/>
    </w:rPr>
  </w:style>
  <w:style w:type="paragraph" w:customStyle="1" w:styleId="251">
    <w:name w:val="yd正文"/>
    <w:basedOn w:val="1"/>
    <w:qFormat/>
    <w:uiPriority w:val="0"/>
    <w:pPr>
      <w:widowControl/>
      <w:spacing w:line="360" w:lineRule="auto"/>
      <w:ind w:firstLine="482"/>
    </w:pPr>
    <w:rPr>
      <w:rFonts w:ascii="宋体" w:hAnsi="Arial Unicode MS"/>
      <w:bCs/>
      <w:kern w:val="0"/>
      <w:sz w:val="24"/>
    </w:rPr>
  </w:style>
  <w:style w:type="paragraph" w:customStyle="1" w:styleId="252">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3">
    <w:name w:val="称呼 Char1"/>
    <w:basedOn w:val="59"/>
    <w:link w:val="22"/>
    <w:semiHidden/>
    <w:qFormat/>
    <w:uiPriority w:val="99"/>
    <w:rPr>
      <w:rFonts w:ascii="Times New Roman" w:hAnsi="Times New Roman" w:eastAsia="宋体" w:cs="Times New Roman"/>
      <w:szCs w:val="24"/>
    </w:rPr>
  </w:style>
  <w:style w:type="paragraph" w:customStyle="1" w:styleId="254">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6">
    <w:name w:val="文档结构图 Char1"/>
    <w:basedOn w:val="59"/>
    <w:link w:val="20"/>
    <w:semiHidden/>
    <w:qFormat/>
    <w:uiPriority w:val="99"/>
    <w:rPr>
      <w:rFonts w:ascii="宋体" w:hAnsi="Times New Roman" w:eastAsia="宋体" w:cs="Times New Roman"/>
      <w:sz w:val="18"/>
      <w:szCs w:val="18"/>
    </w:rPr>
  </w:style>
  <w:style w:type="paragraph" w:customStyle="1" w:styleId="257">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59">
    <w:name w:val="页眉 Char2"/>
    <w:basedOn w:val="59"/>
    <w:semiHidden/>
    <w:qFormat/>
    <w:uiPriority w:val="99"/>
    <w:rPr>
      <w:rFonts w:ascii="Times New Roman" w:hAnsi="Times New Roman" w:eastAsia="宋体" w:cs="Times New Roman"/>
      <w:sz w:val="18"/>
      <w:szCs w:val="18"/>
    </w:rPr>
  </w:style>
  <w:style w:type="character" w:customStyle="1" w:styleId="260">
    <w:name w:val="日期 Char1"/>
    <w:basedOn w:val="59"/>
    <w:link w:val="34"/>
    <w:semiHidden/>
    <w:qFormat/>
    <w:uiPriority w:val="99"/>
    <w:rPr>
      <w:rFonts w:ascii="Times New Roman" w:hAnsi="Times New Roman" w:eastAsia="宋体" w:cs="Times New Roman"/>
      <w:szCs w:val="24"/>
    </w:rPr>
  </w:style>
  <w:style w:type="paragraph" w:customStyle="1" w:styleId="261">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2">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4">
    <w:name w:val="样式5"/>
    <w:basedOn w:val="141"/>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5">
    <w:name w:val="五级条标题"/>
    <w:basedOn w:val="266"/>
    <w:next w:val="1"/>
    <w:qFormat/>
    <w:uiPriority w:val="0"/>
    <w:pPr>
      <w:outlineLvl w:val="6"/>
    </w:pPr>
  </w:style>
  <w:style w:type="paragraph" w:customStyle="1" w:styleId="266">
    <w:name w:val="四级条标题"/>
    <w:basedOn w:val="267"/>
    <w:next w:val="1"/>
    <w:qFormat/>
    <w:uiPriority w:val="0"/>
    <w:pPr>
      <w:outlineLvl w:val="5"/>
    </w:pPr>
  </w:style>
  <w:style w:type="paragraph" w:customStyle="1" w:styleId="267">
    <w:name w:val="三级条标题"/>
    <w:basedOn w:val="268"/>
    <w:next w:val="1"/>
    <w:qFormat/>
    <w:uiPriority w:val="0"/>
    <w:pPr>
      <w:outlineLvl w:val="4"/>
    </w:pPr>
  </w:style>
  <w:style w:type="paragraph" w:customStyle="1" w:styleId="268">
    <w:name w:val="二级条标题"/>
    <w:basedOn w:val="223"/>
    <w:next w:val="1"/>
    <w:qFormat/>
    <w:uiPriority w:val="0"/>
    <w:pPr>
      <w:outlineLvl w:val="3"/>
    </w:pPr>
  </w:style>
  <w:style w:type="paragraph" w:customStyle="1" w:styleId="269">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0">
    <w:name w:val="CM3"/>
    <w:basedOn w:val="68"/>
    <w:next w:val="68"/>
    <w:qFormat/>
    <w:uiPriority w:val="0"/>
    <w:pPr>
      <w:spacing w:line="626" w:lineRule="atLeast"/>
    </w:pPr>
    <w:rPr>
      <w:rFonts w:ascii=".a..DD.." w:eastAsia=".a..DD.."/>
      <w:color w:val="auto"/>
      <w:szCs w:val="24"/>
    </w:rPr>
  </w:style>
  <w:style w:type="paragraph" w:customStyle="1" w:styleId="271">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2">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4">
    <w:name w:val="样式 标题 3标题 3 Char Char Char Char(A-3)sect1.2.3h3H3 + 加粗 段前:..."/>
    <w:basedOn w:val="4"/>
    <w:qFormat/>
    <w:uiPriority w:val="0"/>
    <w:pPr>
      <w:keepNext w:val="0"/>
      <w:tabs>
        <w:tab w:val="left" w:pos="1080"/>
      </w:tabs>
      <w:spacing w:before="120" w:after="0" w:line="415" w:lineRule="auto"/>
    </w:pPr>
    <w:rPr>
      <w:rFonts w:eastAsia="黑体" w:cs="宋体"/>
      <w:b w:val="0"/>
      <w:bCs/>
      <w:sz w:val="24"/>
    </w:rPr>
  </w:style>
  <w:style w:type="character" w:customStyle="1" w:styleId="275">
    <w:name w:val="z-窗体底端 Char2"/>
    <w:basedOn w:val="59"/>
    <w:link w:val="89"/>
    <w:semiHidden/>
    <w:qFormat/>
    <w:uiPriority w:val="99"/>
    <w:rPr>
      <w:rFonts w:ascii="Arial" w:hAnsi="Arial" w:eastAsia="宋体" w:cs="Arial"/>
      <w:vanish/>
      <w:sz w:val="16"/>
      <w:szCs w:val="16"/>
    </w:rPr>
  </w:style>
  <w:style w:type="character" w:customStyle="1" w:styleId="276">
    <w:name w:val="HTML 预设格式 Char2"/>
    <w:basedOn w:val="59"/>
    <w:link w:val="50"/>
    <w:semiHidden/>
    <w:qFormat/>
    <w:uiPriority w:val="99"/>
    <w:rPr>
      <w:rFonts w:ascii="Courier New" w:hAnsi="Courier New" w:eastAsia="宋体" w:cs="Courier New"/>
      <w:sz w:val="20"/>
      <w:szCs w:val="20"/>
    </w:rPr>
  </w:style>
  <w:style w:type="paragraph" w:customStyle="1" w:styleId="277">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79">
    <w:name w:val="正文首行缩进 Char1"/>
    <w:basedOn w:val="250"/>
    <w:link w:val="55"/>
    <w:semiHidden/>
    <w:qFormat/>
    <w:uiPriority w:val="99"/>
    <w:rPr>
      <w:rFonts w:ascii="Times New Roman" w:hAnsi="Times New Roman" w:eastAsia="宋体" w:cs="Times New Roman"/>
      <w:szCs w:val="24"/>
    </w:rPr>
  </w:style>
  <w:style w:type="character" w:customStyle="1" w:styleId="280">
    <w:name w:val="正文文本 2 Char1"/>
    <w:basedOn w:val="59"/>
    <w:link w:val="49"/>
    <w:semiHidden/>
    <w:qFormat/>
    <w:uiPriority w:val="99"/>
    <w:rPr>
      <w:rFonts w:ascii="Times New Roman" w:hAnsi="Times New Roman" w:eastAsia="宋体" w:cs="Times New Roman"/>
      <w:szCs w:val="24"/>
    </w:rPr>
  </w:style>
  <w:style w:type="paragraph" w:customStyle="1" w:styleId="28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2">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3">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5">
    <w:name w:val="结束语 Char2"/>
    <w:basedOn w:val="59"/>
    <w:link w:val="24"/>
    <w:semiHidden/>
    <w:qFormat/>
    <w:uiPriority w:val="99"/>
    <w:rPr>
      <w:rFonts w:ascii="Times New Roman" w:hAnsi="Times New Roman" w:eastAsia="宋体" w:cs="Times New Roman"/>
      <w:szCs w:val="24"/>
    </w:rPr>
  </w:style>
  <w:style w:type="character" w:customStyle="1" w:styleId="286">
    <w:name w:val="副标题 Char2"/>
    <w:basedOn w:val="59"/>
    <w:link w:val="42"/>
    <w:qFormat/>
    <w:uiPriority w:val="11"/>
    <w:rPr>
      <w:rFonts w:eastAsia="宋体" w:asciiTheme="majorHAnsi" w:hAnsiTheme="majorHAnsi" w:cstheme="majorBidi"/>
      <w:b/>
      <w:bCs/>
      <w:kern w:val="28"/>
      <w:sz w:val="32"/>
      <w:szCs w:val="32"/>
    </w:rPr>
  </w:style>
  <w:style w:type="paragraph" w:customStyle="1" w:styleId="287">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89">
    <w:name w:val="尾注文本 Char2"/>
    <w:basedOn w:val="59"/>
    <w:link w:val="36"/>
    <w:semiHidden/>
    <w:qFormat/>
    <w:uiPriority w:val="99"/>
    <w:rPr>
      <w:rFonts w:ascii="Times New Roman" w:hAnsi="Times New Roman" w:eastAsia="宋体" w:cs="Times New Roman"/>
      <w:szCs w:val="24"/>
    </w:rPr>
  </w:style>
  <w:style w:type="paragraph" w:customStyle="1" w:styleId="290">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1">
    <w:name w:val="样式3"/>
    <w:qFormat/>
    <w:uiPriority w:val="0"/>
    <w:pPr>
      <w:spacing w:line="300" w:lineRule="auto"/>
    </w:pPr>
    <w:rPr>
      <w:rFonts w:ascii="Times New Roman" w:hAnsi="Times New Roman" w:eastAsia="宋体" w:cs="Times New Roman"/>
      <w:lang w:val="en-US" w:eastAsia="zh-CN" w:bidi="ar-SA"/>
    </w:rPr>
  </w:style>
  <w:style w:type="paragraph" w:customStyle="1" w:styleId="292">
    <w:name w:val="Char11"/>
    <w:basedOn w:val="1"/>
    <w:qFormat/>
    <w:uiPriority w:val="0"/>
  </w:style>
  <w:style w:type="paragraph" w:customStyle="1" w:styleId="293">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4">
    <w:name w:val="不缩进"/>
    <w:basedOn w:val="1"/>
    <w:qFormat/>
    <w:uiPriority w:val="0"/>
    <w:pPr>
      <w:spacing w:line="360" w:lineRule="auto"/>
      <w:jc w:val="center"/>
    </w:pPr>
    <w:rPr>
      <w:b/>
      <w:bCs/>
      <w:sz w:val="28"/>
      <w:szCs w:val="21"/>
    </w:rPr>
  </w:style>
  <w:style w:type="paragraph" w:customStyle="1" w:styleId="295">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6">
    <w:name w:val="标题2"/>
    <w:basedOn w:val="1"/>
    <w:qFormat/>
    <w:uiPriority w:val="0"/>
    <w:pPr>
      <w:spacing w:beforeLines="50" w:afterLines="50" w:line="300" w:lineRule="exact"/>
    </w:pPr>
    <w:rPr>
      <w:b/>
      <w:bCs/>
    </w:rPr>
  </w:style>
  <w:style w:type="paragraph" w:customStyle="1" w:styleId="297">
    <w:name w:val="表格1"/>
    <w:basedOn w:val="1"/>
    <w:qFormat/>
    <w:uiPriority w:val="0"/>
    <w:pPr>
      <w:tabs>
        <w:tab w:val="left" w:pos="203"/>
      </w:tabs>
      <w:spacing w:before="40" w:after="40"/>
      <w:jc w:val="center"/>
    </w:pPr>
    <w:rPr>
      <w:b/>
      <w:sz w:val="28"/>
      <w:szCs w:val="20"/>
    </w:rPr>
  </w:style>
  <w:style w:type="paragraph" w:customStyle="1" w:styleId="298">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29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0">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3">
    <w:name w:val="项目编号一级"/>
    <w:basedOn w:val="1"/>
    <w:qFormat/>
    <w:uiPriority w:val="0"/>
    <w:pPr>
      <w:tabs>
        <w:tab w:val="left" w:pos="900"/>
      </w:tabs>
      <w:spacing w:line="360" w:lineRule="auto"/>
      <w:ind w:left="900" w:hanging="420"/>
    </w:pPr>
  </w:style>
  <w:style w:type="paragraph" w:customStyle="1" w:styleId="30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5">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6">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7">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8">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09">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0">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1">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2">
    <w:name w:val="DLP正文"/>
    <w:basedOn w:val="1"/>
    <w:qFormat/>
    <w:uiPriority w:val="0"/>
    <w:pPr>
      <w:snapToGrid w:val="0"/>
      <w:spacing w:line="360" w:lineRule="auto"/>
      <w:ind w:firstLine="473"/>
    </w:pPr>
    <w:rPr>
      <w:rFonts w:hAnsi="宋体"/>
      <w:sz w:val="24"/>
      <w:szCs w:val="22"/>
    </w:rPr>
  </w:style>
  <w:style w:type="paragraph" w:customStyle="1" w:styleId="313">
    <w:name w:val="CM19"/>
    <w:basedOn w:val="68"/>
    <w:next w:val="68"/>
    <w:qFormat/>
    <w:uiPriority w:val="0"/>
    <w:pPr>
      <w:spacing w:line="440" w:lineRule="atLeast"/>
    </w:pPr>
    <w:rPr>
      <w:rFonts w:ascii="方正小标宋简体" w:eastAsia="方正小标宋简体"/>
      <w:color w:val="auto"/>
      <w:szCs w:val="24"/>
    </w:rPr>
  </w:style>
  <w:style w:type="paragraph" w:customStyle="1" w:styleId="314">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5">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6">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7">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kern w:val="0"/>
      <w:szCs w:val="21"/>
    </w:rPr>
  </w:style>
  <w:style w:type="paragraph" w:customStyle="1" w:styleId="318">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19">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0">
    <w:name w:val="样式 标题 2 + 段前: 0.5 行 段后: 0.5 行2"/>
    <w:basedOn w:val="2"/>
    <w:qFormat/>
    <w:uiPriority w:val="0"/>
    <w:pPr>
      <w:tabs>
        <w:tab w:val="left" w:pos="1320"/>
      </w:tabs>
      <w:spacing w:beforeLines="50" w:afterLines="50" w:line="360" w:lineRule="auto"/>
      <w:jc w:val="left"/>
    </w:pPr>
    <w:rPr>
      <w:rFonts w:cs="宋体"/>
      <w:kern w:val="0"/>
      <w:sz w:val="36"/>
      <w:szCs w:val="20"/>
    </w:rPr>
  </w:style>
  <w:style w:type="paragraph" w:customStyle="1" w:styleId="321">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2">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4">
    <w:name w:val="Block"/>
    <w:basedOn w:val="1"/>
    <w:next w:val="197"/>
    <w:qFormat/>
    <w:uiPriority w:val="0"/>
    <w:pPr>
      <w:tabs>
        <w:tab w:val="left" w:pos="0"/>
      </w:tabs>
    </w:pPr>
    <w:rPr>
      <w:rFonts w:ascii="Arial" w:hAnsi="Arial" w:eastAsia="楷体_GB2312"/>
      <w:color w:val="000080"/>
      <w:sz w:val="28"/>
      <w:szCs w:val="28"/>
    </w:rPr>
  </w:style>
  <w:style w:type="paragraph" w:customStyle="1" w:styleId="325">
    <w:name w:val="_Style 20"/>
    <w:basedOn w:val="1"/>
    <w:qFormat/>
    <w:uiPriority w:val="0"/>
    <w:rPr>
      <w:rFonts w:ascii="Tahoma" w:hAnsi="Tahoma"/>
      <w:sz w:val="24"/>
      <w:szCs w:val="20"/>
    </w:rPr>
  </w:style>
  <w:style w:type="paragraph" w:customStyle="1" w:styleId="326">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7">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28">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29">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1">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2">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3">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4">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5">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6">
    <w:name w:val="GP正文(首行缩进)"/>
    <w:basedOn w:val="1"/>
    <w:qFormat/>
    <w:uiPriority w:val="0"/>
    <w:pPr>
      <w:spacing w:line="360" w:lineRule="auto"/>
      <w:ind w:firstLine="200" w:firstLineChars="200"/>
      <w:jc w:val="left"/>
    </w:pPr>
    <w:rPr>
      <w:sz w:val="24"/>
      <w:szCs w:val="21"/>
    </w:rPr>
  </w:style>
  <w:style w:type="paragraph" w:customStyle="1" w:styleId="337">
    <w:name w:val="目录"/>
    <w:basedOn w:val="1"/>
    <w:qFormat/>
    <w:uiPriority w:val="0"/>
    <w:pPr>
      <w:widowControl/>
      <w:jc w:val="center"/>
    </w:pPr>
    <w:rPr>
      <w:rFonts w:ascii="宋体"/>
      <w:b/>
      <w:kern w:val="0"/>
      <w:sz w:val="36"/>
      <w:szCs w:val="20"/>
    </w:rPr>
  </w:style>
  <w:style w:type="paragraph" w:customStyle="1" w:styleId="3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9">
    <w:name w:val="样式 小四 行距: 1.5 倍行距"/>
    <w:basedOn w:val="1"/>
    <w:qFormat/>
    <w:uiPriority w:val="0"/>
    <w:pPr>
      <w:tabs>
        <w:tab w:val="left" w:pos="740"/>
      </w:tabs>
      <w:ind w:left="1081" w:hanging="1081"/>
    </w:pPr>
  </w:style>
  <w:style w:type="paragraph" w:customStyle="1" w:styleId="340">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3">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4">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5">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6">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7">
    <w:name w:val="样式 标题 3h:33H3Kop 3Vl3Level 3 Headh3sect1.2.3Alt+31.1.1..."/>
    <w:basedOn w:val="4"/>
    <w:qFormat/>
    <w:uiPriority w:val="0"/>
    <w:pPr>
      <w:tabs>
        <w:tab w:val="left" w:pos="1800"/>
      </w:tabs>
      <w:spacing w:before="312" w:after="312" w:line="415" w:lineRule="auto"/>
      <w:ind w:left="1800" w:leftChars="0" w:hanging="720"/>
    </w:pPr>
    <w:rPr>
      <w:rFonts w:eastAsia="宋体" w:cs="宋体"/>
      <w:bCs/>
      <w:sz w:val="30"/>
    </w:rPr>
  </w:style>
  <w:style w:type="paragraph" w:customStyle="1" w:styleId="348">
    <w:name w:val="Char Char Char Char Char Char Char1"/>
    <w:basedOn w:val="1"/>
    <w:qFormat/>
    <w:uiPriority w:val="0"/>
  </w:style>
  <w:style w:type="paragraph" w:customStyle="1" w:styleId="349">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0">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5">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6">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8">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0">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1">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列表 21"/>
    <w:basedOn w:val="1"/>
    <w:qFormat/>
    <w:uiPriority w:val="0"/>
    <w:pPr>
      <w:ind w:left="100" w:leftChars="200" w:hanging="200" w:hangingChars="200"/>
    </w:pPr>
  </w:style>
  <w:style w:type="paragraph" w:customStyle="1" w:styleId="363">
    <w:name w:val="Char Char Char Char Char Char Char"/>
    <w:basedOn w:val="1"/>
    <w:qFormat/>
    <w:uiPriority w:val="0"/>
  </w:style>
  <w:style w:type="paragraph" w:customStyle="1" w:styleId="364">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5">
    <w:name w:val="一级无"/>
    <w:basedOn w:val="223"/>
    <w:qFormat/>
    <w:uiPriority w:val="0"/>
    <w:pPr>
      <w:spacing w:beforeLines="0" w:afterLines="0"/>
    </w:pPr>
    <w:rPr>
      <w:rFonts w:ascii="宋体" w:eastAsia="宋体"/>
    </w:rPr>
  </w:style>
  <w:style w:type="paragraph" w:customStyle="1" w:styleId="36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7">
    <w:name w:val="手动目录"/>
    <w:basedOn w:val="1"/>
    <w:qFormat/>
    <w:uiPriority w:val="0"/>
    <w:pPr>
      <w:numPr>
        <w:ilvl w:val="0"/>
        <w:numId w:val="3"/>
      </w:numPr>
      <w:spacing w:line="360" w:lineRule="auto"/>
    </w:pPr>
    <w:rPr>
      <w:sz w:val="24"/>
    </w:rPr>
  </w:style>
  <w:style w:type="paragraph" w:customStyle="1" w:styleId="368">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69">
    <w:name w:val="默认段落字体 Para Char Char Char Char"/>
    <w:basedOn w:val="1"/>
    <w:qFormat/>
    <w:uiPriority w:val="0"/>
    <w:rPr>
      <w:szCs w:val="20"/>
    </w:rPr>
  </w:style>
  <w:style w:type="paragraph" w:customStyle="1" w:styleId="370">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1">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2">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4">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5">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6">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7">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78">
    <w:name w:val="CM20"/>
    <w:basedOn w:val="68"/>
    <w:next w:val="68"/>
    <w:qFormat/>
    <w:uiPriority w:val="0"/>
    <w:pPr>
      <w:spacing w:after="115"/>
    </w:pPr>
    <w:rPr>
      <w:rFonts w:ascii=".a..DD.." w:eastAsia=".a..DD.."/>
      <w:color w:val="auto"/>
      <w:szCs w:val="24"/>
    </w:rPr>
  </w:style>
  <w:style w:type="paragraph" w:customStyle="1" w:styleId="379">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2">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3">
    <w:name w:val="书目1"/>
    <w:basedOn w:val="1"/>
    <w:next w:val="1"/>
    <w:unhideWhenUsed/>
    <w:qFormat/>
    <w:uiPriority w:val="37"/>
    <w:pPr>
      <w:spacing w:line="360" w:lineRule="auto"/>
      <w:ind w:firstLine="200" w:firstLineChars="200"/>
      <w:jc w:val="left"/>
    </w:pPr>
    <w:rPr>
      <w:sz w:val="24"/>
    </w:rPr>
  </w:style>
  <w:style w:type="paragraph" w:customStyle="1" w:styleId="384">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表文"/>
    <w:basedOn w:val="1"/>
    <w:qFormat/>
    <w:uiPriority w:val="0"/>
    <w:pPr>
      <w:spacing w:line="300" w:lineRule="auto"/>
      <w:jc w:val="center"/>
      <w:textAlignment w:val="baseline"/>
    </w:pPr>
    <w:rPr>
      <w:kern w:val="0"/>
      <w:szCs w:val="20"/>
    </w:rPr>
  </w:style>
  <w:style w:type="paragraph" w:customStyle="1" w:styleId="386">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7">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8">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89">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1">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3">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4">
    <w:name w:val="样式 样式 标题 2 + 段前: 0.5 行 段后: 0.5 行 + 段前: 0.5 行 段后: 0.5 行"/>
    <w:basedOn w:val="395"/>
    <w:qFormat/>
    <w:uiPriority w:val="0"/>
    <w:pPr>
      <w:tabs>
        <w:tab w:val="left" w:pos="1320"/>
      </w:tabs>
      <w:spacing w:beforeLines="0" w:beforeAutospacing="1" w:afterLines="0" w:afterAutospacing="1"/>
      <w:ind w:left="576" w:hanging="576"/>
    </w:pPr>
    <w:rPr>
      <w:bCs w:val="0"/>
    </w:rPr>
  </w:style>
  <w:style w:type="paragraph" w:customStyle="1" w:styleId="395">
    <w:name w:val="样式 标题 2 + 段前: 0.5 行 段后: 0.5 行"/>
    <w:basedOn w:val="2"/>
    <w:qFormat/>
    <w:uiPriority w:val="0"/>
    <w:pPr>
      <w:tabs>
        <w:tab w:val="left" w:pos="1320"/>
      </w:tabs>
      <w:spacing w:beforeLines="50" w:afterLines="50" w:line="360" w:lineRule="auto"/>
      <w:jc w:val="left"/>
    </w:pPr>
    <w:rPr>
      <w:rFonts w:cs="宋体"/>
      <w:b w:val="0"/>
      <w:kern w:val="0"/>
      <w:szCs w:val="20"/>
    </w:rPr>
  </w:style>
  <w:style w:type="paragraph" w:customStyle="1" w:styleId="396">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7">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98">
    <w:name w:val="标准"/>
    <w:basedOn w:val="1"/>
    <w:qFormat/>
    <w:uiPriority w:val="0"/>
    <w:pPr>
      <w:autoSpaceDE w:val="0"/>
      <w:autoSpaceDN w:val="0"/>
      <w:adjustRightInd w:val="0"/>
      <w:ind w:firstLine="600"/>
      <w:textAlignment w:val="baseline"/>
    </w:pPr>
    <w:rPr>
      <w:kern w:val="0"/>
      <w:sz w:val="28"/>
      <w:szCs w:val="20"/>
    </w:rPr>
  </w:style>
  <w:style w:type="paragraph" w:customStyle="1" w:styleId="399">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0">
    <w:name w:val="样式 标题 3 + 四号 段前: 7.8 磅 段后: 0 磅 行距: 单倍行距"/>
    <w:basedOn w:val="4"/>
    <w:qFormat/>
    <w:uiPriority w:val="0"/>
    <w:pPr>
      <w:tabs>
        <w:tab w:val="left" w:pos="673"/>
      </w:tabs>
      <w:spacing w:before="156" w:after="0"/>
      <w:ind w:left="720" w:hanging="720"/>
    </w:pPr>
    <w:rPr>
      <w:rFonts w:ascii="宋体" w:hAnsi="宋体" w:eastAsia="宋体"/>
      <w:b w:val="0"/>
      <w:sz w:val="28"/>
    </w:rPr>
  </w:style>
  <w:style w:type="paragraph" w:customStyle="1" w:styleId="401">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2">
    <w:name w:val="表项"/>
    <w:next w:val="403"/>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3">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6">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7">
    <w:name w:val="Char2"/>
    <w:basedOn w:val="1"/>
    <w:qFormat/>
    <w:uiPriority w:val="0"/>
    <w:pPr>
      <w:jc w:val="center"/>
    </w:pPr>
    <w:rPr>
      <w:rFonts w:ascii="宋体" w:hAnsi="宋体"/>
      <w:b/>
      <w:szCs w:val="21"/>
    </w:rPr>
  </w:style>
  <w:style w:type="paragraph" w:customStyle="1" w:styleId="40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9">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2">
    <w:name w:val="样式 样式 标题 2 + 段前: 0.5 行 段后: 0.5 行2 + 段前: 0.5 行 段后: 0.5 行"/>
    <w:basedOn w:val="320"/>
    <w:qFormat/>
    <w:uiPriority w:val="0"/>
    <w:rPr>
      <w:b w:val="0"/>
    </w:rPr>
  </w:style>
  <w:style w:type="paragraph" w:customStyle="1" w:styleId="413">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4">
    <w:name w:val="Figure Description"/>
    <w:basedOn w:val="1"/>
    <w:next w:val="197"/>
    <w:qFormat/>
    <w:uiPriority w:val="0"/>
    <w:pPr>
      <w:keepNext/>
      <w:keepLines/>
      <w:spacing w:afterLines="100" w:line="360" w:lineRule="auto"/>
      <w:jc w:val="center"/>
    </w:pPr>
    <w:rPr>
      <w:rFonts w:ascii="Tahoma" w:hAnsi="Tahoma"/>
      <w:sz w:val="24"/>
    </w:rPr>
  </w:style>
  <w:style w:type="paragraph" w:customStyle="1" w:styleId="415">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6">
    <w:name w:val="pa-13"/>
    <w:basedOn w:val="1"/>
    <w:qFormat/>
    <w:uiPriority w:val="0"/>
    <w:pPr>
      <w:widowControl/>
      <w:spacing w:line="240" w:lineRule="atLeast"/>
    </w:pPr>
    <w:rPr>
      <w:rFonts w:ascii="宋体" w:hAnsi="宋体" w:cs="宋体"/>
      <w:kern w:val="0"/>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8">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1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0">
    <w:name w:val="样式 小四 首行缩进:  2 字符"/>
    <w:basedOn w:val="1"/>
    <w:qFormat/>
    <w:uiPriority w:val="0"/>
    <w:pPr>
      <w:spacing w:line="300" w:lineRule="auto"/>
      <w:ind w:firstLine="480" w:firstLineChars="200"/>
    </w:pPr>
    <w:rPr>
      <w:sz w:val="24"/>
      <w:szCs w:val="20"/>
    </w:rPr>
  </w:style>
  <w:style w:type="paragraph" w:customStyle="1" w:styleId="421">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2">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3">
    <w:name w:val="列出段落2"/>
    <w:basedOn w:val="1"/>
    <w:qFormat/>
    <w:uiPriority w:val="0"/>
    <w:pPr>
      <w:ind w:firstLine="420" w:firstLineChars="200"/>
    </w:pPr>
  </w:style>
  <w:style w:type="paragraph" w:customStyle="1" w:styleId="424">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5">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6">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7">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28">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29">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0">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1">
    <w:name w:val="Char Char Char"/>
    <w:basedOn w:val="1"/>
    <w:qFormat/>
    <w:uiPriority w:val="0"/>
    <w:rPr>
      <w:rFonts w:ascii="Tahoma" w:hAnsi="Tahoma" w:cs="Angsana New"/>
      <w:sz w:val="24"/>
      <w:szCs w:val="20"/>
    </w:rPr>
  </w:style>
  <w:style w:type="paragraph" w:customStyle="1" w:styleId="432">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3">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4">
    <w:name w:val="样式 标题 1章H11. heading 1标准章Alt+1h1Huvudrubrikh11h12h13h..."/>
    <w:basedOn w:val="1"/>
    <w:qFormat/>
    <w:uiPriority w:val="0"/>
  </w:style>
  <w:style w:type="paragraph" w:customStyle="1" w:styleId="435">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6">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7">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正文居中小5"/>
    <w:basedOn w:val="1"/>
    <w:qFormat/>
    <w:uiPriority w:val="0"/>
    <w:pPr>
      <w:spacing w:line="360" w:lineRule="auto"/>
      <w:jc w:val="center"/>
    </w:pPr>
    <w:rPr>
      <w:rFonts w:ascii="Arial" w:hAnsi="Arial"/>
      <w:sz w:val="18"/>
    </w:rPr>
  </w:style>
  <w:style w:type="paragraph" w:customStyle="1" w:styleId="439">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0">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1">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2">
    <w:name w:val="二级大纲"/>
    <w:next w:val="101"/>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3">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4">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5">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6">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7">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48">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49">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1">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2">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3">
    <w:name w:val="样式 样式 标题 + 段前: 0.5 行 段后: 0.5 行 + 段前: 0.5 行 段后: 0.5 行"/>
    <w:basedOn w:val="210"/>
    <w:qFormat/>
    <w:uiPriority w:val="0"/>
    <w:pPr>
      <w:spacing w:beforeLines="50" w:afterLines="50" w:line="360" w:lineRule="auto"/>
    </w:pPr>
    <w:rPr>
      <w:rFonts w:eastAsia="黑体" w:cs="宋体"/>
      <w:sz w:val="72"/>
      <w:szCs w:val="20"/>
      <w:u w:val="double"/>
    </w:rPr>
  </w:style>
  <w:style w:type="paragraph" w:customStyle="1" w:styleId="454">
    <w:name w:val="正文居中"/>
    <w:basedOn w:val="1"/>
    <w:next w:val="35"/>
    <w:qFormat/>
    <w:uiPriority w:val="0"/>
    <w:pPr>
      <w:adjustRightInd w:val="0"/>
      <w:snapToGrid w:val="0"/>
      <w:ind w:firstLine="480" w:firstLineChars="200"/>
    </w:pPr>
    <w:rPr>
      <w:rFonts w:ascii="宋体" w:hAnsi="宋体"/>
      <w:sz w:val="24"/>
    </w:rPr>
  </w:style>
  <w:style w:type="paragraph" w:customStyle="1" w:styleId="455">
    <w:name w:val="文档控制号等"/>
    <w:basedOn w:val="1"/>
    <w:qFormat/>
    <w:uiPriority w:val="0"/>
    <w:pPr>
      <w:spacing w:line="360" w:lineRule="auto"/>
      <w:jc w:val="left"/>
    </w:pPr>
  </w:style>
  <w:style w:type="paragraph" w:customStyle="1" w:styleId="456">
    <w:name w:val="小四 段落 宋体 Char Char"/>
    <w:basedOn w:val="457"/>
    <w:qFormat/>
    <w:uiPriority w:val="0"/>
    <w:pPr>
      <w:tabs>
        <w:tab w:val="left" w:pos="360"/>
        <w:tab w:val="left" w:pos="840"/>
      </w:tabs>
    </w:pPr>
  </w:style>
  <w:style w:type="paragraph" w:customStyle="1" w:styleId="457">
    <w:name w:val="小四 段落 宋体 Char Char Char"/>
    <w:basedOn w:val="15"/>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58">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9">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0">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1">
    <w:name w:val="表格内容五号(V1)"/>
    <w:basedOn w:val="1"/>
    <w:qFormat/>
    <w:uiPriority w:val="0"/>
    <w:pPr>
      <w:jc w:val="center"/>
    </w:pPr>
    <w:rPr>
      <w:rFonts w:cs="Arial Unicode MS"/>
      <w:kern w:val="0"/>
      <w:szCs w:val="21"/>
    </w:rPr>
  </w:style>
  <w:style w:type="paragraph" w:customStyle="1" w:styleId="46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3">
    <w:name w:val="10"/>
    <w:basedOn w:val="1"/>
    <w:qFormat/>
    <w:uiPriority w:val="0"/>
    <w:pPr>
      <w:spacing w:line="360" w:lineRule="auto"/>
      <w:ind w:firstLine="454"/>
    </w:pPr>
    <w:rPr>
      <w:rFonts w:ascii="Tahoma" w:hAnsi="Tahoma"/>
      <w:sz w:val="24"/>
      <w:szCs w:val="20"/>
    </w:rPr>
  </w:style>
  <w:style w:type="paragraph" w:customStyle="1" w:styleId="464">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5">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6">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7">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68">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9">
    <w:name w:val="样式 日期 + 行距: 1.5 倍行距"/>
    <w:basedOn w:val="34"/>
    <w:qFormat/>
    <w:uiPriority w:val="0"/>
    <w:pPr>
      <w:widowControl/>
      <w:spacing w:line="360" w:lineRule="auto"/>
      <w:ind w:left="0" w:leftChars="0" w:firstLine="540"/>
    </w:pPr>
    <w:rPr>
      <w:rFonts w:ascii="宋体" w:eastAsia="宋体" w:cs="宋体"/>
      <w:color w:val="auto"/>
      <w:sz w:val="24"/>
      <w:szCs w:val="20"/>
    </w:rPr>
  </w:style>
  <w:style w:type="paragraph" w:customStyle="1" w:styleId="470">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1">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2">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3">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4">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5">
    <w:name w:val="三级无"/>
    <w:basedOn w:val="267"/>
    <w:qFormat/>
    <w:uiPriority w:val="0"/>
    <w:pPr>
      <w:spacing w:beforeLines="0" w:afterLines="0"/>
    </w:pPr>
    <w:rPr>
      <w:rFonts w:ascii="宋体" w:eastAsia="宋体"/>
    </w:rPr>
  </w:style>
  <w:style w:type="paragraph" w:customStyle="1" w:styleId="47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7">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8">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Figure"/>
    <w:basedOn w:val="1"/>
    <w:next w:val="414"/>
    <w:qFormat/>
    <w:uiPriority w:val="0"/>
    <w:pPr>
      <w:keepNext/>
      <w:ind w:left="1701"/>
    </w:pPr>
  </w:style>
  <w:style w:type="paragraph" w:customStyle="1" w:styleId="480">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1">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2">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3">
    <w:name w:val="正文悬挂缩进4"/>
    <w:basedOn w:val="1"/>
    <w:qFormat/>
    <w:uiPriority w:val="0"/>
    <w:pPr>
      <w:spacing w:line="360" w:lineRule="auto"/>
      <w:ind w:left="839"/>
    </w:pPr>
  </w:style>
  <w:style w:type="paragraph" w:customStyle="1" w:styleId="484">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5">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6">
    <w:name w:val="样式 标题 4Alt+4项h4H41.1.1.1 Heading 4Heading FourHead44bul...1"/>
    <w:basedOn w:val="5"/>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7">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8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0">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1">
    <w:name w:val="项目编号1级"/>
    <w:basedOn w:val="492"/>
    <w:qFormat/>
    <w:uiPriority w:val="0"/>
    <w:pPr>
      <w:tabs>
        <w:tab w:val="left" w:pos="840"/>
      </w:tabs>
      <w:ind w:left="840" w:hanging="420" w:firstLineChars="0"/>
    </w:pPr>
  </w:style>
  <w:style w:type="paragraph" w:customStyle="1" w:styleId="492">
    <w:name w:val="正文缩进2"/>
    <w:basedOn w:val="1"/>
    <w:qFormat/>
    <w:uiPriority w:val="0"/>
    <w:pPr>
      <w:spacing w:line="360" w:lineRule="auto"/>
      <w:ind w:firstLine="200" w:firstLineChars="200"/>
    </w:pPr>
  </w:style>
  <w:style w:type="paragraph" w:customStyle="1" w:styleId="49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6">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7">
    <w:name w:val="样式 标题 3 + 段前: 0.5 行 段后: 0.5 行"/>
    <w:basedOn w:val="4"/>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498">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99">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0">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1">
    <w:name w:val="列出段落1"/>
    <w:basedOn w:val="1"/>
    <w:qFormat/>
    <w:uiPriority w:val="34"/>
    <w:pPr>
      <w:ind w:firstLine="420" w:firstLineChars="200"/>
    </w:pPr>
    <w:rPr>
      <w:szCs w:val="20"/>
    </w:rPr>
  </w:style>
  <w:style w:type="paragraph" w:customStyle="1" w:styleId="502">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3">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4">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6">
    <w:name w:val="一级"/>
    <w:basedOn w:val="101"/>
    <w:next w:val="101"/>
    <w:qFormat/>
    <w:uiPriority w:val="0"/>
    <w:pPr>
      <w:tabs>
        <w:tab w:val="left" w:pos="360"/>
        <w:tab w:val="left" w:pos="780"/>
      </w:tabs>
      <w:ind w:left="780" w:hanging="360" w:firstLineChars="0"/>
      <w:jc w:val="center"/>
      <w:outlineLvl w:val="0"/>
    </w:pPr>
    <w:rPr>
      <w:b/>
      <w:sz w:val="44"/>
    </w:rPr>
  </w:style>
  <w:style w:type="paragraph" w:customStyle="1" w:styleId="507">
    <w:name w:val="警告"/>
    <w:basedOn w:val="1"/>
    <w:next w:val="197"/>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08">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09">
    <w:name w:val="样式 标题 3H3h3h31第二层条3Bold Headbh章标题1小标题level_3PIM 3Lev..."/>
    <w:basedOn w:val="4"/>
    <w:qFormat/>
    <w:uiPriority w:val="0"/>
    <w:pPr>
      <w:tabs>
        <w:tab w:val="left" w:pos="1931"/>
      </w:tabs>
      <w:spacing w:before="156" w:after="156"/>
      <w:ind w:left="1418" w:leftChars="0" w:hanging="567"/>
    </w:pPr>
    <w:rPr>
      <w:rFonts w:eastAsia="楷体_GB2312" w:cs="宋体"/>
      <w:bCs/>
      <w:kern w:val="0"/>
      <w:sz w:val="44"/>
    </w:rPr>
  </w:style>
  <w:style w:type="paragraph" w:customStyle="1" w:styleId="510">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1">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2">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4">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5">
    <w:name w:val="正文(单倍行距)"/>
    <w:basedOn w:val="1"/>
    <w:qFormat/>
    <w:uiPriority w:val="0"/>
    <w:pPr>
      <w:adjustRightInd w:val="0"/>
      <w:snapToGrid w:val="0"/>
      <w:jc w:val="center"/>
    </w:pPr>
  </w:style>
  <w:style w:type="paragraph" w:customStyle="1" w:styleId="516">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7">
    <w:name w:val="二级无"/>
    <w:basedOn w:val="268"/>
    <w:qFormat/>
    <w:uiPriority w:val="0"/>
    <w:pPr>
      <w:spacing w:beforeLines="0" w:afterLines="0"/>
    </w:pPr>
    <w:rPr>
      <w:rFonts w:ascii="宋体" w:eastAsia="宋体"/>
    </w:rPr>
  </w:style>
  <w:style w:type="paragraph" w:customStyle="1" w:styleId="518">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19">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0">
    <w:name w:val="pa-10"/>
    <w:basedOn w:val="1"/>
    <w:qFormat/>
    <w:uiPriority w:val="0"/>
    <w:pPr>
      <w:widowControl/>
      <w:spacing w:line="280" w:lineRule="atLeast"/>
    </w:pPr>
    <w:rPr>
      <w:rFonts w:ascii="宋体" w:hAnsi="宋体" w:cs="宋体"/>
      <w:kern w:val="0"/>
      <w:sz w:val="24"/>
    </w:rPr>
  </w:style>
  <w:style w:type="paragraph" w:customStyle="1" w:styleId="521">
    <w:name w:val="WPS Plain"/>
    <w:qFormat/>
    <w:uiPriority w:val="0"/>
    <w:rPr>
      <w:rFonts w:ascii="Times New Roman" w:hAnsi="Times New Roman" w:eastAsia="宋体" w:cs="Times New Roman"/>
      <w:lang w:val="en-US" w:eastAsia="zh-CN" w:bidi="ar-SA"/>
    </w:rPr>
  </w:style>
  <w:style w:type="paragraph" w:customStyle="1" w:styleId="522">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4">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5">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6">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7">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表身（中）"/>
    <w:basedOn w:val="403"/>
    <w:qFormat/>
    <w:uiPriority w:val="0"/>
    <w:pPr>
      <w:jc w:val="center"/>
    </w:pPr>
  </w:style>
  <w:style w:type="paragraph" w:customStyle="1" w:styleId="529">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0">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1">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2">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5">
    <w:name w:val="表格正文2"/>
    <w:basedOn w:val="1"/>
    <w:qFormat/>
    <w:uiPriority w:val="0"/>
    <w:pPr>
      <w:adjustRightInd w:val="0"/>
      <w:snapToGrid w:val="0"/>
      <w:spacing w:line="400" w:lineRule="atLeast"/>
      <w:jc w:val="left"/>
    </w:pPr>
    <w:rPr>
      <w:sz w:val="24"/>
      <w:szCs w:val="20"/>
    </w:rPr>
  </w:style>
  <w:style w:type="paragraph" w:customStyle="1" w:styleId="53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7">
    <w:name w:val="样式 首行缩进:  2 字符2 + 居中"/>
    <w:basedOn w:val="219"/>
    <w:qFormat/>
    <w:uiPriority w:val="0"/>
    <w:pPr>
      <w:adjustRightInd/>
      <w:snapToGrid/>
      <w:ind w:firstLine="0" w:firstLineChars="0"/>
      <w:jc w:val="center"/>
    </w:pPr>
    <w:rPr>
      <w:sz w:val="28"/>
      <w:szCs w:val="20"/>
    </w:rPr>
  </w:style>
  <w:style w:type="paragraph" w:customStyle="1" w:styleId="538">
    <w:name w:val="Absatz2AL"/>
    <w:basedOn w:val="26"/>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3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1">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2">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5">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6">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7">
    <w:name w:val="def正文"/>
    <w:basedOn w:val="26"/>
    <w:qFormat/>
    <w:uiPriority w:val="0"/>
    <w:pPr>
      <w:widowControl/>
      <w:autoSpaceDE/>
      <w:autoSpaceDN/>
      <w:adjustRightInd/>
      <w:ind w:firstLine="482"/>
      <w:jc w:val="both"/>
    </w:pPr>
    <w:rPr>
      <w:rFonts w:ascii="Times New Roman"/>
      <w:b/>
      <w:sz w:val="24"/>
      <w:szCs w:val="24"/>
    </w:rPr>
  </w:style>
  <w:style w:type="paragraph" w:customStyle="1" w:styleId="548">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4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0">
    <w:name w:val="三级大纲"/>
    <w:next w:val="101"/>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1">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2">
    <w:name w:val="1"/>
    <w:basedOn w:val="39"/>
    <w:qFormat/>
    <w:uiPriority w:val="0"/>
    <w:pPr>
      <w:pBdr>
        <w:bottom w:val="none" w:color="auto" w:sz="0" w:space="0"/>
      </w:pBdr>
    </w:pPr>
    <w:rPr>
      <w:rFonts w:ascii="Calibri" w:hAnsi="Calibri" w:eastAsia="华文新魏"/>
      <w:kern w:val="0"/>
      <w:sz w:val="21"/>
      <w:szCs w:val="20"/>
    </w:rPr>
  </w:style>
  <w:style w:type="paragraph" w:customStyle="1" w:styleId="553">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6">
    <w:name w:val="Item Step in Table"/>
    <w:basedOn w:val="1"/>
    <w:qFormat/>
    <w:uiPriority w:val="0"/>
    <w:pPr>
      <w:tabs>
        <w:tab w:val="left" w:pos="420"/>
      </w:tabs>
      <w:ind w:left="420" w:hanging="420"/>
      <w:jc w:val="left"/>
    </w:pPr>
    <w:rPr>
      <w:rFonts w:ascii="Tahoma" w:hAnsi="Tahoma"/>
      <w:sz w:val="28"/>
      <w:szCs w:val="21"/>
    </w:rPr>
  </w:style>
  <w:style w:type="paragraph" w:customStyle="1" w:styleId="55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8">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5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0">
    <w:name w:val="正文悬挂缩进6"/>
    <w:basedOn w:val="483"/>
    <w:qFormat/>
    <w:uiPriority w:val="0"/>
    <w:pPr>
      <w:tabs>
        <w:tab w:val="left" w:pos="1259"/>
      </w:tabs>
      <w:ind w:left="600" w:leftChars="600"/>
    </w:pPr>
  </w:style>
  <w:style w:type="paragraph" w:customStyle="1" w:styleId="561">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4">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5">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6">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7">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68">
    <w:name w:val="表3"/>
    <w:basedOn w:val="215"/>
    <w:qFormat/>
    <w:uiPriority w:val="0"/>
    <w:pPr>
      <w:numPr>
        <w:numId w:val="0"/>
      </w:numPr>
      <w:ind w:left="902" w:hanging="420"/>
    </w:pPr>
  </w:style>
  <w:style w:type="paragraph" w:customStyle="1" w:styleId="56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0">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1">
    <w:name w:val="Char21"/>
    <w:basedOn w:val="1"/>
    <w:qFormat/>
    <w:uiPriority w:val="0"/>
  </w:style>
  <w:style w:type="paragraph" w:customStyle="1" w:styleId="572">
    <w:name w:val="正文1"/>
    <w:basedOn w:val="1"/>
    <w:qFormat/>
    <w:uiPriority w:val="0"/>
    <w:pPr>
      <w:spacing w:line="360" w:lineRule="auto"/>
      <w:ind w:firstLine="200" w:firstLineChars="200"/>
    </w:pPr>
  </w:style>
  <w:style w:type="paragraph" w:customStyle="1" w:styleId="573">
    <w:name w:val="Char1"/>
    <w:basedOn w:val="1"/>
    <w:qFormat/>
    <w:uiPriority w:val="0"/>
  </w:style>
  <w:style w:type="paragraph" w:customStyle="1" w:styleId="574">
    <w:name w:val="样式 标题 2 + 段前: 0.5 行 段后: 0.5 行1"/>
    <w:basedOn w:val="2"/>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5">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6">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7">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78">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0">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81">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2">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4">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5">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6">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7">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88">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9">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0">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2">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3">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4">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5">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6">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98">
    <w:name w:val="Char"/>
    <w:basedOn w:val="1"/>
    <w:qFormat/>
    <w:uiPriority w:val="0"/>
    <w:rPr>
      <w:rFonts w:ascii="Tahoma" w:hAnsi="Tahoma" w:cs="仿宋_GB2312"/>
      <w:sz w:val="24"/>
      <w:szCs w:val="28"/>
    </w:rPr>
  </w:style>
  <w:style w:type="paragraph" w:customStyle="1" w:styleId="599">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0">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1">
    <w:name w:val="我的正文格式"/>
    <w:basedOn w:val="1"/>
    <w:next w:val="1"/>
    <w:qFormat/>
    <w:uiPriority w:val="0"/>
    <w:pPr>
      <w:snapToGrid w:val="0"/>
      <w:spacing w:line="288" w:lineRule="auto"/>
      <w:ind w:left="540" w:hanging="540" w:hangingChars="225"/>
    </w:pPr>
    <w:rPr>
      <w:sz w:val="24"/>
    </w:rPr>
  </w:style>
  <w:style w:type="paragraph" w:customStyle="1" w:styleId="602">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3">
    <w:name w:val="_Style 56"/>
    <w:basedOn w:val="1"/>
    <w:qFormat/>
    <w:uiPriority w:val="0"/>
    <w:pPr>
      <w:ind w:firstLine="420" w:firstLineChars="200"/>
    </w:pPr>
    <w:rPr>
      <w:rFonts w:ascii="Calibri" w:hAnsi="Calibri"/>
      <w:szCs w:val="22"/>
    </w:rPr>
  </w:style>
  <w:style w:type="paragraph" w:styleId="604">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605">
    <w:name w:val="Char1 Char Char Char"/>
    <w:basedOn w:val="1"/>
    <w:qFormat/>
    <w:uiPriority w:val="0"/>
    <w:rPr>
      <w:rFonts w:ascii="Tahoma" w:hAnsi="Tahoma"/>
      <w:sz w:val="24"/>
      <w:szCs w:val="20"/>
    </w:rPr>
  </w:style>
  <w:style w:type="paragraph" w:customStyle="1" w:styleId="606">
    <w:name w:val="Char Char Char Char1"/>
    <w:basedOn w:val="1"/>
    <w:qFormat/>
    <w:uiPriority w:val="0"/>
    <w:rPr>
      <w:rFonts w:ascii="仿宋_GB2312" w:eastAsia="仿宋_GB2312"/>
      <w:b/>
      <w:sz w:val="32"/>
      <w:szCs w:val="32"/>
    </w:rPr>
  </w:style>
  <w:style w:type="paragraph" w:customStyle="1" w:styleId="607">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09">
    <w:name w:val="标准小四"/>
    <w:basedOn w:val="1"/>
    <w:qFormat/>
    <w:uiPriority w:val="0"/>
    <w:pPr>
      <w:spacing w:line="360" w:lineRule="auto"/>
      <w:ind w:firstLine="480" w:firstLineChars="200"/>
    </w:pPr>
    <w:rPr>
      <w:rFonts w:ascii="Arial" w:hAnsi="Arial"/>
      <w:sz w:val="24"/>
      <w:szCs w:val="21"/>
    </w:rPr>
  </w:style>
  <w:style w:type="paragraph" w:customStyle="1" w:styleId="610">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1">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2">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3">
    <w:name w:val="书目11"/>
    <w:basedOn w:val="1"/>
    <w:next w:val="1"/>
    <w:unhideWhenUsed/>
    <w:qFormat/>
    <w:uiPriority w:val="37"/>
    <w:pPr>
      <w:spacing w:line="360" w:lineRule="auto"/>
      <w:ind w:firstLine="200" w:firstLineChars="200"/>
      <w:jc w:val="left"/>
    </w:pPr>
    <w:rPr>
      <w:sz w:val="24"/>
    </w:rPr>
  </w:style>
  <w:style w:type="paragraph" w:customStyle="1" w:styleId="614">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5">
    <w:name w:val="小标"/>
    <w:basedOn w:val="1"/>
    <w:qFormat/>
    <w:uiPriority w:val="0"/>
    <w:rPr>
      <w:rFonts w:hint="eastAsia" w:ascii="黑体" w:eastAsia="黑体"/>
      <w:spacing w:val="20"/>
      <w:szCs w:val="20"/>
    </w:rPr>
  </w:style>
  <w:style w:type="paragraph" w:customStyle="1" w:styleId="616">
    <w:name w:val="表格标题3"/>
    <w:basedOn w:val="413"/>
    <w:qFormat/>
    <w:uiPriority w:val="0"/>
    <w:pPr>
      <w:tabs>
        <w:tab w:val="left" w:pos="570"/>
        <w:tab w:val="left" w:pos="720"/>
        <w:tab w:val="clear" w:pos="1620"/>
      </w:tabs>
      <w:ind w:left="570" w:hanging="570"/>
    </w:pPr>
  </w:style>
  <w:style w:type="paragraph" w:customStyle="1" w:styleId="617">
    <w:name w:val="五级大纲"/>
    <w:next w:val="101"/>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18">
    <w:name w:val="默认段落字体 Para Char Char Char Char Char Char Char"/>
    <w:basedOn w:val="1"/>
    <w:qFormat/>
    <w:uiPriority w:val="0"/>
    <w:pPr>
      <w:jc w:val="left"/>
    </w:pPr>
    <w:rPr>
      <w:rFonts w:ascii="Tahoma" w:hAnsi="Tahoma"/>
      <w:sz w:val="24"/>
      <w:szCs w:val="20"/>
    </w:rPr>
  </w:style>
  <w:style w:type="paragraph" w:customStyle="1" w:styleId="619">
    <w:name w:val="默认段落字体 Para Char Char Char Char Char Char Char Char Char Char Char Char Char Char"/>
    <w:basedOn w:val="20"/>
    <w:qFormat/>
    <w:uiPriority w:val="0"/>
    <w:rPr>
      <w:rFonts w:ascii="Tahoma" w:hAnsi="Tahoma"/>
      <w:sz w:val="24"/>
    </w:rPr>
  </w:style>
  <w:style w:type="paragraph" w:customStyle="1" w:styleId="6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1">
    <w:name w:val="样式 标题 2（x.x）节二级标题H2h2h212Header 2l2Level 2 HeadH2norm..."/>
    <w:basedOn w:val="2"/>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2">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3">
    <w:name w:val="样式 标题 2 + 宋体 小三 段前: 0 磅 段后: 12 磅 行距: 1.5 倍行距"/>
    <w:basedOn w:val="2"/>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4">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5">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7">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28">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29">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0">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1">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2">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3">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4">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635">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6">
    <w:name w:val="版权所有"/>
    <w:basedOn w:val="1"/>
    <w:qFormat/>
    <w:uiPriority w:val="0"/>
    <w:pPr>
      <w:spacing w:beforeLines="100" w:afterLines="100" w:line="360" w:lineRule="auto"/>
    </w:pPr>
    <w:rPr>
      <w:rFonts w:ascii="Arial" w:hAnsi="Arial" w:eastAsia="黑体"/>
      <w:b/>
      <w:sz w:val="30"/>
      <w:u w:val="single"/>
    </w:rPr>
  </w:style>
  <w:style w:type="paragraph" w:customStyle="1" w:styleId="637">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38">
    <w:name w:val="项目编号2级"/>
    <w:basedOn w:val="491"/>
    <w:qFormat/>
    <w:uiPriority w:val="0"/>
  </w:style>
  <w:style w:type="paragraph" w:customStyle="1" w:styleId="639">
    <w:name w:val="四级无"/>
    <w:basedOn w:val="266"/>
    <w:qFormat/>
    <w:uiPriority w:val="0"/>
    <w:pPr>
      <w:tabs>
        <w:tab w:val="left" w:pos="360"/>
      </w:tabs>
      <w:spacing w:beforeLines="0" w:afterLines="0"/>
    </w:pPr>
    <w:rPr>
      <w:rFonts w:ascii="宋体" w:eastAsia="宋体"/>
    </w:rPr>
  </w:style>
  <w:style w:type="paragraph" w:customStyle="1" w:styleId="640">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1">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2">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3">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4">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5">
    <w:name w:val="样式 标题 3H3h3h31第二层条3Bold Headbh章标题1小标题level_3PIM 3Lev...2"/>
    <w:basedOn w:val="4"/>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6">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7">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9">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0">
    <w:name w:val="样式 标题 3H3h3h31第二层条3Bold Headbh章标题1小标题level_3PIM 3Lev...1"/>
    <w:basedOn w:val="4"/>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1">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2">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3">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4">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5">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6">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7">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8">
    <w:name w:val="表头"/>
    <w:basedOn w:val="1"/>
    <w:qFormat/>
    <w:uiPriority w:val="0"/>
    <w:pPr>
      <w:autoSpaceDE w:val="0"/>
      <w:autoSpaceDN w:val="0"/>
      <w:adjustRightInd w:val="0"/>
      <w:jc w:val="center"/>
    </w:pPr>
    <w:rPr>
      <w:rFonts w:ascii="Arial" w:hAnsi="Arial"/>
      <w:kern w:val="0"/>
      <w:sz w:val="18"/>
    </w:rPr>
  </w:style>
  <w:style w:type="paragraph" w:customStyle="1" w:styleId="6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0">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1">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2">
    <w:name w:val="Body Text 21"/>
    <w:basedOn w:val="1"/>
    <w:qFormat/>
    <w:uiPriority w:val="0"/>
    <w:pPr>
      <w:adjustRightInd w:val="0"/>
      <w:spacing w:line="240" w:lineRule="exact"/>
      <w:textAlignment w:val="baseline"/>
    </w:pPr>
    <w:rPr>
      <w:rFonts w:ascii="宋体"/>
      <w:kern w:val="0"/>
      <w:sz w:val="18"/>
      <w:szCs w:val="20"/>
    </w:rPr>
  </w:style>
  <w:style w:type="paragraph" w:customStyle="1" w:styleId="663">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5">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6">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7">
    <w:name w:val="样式 样式 标题 5 + 段前: 0.5 行 段后: 0.5 行 + 段前: 0.5 行 段后: 0.5 行"/>
    <w:basedOn w:val="593"/>
    <w:qFormat/>
    <w:uiPriority w:val="0"/>
    <w:rPr>
      <w:bCs w:val="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69">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1">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2">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3">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4">
    <w:name w:val="标书正文"/>
    <w:basedOn w:val="1"/>
    <w:qFormat/>
    <w:uiPriority w:val="0"/>
    <w:pPr>
      <w:spacing w:line="360" w:lineRule="auto"/>
      <w:ind w:firstLine="497" w:firstLineChars="207"/>
    </w:pPr>
    <w:rPr>
      <w:sz w:val="24"/>
      <w:szCs w:val="20"/>
    </w:rPr>
  </w:style>
  <w:style w:type="paragraph" w:customStyle="1" w:styleId="675">
    <w:name w:val="标题3"/>
    <w:basedOn w:val="1"/>
    <w:qFormat/>
    <w:uiPriority w:val="0"/>
    <w:pPr>
      <w:spacing w:beforeLines="50" w:afterLines="50" w:line="300" w:lineRule="exact"/>
    </w:pPr>
    <w:rPr>
      <w:b/>
      <w:bCs/>
    </w:rPr>
  </w:style>
  <w:style w:type="paragraph" w:customStyle="1" w:styleId="67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9">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0">
    <w:name w:val="表格(五号)"/>
    <w:basedOn w:val="1"/>
    <w:qFormat/>
    <w:uiPriority w:val="0"/>
    <w:pPr>
      <w:adjustRightInd w:val="0"/>
      <w:snapToGrid w:val="0"/>
      <w:spacing w:before="60" w:after="60"/>
      <w:ind w:left="11"/>
      <w:jc w:val="center"/>
    </w:pPr>
    <w:rPr>
      <w:kern w:val="0"/>
      <w:szCs w:val="20"/>
    </w:rPr>
  </w:style>
  <w:style w:type="paragraph" w:customStyle="1" w:styleId="681">
    <w:name w:val="表格标题1"/>
    <w:basedOn w:val="592"/>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2">
    <w:name w:val="默认段落字体 Para Char"/>
    <w:basedOn w:val="1"/>
    <w:qFormat/>
    <w:uiPriority w:val="0"/>
  </w:style>
  <w:style w:type="paragraph" w:customStyle="1" w:styleId="683">
    <w:name w:val="正"/>
    <w:basedOn w:val="1"/>
    <w:qFormat/>
    <w:uiPriority w:val="0"/>
    <w:pPr>
      <w:ind w:firstLine="525"/>
    </w:pPr>
    <w:rPr>
      <w:spacing w:val="20"/>
      <w:szCs w:val="20"/>
    </w:rPr>
  </w:style>
  <w:style w:type="paragraph" w:customStyle="1" w:styleId="6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5">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7">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8">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8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0">
    <w:name w:val="无间隔 Char"/>
    <w:basedOn w:val="59"/>
    <w:link w:val="691"/>
    <w:qFormat/>
    <w:locked/>
    <w:uiPriority w:val="0"/>
    <w:rPr>
      <w:rFonts w:ascii="Calibri" w:hAnsi="Calibri" w:eastAsia="宋体" w:cs="Times New Roman"/>
    </w:rPr>
  </w:style>
  <w:style w:type="paragraph" w:styleId="691">
    <w:name w:val="No Spacing"/>
    <w:basedOn w:val="1"/>
    <w:link w:val="690"/>
    <w:qFormat/>
    <w:uiPriority w:val="1"/>
    <w:rPr>
      <w:rFonts w:ascii="Calibri" w:hAnsi="Calibri"/>
      <w:szCs w:val="22"/>
    </w:rPr>
  </w:style>
  <w:style w:type="character" w:customStyle="1" w:styleId="692">
    <w:name w:val="short_text"/>
    <w:basedOn w:val="59"/>
    <w:qFormat/>
    <w:uiPriority w:val="0"/>
  </w:style>
  <w:style w:type="character" w:customStyle="1" w:styleId="693">
    <w:name w:val="未处理的提及1"/>
    <w:basedOn w:val="59"/>
    <w:semiHidden/>
    <w:unhideWhenUsed/>
    <w:qFormat/>
    <w:uiPriority w:val="99"/>
    <w:rPr>
      <w:color w:val="605E5C"/>
      <w:shd w:val="clear" w:color="auto" w:fill="E1DFDD"/>
    </w:rPr>
  </w:style>
  <w:style w:type="paragraph" w:customStyle="1" w:styleId="694">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5">
    <w:name w:val="未处理的提及2"/>
    <w:basedOn w:val="59"/>
    <w:semiHidden/>
    <w:unhideWhenUsed/>
    <w:qFormat/>
    <w:uiPriority w:val="99"/>
    <w:rPr>
      <w:color w:val="605E5C"/>
      <w:shd w:val="clear" w:color="auto" w:fill="E1DFDD"/>
    </w:rPr>
  </w:style>
  <w:style w:type="table" w:customStyle="1" w:styleId="696">
    <w:name w:val="网格型1"/>
    <w:basedOn w:val="5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97">
    <w:name w:val="列表段落1"/>
    <w:basedOn w:val="1"/>
    <w:qFormat/>
    <w:uiPriority w:val="99"/>
    <w:pPr>
      <w:tabs>
        <w:tab w:val="left" w:pos="420"/>
      </w:tabs>
      <w:spacing w:beforeLines="50" w:line="360" w:lineRule="atLeast"/>
      <w:ind w:firstLine="420" w:firstLineChars="200"/>
    </w:pPr>
  </w:style>
  <w:style w:type="paragraph" w:customStyle="1" w:styleId="698">
    <w:name w:val="样式 首行缩进:  2 字符"/>
    <w:basedOn w:val="1"/>
    <w:qFormat/>
    <w:uiPriority w:val="0"/>
    <w:pPr>
      <w:spacing w:after="160" w:line="400" w:lineRule="exact"/>
      <w:ind w:firstLine="200" w:firstLineChars="200"/>
    </w:pPr>
    <w:rPr>
      <w:rFonts w:ascii="Calibri" w:hAnsi="Calibri" w:cs="宋体"/>
      <w:sz w:val="24"/>
    </w:rPr>
  </w:style>
  <w:style w:type="character" w:customStyle="1" w:styleId="699">
    <w:name w:val="bookmark-item"/>
    <w:basedOn w:val="59"/>
    <w:qFormat/>
    <w:uiPriority w:val="0"/>
  </w:style>
  <w:style w:type="paragraph" w:customStyle="1" w:styleId="700">
    <w:name w:val="Table Paragraph"/>
    <w:basedOn w:val="1"/>
    <w:qFormat/>
    <w:uiPriority w:val="1"/>
    <w:rPr>
      <w:rFonts w:ascii="宋体" w:hAnsi="宋体" w:cs="宋体"/>
      <w:lang w:val="zh-CN" w:bidi="zh-CN"/>
    </w:rPr>
  </w:style>
  <w:style w:type="paragraph" w:customStyle="1" w:styleId="701">
    <w:name w:val="正文_29_3_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file:///C:\Users\why\AppData\Local\Temp\ksohtml\clip_image21.png" TargetMode="External"/><Relationship Id="rId17" Type="http://schemas.openxmlformats.org/officeDocument/2006/relationships/image" Target="file:///C:\Users\why\AppData\Local\Temp\ksohtml\clip_image14.png" TargetMode="External"/><Relationship Id="rId16" Type="http://schemas.openxmlformats.org/officeDocument/2006/relationships/image" Target="file:///C:\Users\why\AppData\Local\Temp\ksohtml\clip_image4.png" TargetMode="External"/><Relationship Id="rId15" Type="http://schemas.openxmlformats.org/officeDocument/2006/relationships/image" Target="file:///C:\Users\why\AppData\Local\Temp\ksohtml\clip_image7.png" TargetMode="External"/><Relationship Id="rId14" Type="http://schemas.openxmlformats.org/officeDocument/2006/relationships/image" Target="file:///C:\Users\why\AppData\Local\Temp\ksohtml\clip_image23.png" TargetMode="External"/><Relationship Id="rId13" Type="http://schemas.openxmlformats.org/officeDocument/2006/relationships/image" Target="file:///C:\Users\why\AppData\Local\Temp\ksohtml\clip_image15.png" TargetMode="External"/><Relationship Id="rId12" Type="http://schemas.openxmlformats.org/officeDocument/2006/relationships/image" Target="file:///C:\Users\why\AppData\Local\Temp\ksohtml\clip_image19.png" TargetMode="Externa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38B71-3292-49A2-BB79-D7E56D5C6FB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30548</Words>
  <Characters>4220</Characters>
  <Lines>35</Lines>
  <Paragraphs>69</Paragraphs>
  <TotalTime>1</TotalTime>
  <ScaleCrop>false</ScaleCrop>
  <LinksUpToDate>false</LinksUpToDate>
  <CharactersWithSpaces>34699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2021-08-02T10:05:00Z</dcterms:created>
  <dc:creator>China</dc:creator>
  <cp:lastModifiedBy>why</cp:lastModifiedBy>
  <cp:lastPrinted>2020-01-10T04:04:00Z</cp:lastPrinted>
  <dcterms:modified xsi:type="dcterms:W3CDTF">2022-04-27T10:54:32Z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330049AC588D4CABAE7A7A73A85011E7</vt:lpwstr>
  </property>
</Properties>
</file>