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textAlignment w:val="baseline"/>
        <w:rPr>
          <w:rFonts w:ascii="宋体" w:hAnsi="宋体" w:cs="宋体"/>
          <w:b/>
          <w:bCs/>
          <w:sz w:val="48"/>
          <w:szCs w:val="48"/>
        </w:rPr>
      </w:pPr>
      <w:bookmarkStart w:id="0" w:name="OLE_LINK5"/>
      <w:bookmarkStart w:id="1" w:name="OLE_LINK1"/>
      <w:bookmarkStart w:id="2" w:name="OLE_LINK2"/>
      <w:r>
        <w:rPr>
          <w:rFonts w:hint="eastAsia" w:ascii="宋体" w:hAnsi="宋体" w:cs="宋体"/>
          <w:b/>
          <w:bCs/>
          <w:sz w:val="48"/>
          <w:szCs w:val="48"/>
        </w:rPr>
        <w:t>新和县塔木托格拉克乡塔木托格拉克村污水治理项目</w:t>
      </w:r>
    </w:p>
    <w:p>
      <w:pPr>
        <w:spacing w:line="360" w:lineRule="auto"/>
        <w:jc w:val="center"/>
        <w:textAlignment w:val="baseline"/>
        <w:rPr>
          <w:rFonts w:ascii="宋体" w:hAnsi="宋体" w:cs="宋体"/>
          <w:b/>
          <w:bCs/>
          <w:sz w:val="48"/>
          <w:szCs w:val="48"/>
        </w:rPr>
      </w:pPr>
      <w:r>
        <w:rPr>
          <w:rFonts w:hint="eastAsia" w:ascii="宋体" w:hAnsi="宋体" w:cs="宋体"/>
          <w:b/>
          <w:bCs/>
          <w:sz w:val="48"/>
          <w:szCs w:val="48"/>
        </w:rPr>
        <w:t>（一体化污水处理设备采购</w:t>
      </w:r>
      <w:bookmarkEnd w:id="0"/>
      <w:r>
        <w:rPr>
          <w:rFonts w:hint="eastAsia" w:ascii="宋体" w:hAnsi="宋体" w:cs="宋体"/>
          <w:b/>
          <w:bCs/>
          <w:sz w:val="48"/>
          <w:szCs w:val="48"/>
        </w:rPr>
        <w:t>）</w:t>
      </w:r>
      <w:bookmarkEnd w:id="1"/>
      <w:bookmarkEnd w:id="2"/>
      <w:r>
        <w:rPr>
          <w:rFonts w:hint="eastAsia" w:ascii="宋体" w:hAnsi="宋体" w:cs="宋体"/>
          <w:b/>
          <w:bCs/>
          <w:sz w:val="48"/>
          <w:szCs w:val="48"/>
          <w:lang w:eastAsia="zh-CN"/>
        </w:rPr>
        <w:t>二次</w:t>
      </w:r>
    </w:p>
    <w:p>
      <w:pPr>
        <w:pStyle w:val="2"/>
      </w:pPr>
    </w:p>
    <w:p>
      <w:pPr>
        <w:jc w:val="center"/>
        <w:rPr>
          <w:rFonts w:ascii="宋体" w:hAnsi="宋体" w:cs="宋体"/>
          <w:bCs/>
          <w:sz w:val="36"/>
          <w:szCs w:val="36"/>
        </w:rPr>
      </w:pPr>
      <w:r>
        <w:rPr>
          <w:rFonts w:hint="eastAsia" w:ascii="宋体" w:hAnsi="宋体" w:cs="宋体"/>
          <w:bCs/>
          <w:sz w:val="36"/>
          <w:szCs w:val="36"/>
        </w:rPr>
        <w:t>项目编号：</w:t>
      </w:r>
      <w:r>
        <w:rPr>
          <w:rFonts w:hint="eastAsia" w:ascii="宋体" w:hAnsi="宋体" w:cs="宋体"/>
          <w:bCs/>
          <w:sz w:val="36"/>
          <w:szCs w:val="36"/>
        </w:rPr>
        <w:fldChar w:fldCharType="begin"/>
      </w:r>
      <w:r>
        <w:rPr>
          <w:rFonts w:hint="eastAsia" w:ascii="宋体" w:hAnsi="宋体" w:cs="宋体"/>
          <w:bCs/>
          <w:sz w:val="36"/>
          <w:szCs w:val="36"/>
        </w:rPr>
        <w:instrText xml:space="preserve"> HYPERLINK "https://pay.zcygov.cn/purchaseplan_front/" \l "/plan/apply/detail/1000003316055" </w:instrText>
      </w:r>
      <w:r>
        <w:rPr>
          <w:rFonts w:hint="eastAsia" w:ascii="宋体" w:hAnsi="宋体" w:cs="宋体"/>
          <w:bCs/>
          <w:sz w:val="36"/>
          <w:szCs w:val="36"/>
        </w:rPr>
        <w:fldChar w:fldCharType="separate"/>
      </w:r>
      <w:r>
        <w:rPr>
          <w:rFonts w:hint="eastAsia" w:ascii="宋体" w:hAnsi="宋体" w:cs="宋体"/>
          <w:bCs/>
          <w:sz w:val="36"/>
          <w:szCs w:val="36"/>
        </w:rPr>
        <w:t>[2022]156号</w:t>
      </w:r>
      <w:r>
        <w:rPr>
          <w:rFonts w:hint="eastAsia" w:ascii="宋体" w:hAnsi="宋体" w:cs="宋体"/>
          <w:bCs/>
          <w:sz w:val="36"/>
          <w:szCs w:val="36"/>
        </w:rPr>
        <w:fldChar w:fldCharType="end"/>
      </w:r>
    </w:p>
    <w:p/>
    <w:p>
      <w:pPr>
        <w:pStyle w:val="35"/>
        <w:rPr>
          <w:rFonts w:ascii="宋体" w:hAnsi="宋体" w:cs="宋体"/>
        </w:rPr>
      </w:pPr>
    </w:p>
    <w:p>
      <w:pPr>
        <w:adjustRightInd w:val="0"/>
        <w:snapToGrid w:val="0"/>
        <w:jc w:val="center"/>
        <w:rPr>
          <w:rFonts w:ascii="宋体" w:hAnsi="宋体" w:cs="宋体"/>
          <w:sz w:val="72"/>
          <w:szCs w:val="72"/>
        </w:rPr>
      </w:pPr>
    </w:p>
    <w:p>
      <w:pPr>
        <w:pStyle w:val="2"/>
      </w:pPr>
    </w:p>
    <w:p/>
    <w:p>
      <w:pPr>
        <w:pStyle w:val="2"/>
      </w:pPr>
    </w:p>
    <w:p>
      <w:pPr>
        <w:adjustRightInd w:val="0"/>
        <w:snapToGrid w:val="0"/>
        <w:jc w:val="center"/>
        <w:rPr>
          <w:rFonts w:ascii="宋体" w:hAnsi="宋体" w:cs="宋体"/>
          <w:sz w:val="72"/>
          <w:szCs w:val="72"/>
        </w:rPr>
      </w:pPr>
      <w:r>
        <w:rPr>
          <w:rFonts w:hint="eastAsia" w:ascii="宋体" w:hAnsi="宋体" w:cs="宋体"/>
          <w:sz w:val="72"/>
          <w:szCs w:val="7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5"/>
        <w:ind w:firstLine="0"/>
        <w:rPr>
          <w:rFonts w:ascii="宋体" w:hAnsi="宋体" w:cs="宋体"/>
        </w:rPr>
      </w:pPr>
    </w:p>
    <w:p>
      <w:pPr>
        <w:pStyle w:val="35"/>
        <w:rPr>
          <w:rFonts w:ascii="宋体" w:hAnsi="宋体" w:cs="宋体"/>
        </w:rPr>
      </w:pPr>
    </w:p>
    <w:p>
      <w:pPr>
        <w:adjustRightInd w:val="0"/>
        <w:snapToGrid w:val="0"/>
        <w:spacing w:line="400" w:lineRule="exact"/>
        <w:rPr>
          <w:rFonts w:ascii="宋体" w:hAnsi="宋体" w:cs="宋体"/>
        </w:rPr>
      </w:pPr>
    </w:p>
    <w:p>
      <w:pPr>
        <w:pStyle w:val="35"/>
        <w:ind w:firstLine="1280" w:firstLineChars="400"/>
        <w:rPr>
          <w:rFonts w:ascii="宋体" w:hAnsi="宋体" w:cs="宋体"/>
          <w:sz w:val="32"/>
          <w:szCs w:val="32"/>
        </w:rPr>
      </w:pPr>
    </w:p>
    <w:p>
      <w:pPr>
        <w:pStyle w:val="35"/>
        <w:ind w:firstLine="1280" w:firstLineChars="400"/>
        <w:rPr>
          <w:rFonts w:ascii="宋体" w:hAnsi="宋体" w:cs="宋体"/>
          <w:sz w:val="32"/>
          <w:szCs w:val="32"/>
        </w:rPr>
      </w:pPr>
    </w:p>
    <w:p>
      <w:pPr>
        <w:pStyle w:val="35"/>
        <w:ind w:firstLine="1280" w:firstLineChars="400"/>
        <w:rPr>
          <w:rFonts w:ascii="宋体" w:hAnsi="宋体" w:cs="宋体"/>
          <w:sz w:val="32"/>
          <w:szCs w:val="32"/>
        </w:rPr>
      </w:pPr>
    </w:p>
    <w:p>
      <w:pPr>
        <w:pStyle w:val="35"/>
        <w:ind w:firstLine="1280" w:firstLineChars="400"/>
        <w:rPr>
          <w:rFonts w:ascii="宋体" w:hAnsi="宋体" w:cs="宋体"/>
          <w:sz w:val="32"/>
          <w:szCs w:val="32"/>
        </w:rPr>
      </w:pPr>
      <w:r>
        <w:rPr>
          <w:rFonts w:hint="eastAsia" w:ascii="宋体" w:hAnsi="宋体" w:cs="宋体"/>
          <w:sz w:val="32"/>
          <w:szCs w:val="32"/>
        </w:rPr>
        <w:t>采购人：新和县塔木托格拉克乡人民政府</w:t>
      </w:r>
    </w:p>
    <w:p>
      <w:pPr>
        <w:pStyle w:val="35"/>
        <w:ind w:firstLine="1280" w:firstLineChars="400"/>
        <w:rPr>
          <w:rFonts w:ascii="宋体" w:hAnsi="宋体" w:cs="宋体"/>
          <w:sz w:val="32"/>
          <w:szCs w:val="32"/>
        </w:rPr>
      </w:pPr>
      <w:r>
        <w:rPr>
          <w:rFonts w:hint="eastAsia" w:ascii="宋体" w:hAnsi="宋体" w:cs="宋体"/>
          <w:sz w:val="32"/>
          <w:szCs w:val="32"/>
        </w:rPr>
        <w:t>采购代理机构：</w:t>
      </w:r>
      <w:r>
        <w:rPr>
          <w:rFonts w:hint="eastAsia" w:ascii="宋体" w:hAnsi="宋体" w:cs="宋体"/>
          <w:bCs/>
          <w:sz w:val="32"/>
          <w:szCs w:val="32"/>
        </w:rPr>
        <w:t>新疆佑雷项目管理有限公司</w:t>
      </w:r>
    </w:p>
    <w:p>
      <w:pPr>
        <w:pStyle w:val="35"/>
        <w:ind w:firstLine="0"/>
        <w:rPr>
          <w:rFonts w:ascii="宋体" w:hAnsi="宋体" w:cs="宋体"/>
          <w:bCs/>
          <w:sz w:val="28"/>
          <w:szCs w:val="28"/>
        </w:rPr>
      </w:pPr>
    </w:p>
    <w:p>
      <w:pPr>
        <w:pStyle w:val="35"/>
        <w:ind w:firstLine="0"/>
        <w:rPr>
          <w:rFonts w:ascii="宋体" w:hAnsi="宋体" w:cs="宋体"/>
          <w:bCs/>
          <w:sz w:val="28"/>
          <w:szCs w:val="28"/>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p>
      <w:pPr>
        <w:pStyle w:val="26"/>
        <w:tabs>
          <w:tab w:val="right" w:leader="dot" w:pos="8844"/>
        </w:tabs>
        <w:rPr>
          <w:rFonts w:hint="eastAsia" w:ascii="宋体" w:hAnsi="宋体" w:eastAsia="宋体" w:cs="宋体"/>
        </w:rPr>
      </w:pPr>
      <w:bookmarkStart w:id="3" w:name="_Toc456291523"/>
      <w:bookmarkStart w:id="4" w:name="_Toc456291340"/>
      <w:bookmarkStart w:id="5" w:name="_Toc456291246"/>
      <w:bookmarkStart w:id="6" w:name="_Toc9198"/>
      <w:bookmarkStart w:id="7" w:name="_Toc25640"/>
      <w:bookmarkStart w:id="8" w:name="_Toc11599"/>
      <w:bookmarkStart w:id="9" w:name="_Toc462487357"/>
      <w:bookmarkStart w:id="10" w:name="_Toc456291266"/>
      <w:bookmarkStart w:id="11" w:name="_Toc456291465"/>
      <w:r>
        <w:rPr>
          <w:rFonts w:hint="eastAsia" w:ascii="宋体" w:hAnsi="宋体" w:eastAsia="宋体" w:cs="宋体"/>
          <w:sz w:val="28"/>
          <w:szCs w:val="28"/>
          <w:highlight w:val="white"/>
        </w:rPr>
        <w:fldChar w:fldCharType="begin"/>
      </w:r>
      <w:r>
        <w:rPr>
          <w:rFonts w:hint="eastAsia" w:ascii="宋体" w:hAnsi="宋体" w:eastAsia="宋体" w:cs="宋体"/>
          <w:sz w:val="28"/>
          <w:szCs w:val="28"/>
          <w:highlight w:val="white"/>
        </w:rPr>
        <w:instrText xml:space="preserve">TOC \o "1-1" \h \u </w:instrText>
      </w:r>
      <w:r>
        <w:rPr>
          <w:rFonts w:hint="eastAsia" w:ascii="宋体" w:hAnsi="宋体" w:eastAsia="宋体" w:cs="宋体"/>
          <w:sz w:val="28"/>
          <w:szCs w:val="28"/>
          <w:highlight w:val="white"/>
        </w:rPr>
        <w:fldChar w:fldCharType="separate"/>
      </w: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_Toc27800 </w:instrText>
      </w:r>
      <w:r>
        <w:rPr>
          <w:rFonts w:hint="eastAsia" w:ascii="宋体" w:hAnsi="宋体" w:eastAsia="宋体" w:cs="宋体"/>
          <w:szCs w:val="28"/>
          <w:highlight w:val="white"/>
        </w:rPr>
        <w:fldChar w:fldCharType="separate"/>
      </w:r>
      <w:r>
        <w:rPr>
          <w:rFonts w:hint="eastAsia" w:ascii="宋体" w:hAnsi="宋体" w:eastAsia="宋体" w:cs="宋体"/>
          <w:szCs w:val="28"/>
        </w:rPr>
        <w:t>竞争性磋商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_Toc27800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26"/>
        <w:tabs>
          <w:tab w:val="right" w:leader="dot" w:pos="8844"/>
        </w:tabs>
        <w:rPr>
          <w:rFonts w:hint="eastAsia" w:ascii="宋体" w:hAnsi="宋体" w:eastAsia="宋体" w:cs="宋体"/>
        </w:rPr>
      </w:pP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_Toc26044 </w:instrText>
      </w:r>
      <w:r>
        <w:rPr>
          <w:rFonts w:hint="eastAsia" w:ascii="宋体" w:hAnsi="宋体" w:eastAsia="宋体" w:cs="宋体"/>
          <w:szCs w:val="28"/>
          <w:highlight w:val="white"/>
        </w:rPr>
        <w:fldChar w:fldCharType="separate"/>
      </w:r>
      <w:r>
        <w:rPr>
          <w:rFonts w:hint="eastAsia" w:ascii="宋体" w:hAnsi="宋体" w:eastAsia="宋体" w:cs="宋体"/>
          <w:szCs w:val="28"/>
        </w:rPr>
        <w:t>第二章  磋商须知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_Toc26044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26"/>
        <w:tabs>
          <w:tab w:val="right" w:leader="dot" w:pos="8844"/>
        </w:tabs>
        <w:rPr>
          <w:rFonts w:hint="eastAsia" w:ascii="宋体" w:hAnsi="宋体" w:eastAsia="宋体" w:cs="宋体"/>
        </w:rPr>
      </w:pP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_Toc7384 </w:instrText>
      </w:r>
      <w:r>
        <w:rPr>
          <w:rFonts w:hint="eastAsia" w:ascii="宋体" w:hAnsi="宋体" w:eastAsia="宋体" w:cs="宋体"/>
          <w:szCs w:val="28"/>
          <w:highlight w:val="white"/>
        </w:rPr>
        <w:fldChar w:fldCharType="separate"/>
      </w:r>
      <w:r>
        <w:rPr>
          <w:rFonts w:hint="eastAsia" w:ascii="宋体" w:hAnsi="宋体" w:eastAsia="宋体" w:cs="宋体"/>
          <w:szCs w:val="28"/>
        </w:rPr>
        <w:t>第三章  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_Toc7384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26"/>
        <w:tabs>
          <w:tab w:val="right" w:leader="dot" w:pos="8844"/>
        </w:tabs>
        <w:rPr>
          <w:rFonts w:hint="eastAsia" w:ascii="宋体" w:hAnsi="宋体" w:eastAsia="宋体" w:cs="宋体"/>
        </w:rPr>
      </w:pP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_Toc29660 </w:instrText>
      </w:r>
      <w:r>
        <w:rPr>
          <w:rFonts w:hint="eastAsia" w:ascii="宋体" w:hAnsi="宋体" w:eastAsia="宋体" w:cs="宋体"/>
          <w:szCs w:val="28"/>
          <w:highlight w:val="white"/>
        </w:rPr>
        <w:fldChar w:fldCharType="separate"/>
      </w:r>
      <w:r>
        <w:rPr>
          <w:rFonts w:hint="eastAsia" w:ascii="宋体" w:hAnsi="宋体" w:eastAsia="宋体" w:cs="宋体"/>
          <w:szCs w:val="28"/>
        </w:rPr>
        <w:t>第四章  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_Toc29660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26"/>
        <w:tabs>
          <w:tab w:val="right" w:leader="dot" w:pos="8844"/>
        </w:tabs>
        <w:rPr>
          <w:rFonts w:hint="eastAsia" w:ascii="宋体" w:hAnsi="宋体" w:eastAsia="宋体" w:cs="宋体"/>
        </w:rPr>
      </w:pP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_Toc3578 </w:instrText>
      </w:r>
      <w:r>
        <w:rPr>
          <w:rFonts w:hint="eastAsia" w:ascii="宋体" w:hAnsi="宋体" w:eastAsia="宋体" w:cs="宋体"/>
          <w:szCs w:val="28"/>
          <w:highlight w:val="white"/>
        </w:rPr>
        <w:fldChar w:fldCharType="separate"/>
      </w:r>
      <w:r>
        <w:rPr>
          <w:rFonts w:hint="eastAsia" w:ascii="宋体" w:hAnsi="宋体" w:eastAsia="宋体" w:cs="宋体"/>
        </w:rPr>
        <w:t>第五章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_Toc3578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26"/>
        <w:tabs>
          <w:tab w:val="right" w:leader="dot" w:pos="8844"/>
        </w:tabs>
        <w:rPr>
          <w:rFonts w:hint="eastAsia" w:ascii="宋体" w:hAnsi="宋体" w:eastAsia="宋体" w:cs="宋体"/>
        </w:rPr>
      </w:pPr>
      <w:r>
        <w:rPr>
          <w:rFonts w:hint="eastAsia" w:ascii="宋体" w:hAnsi="宋体" w:eastAsia="宋体" w:cs="宋体"/>
          <w:szCs w:val="28"/>
          <w:highlight w:val="white"/>
        </w:rPr>
        <w:fldChar w:fldCharType="begin"/>
      </w:r>
      <w:r>
        <w:rPr>
          <w:rFonts w:hint="eastAsia" w:ascii="宋体" w:hAnsi="宋体" w:eastAsia="宋体" w:cs="宋体"/>
          <w:szCs w:val="28"/>
          <w:highlight w:val="white"/>
        </w:rPr>
        <w:instrText xml:space="preserve"> HYPERLINK \l _Toc26002 </w:instrText>
      </w:r>
      <w:r>
        <w:rPr>
          <w:rFonts w:hint="eastAsia" w:ascii="宋体" w:hAnsi="宋体" w:eastAsia="宋体" w:cs="宋体"/>
          <w:szCs w:val="28"/>
          <w:highlight w:val="white"/>
        </w:rPr>
        <w:fldChar w:fldCharType="separate"/>
      </w:r>
      <w:r>
        <w:rPr>
          <w:rFonts w:hint="eastAsia" w:ascii="宋体" w:hAnsi="宋体" w:eastAsia="宋体" w:cs="宋体"/>
          <w:szCs w:val="28"/>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_Toc26002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szCs w:val="28"/>
          <w:highlight w:val="white"/>
        </w:rPr>
        <w:fldChar w:fldCharType="end"/>
      </w:r>
    </w:p>
    <w:p>
      <w:pPr>
        <w:pStyle w:val="3"/>
        <w:rPr>
          <w:rFonts w:ascii="宋体" w:hAnsi="宋体" w:cs="宋体"/>
          <w:sz w:val="28"/>
          <w:szCs w:val="28"/>
          <w:highlight w:val="white"/>
        </w:rPr>
        <w:sectPr>
          <w:headerReference r:id="rId3" w:type="default"/>
          <w:footerReference r:id="rId5" w:type="default"/>
          <w:headerReference r:id="rId4" w:type="even"/>
          <w:pgSz w:w="11906" w:h="16838"/>
          <w:pgMar w:top="1440" w:right="1531" w:bottom="1440" w:left="1531" w:header="851" w:footer="992" w:gutter="0"/>
          <w:cols w:space="720" w:num="1"/>
          <w:docGrid w:type="lines" w:linePitch="312" w:charSpace="0"/>
        </w:sectPr>
      </w:pPr>
      <w:r>
        <w:rPr>
          <w:rFonts w:hint="eastAsia" w:ascii="宋体" w:hAnsi="宋体" w:eastAsia="宋体" w:cs="宋体"/>
          <w:szCs w:val="28"/>
          <w:highlight w:val="white"/>
        </w:rPr>
        <w:fldChar w:fldCharType="end"/>
      </w:r>
    </w:p>
    <w:bookmarkEnd w:id="3"/>
    <w:bookmarkEnd w:id="4"/>
    <w:bookmarkEnd w:id="5"/>
    <w:bookmarkEnd w:id="6"/>
    <w:bookmarkEnd w:id="7"/>
    <w:bookmarkEnd w:id="8"/>
    <w:bookmarkEnd w:id="9"/>
    <w:bookmarkEnd w:id="10"/>
    <w:bookmarkEnd w:id="11"/>
    <w:p>
      <w:pPr>
        <w:pStyle w:val="3"/>
        <w:rPr>
          <w:rFonts w:ascii="宋体" w:hAnsi="宋体" w:cs="宋体"/>
          <w:sz w:val="28"/>
          <w:szCs w:val="28"/>
        </w:rPr>
      </w:pPr>
      <w:bookmarkStart w:id="12" w:name="_Toc9397"/>
      <w:bookmarkStart w:id="13" w:name="_Toc27800"/>
      <w:bookmarkStart w:id="14" w:name="_Toc25742"/>
      <w:bookmarkStart w:id="15" w:name="_Toc3911"/>
      <w:bookmarkStart w:id="16" w:name="_Toc29380"/>
      <w:r>
        <w:rPr>
          <w:rFonts w:hint="eastAsia" w:ascii="宋体" w:hAnsi="宋体" w:cs="宋体"/>
          <w:sz w:val="28"/>
          <w:szCs w:val="28"/>
        </w:rPr>
        <w:t>竞争性磋商</w:t>
      </w:r>
      <w:bookmarkEnd w:id="12"/>
      <w:bookmarkEnd w:id="13"/>
    </w:p>
    <w:p/>
    <w:p/>
    <w:p>
      <w:pPr>
        <w:spacing w:line="800" w:lineRule="exact"/>
        <w:jc w:val="left"/>
        <w:rPr>
          <w:sz w:val="28"/>
          <w:szCs w:val="44"/>
        </w:rPr>
      </w:pPr>
      <w:r>
        <w:rPr>
          <w:rFonts w:hint="eastAsia"/>
          <w:sz w:val="28"/>
          <w:szCs w:val="44"/>
          <w:lang w:val="zh-CN"/>
        </w:rPr>
        <w:t>工程名称</w:t>
      </w:r>
      <w:r>
        <w:rPr>
          <w:rFonts w:hint="eastAsia"/>
          <w:sz w:val="28"/>
          <w:szCs w:val="44"/>
        </w:rPr>
        <w:t>：</w:t>
      </w:r>
      <w:bookmarkStart w:id="17" w:name="OLE_LINK6"/>
      <w:r>
        <w:rPr>
          <w:rFonts w:hint="eastAsia"/>
          <w:sz w:val="28"/>
          <w:szCs w:val="44"/>
        </w:rPr>
        <w:t>新和县塔木托格拉克乡塔木托格拉克村污水治理项目</w:t>
      </w:r>
    </w:p>
    <w:p>
      <w:pPr>
        <w:spacing w:line="800" w:lineRule="exact"/>
        <w:jc w:val="left"/>
        <w:rPr>
          <w:sz w:val="28"/>
          <w:szCs w:val="44"/>
        </w:rPr>
      </w:pPr>
      <w:r>
        <w:rPr>
          <w:rFonts w:hint="eastAsia"/>
          <w:sz w:val="28"/>
          <w:szCs w:val="44"/>
        </w:rPr>
        <w:t>（一体化污水处理设备采购）</w:t>
      </w:r>
      <w:bookmarkEnd w:id="17"/>
      <w:r>
        <w:rPr>
          <w:rFonts w:hint="eastAsia"/>
          <w:sz w:val="28"/>
          <w:szCs w:val="44"/>
          <w:lang w:eastAsia="zh-CN"/>
        </w:rPr>
        <w:t>二次</w:t>
      </w:r>
    </w:p>
    <w:p>
      <w:pPr>
        <w:spacing w:line="800" w:lineRule="exact"/>
        <w:jc w:val="left"/>
        <w:rPr>
          <w:sz w:val="28"/>
          <w:szCs w:val="44"/>
          <w:lang w:val="zh-CN"/>
        </w:rPr>
      </w:pPr>
      <w:r>
        <w:rPr>
          <w:rFonts w:hint="eastAsia"/>
          <w:sz w:val="28"/>
          <w:szCs w:val="44"/>
          <w:lang w:val="zh-CN"/>
        </w:rPr>
        <w:t>招 标 人（公章）：</w:t>
      </w:r>
      <w:bookmarkStart w:id="18" w:name="OLE_LINK3"/>
      <w:bookmarkStart w:id="19" w:name="OLE_LINK4"/>
      <w:r>
        <w:rPr>
          <w:rFonts w:hint="eastAsia"/>
          <w:sz w:val="28"/>
          <w:szCs w:val="44"/>
        </w:rPr>
        <w:t>新和县塔木托格拉克乡人民政府</w:t>
      </w:r>
      <w:bookmarkEnd w:id="18"/>
      <w:bookmarkEnd w:id="19"/>
    </w:p>
    <w:p>
      <w:pPr>
        <w:spacing w:line="800" w:lineRule="exact"/>
        <w:jc w:val="left"/>
        <w:rPr>
          <w:sz w:val="28"/>
          <w:szCs w:val="44"/>
          <w:lang w:val="zh-CN"/>
        </w:rPr>
      </w:pPr>
      <w:r>
        <w:rPr>
          <w:rFonts w:hint="eastAsia"/>
          <w:sz w:val="28"/>
          <w:szCs w:val="44"/>
          <w:lang w:val="zh-CN"/>
        </w:rPr>
        <w:t xml:space="preserve">法定代表人： </w:t>
      </w:r>
    </w:p>
    <w:p>
      <w:pPr>
        <w:spacing w:line="800" w:lineRule="exact"/>
        <w:jc w:val="left"/>
        <w:rPr>
          <w:sz w:val="28"/>
          <w:szCs w:val="44"/>
          <w:lang w:val="zh-CN"/>
        </w:rPr>
      </w:pPr>
      <w:r>
        <w:rPr>
          <w:rFonts w:hint="eastAsia"/>
          <w:sz w:val="28"/>
          <w:szCs w:val="44"/>
          <w:lang w:val="zh-CN"/>
        </w:rPr>
        <w:t>联</w:t>
      </w:r>
      <w:r>
        <w:rPr>
          <w:rFonts w:hint="eastAsia"/>
          <w:sz w:val="28"/>
          <w:szCs w:val="44"/>
        </w:rPr>
        <w:t xml:space="preserve"> </w:t>
      </w:r>
      <w:r>
        <w:rPr>
          <w:rFonts w:hint="eastAsia"/>
          <w:sz w:val="28"/>
          <w:szCs w:val="44"/>
          <w:lang w:val="zh-CN"/>
        </w:rPr>
        <w:t>系</w:t>
      </w:r>
      <w:r>
        <w:rPr>
          <w:rFonts w:hint="eastAsia"/>
          <w:sz w:val="28"/>
          <w:szCs w:val="44"/>
        </w:rPr>
        <w:t xml:space="preserve"> </w:t>
      </w:r>
      <w:r>
        <w:rPr>
          <w:rFonts w:hint="eastAsia"/>
          <w:sz w:val="28"/>
          <w:szCs w:val="44"/>
          <w:lang w:val="zh-CN"/>
        </w:rPr>
        <w:t>人：</w:t>
      </w:r>
      <w:r>
        <w:rPr>
          <w:rFonts w:hint="eastAsia"/>
          <w:sz w:val="28"/>
          <w:szCs w:val="44"/>
        </w:rPr>
        <w:t>蔡颜聪</w:t>
      </w:r>
    </w:p>
    <w:p>
      <w:pPr>
        <w:spacing w:line="800" w:lineRule="exact"/>
        <w:jc w:val="left"/>
        <w:rPr>
          <w:sz w:val="28"/>
          <w:szCs w:val="44"/>
          <w:lang w:val="zh-CN"/>
        </w:rPr>
      </w:pPr>
      <w:r>
        <w:rPr>
          <w:rFonts w:hint="eastAsia"/>
          <w:sz w:val="28"/>
          <w:szCs w:val="44"/>
          <w:lang w:val="zh-CN"/>
        </w:rPr>
        <w:t>联系电话:</w:t>
      </w:r>
      <w:r>
        <w:rPr>
          <w:rFonts w:hint="eastAsia" w:ascii="仿宋" w:hAnsi="仿宋" w:eastAsia="仿宋" w:cs="仿宋"/>
          <w:kern w:val="0"/>
          <w:sz w:val="28"/>
          <w:szCs w:val="28"/>
          <w:shd w:val="clear" w:color="auto" w:fill="FFFFFF"/>
        </w:rPr>
        <w:t xml:space="preserve"> </w:t>
      </w:r>
      <w:r>
        <w:rPr>
          <w:rFonts w:hint="eastAsia"/>
          <w:sz w:val="28"/>
          <w:szCs w:val="44"/>
        </w:rPr>
        <w:t xml:space="preserve">13119922936  </w:t>
      </w:r>
    </w:p>
    <w:p>
      <w:pPr>
        <w:spacing w:line="500" w:lineRule="exact"/>
        <w:jc w:val="left"/>
        <w:rPr>
          <w:sz w:val="28"/>
          <w:szCs w:val="44"/>
          <w:lang w:val="zh-CN"/>
        </w:rPr>
      </w:pPr>
    </w:p>
    <w:p>
      <w:pPr>
        <w:pStyle w:val="2"/>
        <w:rPr>
          <w:lang w:val="zh-CN"/>
        </w:rPr>
      </w:pPr>
    </w:p>
    <w:p>
      <w:pPr>
        <w:rPr>
          <w:sz w:val="28"/>
          <w:szCs w:val="44"/>
          <w:lang w:val="zh-CN"/>
        </w:rPr>
      </w:pPr>
    </w:p>
    <w:p>
      <w:pPr>
        <w:pStyle w:val="2"/>
        <w:rPr>
          <w:lang w:val="zh-CN"/>
        </w:rPr>
      </w:pPr>
    </w:p>
    <w:p>
      <w:pPr>
        <w:spacing w:line="800" w:lineRule="exact"/>
        <w:jc w:val="left"/>
        <w:rPr>
          <w:sz w:val="28"/>
          <w:szCs w:val="44"/>
        </w:rPr>
      </w:pPr>
      <w:r>
        <w:rPr>
          <w:rFonts w:hint="eastAsia"/>
          <w:sz w:val="28"/>
          <w:szCs w:val="44"/>
          <w:lang w:val="zh-CN"/>
        </w:rPr>
        <w:t>招标代理机构：</w:t>
      </w:r>
      <w:r>
        <w:rPr>
          <w:rFonts w:hint="eastAsia"/>
          <w:sz w:val="28"/>
          <w:szCs w:val="44"/>
        </w:rPr>
        <w:t>新疆佑雷项目管理有限公司</w:t>
      </w:r>
    </w:p>
    <w:p>
      <w:pPr>
        <w:spacing w:line="800" w:lineRule="exact"/>
        <w:jc w:val="left"/>
        <w:rPr>
          <w:sz w:val="28"/>
          <w:szCs w:val="44"/>
          <w:lang w:val="zh-CN"/>
        </w:rPr>
      </w:pPr>
      <w:r>
        <w:rPr>
          <w:rFonts w:hint="eastAsia"/>
          <w:sz w:val="28"/>
          <w:szCs w:val="44"/>
          <w:lang w:val="zh-CN"/>
        </w:rPr>
        <w:t>法定代表人（签章）：</w:t>
      </w:r>
    </w:p>
    <w:p>
      <w:pPr>
        <w:spacing w:line="800" w:lineRule="exact"/>
        <w:jc w:val="left"/>
        <w:rPr>
          <w:sz w:val="28"/>
          <w:szCs w:val="44"/>
        </w:rPr>
      </w:pPr>
      <w:r>
        <w:rPr>
          <w:rFonts w:hint="eastAsia"/>
          <w:sz w:val="28"/>
          <w:szCs w:val="44"/>
          <w:lang w:val="zh-CN"/>
        </w:rPr>
        <w:t>联 系 人：</w:t>
      </w:r>
      <w:r>
        <w:rPr>
          <w:rFonts w:hint="eastAsia"/>
          <w:sz w:val="28"/>
          <w:szCs w:val="44"/>
        </w:rPr>
        <w:t>田野</w:t>
      </w:r>
    </w:p>
    <w:p>
      <w:pPr>
        <w:spacing w:line="800" w:lineRule="exact"/>
        <w:jc w:val="left"/>
        <w:rPr>
          <w:sz w:val="28"/>
          <w:szCs w:val="44"/>
        </w:rPr>
      </w:pPr>
      <w:r>
        <w:rPr>
          <w:rFonts w:hint="eastAsia"/>
          <w:sz w:val="28"/>
          <w:szCs w:val="44"/>
          <w:lang w:val="zh-CN"/>
        </w:rPr>
        <w:t>电    话：</w:t>
      </w:r>
      <w:r>
        <w:rPr>
          <w:rFonts w:hint="eastAsia"/>
          <w:sz w:val="28"/>
          <w:szCs w:val="44"/>
        </w:rPr>
        <w:t>19999719998</w:t>
      </w:r>
    </w:p>
    <w:p>
      <w:pPr>
        <w:spacing w:line="700" w:lineRule="exact"/>
        <w:jc w:val="left"/>
        <w:rPr>
          <w:sz w:val="28"/>
          <w:szCs w:val="44"/>
        </w:rPr>
      </w:pPr>
      <w:r>
        <w:rPr>
          <w:rFonts w:hint="eastAsia"/>
          <w:sz w:val="28"/>
          <w:szCs w:val="44"/>
          <w:lang w:val="zh-CN"/>
        </w:rPr>
        <w:t>联系地址：</w:t>
      </w:r>
      <w:r>
        <w:rPr>
          <w:rFonts w:hint="eastAsia"/>
          <w:bCs/>
          <w:sz w:val="28"/>
          <w:szCs w:val="44"/>
        </w:rPr>
        <w:t>新疆阿克苏地区新和县新和镇滨湖小区A区门面1－17</w:t>
      </w:r>
    </w:p>
    <w:p>
      <w:pPr>
        <w:spacing w:line="700" w:lineRule="exact"/>
        <w:jc w:val="center"/>
        <w:rPr>
          <w:sz w:val="28"/>
          <w:szCs w:val="44"/>
        </w:rPr>
      </w:pPr>
      <w:r>
        <w:rPr>
          <w:rFonts w:hint="eastAsia"/>
          <w:sz w:val="28"/>
          <w:szCs w:val="44"/>
        </w:rPr>
        <w:t>二零二二年五月</w:t>
      </w:r>
    </w:p>
    <w:p>
      <w:pPr>
        <w:pStyle w:val="2"/>
      </w:pPr>
    </w:p>
    <w:p>
      <w:pPr>
        <w:pStyle w:val="3"/>
        <w:pageBreakBefore/>
        <w:spacing w:line="400" w:lineRule="exact"/>
        <w:rPr>
          <w:rFonts w:hint="eastAsia" w:ascii="宋体" w:hAnsi="宋体" w:eastAsia="宋体" w:cs="宋体"/>
          <w:sz w:val="28"/>
          <w:szCs w:val="28"/>
        </w:rPr>
      </w:pPr>
      <w:bookmarkStart w:id="20" w:name="_Toc26044"/>
      <w:r>
        <w:rPr>
          <w:rFonts w:hint="eastAsia" w:ascii="宋体" w:hAnsi="宋体" w:eastAsia="宋体" w:cs="宋体"/>
          <w:sz w:val="28"/>
          <w:szCs w:val="28"/>
        </w:rPr>
        <w:t>第二章  磋商须知</w:t>
      </w:r>
      <w:bookmarkEnd w:id="14"/>
      <w:bookmarkEnd w:id="15"/>
      <w:bookmarkEnd w:id="16"/>
      <w:bookmarkEnd w:id="20"/>
    </w:p>
    <w:p>
      <w:pPr>
        <w:pStyle w:val="4"/>
        <w:spacing w:before="0" w:after="0"/>
        <w:jc w:val="center"/>
        <w:rPr>
          <w:rFonts w:ascii="宋体" w:hAnsi="宋体" w:cs="宋体"/>
          <w:b w:val="0"/>
          <w:bCs w:val="0"/>
          <w:sz w:val="28"/>
          <w:szCs w:val="28"/>
        </w:rPr>
      </w:pPr>
      <w:bookmarkStart w:id="21" w:name="_Toc17069"/>
    </w:p>
    <w:p>
      <w:pPr>
        <w:pStyle w:val="4"/>
        <w:spacing w:before="0" w:after="0"/>
        <w:jc w:val="center"/>
        <w:rPr>
          <w:rFonts w:ascii="宋体" w:hAnsi="宋体" w:cs="宋体"/>
          <w:b w:val="0"/>
          <w:bCs w:val="0"/>
          <w:sz w:val="28"/>
          <w:szCs w:val="28"/>
        </w:rPr>
      </w:pPr>
      <w:r>
        <w:rPr>
          <w:rFonts w:hint="eastAsia" w:ascii="宋体" w:hAnsi="宋体" w:cs="宋体"/>
          <w:b w:val="0"/>
          <w:bCs w:val="0"/>
          <w:sz w:val="28"/>
          <w:szCs w:val="28"/>
        </w:rPr>
        <w:t>磋商须知前附表1</w:t>
      </w:r>
      <w:bookmarkEnd w:id="21"/>
    </w:p>
    <w:p>
      <w:pPr>
        <w:rPr>
          <w:sz w:val="24"/>
        </w:rPr>
      </w:pPr>
      <w:r>
        <w:rPr>
          <w:rFonts w:hint="eastAsia"/>
          <w:sz w:val="24"/>
        </w:rPr>
        <w:t>本须知前附表的条款号是与《磋商须知正文部分》中条款的项号相对应的。如有矛盾，以本附表为准。</w:t>
      </w:r>
    </w:p>
    <w:tbl>
      <w:tblPr>
        <w:tblStyle w:val="36"/>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019"/>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vAlign w:val="center"/>
          </w:tcPr>
          <w:p>
            <w:pPr>
              <w:spacing w:line="360" w:lineRule="auto"/>
              <w:jc w:val="center"/>
              <w:rPr>
                <w:rFonts w:ascii="宋体" w:hAnsi="宋体" w:cs="宋体"/>
                <w:b/>
                <w:sz w:val="24"/>
              </w:rPr>
            </w:pPr>
            <w:r>
              <w:rPr>
                <w:rFonts w:hint="eastAsia" w:ascii="宋体" w:hAnsi="宋体" w:cs="宋体"/>
                <w:b/>
                <w:sz w:val="24"/>
              </w:rPr>
              <w:t>序号</w:t>
            </w:r>
          </w:p>
        </w:tc>
        <w:tc>
          <w:tcPr>
            <w:tcW w:w="2019" w:type="dxa"/>
            <w:vAlign w:val="center"/>
          </w:tcPr>
          <w:p>
            <w:pPr>
              <w:keepNext/>
              <w:spacing w:line="360" w:lineRule="auto"/>
              <w:jc w:val="center"/>
              <w:rPr>
                <w:rFonts w:ascii="宋体" w:hAnsi="宋体" w:cs="宋体"/>
                <w:b/>
                <w:sz w:val="24"/>
              </w:rPr>
            </w:pPr>
            <w:r>
              <w:rPr>
                <w:rFonts w:hint="eastAsia" w:ascii="宋体" w:hAnsi="宋体" w:cs="宋体"/>
                <w:b/>
                <w:bCs/>
                <w:color w:val="000000"/>
                <w:sz w:val="24"/>
              </w:rPr>
              <w:t>采购人</w:t>
            </w:r>
          </w:p>
        </w:tc>
        <w:tc>
          <w:tcPr>
            <w:tcW w:w="6252" w:type="dxa"/>
            <w:vAlign w:val="center"/>
          </w:tcPr>
          <w:p>
            <w:pPr>
              <w:keepNext/>
              <w:spacing w:line="360" w:lineRule="auto"/>
              <w:rPr>
                <w:rFonts w:ascii="宋体" w:hAnsi="宋体" w:cs="宋体"/>
                <w:sz w:val="24"/>
              </w:rPr>
            </w:pPr>
            <w:r>
              <w:rPr>
                <w:rFonts w:hint="eastAsia" w:ascii="宋体" w:hAnsi="宋体" w:cs="宋体"/>
                <w:sz w:val="24"/>
              </w:rPr>
              <w:t>名称：</w:t>
            </w:r>
            <w:bookmarkStart w:id="22" w:name="OLE_LINK24"/>
            <w:r>
              <w:rPr>
                <w:rFonts w:hint="eastAsia" w:ascii="宋体" w:hAnsi="宋体" w:cs="宋体"/>
                <w:sz w:val="24"/>
              </w:rPr>
              <w:t>新和县塔木托格拉克乡人民政府</w:t>
            </w:r>
            <w:bookmarkEnd w:id="22"/>
            <w:r>
              <w:rPr>
                <w:rFonts w:hint="eastAsia" w:ascii="宋体" w:hAnsi="宋体" w:cs="宋体"/>
                <w:sz w:val="24"/>
              </w:rPr>
              <w:t xml:space="preserve">                                             </w:t>
            </w:r>
          </w:p>
          <w:p>
            <w:pPr>
              <w:keepNext/>
              <w:spacing w:line="360" w:lineRule="auto"/>
              <w:rPr>
                <w:sz w:val="24"/>
              </w:rPr>
            </w:pPr>
            <w:r>
              <w:rPr>
                <w:rFonts w:hint="eastAsia"/>
                <w:sz w:val="24"/>
              </w:rPr>
              <w:t>联 系 人：</w:t>
            </w:r>
            <w:bookmarkStart w:id="23" w:name="OLE_LINK25"/>
            <w:bookmarkStart w:id="24" w:name="OLE_LINK26"/>
            <w:r>
              <w:rPr>
                <w:rFonts w:hint="eastAsia" w:ascii="宋体" w:hAnsi="宋体" w:cs="宋体"/>
                <w:sz w:val="24"/>
              </w:rPr>
              <w:t>蔡颜聪</w:t>
            </w:r>
            <w:bookmarkEnd w:id="23"/>
            <w:bookmarkEnd w:id="24"/>
            <w:r>
              <w:rPr>
                <w:rFonts w:hint="eastAsia"/>
                <w:sz w:val="24"/>
              </w:rPr>
              <w:t xml:space="preserve">     联系电话: </w:t>
            </w:r>
            <w:bookmarkStart w:id="25" w:name="OLE_LINK28"/>
            <w:bookmarkStart w:id="26" w:name="OLE_LINK27"/>
            <w:r>
              <w:rPr>
                <w:rFonts w:hint="eastAsia" w:ascii="宋体" w:hAnsi="宋体" w:cs="宋体"/>
                <w:sz w:val="24"/>
              </w:rPr>
              <w:t>13119922936</w:t>
            </w:r>
            <w:bookmarkEnd w:id="25"/>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vAlign w:val="center"/>
          </w:tcPr>
          <w:p>
            <w:pPr>
              <w:spacing w:line="360" w:lineRule="auto"/>
              <w:rPr>
                <w:rFonts w:ascii="宋体" w:hAnsi="宋体" w:cs="宋体"/>
                <w:b/>
                <w:bCs/>
                <w:sz w:val="24"/>
              </w:rPr>
            </w:pPr>
            <w:r>
              <w:rPr>
                <w:rFonts w:hint="eastAsia" w:ascii="宋体" w:hAnsi="宋体" w:cs="宋体"/>
                <w:b/>
                <w:bCs/>
                <w:sz w:val="24"/>
              </w:rPr>
              <w:t>1.2.1</w:t>
            </w:r>
          </w:p>
        </w:tc>
        <w:tc>
          <w:tcPr>
            <w:tcW w:w="2019" w:type="dxa"/>
            <w:vAlign w:val="center"/>
          </w:tcPr>
          <w:p>
            <w:pPr>
              <w:spacing w:line="360" w:lineRule="auto"/>
              <w:jc w:val="center"/>
              <w:rPr>
                <w:rFonts w:ascii="宋体" w:hAnsi="宋体" w:cs="宋体"/>
                <w:b/>
                <w:bCs/>
                <w:color w:val="000000"/>
                <w:sz w:val="24"/>
              </w:rPr>
            </w:pPr>
            <w:r>
              <w:rPr>
                <w:rFonts w:hint="eastAsia" w:ascii="宋体" w:hAnsi="宋体" w:cs="宋体"/>
                <w:b/>
                <w:bCs/>
                <w:sz w:val="24"/>
              </w:rPr>
              <w:t>采购代理机构</w:t>
            </w:r>
          </w:p>
        </w:tc>
        <w:tc>
          <w:tcPr>
            <w:tcW w:w="6252" w:type="dxa"/>
            <w:vAlign w:val="center"/>
          </w:tcPr>
          <w:p>
            <w:pPr>
              <w:keepNext/>
              <w:spacing w:line="360" w:lineRule="auto"/>
              <w:rPr>
                <w:rFonts w:ascii="宋体" w:hAnsi="宋体" w:cs="宋体"/>
                <w:sz w:val="24"/>
              </w:rPr>
            </w:pPr>
            <w:r>
              <w:rPr>
                <w:rFonts w:hint="eastAsia" w:ascii="宋体" w:hAnsi="宋体" w:cs="宋体"/>
                <w:sz w:val="24"/>
              </w:rPr>
              <w:t xml:space="preserve">名称：新疆佑雷项目管理有限公司                          </w:t>
            </w:r>
          </w:p>
          <w:p>
            <w:pPr>
              <w:keepNext/>
              <w:spacing w:line="360" w:lineRule="auto"/>
              <w:rPr>
                <w:rFonts w:ascii="宋体" w:hAnsi="宋体" w:cs="宋体"/>
                <w:sz w:val="24"/>
                <w:lang w:val="zh-CN"/>
              </w:rPr>
            </w:pPr>
            <w:r>
              <w:rPr>
                <w:rFonts w:hint="eastAsia" w:ascii="宋体" w:hAnsi="宋体" w:cs="宋体"/>
                <w:sz w:val="24"/>
              </w:rPr>
              <w:t>地址：</w:t>
            </w:r>
            <w:r>
              <w:rPr>
                <w:rFonts w:hint="eastAsia" w:ascii="宋体" w:hAnsi="宋体" w:cs="宋体"/>
                <w:bCs/>
                <w:sz w:val="24"/>
              </w:rPr>
              <w:t>新疆阿克苏地区新和县新和镇滨湖小区A区门面1－17</w:t>
            </w:r>
          </w:p>
          <w:p>
            <w:pPr>
              <w:keepNext/>
              <w:spacing w:line="360" w:lineRule="auto"/>
              <w:rPr>
                <w:rFonts w:ascii="宋体" w:hAnsi="宋体" w:cs="宋体"/>
                <w:color w:val="000000"/>
                <w:sz w:val="24"/>
              </w:rPr>
            </w:pPr>
            <w:r>
              <w:rPr>
                <w:rFonts w:hint="eastAsia" w:ascii="宋体" w:hAnsi="宋体" w:cs="宋体"/>
                <w:sz w:val="24"/>
                <w:lang w:val="zh-CN"/>
              </w:rPr>
              <w:t>联系人：</w:t>
            </w:r>
            <w:r>
              <w:rPr>
                <w:rFonts w:hint="eastAsia" w:ascii="宋体" w:hAnsi="宋体" w:cs="宋体"/>
                <w:sz w:val="24"/>
              </w:rPr>
              <w:t>田野</w:t>
            </w:r>
            <w:r>
              <w:rPr>
                <w:rFonts w:hint="eastAsia" w:ascii="宋体" w:hAnsi="宋体" w:cs="宋体"/>
                <w:sz w:val="24"/>
                <w:lang w:val="zh-CN"/>
              </w:rPr>
              <w:t xml:space="preserve">  </w:t>
            </w:r>
            <w:r>
              <w:rPr>
                <w:rFonts w:hint="eastAsia" w:ascii="宋体" w:hAnsi="宋体" w:cs="宋体"/>
                <w:sz w:val="24"/>
              </w:rPr>
              <w:t xml:space="preserve">  </w:t>
            </w:r>
            <w:r>
              <w:rPr>
                <w:rFonts w:hint="eastAsia" w:ascii="宋体" w:hAnsi="宋体" w:cs="宋体"/>
                <w:sz w:val="24"/>
                <w:lang w:val="zh-CN"/>
              </w:rPr>
              <w:t>电话：</w:t>
            </w:r>
            <w:r>
              <w:rPr>
                <w:rFonts w:hint="eastAsia" w:ascii="宋体" w:hAnsi="宋体" w:cs="宋体"/>
                <w:sz w:val="24"/>
              </w:rPr>
              <w:t>19999719998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85" w:type="dxa"/>
            <w:vAlign w:val="center"/>
          </w:tcPr>
          <w:p>
            <w:pPr>
              <w:spacing w:line="360" w:lineRule="auto"/>
              <w:rPr>
                <w:rFonts w:ascii="宋体" w:hAnsi="宋体" w:cs="宋体"/>
                <w:b/>
                <w:bCs/>
                <w:sz w:val="24"/>
              </w:rPr>
            </w:pPr>
            <w:r>
              <w:rPr>
                <w:rFonts w:hint="eastAsia" w:ascii="宋体" w:hAnsi="宋体" w:cs="宋体"/>
                <w:b/>
                <w:bCs/>
                <w:sz w:val="24"/>
              </w:rPr>
              <w:t>1.2.2</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项目名称</w:t>
            </w:r>
          </w:p>
        </w:tc>
        <w:tc>
          <w:tcPr>
            <w:tcW w:w="6252" w:type="dxa"/>
            <w:vAlign w:val="center"/>
          </w:tcPr>
          <w:p>
            <w:pPr>
              <w:spacing w:line="360" w:lineRule="auto"/>
              <w:textAlignment w:val="baseline"/>
              <w:rPr>
                <w:rFonts w:ascii="宋体" w:hAnsi="宋体" w:cs="宋体"/>
                <w:sz w:val="24"/>
              </w:rPr>
            </w:pPr>
            <w:bookmarkStart w:id="27" w:name="OLE_LINK23"/>
            <w:r>
              <w:rPr>
                <w:rFonts w:hint="eastAsia" w:ascii="宋体" w:hAnsi="宋体" w:cs="宋体"/>
                <w:sz w:val="24"/>
              </w:rPr>
              <w:t>新和县塔木托格拉克乡塔木托格拉克村污水治理项目</w:t>
            </w:r>
          </w:p>
          <w:p>
            <w:pPr>
              <w:spacing w:line="360" w:lineRule="auto"/>
              <w:textAlignment w:val="baseline"/>
              <w:rPr>
                <w:rFonts w:ascii="宋体" w:hAnsi="宋体" w:cs="宋体"/>
                <w:sz w:val="24"/>
              </w:rPr>
            </w:pPr>
            <w:r>
              <w:rPr>
                <w:rFonts w:hint="eastAsia" w:ascii="宋体" w:hAnsi="宋体" w:cs="宋体"/>
                <w:sz w:val="24"/>
              </w:rPr>
              <w:t>（一体化污水处理设备采购）</w:t>
            </w:r>
            <w:bookmarkEnd w:id="27"/>
            <w:r>
              <w:rPr>
                <w:rFonts w:hint="eastAsia" w:ascii="宋体" w:hAnsi="宋体" w:cs="宋体"/>
                <w:sz w:val="24"/>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1.2.3</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项目实施地点</w:t>
            </w:r>
          </w:p>
        </w:tc>
        <w:tc>
          <w:tcPr>
            <w:tcW w:w="6252" w:type="dxa"/>
            <w:vAlign w:val="center"/>
          </w:tcPr>
          <w:p>
            <w:pPr>
              <w:spacing w:line="360" w:lineRule="auto"/>
              <w:rPr>
                <w:rFonts w:ascii="宋体" w:hAnsi="宋体" w:cs="宋体"/>
                <w:color w:val="00B0F0"/>
                <w:kern w:val="0"/>
                <w:sz w:val="24"/>
              </w:rPr>
            </w:pPr>
            <w:r>
              <w:rPr>
                <w:rFonts w:hint="eastAsia" w:ascii="宋体" w:hAnsi="宋体" w:cs="宋体"/>
                <w:color w:val="000000"/>
                <w:kern w:val="0"/>
                <w:sz w:val="24"/>
              </w:rPr>
              <w:t>新和县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1.2.4</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资金来源</w:t>
            </w:r>
          </w:p>
        </w:tc>
        <w:tc>
          <w:tcPr>
            <w:tcW w:w="6252" w:type="dxa"/>
            <w:vAlign w:val="center"/>
          </w:tcPr>
          <w:p>
            <w:pPr>
              <w:spacing w:line="360" w:lineRule="auto"/>
              <w:rPr>
                <w:rFonts w:ascii="宋体" w:hAnsi="宋体" w:cs="宋体"/>
                <w:sz w:val="24"/>
              </w:rPr>
            </w:pPr>
            <w:r>
              <w:rPr>
                <w:rFonts w:hint="eastAsia" w:ascii="宋体" w:hAnsi="宋体" w:cs="宋体"/>
                <w:sz w:val="24"/>
              </w:rPr>
              <w:t>上级资金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1.2.5</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lang w:val="en-US" w:eastAsia="zh-CN"/>
              </w:rPr>
              <w:t>*</w:t>
            </w:r>
            <w:r>
              <w:rPr>
                <w:rFonts w:hint="eastAsia" w:ascii="宋体" w:hAnsi="宋体" w:cs="宋体"/>
                <w:b/>
                <w:bCs/>
                <w:sz w:val="24"/>
              </w:rPr>
              <w:t>供应商的资格要求</w:t>
            </w:r>
          </w:p>
        </w:tc>
        <w:tc>
          <w:tcPr>
            <w:tcW w:w="6252" w:type="dxa"/>
            <w:vAlign w:val="center"/>
          </w:tcPr>
          <w:p>
            <w:pPr>
              <w:spacing w:line="360" w:lineRule="auto"/>
              <w:rPr>
                <w:rFonts w:ascii="宋体" w:hAnsi="宋体" w:cs="宋体"/>
                <w:sz w:val="24"/>
              </w:rPr>
            </w:pPr>
            <w:r>
              <w:rPr>
                <w:rFonts w:hint="eastAsia" w:ascii="宋体" w:hAnsi="宋体" w:cs="宋体"/>
                <w:sz w:val="24"/>
              </w:rPr>
              <w:t>1、满足《中华人民共和国政府采购法》第二十二条规定：</w:t>
            </w:r>
          </w:p>
          <w:p>
            <w:pPr>
              <w:spacing w:line="360" w:lineRule="auto"/>
              <w:rPr>
                <w:rFonts w:ascii="宋体" w:hAnsi="宋体" w:cs="宋体"/>
                <w:sz w:val="24"/>
              </w:rPr>
            </w:pPr>
            <w:r>
              <w:rPr>
                <w:rFonts w:hint="eastAsia" w:ascii="宋体" w:hAnsi="宋体" w:cs="宋体"/>
                <w:sz w:val="24"/>
              </w:rPr>
              <w:t>2、落实政府采购政策需满足的资格要求：</w:t>
            </w:r>
          </w:p>
          <w:p>
            <w:pPr>
              <w:spacing w:line="360" w:lineRule="auto"/>
              <w:rPr>
                <w:rFonts w:ascii="宋体" w:hAnsi="宋体" w:cs="宋体"/>
                <w:sz w:val="24"/>
              </w:rPr>
            </w:pPr>
            <w:r>
              <w:rPr>
                <w:rFonts w:hint="eastAsia" w:ascii="宋体" w:hAnsi="宋体" w:cs="宋体"/>
                <w:sz w:val="24"/>
              </w:rPr>
              <w:t>（1）《政府采购促进中小企业发展管理办法》（财库〔2020〕46号）；</w:t>
            </w:r>
          </w:p>
          <w:p>
            <w:pPr>
              <w:spacing w:line="360" w:lineRule="auto"/>
              <w:rPr>
                <w:rFonts w:ascii="宋体" w:hAnsi="宋体" w:cs="宋体"/>
                <w:sz w:val="24"/>
              </w:rPr>
            </w:pPr>
            <w:r>
              <w:rPr>
                <w:rFonts w:hint="eastAsia" w:ascii="宋体" w:hAnsi="宋体" w:cs="宋体"/>
                <w:sz w:val="24"/>
              </w:rPr>
              <w:t>（2）《财政部、司法部关于政府采购支持财库〔2014〕68号文件的通知》；</w:t>
            </w:r>
          </w:p>
          <w:p>
            <w:pPr>
              <w:spacing w:line="360" w:lineRule="auto"/>
              <w:rPr>
                <w:rFonts w:ascii="宋体" w:hAnsi="宋体" w:cs="宋体"/>
                <w:sz w:val="24"/>
              </w:rPr>
            </w:pPr>
            <w:r>
              <w:rPr>
                <w:rFonts w:hint="eastAsia" w:ascii="宋体" w:hAnsi="宋体" w:cs="宋体"/>
                <w:sz w:val="24"/>
              </w:rPr>
              <w:t>（3）财政部生态环境部关于印发环境标志产品政府采购品目清单的通知（财库[2019]18号）；</w:t>
            </w:r>
          </w:p>
          <w:p>
            <w:pPr>
              <w:spacing w:line="360" w:lineRule="auto"/>
              <w:rPr>
                <w:rFonts w:ascii="宋体" w:hAnsi="宋体" w:cs="宋体"/>
                <w:sz w:val="24"/>
              </w:rPr>
            </w:pPr>
            <w:r>
              <w:rPr>
                <w:rFonts w:hint="eastAsia" w:ascii="宋体" w:hAnsi="宋体" w:cs="宋体"/>
                <w:sz w:val="24"/>
              </w:rPr>
              <w:t>（4）《财政部民政部中国残疾人联合会关于促进残疾人就业政府采购政策的通知》财库〔2017〕141号；</w:t>
            </w:r>
          </w:p>
          <w:p>
            <w:pPr>
              <w:spacing w:line="360" w:lineRule="auto"/>
              <w:rPr>
                <w:rFonts w:ascii="宋体" w:hAnsi="宋体" w:cs="宋体"/>
                <w:sz w:val="24"/>
              </w:rPr>
            </w:pPr>
            <w:r>
              <w:rPr>
                <w:rFonts w:hint="eastAsia" w:ascii="宋体" w:hAnsi="宋体" w:cs="宋体"/>
                <w:sz w:val="24"/>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spacing w:line="360" w:lineRule="auto"/>
              <w:rPr>
                <w:rFonts w:ascii="仿宋" w:hAnsi="仿宋" w:eastAsia="仿宋"/>
                <w:sz w:val="28"/>
                <w:szCs w:val="28"/>
              </w:rPr>
            </w:pPr>
            <w:r>
              <w:rPr>
                <w:rFonts w:ascii="宋体" w:hAnsi="宋体" w:cs="宋体"/>
                <w:sz w:val="24"/>
              </w:rPr>
              <w:t>其他：（</w:t>
            </w:r>
            <w:r>
              <w:rPr>
                <w:rFonts w:hint="eastAsia" w:ascii="宋体" w:hAnsi="宋体" w:cs="宋体"/>
                <w:sz w:val="24"/>
              </w:rPr>
              <w:t>1</w:t>
            </w:r>
            <w:r>
              <w:rPr>
                <w:rFonts w:ascii="宋体" w:hAnsi="宋体" w:cs="宋体"/>
                <w:sz w:val="24"/>
              </w:rPr>
              <w:t>）有效的三证合一营业执照副本，（2）法定代表人投标需提供法定代表人资格证明书，委托代理人投标需提供法定代表人授权委托书（</w:t>
            </w:r>
            <w:r>
              <w:rPr>
                <w:rFonts w:hint="eastAsia" w:ascii="宋体" w:hAnsi="宋体" w:cs="宋体"/>
                <w:sz w:val="24"/>
              </w:rPr>
              <w:t>3</w:t>
            </w:r>
            <w:r>
              <w:rPr>
                <w:rFonts w:ascii="宋体" w:hAnsi="宋体" w:cs="宋体"/>
                <w:sz w:val="24"/>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cs="宋体"/>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1.2.6</w:t>
            </w:r>
          </w:p>
        </w:tc>
        <w:tc>
          <w:tcPr>
            <w:tcW w:w="2019" w:type="dxa"/>
            <w:vAlign w:val="center"/>
          </w:tcPr>
          <w:p>
            <w:pPr>
              <w:spacing w:line="360" w:lineRule="auto"/>
              <w:jc w:val="center"/>
              <w:rPr>
                <w:rFonts w:ascii="宋体" w:hAnsi="宋体" w:cs="宋体"/>
                <w:b/>
                <w:bCs/>
                <w:sz w:val="24"/>
              </w:rPr>
            </w:pPr>
            <w:r>
              <w:rPr>
                <w:rFonts w:hint="eastAsia" w:ascii="宋体" w:hAnsi="宋体" w:cs="宋体"/>
                <w:b/>
                <w:sz w:val="24"/>
              </w:rPr>
              <w:t>是否允许联合体投标</w:t>
            </w:r>
          </w:p>
        </w:tc>
        <w:tc>
          <w:tcPr>
            <w:tcW w:w="6252" w:type="dxa"/>
            <w:vAlign w:val="center"/>
          </w:tcPr>
          <w:p>
            <w:pPr>
              <w:autoSpaceDE w:val="0"/>
              <w:autoSpaceDN w:val="0"/>
              <w:adjustRightInd w:val="0"/>
              <w:spacing w:line="360" w:lineRule="auto"/>
              <w:rPr>
                <w:rFonts w:ascii="宋体" w:hAnsi="宋体" w:cs="宋体"/>
                <w:color w:val="000000"/>
                <w:kern w:val="0"/>
                <w:sz w:val="24"/>
                <w:highlight w:val="white"/>
              </w:rPr>
            </w:pPr>
            <w:r>
              <w:rPr>
                <w:rFonts w:hint="eastAsia" w:ascii="宋体" w:hAnsi="宋体" w:cs="宋体"/>
                <w:color w:val="000000"/>
                <w:kern w:val="0"/>
                <w:sz w:val="24"/>
                <w:highlight w:val="white"/>
              </w:rPr>
              <w:t xml:space="preserve">□是 </w:t>
            </w:r>
            <w:r>
              <w:rPr>
                <w:rFonts w:hint="eastAsia" w:ascii="宋体" w:hAnsi="宋体" w:cs="宋体"/>
                <w:color w:val="000000"/>
                <w:kern w:val="0"/>
                <w:sz w:val="24"/>
                <w:highlight w:val="white"/>
              </w:rPr>
              <w:sym w:font="Wingdings 2" w:char="0052"/>
            </w:r>
            <w:r>
              <w:rPr>
                <w:rFonts w:hint="eastAsia" w:ascii="宋体" w:hAnsi="宋体" w:cs="宋体"/>
                <w:color w:val="000000"/>
                <w:kern w:val="0"/>
                <w:sz w:val="24"/>
                <w:highlight w:val="white"/>
              </w:rPr>
              <w:t>否</w:t>
            </w:r>
          </w:p>
          <w:p>
            <w:pPr>
              <w:autoSpaceDE w:val="0"/>
              <w:autoSpaceDN w:val="0"/>
              <w:adjustRightInd w:val="0"/>
              <w:spacing w:line="360" w:lineRule="auto"/>
              <w:rPr>
                <w:rFonts w:ascii="宋体" w:hAnsi="宋体" w:cs="宋体"/>
                <w:sz w:val="24"/>
              </w:rPr>
            </w:pPr>
            <w:r>
              <w:rPr>
                <w:rFonts w:hint="eastAsia" w:ascii="宋体" w:hAnsi="宋体" w:cs="宋体"/>
                <w:color w:val="000000"/>
                <w:kern w:val="0"/>
                <w:sz w:val="24"/>
                <w:highlight w:val="white"/>
              </w:rPr>
              <w:t xml:space="preserve">应满足要求：/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2.1.1</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最高限价</w:t>
            </w:r>
          </w:p>
        </w:tc>
        <w:tc>
          <w:tcPr>
            <w:tcW w:w="6252" w:type="dxa"/>
          </w:tcPr>
          <w:p>
            <w:pPr>
              <w:spacing w:line="360" w:lineRule="auto"/>
              <w:rPr>
                <w:rFonts w:ascii="宋体" w:hAnsi="宋体" w:cs="宋体"/>
                <w:color w:val="000000"/>
                <w:kern w:val="0"/>
                <w:sz w:val="24"/>
                <w:highlight w:val="white"/>
              </w:rPr>
            </w:pPr>
            <w:r>
              <w:rPr>
                <w:rFonts w:hint="eastAsia" w:ascii="宋体" w:hAnsi="宋体" w:cs="宋体"/>
                <w:b/>
                <w:bCs/>
                <w:color w:val="000000"/>
                <w:kern w:val="0"/>
                <w:sz w:val="24"/>
                <w:highlight w:val="white"/>
                <w:lang w:val="en-US" w:eastAsia="zh-CN"/>
              </w:rPr>
              <w:t>500000.00</w:t>
            </w:r>
            <w:r>
              <w:rPr>
                <w:rFonts w:hint="eastAsia" w:ascii="宋体" w:hAnsi="宋体" w:cs="宋体"/>
                <w:b/>
                <w:bCs/>
                <w:color w:val="000000"/>
                <w:kern w:val="0"/>
                <w:sz w:val="24"/>
                <w:highlight w:val="white"/>
              </w:rPr>
              <w:t>元（大写：伍拾万元整）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85" w:type="dxa"/>
            <w:vAlign w:val="center"/>
          </w:tcPr>
          <w:p>
            <w:pPr>
              <w:spacing w:line="360" w:lineRule="auto"/>
              <w:jc w:val="center"/>
              <w:rPr>
                <w:rFonts w:hint="eastAsia" w:ascii="宋体" w:hAnsi="宋体" w:eastAsia="宋体" w:cs="宋体"/>
                <w:b/>
                <w:bCs/>
                <w:sz w:val="24"/>
                <w:lang w:val="en-US" w:eastAsia="zh-CN"/>
              </w:rPr>
            </w:pPr>
            <w:r>
              <w:rPr>
                <w:rFonts w:hint="eastAsia" w:ascii="宋体" w:hAnsi="宋体" w:cs="宋体"/>
                <w:b/>
                <w:bCs/>
                <w:sz w:val="24"/>
              </w:rPr>
              <w:t>2.1.</w:t>
            </w:r>
            <w:r>
              <w:rPr>
                <w:rFonts w:hint="eastAsia" w:ascii="宋体" w:hAnsi="宋体" w:cs="宋体"/>
                <w:b/>
                <w:bCs/>
                <w:sz w:val="24"/>
                <w:lang w:val="en-US" w:eastAsia="zh-CN"/>
              </w:rPr>
              <w:t>2</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响应文件有效期</w:t>
            </w:r>
          </w:p>
        </w:tc>
        <w:tc>
          <w:tcPr>
            <w:tcW w:w="6252" w:type="dxa"/>
            <w:vAlign w:val="center"/>
          </w:tcPr>
          <w:p>
            <w:pPr>
              <w:spacing w:line="360" w:lineRule="auto"/>
              <w:rPr>
                <w:rFonts w:ascii="宋体" w:hAnsi="宋体" w:cs="宋体"/>
                <w:bCs/>
                <w:kern w:val="0"/>
                <w:sz w:val="24"/>
              </w:rPr>
            </w:pPr>
            <w:r>
              <w:rPr>
                <w:rFonts w:hint="eastAsia" w:ascii="宋体" w:hAnsi="宋体" w:cs="宋体"/>
                <w:sz w:val="24"/>
              </w:rPr>
              <w:t>自首次递交响应文件截止时间起30个日历日。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85" w:type="dxa"/>
            <w:vAlign w:val="center"/>
          </w:tcPr>
          <w:p>
            <w:pPr>
              <w:spacing w:line="360" w:lineRule="auto"/>
              <w:jc w:val="center"/>
              <w:rPr>
                <w:rFonts w:hint="eastAsia" w:ascii="宋体" w:hAnsi="宋体" w:eastAsia="宋体" w:cs="宋体"/>
                <w:b/>
                <w:bCs/>
                <w:sz w:val="24"/>
                <w:lang w:eastAsia="zh-CN"/>
              </w:rPr>
            </w:pPr>
            <w:r>
              <w:rPr>
                <w:rFonts w:hint="eastAsia" w:ascii="宋体" w:hAnsi="宋体" w:cs="宋体"/>
                <w:b/>
                <w:bCs/>
                <w:sz w:val="24"/>
              </w:rPr>
              <w:t>2.1.</w:t>
            </w:r>
            <w:r>
              <w:rPr>
                <w:rFonts w:hint="eastAsia" w:ascii="宋体" w:hAnsi="宋体" w:cs="宋体"/>
                <w:b/>
                <w:bCs/>
                <w:sz w:val="24"/>
                <w:lang w:val="en-US" w:eastAsia="zh-CN"/>
              </w:rPr>
              <w:t>3</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响应文件份数</w:t>
            </w:r>
          </w:p>
        </w:tc>
        <w:tc>
          <w:tcPr>
            <w:tcW w:w="6252" w:type="dxa"/>
            <w:vAlign w:val="center"/>
          </w:tcPr>
          <w:p>
            <w:pPr>
              <w:spacing w:line="360" w:lineRule="auto"/>
              <w:jc w:val="left"/>
              <w:rPr>
                <w:rFonts w:ascii="宋体" w:hAnsi="宋体" w:cs="宋体"/>
                <w:sz w:val="24"/>
              </w:rPr>
            </w:pPr>
            <w:r>
              <w:rPr>
                <w:rFonts w:hint="eastAsia" w:hAnsi="宋体"/>
                <w:sz w:val="24"/>
              </w:rPr>
              <w:t>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5" w:type="dxa"/>
            <w:vAlign w:val="center"/>
          </w:tcPr>
          <w:p>
            <w:pPr>
              <w:spacing w:line="360" w:lineRule="auto"/>
              <w:jc w:val="center"/>
              <w:rPr>
                <w:rFonts w:hint="eastAsia" w:ascii="宋体" w:hAnsi="宋体" w:eastAsia="宋体" w:cs="宋体"/>
                <w:b/>
                <w:bCs/>
                <w:sz w:val="24"/>
                <w:lang w:eastAsia="zh-CN"/>
              </w:rPr>
            </w:pPr>
            <w:r>
              <w:rPr>
                <w:rFonts w:hint="eastAsia" w:ascii="宋体" w:hAnsi="宋体" w:cs="宋体"/>
                <w:b/>
                <w:bCs/>
                <w:sz w:val="24"/>
              </w:rPr>
              <w:t>2.1.</w:t>
            </w:r>
            <w:r>
              <w:rPr>
                <w:rFonts w:hint="eastAsia" w:ascii="宋体" w:hAnsi="宋体" w:cs="宋体"/>
                <w:b/>
                <w:bCs/>
                <w:sz w:val="24"/>
                <w:lang w:val="en-US" w:eastAsia="zh-CN"/>
              </w:rPr>
              <w:t>4</w:t>
            </w:r>
          </w:p>
        </w:tc>
        <w:tc>
          <w:tcPr>
            <w:tcW w:w="2019" w:type="dxa"/>
            <w:vAlign w:val="center"/>
          </w:tcPr>
          <w:p>
            <w:pPr>
              <w:spacing w:line="360" w:lineRule="auto"/>
              <w:rPr>
                <w:rFonts w:ascii="宋体" w:hAnsi="宋体" w:cs="宋体"/>
                <w:b/>
                <w:bCs/>
                <w:sz w:val="24"/>
              </w:rPr>
            </w:pPr>
            <w:r>
              <w:rPr>
                <w:rFonts w:hint="eastAsia" w:ascii="宋体" w:hAnsi="宋体" w:cs="宋体"/>
                <w:b/>
                <w:bCs/>
                <w:sz w:val="24"/>
              </w:rPr>
              <w:t>签字或盖章要求</w:t>
            </w:r>
          </w:p>
        </w:tc>
        <w:tc>
          <w:tcPr>
            <w:tcW w:w="6252" w:type="dxa"/>
          </w:tcPr>
          <w:p>
            <w:pPr>
              <w:keepNext/>
              <w:spacing w:line="360" w:lineRule="auto"/>
              <w:rPr>
                <w:rFonts w:ascii="宋体" w:hAnsi="宋体" w:cs="宋体"/>
                <w:sz w:val="24"/>
              </w:rPr>
            </w:pPr>
            <w:r>
              <w:rPr>
                <w:rFonts w:hint="eastAsia" w:ascii="宋体" w:hAnsi="宋体" w:cs="宋体"/>
                <w:kern w:val="0"/>
                <w:sz w:val="24"/>
              </w:rPr>
              <w:t>(1)磋商申请及附录、供应商资格声明、</w:t>
            </w:r>
            <w:r>
              <w:rPr>
                <w:rFonts w:hint="eastAsia" w:ascii="宋体" w:hAnsi="宋体" w:cs="宋体"/>
                <w:sz w:val="24"/>
              </w:rPr>
              <w:t>法定代表人身份证明或授权书应由</w:t>
            </w:r>
            <w:r>
              <w:rPr>
                <w:rFonts w:hint="eastAsia" w:ascii="宋体" w:hAnsi="宋体" w:cs="宋体"/>
                <w:bCs/>
                <w:sz w:val="24"/>
              </w:rPr>
              <w:t>法定代表人或其授权代表签字（或盖章），并加盖单位章；</w:t>
            </w:r>
          </w:p>
          <w:p>
            <w:pPr>
              <w:keepNext/>
              <w:spacing w:line="360" w:lineRule="auto"/>
              <w:rPr>
                <w:rFonts w:ascii="宋体" w:hAnsi="宋体" w:cs="宋体"/>
                <w:sz w:val="24"/>
              </w:rPr>
            </w:pPr>
            <w:r>
              <w:rPr>
                <w:rFonts w:hint="eastAsia" w:ascii="宋体" w:hAnsi="宋体" w:cs="宋体"/>
                <w:sz w:val="24"/>
              </w:rPr>
              <w:t>(2)其他证明供应商资格的文件或证明材料应为加盖出具单位章的有效文件，样式可参照“响应文件格式”编制；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Pr>
          <w:p>
            <w:pPr>
              <w:spacing w:line="360" w:lineRule="auto"/>
              <w:rPr>
                <w:rFonts w:ascii="宋体" w:hAnsi="宋体" w:cs="宋体"/>
                <w:b/>
                <w:bCs/>
                <w:sz w:val="24"/>
              </w:rPr>
            </w:pPr>
          </w:p>
          <w:p>
            <w:pPr>
              <w:pStyle w:val="35"/>
            </w:pPr>
          </w:p>
          <w:p>
            <w:pPr>
              <w:spacing w:line="360" w:lineRule="auto"/>
              <w:jc w:val="center"/>
              <w:rPr>
                <w:rFonts w:hint="eastAsia" w:ascii="宋体" w:hAnsi="宋体" w:eastAsia="宋体" w:cs="宋体"/>
                <w:b/>
                <w:bCs/>
                <w:sz w:val="24"/>
                <w:lang w:eastAsia="zh-CN"/>
              </w:rPr>
            </w:pPr>
            <w:r>
              <w:rPr>
                <w:rFonts w:hint="eastAsia" w:ascii="宋体" w:hAnsi="宋体" w:cs="宋体"/>
                <w:b/>
                <w:bCs/>
                <w:sz w:val="24"/>
              </w:rPr>
              <w:t>2.1.</w:t>
            </w:r>
            <w:r>
              <w:rPr>
                <w:rFonts w:hint="eastAsia" w:ascii="宋体" w:hAnsi="宋体" w:cs="宋体"/>
                <w:b/>
                <w:bCs/>
                <w:sz w:val="24"/>
                <w:lang w:val="en-US" w:eastAsia="zh-CN"/>
              </w:rPr>
              <w:t>5</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封套上应载明的信息</w:t>
            </w:r>
          </w:p>
        </w:tc>
        <w:tc>
          <w:tcPr>
            <w:tcW w:w="6252" w:type="dxa"/>
            <w:vAlign w:val="center"/>
          </w:tcPr>
          <w:p>
            <w:pPr>
              <w:spacing w:line="360" w:lineRule="auto"/>
              <w:rPr>
                <w:rFonts w:ascii="宋体" w:hAnsi="宋体" w:cs="宋体"/>
                <w:sz w:val="24"/>
              </w:rPr>
            </w:pPr>
            <w:r>
              <w:rPr>
                <w:rFonts w:hint="eastAsia" w:ascii="宋体" w:hAnsi="宋体" w:cs="宋体"/>
                <w:sz w:val="24"/>
              </w:rPr>
              <w:t xml:space="preserve">采购人地址：新和县                                 </w:t>
            </w:r>
          </w:p>
          <w:p>
            <w:pPr>
              <w:spacing w:line="360" w:lineRule="auto"/>
              <w:rPr>
                <w:rFonts w:ascii="宋体" w:hAnsi="宋体" w:cs="宋体"/>
                <w:sz w:val="24"/>
              </w:rPr>
            </w:pPr>
            <w:r>
              <w:rPr>
                <w:rFonts w:hint="eastAsia" w:ascii="宋体" w:hAnsi="宋体" w:cs="宋体"/>
                <w:sz w:val="24"/>
              </w:rPr>
              <w:t>采购人名称：</w:t>
            </w:r>
            <w:bookmarkStart w:id="28" w:name="OLE_LINK29"/>
            <w:r>
              <w:rPr>
                <w:rFonts w:hint="eastAsia" w:ascii="宋体" w:hAnsi="宋体" w:cs="宋体"/>
                <w:sz w:val="24"/>
              </w:rPr>
              <w:t>新和县塔木托格拉克乡人民政府</w:t>
            </w:r>
            <w:bookmarkEnd w:id="28"/>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（项目名称及标段）磋商响应文件在2022年5月</w:t>
            </w:r>
            <w:r>
              <w:rPr>
                <w:rFonts w:hint="eastAsia" w:ascii="宋体" w:hAnsi="宋体" w:cs="宋体"/>
                <w:sz w:val="24"/>
                <w:lang w:val="en-US" w:eastAsia="zh-CN"/>
              </w:rPr>
              <w:t>20</w:t>
            </w:r>
            <w:r>
              <w:rPr>
                <w:rFonts w:hint="eastAsia" w:ascii="宋体" w:hAnsi="宋体" w:cs="宋体"/>
                <w:sz w:val="24"/>
              </w:rPr>
              <w:t>日上午11时00分</w:t>
            </w:r>
            <w:r>
              <w:rPr>
                <w:rFonts w:hint="eastAsia"/>
                <w:sz w:val="24"/>
              </w:rPr>
              <w:t>（北京时间）</w:t>
            </w:r>
            <w:r>
              <w:rPr>
                <w:rFonts w:hint="eastAsia" w:ascii="宋体" w:hAnsi="宋体" w:cs="宋体"/>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885" w:type="dxa"/>
            <w:vAlign w:val="center"/>
          </w:tcPr>
          <w:p>
            <w:pPr>
              <w:spacing w:line="360" w:lineRule="auto"/>
              <w:jc w:val="center"/>
              <w:rPr>
                <w:rFonts w:ascii="宋体" w:hAnsi="宋体" w:cs="宋体"/>
                <w:b/>
                <w:bCs/>
                <w:sz w:val="24"/>
              </w:rPr>
            </w:pPr>
            <w:r>
              <w:rPr>
                <w:rFonts w:hint="eastAsia" w:ascii="宋体" w:hAnsi="宋体" w:cs="宋体"/>
                <w:b/>
                <w:bCs/>
                <w:sz w:val="24"/>
              </w:rPr>
              <w:t>3.1</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磋商时间、地点等要求</w:t>
            </w:r>
          </w:p>
        </w:tc>
        <w:tc>
          <w:tcPr>
            <w:tcW w:w="6252" w:type="dxa"/>
            <w:vAlign w:val="center"/>
          </w:tcPr>
          <w:p>
            <w:pPr>
              <w:spacing w:line="400" w:lineRule="exact"/>
              <w:rPr>
                <w:rFonts w:ascii="宋体" w:hAnsi="宋体" w:cs="宋体"/>
                <w:sz w:val="24"/>
              </w:rPr>
            </w:pPr>
            <w:r>
              <w:rPr>
                <w:rFonts w:hint="eastAsia" w:ascii="宋体" w:hAnsi="宋体" w:cs="宋体"/>
                <w:sz w:val="24"/>
              </w:rPr>
              <w:t>(1)磋商时间：2022年5月</w:t>
            </w:r>
            <w:r>
              <w:rPr>
                <w:rFonts w:hint="eastAsia" w:ascii="宋体" w:hAnsi="宋体" w:cs="宋体"/>
                <w:sz w:val="24"/>
                <w:lang w:val="en-US" w:eastAsia="zh-CN"/>
              </w:rPr>
              <w:t>20</w:t>
            </w:r>
            <w:r>
              <w:rPr>
                <w:rFonts w:hint="eastAsia" w:ascii="宋体" w:hAnsi="宋体" w:cs="宋体"/>
                <w:sz w:val="24"/>
              </w:rPr>
              <w:t>日上午11:00</w:t>
            </w:r>
            <w:r>
              <w:rPr>
                <w:rFonts w:hint="eastAsia"/>
                <w:sz w:val="24"/>
              </w:rPr>
              <w:t>（北京时间）</w:t>
            </w:r>
          </w:p>
          <w:p>
            <w:pPr>
              <w:spacing w:line="400" w:lineRule="exact"/>
              <w:rPr>
                <w:rFonts w:ascii="宋体" w:hAnsi="宋体" w:cs="宋体"/>
                <w:sz w:val="24"/>
              </w:rPr>
            </w:pPr>
            <w:r>
              <w:rPr>
                <w:rFonts w:hint="eastAsia" w:ascii="宋体" w:hAnsi="宋体" w:cs="宋体"/>
                <w:sz w:val="24"/>
              </w:rPr>
              <w:t xml:space="preserve">(2)磋商地点：政采云平台（http://www.zcygov.cn/）            </w:t>
            </w:r>
          </w:p>
          <w:p>
            <w:pPr>
              <w:adjustRightInd w:val="0"/>
              <w:snapToGrid w:val="0"/>
              <w:spacing w:line="400" w:lineRule="exact"/>
              <w:rPr>
                <w:rFonts w:ascii="宋体" w:hAnsi="宋体" w:cs="宋体"/>
                <w:sz w:val="24"/>
              </w:rPr>
            </w:pPr>
            <w:r>
              <w:rPr>
                <w:rFonts w:hint="eastAsia" w:ascii="宋体" w:hAnsi="宋体" w:cs="宋体"/>
                <w:sz w:val="24"/>
              </w:rPr>
              <w:t>在开标时提交如下证件 ：</w:t>
            </w:r>
          </w:p>
          <w:p>
            <w:pPr>
              <w:adjustRightInd w:val="0"/>
              <w:snapToGrid w:val="0"/>
              <w:spacing w:line="400" w:lineRule="exact"/>
              <w:rPr>
                <w:rFonts w:hint="eastAsia" w:ascii="宋体" w:hAnsi="宋体" w:cs="宋体"/>
                <w:sz w:val="24"/>
              </w:rPr>
            </w:pPr>
            <w:r>
              <w:rPr>
                <w:rFonts w:hint="eastAsia" w:ascii="宋体" w:hAnsi="宋体" w:cs="宋体"/>
                <w:sz w:val="24"/>
              </w:rPr>
              <w:t>（1）法人代表或其委托代理人应提交本人身份证原件，委托代理人还应提交《法人代表授权委托书》原件；（2）有效经年检的三证合一的营业执照；（</w:t>
            </w:r>
            <w:r>
              <w:rPr>
                <w:rFonts w:hint="eastAsia" w:ascii="宋体" w:hAnsi="宋体" w:cs="宋体"/>
                <w:sz w:val="24"/>
                <w:lang w:val="en-US" w:eastAsia="zh-CN"/>
              </w:rPr>
              <w:t>3</w:t>
            </w:r>
            <w:r>
              <w:rPr>
                <w:rFonts w:hint="eastAsia" w:ascii="宋体" w:hAnsi="宋体" w:cs="宋体"/>
                <w:sz w:val="24"/>
              </w:rPr>
              <w:t>）提供近年度财务审计报告或财务报表(成立不足一年提供成立至今财务报表）；（</w:t>
            </w:r>
            <w:r>
              <w:rPr>
                <w:rFonts w:hint="eastAsia" w:ascii="宋体" w:hAnsi="宋体" w:cs="宋体"/>
                <w:sz w:val="24"/>
                <w:lang w:val="en-US" w:eastAsia="zh-CN"/>
              </w:rPr>
              <w:t>4</w:t>
            </w:r>
            <w:r>
              <w:rPr>
                <w:rFonts w:hint="eastAsia" w:ascii="宋体" w:hAnsi="宋体" w:cs="宋体"/>
                <w:sz w:val="24"/>
              </w:rPr>
              <w:t>）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adjustRightInd w:val="0"/>
              <w:snapToGrid w:val="0"/>
              <w:spacing w:line="400" w:lineRule="exact"/>
              <w:rPr>
                <w:rFonts w:ascii="宋体" w:hAnsi="宋体" w:cs="宋体"/>
                <w:b/>
                <w:sz w:val="24"/>
              </w:rPr>
            </w:pPr>
            <w:r>
              <w:rPr>
                <w:rFonts w:hint="eastAsia" w:ascii="宋体" w:hAnsi="宋体" w:cs="宋体"/>
                <w:sz w:val="24"/>
              </w:rPr>
              <w:t> </w:t>
            </w:r>
            <w:r>
              <w:rPr>
                <w:rFonts w:hint="eastAsia" w:ascii="宋体" w:hAnsi="宋体" w:cs="宋体"/>
                <w:b/>
                <w:sz w:val="24"/>
              </w:rPr>
              <w:t>备注：本项目使用不见面开评标系统需将上述要求资料扫描至电子标书中，扫描件为原件扫描件（现场无需携带）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85" w:type="dxa"/>
            <w:vAlign w:val="center"/>
          </w:tcPr>
          <w:p>
            <w:pPr>
              <w:spacing w:line="360" w:lineRule="auto"/>
              <w:jc w:val="center"/>
              <w:rPr>
                <w:rFonts w:ascii="宋体" w:hAnsi="宋体" w:cs="宋体"/>
                <w:b/>
                <w:bCs/>
                <w:sz w:val="24"/>
                <w:highlight w:val="yellow"/>
              </w:rPr>
            </w:pPr>
            <w:r>
              <w:rPr>
                <w:rFonts w:hint="eastAsia" w:ascii="宋体" w:hAnsi="宋体" w:cs="宋体"/>
                <w:b/>
                <w:bCs/>
                <w:sz w:val="24"/>
              </w:rPr>
              <w:t>3.2</w:t>
            </w:r>
          </w:p>
        </w:tc>
        <w:tc>
          <w:tcPr>
            <w:tcW w:w="2019" w:type="dxa"/>
            <w:vAlign w:val="center"/>
          </w:tcPr>
          <w:p>
            <w:pPr>
              <w:spacing w:line="360" w:lineRule="auto"/>
              <w:jc w:val="center"/>
              <w:rPr>
                <w:rFonts w:ascii="宋体" w:hAnsi="宋体" w:cs="宋体"/>
                <w:b/>
                <w:bCs/>
                <w:sz w:val="24"/>
              </w:rPr>
            </w:pPr>
            <w:r>
              <w:rPr>
                <w:rFonts w:hint="eastAsia" w:ascii="宋体" w:hAnsi="宋体" w:cs="宋体"/>
                <w:b/>
                <w:bCs/>
                <w:sz w:val="24"/>
              </w:rPr>
              <w:t>磋商小组的组成</w:t>
            </w:r>
          </w:p>
        </w:tc>
        <w:tc>
          <w:tcPr>
            <w:tcW w:w="6252" w:type="dxa"/>
            <w:vAlign w:val="center"/>
          </w:tcPr>
          <w:p>
            <w:pPr>
              <w:spacing w:line="360" w:lineRule="auto"/>
              <w:rPr>
                <w:rFonts w:ascii="宋体" w:hAnsi="宋体" w:cs="宋体"/>
                <w:sz w:val="24"/>
              </w:rPr>
            </w:pPr>
            <w:r>
              <w:rPr>
                <w:rFonts w:hint="eastAsia" w:ascii="宋体" w:hAnsi="宋体" w:cs="宋体"/>
                <w:sz w:val="24"/>
              </w:rPr>
              <w:t>评审专家人数：3人，其中采购人代表0人，专家3人。</w:t>
            </w:r>
          </w:p>
          <w:p>
            <w:pPr>
              <w:spacing w:line="360" w:lineRule="auto"/>
              <w:rPr>
                <w:rFonts w:ascii="宋体" w:hAnsi="宋体" w:cs="宋体"/>
                <w:sz w:val="24"/>
              </w:rPr>
            </w:pPr>
            <w:r>
              <w:rPr>
                <w:rFonts w:hint="eastAsia" w:ascii="宋体" w:hAnsi="宋体" w:cs="宋体"/>
                <w:sz w:val="24"/>
              </w:rPr>
              <w:t>评标专家确定方式：开标前在监督机构的监督下，在政采云专家库中随机抽取。评标专家名单在中标结果公布前必须保密。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85" w:type="dxa"/>
            <w:vAlign w:val="center"/>
          </w:tcPr>
          <w:p>
            <w:pPr>
              <w:spacing w:line="440" w:lineRule="exact"/>
              <w:jc w:val="center"/>
              <w:rPr>
                <w:rFonts w:ascii="宋体" w:hAnsi="宋体" w:cs="宋体"/>
                <w:b/>
                <w:bCs/>
                <w:sz w:val="24"/>
                <w:highlight w:val="yellow"/>
              </w:rPr>
            </w:pPr>
            <w:r>
              <w:rPr>
                <w:rFonts w:hint="eastAsia" w:ascii="宋体" w:hAnsi="宋体" w:cs="宋体"/>
                <w:b/>
                <w:bCs/>
                <w:sz w:val="24"/>
              </w:rPr>
              <w:t>3.3</w:t>
            </w:r>
          </w:p>
        </w:tc>
        <w:tc>
          <w:tcPr>
            <w:tcW w:w="2019" w:type="dxa"/>
            <w:vAlign w:val="center"/>
          </w:tcPr>
          <w:p>
            <w:pPr>
              <w:spacing w:line="440" w:lineRule="exact"/>
              <w:jc w:val="center"/>
              <w:rPr>
                <w:rFonts w:ascii="宋体" w:hAnsi="宋体" w:cs="宋体"/>
                <w:b/>
                <w:bCs/>
                <w:sz w:val="24"/>
              </w:rPr>
            </w:pPr>
            <w:r>
              <w:rPr>
                <w:rFonts w:hint="eastAsia" w:ascii="宋体" w:hAnsi="宋体" w:cs="宋体"/>
                <w:b/>
                <w:bCs/>
                <w:sz w:val="24"/>
              </w:rPr>
              <w:t>磋商轮数和最后报价的其他要求</w:t>
            </w:r>
          </w:p>
        </w:tc>
        <w:tc>
          <w:tcPr>
            <w:tcW w:w="6252" w:type="dxa"/>
            <w:vAlign w:val="center"/>
          </w:tcPr>
          <w:p>
            <w:pPr>
              <w:autoSpaceDE w:val="0"/>
              <w:autoSpaceDN w:val="0"/>
              <w:adjustRightInd w:val="0"/>
              <w:spacing w:line="440" w:lineRule="exact"/>
              <w:rPr>
                <w:rFonts w:ascii="宋体" w:hAnsi="宋体" w:cs="宋体"/>
                <w:kern w:val="0"/>
                <w:sz w:val="24"/>
                <w:lang w:val="zh-CN"/>
              </w:rPr>
            </w:pPr>
            <w:r>
              <w:rPr>
                <w:rFonts w:hint="eastAsia" w:ascii="宋体" w:hAnsi="宋体" w:cs="宋体"/>
                <w:kern w:val="0"/>
                <w:sz w:val="24"/>
                <w:lang w:val="zh-CN"/>
              </w:rPr>
              <w:t>1、磋商轮数:两轮</w:t>
            </w:r>
          </w:p>
          <w:p>
            <w:pPr>
              <w:autoSpaceDE w:val="0"/>
              <w:autoSpaceDN w:val="0"/>
              <w:adjustRightInd w:val="0"/>
              <w:spacing w:line="440" w:lineRule="exact"/>
              <w:rPr>
                <w:rFonts w:ascii="宋体" w:hAnsi="宋体" w:cs="宋体"/>
                <w:sz w:val="24"/>
              </w:rPr>
            </w:pPr>
            <w:r>
              <w:rPr>
                <w:rFonts w:hint="eastAsia" w:ascii="宋体" w:hAnsi="宋体" w:cs="宋体"/>
                <w:kern w:val="0"/>
                <w:sz w:val="24"/>
              </w:rPr>
              <w:t>2、在磋商过程中，供应商按磋商文件规定和磋商小组要求提交的最后报价(或者重新提交的响应文件和最后报价)，但需经法定代表人或其委托代理人签字，或者加盖供应商单位章。否则，将导致响应文件无效。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vAlign w:val="center"/>
          </w:tcPr>
          <w:p>
            <w:pPr>
              <w:spacing w:line="440" w:lineRule="exact"/>
              <w:jc w:val="center"/>
              <w:rPr>
                <w:rFonts w:ascii="宋体" w:hAnsi="宋体" w:cs="宋体"/>
                <w:b/>
                <w:bCs/>
                <w:sz w:val="24"/>
              </w:rPr>
            </w:pPr>
            <w:r>
              <w:rPr>
                <w:rFonts w:hint="eastAsia" w:ascii="宋体" w:hAnsi="宋体" w:cs="宋体"/>
                <w:b/>
                <w:bCs/>
                <w:sz w:val="24"/>
              </w:rPr>
              <w:t>3.4</w:t>
            </w:r>
          </w:p>
        </w:tc>
        <w:tc>
          <w:tcPr>
            <w:tcW w:w="2019" w:type="dxa"/>
            <w:vAlign w:val="center"/>
          </w:tcPr>
          <w:p>
            <w:pPr>
              <w:spacing w:line="440" w:lineRule="exact"/>
              <w:jc w:val="center"/>
              <w:rPr>
                <w:rFonts w:ascii="宋体" w:hAnsi="宋体" w:cs="宋体"/>
                <w:b/>
                <w:bCs/>
                <w:sz w:val="24"/>
              </w:rPr>
            </w:pPr>
            <w:r>
              <w:rPr>
                <w:rFonts w:hint="eastAsia" w:ascii="宋体" w:hAnsi="宋体" w:cs="宋体"/>
                <w:b/>
                <w:bCs/>
                <w:sz w:val="24"/>
              </w:rPr>
              <w:t>推荐成交候选供应商的数量</w:t>
            </w:r>
          </w:p>
        </w:tc>
        <w:tc>
          <w:tcPr>
            <w:tcW w:w="6252" w:type="dxa"/>
            <w:vAlign w:val="center"/>
          </w:tcPr>
          <w:p>
            <w:pPr>
              <w:spacing w:line="440" w:lineRule="exact"/>
              <w:rPr>
                <w:rFonts w:ascii="宋体" w:hAnsi="宋体" w:cs="宋体"/>
                <w:sz w:val="24"/>
              </w:rPr>
            </w:pPr>
            <w:r>
              <w:rPr>
                <w:rFonts w:hint="eastAsia" w:ascii="宋体" w:hAnsi="宋体" w:cs="宋体"/>
                <w:sz w:val="24"/>
              </w:rPr>
              <w:t>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vAlign w:val="center"/>
          </w:tcPr>
          <w:p>
            <w:pPr>
              <w:spacing w:line="440" w:lineRule="exact"/>
              <w:jc w:val="center"/>
              <w:rPr>
                <w:rFonts w:ascii="宋体" w:hAnsi="宋体" w:cs="宋体"/>
                <w:b/>
                <w:bCs/>
                <w:sz w:val="24"/>
                <w:highlight w:val="yellow"/>
              </w:rPr>
            </w:pPr>
            <w:r>
              <w:rPr>
                <w:rFonts w:hint="eastAsia" w:ascii="宋体" w:hAnsi="宋体" w:cs="宋体"/>
                <w:b/>
                <w:bCs/>
                <w:sz w:val="24"/>
              </w:rPr>
              <w:t>3.5</w:t>
            </w:r>
          </w:p>
        </w:tc>
        <w:tc>
          <w:tcPr>
            <w:tcW w:w="2019" w:type="dxa"/>
            <w:vAlign w:val="center"/>
          </w:tcPr>
          <w:p>
            <w:pPr>
              <w:spacing w:line="440" w:lineRule="exact"/>
              <w:jc w:val="center"/>
              <w:rPr>
                <w:rFonts w:ascii="宋体" w:hAnsi="宋体" w:cs="宋体"/>
                <w:b/>
                <w:bCs/>
                <w:sz w:val="24"/>
              </w:rPr>
            </w:pPr>
            <w:r>
              <w:rPr>
                <w:rFonts w:hint="eastAsia" w:ascii="宋体" w:hAnsi="宋体" w:cs="宋体"/>
                <w:b/>
                <w:bCs/>
                <w:sz w:val="24"/>
              </w:rPr>
              <w:t>成交结果公示媒体</w:t>
            </w:r>
          </w:p>
        </w:tc>
        <w:tc>
          <w:tcPr>
            <w:tcW w:w="6252" w:type="dxa"/>
            <w:vAlign w:val="center"/>
          </w:tcPr>
          <w:p>
            <w:pPr>
              <w:spacing w:line="440" w:lineRule="exact"/>
              <w:rPr>
                <w:rFonts w:ascii="宋体" w:hAnsi="宋体" w:cs="宋体"/>
                <w:color w:val="FF0000"/>
                <w:sz w:val="24"/>
              </w:rPr>
            </w:pPr>
            <w:r>
              <w:rPr>
                <w:rFonts w:hint="eastAsia"/>
                <w:sz w:val="24"/>
              </w:rPr>
              <w:t>新疆政府采购网、阿克苏政府网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85" w:type="dxa"/>
            <w:vAlign w:val="center"/>
          </w:tcPr>
          <w:p>
            <w:pPr>
              <w:spacing w:line="440" w:lineRule="exact"/>
              <w:jc w:val="center"/>
              <w:rPr>
                <w:rFonts w:ascii="宋体" w:hAnsi="宋体" w:cs="宋体"/>
                <w:b/>
                <w:sz w:val="24"/>
              </w:rPr>
            </w:pPr>
            <w:r>
              <w:rPr>
                <w:rFonts w:hint="eastAsia" w:ascii="宋体" w:hAnsi="宋体" w:cs="宋体"/>
                <w:b/>
                <w:sz w:val="24"/>
              </w:rPr>
              <w:t>3.6</w:t>
            </w:r>
          </w:p>
        </w:tc>
        <w:tc>
          <w:tcPr>
            <w:tcW w:w="8271" w:type="dxa"/>
            <w:gridSpan w:val="2"/>
          </w:tcPr>
          <w:p>
            <w:pPr>
              <w:spacing w:line="440" w:lineRule="exact"/>
              <w:rPr>
                <w:rFonts w:ascii="宋体" w:hAnsi="宋体" w:cs="宋体"/>
                <w:sz w:val="24"/>
              </w:rPr>
            </w:pPr>
            <w:r>
              <w:rPr>
                <w:rFonts w:hint="eastAsia" w:ascii="宋体" w:hAnsi="宋体" w:cs="宋体"/>
                <w:b/>
                <w:sz w:val="24"/>
              </w:rPr>
              <w:t xml:space="preserve">其他规定：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5" w:type="dxa"/>
          </w:tcPr>
          <w:p>
            <w:pPr>
              <w:spacing w:line="440" w:lineRule="exact"/>
              <w:jc w:val="center"/>
              <w:rPr>
                <w:rFonts w:ascii="宋体" w:hAnsi="宋体" w:cs="宋体"/>
                <w:b/>
                <w:bCs/>
                <w:sz w:val="24"/>
              </w:rPr>
            </w:pPr>
            <w:r>
              <w:rPr>
                <w:rFonts w:hint="eastAsia" w:ascii="宋体" w:hAnsi="宋体" w:cs="宋体"/>
                <w:b/>
                <w:bCs/>
                <w:sz w:val="24"/>
              </w:rPr>
              <w:t>3.7</w:t>
            </w:r>
          </w:p>
        </w:tc>
        <w:tc>
          <w:tcPr>
            <w:tcW w:w="8271"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sz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5" w:type="dxa"/>
          </w:tcPr>
          <w:p>
            <w:pPr>
              <w:spacing w:line="440" w:lineRule="exact"/>
              <w:jc w:val="center"/>
              <w:rPr>
                <w:rFonts w:ascii="宋体" w:hAnsi="宋体" w:cs="宋体"/>
                <w:b/>
                <w:bCs/>
                <w:sz w:val="24"/>
              </w:rPr>
            </w:pPr>
            <w:r>
              <w:rPr>
                <w:rFonts w:hint="eastAsia" w:ascii="宋体" w:hAnsi="宋体" w:cs="宋体"/>
                <w:b/>
                <w:bCs/>
                <w:sz w:val="24"/>
              </w:rPr>
              <w:t>3.8</w:t>
            </w:r>
          </w:p>
        </w:tc>
        <w:tc>
          <w:tcPr>
            <w:tcW w:w="8271" w:type="dxa"/>
            <w:gridSpan w:val="2"/>
          </w:tcPr>
          <w:p>
            <w:pPr>
              <w:spacing w:line="440" w:lineRule="exact"/>
              <w:rPr>
                <w:rFonts w:ascii="宋体" w:hAnsi="宋体" w:cs="宋体"/>
                <w:b w:val="0"/>
                <w:bCs/>
                <w:sz w:val="24"/>
              </w:rPr>
            </w:pPr>
            <w:r>
              <w:rPr>
                <w:rFonts w:hint="eastAsia" w:ascii="宋体" w:hAnsi="宋体" w:cs="宋体"/>
                <w:b w:val="0"/>
                <w:bCs/>
                <w:sz w:val="24"/>
              </w:rPr>
              <w:t>解释权:</w:t>
            </w:r>
          </w:p>
          <w:p>
            <w:pPr>
              <w:spacing w:line="440" w:lineRule="exact"/>
              <w:rPr>
                <w:rFonts w:ascii="宋体" w:hAnsi="宋体" w:cs="宋体"/>
                <w:sz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5" w:type="dxa"/>
            <w:vAlign w:val="center"/>
          </w:tcPr>
          <w:p>
            <w:pPr>
              <w:spacing w:line="440" w:lineRule="exact"/>
              <w:jc w:val="center"/>
              <w:rPr>
                <w:rFonts w:ascii="宋体" w:hAnsi="宋体" w:cs="宋体"/>
                <w:b/>
                <w:bCs/>
                <w:sz w:val="24"/>
              </w:rPr>
            </w:pPr>
            <w:r>
              <w:rPr>
                <w:rFonts w:hint="eastAsia" w:ascii="宋体" w:hAnsi="宋体" w:cs="宋体"/>
                <w:b/>
                <w:bCs/>
                <w:sz w:val="24"/>
              </w:rPr>
              <w:t>4.1</w:t>
            </w:r>
          </w:p>
        </w:tc>
        <w:tc>
          <w:tcPr>
            <w:tcW w:w="8271" w:type="dxa"/>
            <w:gridSpan w:val="2"/>
          </w:tcPr>
          <w:p>
            <w:pPr>
              <w:spacing w:line="440" w:lineRule="exact"/>
              <w:rPr>
                <w:rFonts w:ascii="宋体" w:hAnsi="宋体" w:cs="宋体"/>
                <w:sz w:val="24"/>
              </w:rPr>
            </w:pPr>
            <w:r>
              <w:rPr>
                <w:rFonts w:hint="eastAsia" w:ascii="宋体" w:hAnsi="宋体" w:cs="宋体"/>
                <w:sz w:val="24"/>
              </w:rPr>
              <w:t>重大违法记录：1、供应商因违法经营受到刑事处罚或者责令停产停业、吊销许可证或者执照、较大数额罚款等行政处罚；2、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3、</w:t>
            </w:r>
            <w:r>
              <w:rPr>
                <w:rFonts w:ascii="宋体" w:hAnsi="宋体" w:cs="宋体"/>
                <w:sz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85" w:type="dxa"/>
            <w:vAlign w:val="center"/>
          </w:tcPr>
          <w:p>
            <w:pPr>
              <w:spacing w:line="440" w:lineRule="exact"/>
              <w:jc w:val="center"/>
              <w:rPr>
                <w:rFonts w:ascii="宋体" w:hAnsi="宋体" w:cs="宋体"/>
                <w:b/>
                <w:bCs/>
                <w:sz w:val="24"/>
              </w:rPr>
            </w:pPr>
            <w:r>
              <w:rPr>
                <w:rFonts w:hint="eastAsia" w:ascii="宋体" w:hAnsi="宋体" w:cs="宋体"/>
                <w:b/>
                <w:bCs/>
                <w:kern w:val="0"/>
                <w:sz w:val="24"/>
              </w:rPr>
              <w:t>其他注意事项</w:t>
            </w:r>
          </w:p>
        </w:tc>
        <w:tc>
          <w:tcPr>
            <w:tcW w:w="8271" w:type="dxa"/>
            <w:gridSpan w:val="2"/>
            <w:vAlign w:val="center"/>
          </w:tcPr>
          <w:p>
            <w:pPr>
              <w:pStyle w:val="17"/>
              <w:numPr>
                <w:ilvl w:val="0"/>
                <w:numId w:val="1"/>
              </w:numPr>
              <w:spacing w:line="440" w:lineRule="exact"/>
              <w:ind w:right="-10"/>
              <w:rPr>
                <w:rFonts w:ascii="宋体" w:hAnsi="宋体" w:cs="宋体"/>
                <w:bCs/>
                <w:sz w:val="24"/>
              </w:rPr>
            </w:pPr>
            <w:r>
              <w:rPr>
                <w:rFonts w:hint="eastAsia" w:ascii="宋体" w:hAnsi="宋体" w:cs="宋体"/>
                <w:bCs/>
                <w:sz w:val="24"/>
              </w:rPr>
              <w:t>本次采用不见面开标，投标人不需要提供纸质版投标文件；</w:t>
            </w:r>
          </w:p>
          <w:p>
            <w:pPr>
              <w:pStyle w:val="17"/>
              <w:numPr>
                <w:ilvl w:val="0"/>
                <w:numId w:val="1"/>
              </w:numPr>
              <w:spacing w:line="440" w:lineRule="exact"/>
              <w:ind w:right="-10"/>
              <w:rPr>
                <w:rFonts w:ascii="宋体" w:hAnsi="宋体" w:cs="宋体"/>
                <w:bCs/>
                <w:sz w:val="24"/>
              </w:rPr>
            </w:pPr>
            <w:r>
              <w:rPr>
                <w:rFonts w:hint="eastAsia" w:ascii="宋体" w:hAnsi="宋体" w:cs="宋体"/>
                <w:bCs/>
                <w:sz w:val="24"/>
              </w:rPr>
              <w:t>开标时请各投标人准时在新疆政府采购网参加开标会，准时签到，未递交投标文件及未签到的视为无效投标；</w:t>
            </w:r>
          </w:p>
          <w:p>
            <w:pPr>
              <w:pStyle w:val="17"/>
              <w:numPr>
                <w:ilvl w:val="0"/>
                <w:numId w:val="1"/>
              </w:numPr>
              <w:spacing w:line="440" w:lineRule="exact"/>
              <w:ind w:right="-10"/>
              <w:rPr>
                <w:rFonts w:ascii="宋体" w:hAnsi="宋体" w:cs="宋体"/>
                <w:bCs/>
                <w:sz w:val="24"/>
              </w:rPr>
            </w:pPr>
            <w:r>
              <w:rPr>
                <w:rFonts w:hint="eastAsia" w:ascii="宋体" w:hAnsi="宋体" w:cs="宋体"/>
                <w:bCs/>
                <w:sz w:val="24"/>
              </w:rPr>
              <w:t>转发自治区发展改革委关于规范政务服务和公共资源交易中心收费项目和标准的通知（阿地发改【2021】3号）；</w:t>
            </w:r>
          </w:p>
          <w:p>
            <w:pPr>
              <w:pStyle w:val="17"/>
              <w:spacing w:line="440" w:lineRule="exact"/>
              <w:ind w:right="-10"/>
              <w:rPr>
                <w:rFonts w:ascii="宋体" w:hAnsi="宋体" w:cs="宋体"/>
                <w:bCs/>
                <w:sz w:val="24"/>
              </w:rPr>
            </w:pPr>
            <w:r>
              <w:rPr>
                <w:rFonts w:hint="eastAsia" w:ascii="宋体" w:hAnsi="宋体" w:cs="宋体"/>
                <w:bCs/>
                <w:sz w:val="24"/>
              </w:rPr>
              <w:t>注：当参加项目（或标段）的投标单位多于 6家时，所需缴纳的场地服务费为：6000 元/参标单位个数。</w:t>
            </w:r>
          </w:p>
          <w:p>
            <w:pPr>
              <w:pStyle w:val="17"/>
              <w:numPr>
                <w:ilvl w:val="0"/>
                <w:numId w:val="1"/>
              </w:numPr>
              <w:spacing w:line="440" w:lineRule="exact"/>
              <w:ind w:right="-10"/>
              <w:rPr>
                <w:rFonts w:ascii="宋体" w:hAnsi="宋体" w:cs="宋体"/>
                <w:bCs/>
                <w:sz w:val="24"/>
              </w:rPr>
            </w:pPr>
            <w:r>
              <w:rPr>
                <w:rFonts w:hint="eastAsia" w:ascii="宋体" w:hAnsi="宋体" w:cs="宋体"/>
                <w:bCs/>
                <w:sz w:val="24"/>
              </w:rPr>
              <w:t>各投标人需提前办理政采云CA锁，开标时需现场投标文件解密；</w:t>
            </w:r>
          </w:p>
          <w:p>
            <w:pPr>
              <w:pStyle w:val="17"/>
              <w:numPr>
                <w:ilvl w:val="0"/>
                <w:numId w:val="1"/>
              </w:numPr>
              <w:spacing w:line="440" w:lineRule="exact"/>
              <w:ind w:right="-10"/>
              <w:rPr>
                <w:rFonts w:ascii="宋体" w:hAnsi="宋体" w:cs="宋体"/>
                <w:bCs/>
                <w:sz w:val="24"/>
              </w:rPr>
            </w:pPr>
            <w:r>
              <w:rPr>
                <w:rFonts w:hint="eastAsia" w:ascii="宋体" w:hAnsi="宋体" w:cs="宋体"/>
                <w:bCs/>
                <w:sz w:val="24"/>
              </w:rPr>
              <w:t>开标时各投标人需在线等待评标结果，及时回复对于投标文件中指出的需要澄清及确认的信息。</w:t>
            </w:r>
          </w:p>
          <w:p>
            <w:pPr>
              <w:pStyle w:val="17"/>
              <w:spacing w:line="440" w:lineRule="exact"/>
              <w:ind w:left="0" w:leftChars="0" w:right="-10"/>
              <w:rPr>
                <w:rFonts w:ascii="宋体" w:hAnsi="宋体" w:cs="宋体"/>
                <w:sz w:val="24"/>
              </w:rPr>
            </w:pPr>
            <w:r>
              <w:rPr>
                <w:rFonts w:hint="eastAsia" w:ascii="宋体" w:hAnsi="宋体" w:cs="宋体"/>
                <w:bCs/>
                <w:sz w:val="24"/>
              </w:rPr>
              <w:t>6.如招标文件前后不一致的，以投标人须知前附表为准</w:t>
            </w:r>
          </w:p>
        </w:tc>
      </w:tr>
    </w:tbl>
    <w:p>
      <w:pPr>
        <w:spacing w:line="440" w:lineRule="exact"/>
        <w:rPr>
          <w:rFonts w:ascii="宋体" w:hAnsi="宋体" w:cs="宋体"/>
          <w:kern w:val="0"/>
          <w:sz w:val="24"/>
        </w:rPr>
      </w:pPr>
      <w:r>
        <w:rPr>
          <w:rFonts w:hint="eastAsia" w:ascii="宋体" w:hAnsi="宋体" w:cs="宋体"/>
          <w:kern w:val="0"/>
          <w:sz w:val="24"/>
        </w:rPr>
        <w:t>注：本表内容与招标文件其它内容不一致的，应当以本表内容为准。</w:t>
      </w:r>
      <w:bookmarkStart w:id="29" w:name="_Toc11334"/>
    </w:p>
    <w:p>
      <w:pPr>
        <w:pStyle w:val="2"/>
        <w:rPr>
          <w:kern w:val="0"/>
        </w:rPr>
      </w:pPr>
      <w:r>
        <w:rPr>
          <w:kern w:val="0"/>
        </w:rPr>
        <w:br w:type="page"/>
      </w:r>
    </w:p>
    <w:p>
      <w:pPr>
        <w:autoSpaceDE w:val="0"/>
        <w:autoSpaceDN w:val="0"/>
        <w:adjustRightInd w:val="0"/>
        <w:spacing w:line="340" w:lineRule="exact"/>
        <w:jc w:val="center"/>
        <w:rPr>
          <w:rStyle w:val="47"/>
          <w:rFonts w:ascii="宋体" w:hAnsi="宋体" w:cs="宋体"/>
          <w:sz w:val="28"/>
          <w:szCs w:val="28"/>
        </w:rPr>
      </w:pPr>
      <w:r>
        <w:rPr>
          <w:rStyle w:val="47"/>
          <w:rFonts w:hint="eastAsia" w:ascii="宋体" w:hAnsi="宋体" w:cs="宋体"/>
          <w:sz w:val="28"/>
          <w:szCs w:val="28"/>
        </w:rPr>
        <w:t>磋商须知前附表2:资格性、符合性检查表</w:t>
      </w:r>
    </w:p>
    <w:p>
      <w:pPr>
        <w:pStyle w:val="2"/>
      </w:pPr>
    </w:p>
    <w:bookmarkEnd w:id="29"/>
    <w:p>
      <w:pPr>
        <w:spacing w:line="340" w:lineRule="exact"/>
        <w:ind w:firstLine="420"/>
        <w:rPr>
          <w:rFonts w:ascii="宋体" w:hAnsi="宋体" w:cs="宋体"/>
          <w:sz w:val="24"/>
        </w:rPr>
      </w:pPr>
      <w:r>
        <w:rPr>
          <w:rFonts w:hint="eastAsia" w:ascii="宋体" w:hAnsi="宋体" w:cs="宋体"/>
          <w:sz w:val="24"/>
        </w:rPr>
        <w:t>1、本须知前附表2集中列示了资格性、符合性检查的所有条款，以及要求提供的全部证明资料。该内容是磋商小组判断供应商的报价是否有效的重要依据。</w:t>
      </w:r>
    </w:p>
    <w:p>
      <w:pPr>
        <w:spacing w:line="340" w:lineRule="exact"/>
        <w:ind w:firstLine="420"/>
        <w:rPr>
          <w:rFonts w:ascii="宋体" w:hAnsi="宋体" w:cs="宋体"/>
          <w:sz w:val="24"/>
        </w:rPr>
      </w:pPr>
      <w:r>
        <w:rPr>
          <w:rFonts w:hint="eastAsia" w:ascii="宋体" w:hAnsi="宋体" w:cs="宋体"/>
          <w:sz w:val="24"/>
        </w:rPr>
        <w:t>2、本文件其他章节对资格性、符合性评审中要求提交的证明资料另有规定，但</w:t>
      </w:r>
      <w:r>
        <w:rPr>
          <w:rFonts w:hint="eastAsia" w:ascii="宋体" w:hAnsi="宋体" w:cs="宋体"/>
          <w:bCs/>
          <w:sz w:val="24"/>
        </w:rPr>
        <w:t>未在以下各表中专条列出的，不做为评审不通过的依据。</w:t>
      </w:r>
      <w:r>
        <w:rPr>
          <w:rFonts w:hint="eastAsia" w:ascii="宋体" w:hAnsi="宋体" w:cs="宋体"/>
          <w:sz w:val="24"/>
        </w:rPr>
        <w:t>法律法规另有特别规定应当否决的，按法律法规的规定执行。</w:t>
      </w:r>
    </w:p>
    <w:p>
      <w:pPr>
        <w:spacing w:line="340" w:lineRule="exact"/>
        <w:ind w:firstLine="420"/>
        <w:rPr>
          <w:rFonts w:ascii="宋体" w:hAnsi="宋体" w:cs="宋体"/>
          <w:sz w:val="24"/>
        </w:rPr>
      </w:pPr>
      <w:r>
        <w:rPr>
          <w:rFonts w:hint="eastAsia" w:ascii="宋体" w:hAnsi="宋体" w:cs="宋体"/>
          <w:sz w:val="24"/>
        </w:rPr>
        <w:t>3、评审中存在以下任一情况的，该项按不合格处理。有一项不合格，即为不通过资格性、符合性评审，其报价将被否决。</w:t>
      </w:r>
    </w:p>
    <w:p>
      <w:pPr>
        <w:spacing w:line="340" w:lineRule="exact"/>
        <w:ind w:firstLine="420"/>
        <w:rPr>
          <w:rFonts w:ascii="宋体" w:hAnsi="宋体" w:cs="宋体"/>
          <w:sz w:val="24"/>
        </w:rPr>
      </w:pPr>
      <w:r>
        <w:rPr>
          <w:rFonts w:hint="eastAsia" w:ascii="宋体" w:hAnsi="宋体" w:cs="宋体"/>
          <w:sz w:val="24"/>
        </w:rPr>
        <w:t>(1)未按以下各表中条款或备注要求在响应文件中附原件或复印件、评审时未提交原件、原件与复印件不一致、证明资料缺项、提供虚假资料或提交资料不符合磋商文件要求的；</w:t>
      </w:r>
    </w:p>
    <w:p>
      <w:pPr>
        <w:spacing w:line="340" w:lineRule="exact"/>
        <w:ind w:firstLine="420"/>
        <w:rPr>
          <w:rFonts w:ascii="宋体" w:hAnsi="宋体" w:cs="宋体"/>
          <w:sz w:val="24"/>
        </w:rPr>
      </w:pPr>
      <w:r>
        <w:rPr>
          <w:rFonts w:hint="eastAsia" w:ascii="宋体" w:hAnsi="宋体" w:cs="宋体"/>
          <w:sz w:val="24"/>
        </w:rPr>
        <w:t>(2)其他未按规定要求提交资料的，以及所提供的资料不能证明符合评审标准要求的。</w:t>
      </w:r>
    </w:p>
    <w:p>
      <w:pPr>
        <w:spacing w:line="360" w:lineRule="auto"/>
        <w:ind w:firstLine="562" w:firstLineChars="200"/>
        <w:rPr>
          <w:rFonts w:ascii="宋体" w:hAnsi="宋体" w:cs="宋体"/>
          <w:color w:val="002060"/>
          <w:sz w:val="28"/>
          <w:szCs w:val="28"/>
          <w:shd w:val="clear" w:color="auto" w:fill="FFFFFF"/>
        </w:rPr>
      </w:pPr>
      <w:r>
        <w:rPr>
          <w:rFonts w:hint="eastAsia" w:ascii="宋体" w:hAnsi="宋体" w:cs="宋体"/>
          <w:b/>
          <w:bCs/>
          <w:sz w:val="28"/>
          <w:szCs w:val="28"/>
          <w:shd w:val="clear" w:color="auto" w:fill="FFFFFF"/>
        </w:rPr>
        <w:t>对符合《政府采购促进中小企业发展管理办法》规定的小微企业报价给予货物项目为6%的扣除，用扣除后的价格参加评审。</w:t>
      </w:r>
    </w:p>
    <w:p>
      <w:pPr>
        <w:pStyle w:val="2"/>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sz w:val="24"/>
        </w:rPr>
      </w:pPr>
    </w:p>
    <w:p>
      <w:pPr>
        <w:spacing w:line="340" w:lineRule="exact"/>
        <w:ind w:firstLine="495"/>
        <w:jc w:val="center"/>
        <w:rPr>
          <w:rFonts w:ascii="宋体" w:hAnsi="宋体" w:cs="宋体"/>
          <w:b/>
          <w:color w:val="000000"/>
          <w:sz w:val="24"/>
        </w:rPr>
      </w:pPr>
      <w:r>
        <w:rPr>
          <w:rFonts w:hint="eastAsia" w:ascii="宋体" w:hAnsi="宋体" w:cs="宋体"/>
          <w:b/>
          <w:sz w:val="24"/>
        </w:rPr>
        <w:t>资格性检查表</w:t>
      </w:r>
    </w:p>
    <w:tbl>
      <w:tblPr>
        <w:tblStyle w:val="36"/>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15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b/>
                <w:sz w:val="24"/>
              </w:rPr>
            </w:pPr>
            <w:r>
              <w:rPr>
                <w:rFonts w:hint="eastAsia" w:ascii="宋体" w:hAnsi="宋体" w:cs="宋体"/>
                <w:b/>
                <w:sz w:val="24"/>
              </w:rPr>
              <w:t>条款号</w:t>
            </w:r>
          </w:p>
        </w:tc>
        <w:tc>
          <w:tcPr>
            <w:tcW w:w="3156"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center"/>
              <w:rPr>
                <w:rFonts w:ascii="宋体" w:hAnsi="宋体" w:cs="宋体"/>
                <w:b/>
                <w:sz w:val="24"/>
              </w:rPr>
            </w:pPr>
            <w:r>
              <w:rPr>
                <w:rFonts w:hint="eastAsia" w:ascii="宋体" w:hAnsi="宋体" w:cs="宋体"/>
                <w:b/>
                <w:sz w:val="24"/>
              </w:rPr>
              <w:t>评审因素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0" w:type="dxa"/>
            <w:vMerge w:val="restart"/>
            <w:tcBorders>
              <w:left w:val="single" w:color="auto" w:sz="4" w:space="0"/>
              <w:right w:val="single" w:color="auto" w:sz="4" w:space="0"/>
            </w:tcBorders>
            <w:vAlign w:val="center"/>
          </w:tcPr>
          <w:p>
            <w:pPr>
              <w:spacing w:line="340" w:lineRule="exact"/>
              <w:jc w:val="center"/>
              <w:rPr>
                <w:rFonts w:ascii="宋体" w:hAnsi="宋体" w:cs="宋体"/>
                <w:sz w:val="24"/>
              </w:rPr>
            </w:pPr>
            <w:r>
              <w:rPr>
                <w:rFonts w:hint="eastAsia" w:ascii="宋体" w:hAnsi="宋体" w:cs="宋体"/>
                <w:sz w:val="24"/>
              </w:rPr>
              <w:t>5.3.1（1）</w:t>
            </w:r>
          </w:p>
        </w:tc>
        <w:tc>
          <w:tcPr>
            <w:tcW w:w="315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4"/>
              </w:rPr>
            </w:pPr>
            <w:r>
              <w:rPr>
                <w:rFonts w:hint="eastAsia" w:ascii="宋体" w:hAnsi="宋体" w:cs="宋体"/>
                <w:sz w:val="24"/>
              </w:rPr>
              <w:t>（1）营业执照</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4"/>
              </w:rPr>
            </w:pPr>
            <w:r>
              <w:rPr>
                <w:rFonts w:hint="eastAsia" w:ascii="宋体" w:hAnsi="宋体" w:cs="宋体"/>
                <w:sz w:val="24"/>
              </w:rPr>
              <w:t>具有独立承担民事责任的能力，依法取得有效的营业执照，经营范围符合供应商资格要求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0" w:type="dxa"/>
            <w:vMerge w:val="continue"/>
            <w:tcBorders>
              <w:left w:val="single" w:color="auto" w:sz="4" w:space="0"/>
              <w:right w:val="single" w:color="auto" w:sz="4" w:space="0"/>
            </w:tcBorders>
            <w:vAlign w:val="center"/>
          </w:tcPr>
          <w:p>
            <w:pPr>
              <w:spacing w:line="340" w:lineRule="exact"/>
              <w:jc w:val="center"/>
              <w:rPr>
                <w:rFonts w:ascii="宋体" w:hAnsi="宋体" w:cs="宋体"/>
                <w:sz w:val="24"/>
              </w:rPr>
            </w:pPr>
          </w:p>
        </w:tc>
        <w:tc>
          <w:tcPr>
            <w:tcW w:w="3156"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eastAsia="zh-CN"/>
              </w:rPr>
              <w:t>提供法人身份证明或法人授权委托书</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eastAsia="宋体" w:cs="宋体"/>
                <w:sz w:val="24"/>
                <w:lang w:eastAsia="zh-CN"/>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0" w:type="dxa"/>
            <w:vMerge w:val="continue"/>
            <w:tcBorders>
              <w:left w:val="single" w:color="auto" w:sz="4" w:space="0"/>
              <w:right w:val="single" w:color="auto" w:sz="4" w:space="0"/>
            </w:tcBorders>
            <w:vAlign w:val="center"/>
          </w:tcPr>
          <w:p>
            <w:pPr>
              <w:spacing w:line="340" w:lineRule="exact"/>
              <w:rPr>
                <w:rFonts w:ascii="宋体" w:hAnsi="宋体" w:cs="宋体"/>
                <w:color w:val="00B0F0"/>
                <w:sz w:val="24"/>
              </w:rPr>
            </w:pPr>
          </w:p>
        </w:tc>
        <w:tc>
          <w:tcPr>
            <w:tcW w:w="315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）近三年重大违法记录信息</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4"/>
              </w:rPr>
            </w:pPr>
            <w:r>
              <w:rPr>
                <w:rFonts w:hint="eastAsia" w:ascii="宋体" w:hAnsi="宋体" w:cs="宋体"/>
                <w:sz w:val="24"/>
              </w:rPr>
              <w:t>1.未被列入全国企业信用信息公示系统经营异常名录或严重违法企业名单；</w:t>
            </w:r>
          </w:p>
          <w:p>
            <w:pPr>
              <w:spacing w:line="340" w:lineRule="exact"/>
              <w:rPr>
                <w:rFonts w:ascii="宋体" w:hAnsi="宋体" w:cs="宋体"/>
                <w:sz w:val="24"/>
              </w:rPr>
            </w:pPr>
            <w:r>
              <w:rPr>
                <w:rFonts w:hint="eastAsia" w:ascii="宋体" w:hAnsi="宋体" w:cs="宋体"/>
                <w:sz w:val="24"/>
              </w:rPr>
              <w:t>2.在“信用中国”网站、“中国政府采购网”、国家企业信用信息公示系统上未被列入失信被执行人、重大税收违法案件当事人名单、政府采购严重违法失信行为记录名单的（尚在处罚期内的）、经营异常名录的；3、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00" w:type="dxa"/>
            <w:vMerge w:val="continue"/>
            <w:tcBorders>
              <w:left w:val="single" w:color="auto" w:sz="4" w:space="0"/>
              <w:right w:val="single" w:color="auto" w:sz="4" w:space="0"/>
            </w:tcBorders>
            <w:vAlign w:val="center"/>
          </w:tcPr>
          <w:p>
            <w:pPr>
              <w:spacing w:line="340" w:lineRule="exact"/>
              <w:rPr>
                <w:rFonts w:ascii="宋体" w:hAnsi="宋体" w:cs="宋体"/>
                <w:color w:val="00B0F0"/>
                <w:sz w:val="24"/>
              </w:rPr>
            </w:pPr>
          </w:p>
        </w:tc>
        <w:tc>
          <w:tcPr>
            <w:tcW w:w="3156"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财务</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sz w:val="24"/>
              </w:rPr>
            </w:pPr>
            <w:r>
              <w:rPr>
                <w:rFonts w:hint="eastAsia" w:ascii="宋体" w:hAnsi="宋体" w:cs="宋体"/>
                <w:sz w:val="24"/>
              </w:rPr>
              <w:t>提供近年度财务审计报告或财务报表(成立不足一年提供成立至今财务报表）</w:t>
            </w:r>
          </w:p>
        </w:tc>
      </w:tr>
    </w:tbl>
    <w:p>
      <w:pPr>
        <w:spacing w:line="340" w:lineRule="exact"/>
        <w:ind w:firstLine="420"/>
        <w:rPr>
          <w:rFonts w:ascii="宋体" w:hAnsi="宋体" w:cs="宋体"/>
          <w:sz w:val="24"/>
        </w:rPr>
      </w:pPr>
      <w:r>
        <w:rPr>
          <w:rFonts w:hint="eastAsia" w:ascii="宋体" w:hAnsi="宋体" w:cs="宋体"/>
          <w:sz w:val="24"/>
        </w:rPr>
        <w:t>注：1、以上表中要求提交的证明资料应按第六章“响应文件格式”的要求将复印件附于响应文件中。2、近三年重大违法记录信息应通过以下途径查询：(1) 是否被列入经营异常名录或严重违法企业名单的情况，供应商可通过国家工商行政管理总局的全国企业信用信息公示系统网站查询，并将查询到的企业登记信息、经营异常信息和严重违法信息真实结果打印做为证明资料。（2）“信用中国”网站和“中国政府采购网”查询结果网页及国家企业信用信息公示报告打印件。</w:t>
      </w:r>
    </w:p>
    <w:p>
      <w:pPr>
        <w:spacing w:line="400" w:lineRule="exact"/>
        <w:ind w:firstLine="420"/>
        <w:jc w:val="center"/>
        <w:rPr>
          <w:rFonts w:ascii="宋体" w:hAnsi="宋体" w:cs="宋体"/>
          <w:b/>
          <w:bCs/>
          <w:kern w:val="28"/>
          <w:sz w:val="24"/>
        </w:rPr>
      </w:pPr>
      <w:r>
        <w:rPr>
          <w:rFonts w:hint="eastAsia" w:ascii="宋体" w:hAnsi="宋体" w:cs="宋体"/>
          <w:b/>
          <w:bCs/>
          <w:kern w:val="28"/>
          <w:sz w:val="24"/>
        </w:rPr>
        <w:br w:type="page"/>
      </w:r>
      <w:r>
        <w:rPr>
          <w:rFonts w:hint="eastAsia" w:ascii="宋体" w:hAnsi="宋体" w:cs="宋体"/>
          <w:b/>
          <w:bCs/>
          <w:kern w:val="28"/>
          <w:sz w:val="24"/>
        </w:rPr>
        <w:t>符合性检查表</w:t>
      </w:r>
    </w:p>
    <w:p>
      <w:pPr>
        <w:spacing w:afterLines="50" w:line="360" w:lineRule="auto"/>
        <w:ind w:firstLine="420"/>
        <w:jc w:val="center"/>
        <w:rPr>
          <w:rFonts w:ascii="宋体" w:hAnsi="宋体" w:cs="宋体"/>
          <w:bCs/>
          <w:kern w:val="28"/>
          <w:sz w:val="24"/>
        </w:rPr>
      </w:pPr>
      <w:r>
        <w:rPr>
          <w:rFonts w:hint="eastAsia" w:ascii="宋体" w:hAnsi="宋体" w:cs="宋体"/>
          <w:bCs/>
          <w:kern w:val="28"/>
          <w:sz w:val="24"/>
        </w:rPr>
        <w:t>（审查响应文件的有效性、完整性和对磋商文件的响应程度）</w:t>
      </w:r>
    </w:p>
    <w:tbl>
      <w:tblPr>
        <w:tblStyle w:val="36"/>
        <w:tblW w:w="9562" w:type="dxa"/>
        <w:tblInd w:w="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2"/>
        <w:gridCol w:w="2692"/>
        <w:gridCol w:w="5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92" w:type="dxa"/>
            <w:tcBorders>
              <w:top w:val="single" w:color="auto" w:sz="4" w:space="0"/>
              <w:bottom w:val="single" w:color="auto" w:sz="4" w:space="0"/>
              <w:right w:val="single" w:color="auto" w:sz="4" w:space="0"/>
            </w:tcBorders>
            <w:vAlign w:val="center"/>
          </w:tcPr>
          <w:p>
            <w:pPr>
              <w:spacing w:line="360" w:lineRule="auto"/>
              <w:rPr>
                <w:rFonts w:ascii="宋体" w:hAnsi="宋体" w:cs="宋体"/>
                <w:b/>
                <w:sz w:val="24"/>
              </w:rPr>
            </w:pPr>
            <w:r>
              <w:rPr>
                <w:rFonts w:hint="eastAsia" w:ascii="宋体" w:hAnsi="宋体" w:cs="宋体"/>
                <w:b/>
                <w:sz w:val="24"/>
              </w:rPr>
              <w:t>条款号</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评审因素</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trPr>
        <w:tc>
          <w:tcPr>
            <w:tcW w:w="1192" w:type="dxa"/>
            <w:vMerge w:val="restart"/>
            <w:tcBorders>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5.3.1（2）</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格式符合</w:t>
            </w:r>
            <w:r>
              <w:rPr>
                <w:rFonts w:hint="eastAsia" w:ascii="宋体" w:hAnsi="宋体" w:cs="宋体"/>
                <w:sz w:val="24"/>
                <w:lang w:eastAsia="zh-CN"/>
              </w:rPr>
              <w:t>磋商文件</w:t>
            </w:r>
            <w:r>
              <w:rPr>
                <w:rFonts w:hint="eastAsia" w:ascii="宋体" w:hAnsi="宋体" w:cs="宋体"/>
                <w:sz w:val="24"/>
              </w:rPr>
              <w:t>要求</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trPr>
        <w:tc>
          <w:tcPr>
            <w:tcW w:w="1192" w:type="dxa"/>
            <w:vMerge w:val="continue"/>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hint="eastAsia" w:ascii="宋体" w:hAnsi="宋体" w:cs="宋体"/>
                <w:sz w:val="24"/>
                <w:lang w:eastAsia="zh-CN"/>
              </w:rPr>
              <w:t>响应文件</w:t>
            </w:r>
            <w:r>
              <w:rPr>
                <w:rFonts w:hint="eastAsia" w:ascii="宋体" w:hAnsi="宋体" w:cs="宋体"/>
                <w:sz w:val="24"/>
              </w:rPr>
              <w:t>的签名盖章</w:t>
            </w:r>
            <w:r>
              <w:rPr>
                <w:rFonts w:hint="eastAsia" w:ascii="宋体" w:hAnsi="宋体" w:cs="宋体"/>
                <w:sz w:val="24"/>
                <w:lang w:eastAsia="zh-CN"/>
              </w:rPr>
              <w:t>符合磋商文件</w:t>
            </w:r>
            <w:r>
              <w:rPr>
                <w:rFonts w:hint="eastAsia" w:ascii="宋体" w:hAnsi="宋体" w:cs="宋体"/>
                <w:sz w:val="24"/>
              </w:rPr>
              <w:t>要求</w:t>
            </w:r>
          </w:p>
        </w:tc>
        <w:tc>
          <w:tcPr>
            <w:tcW w:w="5678" w:type="dxa"/>
            <w:tcBorders>
              <w:top w:val="single" w:color="auto" w:sz="4" w:space="0"/>
              <w:left w:val="single" w:color="auto" w:sz="4" w:space="0"/>
              <w:bottom w:val="single" w:color="auto" w:sz="4" w:space="0"/>
              <w:right w:val="single" w:color="auto" w:sz="4" w:space="0"/>
            </w:tcBorders>
            <w:vAlign w:val="center"/>
          </w:tcPr>
          <w:p>
            <w:pPr>
              <w:keepNext/>
              <w:spacing w:line="360" w:lineRule="auto"/>
              <w:rPr>
                <w:rFonts w:ascii="宋体" w:hAnsi="宋体" w:cs="宋体"/>
                <w:sz w:val="24"/>
              </w:rPr>
            </w:pPr>
            <w:r>
              <w:rPr>
                <w:rFonts w:hint="eastAsia" w:ascii="宋体" w:hAnsi="宋体" w:cs="宋体"/>
                <w:bCs/>
                <w:sz w:val="24"/>
              </w:rPr>
              <w:t>符合</w:t>
            </w:r>
            <w:r>
              <w:rPr>
                <w:rFonts w:hint="eastAsia" w:ascii="宋体" w:hAnsi="宋体" w:cs="宋体"/>
                <w:sz w:val="24"/>
              </w:rPr>
              <w:t>第二章“磋商须知”第2.1.5条的要求，其中</w:t>
            </w:r>
            <w:r>
              <w:rPr>
                <w:rFonts w:hint="eastAsia" w:ascii="宋体" w:hAnsi="宋体" w:cs="宋体"/>
                <w:kern w:val="0"/>
                <w:sz w:val="24"/>
              </w:rPr>
              <w:t>磋商申请及附录、供应商资格声明、</w:t>
            </w:r>
            <w:r>
              <w:rPr>
                <w:rFonts w:hint="eastAsia" w:ascii="宋体" w:hAnsi="宋体" w:cs="宋体"/>
                <w:sz w:val="24"/>
              </w:rPr>
              <w:t>法定代表人身份证明或授权书应由</w:t>
            </w:r>
            <w:r>
              <w:rPr>
                <w:rFonts w:hint="eastAsia" w:ascii="宋体" w:hAnsi="宋体" w:cs="宋体"/>
                <w:bCs/>
                <w:sz w:val="24"/>
              </w:rPr>
              <w:t>法定代表人或其授权代表签字（或盖章），并加盖单位章。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trPr>
        <w:tc>
          <w:tcPr>
            <w:tcW w:w="1192" w:type="dxa"/>
            <w:vMerge w:val="continue"/>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(3)</w:t>
            </w:r>
            <w:r>
              <w:rPr>
                <w:rFonts w:hint="eastAsia" w:ascii="宋体" w:hAnsi="宋体" w:cs="宋体"/>
                <w:sz w:val="24"/>
                <w:lang w:eastAsia="zh-CN"/>
              </w:rPr>
              <w:t>投标有效期符合磋商文件的要求</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192" w:type="dxa"/>
            <w:vMerge w:val="continue"/>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(4)</w:t>
            </w:r>
            <w:r>
              <w:rPr>
                <w:rFonts w:hint="eastAsia" w:ascii="宋体" w:hAnsi="宋体" w:cs="宋体"/>
                <w:sz w:val="24"/>
                <w:lang w:eastAsia="zh-CN"/>
              </w:rPr>
              <w:t>交货期</w:t>
            </w:r>
            <w:r>
              <w:rPr>
                <w:rFonts w:hint="eastAsia" w:ascii="宋体" w:hAnsi="宋体" w:cs="宋体"/>
                <w:sz w:val="24"/>
              </w:rPr>
              <w:t>符合</w:t>
            </w:r>
            <w:r>
              <w:rPr>
                <w:rFonts w:hint="eastAsia" w:ascii="宋体" w:hAnsi="宋体" w:cs="宋体"/>
                <w:sz w:val="24"/>
                <w:lang w:eastAsia="zh-CN"/>
              </w:rPr>
              <w:t>磋商文件的</w:t>
            </w:r>
            <w:r>
              <w:rPr>
                <w:rFonts w:hint="eastAsia" w:ascii="宋体" w:hAnsi="宋体" w:cs="宋体"/>
                <w:sz w:val="24"/>
              </w:rPr>
              <w:t>要求</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1192" w:type="dxa"/>
            <w:vMerge w:val="continue"/>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(5)货物质量符合</w:t>
            </w:r>
            <w:r>
              <w:rPr>
                <w:rFonts w:hint="eastAsia" w:ascii="宋体" w:hAnsi="宋体" w:cs="宋体"/>
                <w:sz w:val="24"/>
                <w:lang w:eastAsia="zh-CN"/>
              </w:rPr>
              <w:t>磋商文件的</w:t>
            </w:r>
            <w:r>
              <w:rPr>
                <w:rFonts w:hint="eastAsia" w:ascii="宋体" w:hAnsi="宋体" w:cs="宋体"/>
                <w:sz w:val="24"/>
              </w:rPr>
              <w:t>要求</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trPr>
        <w:tc>
          <w:tcPr>
            <w:tcW w:w="1192" w:type="dxa"/>
            <w:vMerge w:val="continue"/>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(6)按照</w:t>
            </w:r>
            <w:r>
              <w:rPr>
                <w:rFonts w:hint="eastAsia" w:ascii="宋体" w:hAnsi="宋体" w:cs="宋体"/>
                <w:sz w:val="24"/>
                <w:lang w:eastAsia="zh-CN"/>
              </w:rPr>
              <w:t>磋商文件</w:t>
            </w:r>
            <w:r>
              <w:rPr>
                <w:rFonts w:hint="eastAsia" w:ascii="宋体" w:hAnsi="宋体" w:cs="宋体"/>
                <w:sz w:val="24"/>
              </w:rPr>
              <w:t>规定报价只有一个有效报价且没有漏项</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lang w:eastAsia="zh-CN"/>
              </w:rPr>
              <w:t>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trPr>
        <w:tc>
          <w:tcPr>
            <w:tcW w:w="1192" w:type="dxa"/>
            <w:tcBorders>
              <w:right w:val="single" w:color="auto" w:sz="4" w:space="0"/>
            </w:tcBorders>
            <w:vAlign w:val="center"/>
          </w:tcPr>
          <w:p>
            <w:pPr>
              <w:spacing w:line="360" w:lineRule="auto"/>
              <w:rPr>
                <w:rFonts w:ascii="宋体" w:hAnsi="宋体" w:cs="宋体"/>
                <w:color w:val="00B0F0"/>
                <w:sz w:val="24"/>
              </w:rPr>
            </w:pP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）满足磋商文件实质性要求的其他情形</w:t>
            </w:r>
          </w:p>
        </w:tc>
        <w:tc>
          <w:tcPr>
            <w:tcW w:w="5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lang w:eastAsia="zh-CN"/>
              </w:rPr>
            </w:pPr>
            <w:r>
              <w:rPr>
                <w:rFonts w:hint="eastAsia" w:ascii="宋体" w:hAnsi="宋体" w:cs="宋体"/>
                <w:sz w:val="24"/>
                <w:lang w:eastAsia="zh-CN"/>
              </w:rPr>
              <w:t>符合竞争性磋商文件要求</w:t>
            </w:r>
          </w:p>
        </w:tc>
      </w:tr>
    </w:tbl>
    <w:p>
      <w:pPr>
        <w:spacing w:beforeLines="50" w:line="360" w:lineRule="auto"/>
        <w:ind w:firstLine="480" w:firstLineChars="200"/>
        <w:rPr>
          <w:rFonts w:ascii="宋体" w:hAnsi="宋体" w:cs="宋体"/>
          <w:sz w:val="24"/>
          <w:lang w:val="zh-CN"/>
        </w:rPr>
      </w:pPr>
      <w:r>
        <w:rPr>
          <w:rFonts w:hint="eastAsia" w:ascii="宋体" w:hAnsi="宋体" w:cs="宋体"/>
          <w:sz w:val="24"/>
        </w:rPr>
        <w:t>注：以上表中第(2)、(3)项中的</w:t>
      </w:r>
      <w:r>
        <w:rPr>
          <w:rFonts w:hint="eastAsia" w:ascii="宋体" w:hAnsi="宋体" w:cs="宋体"/>
          <w:kern w:val="0"/>
          <w:sz w:val="24"/>
        </w:rPr>
        <w:t>磋商申请及附录、供应商资格声明、</w:t>
      </w:r>
      <w:r>
        <w:rPr>
          <w:rFonts w:hint="eastAsia" w:ascii="宋体" w:hAnsi="宋体" w:cs="宋体"/>
          <w:sz w:val="24"/>
        </w:rPr>
        <w:t>法定代表人身份证明或授权书应将原件附于响应文件正本中。其他要求提供的</w:t>
      </w:r>
      <w:r>
        <w:rPr>
          <w:rFonts w:hint="eastAsia" w:ascii="宋体" w:hAnsi="宋体" w:cs="宋体"/>
          <w:sz w:val="24"/>
          <w:lang w:val="zh-CN"/>
        </w:rPr>
        <w:t>证明资料应将复印件附于响应文件中，或按响应文件要求提供。</w:t>
      </w:r>
    </w:p>
    <w:p>
      <w:pPr>
        <w:spacing w:beforeLines="50" w:line="360" w:lineRule="auto"/>
        <w:ind w:firstLine="420" w:firstLineChars="200"/>
        <w:rPr>
          <w:rFonts w:ascii="宋体" w:hAnsi="宋体" w:cs="宋体"/>
          <w:szCs w:val="21"/>
          <w:lang w:val="zh-CN"/>
        </w:rPr>
      </w:pPr>
    </w:p>
    <w:p>
      <w:pPr>
        <w:spacing w:beforeLines="50" w:line="360" w:lineRule="auto"/>
        <w:ind w:firstLine="420" w:firstLineChars="200"/>
        <w:rPr>
          <w:rFonts w:ascii="宋体" w:hAnsi="宋体" w:cs="宋体"/>
          <w:szCs w:val="18"/>
        </w:rPr>
      </w:pPr>
    </w:p>
    <w:p>
      <w:pPr>
        <w:pStyle w:val="2"/>
      </w:pPr>
    </w:p>
    <w:p/>
    <w:p>
      <w:pPr>
        <w:pStyle w:val="2"/>
      </w:pPr>
    </w:p>
    <w:p/>
    <w:p>
      <w:pPr>
        <w:pStyle w:val="2"/>
      </w:pPr>
    </w:p>
    <w:p/>
    <w:p>
      <w:pPr>
        <w:pStyle w:val="2"/>
      </w:pPr>
    </w:p>
    <w:p/>
    <w:p>
      <w:pPr>
        <w:pStyle w:val="4"/>
        <w:jc w:val="center"/>
        <w:rPr>
          <w:rStyle w:val="47"/>
          <w:rFonts w:ascii="宋体" w:hAnsi="宋体" w:cs="宋体"/>
          <w:b w:val="0"/>
          <w:bCs w:val="0"/>
        </w:rPr>
      </w:pPr>
      <w:bookmarkStart w:id="30" w:name="_Toc29932"/>
      <w:r>
        <w:rPr>
          <w:rStyle w:val="47"/>
          <w:rFonts w:hint="eastAsia" w:ascii="宋体" w:hAnsi="宋体" w:cs="宋体"/>
          <w:b w:val="0"/>
          <w:bCs w:val="0"/>
        </w:rPr>
        <w:t>磋商须知正文部分</w:t>
      </w:r>
      <w:bookmarkEnd w:id="30"/>
    </w:p>
    <w:p>
      <w:pPr>
        <w:pStyle w:val="4"/>
        <w:jc w:val="center"/>
        <w:rPr>
          <w:rFonts w:ascii="宋体" w:hAnsi="宋体" w:cs="宋体"/>
          <w:sz w:val="30"/>
          <w:szCs w:val="30"/>
        </w:rPr>
      </w:pPr>
      <w:bookmarkStart w:id="31" w:name="_Toc5724"/>
      <w:r>
        <w:rPr>
          <w:rFonts w:hint="eastAsia" w:ascii="宋体" w:hAnsi="宋体" w:cs="宋体"/>
          <w:sz w:val="30"/>
          <w:szCs w:val="30"/>
        </w:rPr>
        <w:t>一、说明</w:t>
      </w:r>
      <w:bookmarkEnd w:id="31"/>
    </w:p>
    <w:p>
      <w:pPr>
        <w:adjustRightInd w:val="0"/>
        <w:snapToGrid w:val="0"/>
        <w:spacing w:line="360" w:lineRule="auto"/>
        <w:rPr>
          <w:rFonts w:ascii="宋体" w:hAnsi="宋体" w:cs="宋体"/>
          <w:b/>
          <w:bCs/>
          <w:sz w:val="24"/>
        </w:rPr>
      </w:pPr>
      <w:r>
        <w:rPr>
          <w:rFonts w:hint="eastAsia" w:ascii="宋体" w:hAnsi="宋体" w:cs="宋体"/>
          <w:b/>
          <w:bCs/>
          <w:sz w:val="24"/>
        </w:rPr>
        <w:t>1.1  适用范围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1.1本磋商文件仅适用于本磋商文件中所叙述的采购项目。</w:t>
      </w:r>
    </w:p>
    <w:p>
      <w:pPr>
        <w:adjustRightInd w:val="0"/>
        <w:snapToGrid w:val="0"/>
        <w:spacing w:line="360" w:lineRule="auto"/>
        <w:rPr>
          <w:rFonts w:ascii="宋体" w:hAnsi="宋体" w:cs="宋体"/>
          <w:b/>
          <w:bCs/>
          <w:sz w:val="24"/>
        </w:rPr>
      </w:pPr>
      <w:r>
        <w:rPr>
          <w:rFonts w:hint="eastAsia" w:ascii="宋体" w:hAnsi="宋体" w:cs="宋体"/>
          <w:b/>
          <w:bCs/>
          <w:sz w:val="24"/>
        </w:rPr>
        <w:t>1.2  项目概况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见</w:t>
      </w:r>
      <w:r>
        <w:rPr>
          <w:rFonts w:hint="eastAsia" w:ascii="宋体" w:hAnsi="宋体" w:cs="宋体"/>
          <w:b/>
          <w:sz w:val="24"/>
        </w:rPr>
        <w:t>磋商须知前附表1</w:t>
      </w:r>
      <w:r>
        <w:rPr>
          <w:rFonts w:hint="eastAsia" w:ascii="宋体" w:hAnsi="宋体" w:cs="宋体"/>
          <w:sz w:val="24"/>
        </w:rPr>
        <w:t>。</w:t>
      </w:r>
    </w:p>
    <w:p>
      <w:pPr>
        <w:adjustRightInd w:val="0"/>
        <w:snapToGrid w:val="0"/>
        <w:spacing w:line="360" w:lineRule="auto"/>
        <w:rPr>
          <w:rFonts w:ascii="宋体" w:hAnsi="宋体" w:cs="宋体"/>
          <w:b/>
          <w:bCs/>
          <w:sz w:val="24"/>
        </w:rPr>
      </w:pPr>
      <w:r>
        <w:rPr>
          <w:rFonts w:hint="eastAsia" w:ascii="宋体" w:hAnsi="宋体" w:cs="宋体"/>
          <w:b/>
          <w:bCs/>
          <w:sz w:val="24"/>
        </w:rPr>
        <w:t>1.3  合格的供应商</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1.3.1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1.3.2凡为本采购项目提供整任何服务支持的的供应商，不得参加报价。</w:t>
      </w:r>
    </w:p>
    <w:p>
      <w:pPr>
        <w:spacing w:line="360" w:lineRule="auto"/>
        <w:ind w:firstLine="420"/>
        <w:rPr>
          <w:rFonts w:ascii="宋体" w:hAnsi="宋体" w:cs="宋体"/>
          <w:sz w:val="24"/>
        </w:rPr>
      </w:pPr>
      <w:r>
        <w:rPr>
          <w:rFonts w:hint="eastAsia" w:ascii="宋体" w:hAnsi="宋体" w:cs="宋体"/>
          <w:sz w:val="24"/>
        </w:rPr>
        <w:t>1.3.3一个供应商只能提交一个响应文件。但如果不同供应商之间的单位负责人为同一人或者存在直接控股、管理关系的，均作无效报价处理。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1.3.4供应商存在下列情形之一的，将被认定为围标串标串通报价行为并作无效报价处理：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（2）由同一人或分别由几个有利害关系的人携带两个以上（含两个）供应商的企业资料参与资格审查、领取磋商资料，或代表两个以上（含两个）供应商参加磋商答疑会、开标的；</w:t>
      </w:r>
    </w:p>
    <w:p>
      <w:pPr>
        <w:adjustRightInd w:val="0"/>
        <w:snapToGrid w:val="0"/>
        <w:spacing w:line="360" w:lineRule="auto"/>
        <w:ind w:firstLine="480" w:firstLineChars="200"/>
        <w:rPr>
          <w:rFonts w:ascii="宋体" w:hAnsi="宋体" w:cs="宋体"/>
          <w:color w:val="999999"/>
          <w:sz w:val="24"/>
        </w:rPr>
      </w:pPr>
      <w:r>
        <w:rPr>
          <w:rFonts w:hint="eastAsia" w:ascii="宋体" w:hAnsi="宋体" w:cs="宋体"/>
          <w:sz w:val="24"/>
        </w:rPr>
        <w:t>（3）有关法律、法规或规章规定的其他围标串标行为。</w:t>
      </w:r>
    </w:p>
    <w:p>
      <w:pPr>
        <w:adjustRightInd w:val="0"/>
        <w:snapToGrid w:val="0"/>
        <w:spacing w:line="360" w:lineRule="auto"/>
        <w:rPr>
          <w:rFonts w:ascii="宋体" w:hAnsi="宋体" w:cs="宋体"/>
          <w:b/>
          <w:bCs/>
          <w:sz w:val="24"/>
        </w:rPr>
      </w:pPr>
      <w:r>
        <w:rPr>
          <w:rFonts w:hint="eastAsia" w:ascii="宋体" w:hAnsi="宋体" w:cs="宋体"/>
          <w:b/>
          <w:bCs/>
          <w:sz w:val="24"/>
        </w:rPr>
        <w:t xml:space="preserve">1.4 参与磋商的费用 </w:t>
      </w:r>
    </w:p>
    <w:p>
      <w:pPr>
        <w:adjustRightInd w:val="0"/>
        <w:snapToGrid w:val="0"/>
        <w:spacing w:line="360" w:lineRule="auto"/>
        <w:ind w:firstLine="480" w:firstLineChars="200"/>
        <w:jc w:val="center"/>
        <w:rPr>
          <w:rFonts w:ascii="宋体" w:hAnsi="宋体" w:cs="宋体"/>
          <w:sz w:val="24"/>
        </w:rPr>
      </w:pPr>
      <w:r>
        <w:rPr>
          <w:rFonts w:hint="eastAsia" w:ascii="宋体" w:hAnsi="宋体" w:cs="宋体"/>
          <w:sz w:val="24"/>
        </w:rPr>
        <w:t>无论磋商的结果如何，供应商应自行承担所有与</w:t>
      </w:r>
      <w:r>
        <w:rPr>
          <w:rFonts w:hint="eastAsia" w:ascii="宋体" w:hAnsi="宋体" w:cs="宋体"/>
          <w:kern w:val="0"/>
          <w:sz w:val="24"/>
        </w:rPr>
        <w:t>磋商</w:t>
      </w:r>
      <w:r>
        <w:rPr>
          <w:rFonts w:hint="eastAsia" w:ascii="宋体" w:hAnsi="宋体" w:cs="宋体"/>
          <w:kern w:val="0"/>
          <w:sz w:val="24"/>
          <w:lang w:val="zh-CN"/>
        </w:rPr>
        <w:t>采购活动</w:t>
      </w:r>
      <w:r>
        <w:rPr>
          <w:rFonts w:hint="eastAsia" w:ascii="宋体" w:hAnsi="宋体" w:cs="宋体"/>
          <w:sz w:val="24"/>
        </w:rPr>
        <w:t>有关的全部费用。</w:t>
      </w:r>
      <w:bookmarkStart w:id="32" w:name="_Toc23764"/>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600" w:firstLineChars="200"/>
        <w:jc w:val="center"/>
        <w:rPr>
          <w:rFonts w:ascii="宋体" w:hAnsi="宋体" w:cs="宋体"/>
        </w:rPr>
      </w:pPr>
      <w:r>
        <w:rPr>
          <w:rFonts w:hint="eastAsia" w:ascii="宋体" w:hAnsi="宋体" w:cs="宋体"/>
          <w:sz w:val="30"/>
          <w:szCs w:val="30"/>
        </w:rPr>
        <w:t>二、磋商文件</w:t>
      </w:r>
      <w:bookmarkEnd w:id="32"/>
    </w:p>
    <w:p>
      <w:pPr>
        <w:adjustRightInd w:val="0"/>
        <w:snapToGrid w:val="0"/>
        <w:spacing w:line="360" w:lineRule="auto"/>
        <w:rPr>
          <w:rFonts w:ascii="宋体" w:hAnsi="宋体" w:cs="宋体"/>
          <w:b/>
          <w:bCs/>
          <w:sz w:val="24"/>
        </w:rPr>
      </w:pPr>
      <w:r>
        <w:rPr>
          <w:rFonts w:hint="eastAsia" w:ascii="宋体" w:hAnsi="宋体" w:cs="宋体"/>
          <w:b/>
          <w:bCs/>
          <w:sz w:val="24"/>
        </w:rPr>
        <w:t>2.1  磋商文件的组成</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（1）磋商邀请</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（2）磋商须知</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（3）合同</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（4）响应文件格式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（5）磋商方发出的所有修改、澄清通知。</w:t>
      </w:r>
    </w:p>
    <w:p>
      <w:pPr>
        <w:adjustRightInd w:val="0"/>
        <w:snapToGrid w:val="0"/>
        <w:spacing w:line="360" w:lineRule="auto"/>
        <w:rPr>
          <w:rFonts w:ascii="宋体" w:hAnsi="宋体" w:cs="宋体"/>
          <w:b/>
          <w:bCs/>
          <w:sz w:val="24"/>
        </w:rPr>
      </w:pPr>
      <w:r>
        <w:rPr>
          <w:rFonts w:hint="eastAsia" w:ascii="宋体" w:hAnsi="宋体" w:cs="宋体"/>
          <w:b/>
          <w:bCs/>
          <w:sz w:val="24"/>
        </w:rPr>
        <w:t>2.2 磋商文件的澄清</w:t>
      </w:r>
      <w:r>
        <w:rPr>
          <w:rFonts w:hint="eastAsia" w:ascii="宋体" w:hAnsi="宋体" w:cs="宋体"/>
          <w:b/>
          <w:kern w:val="0"/>
          <w:sz w:val="24"/>
          <w:lang w:val="zh-CN"/>
        </w:rPr>
        <w:t>或者</w:t>
      </w:r>
      <w:r>
        <w:rPr>
          <w:rFonts w:hint="eastAsia" w:ascii="宋体" w:hAnsi="宋体" w:cs="宋体"/>
          <w:b/>
          <w:bCs/>
          <w:sz w:val="24"/>
        </w:rPr>
        <w:t>修改</w:t>
      </w:r>
    </w:p>
    <w:p>
      <w:pPr>
        <w:adjustRightInd w:val="0"/>
        <w:snapToGrid w:val="0"/>
        <w:spacing w:line="360" w:lineRule="auto"/>
        <w:ind w:right="-105" w:rightChars="-50" w:firstLine="480" w:firstLineChars="200"/>
        <w:rPr>
          <w:rFonts w:ascii="宋体" w:hAnsi="宋体" w:cs="宋体"/>
          <w:color w:val="00B0F0"/>
          <w:sz w:val="24"/>
        </w:rPr>
      </w:pPr>
      <w:r>
        <w:rPr>
          <w:rFonts w:hint="eastAsia" w:ascii="宋体" w:hAnsi="宋体" w:cs="宋体"/>
          <w:sz w:val="24"/>
        </w:rPr>
        <w:t>2.2.1</w:t>
      </w:r>
      <w:r>
        <w:rPr>
          <w:rFonts w:hint="eastAsia" w:ascii="宋体" w:hAnsi="宋体" w:cs="宋体"/>
          <w:sz w:val="24"/>
          <w:lang w:val="zh-CN"/>
        </w:rPr>
        <w:t>供应商在收到</w:t>
      </w:r>
      <w:r>
        <w:rPr>
          <w:rFonts w:hint="eastAsia" w:ascii="宋体" w:hAnsi="宋体" w:cs="宋体"/>
          <w:sz w:val="24"/>
        </w:rPr>
        <w:t>磋商</w:t>
      </w:r>
      <w:r>
        <w:rPr>
          <w:rFonts w:hint="eastAsia" w:ascii="宋体" w:hAnsi="宋体" w:cs="宋体"/>
          <w:sz w:val="24"/>
          <w:lang w:val="zh-CN"/>
        </w:rPr>
        <w:t>文件后，若有疑问需要澄清，应于收到</w:t>
      </w:r>
      <w:r>
        <w:rPr>
          <w:rFonts w:hint="eastAsia" w:ascii="宋体" w:hAnsi="宋体" w:cs="宋体"/>
          <w:sz w:val="24"/>
        </w:rPr>
        <w:t>磋商</w:t>
      </w:r>
      <w:r>
        <w:rPr>
          <w:rFonts w:hint="eastAsia" w:ascii="宋体" w:hAnsi="宋体" w:cs="宋体"/>
          <w:sz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4"/>
        </w:rPr>
        <w:t>磋商采购活动</w:t>
      </w:r>
      <w:r>
        <w:rPr>
          <w:rFonts w:hint="eastAsia" w:ascii="宋体" w:hAnsi="宋体" w:cs="宋体"/>
          <w:sz w:val="24"/>
          <w:lang w:val="zh-CN"/>
        </w:rPr>
        <w:t>的供应商。</w:t>
      </w:r>
    </w:p>
    <w:p>
      <w:pPr>
        <w:adjustRightInd w:val="0"/>
        <w:snapToGrid w:val="0"/>
        <w:spacing w:line="360" w:lineRule="auto"/>
        <w:ind w:right="-105" w:rightChars="-50" w:firstLine="480" w:firstLineChars="200"/>
        <w:rPr>
          <w:rFonts w:ascii="宋体" w:hAnsi="宋体" w:cs="宋体"/>
          <w:sz w:val="24"/>
        </w:rPr>
      </w:pPr>
      <w:r>
        <w:rPr>
          <w:rFonts w:hint="eastAsia" w:ascii="宋体" w:hAnsi="宋体" w:cs="宋体"/>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
        <w:jc w:val="center"/>
        <w:rPr>
          <w:rFonts w:ascii="宋体" w:hAnsi="宋体" w:cs="宋体"/>
        </w:rPr>
      </w:pPr>
      <w:bookmarkStart w:id="33" w:name="_Toc29250"/>
      <w:r>
        <w:rPr>
          <w:rFonts w:hint="eastAsia" w:ascii="宋体" w:hAnsi="宋体" w:cs="宋体"/>
        </w:rPr>
        <w:t>三、响应文件</w:t>
      </w:r>
      <w:bookmarkEnd w:id="33"/>
    </w:p>
    <w:p>
      <w:pPr>
        <w:adjustRightInd w:val="0"/>
        <w:snapToGrid w:val="0"/>
        <w:spacing w:line="360" w:lineRule="auto"/>
        <w:rPr>
          <w:rFonts w:ascii="宋体" w:hAnsi="宋体" w:cs="宋体"/>
          <w:b/>
          <w:bCs/>
          <w:sz w:val="24"/>
        </w:rPr>
      </w:pPr>
      <w:r>
        <w:rPr>
          <w:rFonts w:hint="eastAsia" w:ascii="宋体" w:hAnsi="宋体" w:cs="宋体"/>
          <w:b/>
          <w:bCs/>
          <w:sz w:val="24"/>
        </w:rPr>
        <w:t>3.1 一般要求</w:t>
      </w:r>
    </w:p>
    <w:p>
      <w:pPr>
        <w:adjustRightInd w:val="0"/>
        <w:snapToGrid w:val="0"/>
        <w:spacing w:line="360" w:lineRule="auto"/>
        <w:ind w:right="-105" w:rightChars="-50" w:firstLine="480" w:firstLineChars="200"/>
        <w:rPr>
          <w:rFonts w:ascii="宋体" w:hAnsi="宋体" w:cs="宋体"/>
          <w:sz w:val="24"/>
        </w:rPr>
      </w:pPr>
      <w:r>
        <w:rPr>
          <w:rFonts w:hint="eastAsia" w:ascii="宋体" w:hAnsi="宋体" w:cs="宋体"/>
          <w:sz w:val="24"/>
        </w:rPr>
        <w:t>3.1.1 供应商应按本文件第六章“响应文件格式”的要求编制响应文件。</w:t>
      </w:r>
    </w:p>
    <w:p>
      <w:pPr>
        <w:adjustRightInd w:val="0"/>
        <w:snapToGrid w:val="0"/>
        <w:spacing w:line="360" w:lineRule="auto"/>
        <w:ind w:right="-105" w:rightChars="-50" w:firstLine="480" w:firstLineChars="200"/>
        <w:rPr>
          <w:rFonts w:ascii="宋体" w:hAnsi="宋体" w:cs="宋体"/>
          <w:sz w:val="24"/>
        </w:rPr>
      </w:pPr>
      <w:r>
        <w:rPr>
          <w:rFonts w:hint="eastAsia" w:ascii="宋体" w:hAnsi="宋体" w:cs="宋体"/>
          <w:sz w:val="24"/>
        </w:rPr>
        <w:t>3.1.2计量单位应使用我国法定计量单位。</w:t>
      </w:r>
    </w:p>
    <w:p>
      <w:pPr>
        <w:adjustRightInd w:val="0"/>
        <w:snapToGrid w:val="0"/>
        <w:spacing w:line="360" w:lineRule="auto"/>
        <w:rPr>
          <w:rFonts w:ascii="宋体" w:hAnsi="宋体" w:cs="宋体"/>
          <w:b/>
          <w:bCs/>
          <w:sz w:val="24"/>
        </w:rPr>
      </w:pPr>
      <w:r>
        <w:rPr>
          <w:rFonts w:hint="eastAsia" w:ascii="宋体" w:hAnsi="宋体" w:cs="宋体"/>
          <w:b/>
          <w:bCs/>
          <w:sz w:val="24"/>
        </w:rPr>
        <w:t xml:space="preserve">3.2 </w:t>
      </w:r>
      <w:r>
        <w:rPr>
          <w:rFonts w:hint="eastAsia" w:ascii="宋体" w:hAnsi="宋体" w:cs="宋体"/>
          <w:b/>
          <w:sz w:val="24"/>
        </w:rPr>
        <w:t>响应文件</w:t>
      </w:r>
      <w:r>
        <w:rPr>
          <w:rFonts w:hint="eastAsia" w:ascii="宋体" w:hAnsi="宋体" w:cs="宋体"/>
          <w:b/>
          <w:bCs/>
          <w:sz w:val="24"/>
        </w:rPr>
        <w:t>的组成</w:t>
      </w:r>
    </w:p>
    <w:p>
      <w:pPr>
        <w:spacing w:line="360" w:lineRule="auto"/>
        <w:rPr>
          <w:rFonts w:ascii="宋体" w:hAnsi="宋体" w:cs="宋体"/>
          <w:sz w:val="24"/>
          <w:shd w:val="clear" w:color="auto" w:fill="FFFFFF"/>
        </w:rPr>
      </w:pPr>
      <w:r>
        <w:rPr>
          <w:rFonts w:hint="eastAsia" w:ascii="宋体" w:hAnsi="宋体" w:cs="宋体"/>
          <w:sz w:val="24"/>
          <w:shd w:val="clear" w:color="auto" w:fill="FFFFFF"/>
          <w:lang w:val="zh-CN"/>
        </w:rPr>
        <w:t>一、</w:t>
      </w:r>
      <w:r>
        <w:rPr>
          <w:rFonts w:hint="eastAsia" w:ascii="宋体" w:hAnsi="宋体" w:cs="宋体"/>
          <w:sz w:val="24"/>
          <w:shd w:val="clear" w:color="auto" w:fill="FFFFFF"/>
        </w:rPr>
        <w:t>投标文件封面</w:t>
      </w:r>
    </w:p>
    <w:p>
      <w:pPr>
        <w:spacing w:line="360" w:lineRule="auto"/>
        <w:rPr>
          <w:rFonts w:ascii="宋体" w:hAnsi="宋体" w:cs="宋体"/>
          <w:sz w:val="24"/>
          <w:shd w:val="clear" w:color="auto" w:fill="FFFFFF"/>
          <w:lang w:val="zh-CN"/>
        </w:rPr>
      </w:pPr>
      <w:r>
        <w:rPr>
          <w:rFonts w:hint="eastAsia" w:ascii="宋体" w:hAnsi="宋体" w:cs="宋体"/>
          <w:sz w:val="24"/>
          <w:shd w:val="clear" w:color="auto" w:fill="FFFFFF"/>
        </w:rPr>
        <w:t>二</w:t>
      </w:r>
      <w:r>
        <w:rPr>
          <w:rFonts w:hint="eastAsia" w:ascii="宋体" w:hAnsi="宋体" w:cs="宋体"/>
          <w:sz w:val="24"/>
          <w:shd w:val="clear" w:color="auto" w:fill="FFFFFF"/>
          <w:lang w:val="zh-CN"/>
        </w:rPr>
        <w:t>、</w:t>
      </w:r>
      <w:r>
        <w:rPr>
          <w:rFonts w:hint="eastAsia" w:ascii="宋体" w:hAnsi="宋体" w:cs="宋体"/>
          <w:sz w:val="24"/>
          <w:shd w:val="clear" w:color="auto" w:fill="FFFFFF"/>
        </w:rPr>
        <w:t>资格证明文件</w:t>
      </w:r>
    </w:p>
    <w:p>
      <w:pPr>
        <w:spacing w:line="360" w:lineRule="auto"/>
        <w:rPr>
          <w:rFonts w:ascii="宋体" w:hAnsi="宋体" w:cs="宋体"/>
          <w:sz w:val="24"/>
          <w:shd w:val="clear" w:color="auto" w:fill="FFFFFF"/>
          <w:lang w:val="zh-CN"/>
        </w:rPr>
      </w:pPr>
      <w:r>
        <w:rPr>
          <w:rFonts w:hint="eastAsia" w:ascii="宋体" w:hAnsi="宋体" w:cs="宋体"/>
          <w:sz w:val="24"/>
          <w:shd w:val="clear" w:color="auto" w:fill="FFFFFF"/>
        </w:rPr>
        <w:t>三、商务报价文件</w:t>
      </w:r>
    </w:p>
    <w:p>
      <w:pPr>
        <w:spacing w:line="360" w:lineRule="auto"/>
        <w:rPr>
          <w:rFonts w:ascii="宋体" w:hAnsi="宋体" w:cs="宋体"/>
          <w:sz w:val="24"/>
          <w:shd w:val="clear" w:color="auto" w:fill="FFFFFF"/>
          <w:lang w:val="zh-CN"/>
        </w:rPr>
      </w:pPr>
      <w:r>
        <w:rPr>
          <w:rFonts w:hint="eastAsia" w:ascii="宋体" w:hAnsi="宋体" w:cs="宋体"/>
          <w:sz w:val="24"/>
          <w:shd w:val="clear" w:color="auto" w:fill="FFFFFF"/>
        </w:rPr>
        <w:t>四</w:t>
      </w:r>
      <w:r>
        <w:rPr>
          <w:rFonts w:hint="eastAsia" w:ascii="宋体" w:hAnsi="宋体" w:cs="宋体"/>
          <w:sz w:val="24"/>
          <w:shd w:val="clear" w:color="auto" w:fill="FFFFFF"/>
          <w:lang w:val="zh-CN"/>
        </w:rPr>
        <w:t>、</w:t>
      </w:r>
      <w:r>
        <w:rPr>
          <w:rFonts w:hint="eastAsia" w:ascii="宋体" w:hAnsi="宋体" w:cs="宋体"/>
          <w:sz w:val="24"/>
          <w:shd w:val="clear" w:color="auto" w:fill="FFFFFF"/>
        </w:rPr>
        <w:t>技术文件</w:t>
      </w:r>
    </w:p>
    <w:p>
      <w:pPr>
        <w:spacing w:line="360" w:lineRule="auto"/>
        <w:rPr>
          <w:rFonts w:ascii="宋体" w:hAnsi="宋体" w:cs="宋体"/>
          <w:sz w:val="24"/>
          <w:shd w:val="clear" w:color="auto" w:fill="FFFFFF"/>
        </w:rPr>
      </w:pPr>
      <w:r>
        <w:rPr>
          <w:rFonts w:hint="eastAsia" w:ascii="宋体" w:hAnsi="宋体" w:cs="宋体"/>
          <w:sz w:val="24"/>
          <w:shd w:val="clear" w:color="auto" w:fill="FFFFFF"/>
        </w:rPr>
        <w:t>五、项目管理机构</w:t>
      </w:r>
    </w:p>
    <w:p>
      <w:pPr>
        <w:spacing w:line="360" w:lineRule="auto"/>
        <w:rPr>
          <w:rFonts w:ascii="宋体" w:hAnsi="宋体" w:cs="宋体"/>
          <w:color w:val="0000FF"/>
          <w:sz w:val="24"/>
          <w:shd w:val="clear" w:color="auto" w:fill="FFFFFF"/>
        </w:rPr>
      </w:pPr>
    </w:p>
    <w:p>
      <w:pPr>
        <w:adjustRightInd w:val="0"/>
        <w:snapToGrid w:val="0"/>
        <w:spacing w:line="360" w:lineRule="auto"/>
        <w:rPr>
          <w:rFonts w:ascii="宋体" w:hAnsi="宋体" w:cs="宋体"/>
          <w:b/>
          <w:bCs/>
          <w:sz w:val="24"/>
        </w:rPr>
      </w:pPr>
      <w:r>
        <w:rPr>
          <w:rFonts w:hint="eastAsia" w:ascii="宋体" w:hAnsi="宋体" w:cs="宋体"/>
          <w:b/>
          <w:bCs/>
          <w:sz w:val="24"/>
        </w:rPr>
        <w:t>3.3 报价要求</w:t>
      </w:r>
    </w:p>
    <w:p>
      <w:pPr>
        <w:spacing w:line="360" w:lineRule="auto"/>
        <w:ind w:firstLine="480" w:firstLineChars="200"/>
        <w:rPr>
          <w:rFonts w:ascii="宋体" w:hAnsi="宋体" w:cs="宋体"/>
          <w:sz w:val="24"/>
        </w:rPr>
      </w:pPr>
      <w:r>
        <w:rPr>
          <w:rFonts w:hint="eastAsia" w:ascii="宋体" w:hAnsi="宋体" w:cs="宋体"/>
          <w:sz w:val="24"/>
        </w:rPr>
        <w:t>3.3.1</w:t>
      </w:r>
      <w:r>
        <w:rPr>
          <w:rFonts w:hint="eastAsia" w:ascii="宋体" w:hAnsi="宋体" w:cs="宋体"/>
          <w:sz w:val="24"/>
          <w:lang w:val="zh-CN"/>
        </w:rPr>
        <w:t>供应商应根据所提供的项目要求编制单价、合价和总价</w:t>
      </w:r>
      <w:r>
        <w:rPr>
          <w:rFonts w:hint="eastAsia" w:ascii="宋体" w:hAnsi="宋体" w:cs="宋体"/>
          <w:color w:val="000000"/>
          <w:sz w:val="24"/>
        </w:rPr>
        <w:t>，且只允许有一个报价</w:t>
      </w:r>
      <w:r>
        <w:rPr>
          <w:rFonts w:hint="eastAsia" w:ascii="宋体" w:hAnsi="宋体" w:cs="宋体"/>
          <w:sz w:val="24"/>
          <w:lang w:val="zh-CN"/>
        </w:rPr>
        <w:t>。</w:t>
      </w:r>
    </w:p>
    <w:p>
      <w:pPr>
        <w:spacing w:line="360" w:lineRule="auto"/>
        <w:ind w:firstLine="480" w:firstLineChars="200"/>
        <w:rPr>
          <w:rFonts w:ascii="宋体" w:hAnsi="宋体" w:cs="宋体"/>
          <w:sz w:val="24"/>
        </w:rPr>
      </w:pPr>
      <w:r>
        <w:rPr>
          <w:rFonts w:hint="eastAsia" w:ascii="宋体" w:hAnsi="宋体" w:cs="宋体"/>
          <w:sz w:val="24"/>
        </w:rPr>
        <w:t>3.3.2</w:t>
      </w:r>
      <w:r>
        <w:rPr>
          <w:rFonts w:hint="eastAsia" w:ascii="宋体" w:hAnsi="宋体" w:cs="宋体"/>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spacing w:line="360" w:lineRule="auto"/>
        <w:ind w:firstLine="480" w:firstLineChars="200"/>
        <w:rPr>
          <w:rFonts w:ascii="宋体" w:hAnsi="宋体" w:cs="宋体"/>
          <w:sz w:val="24"/>
        </w:rPr>
      </w:pPr>
      <w:r>
        <w:rPr>
          <w:rFonts w:hint="eastAsia" w:ascii="宋体" w:hAnsi="宋体" w:cs="宋体"/>
          <w:sz w:val="24"/>
        </w:rPr>
        <w:t>3.3.3响应文件中标明的价格在合同执行过程中是固定不变的，不得以任何理由予以变更。以可变动价格提交的报价将被认为是非实质响应采购要求而被拒绝。</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3.3.4采购项目预算见</w:t>
      </w:r>
      <w:r>
        <w:rPr>
          <w:rFonts w:hint="eastAsia" w:hAnsi="宋体" w:cs="宋体"/>
          <w:b/>
          <w:sz w:val="24"/>
          <w:szCs w:val="24"/>
        </w:rPr>
        <w:t>磋商须知前附表1</w:t>
      </w:r>
      <w:r>
        <w:rPr>
          <w:rFonts w:hint="eastAsia" w:hAnsi="宋体" w:cs="宋体"/>
          <w:sz w:val="24"/>
          <w:szCs w:val="24"/>
        </w:rPr>
        <w:t>，</w:t>
      </w:r>
      <w:r>
        <w:rPr>
          <w:rFonts w:hint="eastAsia" w:hAnsi="宋体" w:cs="宋体"/>
          <w:kern w:val="0"/>
          <w:sz w:val="24"/>
          <w:szCs w:val="24"/>
          <w:lang w:val="zh-CN"/>
        </w:rPr>
        <w:t>供应商</w:t>
      </w:r>
      <w:r>
        <w:rPr>
          <w:rFonts w:hint="eastAsia" w:hAnsi="宋体" w:cs="宋体"/>
          <w:sz w:val="24"/>
          <w:szCs w:val="24"/>
        </w:rPr>
        <w:t>的报价不得超过最高限价。否则，按无效报价处理。</w:t>
      </w:r>
    </w:p>
    <w:p>
      <w:pPr>
        <w:adjustRightInd w:val="0"/>
        <w:snapToGrid w:val="0"/>
        <w:spacing w:line="360" w:lineRule="auto"/>
        <w:rPr>
          <w:rFonts w:ascii="宋体" w:hAnsi="宋体" w:cs="宋体"/>
          <w:b/>
          <w:bCs/>
          <w:sz w:val="24"/>
        </w:rPr>
      </w:pPr>
      <w:r>
        <w:rPr>
          <w:rFonts w:hint="eastAsia" w:ascii="宋体" w:hAnsi="宋体" w:cs="宋体"/>
          <w:b/>
          <w:bCs/>
          <w:sz w:val="24"/>
        </w:rPr>
        <w:t>3.4 证明供应商资格的文件</w:t>
      </w:r>
    </w:p>
    <w:p>
      <w:pPr>
        <w:pStyle w:val="20"/>
        <w:adjustRightInd w:val="0"/>
        <w:snapToGrid w:val="0"/>
        <w:spacing w:line="360" w:lineRule="auto"/>
        <w:ind w:firstLine="480" w:firstLineChars="200"/>
        <w:rPr>
          <w:rFonts w:hAnsi="宋体" w:cs="宋体"/>
          <w:kern w:val="0"/>
          <w:sz w:val="24"/>
          <w:szCs w:val="24"/>
          <w:lang w:val="zh-CN"/>
        </w:rPr>
      </w:pPr>
      <w:r>
        <w:rPr>
          <w:rFonts w:hint="eastAsia" w:hAnsi="宋体" w:cs="宋体"/>
          <w:kern w:val="0"/>
          <w:sz w:val="24"/>
          <w:szCs w:val="24"/>
          <w:lang w:val="zh-CN"/>
        </w:rPr>
        <w:t>供应商</w:t>
      </w:r>
      <w:r>
        <w:rPr>
          <w:rFonts w:hint="eastAsia" w:hAnsi="宋体" w:cs="宋体"/>
          <w:sz w:val="24"/>
          <w:szCs w:val="24"/>
        </w:rPr>
        <w:t>应提交满足本章第1.3</w:t>
      </w:r>
      <w:r>
        <w:rPr>
          <w:rFonts w:hint="eastAsia" w:hAnsi="宋体" w:cs="宋体"/>
          <w:kern w:val="0"/>
          <w:sz w:val="24"/>
          <w:szCs w:val="24"/>
          <w:lang w:val="zh-CN"/>
        </w:rPr>
        <w:t>款</w:t>
      </w:r>
      <w:r>
        <w:rPr>
          <w:rFonts w:hint="eastAsia" w:hAnsi="宋体" w:cs="宋体"/>
          <w:sz w:val="24"/>
          <w:szCs w:val="24"/>
        </w:rPr>
        <w:t>规定的资格条件要求的证明文件,该证明文件作为响应文件的一部分。</w:t>
      </w:r>
    </w:p>
    <w:p>
      <w:pPr>
        <w:adjustRightInd w:val="0"/>
        <w:snapToGrid w:val="0"/>
        <w:spacing w:line="360" w:lineRule="auto"/>
        <w:rPr>
          <w:rFonts w:ascii="宋体" w:hAnsi="宋体" w:cs="宋体"/>
          <w:b/>
          <w:bCs/>
          <w:sz w:val="24"/>
        </w:rPr>
      </w:pPr>
      <w:r>
        <w:rPr>
          <w:rFonts w:hint="eastAsia" w:ascii="宋体" w:hAnsi="宋体" w:cs="宋体"/>
          <w:b/>
          <w:bCs/>
          <w:sz w:val="24"/>
        </w:rPr>
        <w:t>3.5磋商保证金（本项目不缴纳保证金）</w:t>
      </w:r>
    </w:p>
    <w:p>
      <w:pPr>
        <w:pStyle w:val="20"/>
        <w:adjustRightInd w:val="0"/>
        <w:snapToGrid w:val="0"/>
        <w:spacing w:line="360" w:lineRule="auto"/>
        <w:ind w:firstLine="480" w:firstLineChars="200"/>
        <w:rPr>
          <w:rFonts w:hAnsi="宋体" w:cs="宋体"/>
          <w:b/>
          <w:sz w:val="24"/>
          <w:szCs w:val="24"/>
        </w:rPr>
      </w:pPr>
      <w:r>
        <w:rPr>
          <w:rFonts w:hint="eastAsia" w:hAnsi="宋体" w:cs="宋体"/>
          <w:sz w:val="24"/>
          <w:szCs w:val="24"/>
        </w:rPr>
        <w:t>3.5.1供应商应按</w:t>
      </w:r>
      <w:r>
        <w:rPr>
          <w:rFonts w:hint="eastAsia" w:hAnsi="宋体" w:cs="宋体"/>
          <w:b/>
          <w:sz w:val="24"/>
          <w:szCs w:val="24"/>
        </w:rPr>
        <w:t>磋商须知前附表1</w:t>
      </w:r>
      <w:r>
        <w:rPr>
          <w:rFonts w:hint="eastAsia" w:hAnsi="宋体" w:cs="宋体"/>
          <w:sz w:val="24"/>
          <w:szCs w:val="24"/>
        </w:rPr>
        <w:t>的规定不提交磋商保证金，并不作为响应文件的一部分。</w:t>
      </w:r>
    </w:p>
    <w:p>
      <w:pPr>
        <w:adjustRightInd w:val="0"/>
        <w:snapToGrid w:val="0"/>
        <w:spacing w:line="360" w:lineRule="auto"/>
        <w:rPr>
          <w:rFonts w:ascii="宋体" w:hAnsi="宋体" w:cs="宋体"/>
          <w:b/>
          <w:bCs/>
          <w:sz w:val="24"/>
        </w:rPr>
      </w:pPr>
      <w:r>
        <w:rPr>
          <w:rFonts w:hint="eastAsia" w:ascii="宋体" w:hAnsi="宋体" w:cs="宋体"/>
          <w:b/>
          <w:bCs/>
          <w:sz w:val="24"/>
        </w:rPr>
        <w:t xml:space="preserve">3.6 </w:t>
      </w:r>
      <w:r>
        <w:rPr>
          <w:rFonts w:hint="eastAsia" w:ascii="宋体" w:hAnsi="宋体" w:cs="宋体"/>
          <w:sz w:val="24"/>
        </w:rPr>
        <w:t xml:space="preserve"> </w:t>
      </w:r>
      <w:r>
        <w:rPr>
          <w:rFonts w:hint="eastAsia" w:ascii="宋体" w:hAnsi="宋体" w:cs="宋体"/>
          <w:b/>
          <w:sz w:val="24"/>
        </w:rPr>
        <w:t>响应文件有效期</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3.6.1响应文件有效期见</w:t>
      </w:r>
      <w:r>
        <w:rPr>
          <w:rFonts w:hint="eastAsia" w:ascii="宋体" w:hAnsi="宋体" w:cs="宋体"/>
          <w:b/>
          <w:sz w:val="24"/>
        </w:rPr>
        <w:t>磋商须知前附表1</w:t>
      </w:r>
      <w:r>
        <w:rPr>
          <w:rFonts w:hint="eastAsia" w:ascii="宋体" w:hAnsi="宋体" w:cs="宋体"/>
          <w:sz w:val="24"/>
        </w:rPr>
        <w:t>，响应文件有效期不足的将被视为无效响应，并予以拒绝。</w:t>
      </w:r>
    </w:p>
    <w:p>
      <w:pPr>
        <w:adjustRightInd w:val="0"/>
        <w:snapToGrid w:val="0"/>
        <w:spacing w:line="360" w:lineRule="auto"/>
        <w:rPr>
          <w:rFonts w:ascii="宋体" w:hAnsi="宋体" w:cs="宋体"/>
          <w:b/>
          <w:bCs/>
          <w:color w:val="000000"/>
          <w:sz w:val="24"/>
        </w:rPr>
      </w:pPr>
      <w:r>
        <w:rPr>
          <w:rFonts w:hint="eastAsia" w:ascii="宋体" w:hAnsi="宋体" w:cs="宋体"/>
          <w:b/>
          <w:bCs/>
          <w:sz w:val="24"/>
        </w:rPr>
        <w:t xml:space="preserve">3.7 </w:t>
      </w:r>
      <w:r>
        <w:rPr>
          <w:rFonts w:hint="eastAsia" w:ascii="宋体" w:hAnsi="宋体" w:cs="宋体"/>
          <w:b/>
          <w:bCs/>
          <w:color w:val="000000"/>
          <w:sz w:val="24"/>
        </w:rPr>
        <w:t>响应文件的签署及规定</w:t>
      </w:r>
    </w:p>
    <w:p>
      <w:pPr>
        <w:pStyle w:val="20"/>
        <w:adjustRightInd w:val="0"/>
        <w:snapToGrid w:val="0"/>
        <w:spacing w:line="360" w:lineRule="auto"/>
        <w:ind w:firstLine="480" w:firstLineChars="200"/>
        <w:rPr>
          <w:rFonts w:hAnsi="宋体" w:cs="宋体"/>
          <w:color w:val="000000"/>
          <w:sz w:val="24"/>
          <w:szCs w:val="24"/>
        </w:rPr>
      </w:pPr>
      <w:r>
        <w:rPr>
          <w:rFonts w:hint="eastAsia" w:hAnsi="宋体" w:cs="宋体"/>
          <w:color w:val="000000"/>
          <w:sz w:val="24"/>
          <w:szCs w:val="24"/>
        </w:rPr>
        <w:t>3.7.1供应商应提供响应文件份数见</w:t>
      </w:r>
      <w:r>
        <w:rPr>
          <w:rFonts w:hint="eastAsia" w:hAnsi="宋体" w:cs="宋体"/>
          <w:b/>
          <w:color w:val="000000"/>
          <w:sz w:val="24"/>
          <w:szCs w:val="24"/>
        </w:rPr>
        <w:t>磋商须知前附表1</w:t>
      </w:r>
      <w:r>
        <w:rPr>
          <w:rFonts w:hint="eastAsia" w:hAnsi="宋体" w:cs="宋体"/>
          <w:color w:val="000000"/>
          <w:sz w:val="24"/>
          <w:szCs w:val="24"/>
        </w:rPr>
        <w:t>。</w:t>
      </w:r>
    </w:p>
    <w:p>
      <w:pPr>
        <w:spacing w:line="360" w:lineRule="auto"/>
        <w:ind w:firstLine="480" w:firstLineChars="200"/>
        <w:rPr>
          <w:rFonts w:ascii="宋体" w:hAnsi="宋体"/>
          <w:b/>
          <w:sz w:val="24"/>
        </w:rPr>
      </w:pPr>
      <w:r>
        <w:rPr>
          <w:rFonts w:hint="eastAsia" w:ascii="宋体" w:hAnsi="宋体" w:cs="宋体"/>
          <w:color w:val="000000"/>
          <w:sz w:val="24"/>
          <w:lang w:val="zh-CN"/>
        </w:rPr>
        <w:t>3.7.2</w:t>
      </w:r>
      <w:r>
        <w:rPr>
          <w:rFonts w:hint="eastAsia" w:ascii="宋体" w:hAnsi="宋体" w:cs="宋体"/>
          <w:color w:val="FF0000"/>
          <w:sz w:val="24"/>
          <w:lang w:val="zh-CN"/>
        </w:rPr>
        <w:t xml:space="preserve"> </w:t>
      </w:r>
      <w:r>
        <w:rPr>
          <w:rFonts w:hint="eastAsia" w:ascii="宋体" w:hAnsi="宋体"/>
          <w:sz w:val="24"/>
        </w:rPr>
        <w:t>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pPr>
        <w:pStyle w:val="4"/>
        <w:jc w:val="center"/>
        <w:rPr>
          <w:rFonts w:ascii="宋体" w:hAnsi="宋体" w:cs="宋体"/>
        </w:rPr>
      </w:pPr>
      <w:bookmarkStart w:id="34" w:name="_Toc31717"/>
      <w:r>
        <w:rPr>
          <w:rFonts w:hint="eastAsia" w:ascii="宋体" w:hAnsi="宋体" w:cs="宋体"/>
        </w:rPr>
        <w:t>四、响应文件的递交</w:t>
      </w:r>
      <w:bookmarkEnd w:id="34"/>
    </w:p>
    <w:p>
      <w:pPr>
        <w:adjustRightInd w:val="0"/>
        <w:snapToGrid w:val="0"/>
        <w:spacing w:line="360" w:lineRule="auto"/>
        <w:rPr>
          <w:rFonts w:ascii="宋体" w:hAnsi="宋体" w:cs="宋体"/>
          <w:b/>
          <w:bCs/>
          <w:sz w:val="24"/>
        </w:rPr>
      </w:pPr>
      <w:r>
        <w:rPr>
          <w:rFonts w:hint="eastAsia" w:ascii="宋体" w:hAnsi="宋体" w:cs="宋体"/>
          <w:b/>
          <w:bCs/>
          <w:sz w:val="24"/>
        </w:rPr>
        <w:t xml:space="preserve">4.1 </w:t>
      </w:r>
      <w:r>
        <w:rPr>
          <w:rFonts w:hint="eastAsia" w:ascii="宋体" w:hAnsi="宋体" w:cs="宋体"/>
          <w:b/>
          <w:sz w:val="24"/>
        </w:rPr>
        <w:t>响应文件</w:t>
      </w:r>
      <w:r>
        <w:rPr>
          <w:rFonts w:hint="eastAsia" w:ascii="宋体" w:hAnsi="宋体" w:cs="宋体"/>
          <w:b/>
          <w:bCs/>
          <w:sz w:val="24"/>
        </w:rPr>
        <w:t>的密封和标记</w:t>
      </w:r>
    </w:p>
    <w:p>
      <w:pPr>
        <w:spacing w:line="360" w:lineRule="auto"/>
        <w:ind w:firstLine="480" w:firstLineChars="200"/>
        <w:rPr>
          <w:rFonts w:ascii="宋体" w:hAnsi="宋体" w:cs="宋体"/>
          <w:sz w:val="24"/>
        </w:rPr>
      </w:pPr>
      <w:r>
        <w:rPr>
          <w:rFonts w:hint="eastAsia" w:ascii="宋体" w:hAnsi="宋体" w:cs="宋体"/>
          <w:sz w:val="24"/>
        </w:rPr>
        <w:t>4.1.1投标人应按磋商文件要求制作响应文件，在投标截止时间前将封装好的响应文件递交至指定地点。投标人在投标截止时间前，可以对其所递交的响应文件进行修改，以投标截止时间前递交的投标文件为有效投标文件。逾期送达的或者未送达指定地点的投标文件，招标人将予以拒收。</w:t>
      </w:r>
    </w:p>
    <w:p>
      <w:pPr>
        <w:spacing w:line="360" w:lineRule="auto"/>
        <w:ind w:firstLine="480" w:firstLineChars="200"/>
        <w:rPr>
          <w:rFonts w:ascii="宋体" w:hAnsi="宋体" w:cs="宋体"/>
          <w:sz w:val="24"/>
        </w:rPr>
      </w:pPr>
      <w:r>
        <w:rPr>
          <w:rFonts w:hint="eastAsia" w:ascii="宋体" w:hAnsi="宋体" w:cs="宋体"/>
          <w:sz w:val="24"/>
        </w:rPr>
        <w:t>4.1.2响应文件应封装在信封中。封口处加盖投标人公章，封皮上注明项目编号、包号、项目名称、投标人名称。</w:t>
      </w:r>
    </w:p>
    <w:p>
      <w:pPr>
        <w:spacing w:line="360" w:lineRule="auto"/>
        <w:ind w:firstLine="480" w:firstLineChars="200"/>
        <w:rPr>
          <w:rFonts w:ascii="宋体" w:hAnsi="宋体" w:cs="宋体"/>
          <w:sz w:val="24"/>
        </w:rPr>
      </w:pPr>
      <w:r>
        <w:rPr>
          <w:rFonts w:hint="eastAsia" w:ascii="宋体" w:hAnsi="宋体" w:cs="宋体"/>
          <w:sz w:val="24"/>
        </w:rPr>
        <w:t>投标人认为有必要提交的其他资料请于投标截止时间前一并提交。</w:t>
      </w:r>
    </w:p>
    <w:p>
      <w:pPr>
        <w:spacing w:line="360" w:lineRule="auto"/>
        <w:ind w:firstLine="480" w:firstLineChars="200"/>
        <w:rPr>
          <w:rFonts w:ascii="宋体" w:hAnsi="宋体" w:cs="宋体"/>
          <w:sz w:val="24"/>
        </w:rPr>
      </w:pPr>
      <w:r>
        <w:rPr>
          <w:rFonts w:hint="eastAsia" w:ascii="宋体" w:hAnsi="宋体" w:cs="宋体"/>
          <w:sz w:val="24"/>
        </w:rPr>
        <w:t>4.1.3如果投标人未按上述要求密封及加写标记，采购代理机构对投标文件的误投和提前启封概不负责。对由此造成提前开封的投标文件，采购代理机构有权予以拒绝，并退回投标人。</w:t>
      </w:r>
    </w:p>
    <w:p>
      <w:pPr>
        <w:adjustRightInd w:val="0"/>
        <w:snapToGrid w:val="0"/>
        <w:spacing w:line="360" w:lineRule="auto"/>
        <w:rPr>
          <w:rFonts w:ascii="宋体" w:hAnsi="宋体" w:cs="宋体"/>
          <w:b/>
          <w:bCs/>
          <w:sz w:val="24"/>
        </w:rPr>
      </w:pPr>
      <w:r>
        <w:rPr>
          <w:rFonts w:hint="eastAsia" w:ascii="宋体" w:hAnsi="宋体" w:cs="宋体"/>
          <w:b/>
          <w:bCs/>
          <w:sz w:val="24"/>
        </w:rPr>
        <w:t>4.2响应文件的递交</w:t>
      </w:r>
    </w:p>
    <w:p>
      <w:pPr>
        <w:spacing w:line="360" w:lineRule="auto"/>
        <w:ind w:firstLine="480" w:firstLineChars="200"/>
        <w:rPr>
          <w:rFonts w:ascii="宋体" w:hAnsi="宋体" w:cs="宋体"/>
          <w:sz w:val="24"/>
        </w:rPr>
      </w:pPr>
      <w:r>
        <w:rPr>
          <w:rFonts w:hint="eastAsia" w:ascii="宋体" w:hAnsi="宋体" w:cs="宋体"/>
          <w:sz w:val="24"/>
        </w:rPr>
        <w:t>4.2.1投标人应当在磋商文件要求提交响应文件的截止时间前将响应文件密封送达指定开标地点。</w:t>
      </w:r>
    </w:p>
    <w:p>
      <w:pPr>
        <w:spacing w:line="360" w:lineRule="auto"/>
        <w:ind w:firstLine="480" w:firstLineChars="200"/>
        <w:rPr>
          <w:rFonts w:ascii="宋体" w:hAnsi="宋体" w:cs="宋体"/>
          <w:color w:val="00B0F0"/>
          <w:sz w:val="24"/>
        </w:rPr>
      </w:pPr>
      <w:r>
        <w:rPr>
          <w:rFonts w:hint="eastAsia" w:ascii="宋体" w:hAnsi="宋体" w:cs="宋体"/>
          <w:sz w:val="24"/>
          <w:lang w:val="zh-CN"/>
        </w:rPr>
        <w:t>4.2.2</w:t>
      </w:r>
      <w:r>
        <w:rPr>
          <w:rFonts w:hint="eastAsia" w:ascii="宋体" w:hAnsi="宋体" w:cs="宋体"/>
          <w:sz w:val="24"/>
        </w:rPr>
        <w:t>在磋商文件要求提交响应文件的截止时间之后送达的投标文件，为无效投标文件，招标人将拒绝接收。</w:t>
      </w:r>
    </w:p>
    <w:p>
      <w:pPr>
        <w:adjustRightInd w:val="0"/>
        <w:snapToGrid w:val="0"/>
        <w:spacing w:line="360" w:lineRule="auto"/>
        <w:rPr>
          <w:rFonts w:ascii="宋体" w:hAnsi="宋体" w:cs="宋体"/>
          <w:b/>
          <w:bCs/>
          <w:sz w:val="24"/>
        </w:rPr>
      </w:pPr>
      <w:r>
        <w:rPr>
          <w:rFonts w:hint="eastAsia" w:ascii="宋体" w:hAnsi="宋体" w:cs="宋体"/>
          <w:b/>
          <w:bCs/>
          <w:sz w:val="24"/>
        </w:rPr>
        <w:t>4.3响应文件的</w:t>
      </w:r>
      <w:r>
        <w:rPr>
          <w:rFonts w:hint="eastAsia" w:ascii="宋体" w:hAnsi="宋体" w:cs="宋体"/>
          <w:b/>
          <w:kern w:val="0"/>
          <w:sz w:val="24"/>
          <w:lang w:val="zh-CN"/>
        </w:rPr>
        <w:t>补充、修改或者撤回</w:t>
      </w:r>
    </w:p>
    <w:p>
      <w:pPr>
        <w:pStyle w:val="20"/>
        <w:adjustRightInd w:val="0"/>
        <w:snapToGrid w:val="0"/>
        <w:spacing w:line="360" w:lineRule="auto"/>
        <w:ind w:firstLine="480" w:firstLineChars="200"/>
        <w:rPr>
          <w:rFonts w:hAnsi="宋体" w:cs="宋体"/>
          <w:kern w:val="0"/>
          <w:sz w:val="24"/>
          <w:szCs w:val="24"/>
          <w:lang w:val="zh-CN"/>
        </w:rPr>
      </w:pPr>
      <w:r>
        <w:rPr>
          <w:rFonts w:hint="eastAsia" w:hAnsi="宋体" w:cs="宋体"/>
          <w:sz w:val="24"/>
          <w:szCs w:val="24"/>
        </w:rPr>
        <w:t>4.3.1 投标人在递交响应文件后，可以修改或撤回其投标，但这种修改和撤回，必须在规定的投标截止时间前。在投标截止时间后，投标人不得要求修改或撤回其响应文件。</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4.3.2 在递交响应文件截止时间后，供应商不得对响应文件</w:t>
      </w:r>
      <w:r>
        <w:rPr>
          <w:rFonts w:hint="eastAsia" w:hAnsi="宋体" w:cs="宋体"/>
          <w:kern w:val="0"/>
          <w:sz w:val="24"/>
          <w:szCs w:val="24"/>
          <w:lang w:val="zh-CN"/>
        </w:rPr>
        <w:t>补充、修改或者撤回，但属于本须知5.4.2款规定的情形除外</w:t>
      </w:r>
      <w:r>
        <w:rPr>
          <w:rFonts w:hint="eastAsia" w:hAnsi="宋体" w:cs="宋体"/>
          <w:sz w:val="24"/>
          <w:szCs w:val="24"/>
        </w:rPr>
        <w:t>。</w:t>
      </w:r>
    </w:p>
    <w:p>
      <w:pPr>
        <w:pStyle w:val="4"/>
        <w:jc w:val="center"/>
        <w:rPr>
          <w:rFonts w:ascii="宋体" w:hAnsi="宋体" w:cs="宋体"/>
        </w:rPr>
      </w:pPr>
      <w:bookmarkStart w:id="35" w:name="_Toc13285"/>
      <w:r>
        <w:rPr>
          <w:rFonts w:hint="eastAsia" w:ascii="宋体" w:hAnsi="宋体" w:cs="宋体"/>
        </w:rPr>
        <w:t>五、磋商和评审</w:t>
      </w:r>
      <w:bookmarkEnd w:id="35"/>
    </w:p>
    <w:p>
      <w:pPr>
        <w:adjustRightInd w:val="0"/>
        <w:snapToGrid w:val="0"/>
        <w:spacing w:line="360" w:lineRule="auto"/>
        <w:rPr>
          <w:rFonts w:ascii="宋体" w:hAnsi="宋体" w:cs="宋体"/>
          <w:b/>
          <w:bCs/>
          <w:sz w:val="24"/>
        </w:rPr>
      </w:pPr>
      <w:r>
        <w:rPr>
          <w:rFonts w:hint="eastAsia" w:ascii="宋体" w:hAnsi="宋体" w:cs="宋体"/>
          <w:b/>
          <w:bCs/>
          <w:sz w:val="24"/>
        </w:rPr>
        <w:t>5.1 磋商仪式</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5.1.1采购机构在</w:t>
      </w:r>
      <w:r>
        <w:rPr>
          <w:rFonts w:hint="eastAsia" w:ascii="宋体" w:hAnsi="宋体" w:cs="宋体"/>
          <w:b/>
          <w:sz w:val="24"/>
        </w:rPr>
        <w:t>磋商须知前附表1</w:t>
      </w:r>
      <w:r>
        <w:rPr>
          <w:rFonts w:hint="eastAsia" w:ascii="宋体" w:hAnsi="宋体" w:cs="宋体"/>
          <w:sz w:val="24"/>
        </w:rPr>
        <w:t>规定的日期、时间和地点组织磋商仪式。供应商应派代表参加，并按要求签名报到以证明其出席。</w:t>
      </w:r>
    </w:p>
    <w:p>
      <w:pPr>
        <w:pStyle w:val="20"/>
        <w:adjustRightInd w:val="0"/>
        <w:snapToGrid w:val="0"/>
        <w:spacing w:line="360" w:lineRule="auto"/>
        <w:ind w:firstLine="480" w:firstLineChars="200"/>
        <w:rPr>
          <w:rFonts w:hAnsi="宋体" w:cs="宋体"/>
          <w:sz w:val="24"/>
          <w:szCs w:val="24"/>
        </w:rPr>
      </w:pPr>
      <w:r>
        <w:rPr>
          <w:rFonts w:hint="eastAsia" w:hAnsi="宋体" w:cs="宋体"/>
          <w:kern w:val="0"/>
          <w:sz w:val="24"/>
          <w:szCs w:val="24"/>
        </w:rPr>
        <w:t>5.1.2磋商开始时，</w:t>
      </w:r>
      <w:r>
        <w:rPr>
          <w:rFonts w:hint="eastAsia" w:hAnsi="宋体" w:cs="宋体"/>
          <w:sz w:val="24"/>
          <w:szCs w:val="24"/>
        </w:rPr>
        <w:t>由</w:t>
      </w:r>
      <w:r>
        <w:rPr>
          <w:rFonts w:hint="eastAsia" w:hAnsi="宋体" w:cs="宋体"/>
          <w:bCs/>
          <w:sz w:val="24"/>
          <w:szCs w:val="24"/>
        </w:rPr>
        <w:t>供应商或供应商代表</w:t>
      </w:r>
      <w:r>
        <w:rPr>
          <w:rFonts w:hint="eastAsia" w:hAnsi="宋体" w:cs="宋体"/>
          <w:sz w:val="24"/>
          <w:szCs w:val="24"/>
        </w:rPr>
        <w:t>当场查验响应</w:t>
      </w:r>
      <w:r>
        <w:rPr>
          <w:rFonts w:hint="eastAsia" w:hAnsi="宋体" w:cs="宋体"/>
          <w:bCs/>
          <w:sz w:val="24"/>
          <w:szCs w:val="24"/>
        </w:rPr>
        <w:t>文件</w:t>
      </w:r>
      <w:r>
        <w:rPr>
          <w:rFonts w:hint="eastAsia" w:hAnsi="宋体" w:cs="宋体"/>
          <w:sz w:val="24"/>
          <w:szCs w:val="24"/>
        </w:rPr>
        <w:t>的密封状况，</w:t>
      </w:r>
      <w:r>
        <w:rPr>
          <w:rFonts w:hint="eastAsia" w:hAnsi="宋体" w:cs="宋体"/>
          <w:bCs/>
          <w:sz w:val="24"/>
          <w:szCs w:val="24"/>
        </w:rPr>
        <w:t>采购代理机构</w:t>
      </w:r>
      <w:r>
        <w:rPr>
          <w:rFonts w:hint="eastAsia" w:hAnsi="宋体" w:cs="宋体"/>
          <w:sz w:val="24"/>
          <w:szCs w:val="24"/>
        </w:rPr>
        <w:t>拆封</w:t>
      </w:r>
      <w:r>
        <w:rPr>
          <w:rFonts w:hint="eastAsia" w:hAnsi="宋体" w:cs="宋体"/>
          <w:bCs/>
          <w:sz w:val="24"/>
          <w:szCs w:val="24"/>
        </w:rPr>
        <w:t>响应文件，公布供应商名称、报价等相关信息</w:t>
      </w:r>
      <w:r>
        <w:rPr>
          <w:rFonts w:hint="eastAsia" w:hAnsi="宋体" w:cs="宋体"/>
          <w:sz w:val="24"/>
          <w:szCs w:val="24"/>
        </w:rPr>
        <w:t>。</w:t>
      </w:r>
    </w:p>
    <w:p>
      <w:pPr>
        <w:spacing w:line="360" w:lineRule="auto"/>
        <w:ind w:firstLine="480" w:firstLineChars="200"/>
        <w:rPr>
          <w:rFonts w:ascii="宋体" w:hAnsi="宋体" w:cs="宋体"/>
          <w:sz w:val="24"/>
        </w:rPr>
      </w:pPr>
      <w:r>
        <w:rPr>
          <w:rFonts w:hint="eastAsia" w:ascii="宋体" w:hAnsi="宋体" w:cs="宋体"/>
          <w:sz w:val="24"/>
        </w:rPr>
        <w:t>5.1.3 除了存在以下情形的响应文件之外，磋商开始时将不得拒绝任何报价。</w:t>
      </w:r>
    </w:p>
    <w:p>
      <w:pPr>
        <w:spacing w:line="360" w:lineRule="auto"/>
        <w:ind w:firstLine="480" w:firstLineChars="200"/>
        <w:rPr>
          <w:rFonts w:ascii="宋体" w:hAnsi="宋体" w:cs="宋体"/>
          <w:sz w:val="24"/>
        </w:rPr>
      </w:pPr>
      <w:r>
        <w:rPr>
          <w:rFonts w:hint="eastAsia" w:ascii="宋体" w:hAnsi="宋体" w:cs="宋体"/>
          <w:sz w:val="24"/>
        </w:rPr>
        <w:t>(1)未按磋商邀请要求报名和获取磋商文件，并提交相关资料的；</w:t>
      </w:r>
    </w:p>
    <w:p>
      <w:pPr>
        <w:spacing w:line="360" w:lineRule="auto"/>
        <w:ind w:firstLine="480" w:firstLineChars="200"/>
        <w:rPr>
          <w:rFonts w:ascii="宋体" w:hAnsi="宋体" w:cs="宋体"/>
          <w:sz w:val="24"/>
        </w:rPr>
      </w:pPr>
      <w:r>
        <w:rPr>
          <w:rFonts w:hint="eastAsia" w:ascii="宋体" w:hAnsi="宋体" w:cs="宋体"/>
          <w:sz w:val="24"/>
        </w:rPr>
        <w:t>(2)未按磋商须知第5.1.1项规定提交响应文件，并出席磋商仪式的；</w:t>
      </w:r>
    </w:p>
    <w:p>
      <w:pPr>
        <w:spacing w:line="360" w:lineRule="auto"/>
        <w:ind w:firstLine="480" w:firstLineChars="200"/>
        <w:rPr>
          <w:rFonts w:ascii="宋体" w:hAnsi="宋体" w:cs="宋体"/>
          <w:sz w:val="24"/>
        </w:rPr>
      </w:pPr>
      <w:r>
        <w:rPr>
          <w:rFonts w:hint="eastAsia" w:ascii="宋体" w:hAnsi="宋体" w:cs="宋体"/>
          <w:sz w:val="24"/>
        </w:rPr>
        <w:t>(3)未按磋商须知第4.1项要求对响应文件进行密封和加写标记的；</w:t>
      </w:r>
    </w:p>
    <w:p>
      <w:pPr>
        <w:spacing w:line="360" w:lineRule="auto"/>
        <w:ind w:firstLine="480" w:firstLineChars="200"/>
        <w:rPr>
          <w:rFonts w:ascii="宋体" w:hAnsi="宋体" w:cs="宋体"/>
          <w:sz w:val="24"/>
        </w:rPr>
      </w:pPr>
      <w:r>
        <w:rPr>
          <w:rFonts w:hint="eastAsia" w:ascii="宋体" w:hAnsi="宋体" w:cs="宋体"/>
          <w:sz w:val="24"/>
        </w:rPr>
        <w:t>(4)响应文件的递交、修改或撤回不符合磋商须知第4.2、4.3项规定的。</w:t>
      </w:r>
    </w:p>
    <w:p>
      <w:pPr>
        <w:adjustRightInd w:val="0"/>
        <w:snapToGrid w:val="0"/>
        <w:spacing w:line="360" w:lineRule="auto"/>
        <w:rPr>
          <w:rFonts w:ascii="宋体" w:hAnsi="宋体" w:cs="宋体"/>
          <w:b/>
          <w:bCs/>
          <w:sz w:val="24"/>
        </w:rPr>
      </w:pPr>
      <w:r>
        <w:rPr>
          <w:rFonts w:hint="eastAsia" w:ascii="宋体" w:hAnsi="宋体" w:cs="宋体"/>
          <w:b/>
          <w:bCs/>
          <w:sz w:val="24"/>
        </w:rPr>
        <w:t>5.2 磋商小组</w:t>
      </w:r>
    </w:p>
    <w:p>
      <w:pPr>
        <w:adjustRightInd w:val="0"/>
        <w:snapToGrid w:val="0"/>
        <w:spacing w:line="360" w:lineRule="auto"/>
        <w:ind w:firstLine="480" w:firstLineChars="200"/>
        <w:jc w:val="left"/>
        <w:rPr>
          <w:rFonts w:ascii="宋体" w:hAnsi="宋体" w:cs="宋体"/>
          <w:sz w:val="24"/>
        </w:rPr>
      </w:pPr>
      <w:r>
        <w:rPr>
          <w:rFonts w:hint="eastAsia" w:ascii="宋体" w:hAnsi="宋体" w:cs="宋体"/>
          <w:bCs/>
          <w:sz w:val="24"/>
        </w:rPr>
        <w:t>磋商小组将根据采购项目的特点依法组建，磋商小组的组成见</w:t>
      </w:r>
      <w:r>
        <w:rPr>
          <w:rFonts w:hint="eastAsia" w:ascii="宋体" w:hAnsi="宋体" w:cs="宋体"/>
          <w:b/>
          <w:sz w:val="24"/>
        </w:rPr>
        <w:t>磋商须知前附表1</w:t>
      </w:r>
      <w:r>
        <w:rPr>
          <w:rFonts w:hint="eastAsia" w:ascii="宋体" w:hAnsi="宋体" w:cs="宋体"/>
          <w:sz w:val="24"/>
        </w:rPr>
        <w:t>。</w:t>
      </w:r>
    </w:p>
    <w:p>
      <w:pPr>
        <w:spacing w:line="360" w:lineRule="auto"/>
        <w:rPr>
          <w:rFonts w:ascii="宋体" w:hAnsi="宋体" w:cs="宋体"/>
          <w:sz w:val="24"/>
        </w:rPr>
      </w:pPr>
      <w:r>
        <w:rPr>
          <w:rFonts w:hint="eastAsia" w:ascii="宋体" w:hAnsi="宋体" w:cs="宋体"/>
          <w:b/>
          <w:bCs/>
          <w:sz w:val="24"/>
        </w:rPr>
        <w:t xml:space="preserve">5.3  </w:t>
      </w:r>
      <w:r>
        <w:rPr>
          <w:rFonts w:hint="eastAsia" w:ascii="宋体" w:hAnsi="宋体" w:cs="宋体"/>
          <w:b/>
          <w:sz w:val="24"/>
        </w:rPr>
        <w:t>响应文件的初步评审与澄清</w:t>
      </w:r>
    </w:p>
    <w:p>
      <w:pPr>
        <w:spacing w:line="360" w:lineRule="auto"/>
        <w:ind w:firstLine="480" w:firstLineChars="200"/>
        <w:rPr>
          <w:rFonts w:ascii="宋体" w:hAnsi="宋体" w:cs="宋体"/>
          <w:sz w:val="24"/>
        </w:rPr>
      </w:pPr>
      <w:r>
        <w:rPr>
          <w:rFonts w:hint="eastAsia" w:ascii="宋体" w:hAnsi="宋体" w:cs="宋体"/>
          <w:sz w:val="24"/>
        </w:rPr>
        <w:t> 5.3.1响应文件的初步评审分为资格性检查、符合性检查。</w:t>
      </w:r>
    </w:p>
    <w:p>
      <w:pPr>
        <w:spacing w:line="360" w:lineRule="auto"/>
        <w:ind w:firstLine="480" w:firstLineChars="200"/>
        <w:rPr>
          <w:rFonts w:ascii="宋体" w:hAnsi="宋体" w:cs="宋体"/>
          <w:sz w:val="24"/>
        </w:rPr>
      </w:pPr>
      <w:r>
        <w:rPr>
          <w:rFonts w:hint="eastAsia" w:ascii="宋体" w:hAnsi="宋体" w:cs="宋体"/>
          <w:sz w:val="24"/>
        </w:rPr>
        <w:t>（1）资格性检查指依据法律、法规和磋商文件的规定，对响应文件资格证明、等进行审查，以确定供应商是否具备报价资格。详细评审标准见</w:t>
      </w:r>
      <w:r>
        <w:rPr>
          <w:rFonts w:hint="eastAsia" w:ascii="宋体" w:hAnsi="宋体" w:cs="宋体"/>
          <w:b/>
          <w:sz w:val="24"/>
        </w:rPr>
        <w:t>磋商须知前附表2</w:t>
      </w:r>
      <w:r>
        <w:rPr>
          <w:rFonts w:hint="eastAsia" w:ascii="宋体" w:hAnsi="宋体" w:cs="宋体"/>
          <w:sz w:val="24"/>
        </w:rPr>
        <w:t>。</w:t>
      </w:r>
    </w:p>
    <w:p>
      <w:pPr>
        <w:spacing w:line="360" w:lineRule="auto"/>
        <w:ind w:firstLine="472" w:firstLineChars="200"/>
        <w:rPr>
          <w:rFonts w:ascii="宋体" w:hAnsi="宋体" w:cs="宋体"/>
          <w:spacing w:val="-2"/>
          <w:sz w:val="24"/>
        </w:rPr>
      </w:pPr>
      <w:r>
        <w:rPr>
          <w:rFonts w:hint="eastAsia" w:ascii="宋体" w:hAnsi="宋体" w:cs="宋体"/>
          <w:spacing w:val="-2"/>
          <w:sz w:val="24"/>
        </w:rPr>
        <w:t>（2）符合性检查依据磋商文件的规定，从响应文件的有效性、完整性和对磋商文件的响应程度进行审查，以确定是否对磋商文件的实质性要求作出响应。详细评审标准见</w:t>
      </w:r>
      <w:r>
        <w:rPr>
          <w:rFonts w:hint="eastAsia" w:ascii="宋体" w:hAnsi="宋体" w:cs="宋体"/>
          <w:b/>
          <w:spacing w:val="-2"/>
          <w:sz w:val="24"/>
        </w:rPr>
        <w:t>磋商须知前附表2</w:t>
      </w:r>
      <w:r>
        <w:rPr>
          <w:rFonts w:hint="eastAsia" w:ascii="宋体" w:hAnsi="宋体" w:cs="宋体"/>
          <w:spacing w:val="-2"/>
          <w:sz w:val="24"/>
        </w:rPr>
        <w:t>。</w:t>
      </w:r>
    </w:p>
    <w:p>
      <w:pPr>
        <w:spacing w:line="360" w:lineRule="auto"/>
        <w:ind w:firstLine="480" w:firstLineChars="200"/>
        <w:rPr>
          <w:rFonts w:ascii="宋体" w:hAnsi="宋体" w:cs="宋体"/>
          <w:sz w:val="24"/>
        </w:rPr>
      </w:pPr>
      <w:r>
        <w:rPr>
          <w:rFonts w:hint="eastAsia" w:ascii="宋体" w:hAnsi="宋体" w:cs="宋体"/>
          <w:sz w:val="24"/>
        </w:rPr>
        <w:t>5.3.2 响应文件的澄清</w:t>
      </w:r>
    </w:p>
    <w:p>
      <w:pPr>
        <w:autoSpaceDE w:val="0"/>
        <w:autoSpaceDN w:val="0"/>
        <w:adjustRightInd w:val="0"/>
        <w:snapToGrid w:val="0"/>
        <w:spacing w:line="360" w:lineRule="auto"/>
        <w:ind w:firstLine="480" w:firstLineChars="200"/>
        <w:rPr>
          <w:rFonts w:ascii="宋体" w:hAnsi="宋体" w:cs="宋体"/>
          <w:kern w:val="0"/>
          <w:sz w:val="24"/>
          <w:lang w:val="zh-CN"/>
        </w:rPr>
      </w:pPr>
      <w:r>
        <w:rPr>
          <w:rFonts w:hint="eastAsia" w:ascii="宋体" w:hAnsi="宋体" w:cs="宋体"/>
          <w:bCs/>
          <w:sz w:val="24"/>
        </w:rPr>
        <w:t xml:space="preserve">（1） </w:t>
      </w:r>
      <w:r>
        <w:rPr>
          <w:rFonts w:hint="eastAsia" w:ascii="宋体" w:hAnsi="宋体" w:cs="宋体"/>
          <w:kern w:val="0"/>
          <w:sz w:val="24"/>
          <w:lang w:val="zh-CN"/>
        </w:rPr>
        <w:t>磋商小组在对响应文件的有效性、完整性和对磋商文件的响应程度进行审查时，可以要求供应商对响应文件中含义不明</w:t>
      </w:r>
      <w:r>
        <w:rPr>
          <w:rFonts w:hint="eastAsia" w:ascii="宋体" w:hAnsi="宋体" w:cs="宋体"/>
          <w:bCs/>
          <w:sz w:val="24"/>
        </w:rPr>
        <w:t>确</w:t>
      </w:r>
      <w:r>
        <w:rPr>
          <w:rFonts w:hint="eastAsia" w:ascii="宋体" w:hAnsi="宋体" w:cs="宋体"/>
          <w:kern w:val="0"/>
          <w:sz w:val="24"/>
          <w:lang w:val="zh-CN"/>
        </w:rPr>
        <w:t>、同类问题表述不一致或者有明显文字和计算错误的内容等作出必要的澄清、说明或者纠正。该要求</w:t>
      </w:r>
      <w:r>
        <w:rPr>
          <w:rFonts w:hint="eastAsia" w:ascii="宋体" w:hAnsi="宋体" w:cs="宋体"/>
          <w:sz w:val="24"/>
        </w:rPr>
        <w:t>应当以</w:t>
      </w:r>
      <w:r>
        <w:rPr>
          <w:rFonts w:hint="eastAsia" w:ascii="宋体" w:hAnsi="宋体" w:cs="宋体"/>
          <w:kern w:val="0"/>
          <w:sz w:val="24"/>
          <w:lang w:val="zh-CN"/>
        </w:rPr>
        <w:t>书面形式作出。供应商的澄清、说明或者补正应当采用书面形式，由其</w:t>
      </w:r>
      <w:r>
        <w:rPr>
          <w:rFonts w:hint="eastAsia" w:ascii="宋体" w:hAnsi="宋体" w:cs="宋体"/>
          <w:sz w:val="24"/>
        </w:rPr>
        <w:t>法定代表人或其授权代表</w:t>
      </w:r>
      <w:r>
        <w:rPr>
          <w:rFonts w:hint="eastAsia" w:ascii="宋体" w:hAnsi="宋体" w:cs="宋体"/>
          <w:bCs/>
          <w:sz w:val="24"/>
        </w:rPr>
        <w:t>签字</w:t>
      </w:r>
      <w:r>
        <w:rPr>
          <w:rFonts w:hint="eastAsia" w:ascii="宋体" w:hAnsi="宋体" w:cs="宋体"/>
          <w:kern w:val="0"/>
          <w:sz w:val="24"/>
          <w:lang w:val="zh-CN"/>
        </w:rPr>
        <w:t>。供应商的澄清、说明或者更正不得超出磋商文件的范围或者改变响应文件的实质性内容。</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kern w:val="0"/>
          <w:sz w:val="24"/>
          <w:lang w:val="zh-CN"/>
        </w:rPr>
        <w:t>计算</w:t>
      </w:r>
      <w:r>
        <w:rPr>
          <w:rFonts w:hint="eastAsia" w:ascii="宋体" w:hAnsi="宋体" w:cs="宋体"/>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tabs>
          <w:tab w:val="left" w:pos="0"/>
        </w:tabs>
        <w:adjustRightInd w:val="0"/>
        <w:snapToGrid w:val="0"/>
        <w:spacing w:line="360" w:lineRule="auto"/>
        <w:rPr>
          <w:rFonts w:ascii="宋体" w:hAnsi="宋体" w:cs="宋体"/>
          <w:bCs/>
          <w:sz w:val="24"/>
        </w:rPr>
      </w:pPr>
      <w:r>
        <w:rPr>
          <w:rFonts w:hint="eastAsia" w:ascii="宋体" w:hAnsi="宋体" w:cs="宋体"/>
          <w:b/>
          <w:bCs/>
          <w:sz w:val="24"/>
        </w:rPr>
        <w:t>5.4 磋商、最后报价</w:t>
      </w:r>
    </w:p>
    <w:p>
      <w:pPr>
        <w:tabs>
          <w:tab w:val="left" w:pos="0"/>
        </w:tabs>
        <w:adjustRightInd w:val="0"/>
        <w:snapToGrid w:val="0"/>
        <w:spacing w:line="360" w:lineRule="auto"/>
        <w:ind w:firstLine="480" w:firstLineChars="200"/>
        <w:rPr>
          <w:rFonts w:ascii="宋体" w:hAnsi="宋体" w:cs="宋体"/>
          <w:kern w:val="0"/>
          <w:sz w:val="24"/>
          <w:lang w:val="zh-CN"/>
        </w:rPr>
      </w:pPr>
      <w:r>
        <w:rPr>
          <w:rFonts w:hint="eastAsia" w:ascii="宋体" w:hAnsi="宋体" w:cs="宋体"/>
          <w:sz w:val="24"/>
        </w:rPr>
        <w:t>5.4.1</w:t>
      </w:r>
      <w:r>
        <w:rPr>
          <w:rFonts w:hint="eastAsia" w:ascii="宋体" w:hAnsi="宋体" w:cs="宋体"/>
          <w:kern w:val="0"/>
          <w:sz w:val="24"/>
          <w:lang w:val="zh-CN"/>
        </w:rPr>
        <w:t>磋商小组所有成员按以下两种情况和程序集中与单一供应商分别进行磋商。并给予所有参加</w:t>
      </w:r>
      <w:r>
        <w:rPr>
          <w:rFonts w:hint="eastAsia" w:ascii="宋体" w:hAnsi="宋体" w:cs="宋体"/>
          <w:bCs/>
          <w:sz w:val="24"/>
        </w:rPr>
        <w:t>磋商</w:t>
      </w:r>
      <w:r>
        <w:rPr>
          <w:rFonts w:hint="eastAsia" w:ascii="宋体" w:hAnsi="宋体" w:cs="宋体"/>
          <w:kern w:val="0"/>
          <w:sz w:val="24"/>
          <w:lang w:val="zh-CN"/>
        </w:rPr>
        <w:t>的供应商相同的磋商机会。</w:t>
      </w:r>
    </w:p>
    <w:p>
      <w:pPr>
        <w:tabs>
          <w:tab w:val="left" w:pos="0"/>
        </w:tabs>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（1）第一种情况</w:t>
      </w:r>
    </w:p>
    <w:p>
      <w:pPr>
        <w:tabs>
          <w:tab w:val="left" w:pos="0"/>
        </w:tabs>
        <w:adjustRightInd w:val="0"/>
        <w:snapToGrid w:val="0"/>
        <w:spacing w:line="360" w:lineRule="auto"/>
        <w:ind w:firstLine="480" w:firstLineChars="200"/>
        <w:rPr>
          <w:rFonts w:ascii="宋体" w:hAnsi="宋体" w:cs="宋体"/>
          <w:kern w:val="0"/>
          <w:sz w:val="24"/>
          <w:highlight w:val="yellow"/>
          <w:lang w:val="zh-CN"/>
        </w:rPr>
      </w:pPr>
      <w:r>
        <w:rPr>
          <w:rFonts w:hint="eastAsia" w:ascii="宋体" w:hAnsi="宋体" w:cs="宋体"/>
          <w:sz w:val="24"/>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cs="宋体"/>
          <w:snapToGrid w:val="0"/>
          <w:kern w:val="0"/>
          <w:sz w:val="24"/>
        </w:rPr>
        <w:t>提交最后报价的供应商不得少于3家。</w:t>
      </w:r>
    </w:p>
    <w:p>
      <w:pPr>
        <w:tabs>
          <w:tab w:val="left" w:pos="0"/>
        </w:tabs>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（2）第二种情况</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最后报价是供应商响应文件的有效组成部分。</w:t>
      </w:r>
    </w:p>
    <w:p>
      <w:pPr>
        <w:pStyle w:val="35"/>
        <w:rPr>
          <w:b/>
          <w:bCs/>
        </w:rPr>
      </w:pPr>
      <w:r>
        <w:rPr>
          <w:rFonts w:hint="eastAsia" w:ascii="宋体" w:hAnsi="宋体" w:cs="宋体"/>
          <w:sz w:val="24"/>
        </w:rPr>
        <w:t xml:space="preserve">  </w:t>
      </w:r>
      <w:r>
        <w:rPr>
          <w:rFonts w:hint="eastAsia" w:ascii="宋体" w:hAnsi="宋体" w:cs="宋体"/>
          <w:b/>
          <w:bCs/>
          <w:sz w:val="24"/>
        </w:rPr>
        <w:t>本次项目采用第一种情况进行磋商。</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kern w:val="0"/>
          <w:sz w:val="24"/>
          <w:lang w:val="zh-CN"/>
        </w:rPr>
        <w:t>5.4.2</w:t>
      </w:r>
      <w:r>
        <w:rPr>
          <w:rFonts w:hint="eastAsia" w:ascii="宋体" w:hAnsi="宋体" w:cs="宋体"/>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tabs>
          <w:tab w:val="left" w:pos="0"/>
        </w:tabs>
        <w:adjustRightInd w:val="0"/>
        <w:snapToGrid w:val="0"/>
        <w:spacing w:line="360" w:lineRule="auto"/>
        <w:ind w:firstLine="480" w:firstLineChars="200"/>
        <w:rPr>
          <w:rFonts w:ascii="宋体" w:hAnsi="宋体" w:cs="宋体"/>
          <w:sz w:val="24"/>
          <w:highlight w:val="yellow"/>
        </w:rPr>
      </w:pPr>
      <w:r>
        <w:rPr>
          <w:rFonts w:hint="eastAsia" w:ascii="宋体" w:hAnsi="宋体" w:cs="宋体"/>
          <w:sz w:val="24"/>
        </w:rPr>
        <w:t>5.4.3已提交响应文件的供应商，在提交最后报价之前，可以根据磋商情况退出磋商。</w:t>
      </w:r>
    </w:p>
    <w:p>
      <w:pPr>
        <w:tabs>
          <w:tab w:val="left" w:pos="0"/>
        </w:tabs>
        <w:adjustRightInd w:val="0"/>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5.4.4磋商轮数和最后</w:t>
      </w:r>
      <w:r>
        <w:rPr>
          <w:rFonts w:hint="eastAsia" w:ascii="宋体" w:hAnsi="宋体" w:cs="宋体"/>
          <w:sz w:val="24"/>
        </w:rPr>
        <w:t>报价的要求</w:t>
      </w:r>
      <w:r>
        <w:rPr>
          <w:rFonts w:hint="eastAsia" w:ascii="宋体" w:hAnsi="宋体" w:cs="宋体"/>
          <w:sz w:val="24"/>
          <w:lang w:val="zh-CN"/>
        </w:rPr>
        <w:t>见</w:t>
      </w:r>
      <w:r>
        <w:rPr>
          <w:rFonts w:hint="eastAsia" w:ascii="宋体" w:hAnsi="宋体" w:cs="宋体"/>
          <w:b/>
          <w:sz w:val="24"/>
          <w:lang w:val="zh-CN"/>
        </w:rPr>
        <w:t>磋商须知前附表1。</w:t>
      </w:r>
    </w:p>
    <w:p>
      <w:pPr>
        <w:tabs>
          <w:tab w:val="left" w:pos="0"/>
        </w:tabs>
        <w:adjustRightInd w:val="0"/>
        <w:snapToGrid w:val="0"/>
        <w:spacing w:line="360" w:lineRule="auto"/>
        <w:rPr>
          <w:rFonts w:ascii="宋体" w:hAnsi="宋体" w:cs="宋体"/>
          <w:b/>
          <w:bCs/>
          <w:sz w:val="24"/>
        </w:rPr>
      </w:pPr>
      <w:r>
        <w:rPr>
          <w:rFonts w:hint="eastAsia" w:ascii="宋体" w:hAnsi="宋体" w:cs="宋体"/>
          <w:b/>
          <w:bCs/>
          <w:sz w:val="24"/>
        </w:rPr>
        <w:t>5.5综合评审</w:t>
      </w:r>
    </w:p>
    <w:p>
      <w:pPr>
        <w:tabs>
          <w:tab w:val="left" w:pos="0"/>
        </w:tabs>
        <w:adjustRightInd w:val="0"/>
        <w:snapToGrid w:val="0"/>
        <w:spacing w:line="360" w:lineRule="auto"/>
        <w:ind w:firstLine="480" w:firstLineChars="200"/>
        <w:rPr>
          <w:rFonts w:ascii="宋体" w:hAnsi="宋体" w:cs="宋体"/>
          <w:bCs/>
          <w:sz w:val="24"/>
        </w:rPr>
      </w:pPr>
      <w:r>
        <w:rPr>
          <w:rFonts w:hint="eastAsia" w:ascii="宋体" w:hAnsi="宋体" w:cs="宋体"/>
          <w:sz w:val="24"/>
        </w:rPr>
        <w:t>5.5.1</w:t>
      </w:r>
      <w:r>
        <w:rPr>
          <w:rFonts w:hint="eastAsia" w:ascii="宋体" w:hAnsi="宋体" w:cs="宋体"/>
          <w:bCs/>
          <w:sz w:val="24"/>
        </w:rPr>
        <w:t>评审方法</w:t>
      </w:r>
      <w:r>
        <w:rPr>
          <w:rFonts w:hint="eastAsia" w:ascii="宋体" w:hAnsi="宋体" w:cs="宋体"/>
          <w:sz w:val="24"/>
        </w:rPr>
        <w:t>：综合评分法，是指响应文件满足磋商文件全部实质性要求且按评审因素的量化指标评审得分最高的供应商为成交候选供应商的评审方法。</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bCs/>
          <w:sz w:val="24"/>
        </w:rPr>
        <w:t>5.5.2磋商小组依据磋商文件及供应商的响应文件</w:t>
      </w:r>
      <w:r>
        <w:rPr>
          <w:rFonts w:hint="eastAsia" w:ascii="宋体" w:hAnsi="宋体" w:cs="宋体"/>
          <w:sz w:val="24"/>
        </w:rPr>
        <w:t>和</w:t>
      </w:r>
      <w:r>
        <w:rPr>
          <w:rFonts w:hint="eastAsia" w:ascii="宋体" w:hAnsi="宋体" w:cs="宋体"/>
          <w:kern w:val="0"/>
          <w:sz w:val="24"/>
          <w:lang w:val="zh-CN"/>
        </w:rPr>
        <w:t>最后报价</w:t>
      </w:r>
      <w:r>
        <w:rPr>
          <w:rFonts w:hint="eastAsia" w:ascii="宋体" w:hAnsi="宋体" w:cs="宋体"/>
          <w:bCs/>
          <w:sz w:val="24"/>
        </w:rPr>
        <w:t>，对响应文件的商务和技术部分进行进一步的比较和评价，详细</w:t>
      </w:r>
      <w:r>
        <w:rPr>
          <w:rFonts w:hint="eastAsia" w:ascii="宋体" w:hAnsi="宋体" w:cs="宋体"/>
          <w:sz w:val="24"/>
        </w:rPr>
        <w:t>评审标准见</w:t>
      </w:r>
      <w:r>
        <w:rPr>
          <w:rFonts w:hint="eastAsia" w:ascii="宋体" w:hAnsi="宋体" w:cs="宋体"/>
          <w:b/>
          <w:bCs/>
          <w:sz w:val="24"/>
        </w:rPr>
        <w:t>第三章评审方法</w:t>
      </w:r>
      <w:r>
        <w:rPr>
          <w:rFonts w:hint="eastAsia" w:ascii="宋体" w:hAnsi="宋体" w:cs="宋体"/>
          <w:bCs/>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tabs>
          <w:tab w:val="left" w:pos="0"/>
        </w:tabs>
        <w:adjustRightInd w:val="0"/>
        <w:snapToGrid w:val="0"/>
        <w:spacing w:line="360" w:lineRule="auto"/>
        <w:ind w:firstLine="480" w:firstLineChars="200"/>
        <w:rPr>
          <w:rFonts w:ascii="宋体" w:hAnsi="宋体" w:cs="宋体"/>
          <w:kern w:val="0"/>
          <w:sz w:val="24"/>
          <w:lang w:val="zh-CN"/>
        </w:rPr>
      </w:pPr>
      <w:r>
        <w:rPr>
          <w:rFonts w:hint="eastAsia" w:ascii="宋体" w:hAnsi="宋体" w:cs="宋体"/>
          <w:sz w:val="24"/>
        </w:rPr>
        <w:t>5.5.4  对漏（缺）报项的处理：磋商文件中要求列入报价的费用（含配置、功能）漏报的，以及“已标价的项目服务”中供应商没有填入单价（价格）或漏（缺）报的项目视同已含在总报价中，不予调整。对多报项及赠送项的价格评审时不予核减，全部进入评标价评议。</w:t>
      </w:r>
    </w:p>
    <w:p>
      <w:pPr>
        <w:tabs>
          <w:tab w:val="left" w:pos="0"/>
        </w:tabs>
        <w:adjustRightInd w:val="0"/>
        <w:snapToGrid w:val="0"/>
        <w:spacing w:line="360" w:lineRule="auto"/>
        <w:rPr>
          <w:rFonts w:ascii="宋体" w:hAnsi="宋体" w:cs="宋体"/>
          <w:b/>
          <w:bCs/>
          <w:sz w:val="24"/>
        </w:rPr>
      </w:pPr>
      <w:r>
        <w:rPr>
          <w:rFonts w:hint="eastAsia" w:ascii="宋体" w:hAnsi="宋体" w:cs="宋体"/>
          <w:b/>
          <w:bCs/>
          <w:sz w:val="24"/>
        </w:rPr>
        <w:t>5.6成交原则</w:t>
      </w:r>
    </w:p>
    <w:p>
      <w:pPr>
        <w:tabs>
          <w:tab w:val="left" w:pos="0"/>
        </w:tabs>
        <w:adjustRightInd w:val="0"/>
        <w:snapToGrid w:val="0"/>
        <w:spacing w:line="360" w:lineRule="auto"/>
        <w:ind w:firstLine="480" w:firstLineChars="200"/>
        <w:rPr>
          <w:rFonts w:ascii="宋体" w:hAnsi="宋体" w:cs="宋体"/>
          <w:sz w:val="24"/>
        </w:rPr>
      </w:pPr>
      <w:r>
        <w:rPr>
          <w:rFonts w:hint="eastAsia" w:ascii="宋体" w:hAnsi="宋体" w:cs="宋体"/>
          <w:sz w:val="24"/>
        </w:rPr>
        <w:t>对经比较和评价符合磋商文件要求的供应商，</w:t>
      </w:r>
      <w:r>
        <w:rPr>
          <w:rFonts w:hint="eastAsia" w:ascii="宋体" w:hAnsi="宋体" w:cs="宋体"/>
          <w:color w:val="000000"/>
          <w:sz w:val="24"/>
        </w:rPr>
        <w:t>按照综合评审得分由高到低顺序推荐</w:t>
      </w:r>
      <w:r>
        <w:rPr>
          <w:rFonts w:hint="eastAsia" w:ascii="宋体" w:hAnsi="宋体" w:cs="宋体"/>
          <w:b/>
          <w:bCs/>
          <w:sz w:val="24"/>
        </w:rPr>
        <w:t>磋商须知前附表1</w:t>
      </w:r>
      <w:r>
        <w:rPr>
          <w:rFonts w:hint="eastAsia" w:ascii="宋体" w:hAnsi="宋体" w:cs="宋体"/>
          <w:bCs/>
          <w:sz w:val="24"/>
        </w:rPr>
        <w:t>规定数量的成交候选</w:t>
      </w:r>
      <w:r>
        <w:rPr>
          <w:rFonts w:hint="eastAsia" w:ascii="宋体" w:hAnsi="宋体" w:cs="宋体"/>
          <w:kern w:val="0"/>
          <w:sz w:val="24"/>
        </w:rPr>
        <w:t>供应商</w:t>
      </w:r>
      <w:r>
        <w:rPr>
          <w:rFonts w:hint="eastAsia" w:ascii="宋体" w:hAnsi="宋体" w:cs="宋体"/>
          <w:kern w:val="0"/>
          <w:sz w:val="24"/>
          <w:lang w:val="zh-CN"/>
        </w:rPr>
        <w:t>，</w:t>
      </w:r>
      <w:r>
        <w:rPr>
          <w:rFonts w:hint="eastAsia" w:ascii="宋体" w:hAnsi="宋体" w:cs="宋体"/>
          <w:kern w:val="0"/>
          <w:sz w:val="24"/>
        </w:rPr>
        <w:t>并确定排名第一的</w:t>
      </w:r>
      <w:r>
        <w:rPr>
          <w:rFonts w:hint="eastAsia" w:ascii="宋体" w:hAnsi="宋体" w:cs="宋体"/>
          <w:kern w:val="0"/>
          <w:sz w:val="24"/>
          <w:lang w:val="zh-CN"/>
        </w:rPr>
        <w:t>成交候选</w:t>
      </w:r>
      <w:r>
        <w:rPr>
          <w:rFonts w:hint="eastAsia" w:ascii="宋体" w:hAnsi="宋体" w:cs="宋体"/>
          <w:bCs/>
          <w:sz w:val="24"/>
        </w:rPr>
        <w:t>供应商为成交供应商</w:t>
      </w:r>
      <w:r>
        <w:rPr>
          <w:rFonts w:hint="eastAsia" w:ascii="宋体" w:hAnsi="宋体" w:cs="宋体"/>
          <w:kern w:val="0"/>
          <w:sz w:val="24"/>
          <w:lang w:val="zh-CN"/>
        </w:rPr>
        <w:t>。</w:t>
      </w:r>
      <w:r>
        <w:rPr>
          <w:rFonts w:hint="eastAsia" w:ascii="宋体" w:hAnsi="宋体" w:cs="宋体"/>
          <w:sz w:val="24"/>
          <w:lang w:val="zh-CN"/>
        </w:rPr>
        <w:t>如报价</w:t>
      </w:r>
      <w:r>
        <w:rPr>
          <w:rFonts w:hint="eastAsia" w:ascii="宋体" w:hAnsi="宋体" w:cs="宋体"/>
          <w:sz w:val="24"/>
        </w:rPr>
        <w:t>相同，由磋商小组按技术指标、实力等综合因素优劣排列。</w:t>
      </w:r>
    </w:p>
    <w:p>
      <w:pPr>
        <w:pStyle w:val="20"/>
        <w:adjustRightInd w:val="0"/>
        <w:snapToGrid w:val="0"/>
        <w:spacing w:line="360" w:lineRule="auto"/>
        <w:ind w:left="723" w:hanging="723" w:hangingChars="300"/>
        <w:rPr>
          <w:rFonts w:hAnsi="宋体" w:cs="宋体"/>
          <w:b/>
          <w:sz w:val="24"/>
          <w:szCs w:val="24"/>
        </w:rPr>
      </w:pPr>
      <w:r>
        <w:rPr>
          <w:rFonts w:hint="eastAsia" w:hAnsi="宋体" w:cs="宋体"/>
          <w:b/>
          <w:sz w:val="24"/>
          <w:szCs w:val="24"/>
        </w:rPr>
        <w:t>5.7 磋商的特殊情形</w:t>
      </w:r>
    </w:p>
    <w:p>
      <w:pPr>
        <w:pStyle w:val="20"/>
        <w:adjustRightInd w:val="0"/>
        <w:snapToGrid w:val="0"/>
        <w:spacing w:line="360" w:lineRule="auto"/>
        <w:ind w:firstLine="352" w:firstLineChars="147"/>
        <w:rPr>
          <w:rFonts w:hAnsi="宋体" w:cs="宋体"/>
          <w:sz w:val="24"/>
          <w:szCs w:val="24"/>
        </w:rPr>
      </w:pPr>
      <w:r>
        <w:rPr>
          <w:rFonts w:hint="eastAsia" w:hAnsi="宋体" w:cs="宋体"/>
          <w:sz w:val="24"/>
          <w:szCs w:val="24"/>
        </w:rPr>
        <w:t>5.7.1递交响应文件的供应商不足三家的，不开标唱标，除采购任务取消外，如磋商文件没有不合理条款，发布项目延期公告，延长三个工作日，延长期满后，仍不足三家的，继续进入磋商程序。</w:t>
      </w:r>
    </w:p>
    <w:p>
      <w:pPr>
        <w:adjustRightInd w:val="0"/>
        <w:snapToGrid w:val="0"/>
        <w:spacing w:line="360" w:lineRule="auto"/>
        <w:ind w:firstLine="480" w:firstLineChars="200"/>
        <w:rPr>
          <w:rFonts w:ascii="宋体" w:hAnsi="宋体" w:cs="宋体"/>
          <w:sz w:val="24"/>
        </w:rPr>
      </w:pPr>
      <w:r>
        <w:rPr>
          <w:rFonts w:hint="eastAsia" w:ascii="宋体" w:hAnsi="宋体" w:cs="宋体"/>
          <w:kern w:val="0"/>
          <w:sz w:val="24"/>
          <w:lang w:val="zh-CN"/>
        </w:rPr>
        <w:t>5.7.2对磋商文件</w:t>
      </w:r>
      <w:r>
        <w:rPr>
          <w:rFonts w:hint="eastAsia" w:ascii="宋体" w:hAnsi="宋体" w:cs="宋体"/>
          <w:sz w:val="24"/>
        </w:rPr>
        <w:t>作出实质性响应的供应商不足三家，但</w:t>
      </w:r>
      <w:r>
        <w:rPr>
          <w:rFonts w:hint="eastAsia" w:ascii="宋体" w:hAnsi="宋体" w:cs="宋体"/>
          <w:snapToGrid w:val="0"/>
          <w:kern w:val="0"/>
          <w:sz w:val="24"/>
        </w:rPr>
        <w:t>符合《</w:t>
      </w:r>
      <w:r>
        <w:rPr>
          <w:rFonts w:hint="eastAsia" w:ascii="宋体" w:hAnsi="宋体" w:cs="宋体"/>
          <w:color w:val="000000"/>
          <w:sz w:val="24"/>
        </w:rPr>
        <w:t>政府采购竞争性磋商采购方式管理暂行办法</w:t>
      </w:r>
      <w:r>
        <w:rPr>
          <w:rFonts w:hint="eastAsia" w:ascii="宋体" w:hAnsi="宋体" w:cs="宋体"/>
          <w:snapToGrid w:val="0"/>
          <w:kern w:val="0"/>
          <w:sz w:val="24"/>
        </w:rPr>
        <w:t>》第二十一条规定的属于本办法第三条第四项“</w:t>
      </w:r>
      <w:r>
        <w:rPr>
          <w:rFonts w:hint="eastAsia" w:ascii="宋体" w:hAnsi="宋体" w:cs="宋体"/>
          <w:snapToGrid w:val="0"/>
          <w:color w:val="000000"/>
          <w:kern w:val="0"/>
          <w:sz w:val="24"/>
        </w:rPr>
        <w:t>市场竞争不充分的</w:t>
      </w:r>
      <w:r>
        <w:rPr>
          <w:rFonts w:hint="eastAsia" w:ascii="宋体" w:hAnsi="宋体" w:cs="宋体"/>
          <w:snapToGrid w:val="0"/>
          <w:kern w:val="0"/>
          <w:sz w:val="24"/>
        </w:rPr>
        <w:t>科研项目</w:t>
      </w:r>
      <w:r>
        <w:rPr>
          <w:rFonts w:hint="eastAsia" w:ascii="宋体" w:hAnsi="宋体" w:cs="宋体"/>
          <w:snapToGrid w:val="0"/>
          <w:color w:val="000000"/>
          <w:kern w:val="0"/>
          <w:sz w:val="24"/>
        </w:rPr>
        <w:t>，以及</w:t>
      </w:r>
      <w:r>
        <w:rPr>
          <w:rFonts w:hint="eastAsia" w:ascii="宋体" w:hAnsi="宋体" w:cs="宋体"/>
          <w:snapToGrid w:val="0"/>
          <w:kern w:val="0"/>
          <w:sz w:val="24"/>
        </w:rPr>
        <w:t>需要扶持</w:t>
      </w:r>
      <w:r>
        <w:rPr>
          <w:rFonts w:hint="eastAsia" w:ascii="宋体" w:hAnsi="宋体" w:cs="宋体"/>
          <w:snapToGrid w:val="0"/>
          <w:color w:val="000000"/>
          <w:kern w:val="0"/>
          <w:sz w:val="24"/>
        </w:rPr>
        <w:t>的</w:t>
      </w:r>
      <w:r>
        <w:rPr>
          <w:rFonts w:hint="eastAsia" w:ascii="宋体" w:hAnsi="宋体" w:cs="宋体"/>
          <w:snapToGrid w:val="0"/>
          <w:kern w:val="0"/>
          <w:sz w:val="24"/>
        </w:rPr>
        <w:t>科技成果转化项目”情形的，提交最后报价的供应商可以为2家。</w:t>
      </w:r>
    </w:p>
    <w:p>
      <w:pPr>
        <w:pStyle w:val="4"/>
        <w:jc w:val="center"/>
        <w:rPr>
          <w:rFonts w:ascii="宋体" w:hAnsi="宋体" w:cs="宋体"/>
          <w:szCs w:val="24"/>
        </w:rPr>
      </w:pPr>
      <w:bookmarkStart w:id="36" w:name="_Toc13595"/>
      <w:r>
        <w:rPr>
          <w:rFonts w:hint="eastAsia" w:ascii="宋体" w:hAnsi="宋体" w:cs="宋体"/>
          <w:szCs w:val="24"/>
        </w:rPr>
        <w:t>六、成交结果及合同授予</w:t>
      </w:r>
      <w:bookmarkEnd w:id="36"/>
    </w:p>
    <w:p>
      <w:pPr>
        <w:adjustRightInd w:val="0"/>
        <w:snapToGrid w:val="0"/>
        <w:spacing w:line="360" w:lineRule="auto"/>
        <w:rPr>
          <w:rFonts w:ascii="宋体" w:hAnsi="宋体" w:cs="宋体"/>
          <w:b/>
          <w:bCs/>
          <w:sz w:val="24"/>
        </w:rPr>
      </w:pPr>
      <w:r>
        <w:rPr>
          <w:rFonts w:hint="eastAsia" w:ascii="宋体" w:hAnsi="宋体" w:cs="宋体"/>
          <w:b/>
          <w:bCs/>
          <w:sz w:val="24"/>
        </w:rPr>
        <w:t>6.1成交结果</w:t>
      </w:r>
    </w:p>
    <w:p>
      <w:pPr>
        <w:pStyle w:val="20"/>
        <w:adjustRightInd w:val="0"/>
        <w:snapToGrid w:val="0"/>
        <w:spacing w:line="360" w:lineRule="auto"/>
        <w:ind w:firstLine="480" w:firstLineChars="200"/>
        <w:rPr>
          <w:rFonts w:hAnsi="宋体" w:cs="宋体"/>
          <w:sz w:val="24"/>
          <w:szCs w:val="24"/>
        </w:rPr>
      </w:pPr>
      <w:r>
        <w:rPr>
          <w:rFonts w:hint="eastAsia" w:hAnsi="宋体" w:cs="宋体"/>
          <w:sz w:val="24"/>
          <w:szCs w:val="24"/>
        </w:rPr>
        <w:t>磋商结束后，成交结果信息将在</w:t>
      </w:r>
      <w:r>
        <w:rPr>
          <w:rFonts w:hint="eastAsia" w:hAnsi="宋体" w:cs="宋体"/>
          <w:b/>
          <w:sz w:val="24"/>
          <w:szCs w:val="24"/>
        </w:rPr>
        <w:t>磋商须知前附表1</w:t>
      </w:r>
      <w:r>
        <w:rPr>
          <w:rFonts w:hint="eastAsia" w:hAnsi="宋体" w:cs="宋体"/>
          <w:sz w:val="24"/>
          <w:szCs w:val="24"/>
        </w:rPr>
        <w:t>规定的媒体上公布。</w:t>
      </w:r>
      <w:r>
        <w:rPr>
          <w:rFonts w:hint="eastAsia" w:hAnsi="宋体" w:cs="宋体"/>
          <w:sz w:val="24"/>
          <w:szCs w:val="24"/>
          <w:lang w:val="zh-CN"/>
        </w:rPr>
        <w:t>同时向成交供应商发出成交通知书，该通知书将是合同的组成部分。</w:t>
      </w:r>
    </w:p>
    <w:p>
      <w:pPr>
        <w:adjustRightInd w:val="0"/>
        <w:snapToGrid w:val="0"/>
        <w:spacing w:line="360" w:lineRule="auto"/>
        <w:rPr>
          <w:rFonts w:ascii="宋体" w:hAnsi="宋体" w:cs="宋体"/>
          <w:b/>
          <w:bCs/>
          <w:sz w:val="24"/>
        </w:rPr>
      </w:pPr>
      <w:r>
        <w:rPr>
          <w:rFonts w:hint="eastAsia" w:ascii="宋体" w:hAnsi="宋体" w:cs="宋体"/>
          <w:b/>
          <w:bCs/>
          <w:sz w:val="24"/>
        </w:rPr>
        <w:t>6.2签订合同</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6.2.1 成交供应商应按成交通知书规定的时间、地点与采购人签订书面合同。</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 xml:space="preserve">6.2.2 </w:t>
      </w:r>
      <w:r>
        <w:rPr>
          <w:rFonts w:hint="eastAsia" w:ascii="宋体" w:hAnsi="宋体" w:cs="宋体"/>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ascii="宋体" w:hAnsi="宋体" w:cs="宋体"/>
          <w:bCs/>
          <w:sz w:val="24"/>
        </w:rPr>
      </w:pPr>
      <w:r>
        <w:rPr>
          <w:rFonts w:hint="eastAsia" w:ascii="宋体" w:hAnsi="宋体" w:cs="宋体"/>
          <w:bCs/>
          <w:sz w:val="24"/>
        </w:rPr>
        <w:t>6.2.3政府采购合同履行中，采购人需追加与合同标的相同的造价服务的，在不改变合同其他条款的前提下，可以与成交供应商协商签订补充合同，但所有补充合同的采购金额不得超过原合同采购金额的百分之十。</w:t>
      </w:r>
    </w:p>
    <w:p>
      <w:pPr>
        <w:pStyle w:val="4"/>
        <w:jc w:val="center"/>
        <w:rPr>
          <w:rFonts w:ascii="宋体" w:hAnsi="宋体" w:cs="宋体"/>
          <w:szCs w:val="24"/>
        </w:rPr>
      </w:pPr>
      <w:bookmarkStart w:id="37" w:name="_Toc32267"/>
      <w:r>
        <w:rPr>
          <w:rFonts w:hint="eastAsia" w:ascii="宋体" w:hAnsi="宋体" w:cs="宋体"/>
          <w:szCs w:val="24"/>
        </w:rPr>
        <w:t>七、质疑与投诉</w:t>
      </w:r>
      <w:bookmarkEnd w:id="37"/>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7.1 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（2）对磋商过程提出质疑的，应当在各磋商程序环节结束之日起七个工作日内；</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（3）对成交结果提出质疑的，应当在成交结果公告期限届满之日起七个工作日内提出；</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（4）磋商文件或法律法规规定的其他时间内。</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7.3 供应商提出质疑的，应当有明确的请求和必要的证明材料，并提供质疑书原件。招标采购单位向质疑供应商签收回执。</w:t>
      </w:r>
    </w:p>
    <w:p>
      <w:pPr>
        <w:adjustRightInd w:val="0"/>
        <w:snapToGrid w:val="0"/>
        <w:spacing w:line="360" w:lineRule="auto"/>
        <w:ind w:firstLine="480" w:firstLineChars="200"/>
        <w:jc w:val="left"/>
        <w:rPr>
          <w:rFonts w:ascii="宋体" w:hAnsi="宋体" w:cs="宋体"/>
          <w:color w:val="999999"/>
          <w:sz w:val="24"/>
        </w:rPr>
      </w:pPr>
      <w:r>
        <w:rPr>
          <w:rFonts w:hint="eastAsia" w:ascii="宋体" w:hAnsi="宋体" w:cs="宋体"/>
          <w:sz w:val="24"/>
        </w:rPr>
        <w:t>7.4 质疑书应当由质疑供应商法定代表人或授权代表人签字并加盖公章，质疑书由授权代表人签字的应附法定代表人授权书。</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7.5 采购机构将在签收回执之日起七个工作日内作出书面答复，并以书面形式通知与质疑处理结果有关的供应商。</w:t>
      </w:r>
    </w:p>
    <w:p>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
        <w:jc w:val="center"/>
        <w:rPr>
          <w:rFonts w:ascii="宋体" w:hAnsi="宋体" w:cs="宋体"/>
          <w:szCs w:val="24"/>
        </w:rPr>
      </w:pPr>
      <w:bookmarkStart w:id="38" w:name="_Toc9458"/>
      <w:r>
        <w:rPr>
          <w:rFonts w:hint="eastAsia" w:ascii="宋体" w:hAnsi="宋体" w:cs="宋体"/>
          <w:szCs w:val="24"/>
        </w:rPr>
        <w:t>八、其他规定</w:t>
      </w:r>
      <w:bookmarkEnd w:id="38"/>
    </w:p>
    <w:p>
      <w:pPr>
        <w:tabs>
          <w:tab w:val="left" w:pos="420"/>
          <w:tab w:val="left" w:pos="7560"/>
          <w:tab w:val="left" w:pos="7740"/>
          <w:tab w:val="left" w:pos="7920"/>
        </w:tabs>
        <w:adjustRightInd w:val="0"/>
        <w:snapToGrid w:val="0"/>
        <w:spacing w:line="360" w:lineRule="auto"/>
        <w:ind w:firstLine="480" w:firstLineChars="200"/>
        <w:rPr>
          <w:rFonts w:ascii="宋体" w:hAnsi="宋体" w:cs="宋体"/>
          <w:b/>
          <w:sz w:val="24"/>
        </w:rPr>
      </w:pPr>
      <w:r>
        <w:rPr>
          <w:rFonts w:hint="eastAsia" w:ascii="宋体" w:hAnsi="宋体" w:cs="宋体"/>
          <w:sz w:val="24"/>
        </w:rPr>
        <w:t>磋商文件的其他规定见</w:t>
      </w:r>
      <w:r>
        <w:rPr>
          <w:rFonts w:hint="eastAsia" w:ascii="宋体" w:hAnsi="宋体" w:cs="宋体"/>
          <w:b/>
          <w:sz w:val="24"/>
        </w:rPr>
        <w:t>磋商须知前附1</w:t>
      </w:r>
    </w:p>
    <w:p>
      <w:pPr>
        <w:pStyle w:val="35"/>
        <w:rPr>
          <w:rFonts w:ascii="宋体" w:hAnsi="宋体" w:cs="宋体"/>
          <w:b/>
          <w:sz w:val="24"/>
        </w:rPr>
      </w:pPr>
    </w:p>
    <w:p>
      <w:pPr>
        <w:pStyle w:val="35"/>
        <w:rPr>
          <w:rFonts w:ascii="宋体" w:hAnsi="宋体" w:cs="宋体"/>
          <w:b/>
          <w:sz w:val="24"/>
        </w:rPr>
      </w:pPr>
    </w:p>
    <w:p>
      <w:pPr>
        <w:pStyle w:val="35"/>
        <w:rPr>
          <w:rFonts w:ascii="宋体" w:hAnsi="宋体" w:cs="宋体"/>
          <w:b/>
          <w:sz w:val="24"/>
        </w:rPr>
      </w:pPr>
    </w:p>
    <w:p>
      <w:pPr>
        <w:pStyle w:val="3"/>
        <w:pageBreakBefore/>
        <w:spacing w:line="400" w:lineRule="exact"/>
        <w:rPr>
          <w:rFonts w:ascii="宋体" w:hAnsi="宋体" w:cs="宋体"/>
          <w:sz w:val="28"/>
          <w:szCs w:val="28"/>
        </w:rPr>
      </w:pPr>
      <w:bookmarkStart w:id="39" w:name="_Toc30698"/>
      <w:bookmarkStart w:id="40" w:name="_Toc29665"/>
      <w:bookmarkStart w:id="41" w:name="_Toc31497"/>
      <w:bookmarkStart w:id="42" w:name="_Toc7384"/>
      <w:r>
        <w:rPr>
          <w:rFonts w:hint="eastAsia" w:ascii="宋体" w:hAnsi="宋体" w:cs="宋体"/>
          <w:sz w:val="28"/>
          <w:szCs w:val="28"/>
        </w:rPr>
        <w:t>第三章  评审办法</w:t>
      </w:r>
      <w:bookmarkEnd w:id="39"/>
      <w:bookmarkEnd w:id="40"/>
      <w:bookmarkEnd w:id="41"/>
      <w:bookmarkEnd w:id="42"/>
    </w:p>
    <w:p>
      <w:pPr>
        <w:tabs>
          <w:tab w:val="left" w:pos="420"/>
          <w:tab w:val="left" w:pos="7560"/>
          <w:tab w:val="left" w:pos="7740"/>
          <w:tab w:val="left" w:pos="7920"/>
        </w:tabs>
        <w:adjustRightInd w:val="0"/>
        <w:snapToGrid w:val="0"/>
        <w:spacing w:line="400" w:lineRule="exact"/>
        <w:rPr>
          <w:rFonts w:ascii="宋体" w:hAnsi="宋体"/>
          <w:b/>
          <w:sz w:val="24"/>
        </w:rPr>
      </w:pPr>
      <w:r>
        <w:rPr>
          <w:rFonts w:hint="eastAsia" w:ascii="宋体" w:hAnsi="宋体"/>
          <w:b/>
          <w:sz w:val="24"/>
        </w:rPr>
        <w:t>一、综合评分</w:t>
      </w:r>
    </w:p>
    <w:p>
      <w:pPr>
        <w:spacing w:line="400" w:lineRule="exact"/>
        <w:ind w:firstLine="480" w:firstLineChars="200"/>
        <w:rPr>
          <w:rFonts w:ascii="宋体" w:hAnsi="宋体"/>
          <w:sz w:val="24"/>
        </w:rPr>
      </w:pPr>
      <w:r>
        <w:rPr>
          <w:rFonts w:hint="eastAsia" w:ascii="宋体" w:hAnsi="宋体"/>
          <w:sz w:val="24"/>
        </w:rPr>
        <w:t>1.经磋商确定最终采购需求和提交最后报价的供应商后，由磋商小组采用综合评分法对提交最后报价的供应商的响应文件和最后报价进行综合评分。</w:t>
      </w:r>
    </w:p>
    <w:p>
      <w:pPr>
        <w:spacing w:line="400" w:lineRule="exact"/>
        <w:ind w:firstLine="480" w:firstLineChars="200"/>
        <w:rPr>
          <w:rFonts w:ascii="宋体" w:hAnsi="宋体"/>
          <w:sz w:val="24"/>
        </w:rPr>
      </w:pPr>
      <w:r>
        <w:rPr>
          <w:rFonts w:hint="eastAsia" w:ascii="宋体" w:hAnsi="宋体"/>
          <w:sz w:val="24"/>
        </w:rPr>
        <w:t>综合评分法，是指响应文件满足磋商文件全部实质性要求且按评审因素的量化指标评审得分最高的供应商为成交候选供应商的评审方法。</w:t>
      </w:r>
    </w:p>
    <w:p>
      <w:pPr>
        <w:spacing w:line="400" w:lineRule="exact"/>
        <w:ind w:firstLine="480" w:firstLineChars="200"/>
        <w:rPr>
          <w:rFonts w:ascii="宋体" w:hAnsi="宋体"/>
          <w:sz w:val="24"/>
        </w:rPr>
      </w:pPr>
      <w:r>
        <w:rPr>
          <w:rFonts w:hint="eastAsia" w:ascii="宋体" w:hAnsi="宋体"/>
          <w:sz w:val="24"/>
        </w:rPr>
        <w:t>2.评审时，磋商小组各成员应当独立对每个有效响应的文件进行评价、打分，然后汇总每个供应商每项评分因素的得分。</w:t>
      </w:r>
    </w:p>
    <w:p>
      <w:pPr>
        <w:spacing w:line="400" w:lineRule="exact"/>
        <w:ind w:firstLine="480" w:firstLineChars="200"/>
        <w:rPr>
          <w:rFonts w:ascii="宋体" w:hAnsi="宋体"/>
          <w:sz w:val="24"/>
        </w:rPr>
      </w:pPr>
      <w:r>
        <w:rPr>
          <w:rFonts w:hint="eastAsia" w:ascii="宋体" w:hAnsi="宋体"/>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400" w:lineRule="exact"/>
        <w:rPr>
          <w:sz w:val="24"/>
        </w:rPr>
      </w:pPr>
      <w:r>
        <w:rPr>
          <w:rFonts w:hint="eastAsia" w:ascii="宋体" w:hAnsi="宋体"/>
          <w:b/>
          <w:bCs/>
          <w:sz w:val="24"/>
        </w:rPr>
        <w:t>二.</w:t>
      </w:r>
      <w:r>
        <w:rPr>
          <w:rFonts w:hint="eastAsia"/>
          <w:b/>
          <w:bCs/>
          <w:sz w:val="24"/>
        </w:rPr>
        <w:t>综合评分细则表</w:t>
      </w:r>
    </w:p>
    <w:tbl>
      <w:tblPr>
        <w:tblStyle w:val="3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208"/>
        <w:gridCol w:w="1483"/>
        <w:gridCol w:w="4530"/>
        <w:gridCol w:w="71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2410" w:type="dxa"/>
            <w:gridSpan w:val="2"/>
            <w:vMerge w:val="restart"/>
          </w:tcPr>
          <w:p>
            <w:pPr>
              <w:spacing w:line="400" w:lineRule="exact"/>
              <w:ind w:firstLine="708" w:firstLineChars="294"/>
              <w:rPr>
                <w:rFonts w:ascii="宋体" w:hAnsi="宋体" w:cs="宋体"/>
                <w:b/>
                <w:sz w:val="24"/>
              </w:rPr>
            </w:pPr>
            <w:bookmarkStart w:id="43" w:name="EBf97f626d7f2349dc98726a51f37130cf"/>
          </w:p>
          <w:p>
            <w:pPr>
              <w:spacing w:line="400" w:lineRule="exact"/>
              <w:ind w:firstLine="708" w:firstLineChars="294"/>
              <w:rPr>
                <w:rFonts w:ascii="宋体" w:hAnsi="宋体" w:cs="宋体"/>
                <w:b/>
                <w:sz w:val="24"/>
              </w:rPr>
            </w:pPr>
            <w:r>
              <w:rPr>
                <w:rFonts w:hint="eastAsia" w:ascii="宋体" w:hAnsi="宋体" w:cs="宋体"/>
                <w:b/>
                <w:sz w:val="24"/>
              </w:rPr>
              <w:t>评分因素</w:t>
            </w:r>
          </w:p>
        </w:tc>
        <w:tc>
          <w:tcPr>
            <w:tcW w:w="1483" w:type="dxa"/>
            <w:vMerge w:val="restart"/>
            <w:vAlign w:val="center"/>
          </w:tcPr>
          <w:p>
            <w:pPr>
              <w:spacing w:line="400" w:lineRule="exact"/>
              <w:jc w:val="center"/>
              <w:rPr>
                <w:rFonts w:ascii="宋体" w:hAnsi="宋体" w:cs="宋体"/>
                <w:b/>
                <w:sz w:val="24"/>
              </w:rPr>
            </w:pPr>
            <w:r>
              <w:rPr>
                <w:rFonts w:hint="eastAsia" w:ascii="宋体" w:hAnsi="宋体" w:cs="宋体"/>
                <w:b/>
                <w:sz w:val="24"/>
              </w:rPr>
              <w:t>评分点</w:t>
            </w:r>
          </w:p>
        </w:tc>
        <w:tc>
          <w:tcPr>
            <w:tcW w:w="4530" w:type="dxa"/>
            <w:vMerge w:val="restart"/>
            <w:vAlign w:val="center"/>
          </w:tcPr>
          <w:p>
            <w:pPr>
              <w:spacing w:line="400" w:lineRule="exact"/>
              <w:jc w:val="center"/>
              <w:rPr>
                <w:rFonts w:ascii="宋体" w:hAnsi="宋体" w:cs="宋体"/>
                <w:b/>
                <w:sz w:val="24"/>
              </w:rPr>
            </w:pPr>
            <w:r>
              <w:rPr>
                <w:rFonts w:hint="eastAsia" w:ascii="宋体" w:hAnsi="宋体" w:cs="宋体"/>
                <w:b/>
                <w:sz w:val="24"/>
              </w:rPr>
              <w:t>评分标准</w:t>
            </w:r>
          </w:p>
        </w:tc>
        <w:tc>
          <w:tcPr>
            <w:tcW w:w="1567" w:type="dxa"/>
            <w:gridSpan w:val="2"/>
          </w:tcPr>
          <w:p>
            <w:pPr>
              <w:spacing w:line="400" w:lineRule="exact"/>
              <w:jc w:val="center"/>
              <w:rPr>
                <w:rFonts w:ascii="宋体" w:hAnsi="宋体" w:cs="宋体"/>
                <w:b/>
                <w:sz w:val="24"/>
              </w:rPr>
            </w:pPr>
            <w:r>
              <w:rPr>
                <w:rFonts w:hint="eastAsia" w:ascii="宋体" w:hAnsi="宋体" w:cs="宋体"/>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2410" w:type="dxa"/>
            <w:gridSpan w:val="2"/>
            <w:vMerge w:val="continue"/>
          </w:tcPr>
          <w:p>
            <w:pPr>
              <w:spacing w:line="400" w:lineRule="exact"/>
              <w:jc w:val="center"/>
              <w:rPr>
                <w:rFonts w:ascii="宋体" w:hAnsi="宋体" w:cs="宋体"/>
                <w:b/>
                <w:sz w:val="24"/>
              </w:rPr>
            </w:pPr>
          </w:p>
        </w:tc>
        <w:tc>
          <w:tcPr>
            <w:tcW w:w="1483" w:type="dxa"/>
            <w:vMerge w:val="continue"/>
            <w:vAlign w:val="center"/>
          </w:tcPr>
          <w:p>
            <w:pPr>
              <w:spacing w:line="400" w:lineRule="exact"/>
              <w:jc w:val="center"/>
              <w:rPr>
                <w:rFonts w:ascii="宋体" w:hAnsi="宋体" w:cs="宋体"/>
                <w:b/>
                <w:sz w:val="24"/>
              </w:rPr>
            </w:pPr>
          </w:p>
        </w:tc>
        <w:tc>
          <w:tcPr>
            <w:tcW w:w="4530" w:type="dxa"/>
            <w:vMerge w:val="continue"/>
            <w:vAlign w:val="center"/>
          </w:tcPr>
          <w:p>
            <w:pPr>
              <w:spacing w:line="400" w:lineRule="exact"/>
              <w:jc w:val="center"/>
              <w:rPr>
                <w:rFonts w:ascii="宋体" w:hAnsi="宋体" w:cs="宋体"/>
                <w:b/>
                <w:sz w:val="24"/>
              </w:rPr>
            </w:pPr>
          </w:p>
        </w:tc>
        <w:tc>
          <w:tcPr>
            <w:tcW w:w="717" w:type="dxa"/>
          </w:tcPr>
          <w:p>
            <w:pPr>
              <w:spacing w:line="400" w:lineRule="exact"/>
              <w:jc w:val="center"/>
              <w:rPr>
                <w:rFonts w:ascii="宋体" w:hAnsi="宋体" w:cs="宋体"/>
                <w:b/>
                <w:sz w:val="24"/>
              </w:rPr>
            </w:pPr>
            <w:r>
              <w:rPr>
                <w:rFonts w:hint="eastAsia" w:ascii="宋体" w:hAnsi="宋体" w:cs="宋体"/>
                <w:b/>
                <w:sz w:val="24"/>
              </w:rPr>
              <w:t>是</w:t>
            </w:r>
          </w:p>
        </w:tc>
        <w:tc>
          <w:tcPr>
            <w:tcW w:w="850" w:type="dxa"/>
          </w:tcPr>
          <w:p>
            <w:pPr>
              <w:spacing w:line="400" w:lineRule="exact"/>
              <w:jc w:val="center"/>
              <w:rPr>
                <w:rFonts w:ascii="宋体" w:hAnsi="宋体" w:cs="宋体"/>
                <w:b/>
                <w:sz w:val="24"/>
              </w:rPr>
            </w:pPr>
            <w:r>
              <w:rPr>
                <w:rFonts w:hint="eastAsia" w:ascii="宋体" w:hAnsi="宋体" w:cs="宋体"/>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jc w:val="center"/>
        </w:trPr>
        <w:tc>
          <w:tcPr>
            <w:tcW w:w="1202" w:type="dxa"/>
            <w:vMerge w:val="restart"/>
          </w:tcPr>
          <w:p>
            <w:pPr>
              <w:spacing w:line="400" w:lineRule="exact"/>
              <w:ind w:firstLine="120" w:firstLineChars="50"/>
              <w:rPr>
                <w:rFonts w:ascii="宋体" w:hAnsi="宋体" w:cs="宋体"/>
                <w:sz w:val="24"/>
              </w:rPr>
            </w:pPr>
          </w:p>
          <w:p>
            <w:pPr>
              <w:spacing w:line="400" w:lineRule="exact"/>
              <w:rPr>
                <w:rFonts w:ascii="宋体" w:hAnsi="宋体" w:cs="宋体"/>
                <w:sz w:val="24"/>
              </w:rPr>
            </w:pPr>
            <w:r>
              <w:rPr>
                <w:rFonts w:hint="eastAsia" w:ascii="宋体" w:hAnsi="宋体" w:cs="宋体"/>
                <w:sz w:val="24"/>
              </w:rPr>
              <w:t>初步评审</w:t>
            </w:r>
          </w:p>
        </w:tc>
        <w:tc>
          <w:tcPr>
            <w:tcW w:w="1208" w:type="dxa"/>
            <w:vAlign w:val="center"/>
          </w:tcPr>
          <w:p>
            <w:pPr>
              <w:spacing w:line="400" w:lineRule="exact"/>
              <w:ind w:firstLine="120" w:firstLineChars="50"/>
              <w:jc w:val="center"/>
              <w:rPr>
                <w:rFonts w:ascii="宋体" w:hAnsi="宋体" w:cs="宋体"/>
                <w:b/>
                <w:sz w:val="24"/>
              </w:rPr>
            </w:pPr>
            <w:r>
              <w:rPr>
                <w:rFonts w:hint="eastAsia" w:ascii="宋体" w:hAnsi="宋体" w:cs="宋体"/>
                <w:sz w:val="24"/>
              </w:rPr>
              <w:t>资格检查</w:t>
            </w:r>
          </w:p>
        </w:tc>
        <w:tc>
          <w:tcPr>
            <w:tcW w:w="7580" w:type="dxa"/>
            <w:gridSpan w:val="4"/>
            <w:vMerge w:val="restart"/>
            <w:vAlign w:val="center"/>
          </w:tcPr>
          <w:p>
            <w:pPr>
              <w:spacing w:line="400" w:lineRule="exact"/>
              <w:jc w:val="center"/>
              <w:rPr>
                <w:rFonts w:ascii="宋体" w:hAnsi="宋体" w:cs="宋体"/>
                <w:sz w:val="24"/>
              </w:rPr>
            </w:pPr>
            <w:r>
              <w:rPr>
                <w:rFonts w:hint="eastAsia" w:ascii="宋体" w:hAnsi="宋体" w:cs="宋体"/>
                <w:sz w:val="24"/>
              </w:rPr>
              <w:t>具体内容详见磋商须知前附表2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400" w:lineRule="exact"/>
              <w:jc w:val="center"/>
              <w:rPr>
                <w:rFonts w:ascii="宋体" w:hAnsi="宋体" w:cs="宋体"/>
                <w:sz w:val="24"/>
              </w:rPr>
            </w:pPr>
          </w:p>
        </w:tc>
        <w:tc>
          <w:tcPr>
            <w:tcW w:w="1208" w:type="dxa"/>
            <w:vAlign w:val="center"/>
          </w:tcPr>
          <w:p>
            <w:pPr>
              <w:spacing w:line="400" w:lineRule="exact"/>
              <w:jc w:val="center"/>
              <w:rPr>
                <w:rFonts w:ascii="宋体" w:hAnsi="宋体" w:cs="宋体"/>
                <w:sz w:val="24"/>
              </w:rPr>
            </w:pPr>
            <w:r>
              <w:rPr>
                <w:rFonts w:hint="eastAsia" w:ascii="宋体" w:hAnsi="宋体" w:cs="宋体"/>
                <w:sz w:val="24"/>
              </w:rPr>
              <w:t>符合性检查</w:t>
            </w:r>
          </w:p>
        </w:tc>
        <w:tc>
          <w:tcPr>
            <w:tcW w:w="7580" w:type="dxa"/>
            <w:gridSpan w:val="4"/>
            <w:vMerge w:val="continue"/>
            <w:vAlign w:val="center"/>
          </w:tcPr>
          <w:p>
            <w:pPr>
              <w:spacing w:line="400" w:lineRule="exact"/>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410" w:type="dxa"/>
            <w:gridSpan w:val="2"/>
          </w:tcPr>
          <w:p>
            <w:pPr>
              <w:spacing w:line="400" w:lineRule="exact"/>
              <w:ind w:firstLine="590" w:firstLineChars="245"/>
              <w:rPr>
                <w:rFonts w:ascii="宋体" w:hAnsi="宋体" w:cs="宋体"/>
                <w:sz w:val="24"/>
              </w:rPr>
            </w:pPr>
            <w:r>
              <w:rPr>
                <w:rFonts w:hint="eastAsia" w:ascii="宋体" w:hAnsi="宋体" w:cs="宋体"/>
                <w:b/>
                <w:sz w:val="24"/>
              </w:rPr>
              <w:t>评分因素</w:t>
            </w:r>
          </w:p>
        </w:tc>
        <w:tc>
          <w:tcPr>
            <w:tcW w:w="1483" w:type="dxa"/>
            <w:vAlign w:val="center"/>
          </w:tcPr>
          <w:p>
            <w:pPr>
              <w:spacing w:line="400" w:lineRule="exact"/>
              <w:jc w:val="center"/>
              <w:rPr>
                <w:rFonts w:ascii="宋体" w:hAnsi="宋体" w:cs="宋体"/>
                <w:sz w:val="24"/>
              </w:rPr>
            </w:pPr>
            <w:r>
              <w:rPr>
                <w:rFonts w:hint="eastAsia" w:ascii="宋体" w:hAnsi="宋体" w:cs="宋体"/>
                <w:b/>
                <w:sz w:val="24"/>
              </w:rPr>
              <w:t>评分点</w:t>
            </w:r>
          </w:p>
        </w:tc>
        <w:tc>
          <w:tcPr>
            <w:tcW w:w="4530" w:type="dxa"/>
            <w:vAlign w:val="center"/>
          </w:tcPr>
          <w:p>
            <w:pPr>
              <w:spacing w:line="400" w:lineRule="exact"/>
              <w:jc w:val="center"/>
              <w:rPr>
                <w:rFonts w:ascii="宋体" w:hAnsi="宋体" w:cs="宋体"/>
                <w:sz w:val="24"/>
              </w:rPr>
            </w:pPr>
            <w:r>
              <w:rPr>
                <w:rFonts w:hint="eastAsia" w:ascii="宋体" w:hAnsi="宋体" w:cs="宋体"/>
                <w:b/>
                <w:sz w:val="24"/>
              </w:rPr>
              <w:t>评分标准</w:t>
            </w:r>
          </w:p>
        </w:tc>
        <w:tc>
          <w:tcPr>
            <w:tcW w:w="1567" w:type="dxa"/>
            <w:gridSpan w:val="2"/>
          </w:tcPr>
          <w:p>
            <w:pPr>
              <w:spacing w:line="400" w:lineRule="exact"/>
              <w:ind w:firstLine="354" w:firstLineChars="147"/>
              <w:rPr>
                <w:rFonts w:ascii="宋体" w:hAnsi="宋体" w:cs="宋体"/>
                <w:sz w:val="24"/>
              </w:rPr>
            </w:pPr>
            <w:r>
              <w:rPr>
                <w:rFonts w:hint="eastAsia" w:ascii="宋体" w:hAnsi="宋体" w:cs="宋体"/>
                <w:b/>
                <w:sz w:val="24"/>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5" w:hRule="atLeast"/>
          <w:jc w:val="center"/>
        </w:trPr>
        <w:tc>
          <w:tcPr>
            <w:tcW w:w="1202" w:type="dxa"/>
            <w:vMerge w:val="restart"/>
          </w:tcPr>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jc w:val="both"/>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详细评审</w:t>
            </w:r>
          </w:p>
        </w:tc>
        <w:tc>
          <w:tcPr>
            <w:tcW w:w="1208" w:type="dxa"/>
            <w:vAlign w:val="center"/>
          </w:tcPr>
          <w:p>
            <w:pPr>
              <w:spacing w:line="400" w:lineRule="exact"/>
              <w:jc w:val="center"/>
              <w:rPr>
                <w:rFonts w:ascii="宋体" w:hAnsi="宋体" w:cs="宋体"/>
                <w:sz w:val="24"/>
              </w:rPr>
            </w:pPr>
            <w:r>
              <w:rPr>
                <w:rFonts w:hint="eastAsia" w:ascii="宋体" w:hAnsi="宋体" w:cs="宋体"/>
                <w:sz w:val="24"/>
              </w:rPr>
              <w:t>报价评审</w:t>
            </w:r>
          </w:p>
          <w:p>
            <w:pPr>
              <w:spacing w:line="400" w:lineRule="exact"/>
              <w:jc w:val="center"/>
              <w:rPr>
                <w:rFonts w:ascii="宋体" w:hAnsi="宋体" w:cs="宋体"/>
                <w:sz w:val="24"/>
              </w:rPr>
            </w:pPr>
            <w:r>
              <w:rPr>
                <w:rFonts w:hint="eastAsia" w:ascii="宋体" w:hAnsi="宋体" w:cs="宋体"/>
                <w:sz w:val="24"/>
              </w:rPr>
              <w:t>（30分）</w:t>
            </w:r>
          </w:p>
        </w:tc>
        <w:tc>
          <w:tcPr>
            <w:tcW w:w="1483" w:type="dxa"/>
            <w:vAlign w:val="center"/>
          </w:tcPr>
          <w:p>
            <w:pPr>
              <w:spacing w:line="400" w:lineRule="exact"/>
              <w:ind w:firstLine="480" w:firstLineChars="200"/>
              <w:rPr>
                <w:rFonts w:ascii="宋体" w:hAnsi="宋体" w:cs="宋体"/>
                <w:sz w:val="24"/>
              </w:rPr>
            </w:pPr>
            <w:r>
              <w:rPr>
                <w:rFonts w:hint="eastAsia" w:ascii="宋体" w:hAnsi="宋体" w:cs="宋体"/>
                <w:sz w:val="24"/>
              </w:rPr>
              <w:t>投标报价</w:t>
            </w:r>
          </w:p>
        </w:tc>
        <w:tc>
          <w:tcPr>
            <w:tcW w:w="4530" w:type="dxa"/>
            <w:vAlign w:val="center"/>
          </w:tcPr>
          <w:p>
            <w:pPr>
              <w:spacing w:line="400" w:lineRule="exact"/>
              <w:ind w:firstLine="210" w:firstLineChars="100"/>
              <w:rPr>
                <w:rFonts w:ascii="宋体" w:hAnsi="宋体" w:cs="宋体"/>
                <w:sz w:val="24"/>
              </w:rPr>
            </w:pPr>
            <w:r>
              <w:rPr>
                <w:rFonts w:hint="eastAsia" w:ascii="宋体" w:hAnsi="宋体"/>
                <w:bCs/>
                <w:szCs w:val="21"/>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价格权值×100。</w:t>
            </w:r>
          </w:p>
        </w:tc>
        <w:tc>
          <w:tcPr>
            <w:tcW w:w="1567" w:type="dxa"/>
            <w:gridSpan w:val="2"/>
            <w:vAlign w:val="center"/>
          </w:tcPr>
          <w:p>
            <w:pPr>
              <w:pStyle w:val="35"/>
              <w:spacing w:line="400" w:lineRule="exact"/>
              <w:ind w:firstLine="0"/>
              <w:jc w:val="center"/>
              <w:rPr>
                <w:rFonts w:ascii="宋体" w:hAnsi="宋体" w:cs="宋体"/>
                <w:sz w:val="24"/>
              </w:rPr>
            </w:pPr>
          </w:p>
          <w:p>
            <w:pPr>
              <w:pStyle w:val="35"/>
              <w:spacing w:line="400" w:lineRule="exact"/>
              <w:jc w:val="center"/>
              <w:rPr>
                <w:rFonts w:ascii="宋体" w:hAnsi="宋体" w:cs="宋体"/>
                <w:sz w:val="24"/>
              </w:rPr>
            </w:pPr>
            <w:r>
              <w:rPr>
                <w:rFonts w:hint="eastAsia" w:ascii="宋体" w:hAnsi="宋体" w:cs="宋体"/>
                <w:sz w:val="24"/>
                <w:lang w:val="en-US" w:eastAsia="zh-CN"/>
              </w:rPr>
              <w:t>30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400" w:lineRule="exact"/>
              <w:jc w:val="center"/>
              <w:rPr>
                <w:rFonts w:ascii="宋体" w:hAnsi="宋体" w:cs="宋体"/>
                <w:sz w:val="24"/>
              </w:rPr>
            </w:pPr>
          </w:p>
        </w:tc>
        <w:tc>
          <w:tcPr>
            <w:tcW w:w="1208" w:type="dxa"/>
            <w:vAlign w:val="center"/>
          </w:tcPr>
          <w:p>
            <w:pPr>
              <w:spacing w:line="400" w:lineRule="exact"/>
              <w:jc w:val="center"/>
              <w:rPr>
                <w:rFonts w:ascii="宋体" w:hAnsi="宋体" w:cs="宋体"/>
                <w:sz w:val="24"/>
              </w:rPr>
            </w:pPr>
            <w:r>
              <w:rPr>
                <w:rFonts w:hint="eastAsia" w:ascii="宋体" w:hAnsi="宋体" w:cs="宋体"/>
                <w:sz w:val="24"/>
              </w:rPr>
              <w:t>技术标评审</w:t>
            </w:r>
          </w:p>
          <w:p>
            <w:pPr>
              <w:spacing w:line="400" w:lineRule="exact"/>
              <w:jc w:val="center"/>
              <w:rPr>
                <w:rFonts w:ascii="宋体" w:hAnsi="宋体" w:cs="宋体"/>
                <w:sz w:val="24"/>
              </w:rPr>
            </w:pPr>
            <w:r>
              <w:rPr>
                <w:rFonts w:hint="eastAsia" w:ascii="宋体" w:hAnsi="宋体" w:cs="宋体"/>
                <w:sz w:val="24"/>
              </w:rPr>
              <w:t>（70）分</w:t>
            </w:r>
          </w:p>
        </w:tc>
        <w:tc>
          <w:tcPr>
            <w:tcW w:w="1483" w:type="dxa"/>
            <w:vAlign w:val="center"/>
          </w:tcPr>
          <w:p>
            <w:pPr>
              <w:spacing w:line="400" w:lineRule="exact"/>
              <w:jc w:val="center"/>
              <w:rPr>
                <w:rFonts w:ascii="宋体" w:hAnsi="宋体" w:cs="宋体"/>
                <w:sz w:val="24"/>
              </w:rPr>
            </w:pPr>
            <w:r>
              <w:rPr>
                <w:rFonts w:hint="eastAsia" w:ascii="宋体" w:hAnsi="宋体" w:cs="宋体"/>
                <w:sz w:val="24"/>
              </w:rPr>
              <w:t>技术标</w:t>
            </w:r>
          </w:p>
        </w:tc>
        <w:tc>
          <w:tcPr>
            <w:tcW w:w="4530" w:type="dxa"/>
            <w:vAlign w:val="center"/>
          </w:tcPr>
          <w:p>
            <w:pPr>
              <w:spacing w:line="400" w:lineRule="exact"/>
              <w:jc w:val="center"/>
              <w:rPr>
                <w:rFonts w:ascii="宋体" w:hAnsi="宋体" w:cs="宋体"/>
                <w:sz w:val="24"/>
              </w:rPr>
            </w:pPr>
            <w:r>
              <w:rPr>
                <w:rFonts w:hint="eastAsia" w:ascii="宋体" w:hAnsi="宋体" w:cs="宋体"/>
                <w:sz w:val="24"/>
              </w:rPr>
              <w:t>详见技术标评审标准</w:t>
            </w:r>
          </w:p>
        </w:tc>
        <w:tc>
          <w:tcPr>
            <w:tcW w:w="1567" w:type="dxa"/>
            <w:gridSpan w:val="2"/>
            <w:vAlign w:val="center"/>
          </w:tcPr>
          <w:p>
            <w:pPr>
              <w:spacing w:line="400" w:lineRule="exact"/>
              <w:jc w:val="center"/>
              <w:rPr>
                <w:rFonts w:ascii="宋体" w:hAnsi="宋体" w:cs="宋体"/>
                <w:sz w:val="24"/>
              </w:rPr>
            </w:pPr>
            <w:r>
              <w:rPr>
                <w:rFonts w:hint="eastAsia" w:ascii="宋体" w:hAnsi="宋体" w:cs="宋体"/>
                <w:sz w:val="24"/>
                <w:lang w:val="en-US" w:eastAsia="zh-CN"/>
              </w:rPr>
              <w:t>70</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410" w:type="dxa"/>
            <w:gridSpan w:val="2"/>
          </w:tcPr>
          <w:p>
            <w:pPr>
              <w:spacing w:line="400" w:lineRule="exact"/>
              <w:jc w:val="center"/>
              <w:rPr>
                <w:rFonts w:ascii="宋体" w:hAnsi="宋体" w:cs="宋体"/>
                <w:sz w:val="24"/>
              </w:rPr>
            </w:pPr>
            <w:r>
              <w:rPr>
                <w:rFonts w:hint="eastAsia" w:ascii="宋体" w:hAnsi="宋体" w:cs="宋体"/>
                <w:sz w:val="24"/>
              </w:rPr>
              <w:t>合计</w:t>
            </w:r>
          </w:p>
        </w:tc>
        <w:tc>
          <w:tcPr>
            <w:tcW w:w="6013" w:type="dxa"/>
            <w:gridSpan w:val="2"/>
            <w:vAlign w:val="center"/>
          </w:tcPr>
          <w:p>
            <w:pPr>
              <w:spacing w:line="400" w:lineRule="exact"/>
              <w:jc w:val="center"/>
              <w:rPr>
                <w:rFonts w:ascii="宋体" w:hAnsi="宋体" w:cs="宋体"/>
                <w:sz w:val="24"/>
              </w:rPr>
            </w:pPr>
            <w:r>
              <w:rPr>
                <w:rFonts w:hint="eastAsia" w:ascii="宋体" w:hAnsi="宋体" w:cs="宋体"/>
                <w:sz w:val="24"/>
              </w:rPr>
              <w:t>100分</w:t>
            </w:r>
          </w:p>
        </w:tc>
        <w:tc>
          <w:tcPr>
            <w:tcW w:w="1567" w:type="dxa"/>
            <w:gridSpan w:val="2"/>
            <w:vAlign w:val="center"/>
          </w:tcPr>
          <w:p>
            <w:pPr>
              <w:spacing w:line="400" w:lineRule="exact"/>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tcPr>
          <w:p>
            <w:pPr>
              <w:spacing w:line="400" w:lineRule="exact"/>
              <w:rPr>
                <w:rFonts w:ascii="宋体" w:hAnsi="宋体" w:cs="宋体"/>
                <w:szCs w:val="21"/>
              </w:rPr>
            </w:pPr>
            <w:r>
              <w:rPr>
                <w:rFonts w:hint="eastAsia" w:ascii="宋体" w:hAnsi="宋体"/>
                <w:color w:val="000000"/>
              </w:rPr>
              <w:t>注</w:t>
            </w:r>
            <w:r>
              <w:rPr>
                <w:rFonts w:hint="eastAsia" w:ascii="宋体" w:hAnsi="宋体" w:cs="宋体"/>
                <w:sz w:val="24"/>
              </w:rPr>
              <w:t>：</w:t>
            </w:r>
            <w:r>
              <w:rPr>
                <w:rFonts w:hint="eastAsia" w:ascii="宋体" w:hAnsi="宋体"/>
                <w:szCs w:val="21"/>
              </w:rPr>
              <w:t xml:space="preserve"> </w:t>
            </w:r>
            <w:r>
              <w:rPr>
                <w:rFonts w:hint="eastAsia" w:ascii="宋体" w:hAnsi="宋体" w:cs="宋体"/>
                <w:szCs w:val="21"/>
              </w:rPr>
              <w:t>1、计算过程中，算术平均值保留2位小数（百分比亦取2位小数），第三位小数四舍五入。</w:t>
            </w:r>
          </w:p>
          <w:p>
            <w:pPr>
              <w:spacing w:line="400" w:lineRule="exact"/>
              <w:rPr>
                <w:rFonts w:ascii="宋体" w:hAnsi="宋体" w:cs="宋体"/>
                <w:sz w:val="24"/>
              </w:rPr>
            </w:pPr>
            <w:r>
              <w:rPr>
                <w:rFonts w:hint="eastAsia" w:ascii="宋体" w:hAnsi="宋体" w:cs="宋体"/>
                <w:szCs w:val="21"/>
              </w:rPr>
              <w:t>2、投标人的最终得分为：所有评委对其评分的算术平均值。</w:t>
            </w:r>
          </w:p>
        </w:tc>
      </w:tr>
      <w:bookmarkEnd w:id="43"/>
    </w:tbl>
    <w:p>
      <w:pPr>
        <w:spacing w:line="360" w:lineRule="exact"/>
        <w:rPr>
          <w:sz w:val="24"/>
        </w:rPr>
      </w:pPr>
      <w:bookmarkStart w:id="44" w:name="EB2b9517aba70e41b6b8039ac384a1ee3b"/>
      <w:r>
        <w:rPr>
          <w:rFonts w:hint="eastAsia"/>
          <w:color w:val="000080"/>
          <w:sz w:val="24"/>
        </w:rPr>
        <w:t xml:space="preserve"> </w:t>
      </w:r>
      <w:bookmarkEnd w:id="44"/>
      <w:bookmarkStart w:id="45" w:name="EB727693b662f248a4a3607ff2f7c636d8"/>
      <w:r>
        <w:rPr>
          <w:rFonts w:hint="eastAsia"/>
          <w:color w:val="000080"/>
          <w:sz w:val="24"/>
        </w:rPr>
        <w:t xml:space="preserve"> </w:t>
      </w:r>
      <w:bookmarkEnd w:id="45"/>
    </w:p>
    <w:p>
      <w:pPr>
        <w:widowControl/>
        <w:adjustRightInd w:val="0"/>
        <w:snapToGrid w:val="0"/>
        <w:spacing w:line="360" w:lineRule="auto"/>
        <w:rPr>
          <w:rFonts w:ascii="宋体" w:hAnsi="宋体"/>
          <w:b/>
          <w:bCs/>
          <w:sz w:val="24"/>
        </w:rPr>
      </w:pPr>
      <w:r>
        <w:rPr>
          <w:rFonts w:hint="eastAsia" w:ascii="宋体" w:hAnsi="宋体"/>
          <w:b/>
          <w:bCs/>
          <w:sz w:val="24"/>
        </w:rPr>
        <w:t>三.推荐成交供应商</w:t>
      </w:r>
    </w:p>
    <w:p>
      <w:pPr>
        <w:widowControl/>
        <w:adjustRightInd w:val="0"/>
        <w:snapToGrid w:val="0"/>
        <w:spacing w:line="360" w:lineRule="auto"/>
        <w:ind w:firstLine="480" w:firstLineChars="200"/>
        <w:rPr>
          <w:rFonts w:ascii="宋体" w:hAnsi="宋体"/>
          <w:bCs/>
          <w:sz w:val="24"/>
        </w:rPr>
      </w:pPr>
      <w:r>
        <w:rPr>
          <w:rFonts w:hint="eastAsia" w:ascii="宋体" w:hAnsi="宋体"/>
          <w:bCs/>
          <w:sz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ascii="宋体" w:hAnsi="宋体"/>
          <w:bCs/>
          <w:sz w:val="24"/>
        </w:rPr>
      </w:pPr>
      <w:r>
        <w:rPr>
          <w:rFonts w:hint="eastAsia" w:ascii="宋体" w:hAnsi="宋体"/>
          <w:bCs/>
          <w:sz w:val="24"/>
        </w:rPr>
        <w:t>2.评分计算方法解释</w:t>
      </w:r>
    </w:p>
    <w:p>
      <w:pPr>
        <w:widowControl/>
        <w:adjustRightInd w:val="0"/>
        <w:snapToGrid w:val="0"/>
        <w:spacing w:line="360" w:lineRule="auto"/>
        <w:ind w:firstLine="480" w:firstLineChars="200"/>
        <w:rPr>
          <w:rFonts w:ascii="宋体" w:hAnsi="宋体"/>
          <w:bCs/>
          <w:sz w:val="24"/>
        </w:rPr>
      </w:pPr>
      <w:r>
        <w:rPr>
          <w:rFonts w:hint="eastAsia" w:ascii="宋体" w:hAnsi="宋体"/>
          <w:bCs/>
          <w:sz w:val="24"/>
        </w:rPr>
        <w:t>（1）供应商的评审得分是指所有磋商小组成员对其评分的算术平均值。</w:t>
      </w:r>
    </w:p>
    <w:p>
      <w:pPr>
        <w:widowControl/>
        <w:adjustRightInd w:val="0"/>
        <w:snapToGrid w:val="0"/>
        <w:spacing w:line="360" w:lineRule="auto"/>
        <w:ind w:firstLine="480" w:firstLineChars="200"/>
        <w:rPr>
          <w:rFonts w:ascii="宋体" w:hAnsi="宋体"/>
          <w:bCs/>
          <w:sz w:val="24"/>
        </w:rPr>
      </w:pPr>
      <w:r>
        <w:rPr>
          <w:rFonts w:hint="eastAsia" w:ascii="宋体" w:hAnsi="宋体"/>
          <w:bCs/>
          <w:sz w:val="24"/>
        </w:rPr>
        <w:t>（2）计算过程中，算术平均值保留2位小数（百分比亦取2位小数），第三位小数四舍五入。</w:t>
      </w:r>
    </w:p>
    <w:p>
      <w:pPr>
        <w:widowControl/>
        <w:adjustRightInd w:val="0"/>
        <w:snapToGrid w:val="0"/>
        <w:spacing w:line="360" w:lineRule="auto"/>
        <w:rPr>
          <w:rFonts w:ascii="宋体" w:hAnsi="宋体"/>
          <w:b/>
          <w:bCs/>
          <w:sz w:val="24"/>
        </w:rPr>
      </w:pPr>
      <w:r>
        <w:rPr>
          <w:rFonts w:hint="eastAsia" w:ascii="宋体" w:hAnsi="宋体"/>
          <w:b/>
          <w:bCs/>
          <w:sz w:val="24"/>
        </w:rPr>
        <w:t>四.确定成交供应商</w:t>
      </w:r>
    </w:p>
    <w:p>
      <w:pPr>
        <w:widowControl/>
        <w:adjustRightInd w:val="0"/>
        <w:snapToGrid w:val="0"/>
        <w:spacing w:line="360" w:lineRule="auto"/>
        <w:ind w:firstLine="480" w:firstLineChars="200"/>
        <w:rPr>
          <w:rFonts w:ascii="宋体" w:hAnsi="宋体"/>
          <w:bCs/>
          <w:sz w:val="24"/>
        </w:rPr>
      </w:pPr>
      <w:r>
        <w:rPr>
          <w:rFonts w:hint="eastAsia" w:ascii="宋体" w:hAnsi="宋体"/>
          <w:bCs/>
          <w:sz w:val="24"/>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adjustRightInd w:val="0"/>
        <w:snapToGrid w:val="0"/>
        <w:spacing w:line="360" w:lineRule="auto"/>
        <w:rPr>
          <w:rFonts w:hint="eastAsia" w:ascii="宋体" w:hAnsi="宋体"/>
          <w:b/>
          <w:bCs/>
          <w:sz w:val="24"/>
        </w:rPr>
      </w:pPr>
      <w:r>
        <w:rPr>
          <w:rFonts w:hint="eastAsia" w:ascii="宋体" w:hAnsi="宋体"/>
          <w:b/>
          <w:bCs/>
          <w:sz w:val="24"/>
        </w:rPr>
        <w:t>五．采购政策功能落实：</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1、小微型企业价格扣除</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（1）本项目对小型和微型企业产品给予3%的扣除价格，用扣除后的价格参与评审。</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（2）供应商需按照采购文件的要求提供相应的《企业声明函》。</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（3）企业标准请参照《关于印发中小企业划型标准规定的通知》（工信部联企业[2011]300号）文件规定自行填写。</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2、残疾人福利单位价格扣除</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（1）本项目对残疾人福利性单位视同小型、微型企业，给予3%的价格扣除，用扣除后的价格参与评审。</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（2）残疾人福利单位需按照采购文件的要求提供《残疾人福利性单位声明函》。</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（3）残疾人福利单位标准请参照《关于促进残疾人就业政府采购政策的通知》（财库〔2017〕141号）。</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3、监狱和戒毒企业价格扣除</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（1）本项目对监狱和戒毒企业（简称监狱企业）视同小型、微型企业，给予3%的价格扣除，用扣除后的价格参与评审。</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（2）监狱企业参加政府采购活动时，需提供由省级以上监狱管理局、戒毒管理局(含新疆生产建设兵团)出具的属于监狱企业的证明文件。供应商如不提供上述证明文件，价格将不做相应扣除。</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（3）监狱企业标准请参照《关于政府采购支持监狱企业发展有关问题的通知》（财库[2014]68号）。</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4、残疾人福利单位、监狱企业属于小型、微型企业的，不重复享受政策。</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widowControl/>
        <w:adjustRightInd w:val="0"/>
        <w:snapToGrid w:val="0"/>
        <w:spacing w:line="360" w:lineRule="auto"/>
        <w:ind w:firstLine="480" w:firstLineChars="200"/>
        <w:rPr>
          <w:rFonts w:hint="eastAsia" w:ascii="宋体" w:hAnsi="宋体"/>
          <w:bCs/>
          <w:sz w:val="24"/>
        </w:rPr>
      </w:pPr>
      <w:r>
        <w:rPr>
          <w:rFonts w:hint="eastAsia" w:ascii="宋体" w:hAnsi="宋体"/>
          <w:bCs/>
          <w:sz w:val="24"/>
        </w:rPr>
        <w:t>6、联合体各方均为小型、微型企业（残疾人福利单位、监狱企业）的，联合体享受3%价格扣除，用扣除后的价格参与评审。</w:t>
      </w:r>
    </w:p>
    <w:p>
      <w:pPr>
        <w:pStyle w:val="2"/>
      </w:pPr>
    </w:p>
    <w:p>
      <w:pPr>
        <w:pStyle w:val="35"/>
        <w:rPr>
          <w:rFonts w:ascii="宋体" w:hAnsi="宋体"/>
          <w:bCs/>
          <w:sz w:val="24"/>
          <w:szCs w:val="24"/>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pStyle w:val="35"/>
        <w:rPr>
          <w:rFonts w:hint="eastAsia" w:ascii="宋体" w:hAnsi="宋体"/>
          <w:bCs/>
          <w:sz w:val="24"/>
          <w:szCs w:val="24"/>
          <w:highlight w:val="white"/>
        </w:rPr>
      </w:pPr>
    </w:p>
    <w:p>
      <w:pPr>
        <w:pStyle w:val="35"/>
        <w:rPr>
          <w:rFonts w:ascii="宋体" w:hAnsi="宋体"/>
          <w:bCs/>
          <w:sz w:val="24"/>
          <w:szCs w:val="24"/>
          <w:highlight w:val="white"/>
        </w:rPr>
      </w:pPr>
    </w:p>
    <w:p>
      <w:pPr>
        <w:pStyle w:val="35"/>
        <w:rPr>
          <w:rFonts w:ascii="宋体" w:hAnsi="宋体"/>
          <w:bCs/>
          <w:sz w:val="24"/>
          <w:szCs w:val="24"/>
          <w:highlight w:val="white"/>
        </w:rPr>
      </w:pPr>
    </w:p>
    <w:p>
      <w:pPr>
        <w:tabs>
          <w:tab w:val="left" w:pos="900"/>
        </w:tabs>
        <w:spacing w:before="240" w:after="240" w:line="276" w:lineRule="auto"/>
        <w:jc w:val="center"/>
        <w:rPr>
          <w:rFonts w:ascii="宋体" w:hAnsi="宋体" w:cs="宋体"/>
          <w:b/>
          <w:sz w:val="30"/>
          <w:szCs w:val="30"/>
        </w:rPr>
      </w:pPr>
      <w:r>
        <w:rPr>
          <w:rFonts w:hint="eastAsia" w:ascii="宋体" w:hAnsi="宋体" w:cs="宋体"/>
          <w:sz w:val="32"/>
          <w:szCs w:val="30"/>
        </w:rPr>
        <w:softHyphen/>
      </w:r>
      <w:r>
        <w:rPr>
          <w:rFonts w:hint="eastAsia" w:ascii="宋体" w:hAnsi="宋体" w:cs="宋体"/>
          <w:b/>
          <w:sz w:val="32"/>
          <w:szCs w:val="30"/>
        </w:rPr>
        <w:t>技术标评审标准</w:t>
      </w:r>
    </w:p>
    <w:tbl>
      <w:tblPr>
        <w:tblStyle w:val="36"/>
        <w:tblpPr w:leftFromText="180" w:rightFromText="180" w:vertAnchor="text" w:horzAnchor="margin" w:tblpXSpec="center" w:tblpY="157"/>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550"/>
        <w:gridCol w:w="813"/>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 w:val="24"/>
              </w:rPr>
            </w:pPr>
          </w:p>
          <w:p>
            <w:pPr>
              <w:spacing w:line="360" w:lineRule="auto"/>
              <w:jc w:val="center"/>
              <w:rPr>
                <w:rFonts w:ascii="宋体" w:hAnsi="宋体" w:cs="宋体"/>
                <w:b/>
                <w:color w:val="000000"/>
                <w:sz w:val="24"/>
              </w:rPr>
            </w:pPr>
            <w:r>
              <w:rPr>
                <w:rFonts w:hint="eastAsia" w:ascii="宋体" w:hAnsi="宋体" w:cs="宋体"/>
                <w:b/>
                <w:color w:val="000000"/>
                <w:sz w:val="24"/>
              </w:rPr>
              <w:t>评标项目</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 w:val="24"/>
              </w:rPr>
            </w:pPr>
            <w:r>
              <w:rPr>
                <w:rFonts w:hint="eastAsia" w:ascii="宋体" w:hAnsi="宋体" w:cs="宋体"/>
                <w:b/>
                <w:color w:val="000000"/>
                <w:sz w:val="24"/>
              </w:rPr>
              <w:t>评分点</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000000"/>
                <w:sz w:val="24"/>
              </w:rPr>
            </w:pPr>
            <w:r>
              <w:rPr>
                <w:rFonts w:hint="eastAsia" w:ascii="宋体" w:hAnsi="宋体" w:cs="宋体"/>
                <w:b/>
                <w:color w:val="000000"/>
                <w:sz w:val="24"/>
              </w:rPr>
              <w:t>分值</w:t>
            </w:r>
          </w:p>
        </w:tc>
        <w:tc>
          <w:tcPr>
            <w:tcW w:w="582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b/>
                <w:color w:val="000000"/>
                <w:sz w:val="24"/>
              </w:rPr>
            </w:pPr>
            <w:r>
              <w:rPr>
                <w:rFonts w:hint="eastAsia" w:ascii="宋体" w:hAnsi="宋体" w:cs="宋体"/>
                <w:b/>
                <w:color w:val="000000"/>
                <w:sz w:val="24"/>
              </w:rPr>
              <w:t>评标要点及说明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6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b/>
                <w:bCs/>
                <w:color w:val="000000"/>
                <w:szCs w:val="21"/>
              </w:rPr>
              <w:t>技术分(</w:t>
            </w:r>
            <w:r>
              <w:rPr>
                <w:rFonts w:hint="eastAsia" w:ascii="宋体" w:hAnsi="宋体" w:cs="宋体"/>
                <w:b/>
                <w:bCs/>
                <w:color w:val="000000"/>
                <w:szCs w:val="21"/>
                <w:lang w:val="en-US" w:eastAsia="zh-CN"/>
              </w:rPr>
              <w:t>70</w:t>
            </w:r>
            <w:r>
              <w:rPr>
                <w:rFonts w:hint="eastAsia" w:ascii="宋体" w:hAnsi="宋体" w:cs="宋体"/>
                <w:b/>
                <w:bCs/>
                <w:color w:val="000000"/>
                <w:szCs w:val="21"/>
              </w:rPr>
              <w:t>分)</w:t>
            </w:r>
          </w:p>
        </w:tc>
        <w:tc>
          <w:tcPr>
            <w:tcW w:w="1550" w:type="dxa"/>
            <w:vMerge w:val="restart"/>
            <w:tcBorders>
              <w:top w:val="single" w:color="auto" w:sz="4" w:space="0"/>
              <w:left w:val="single" w:color="auto" w:sz="4" w:space="0"/>
              <w:right w:val="single" w:color="auto" w:sz="4" w:space="0"/>
            </w:tcBorders>
            <w:shd w:val="clear" w:color="auto" w:fill="auto"/>
            <w:vAlign w:val="center"/>
          </w:tcPr>
          <w:p>
            <w:pPr>
              <w:spacing w:line="400" w:lineRule="exact"/>
              <w:jc w:val="left"/>
              <w:rPr>
                <w:rFonts w:ascii="宋体" w:hAnsi="宋体" w:cs="宋体"/>
                <w:sz w:val="24"/>
                <w:highlight w:val="yellow"/>
              </w:rPr>
            </w:pPr>
            <w:r>
              <w:rPr>
                <w:rFonts w:hint="eastAsia" w:ascii="宋体" w:hAnsi="宋体" w:cs="宋体"/>
                <w:sz w:val="24"/>
                <w:highlight w:val="none"/>
                <w:shd w:val="clear"/>
              </w:rPr>
              <w:t>技术支持及服务方案（</w:t>
            </w:r>
            <w:r>
              <w:rPr>
                <w:rFonts w:hint="eastAsia" w:ascii="宋体" w:hAnsi="宋体" w:cs="宋体"/>
                <w:sz w:val="24"/>
                <w:highlight w:val="none"/>
                <w:shd w:val="clear"/>
                <w:lang w:val="en-US" w:eastAsia="zh-CN"/>
              </w:rPr>
              <w:t>27</w:t>
            </w:r>
            <w:r>
              <w:rPr>
                <w:rFonts w:hint="eastAsia" w:ascii="宋体" w:hAnsi="宋体" w:cs="宋体"/>
                <w:sz w:val="24"/>
                <w:highlight w:val="none"/>
                <w:shd w:val="clear"/>
              </w:rPr>
              <w:t>分）</w:t>
            </w:r>
          </w:p>
        </w:tc>
        <w:tc>
          <w:tcPr>
            <w:tcW w:w="813" w:type="dxa"/>
            <w:vMerge w:val="restart"/>
            <w:tcBorders>
              <w:top w:val="single" w:color="auto" w:sz="4" w:space="0"/>
              <w:left w:val="single" w:color="auto" w:sz="4" w:space="0"/>
              <w:right w:val="single" w:color="auto" w:sz="4" w:space="0"/>
            </w:tcBorders>
            <w:shd w:val="clear" w:color="auto" w:fill="auto"/>
            <w:vAlign w:val="center"/>
          </w:tcPr>
          <w:p>
            <w:pPr>
              <w:pStyle w:val="2"/>
              <w:jc w:val="center"/>
              <w:rPr>
                <w:szCs w:val="21"/>
                <w:highlight w:val="none"/>
              </w:rPr>
            </w:pPr>
            <w:r>
              <w:rPr>
                <w:rFonts w:hint="eastAsia" w:ascii="宋体" w:hAnsi="宋体" w:cs="宋体"/>
                <w:color w:val="000000"/>
                <w:kern w:val="0"/>
                <w:szCs w:val="21"/>
                <w:highlight w:val="none"/>
                <w:lang w:val="en-US" w:eastAsia="zh-CN"/>
              </w:rPr>
              <w:t>27</w:t>
            </w:r>
            <w:r>
              <w:rPr>
                <w:rFonts w:hint="eastAsia" w:ascii="宋体" w:hAnsi="宋体" w:cs="宋体"/>
                <w:color w:val="000000"/>
                <w:kern w:val="0"/>
                <w:szCs w:val="21"/>
                <w:highlight w:val="none"/>
              </w:rPr>
              <w:t>分</w:t>
            </w:r>
          </w:p>
        </w:tc>
        <w:tc>
          <w:tcPr>
            <w:tcW w:w="5822" w:type="dxa"/>
            <w:tcBorders>
              <w:top w:val="single" w:color="auto" w:sz="4" w:space="0"/>
              <w:left w:val="single" w:color="auto" w:sz="4" w:space="0"/>
              <w:bottom w:val="single" w:color="auto" w:sz="4" w:space="0"/>
              <w:right w:val="single" w:color="auto" w:sz="4" w:space="0"/>
            </w:tcBorders>
            <w:shd w:val="clear" w:color="auto" w:fill="auto"/>
          </w:tcPr>
          <w:p>
            <w:pPr>
              <w:pStyle w:val="87"/>
              <w:spacing w:before="0" w:after="0" w:line="400" w:lineRule="exact"/>
              <w:ind w:firstLine="0"/>
              <w:rPr>
                <w:rFonts w:hint="default" w:ascii="宋体" w:hAnsi="宋体" w:eastAsia="宋体" w:cs="Tahoma"/>
                <w:color w:val="000000"/>
                <w:szCs w:val="21"/>
                <w:highlight w:val="none"/>
              </w:rPr>
            </w:pPr>
            <w:r>
              <w:rPr>
                <w:rFonts w:hint="default" w:ascii="宋体" w:hAnsi="宋体" w:eastAsia="宋体" w:cs="Tahoma"/>
                <w:color w:val="000000"/>
                <w:szCs w:val="21"/>
                <w:highlight w:val="none"/>
                <w:lang w:val="en-US" w:eastAsia="zh-CN"/>
              </w:rPr>
              <w:t>技术要求</w:t>
            </w:r>
            <w:r>
              <w:rPr>
                <w:rFonts w:hint="default" w:ascii="宋体" w:hAnsi="宋体" w:eastAsia="宋体" w:cs="Tahoma"/>
                <w:color w:val="000000"/>
                <w:szCs w:val="21"/>
                <w:highlight w:val="none"/>
              </w:rPr>
              <w:t>（</w:t>
            </w:r>
            <w:r>
              <w:rPr>
                <w:rFonts w:hint="default" w:ascii="宋体" w:hAnsi="宋体" w:eastAsia="宋体" w:cs="Tahoma"/>
                <w:color w:val="000000"/>
                <w:szCs w:val="21"/>
                <w:highlight w:val="none"/>
                <w:lang w:val="en-US" w:eastAsia="zh-CN"/>
              </w:rPr>
              <w:t>15</w:t>
            </w:r>
            <w:r>
              <w:rPr>
                <w:rFonts w:hint="default" w:ascii="宋体" w:hAnsi="宋体" w:eastAsia="宋体" w:cs="Tahoma"/>
                <w:color w:val="000000"/>
                <w:szCs w:val="21"/>
                <w:highlight w:val="none"/>
              </w:rPr>
              <w:t>分）投标文件对招标文件要求的</w:t>
            </w:r>
            <w:r>
              <w:rPr>
                <w:rFonts w:hint="default" w:ascii="宋体" w:hAnsi="宋体" w:eastAsia="宋体" w:cs="Tahoma"/>
                <w:color w:val="000000"/>
                <w:szCs w:val="21"/>
                <w:highlight w:val="none"/>
                <w:lang w:val="en-US" w:eastAsia="zh-CN"/>
              </w:rPr>
              <w:t>服务</w:t>
            </w:r>
            <w:r>
              <w:rPr>
                <w:rFonts w:hint="default" w:ascii="宋体" w:hAnsi="宋体" w:eastAsia="宋体" w:cs="Tahoma"/>
                <w:color w:val="000000"/>
                <w:szCs w:val="21"/>
                <w:highlight w:val="none"/>
              </w:rPr>
              <w:t>技术规要求完全响应无偏离的得</w:t>
            </w:r>
            <w:r>
              <w:rPr>
                <w:rFonts w:hint="default" w:ascii="宋体" w:hAnsi="宋体" w:eastAsia="宋体" w:cs="Tahoma"/>
                <w:color w:val="000000"/>
                <w:szCs w:val="21"/>
                <w:highlight w:val="none"/>
                <w:lang w:val="en-US" w:eastAsia="zh-CN"/>
              </w:rPr>
              <w:t>15</w:t>
            </w:r>
            <w:r>
              <w:rPr>
                <w:rFonts w:hint="default" w:ascii="宋体" w:hAnsi="宋体" w:eastAsia="宋体" w:cs="Tahoma"/>
                <w:color w:val="000000"/>
                <w:szCs w:val="21"/>
                <w:highlight w:val="none"/>
              </w:rPr>
              <w:t>分。有一项</w:t>
            </w:r>
            <w:r>
              <w:rPr>
                <w:rFonts w:hint="default" w:ascii="宋体" w:hAnsi="宋体" w:eastAsia="宋体" w:cs="Tahoma"/>
                <w:color w:val="000000"/>
                <w:szCs w:val="21"/>
                <w:highlight w:val="none"/>
                <w:lang w:val="en-US" w:eastAsia="zh-CN"/>
              </w:rPr>
              <w:t>带负</w:t>
            </w:r>
            <w:r>
              <w:rPr>
                <w:rFonts w:hint="default" w:ascii="宋体" w:hAnsi="宋体" w:eastAsia="宋体" w:cs="Tahoma"/>
                <w:color w:val="000000"/>
                <w:szCs w:val="21"/>
                <w:highlight w:val="none"/>
              </w:rPr>
              <w:t>偏离</w:t>
            </w:r>
            <w:r>
              <w:rPr>
                <w:rFonts w:hint="default" w:ascii="宋体" w:hAnsi="宋体" w:eastAsia="宋体" w:cs="Tahoma"/>
                <w:color w:val="000000"/>
                <w:szCs w:val="21"/>
                <w:highlight w:val="none"/>
                <w:lang w:val="en-US" w:eastAsia="zh-CN"/>
              </w:rPr>
              <w:t>扣</w:t>
            </w:r>
            <w:r>
              <w:rPr>
                <w:rFonts w:hint="default" w:ascii="宋体" w:hAnsi="宋体" w:eastAsia="宋体" w:cs="Tahoma"/>
                <w:color w:val="000000"/>
                <w:szCs w:val="21"/>
                <w:highlight w:val="none"/>
              </w:rPr>
              <w:t xml:space="preserve"> </w:t>
            </w:r>
            <w:r>
              <w:rPr>
                <w:rFonts w:hint="default" w:ascii="宋体" w:hAnsi="宋体" w:eastAsia="宋体" w:cs="Tahoma"/>
                <w:color w:val="000000"/>
                <w:szCs w:val="21"/>
                <w:highlight w:val="none"/>
                <w:lang w:val="en-US" w:eastAsia="zh-CN"/>
              </w:rPr>
              <w:t>5分，扣完为止分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66" w:type="dxa"/>
            <w:vMerge w:val="continue"/>
            <w:tcBorders>
              <w:left w:val="single" w:color="auto" w:sz="4" w:space="0"/>
              <w:right w:val="single" w:color="auto" w:sz="4" w:space="0"/>
            </w:tcBorders>
            <w:vAlign w:val="center"/>
          </w:tcPr>
          <w:p>
            <w:pPr>
              <w:jc w:val="center"/>
              <w:rPr>
                <w:rFonts w:hint="eastAsia" w:ascii="宋体" w:hAnsi="宋体" w:cs="宋体"/>
                <w:b/>
                <w:bCs/>
                <w:color w:val="000000"/>
                <w:szCs w:val="21"/>
              </w:rPr>
            </w:pPr>
          </w:p>
        </w:tc>
        <w:tc>
          <w:tcPr>
            <w:tcW w:w="1550" w:type="dxa"/>
            <w:vMerge w:val="continue"/>
            <w:tcBorders>
              <w:left w:val="single" w:color="auto" w:sz="4" w:space="0"/>
              <w:right w:val="single" w:color="auto" w:sz="4" w:space="0"/>
            </w:tcBorders>
            <w:shd w:val="clear" w:color="auto" w:fill="auto"/>
            <w:vAlign w:val="center"/>
          </w:tcPr>
          <w:p>
            <w:pPr>
              <w:spacing w:line="400" w:lineRule="exact"/>
              <w:jc w:val="left"/>
              <w:rPr>
                <w:rFonts w:hint="eastAsia" w:ascii="宋体" w:hAnsi="宋体" w:cs="宋体"/>
                <w:sz w:val="24"/>
                <w:highlight w:val="yellow"/>
              </w:rPr>
            </w:pPr>
          </w:p>
        </w:tc>
        <w:tc>
          <w:tcPr>
            <w:tcW w:w="813" w:type="dxa"/>
            <w:vMerge w:val="continue"/>
            <w:tcBorders>
              <w:left w:val="single" w:color="auto" w:sz="4" w:space="0"/>
              <w:right w:val="single" w:color="auto" w:sz="4" w:space="0"/>
            </w:tcBorders>
            <w:shd w:val="clear" w:color="auto" w:fill="auto"/>
            <w:vAlign w:val="center"/>
          </w:tcPr>
          <w:p>
            <w:pPr>
              <w:pStyle w:val="2"/>
              <w:jc w:val="center"/>
              <w:rPr>
                <w:rFonts w:hint="eastAsia" w:ascii="宋体" w:hAnsi="宋体" w:cs="宋体"/>
                <w:color w:val="000000"/>
                <w:kern w:val="0"/>
                <w:szCs w:val="21"/>
                <w:highlight w:val="none"/>
                <w:lang w:val="en-US" w:eastAsia="zh-CN"/>
              </w:rPr>
            </w:pPr>
          </w:p>
        </w:tc>
        <w:tc>
          <w:tcPr>
            <w:tcW w:w="5822" w:type="dxa"/>
            <w:tcBorders>
              <w:top w:val="single" w:color="auto" w:sz="4" w:space="0"/>
              <w:left w:val="single" w:color="auto" w:sz="4" w:space="0"/>
              <w:bottom w:val="single" w:color="auto" w:sz="4" w:space="0"/>
              <w:right w:val="single" w:color="auto" w:sz="4" w:space="0"/>
            </w:tcBorders>
            <w:shd w:val="clear" w:color="auto" w:fill="auto"/>
          </w:tcPr>
          <w:p>
            <w:pPr>
              <w:pStyle w:val="87"/>
              <w:spacing w:before="0" w:after="0" w:line="400" w:lineRule="exact"/>
              <w:ind w:firstLine="0"/>
              <w:rPr>
                <w:rFonts w:hint="default" w:ascii="宋体" w:hAnsi="宋体" w:eastAsia="宋体" w:cs="Tahoma"/>
                <w:color w:val="000000"/>
                <w:szCs w:val="21"/>
                <w:highlight w:val="none"/>
                <w:lang w:val="en-US" w:eastAsia="zh-CN"/>
              </w:rPr>
            </w:pPr>
            <w:r>
              <w:rPr>
                <w:rFonts w:hint="default" w:ascii="宋体" w:hAnsi="宋体" w:eastAsia="宋体" w:cs="Tahoma"/>
                <w:color w:val="000000"/>
                <w:szCs w:val="21"/>
                <w:highlight w:val="none"/>
                <w:lang w:val="en-US" w:eastAsia="zh-CN"/>
              </w:rPr>
              <w:t>对业主现状的需求，要求有内容完整，可操作性强，能形成良好效果</w:t>
            </w:r>
            <w:r>
              <w:rPr>
                <w:rFonts w:hint="eastAsia" w:ascii="宋体" w:hAnsi="宋体" w:eastAsia="宋体" w:cs="Tahoma"/>
                <w:color w:val="000000"/>
                <w:szCs w:val="21"/>
                <w:highlight w:val="none"/>
                <w:lang w:val="en-US" w:eastAsia="zh-CN"/>
              </w:rPr>
              <w:t>得2分</w:t>
            </w:r>
            <w:r>
              <w:rPr>
                <w:rFonts w:hint="default" w:ascii="宋体" w:hAnsi="宋体" w:eastAsia="宋体" w:cs="Tahoma"/>
                <w:color w:val="000000"/>
                <w:szCs w:val="21"/>
                <w:highlight w:val="none"/>
                <w:lang w:val="en-US" w:eastAsia="zh-CN"/>
              </w:rPr>
              <w:t>，根据对投标项目的现状理解程度</w:t>
            </w:r>
            <w:r>
              <w:rPr>
                <w:rFonts w:hint="eastAsia" w:ascii="宋体" w:hAnsi="宋体" w:eastAsia="宋体" w:cs="Tahoma"/>
                <w:color w:val="000000"/>
                <w:szCs w:val="21"/>
                <w:highlight w:val="none"/>
                <w:lang w:val="en-US" w:eastAsia="zh-CN"/>
              </w:rPr>
              <w:t>完整得2分</w:t>
            </w:r>
            <w:r>
              <w:rPr>
                <w:rFonts w:hint="default" w:ascii="宋体" w:hAnsi="宋体" w:eastAsia="宋体" w:cs="Tahoma"/>
                <w:color w:val="000000"/>
                <w:szCs w:val="21"/>
                <w:highlight w:val="none"/>
                <w:lang w:val="en-US" w:eastAsia="zh-CN"/>
              </w:rPr>
              <w:t>、需求分析、内容设计等情况</w:t>
            </w:r>
            <w:r>
              <w:rPr>
                <w:rFonts w:hint="eastAsia" w:ascii="宋体" w:hAnsi="宋体" w:eastAsia="宋体" w:cs="Tahoma"/>
                <w:color w:val="000000"/>
                <w:szCs w:val="21"/>
                <w:highlight w:val="none"/>
                <w:lang w:val="en-US" w:eastAsia="zh-CN"/>
              </w:rPr>
              <w:t>优秀得2分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66" w:type="dxa"/>
            <w:vMerge w:val="continue"/>
            <w:tcBorders>
              <w:left w:val="single" w:color="auto" w:sz="4" w:space="0"/>
              <w:right w:val="single" w:color="auto" w:sz="4" w:space="0"/>
            </w:tcBorders>
            <w:vAlign w:val="center"/>
          </w:tcPr>
          <w:p>
            <w:pPr>
              <w:jc w:val="center"/>
              <w:rPr>
                <w:rFonts w:hint="eastAsia" w:ascii="宋体" w:hAnsi="宋体" w:cs="宋体"/>
                <w:b/>
                <w:bCs/>
                <w:color w:val="000000"/>
                <w:szCs w:val="21"/>
              </w:rPr>
            </w:pPr>
          </w:p>
        </w:tc>
        <w:tc>
          <w:tcPr>
            <w:tcW w:w="1550" w:type="dxa"/>
            <w:vMerge w:val="continue"/>
            <w:tcBorders>
              <w:left w:val="single" w:color="auto" w:sz="4" w:space="0"/>
              <w:bottom w:val="single" w:color="auto" w:sz="4" w:space="0"/>
              <w:right w:val="single" w:color="auto" w:sz="4" w:space="0"/>
            </w:tcBorders>
            <w:shd w:val="clear" w:color="auto" w:fill="auto"/>
            <w:vAlign w:val="center"/>
          </w:tcPr>
          <w:p>
            <w:pPr>
              <w:spacing w:line="400" w:lineRule="exact"/>
              <w:jc w:val="left"/>
              <w:rPr>
                <w:rFonts w:hint="eastAsia" w:ascii="宋体" w:hAnsi="宋体" w:cs="宋体"/>
                <w:sz w:val="24"/>
                <w:highlight w:val="yellow"/>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pStyle w:val="2"/>
              <w:jc w:val="center"/>
              <w:rPr>
                <w:rFonts w:hint="eastAsia" w:ascii="宋体" w:hAnsi="宋体" w:cs="宋体"/>
                <w:color w:val="000000"/>
                <w:kern w:val="0"/>
                <w:szCs w:val="21"/>
                <w:highlight w:val="none"/>
                <w:lang w:val="en-US" w:eastAsia="zh-CN"/>
              </w:rPr>
            </w:pPr>
          </w:p>
        </w:tc>
        <w:tc>
          <w:tcPr>
            <w:tcW w:w="5822" w:type="dxa"/>
            <w:tcBorders>
              <w:top w:val="single" w:color="auto" w:sz="4" w:space="0"/>
              <w:left w:val="single" w:color="auto" w:sz="4" w:space="0"/>
              <w:bottom w:val="single" w:color="auto" w:sz="4" w:space="0"/>
              <w:right w:val="single" w:color="auto" w:sz="4" w:space="0"/>
            </w:tcBorders>
            <w:shd w:val="clear" w:color="auto" w:fill="auto"/>
          </w:tcPr>
          <w:p>
            <w:pPr>
              <w:pStyle w:val="87"/>
              <w:spacing w:before="0" w:after="0" w:line="400" w:lineRule="exact"/>
              <w:ind w:firstLine="0"/>
              <w:rPr>
                <w:rFonts w:hint="default" w:ascii="宋体" w:hAnsi="宋体" w:eastAsia="宋体" w:cs="Tahoma"/>
                <w:color w:val="000000"/>
                <w:szCs w:val="21"/>
                <w:highlight w:val="none"/>
                <w:lang w:val="en-US" w:eastAsia="zh-CN"/>
              </w:rPr>
            </w:pPr>
            <w:r>
              <w:rPr>
                <w:rFonts w:hint="eastAsia" w:ascii="宋体" w:hAnsi="宋体" w:eastAsia="宋体" w:cs="Tahoma"/>
                <w:color w:val="000000"/>
                <w:szCs w:val="21"/>
                <w:highlight w:val="none"/>
                <w:lang w:val="en-US" w:eastAsia="zh-CN"/>
              </w:rPr>
              <w:t>项目实施方案完整、实施计划清晰，能结合实际需求得2分，有针对性和落地性强得实施方案，包含完善可行的实施目标、实施计划、实施进度、团队配置、保障措施等得4分；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666" w:type="dxa"/>
            <w:vMerge w:val="continue"/>
            <w:tcBorders>
              <w:left w:val="single" w:color="auto" w:sz="4" w:space="0"/>
              <w:right w:val="single" w:color="auto" w:sz="4" w:space="0"/>
            </w:tcBorders>
            <w:vAlign w:val="center"/>
          </w:tcPr>
          <w:p>
            <w:pPr>
              <w:jc w:val="center"/>
              <w:rPr>
                <w:rFonts w:ascii="宋体" w:hAnsi="宋体" w:cs="宋体"/>
                <w:color w:val="000000"/>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eastAsia="宋体" w:cs="宋体"/>
                <w:color w:val="000000"/>
                <w:kern w:val="0"/>
                <w:sz w:val="21"/>
                <w:szCs w:val="21"/>
                <w:highlight w:val="none"/>
                <w:lang w:val="en-US" w:eastAsia="zh-CN" w:bidi="ar-SA"/>
              </w:rPr>
              <w:t>进度控制（</w:t>
            </w:r>
            <w:r>
              <w:rPr>
                <w:rFonts w:hint="eastAsia" w:ascii="宋体" w:hAnsi="宋体" w:cs="宋体"/>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lang w:val="en-US" w:eastAsia="zh-CN" w:bidi="ar-SA"/>
              </w:rPr>
              <w:t>分）</w:t>
            </w:r>
          </w:p>
        </w:tc>
        <w:tc>
          <w:tcPr>
            <w:tcW w:w="813" w:type="dxa"/>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3分</w:t>
            </w:r>
          </w:p>
        </w:tc>
        <w:tc>
          <w:tcPr>
            <w:tcW w:w="5822" w:type="dxa"/>
            <w:tcBorders>
              <w:top w:val="single" w:color="auto" w:sz="4" w:space="0"/>
              <w:left w:val="single" w:color="auto" w:sz="4" w:space="0"/>
              <w:bottom w:val="single" w:color="auto" w:sz="4" w:space="0"/>
              <w:right w:val="single" w:color="auto" w:sz="4" w:space="0"/>
            </w:tcBorders>
            <w:vAlign w:val="center"/>
          </w:tcPr>
          <w:p>
            <w:pPr>
              <w:pStyle w:val="87"/>
              <w:spacing w:before="0" w:after="0" w:line="400" w:lineRule="exact"/>
              <w:ind w:firstLine="0"/>
              <w:rPr>
                <w:rFonts w:hint="default" w:ascii="宋体" w:hAnsi="宋体" w:eastAsia="宋体" w:cs="宋体"/>
                <w:szCs w:val="24"/>
                <w:highlight w:val="none"/>
              </w:rPr>
            </w:pPr>
            <w:r>
              <w:rPr>
                <w:rFonts w:hint="default" w:ascii="宋体" w:hAnsi="宋体" w:eastAsia="宋体" w:cs="宋体"/>
                <w:szCs w:val="24"/>
                <w:highlight w:val="none"/>
              </w:rPr>
              <w:t>项目进度控制时间明细设置是否合理</w:t>
            </w:r>
            <w:r>
              <w:rPr>
                <w:rFonts w:hint="eastAsia" w:ascii="宋体" w:hAnsi="宋体" w:eastAsia="宋体" w:cs="宋体"/>
                <w:szCs w:val="24"/>
                <w:highlight w:val="none"/>
                <w:lang w:eastAsia="zh-CN"/>
              </w:rPr>
              <w:t>得</w:t>
            </w:r>
            <w:r>
              <w:rPr>
                <w:rFonts w:hint="eastAsia" w:ascii="宋体" w:hAnsi="宋体" w:eastAsia="宋体" w:cs="宋体"/>
                <w:szCs w:val="24"/>
                <w:highlight w:val="none"/>
                <w:lang w:val="en-US" w:eastAsia="zh-CN"/>
              </w:rPr>
              <w:t>1分</w:t>
            </w:r>
            <w:r>
              <w:rPr>
                <w:rFonts w:hint="default" w:ascii="宋体" w:hAnsi="宋体" w:eastAsia="宋体" w:cs="宋体"/>
                <w:szCs w:val="24"/>
                <w:highlight w:val="none"/>
              </w:rPr>
              <w:t>、目标设置是否明确</w:t>
            </w:r>
            <w:r>
              <w:rPr>
                <w:rFonts w:hint="eastAsia" w:ascii="宋体" w:hAnsi="宋体" w:eastAsia="宋体" w:cs="宋体"/>
                <w:szCs w:val="24"/>
                <w:highlight w:val="none"/>
                <w:lang w:eastAsia="zh-CN"/>
              </w:rPr>
              <w:t>得</w:t>
            </w:r>
            <w:r>
              <w:rPr>
                <w:rFonts w:hint="eastAsia" w:ascii="宋体" w:hAnsi="宋体" w:eastAsia="宋体" w:cs="宋体"/>
                <w:szCs w:val="24"/>
                <w:highlight w:val="none"/>
                <w:lang w:val="en-US" w:eastAsia="zh-CN"/>
              </w:rPr>
              <w:t>1分</w:t>
            </w:r>
            <w:r>
              <w:rPr>
                <w:rFonts w:hint="default" w:ascii="宋体" w:hAnsi="宋体" w:eastAsia="宋体" w:cs="宋体"/>
                <w:szCs w:val="24"/>
                <w:highlight w:val="none"/>
              </w:rPr>
              <w:t>、保证措施是否有利</w:t>
            </w:r>
            <w:r>
              <w:rPr>
                <w:rFonts w:hint="default" w:ascii="宋体" w:hAnsi="宋体" w:eastAsia="宋体" w:cs="宋体"/>
                <w:szCs w:val="24"/>
                <w:highlight w:val="none"/>
                <w:lang w:val="en-US" w:eastAsia="zh-CN"/>
              </w:rPr>
              <w:t>得</w:t>
            </w:r>
            <w:r>
              <w:rPr>
                <w:rFonts w:hint="eastAsia" w:ascii="宋体" w:hAnsi="宋体" w:eastAsia="宋体" w:cs="宋体"/>
                <w:szCs w:val="24"/>
                <w:highlight w:val="none"/>
                <w:lang w:val="en-US" w:eastAsia="zh-CN"/>
              </w:rPr>
              <w:t>1</w:t>
            </w:r>
            <w:r>
              <w:rPr>
                <w:rFonts w:hint="default" w:ascii="宋体" w:hAnsi="宋体" w:eastAsia="宋体" w:cs="宋体"/>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66" w:type="dxa"/>
            <w:vMerge w:val="continue"/>
            <w:tcBorders>
              <w:left w:val="single" w:color="auto" w:sz="4" w:space="0"/>
              <w:right w:val="single" w:color="auto" w:sz="4" w:space="0"/>
            </w:tcBorders>
            <w:vAlign w:val="center"/>
          </w:tcPr>
          <w:p>
            <w:pPr>
              <w:widowControl/>
              <w:jc w:val="left"/>
              <w:rPr>
                <w:rFonts w:ascii="宋体" w:hAnsi="宋体" w:cs="宋体"/>
                <w:color w:val="000000"/>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Cs w:val="21"/>
                <w:highlight w:val="none"/>
              </w:rPr>
            </w:pPr>
            <w:r>
              <w:rPr>
                <w:rFonts w:hint="eastAsia" w:ascii="宋体" w:hAnsi="宋体" w:cs="宋体"/>
                <w:color w:val="000000"/>
                <w:kern w:val="0"/>
                <w:szCs w:val="21"/>
                <w:highlight w:val="none"/>
              </w:rPr>
              <w:t>质量控制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10分</w:t>
            </w:r>
            <w:r>
              <w:rPr>
                <w:rFonts w:hint="eastAsia" w:ascii="宋体" w:hAnsi="宋体" w:cs="宋体"/>
                <w:color w:val="000000"/>
                <w:kern w:val="0"/>
                <w:szCs w:val="21"/>
                <w:highlight w:val="none"/>
                <w:lang w:eastAsia="zh-CN"/>
              </w:rPr>
              <w:t>）</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10分</w:t>
            </w:r>
          </w:p>
        </w:tc>
        <w:tc>
          <w:tcPr>
            <w:tcW w:w="5822"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 w:val="24"/>
                <w:highlight w:val="none"/>
              </w:rPr>
            </w:pPr>
            <w:r>
              <w:rPr>
                <w:rFonts w:hint="eastAsia" w:ascii="宋体" w:hAnsi="宋体" w:cs="宋体"/>
                <w:sz w:val="24"/>
                <w:highlight w:val="none"/>
              </w:rPr>
              <w:t>本项目各阶段质量控制目标设置是否明确</w:t>
            </w:r>
            <w:r>
              <w:rPr>
                <w:rFonts w:hint="eastAsia" w:ascii="宋体" w:hAnsi="宋体" w:cs="宋体"/>
                <w:sz w:val="24"/>
                <w:highlight w:val="none"/>
                <w:lang w:eastAsia="zh-CN"/>
              </w:rPr>
              <w:t>得</w:t>
            </w:r>
            <w:r>
              <w:rPr>
                <w:rFonts w:hint="eastAsia" w:ascii="宋体" w:hAnsi="宋体" w:cs="宋体"/>
                <w:sz w:val="24"/>
                <w:highlight w:val="none"/>
                <w:lang w:val="en-US" w:eastAsia="zh-CN"/>
              </w:rPr>
              <w:t>3分</w:t>
            </w:r>
            <w:r>
              <w:rPr>
                <w:rFonts w:hint="eastAsia" w:ascii="宋体" w:hAnsi="宋体" w:cs="宋体"/>
                <w:sz w:val="24"/>
                <w:highlight w:val="none"/>
              </w:rPr>
              <w:t>,保证措施是否有力可行</w:t>
            </w:r>
            <w:r>
              <w:rPr>
                <w:rFonts w:hint="eastAsia" w:ascii="宋体" w:hAnsi="宋体" w:cs="宋体"/>
                <w:sz w:val="24"/>
                <w:highlight w:val="none"/>
                <w:lang w:eastAsia="zh-CN"/>
              </w:rPr>
              <w:t>得</w:t>
            </w:r>
            <w:r>
              <w:rPr>
                <w:rFonts w:hint="eastAsia" w:ascii="宋体" w:hAnsi="宋体" w:cs="宋体"/>
                <w:sz w:val="24"/>
                <w:highlight w:val="none"/>
                <w:lang w:val="en-US" w:eastAsia="zh-CN"/>
              </w:rPr>
              <w:t>3分</w:t>
            </w:r>
            <w:r>
              <w:rPr>
                <w:rFonts w:hint="eastAsia" w:ascii="宋体" w:hAnsi="宋体" w:cs="宋体"/>
                <w:sz w:val="24"/>
                <w:highlight w:val="none"/>
                <w:lang w:eastAsia="zh-CN"/>
              </w:rPr>
              <w:t>，设备安装调试完成后能否正常运行处理污水</w:t>
            </w:r>
            <w:r>
              <w:rPr>
                <w:rFonts w:hint="eastAsia" w:ascii="宋体" w:hAnsi="宋体" w:cs="宋体"/>
                <w:sz w:val="24"/>
                <w:highlight w:val="none"/>
                <w:lang w:val="en-US" w:eastAsia="zh-CN"/>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666" w:type="dxa"/>
            <w:vMerge w:val="continue"/>
            <w:tcBorders>
              <w:left w:val="single" w:color="auto" w:sz="4" w:space="0"/>
              <w:right w:val="single" w:color="auto" w:sz="4" w:space="0"/>
            </w:tcBorders>
            <w:vAlign w:val="center"/>
          </w:tcPr>
          <w:p>
            <w:pPr>
              <w:widowControl/>
              <w:jc w:val="left"/>
              <w:rPr>
                <w:rFonts w:ascii="宋体" w:hAnsi="宋体" w:cs="宋体"/>
                <w:color w:val="000000"/>
                <w:szCs w:val="21"/>
              </w:rPr>
            </w:pPr>
          </w:p>
        </w:tc>
        <w:tc>
          <w:tcPr>
            <w:tcW w:w="15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kern w:val="0"/>
                <w:szCs w:val="21"/>
                <w:highlight w:val="none"/>
                <w:lang w:eastAsia="zh-CN"/>
              </w:rPr>
            </w:pPr>
            <w:r>
              <w:rPr>
                <w:rFonts w:hint="eastAsia" w:ascii="Tahoma" w:hAnsi="Tahoma" w:cs="Tahoma"/>
                <w:szCs w:val="21"/>
                <w:highlight w:val="none"/>
                <w:lang w:eastAsia="zh-CN"/>
              </w:rPr>
              <w:t>人员配置（</w:t>
            </w:r>
            <w:r>
              <w:rPr>
                <w:rFonts w:hint="eastAsia" w:ascii="Tahoma" w:hAnsi="Tahoma" w:cs="Tahoma"/>
                <w:szCs w:val="21"/>
                <w:highlight w:val="none"/>
                <w:lang w:val="en-US" w:eastAsia="zh-CN"/>
              </w:rPr>
              <w:t>10分</w:t>
            </w:r>
            <w:r>
              <w:rPr>
                <w:rFonts w:hint="eastAsia" w:ascii="Tahoma" w:hAnsi="Tahoma" w:cs="Tahoma"/>
                <w:szCs w:val="21"/>
                <w:highlight w:val="none"/>
                <w:lang w:eastAsia="zh-CN"/>
              </w:rPr>
              <w:t>）</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10分</w:t>
            </w:r>
          </w:p>
        </w:tc>
        <w:tc>
          <w:tcPr>
            <w:tcW w:w="582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 w:val="24"/>
                <w:highlight w:val="none"/>
                <w:lang w:val="zh-CN"/>
              </w:rPr>
            </w:pPr>
            <w:r>
              <w:rPr>
                <w:rFonts w:ascii="宋体" w:hAnsi="宋体" w:cs="Tahoma"/>
                <w:sz w:val="24"/>
                <w:highlight w:val="none"/>
              </w:rPr>
              <w:t>供应商根据本采购项目的要求，项目管理机构组成完</w:t>
            </w:r>
            <w:bookmarkStart w:id="79" w:name="_GoBack"/>
            <w:bookmarkEnd w:id="79"/>
            <w:r>
              <w:rPr>
                <w:rFonts w:ascii="宋体" w:hAnsi="宋体" w:cs="Tahoma"/>
                <w:sz w:val="24"/>
                <w:highlight w:val="none"/>
              </w:rPr>
              <w:t>整、拟投入的主要管理及技术人员齐全以及专业技术人员的从事相关工作的经历丰富、职责明确，</w:t>
            </w:r>
            <w:r>
              <w:rPr>
                <w:rFonts w:hint="eastAsia" w:ascii="宋体" w:hAnsi="宋体" w:cs="Tahoma"/>
                <w:sz w:val="24"/>
                <w:highlight w:val="none"/>
              </w:rPr>
              <w:t>在</w:t>
            </w:r>
            <w:r>
              <w:rPr>
                <w:rFonts w:ascii="宋体" w:hAnsi="宋体" w:cs="Tahoma"/>
                <w:sz w:val="24"/>
                <w:highlight w:val="none"/>
              </w:rPr>
              <w:t>≥0～≤</w:t>
            </w:r>
            <w:r>
              <w:rPr>
                <w:rFonts w:hint="eastAsia" w:ascii="宋体" w:hAnsi="宋体" w:cs="Tahoma"/>
                <w:sz w:val="24"/>
                <w:highlight w:val="none"/>
              </w:rPr>
              <w:t>10</w:t>
            </w:r>
            <w:r>
              <w:rPr>
                <w:rFonts w:ascii="宋体" w:hAnsi="宋体" w:cs="Tahoma"/>
                <w:sz w:val="24"/>
                <w:highlight w:val="none"/>
              </w:rPr>
              <w:t>分进行评分。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66" w:type="dxa"/>
            <w:vMerge w:val="continue"/>
            <w:tcBorders>
              <w:left w:val="single" w:color="auto" w:sz="4" w:space="0"/>
              <w:right w:val="single" w:color="auto" w:sz="4" w:space="0"/>
            </w:tcBorders>
            <w:vAlign w:val="center"/>
          </w:tcPr>
          <w:p>
            <w:pPr>
              <w:widowControl/>
              <w:jc w:val="left"/>
              <w:rPr>
                <w:rFonts w:ascii="宋体" w:hAnsi="宋体" w:cs="宋体"/>
                <w:color w:val="000000"/>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管理分析及合理化解建议</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10分</w:t>
            </w:r>
            <w:r>
              <w:rPr>
                <w:rFonts w:hint="eastAsia" w:ascii="宋体" w:hAnsi="宋体" w:cs="宋体"/>
                <w:color w:val="000000"/>
                <w:kern w:val="0"/>
                <w:szCs w:val="21"/>
                <w:highlight w:val="none"/>
                <w:lang w:eastAsia="zh-CN"/>
              </w:rPr>
              <w:t>）</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10</w:t>
            </w:r>
            <w:r>
              <w:rPr>
                <w:rFonts w:hint="eastAsia" w:ascii="宋体" w:hAnsi="宋体" w:cs="宋体"/>
                <w:color w:val="000000"/>
                <w:kern w:val="0"/>
                <w:szCs w:val="21"/>
                <w:highlight w:val="none"/>
                <w:lang w:eastAsia="zh-CN"/>
              </w:rPr>
              <w:t>分</w:t>
            </w:r>
          </w:p>
        </w:tc>
        <w:tc>
          <w:tcPr>
            <w:tcW w:w="5822"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 w:val="24"/>
                <w:highlight w:val="none"/>
              </w:rPr>
            </w:pPr>
            <w:r>
              <w:rPr>
                <w:rFonts w:hint="eastAsia" w:ascii="宋体" w:hAnsi="宋体" w:cs="宋体"/>
                <w:sz w:val="24"/>
                <w:highlight w:val="none"/>
              </w:rPr>
              <w:t>对本项目建设实施特点、重点、难点的总体理解与分析,以及</w:t>
            </w:r>
            <w:r>
              <w:rPr>
                <w:rFonts w:hint="eastAsia" w:ascii="宋体" w:hAnsi="宋体" w:cs="宋体"/>
                <w:sz w:val="24"/>
                <w:highlight w:val="none"/>
                <w:lang w:val="en-US" w:eastAsia="zh-CN"/>
              </w:rPr>
              <w:t>做好</w:t>
            </w:r>
            <w:r>
              <w:rPr>
                <w:rFonts w:hint="eastAsia" w:ascii="宋体" w:hAnsi="宋体" w:cs="宋体"/>
                <w:sz w:val="24"/>
                <w:highlight w:val="none"/>
              </w:rPr>
              <w:t>项目管理服务的合理化建议</w:t>
            </w:r>
            <w:r>
              <w:rPr>
                <w:rFonts w:hint="eastAsia" w:ascii="宋体" w:hAnsi="宋体" w:cs="宋体"/>
                <w:sz w:val="24"/>
                <w:highlight w:val="none"/>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6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highlight w:val="none"/>
              </w:rPr>
            </w:pPr>
            <w:r>
              <w:rPr>
                <w:rFonts w:hint="eastAsia" w:ascii="宋体" w:hAnsi="宋体" w:cs="宋体"/>
                <w:color w:val="000000"/>
                <w:sz w:val="24"/>
                <w:highlight w:val="none"/>
              </w:rPr>
              <w:t>售后服务方案</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highlight w:val="none"/>
              </w:rPr>
            </w:pPr>
            <w:r>
              <w:rPr>
                <w:rFonts w:hint="eastAsia" w:ascii="宋体" w:hAnsi="宋体" w:cs="宋体"/>
                <w:color w:val="000000"/>
                <w:kern w:val="0"/>
                <w:szCs w:val="21"/>
                <w:highlight w:val="none"/>
              </w:rPr>
              <w:t>10分</w:t>
            </w:r>
          </w:p>
        </w:tc>
        <w:tc>
          <w:tcPr>
            <w:tcW w:w="582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0"/>
                <w:sz w:val="24"/>
                <w:highlight w:val="yellow"/>
                <w:lang w:eastAsia="zh-CN"/>
              </w:rPr>
            </w:pPr>
            <w:r>
              <w:rPr>
                <w:rFonts w:hint="eastAsia" w:ascii="宋体" w:hAnsi="宋体" w:cs="宋体"/>
                <w:sz w:val="24"/>
                <w:highlight w:val="none"/>
                <w:lang w:eastAsia="zh-CN"/>
              </w:rPr>
              <w:t>供应商</w:t>
            </w:r>
            <w:r>
              <w:rPr>
                <w:rFonts w:hint="eastAsia" w:ascii="宋体" w:hAnsi="宋体" w:cs="宋体"/>
                <w:sz w:val="24"/>
                <w:highlight w:val="none"/>
              </w:rPr>
              <w:t>提供具体详细的</w:t>
            </w:r>
            <w:r>
              <w:rPr>
                <w:rFonts w:hint="eastAsia" w:ascii="宋体" w:hAnsi="宋体" w:cs="宋体"/>
                <w:sz w:val="24"/>
                <w:highlight w:val="none"/>
                <w:lang w:eastAsia="zh-CN"/>
              </w:rPr>
              <w:t>服务方案</w:t>
            </w:r>
            <w:r>
              <w:rPr>
                <w:rFonts w:hint="eastAsia" w:ascii="宋体" w:hAnsi="宋体" w:cs="宋体"/>
                <w:sz w:val="24"/>
                <w:highlight w:val="none"/>
              </w:rPr>
              <w:t>和服务内容，包括服务标准，保障措施等</w:t>
            </w:r>
            <w:r>
              <w:rPr>
                <w:rFonts w:hint="eastAsia" w:ascii="宋体" w:hAnsi="宋体" w:cs="宋体"/>
                <w:sz w:val="24"/>
                <w:highlight w:val="none"/>
                <w:lang w:eastAsia="zh-CN"/>
              </w:rPr>
              <w:t>，以保障污水站能正常运作。</w:t>
            </w:r>
          </w:p>
        </w:tc>
      </w:tr>
    </w:tbl>
    <w:p>
      <w:pPr>
        <w:pStyle w:val="3"/>
        <w:rPr>
          <w:rFonts w:ascii="宋体" w:hAnsi="宋体" w:cs="宋体"/>
          <w:sz w:val="28"/>
          <w:szCs w:val="28"/>
        </w:rPr>
      </w:pPr>
      <w:r>
        <w:rPr>
          <w:rFonts w:hint="eastAsia" w:ascii="宋体" w:hAnsi="宋体" w:cs="宋体"/>
          <w:sz w:val="28"/>
          <w:szCs w:val="28"/>
        </w:rPr>
        <w:br w:type="page"/>
      </w:r>
      <w:bookmarkStart w:id="46" w:name="_Toc6802"/>
      <w:bookmarkStart w:id="47" w:name="_Toc27855"/>
      <w:bookmarkStart w:id="48" w:name="_Toc989"/>
      <w:bookmarkStart w:id="49" w:name="_Toc25336"/>
      <w:bookmarkStart w:id="50" w:name="_Toc29660"/>
      <w:r>
        <w:rPr>
          <w:rFonts w:hint="eastAsia" w:ascii="宋体" w:hAnsi="宋体" w:cs="宋体"/>
          <w:sz w:val="28"/>
          <w:szCs w:val="28"/>
        </w:rPr>
        <w:t>第四章  合同</w:t>
      </w:r>
      <w:bookmarkEnd w:id="46"/>
      <w:bookmarkEnd w:id="47"/>
      <w:bookmarkEnd w:id="48"/>
      <w:bookmarkEnd w:id="49"/>
      <w:bookmarkEnd w:id="50"/>
    </w:p>
    <w:p>
      <w:pPr>
        <w:spacing w:line="360" w:lineRule="auto"/>
        <w:ind w:firstLine="482" w:firstLineChars="200"/>
        <w:rPr>
          <w:rFonts w:ascii="宋体" w:hAnsi="宋体" w:cs="宋体"/>
          <w:b/>
          <w:sz w:val="24"/>
          <w:shd w:val="clear" w:color="auto" w:fill="FFFFFF"/>
        </w:rPr>
      </w:pPr>
      <w:r>
        <w:rPr>
          <w:rFonts w:hint="eastAsia" w:ascii="宋体" w:hAnsi="宋体" w:cs="宋体"/>
          <w:b/>
          <w:sz w:val="24"/>
          <w:shd w:val="clear" w:color="auto" w:fill="FFFFFF"/>
        </w:rPr>
        <w:t>（一）签订合同</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1.成交人应自中标通知书发出后7日内与采购人签定合同。同时，公共资源交易中心对合同内容进行审查，如发现与采购结果和投标承诺内容不一致的，应予以纠正。</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2.磋商文件、磋商响应文件及磋商过程中形成的有关澄清、修改文件的书面文件均作为签订合同依据，作为合同的附件，具有同等法律效力。</w:t>
      </w:r>
    </w:p>
    <w:p>
      <w:pPr>
        <w:spacing w:line="360" w:lineRule="auto"/>
        <w:ind w:firstLine="482" w:firstLineChars="200"/>
        <w:rPr>
          <w:rFonts w:ascii="宋体" w:hAnsi="宋体" w:cs="宋体"/>
          <w:b/>
          <w:sz w:val="24"/>
          <w:shd w:val="clear" w:color="auto" w:fill="FFFFFF"/>
        </w:rPr>
      </w:pPr>
      <w:r>
        <w:rPr>
          <w:rFonts w:hint="eastAsia" w:ascii="宋体" w:hAnsi="宋体" w:cs="宋体"/>
          <w:b/>
          <w:sz w:val="24"/>
          <w:shd w:val="clear" w:color="auto" w:fill="FFFFFF"/>
        </w:rPr>
        <w:t>（二）、对投标人不良行为的处罚</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投标人发生下列情形之一的，将被列入不良行为记录名单，在一至三年内禁止参加政府采购活动。</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1、提供虚假资料谋取中标、成交的；</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2、采取不正当手段诋毁、排挤其他供应商的；</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3、与采购人、其他供应商恶意串通的；</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4、向采购人、其他供应商行贿或者提供其他不正当利益的；</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5、在招标采购过程中与采购人进行协商谈判的；</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6、拒绝有关部门监督检查或提供虚假情况的；</w:t>
      </w:r>
    </w:p>
    <w:p>
      <w:pPr>
        <w:pStyle w:val="20"/>
        <w:tabs>
          <w:tab w:val="left" w:pos="2475"/>
          <w:tab w:val="center" w:pos="4873"/>
        </w:tabs>
        <w:rPr>
          <w:rFonts w:hAnsi="宋体" w:cs="宋体"/>
          <w:sz w:val="24"/>
          <w:szCs w:val="24"/>
          <w:shd w:val="clear" w:color="auto" w:fill="FFFFFF"/>
        </w:rPr>
      </w:pPr>
      <w:r>
        <w:rPr>
          <w:rFonts w:hint="eastAsia" w:hAnsi="宋体" w:cs="宋体"/>
          <w:sz w:val="24"/>
          <w:szCs w:val="24"/>
          <w:shd w:val="clear" w:color="auto" w:fill="FFFFFF"/>
        </w:rPr>
        <w:t>投标人有前六项情形之一的，中标成交无效。</w:t>
      </w:r>
    </w:p>
    <w:p>
      <w:pPr>
        <w:rPr>
          <w:rFonts w:ascii="宋体" w:hAnsi="宋体" w:cs="宋体"/>
          <w:b/>
          <w:bCs/>
          <w:sz w:val="28"/>
          <w:szCs w:val="28"/>
        </w:rPr>
      </w:pPr>
      <w:r>
        <w:rPr>
          <w:rFonts w:hint="eastAsia" w:ascii="宋体" w:hAnsi="宋体" w:cs="宋体"/>
          <w:b/>
          <w:bCs/>
          <w:sz w:val="28"/>
          <w:szCs w:val="28"/>
        </w:rPr>
        <w:t>（三）合同条款及格式(具体以甲乙双方签订的正式合同为准。)</w:t>
      </w:r>
    </w:p>
    <w:p>
      <w:pPr>
        <w:rPr>
          <w:rFonts w:ascii="宋体" w:hAnsi="宋体" w:cs="宋体"/>
          <w:b/>
          <w:bCs/>
          <w:sz w:val="28"/>
          <w:szCs w:val="28"/>
        </w:rPr>
      </w:pPr>
    </w:p>
    <w:p>
      <w:pPr>
        <w:rPr>
          <w:rFonts w:ascii="宋体" w:hAnsi="宋体" w:cs="宋体"/>
          <w:sz w:val="28"/>
          <w:szCs w:val="28"/>
        </w:rPr>
      </w:pPr>
    </w:p>
    <w:p>
      <w:pPr>
        <w:rPr>
          <w:rFonts w:ascii="宋体" w:hAnsi="宋体" w:cs="宋体"/>
          <w:sz w:val="28"/>
          <w:szCs w:val="28"/>
        </w:rPr>
      </w:pPr>
    </w:p>
    <w:p>
      <w:pPr>
        <w:pStyle w:val="2"/>
      </w:pPr>
    </w:p>
    <w:p/>
    <w:p>
      <w:pPr>
        <w:pStyle w:val="2"/>
      </w:pPr>
    </w:p>
    <w:p/>
    <w:p>
      <w:pPr>
        <w:pStyle w:val="2"/>
      </w:pPr>
    </w:p>
    <w:p/>
    <w:p>
      <w:pPr>
        <w:pStyle w:val="2"/>
      </w:pPr>
    </w:p>
    <w:p/>
    <w:p>
      <w:pPr>
        <w:pStyle w:val="2"/>
      </w:pPr>
    </w:p>
    <w:p>
      <w:pPr>
        <w:pStyle w:val="3"/>
        <w:rPr>
          <w:rFonts w:hint="eastAsia"/>
        </w:rPr>
      </w:pPr>
      <w:bookmarkStart w:id="51" w:name="_Toc4757"/>
      <w:bookmarkStart w:id="52" w:name="_Toc3578"/>
      <w:r>
        <w:rPr>
          <w:rFonts w:hint="eastAsia"/>
        </w:rPr>
        <w:t>第五章  采购需求</w:t>
      </w:r>
      <w:bookmarkEnd w:id="51"/>
      <w:bookmarkEnd w:id="52"/>
    </w:p>
    <w:p>
      <w:pPr>
        <w:spacing w:after="156" w:afterLines="50" w:line="360" w:lineRule="auto"/>
        <w:ind w:firstLine="560" w:firstLineChars="200"/>
        <w:outlineLvl w:val="2"/>
        <w:rPr>
          <w:rFonts w:hint="eastAsia" w:ascii="楷体" w:hAnsi="楷体" w:eastAsia="楷体"/>
          <w:color w:val="auto"/>
          <w:sz w:val="28"/>
          <w:szCs w:val="28"/>
        </w:rPr>
      </w:pPr>
      <w:bookmarkStart w:id="53" w:name="_Toc465758721"/>
      <w:bookmarkStart w:id="54" w:name="_Toc430794443"/>
      <w:bookmarkStart w:id="55" w:name="_Toc32614"/>
      <w:r>
        <w:rPr>
          <w:rFonts w:hint="eastAsia" w:ascii="楷体" w:hAnsi="楷体" w:eastAsia="楷体"/>
          <w:color w:val="auto"/>
          <w:sz w:val="28"/>
          <w:szCs w:val="28"/>
        </w:rPr>
        <w:t>1.</w:t>
      </w:r>
      <w:bookmarkEnd w:id="53"/>
      <w:bookmarkEnd w:id="54"/>
      <w:r>
        <w:rPr>
          <w:rFonts w:hint="eastAsia" w:ascii="宋体" w:hAnsi="宋体" w:eastAsia="宋体" w:cs="宋体"/>
          <w:color w:val="auto"/>
          <w:sz w:val="28"/>
          <w:szCs w:val="28"/>
        </w:rPr>
        <w:t>相关要求</w:t>
      </w:r>
      <w:bookmarkEnd w:id="55"/>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1.1本章内容是根据采购项目的实际需求制定的。</w:t>
      </w:r>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1.2货物必须为合格产品，质量达到国家有关标准，成交供应商供货时应当提供有关货物的合格证明材料等。</w:t>
      </w:r>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1.3供应商应保证货物是全新、未使用过的合格产品。并完全符合合同规定的质量、规格和性能的要求。成交供应商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1.4进口产品是指通过中国海关报关验放进入中国境内且产自关境外的产品。</w:t>
      </w:r>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政府采购应当采购本国产品。采购人确需采购进口产品的，应在询价活动开始前，按照财政部《政府采购进口产品管理办法》（财库〔2007〕119号）文件规定办理审核手续，通过财政部门审核后，方可采购进口产品，否则采购人不得采购进口产品，供应商不得提供直接进口或者委托进口产品（包括已进入中国境内的进口产品）。</w:t>
      </w:r>
    </w:p>
    <w:p>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采购人或采购代理机构在采购进口产品时不得拒绝国产相同质量产品的制造商或代理商参与报价。</w:t>
      </w:r>
    </w:p>
    <w:p>
      <w:pPr>
        <w:numPr>
          <w:ilvl w:val="0"/>
          <w:numId w:val="2"/>
        </w:numPr>
        <w:spacing w:after="156" w:afterLines="50" w:line="360" w:lineRule="auto"/>
        <w:ind w:firstLine="560" w:firstLineChars="200"/>
        <w:outlineLvl w:val="2"/>
        <w:rPr>
          <w:rFonts w:hint="eastAsia" w:ascii="宋体" w:hAnsi="宋体" w:eastAsia="宋体" w:cs="宋体"/>
          <w:color w:val="auto"/>
          <w:sz w:val="28"/>
          <w:szCs w:val="28"/>
        </w:rPr>
      </w:pPr>
      <w:bookmarkStart w:id="56" w:name="_Toc6595"/>
      <w:r>
        <w:rPr>
          <w:rFonts w:hint="eastAsia" w:ascii="宋体" w:hAnsi="宋体" w:eastAsia="宋体" w:cs="宋体"/>
          <w:color w:val="auto"/>
          <w:sz w:val="28"/>
          <w:szCs w:val="28"/>
        </w:rPr>
        <w:t>采购</w:t>
      </w:r>
      <w:r>
        <w:rPr>
          <w:rFonts w:hint="eastAsia" w:ascii="宋体" w:hAnsi="宋体" w:eastAsia="宋体" w:cs="宋体"/>
          <w:color w:val="auto"/>
          <w:sz w:val="28"/>
          <w:szCs w:val="28"/>
          <w:lang w:val="en-US" w:eastAsia="zh-CN"/>
        </w:rPr>
        <w:t>清单及</w:t>
      </w:r>
      <w:r>
        <w:rPr>
          <w:rFonts w:hint="eastAsia" w:ascii="宋体" w:hAnsi="宋体" w:eastAsia="宋体" w:cs="宋体"/>
          <w:color w:val="auto"/>
          <w:sz w:val="28"/>
          <w:szCs w:val="28"/>
        </w:rPr>
        <w:t>货物</w:t>
      </w:r>
      <w:r>
        <w:rPr>
          <w:rFonts w:hint="eastAsia" w:ascii="宋体" w:hAnsi="宋体" w:eastAsia="宋体" w:cs="宋体"/>
          <w:color w:val="auto"/>
          <w:sz w:val="28"/>
          <w:szCs w:val="28"/>
          <w:lang w:val="en-US" w:eastAsia="zh-CN"/>
        </w:rPr>
        <w:t>技术</w:t>
      </w:r>
      <w:r>
        <w:rPr>
          <w:rFonts w:hint="eastAsia" w:ascii="宋体" w:hAnsi="宋体" w:eastAsia="宋体" w:cs="宋体"/>
          <w:color w:val="auto"/>
          <w:sz w:val="28"/>
          <w:szCs w:val="28"/>
        </w:rPr>
        <w:t>参数</w:t>
      </w:r>
      <w:r>
        <w:rPr>
          <w:rFonts w:hint="eastAsia" w:ascii="宋体" w:hAnsi="宋体" w:eastAsia="宋体" w:cs="宋体"/>
          <w:color w:val="auto"/>
          <w:sz w:val="28"/>
          <w:szCs w:val="28"/>
          <w:lang w:val="en-US" w:eastAsia="zh-CN"/>
        </w:rPr>
        <w:t>（本项目不允许负偏离）</w:t>
      </w:r>
      <w:bookmarkEnd w:id="56"/>
    </w:p>
    <w:tbl>
      <w:tblPr>
        <w:tblStyle w:val="36"/>
        <w:tblpPr w:leftFromText="180" w:rightFromText="180" w:vertAnchor="text" w:horzAnchor="page" w:tblpXSpec="center" w:tblpY="846"/>
        <w:tblOverlap w:val="never"/>
        <w:tblW w:w="10770" w:type="dxa"/>
        <w:jc w:val="center"/>
        <w:shd w:val="clear" w:color="auto" w:fill="auto"/>
        <w:tblLayout w:type="fixed"/>
        <w:tblCellMar>
          <w:top w:w="0" w:type="dxa"/>
          <w:left w:w="0" w:type="dxa"/>
          <w:bottom w:w="0" w:type="dxa"/>
          <w:right w:w="0" w:type="dxa"/>
        </w:tblCellMar>
      </w:tblPr>
      <w:tblGrid>
        <w:gridCol w:w="581"/>
        <w:gridCol w:w="1670"/>
        <w:gridCol w:w="581"/>
        <w:gridCol w:w="1126"/>
        <w:gridCol w:w="3235"/>
        <w:gridCol w:w="3577"/>
      </w:tblGrid>
      <w:tr>
        <w:tblPrEx>
          <w:shd w:val="clear" w:color="auto" w:fill="auto"/>
          <w:tblCellMar>
            <w:top w:w="0" w:type="dxa"/>
            <w:left w:w="0" w:type="dxa"/>
            <w:bottom w:w="0" w:type="dxa"/>
            <w:right w:w="0" w:type="dxa"/>
          </w:tblCellMar>
        </w:tblPrEx>
        <w:trPr>
          <w:trHeight w:val="675" w:hRule="atLeast"/>
          <w:jc w:val="center"/>
        </w:trPr>
        <w:tc>
          <w:tcPr>
            <w:tcW w:w="1077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cs="宋体"/>
                <w:i w:val="0"/>
                <w:color w:val="000000"/>
                <w:kern w:val="0"/>
                <w:sz w:val="52"/>
                <w:szCs w:val="52"/>
                <w:u w:val="none"/>
                <w:lang w:val="en-US" w:eastAsia="zh-CN" w:bidi="ar"/>
              </w:rPr>
              <w:t>*</w:t>
            </w:r>
            <w:r>
              <w:rPr>
                <w:rFonts w:hint="eastAsia" w:ascii="宋体" w:hAnsi="宋体" w:eastAsia="宋体" w:cs="宋体"/>
                <w:i w:val="0"/>
                <w:color w:val="000000"/>
                <w:kern w:val="0"/>
                <w:sz w:val="52"/>
                <w:szCs w:val="52"/>
                <w:u w:val="none"/>
                <w:lang w:val="en-US" w:eastAsia="zh-CN" w:bidi="ar"/>
              </w:rPr>
              <w:t>技术参数</w:t>
            </w:r>
          </w:p>
        </w:tc>
      </w:tr>
      <w:tr>
        <w:tblPrEx>
          <w:tblCellMar>
            <w:top w:w="0" w:type="dxa"/>
            <w:left w:w="0" w:type="dxa"/>
            <w:bottom w:w="0" w:type="dxa"/>
            <w:right w:w="0" w:type="dxa"/>
          </w:tblCellMar>
        </w:tblPrEx>
        <w:trPr>
          <w:trHeight w:val="28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品目名称</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技术参数需求</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7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三格式化粪池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容    积：100m³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质：玻璃钢</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人工格栅</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mm</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用于拦截污水中大颗粒杂质，避免造成水泵堵塞</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71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潜污提升泵</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  号：WQ10-10-1.1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流  量：5m³/h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扬  程：10m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功  率：0.75kw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防护等级：IP68</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绝缘等级： F级</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若污水管埋深较浅，则不安装提升泵，降低运行成本（1用1备）</w:t>
            </w:r>
          </w:p>
        </w:tc>
      </w:tr>
      <w:tr>
        <w:tblPrEx>
          <w:tblCellMar>
            <w:top w:w="0" w:type="dxa"/>
            <w:left w:w="0" w:type="dxa"/>
            <w:bottom w:w="0" w:type="dxa"/>
            <w:right w:w="0" w:type="dxa"/>
          </w:tblCellMar>
        </w:tblPrEx>
        <w:trPr>
          <w:trHeight w:val="28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液位控制器</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  号：GSK-1</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使用位置：调节池前端</w:t>
            </w:r>
          </w:p>
        </w:tc>
      </w:tr>
      <w:tr>
        <w:tblPrEx>
          <w:tblCellMar>
            <w:top w:w="0" w:type="dxa"/>
            <w:left w:w="0" w:type="dxa"/>
            <w:bottom w:w="0" w:type="dxa"/>
            <w:right w:w="0" w:type="dxa"/>
          </w:tblCellMar>
        </w:tblPrEx>
        <w:trPr>
          <w:trHeight w:val="142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调节池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停留时间：24h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有效容积：100m³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尺   寸：φ3200mm*13000mm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结    构：玻璃钢</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由于生活污水排放时间约为24小时左右，调节池停留时间为1天左右，池容积约100m3。</w:t>
            </w:r>
          </w:p>
        </w:tc>
      </w:tr>
      <w:tr>
        <w:tblPrEx>
          <w:tblCellMar>
            <w:top w:w="0" w:type="dxa"/>
            <w:left w:w="0" w:type="dxa"/>
            <w:bottom w:w="0" w:type="dxa"/>
            <w:right w:w="0" w:type="dxa"/>
          </w:tblCellMar>
        </w:tblPrEx>
        <w:trPr>
          <w:trHeight w:val="85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曝气装置</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  号:Ф50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型  式:穿孔曝气管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质：UPVC</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99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厌氧池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停留时间：3h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有效容积：15m³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外形尺寸：2500mm*2500mm*2500mm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填料类型：弹性填料,数量15m³</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99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缺氧池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停留时间：3h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有效容积：15m³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外形尺寸：2500mm*2500mm*2500mm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填料类型：弹性填料,数量15m³</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28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好氧池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停留时间：4h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有效容积：30m³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外形尺寸：2500mm*2500mm*5000mm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气水比：15∶1</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填料类型：弹性填料，数量30m³</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微孔曝气系统</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曝气型式：微孔曝气</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28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鼓风机</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规格型号：QSR-50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功  率：1.75kw</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风  压：0.03MPA</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供气量：1.5m3/min²台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数  量：2台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配套：进出口消音器、压力表、安全阀、空气滤网、软接头等 </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调节池、O池</w:t>
            </w:r>
          </w:p>
        </w:tc>
      </w:tr>
      <w:tr>
        <w:tblPrEx>
          <w:tblCellMar>
            <w:top w:w="0" w:type="dxa"/>
            <w:left w:w="0" w:type="dxa"/>
            <w:bottom w:w="0" w:type="dxa"/>
            <w:right w:w="0" w:type="dxa"/>
          </w:tblCellMar>
        </w:tblPrEx>
        <w:trPr>
          <w:trHeight w:val="199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沉淀池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停留时间：1h</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有效容积：5m³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外形尺寸：2500mm*2500mm*1000mm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填料类型：烫接斜板填料1套</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14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污泥池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有效容积：3.5 m³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外形尺寸：1000mm*2500mm*1500mm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5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消毒池</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外形尺寸：1000mm*2500mm*1000mmmm</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材  质：碳钢防腐</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70"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自动加药装置</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3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型号：100kg</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规格：15L/H</w:t>
            </w:r>
          </w:p>
        </w:tc>
        <w:tc>
          <w:tcPr>
            <w:tcW w:w="3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计量泵</w:t>
            </w:r>
          </w:p>
        </w:tc>
      </w:tr>
    </w:tbl>
    <w:p>
      <w:pPr>
        <w:numPr>
          <w:ilvl w:val="0"/>
          <w:numId w:val="0"/>
        </w:numPr>
        <w:spacing w:after="156" w:afterLines="50" w:line="360" w:lineRule="auto"/>
        <w:outlineLvl w:val="2"/>
        <w:rPr>
          <w:rFonts w:hint="default" w:ascii="仿宋" w:hAnsi="仿宋" w:eastAsia="仿宋"/>
          <w:sz w:val="24"/>
          <w:szCs w:val="24"/>
          <w:lang w:val="en-US" w:eastAsia="zh-CN"/>
        </w:rPr>
      </w:pPr>
    </w:p>
    <w:p>
      <w:pPr>
        <w:numPr>
          <w:ilvl w:val="0"/>
          <w:numId w:val="0"/>
        </w:numPr>
        <w:spacing w:after="156" w:afterLines="50" w:line="360" w:lineRule="auto"/>
        <w:ind w:firstLine="560" w:firstLineChars="200"/>
        <w:jc w:val="left"/>
        <w:outlineLvl w:val="2"/>
        <w:rPr>
          <w:rFonts w:hint="eastAsia" w:ascii="宋体" w:hAnsi="宋体" w:eastAsia="宋体" w:cs="宋体"/>
          <w:color w:val="auto"/>
          <w:sz w:val="28"/>
          <w:szCs w:val="28"/>
        </w:rPr>
      </w:pPr>
      <w:bookmarkStart w:id="57" w:name="_Toc465758723"/>
      <w:bookmarkStart w:id="58" w:name="_Toc430794445"/>
      <w:bookmarkStart w:id="59" w:name="_Toc12896"/>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商务条件</w:t>
      </w:r>
      <w:bookmarkEnd w:id="57"/>
      <w:bookmarkEnd w:id="58"/>
      <w:bookmarkEnd w:id="59"/>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3.1交货期</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合同签订后</w:t>
      </w:r>
      <w:r>
        <w:rPr>
          <w:rFonts w:hint="eastAsia" w:ascii="宋体" w:hAnsi="宋体" w:eastAsia="宋体" w:cs="宋体"/>
          <w:color w:val="auto"/>
          <w:sz w:val="24"/>
          <w:szCs w:val="24"/>
          <w:u w:val="single"/>
          <w:lang w:val="en-US" w:eastAsia="zh-CN"/>
        </w:rPr>
        <w:t xml:space="preserve"> 20</w:t>
      </w:r>
      <w:r>
        <w:rPr>
          <w:rFonts w:hint="eastAsia" w:ascii="宋体" w:hAnsi="宋体" w:eastAsia="宋体" w:cs="宋体"/>
          <w:color w:val="auto"/>
          <w:sz w:val="24"/>
          <w:szCs w:val="24"/>
        </w:rPr>
        <w:t>日内交货。</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3.2交货地点</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新和县塔木托格拉克乡塔木托格拉克村。</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3.3付款方式</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按甲乙双方合同中约定。</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3.4验收</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3.4.1货物运抵现场后，采购人将对货物数量、质量、规格等进行检验。如发现货物和规格或者两者都与</w:t>
      </w:r>
      <w:r>
        <w:rPr>
          <w:rFonts w:hint="eastAsia" w:ascii="宋体" w:hAnsi="宋体" w:eastAsia="宋体" w:cs="宋体"/>
          <w:color w:val="auto"/>
          <w:sz w:val="24"/>
          <w:szCs w:val="24"/>
          <w:lang w:eastAsia="zh-CN"/>
        </w:rPr>
        <w:t>询价通知书</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、合同不符，采购人有权限根据检验结果要求中标人立即更换或者提出索赔要求。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3.4.2货物由中标人进行安装，完毕后，采购人应对货物的数量、质量、规格、性能等进行详细而全面的检验。安装完毕7日后，证明货物以及安装质量无任何问题，由采购人组成的验收小组签署验收报告，作为付款凭据之一。</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3.5质量</w:t>
      </w:r>
      <w:r>
        <w:rPr>
          <w:rFonts w:hint="eastAsia" w:ascii="宋体" w:hAnsi="宋体" w:eastAsia="宋体" w:cs="宋体"/>
          <w:color w:val="auto"/>
          <w:sz w:val="24"/>
          <w:szCs w:val="24"/>
          <w:lang w:val="en-US" w:eastAsia="zh-CN"/>
        </w:rPr>
        <w:t>维护</w:t>
      </w:r>
      <w:r>
        <w:rPr>
          <w:rFonts w:hint="eastAsia" w:ascii="宋体" w:hAnsi="宋体" w:eastAsia="宋体" w:cs="宋体"/>
          <w:color w:val="auto"/>
          <w:sz w:val="24"/>
          <w:szCs w:val="24"/>
        </w:rPr>
        <w:t>保证期</w:t>
      </w:r>
    </w:p>
    <w:p>
      <w:pPr>
        <w:rPr>
          <w:rFonts w:hint="eastAsia" w:ascii="宋体" w:hAnsi="宋体" w:eastAsia="宋体" w:cs="宋体"/>
        </w:rPr>
      </w:pPr>
      <w:r>
        <w:rPr>
          <w:rFonts w:hint="eastAsia" w:ascii="宋体" w:hAnsi="宋体" w:eastAsia="宋体" w:cs="宋体"/>
          <w:color w:val="000000"/>
          <w:sz w:val="24"/>
          <w:szCs w:val="24"/>
        </w:rPr>
        <w:t>自验收合格</w:t>
      </w:r>
      <w:r>
        <w:rPr>
          <w:rFonts w:hint="eastAsia" w:ascii="宋体" w:hAnsi="宋体" w:eastAsia="宋体" w:cs="宋体"/>
          <w:color w:val="auto"/>
          <w:sz w:val="24"/>
          <w:szCs w:val="24"/>
        </w:rPr>
        <w:t>之日起</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年，国家主管部门或者行业标准对货物本身有更高要求的，从其规定并在合同中约定，</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亦可提报更长的质保期。</w:t>
      </w:r>
    </w:p>
    <w:p>
      <w:pPr>
        <w:pStyle w:val="3"/>
        <w:pageBreakBefore/>
        <w:rPr>
          <w:rFonts w:ascii="宋体" w:hAnsi="宋体" w:cs="宋体"/>
          <w:sz w:val="28"/>
          <w:szCs w:val="28"/>
        </w:rPr>
      </w:pPr>
      <w:bookmarkStart w:id="60" w:name="_Toc26002"/>
      <w:bookmarkStart w:id="61" w:name="_Toc5356"/>
      <w:bookmarkStart w:id="62" w:name="_Toc1295"/>
      <w:bookmarkStart w:id="63" w:name="_Toc32397"/>
      <w:bookmarkStart w:id="64" w:name="_Toc18398"/>
      <w:r>
        <w:rPr>
          <w:rFonts w:hint="eastAsia" w:ascii="宋体" w:hAnsi="宋体" w:cs="宋体"/>
          <w:sz w:val="28"/>
          <w:szCs w:val="28"/>
        </w:rPr>
        <w:t>第六章  响应文件格式</w:t>
      </w:r>
      <w:bookmarkEnd w:id="60"/>
      <w:bookmarkEnd w:id="61"/>
      <w:bookmarkEnd w:id="62"/>
      <w:bookmarkEnd w:id="63"/>
      <w:bookmarkEnd w:id="64"/>
    </w:p>
    <w:p>
      <w:pPr>
        <w:pStyle w:val="4"/>
        <w:rPr>
          <w:rFonts w:ascii="宋体" w:hAnsi="宋体" w:cs="宋体"/>
        </w:rPr>
      </w:pPr>
      <w:bookmarkStart w:id="65" w:name="_Toc507582926"/>
      <w:bookmarkStart w:id="66" w:name="_Toc12421"/>
      <w:r>
        <w:rPr>
          <w:rFonts w:hint="eastAsia" w:ascii="宋体" w:hAnsi="宋体" w:cs="宋体"/>
        </w:rPr>
        <w:t>一、响应文件封面</w:t>
      </w:r>
      <w:bookmarkEnd w:id="65"/>
      <w:bookmarkEnd w:id="66"/>
    </w:p>
    <w:p>
      <w:pPr>
        <w:pStyle w:val="64"/>
        <w:spacing w:line="360" w:lineRule="auto"/>
        <w:rPr>
          <w:rFonts w:ascii="宋体" w:hAnsi="宋体" w:cs="宋体"/>
          <w:b/>
          <w:color w:val="000000"/>
          <w:sz w:val="24"/>
        </w:rPr>
      </w:pPr>
    </w:p>
    <w:p>
      <w:pPr>
        <w:pStyle w:val="64"/>
        <w:spacing w:line="360" w:lineRule="auto"/>
        <w:jc w:val="center"/>
        <w:rPr>
          <w:rFonts w:ascii="宋体" w:hAnsi="宋体" w:cs="宋体"/>
          <w:color w:val="000000"/>
          <w:sz w:val="24"/>
        </w:rPr>
      </w:pPr>
    </w:p>
    <w:p>
      <w:pPr>
        <w:pStyle w:val="64"/>
        <w:spacing w:line="360" w:lineRule="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pStyle w:val="64"/>
        <w:spacing w:line="360" w:lineRule="auto"/>
        <w:jc w:val="center"/>
        <w:rPr>
          <w:rFonts w:ascii="宋体" w:hAnsi="宋体" w:cs="宋体"/>
          <w:color w:val="000000"/>
          <w:sz w:val="28"/>
          <w:szCs w:val="28"/>
        </w:rPr>
      </w:pPr>
    </w:p>
    <w:p>
      <w:pPr>
        <w:pStyle w:val="64"/>
        <w:spacing w:line="360" w:lineRule="auto"/>
        <w:ind w:firstLine="1680" w:firstLineChars="600"/>
        <w:rPr>
          <w:rFonts w:ascii="宋体" w:hAnsi="宋体" w:cs="宋体"/>
          <w:color w:val="000000"/>
          <w:sz w:val="28"/>
          <w:szCs w:val="28"/>
        </w:rPr>
      </w:pPr>
      <w:r>
        <w:rPr>
          <w:rFonts w:hint="eastAsia" w:ascii="宋体" w:hAnsi="宋体" w:cs="宋体"/>
          <w:color w:val="000000"/>
          <w:sz w:val="28"/>
          <w:szCs w:val="28"/>
        </w:rPr>
        <w:t xml:space="preserve">     </w:t>
      </w:r>
    </w:p>
    <w:p>
      <w:pPr>
        <w:pStyle w:val="64"/>
        <w:spacing w:line="360" w:lineRule="auto"/>
        <w:jc w:val="center"/>
        <w:rPr>
          <w:rFonts w:ascii="宋体" w:hAnsi="宋体" w:cs="宋体"/>
          <w:color w:val="000000"/>
          <w:sz w:val="24"/>
        </w:rPr>
      </w:pPr>
    </w:p>
    <w:p>
      <w:pPr>
        <w:pStyle w:val="64"/>
        <w:spacing w:line="360" w:lineRule="auto"/>
        <w:jc w:val="center"/>
        <w:rPr>
          <w:rFonts w:ascii="宋体" w:hAnsi="宋体" w:cs="宋体"/>
          <w:color w:val="000000"/>
          <w:sz w:val="24"/>
        </w:rPr>
      </w:pPr>
    </w:p>
    <w:p>
      <w:pPr>
        <w:pStyle w:val="64"/>
        <w:spacing w:line="360" w:lineRule="auto"/>
        <w:jc w:val="center"/>
        <w:rPr>
          <w:rFonts w:ascii="宋体" w:hAnsi="宋体" w:cs="宋体"/>
          <w:b/>
          <w:sz w:val="52"/>
          <w:szCs w:val="52"/>
        </w:rPr>
      </w:pPr>
      <w:r>
        <w:rPr>
          <w:rFonts w:hint="eastAsia" w:ascii="宋体" w:hAnsi="宋体" w:cs="宋体"/>
          <w:b/>
          <w:sz w:val="52"/>
          <w:szCs w:val="52"/>
        </w:rPr>
        <w:t>响应文件</w:t>
      </w:r>
    </w:p>
    <w:p>
      <w:pPr>
        <w:pStyle w:val="64"/>
        <w:spacing w:line="360" w:lineRule="auto"/>
        <w:jc w:val="center"/>
        <w:rPr>
          <w:rFonts w:ascii="宋体" w:hAnsi="宋体" w:cs="宋体"/>
          <w:color w:val="000000"/>
          <w:sz w:val="24"/>
        </w:rPr>
      </w:pPr>
    </w:p>
    <w:p>
      <w:pPr>
        <w:pStyle w:val="64"/>
        <w:spacing w:line="360" w:lineRule="auto"/>
        <w:jc w:val="center"/>
        <w:rPr>
          <w:rFonts w:ascii="宋体" w:hAnsi="宋体" w:cs="宋体"/>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b/>
          <w:color w:val="000000"/>
          <w:sz w:val="24"/>
        </w:rPr>
      </w:pPr>
    </w:p>
    <w:p>
      <w:pPr>
        <w:pStyle w:val="64"/>
        <w:spacing w:line="360" w:lineRule="auto"/>
        <w:jc w:val="center"/>
        <w:rPr>
          <w:rFonts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sz w:val="28"/>
          <w:szCs w:val="28"/>
        </w:rPr>
        <w:t>（签章）</w:t>
      </w:r>
    </w:p>
    <w:p>
      <w:pPr>
        <w:pStyle w:val="64"/>
        <w:spacing w:line="360" w:lineRule="auto"/>
        <w:rPr>
          <w:rFonts w:ascii="宋体" w:hAnsi="宋体" w:cs="宋体"/>
          <w:color w:val="000000"/>
          <w:sz w:val="28"/>
          <w:szCs w:val="28"/>
        </w:rPr>
      </w:pPr>
      <w:r>
        <w:rPr>
          <w:rFonts w:hint="eastAsia" w:ascii="宋体" w:hAnsi="宋体" w:cs="宋体"/>
          <w:color w:val="000000"/>
          <w:sz w:val="28"/>
          <w:szCs w:val="28"/>
        </w:rPr>
        <w:t>法定代表人或其授权委托人：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pStyle w:val="64"/>
        <w:spacing w:line="360" w:lineRule="auto"/>
        <w:jc w:val="center"/>
        <w:rPr>
          <w:rFonts w:ascii="宋体" w:hAnsi="宋体" w:cs="宋体"/>
          <w:color w:val="000000"/>
          <w:sz w:val="28"/>
          <w:szCs w:val="28"/>
          <w:u w:val="single"/>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（年/月/日）</w:t>
      </w:r>
    </w:p>
    <w:p>
      <w:pPr>
        <w:spacing w:line="360" w:lineRule="auto"/>
        <w:rPr>
          <w:rFonts w:ascii="宋体" w:hAnsi="宋体" w:cs="宋体"/>
        </w:rPr>
      </w:pPr>
    </w:p>
    <w:p>
      <w:pPr>
        <w:spacing w:line="360" w:lineRule="auto"/>
        <w:rPr>
          <w:rFonts w:ascii="宋体" w:hAnsi="宋体" w:cs="宋体"/>
        </w:rPr>
      </w:pPr>
    </w:p>
    <w:p>
      <w:pPr>
        <w:spacing w:afterLines="100" w:line="360" w:lineRule="auto"/>
        <w:jc w:val="center"/>
        <w:rPr>
          <w:rFonts w:ascii="宋体" w:hAnsi="宋体" w:cs="宋体"/>
          <w:b/>
          <w:bCs/>
          <w:sz w:val="28"/>
          <w:szCs w:val="28"/>
        </w:rPr>
      </w:pPr>
      <w:r>
        <w:rPr>
          <w:rFonts w:hint="eastAsia" w:ascii="宋体" w:hAnsi="宋体" w:cs="宋体"/>
        </w:rPr>
        <w:br w:type="page"/>
      </w:r>
      <w:r>
        <w:rPr>
          <w:rFonts w:hint="eastAsia" w:ascii="宋体" w:hAnsi="宋体" w:cs="宋体"/>
          <w:b/>
          <w:bCs/>
          <w:sz w:val="28"/>
          <w:szCs w:val="28"/>
        </w:rPr>
        <w:t>目 录</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lang w:val="zh-CN"/>
        </w:rPr>
        <w:t>一、</w:t>
      </w:r>
      <w:r>
        <w:rPr>
          <w:rFonts w:hint="eastAsia" w:ascii="宋体" w:hAnsi="宋体" w:cs="宋体"/>
          <w:sz w:val="24"/>
        </w:rPr>
        <w:t>投标文件封面</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rPr>
        <w:t>二</w:t>
      </w:r>
      <w:r>
        <w:rPr>
          <w:rFonts w:hint="eastAsia" w:ascii="宋体" w:hAnsi="宋体" w:cs="宋体"/>
          <w:sz w:val="24"/>
          <w:lang w:val="zh-CN"/>
        </w:rPr>
        <w:t>、</w:t>
      </w:r>
      <w:r>
        <w:rPr>
          <w:rFonts w:hint="eastAsia" w:ascii="宋体" w:hAnsi="宋体" w:cs="宋体"/>
          <w:sz w:val="24"/>
        </w:rPr>
        <w:t>资格证明文件</w:t>
      </w:r>
    </w:p>
    <w:p>
      <w:pPr>
        <w:autoSpaceDE w:val="0"/>
        <w:autoSpaceDN w:val="0"/>
        <w:adjustRightInd w:val="0"/>
        <w:spacing w:line="360" w:lineRule="auto"/>
        <w:ind w:firstLine="480" w:firstLineChars="200"/>
        <w:jc w:val="left"/>
        <w:rPr>
          <w:rFonts w:ascii="宋体" w:hAnsi="宋体" w:cs="宋体"/>
          <w:sz w:val="24"/>
          <w:lang w:val="zh-CN"/>
        </w:rPr>
      </w:pPr>
      <w:r>
        <w:rPr>
          <w:rFonts w:hint="eastAsia" w:ascii="宋体" w:hAnsi="宋体" w:cs="宋体"/>
          <w:sz w:val="24"/>
        </w:rPr>
        <w:t>三、商务报价文件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四</w:t>
      </w:r>
      <w:r>
        <w:rPr>
          <w:rFonts w:hint="eastAsia" w:ascii="宋体" w:hAnsi="宋体" w:cs="宋体"/>
          <w:sz w:val="24"/>
          <w:lang w:val="zh-CN"/>
        </w:rPr>
        <w:t>、</w:t>
      </w:r>
      <w:r>
        <w:rPr>
          <w:rFonts w:hint="eastAsia" w:ascii="宋体" w:hAnsi="宋体" w:cs="宋体"/>
          <w:sz w:val="24"/>
        </w:rPr>
        <w:t>技术文件</w:t>
      </w:r>
    </w:p>
    <w:p>
      <w:pPr>
        <w:autoSpaceDE w:val="0"/>
        <w:autoSpaceDN w:val="0"/>
        <w:adjustRightInd w:val="0"/>
        <w:spacing w:line="360" w:lineRule="auto"/>
        <w:ind w:firstLine="480" w:firstLineChars="200"/>
        <w:jc w:val="left"/>
        <w:rPr>
          <w:rFonts w:ascii="宋体" w:hAnsi="宋体" w:cs="宋体"/>
        </w:rPr>
      </w:pPr>
      <w:r>
        <w:rPr>
          <w:rFonts w:hint="eastAsia" w:ascii="宋体" w:hAnsi="宋体" w:cs="宋体"/>
          <w:sz w:val="24"/>
        </w:rPr>
        <w:t>五、项目管理机构</w:t>
      </w:r>
    </w:p>
    <w:p>
      <w:pPr>
        <w:pStyle w:val="4"/>
        <w:jc w:val="center"/>
        <w:rPr>
          <w:rFonts w:ascii="宋体" w:hAnsi="宋体" w:cs="宋体"/>
        </w:rPr>
      </w:pPr>
      <w:r>
        <w:rPr>
          <w:rFonts w:hint="eastAsia" w:ascii="宋体" w:hAnsi="宋体" w:cs="宋体"/>
          <w:sz w:val="28"/>
          <w:szCs w:val="28"/>
        </w:rPr>
        <w:br w:type="page"/>
      </w:r>
      <w:bookmarkStart w:id="67" w:name="_Toc18338"/>
      <w:r>
        <w:rPr>
          <w:rFonts w:hint="eastAsia" w:ascii="宋体" w:hAnsi="宋体" w:cs="宋体"/>
          <w:sz w:val="28"/>
          <w:szCs w:val="28"/>
        </w:rPr>
        <w:t>二、资格证明文件</w:t>
      </w:r>
      <w:bookmarkEnd w:id="67"/>
    </w:p>
    <w:p>
      <w:pPr>
        <w:pStyle w:val="5"/>
        <w:spacing w:line="360" w:lineRule="auto"/>
        <w:jc w:val="center"/>
        <w:rPr>
          <w:rFonts w:ascii="宋体" w:hAnsi="宋体" w:cs="宋体"/>
          <w:sz w:val="28"/>
          <w:szCs w:val="28"/>
        </w:rPr>
      </w:pPr>
      <w:bookmarkStart w:id="68" w:name="_Toc15102"/>
      <w:r>
        <w:rPr>
          <w:rFonts w:hint="eastAsia" w:ascii="宋体" w:hAnsi="宋体" w:cs="宋体"/>
          <w:sz w:val="28"/>
          <w:szCs w:val="28"/>
        </w:rPr>
        <w:t xml:space="preserve">(一) </w:t>
      </w:r>
      <w:bookmarkEnd w:id="68"/>
      <w:r>
        <w:rPr>
          <w:rFonts w:hint="eastAsia" w:ascii="宋体" w:hAnsi="宋体" w:cs="宋体"/>
          <w:sz w:val="28"/>
          <w:szCs w:val="28"/>
        </w:rPr>
        <w:t>投标人基本情况表</w:t>
      </w:r>
    </w:p>
    <w:tbl>
      <w:tblPr>
        <w:tblStyle w:val="36"/>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投标人名称</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注册地址</w:t>
            </w:r>
          </w:p>
        </w:tc>
        <w:tc>
          <w:tcPr>
            <w:tcW w:w="3959" w:type="dxa"/>
            <w:gridSpan w:val="5"/>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邮政编码</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ascii="宋体" w:hAnsi="宋体" w:cs="宋体"/>
                <w:szCs w:val="21"/>
              </w:rPr>
            </w:pPr>
            <w:r>
              <w:rPr>
                <w:rFonts w:hint="eastAsia" w:ascii="宋体" w:hAnsi="宋体" w:cs="宋体"/>
                <w:szCs w:val="21"/>
              </w:rPr>
              <w:t>联系方式</w:t>
            </w:r>
          </w:p>
        </w:tc>
        <w:tc>
          <w:tcPr>
            <w:tcW w:w="1341" w:type="dxa"/>
            <w:gridSpan w:val="2"/>
            <w:vAlign w:val="center"/>
          </w:tcPr>
          <w:p>
            <w:pPr>
              <w:jc w:val="center"/>
              <w:rPr>
                <w:rFonts w:ascii="宋体" w:hAnsi="宋体" w:cs="宋体"/>
                <w:szCs w:val="21"/>
              </w:rPr>
            </w:pPr>
            <w:r>
              <w:rPr>
                <w:rFonts w:hint="eastAsia" w:ascii="宋体" w:hAnsi="宋体" w:cs="宋体"/>
                <w:szCs w:val="21"/>
              </w:rPr>
              <w:t>联系人</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电  话</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ascii="宋体" w:hAnsi="宋体" w:cs="宋体"/>
                <w:szCs w:val="21"/>
              </w:rPr>
            </w:pPr>
          </w:p>
        </w:tc>
        <w:tc>
          <w:tcPr>
            <w:tcW w:w="1341" w:type="dxa"/>
            <w:gridSpan w:val="2"/>
            <w:vAlign w:val="center"/>
          </w:tcPr>
          <w:p>
            <w:pPr>
              <w:jc w:val="center"/>
              <w:rPr>
                <w:rFonts w:ascii="宋体" w:hAnsi="宋体" w:cs="宋体"/>
                <w:szCs w:val="21"/>
              </w:rPr>
            </w:pPr>
            <w:r>
              <w:rPr>
                <w:rFonts w:hint="eastAsia" w:ascii="宋体" w:hAnsi="宋体" w:cs="宋体"/>
                <w:szCs w:val="21"/>
              </w:rPr>
              <w:t>传  真</w:t>
            </w:r>
          </w:p>
        </w:tc>
        <w:tc>
          <w:tcPr>
            <w:tcW w:w="2618" w:type="dxa"/>
            <w:gridSpan w:val="3"/>
            <w:vAlign w:val="center"/>
          </w:tcPr>
          <w:p>
            <w:pPr>
              <w:jc w:val="center"/>
              <w:rPr>
                <w:rFonts w:ascii="宋体" w:hAnsi="宋体" w:cs="宋体"/>
                <w:szCs w:val="21"/>
              </w:rPr>
            </w:pPr>
          </w:p>
        </w:tc>
        <w:tc>
          <w:tcPr>
            <w:tcW w:w="1456" w:type="dxa"/>
            <w:vAlign w:val="center"/>
          </w:tcPr>
          <w:p>
            <w:pPr>
              <w:jc w:val="center"/>
              <w:rPr>
                <w:rFonts w:ascii="宋体" w:hAnsi="宋体" w:cs="宋体"/>
                <w:szCs w:val="21"/>
              </w:rPr>
            </w:pPr>
            <w:r>
              <w:rPr>
                <w:rFonts w:hint="eastAsia" w:ascii="宋体" w:hAnsi="宋体" w:cs="宋体"/>
                <w:szCs w:val="21"/>
              </w:rPr>
              <w:t>网  址</w:t>
            </w:r>
          </w:p>
        </w:tc>
        <w:tc>
          <w:tcPr>
            <w:tcW w:w="2787" w:type="dxa"/>
            <w:gridSpan w:val="3"/>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组织结构</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法定代表人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技术负责人</w:t>
            </w:r>
          </w:p>
        </w:tc>
        <w:tc>
          <w:tcPr>
            <w:tcW w:w="1048" w:type="dxa"/>
            <w:vAlign w:val="center"/>
          </w:tcPr>
          <w:p>
            <w:pPr>
              <w:jc w:val="center"/>
              <w:rPr>
                <w:rFonts w:ascii="宋体" w:hAnsi="宋体" w:cs="宋体"/>
                <w:szCs w:val="21"/>
              </w:rPr>
            </w:pPr>
            <w:r>
              <w:rPr>
                <w:rFonts w:hint="eastAsia" w:ascii="宋体" w:hAnsi="宋体" w:cs="宋体"/>
                <w:szCs w:val="21"/>
              </w:rPr>
              <w:t>姓名</w:t>
            </w:r>
          </w:p>
        </w:tc>
        <w:tc>
          <w:tcPr>
            <w:tcW w:w="1412" w:type="dxa"/>
            <w:gridSpan w:val="2"/>
            <w:vAlign w:val="center"/>
          </w:tcPr>
          <w:p>
            <w:pPr>
              <w:jc w:val="center"/>
              <w:rPr>
                <w:rFonts w:ascii="宋体" w:hAnsi="宋体" w:cs="宋体"/>
                <w:szCs w:val="21"/>
              </w:rPr>
            </w:pPr>
          </w:p>
        </w:tc>
        <w:tc>
          <w:tcPr>
            <w:tcW w:w="1499" w:type="dxa"/>
            <w:gridSpan w:val="2"/>
            <w:vAlign w:val="center"/>
          </w:tcPr>
          <w:p>
            <w:pPr>
              <w:jc w:val="center"/>
              <w:rPr>
                <w:rFonts w:ascii="宋体" w:hAnsi="宋体" w:cs="宋体"/>
                <w:szCs w:val="21"/>
              </w:rPr>
            </w:pPr>
            <w:r>
              <w:rPr>
                <w:rFonts w:hint="eastAsia" w:ascii="宋体" w:hAnsi="宋体" w:cs="宋体"/>
                <w:szCs w:val="21"/>
              </w:rPr>
              <w:t>技术职称</w:t>
            </w:r>
          </w:p>
        </w:tc>
        <w:tc>
          <w:tcPr>
            <w:tcW w:w="1760" w:type="dxa"/>
            <w:gridSpan w:val="2"/>
            <w:vAlign w:val="center"/>
          </w:tcPr>
          <w:p>
            <w:pPr>
              <w:jc w:val="center"/>
              <w:rPr>
                <w:rFonts w:ascii="宋体" w:hAnsi="宋体" w:cs="宋体"/>
                <w:szCs w:val="21"/>
              </w:rPr>
            </w:pPr>
          </w:p>
        </w:tc>
        <w:tc>
          <w:tcPr>
            <w:tcW w:w="828" w:type="dxa"/>
            <w:vAlign w:val="center"/>
          </w:tcPr>
          <w:p>
            <w:pPr>
              <w:jc w:val="center"/>
              <w:rPr>
                <w:rFonts w:ascii="宋体" w:hAnsi="宋体" w:cs="宋体"/>
                <w:szCs w:val="21"/>
              </w:rPr>
            </w:pPr>
            <w:r>
              <w:rPr>
                <w:rFonts w:hint="eastAsia" w:ascii="宋体" w:hAnsi="宋体" w:cs="宋体"/>
                <w:szCs w:val="21"/>
              </w:rPr>
              <w:t>电话</w:t>
            </w:r>
          </w:p>
        </w:tc>
        <w:tc>
          <w:tcPr>
            <w:tcW w:w="165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成立时间</w:t>
            </w:r>
          </w:p>
        </w:tc>
        <w:tc>
          <w:tcPr>
            <w:tcW w:w="2460" w:type="dxa"/>
            <w:gridSpan w:val="3"/>
            <w:vAlign w:val="center"/>
          </w:tcPr>
          <w:p>
            <w:pPr>
              <w:jc w:val="center"/>
              <w:rPr>
                <w:rFonts w:ascii="宋体" w:hAnsi="宋体" w:cs="宋体"/>
                <w:szCs w:val="21"/>
              </w:rPr>
            </w:pPr>
          </w:p>
        </w:tc>
        <w:tc>
          <w:tcPr>
            <w:tcW w:w="5742" w:type="dxa"/>
            <w:gridSpan w:val="6"/>
            <w:vAlign w:val="center"/>
          </w:tcPr>
          <w:p>
            <w:pPr>
              <w:jc w:val="center"/>
              <w:rPr>
                <w:rFonts w:ascii="宋体" w:hAnsi="宋体" w:cs="宋体"/>
                <w:szCs w:val="21"/>
              </w:rPr>
            </w:pPr>
            <w:r>
              <w:rPr>
                <w:rFonts w:hint="eastAsia" w:ascii="宋体" w:hAnsi="宋体" w:cs="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企业资质等级</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restart"/>
            <w:vAlign w:val="center"/>
          </w:tcPr>
          <w:p>
            <w:pPr>
              <w:jc w:val="center"/>
              <w:rPr>
                <w:rFonts w:ascii="宋体" w:hAnsi="宋体" w:cs="宋体"/>
                <w:szCs w:val="21"/>
              </w:rPr>
            </w:pPr>
            <w:r>
              <w:rPr>
                <w:rFonts w:hint="eastAsia" w:ascii="宋体" w:hAnsi="宋体" w:cs="宋体"/>
                <w:szCs w:val="21"/>
              </w:rPr>
              <w:t>其中</w:t>
            </w:r>
          </w:p>
        </w:tc>
        <w:tc>
          <w:tcPr>
            <w:tcW w:w="2319" w:type="dxa"/>
            <w:gridSpan w:val="3"/>
            <w:vAlign w:val="center"/>
          </w:tcPr>
          <w:p>
            <w:pPr>
              <w:jc w:val="center"/>
              <w:rPr>
                <w:rFonts w:ascii="宋体" w:hAnsi="宋体" w:cs="宋体"/>
                <w:szCs w:val="21"/>
              </w:rPr>
            </w:pPr>
            <w:r>
              <w:rPr>
                <w:rFonts w:hint="eastAsia" w:ascii="宋体" w:hAnsi="宋体" w:cs="宋体"/>
                <w:szCs w:val="21"/>
              </w:rPr>
              <w:t>项目经理</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营业执照号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高级职称人员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注册资金</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中级职称人员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开户银行</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初级职称人员</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账号</w:t>
            </w:r>
          </w:p>
        </w:tc>
        <w:tc>
          <w:tcPr>
            <w:tcW w:w="1048" w:type="dxa"/>
            <w:vAlign w:val="center"/>
          </w:tcPr>
          <w:p>
            <w:pPr>
              <w:jc w:val="center"/>
              <w:rPr>
                <w:rFonts w:ascii="宋体" w:hAnsi="宋体" w:cs="宋体"/>
                <w:szCs w:val="21"/>
              </w:rPr>
            </w:pPr>
          </w:p>
        </w:tc>
        <w:tc>
          <w:tcPr>
            <w:tcW w:w="1412" w:type="dxa"/>
            <w:gridSpan w:val="2"/>
            <w:vAlign w:val="center"/>
          </w:tcPr>
          <w:p>
            <w:pPr>
              <w:jc w:val="center"/>
              <w:rPr>
                <w:rFonts w:ascii="宋体" w:hAnsi="宋体" w:cs="宋体"/>
                <w:szCs w:val="21"/>
              </w:rPr>
            </w:pPr>
          </w:p>
        </w:tc>
        <w:tc>
          <w:tcPr>
            <w:tcW w:w="940" w:type="dxa"/>
            <w:vMerge w:val="continue"/>
            <w:vAlign w:val="center"/>
          </w:tcPr>
          <w:p>
            <w:pPr>
              <w:jc w:val="center"/>
              <w:rPr>
                <w:rFonts w:ascii="宋体" w:hAnsi="宋体" w:cs="宋体"/>
                <w:szCs w:val="21"/>
              </w:rPr>
            </w:pPr>
          </w:p>
        </w:tc>
        <w:tc>
          <w:tcPr>
            <w:tcW w:w="2319" w:type="dxa"/>
            <w:gridSpan w:val="3"/>
            <w:vAlign w:val="center"/>
          </w:tcPr>
          <w:p>
            <w:pPr>
              <w:jc w:val="center"/>
              <w:rPr>
                <w:rFonts w:ascii="宋体" w:hAnsi="宋体" w:cs="宋体"/>
                <w:szCs w:val="21"/>
              </w:rPr>
            </w:pPr>
            <w:r>
              <w:rPr>
                <w:rFonts w:hint="eastAsia" w:ascii="宋体" w:hAnsi="宋体" w:cs="宋体"/>
                <w:szCs w:val="21"/>
              </w:rPr>
              <w:t>技  工</w:t>
            </w:r>
          </w:p>
        </w:tc>
        <w:tc>
          <w:tcPr>
            <w:tcW w:w="2483"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vAlign w:val="center"/>
          </w:tcPr>
          <w:p>
            <w:pPr>
              <w:jc w:val="center"/>
              <w:rPr>
                <w:rFonts w:ascii="宋体" w:hAnsi="宋体" w:cs="宋体"/>
                <w:szCs w:val="21"/>
              </w:rPr>
            </w:pPr>
            <w:r>
              <w:rPr>
                <w:rFonts w:hint="eastAsia" w:ascii="宋体" w:hAnsi="宋体" w:cs="宋体"/>
                <w:szCs w:val="21"/>
              </w:rPr>
              <w:t>经营范围</w:t>
            </w:r>
          </w:p>
        </w:tc>
        <w:tc>
          <w:tcPr>
            <w:tcW w:w="8202" w:type="dxa"/>
            <w:gridSpan w:val="9"/>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ascii="宋体" w:hAnsi="宋体" w:cs="宋体"/>
                <w:szCs w:val="21"/>
              </w:rPr>
            </w:pPr>
            <w:r>
              <w:rPr>
                <w:rFonts w:hint="eastAsia" w:ascii="宋体" w:hAnsi="宋体" w:cs="宋体"/>
                <w:szCs w:val="21"/>
              </w:rPr>
              <w:t>备注</w:t>
            </w:r>
          </w:p>
        </w:tc>
        <w:tc>
          <w:tcPr>
            <w:tcW w:w="8202" w:type="dxa"/>
            <w:gridSpan w:val="9"/>
            <w:vAlign w:val="center"/>
          </w:tcPr>
          <w:p>
            <w:pPr>
              <w:jc w:val="center"/>
              <w:rPr>
                <w:rFonts w:ascii="宋体" w:hAnsi="宋体" w:cs="宋体"/>
                <w:szCs w:val="21"/>
              </w:rPr>
            </w:pPr>
          </w:p>
        </w:tc>
      </w:tr>
    </w:tbl>
    <w:p>
      <w:pPr>
        <w:spacing w:line="440" w:lineRule="exact"/>
        <w:rPr>
          <w:rFonts w:ascii="宋体" w:hAnsi="宋体" w:cs="宋体"/>
          <w:sz w:val="24"/>
          <w:szCs w:val="21"/>
        </w:rPr>
      </w:pPr>
      <w:r>
        <w:rPr>
          <w:rFonts w:hint="eastAsia" w:ascii="宋体" w:hAnsi="宋体" w:cs="宋体"/>
          <w:sz w:val="24"/>
          <w:szCs w:val="21"/>
        </w:rPr>
        <w:t>备注：本表后应附企业法人营业执照、企业资质证书、开户许可证、等其他证明材料的复印件。</w:t>
      </w:r>
    </w:p>
    <w:p>
      <w:pPr>
        <w:spacing w:line="360" w:lineRule="auto"/>
        <w:ind w:firstLine="420"/>
        <w:rPr>
          <w:rFonts w:ascii="宋体" w:hAnsi="宋体" w:cs="宋体"/>
        </w:rPr>
      </w:pPr>
    </w:p>
    <w:p>
      <w:pPr>
        <w:pStyle w:val="5"/>
        <w:spacing w:line="360" w:lineRule="auto"/>
        <w:jc w:val="center"/>
        <w:rPr>
          <w:rFonts w:ascii="宋体" w:hAnsi="宋体" w:cs="宋体"/>
          <w:sz w:val="28"/>
          <w:szCs w:val="28"/>
        </w:rPr>
      </w:pPr>
      <w:bookmarkStart w:id="69" w:name="_Toc26437"/>
      <w:r>
        <w:rPr>
          <w:rFonts w:hint="eastAsia" w:ascii="宋体" w:hAnsi="宋体" w:cs="宋体"/>
          <w:sz w:val="28"/>
          <w:szCs w:val="28"/>
        </w:rPr>
        <w:t>（二）法定代表人身份证明或附有法定代表人身份证明的授权书</w:t>
      </w:r>
    </w:p>
    <w:bookmarkEnd w:id="69"/>
    <w:p>
      <w:pPr>
        <w:spacing w:line="360" w:lineRule="auto"/>
        <w:ind w:firstLine="420"/>
        <w:jc w:val="center"/>
        <w:rPr>
          <w:rFonts w:ascii="宋体" w:hAnsi="宋体" w:cs="宋体"/>
          <w:szCs w:val="21"/>
        </w:rPr>
      </w:pPr>
    </w:p>
    <w:p>
      <w:pPr>
        <w:spacing w:line="360" w:lineRule="auto"/>
        <w:jc w:val="center"/>
        <w:rPr>
          <w:rFonts w:ascii="宋体" w:hAnsi="宋体" w:cs="宋体"/>
          <w:b/>
          <w:sz w:val="24"/>
        </w:rPr>
      </w:pPr>
      <w:r>
        <w:rPr>
          <w:rFonts w:hint="eastAsia" w:ascii="宋体" w:hAnsi="宋体" w:cs="宋体"/>
          <w:b/>
          <w:bCs/>
          <w:sz w:val="24"/>
        </w:rPr>
        <w:t>法定代表人身份证明</w:t>
      </w:r>
    </w:p>
    <w:p>
      <w:pPr>
        <w:spacing w:line="360" w:lineRule="auto"/>
        <w:ind w:firstLine="480"/>
        <w:rPr>
          <w:rFonts w:ascii="宋体" w:hAnsi="宋体" w:cs="宋体"/>
          <w:sz w:val="24"/>
        </w:rPr>
      </w:pP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spacing w:line="360" w:lineRule="auto"/>
        <w:ind w:firstLine="420"/>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pPr>
        <w:spacing w:line="360" w:lineRule="auto"/>
        <w:ind w:firstLine="42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firstLine="42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20"/>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360" w:lineRule="auto"/>
        <w:ind w:firstLine="420"/>
        <w:rPr>
          <w:rFonts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ab/>
      </w:r>
    </w:p>
    <w:p>
      <w:pPr>
        <w:spacing w:line="360" w:lineRule="auto"/>
        <w:ind w:firstLine="42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（供应商）的法定代表人。</w:t>
      </w:r>
    </w:p>
    <w:p>
      <w:pPr>
        <w:spacing w:line="360" w:lineRule="auto"/>
        <w:ind w:firstLine="420"/>
        <w:rPr>
          <w:rFonts w:ascii="宋体" w:hAnsi="宋体" w:cs="宋体"/>
          <w:szCs w:val="21"/>
        </w:rPr>
      </w:pPr>
      <w:r>
        <w:rPr>
          <w:rFonts w:hint="eastAsia" w:ascii="宋体" w:hAnsi="宋体" w:cs="宋体"/>
          <w:szCs w:val="21"/>
        </w:rPr>
        <w:t>特此证明。</w:t>
      </w: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附：法定代表人身份证复印件正反面</w:t>
      </w:r>
    </w:p>
    <w:p>
      <w:pPr>
        <w:spacing w:line="360" w:lineRule="auto"/>
        <w:ind w:firstLine="420"/>
        <w:rPr>
          <w:rFonts w:ascii="宋体" w:hAnsi="宋体" w:cs="宋体"/>
          <w:szCs w:val="21"/>
        </w:rPr>
      </w:pPr>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420"/>
        <w:rPr>
          <w:rFonts w:ascii="宋体" w:hAnsi="宋体" w:cs="宋体"/>
          <w:szCs w:val="21"/>
        </w:rPr>
      </w:pPr>
      <w:r>
        <w:rPr>
          <w:rFonts w:hint="eastAsia" w:ascii="宋体" w:hAnsi="宋体" w:cs="宋体"/>
          <w:szCs w:val="21"/>
        </w:rPr>
        <w:t xml:space="preserve">                                 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spacing w:line="360" w:lineRule="auto"/>
        <w:ind w:firstLine="420"/>
        <w:rPr>
          <w:rFonts w:ascii="宋体" w:hAnsi="宋体" w:cs="宋体"/>
          <w:szCs w:val="21"/>
        </w:rPr>
      </w:pPr>
    </w:p>
    <w:p>
      <w:pPr>
        <w:spacing w:line="360" w:lineRule="auto"/>
        <w:jc w:val="center"/>
        <w:rPr>
          <w:b/>
          <w:bCs/>
          <w:sz w:val="24"/>
          <w:lang w:val="zh-CN"/>
        </w:rPr>
      </w:pPr>
      <w:r>
        <w:rPr>
          <w:rFonts w:hint="eastAsia" w:ascii="宋体" w:hAnsi="宋体" w:cs="宋体"/>
          <w:sz w:val="20"/>
        </w:rPr>
        <w:br w:type="page"/>
      </w:r>
      <w:r>
        <w:rPr>
          <w:rFonts w:hint="eastAsia"/>
          <w:b/>
          <w:bCs/>
          <w:sz w:val="24"/>
          <w:lang w:val="zh-CN"/>
        </w:rPr>
        <w:t>授权委托书</w:t>
      </w:r>
    </w:p>
    <w:p>
      <w:pPr>
        <w:pStyle w:val="20"/>
        <w:adjustRightInd w:val="0"/>
        <w:snapToGrid w:val="0"/>
        <w:spacing w:line="360" w:lineRule="auto"/>
        <w:rPr>
          <w:rFonts w:hAnsi="宋体" w:cs="宋体"/>
        </w:rPr>
      </w:pPr>
    </w:p>
    <w:p>
      <w:pPr>
        <w:pStyle w:val="20"/>
        <w:adjustRightInd w:val="0"/>
        <w:snapToGrid w:val="0"/>
        <w:spacing w:line="360" w:lineRule="auto"/>
        <w:ind w:firstLine="420" w:firstLineChars="200"/>
        <w:rPr>
          <w:rFonts w:hAnsi="宋体" w:cs="宋体"/>
        </w:rPr>
      </w:pPr>
      <w:r>
        <w:rPr>
          <w:rFonts w:hint="eastAsia" w:hAnsi="宋体" w:cs="宋体"/>
        </w:rPr>
        <w:t>本授权委托书声明：我</w:t>
      </w:r>
      <w:r>
        <w:rPr>
          <w:rFonts w:hint="eastAsia" w:hAnsi="宋体" w:cs="宋体"/>
          <w:u w:val="single"/>
        </w:rPr>
        <w:t xml:space="preserve">        </w:t>
      </w:r>
      <w:r>
        <w:rPr>
          <w:rFonts w:hint="eastAsia" w:hAnsi="宋体" w:cs="宋体"/>
        </w:rPr>
        <w:t xml:space="preserve"> (姓名)系</w:t>
      </w:r>
      <w:r>
        <w:rPr>
          <w:rFonts w:hint="eastAsia" w:hAnsi="宋体" w:cs="宋体"/>
          <w:u w:val="single"/>
        </w:rPr>
        <w:t xml:space="preserve">            </w:t>
      </w:r>
      <w:r>
        <w:rPr>
          <w:rFonts w:hint="eastAsia" w:hAnsi="宋体" w:cs="宋体"/>
        </w:rPr>
        <w:t xml:space="preserve">(供应商名称)的法定代表人，现授权委托 </w:t>
      </w:r>
      <w:r>
        <w:rPr>
          <w:rFonts w:hint="eastAsia" w:hAnsi="宋体" w:cs="宋体"/>
          <w:u w:val="single"/>
        </w:rPr>
        <w:t xml:space="preserve">         </w:t>
      </w:r>
      <w:r>
        <w:rPr>
          <w:rFonts w:hint="eastAsia" w:hAnsi="宋体" w:cs="宋体"/>
        </w:rPr>
        <w:t>(姓名)为我公司本次磋商采购活动的授权代表，参加</w:t>
      </w:r>
      <w:r>
        <w:rPr>
          <w:rFonts w:hint="eastAsia" w:hAnsi="宋体" w:cs="宋体"/>
          <w:u w:val="single"/>
        </w:rPr>
        <w:t xml:space="preserve">                </w:t>
      </w:r>
      <w:r>
        <w:rPr>
          <w:rFonts w:hint="eastAsia" w:hAnsi="宋体" w:cs="宋体"/>
        </w:rPr>
        <w:t>(采购人)的</w:t>
      </w:r>
      <w:r>
        <w:rPr>
          <w:rFonts w:hint="eastAsia" w:hAnsi="宋体" w:cs="宋体"/>
          <w:u w:val="single"/>
        </w:rPr>
        <w:t xml:space="preserve">                    </w:t>
      </w:r>
      <w:r>
        <w:rPr>
          <w:rFonts w:hint="eastAsia" w:hAnsi="宋体" w:cs="宋体"/>
        </w:rPr>
        <w:t>项目的磋商采购活动。授权代表在磋商、合同签订过程中所签署的一切文件和处理与之有关的一切事务，我均予以承认。</w:t>
      </w:r>
    </w:p>
    <w:p>
      <w:pPr>
        <w:pStyle w:val="20"/>
        <w:adjustRightInd w:val="0"/>
        <w:snapToGrid w:val="0"/>
        <w:spacing w:line="360" w:lineRule="auto"/>
        <w:rPr>
          <w:rFonts w:hAnsi="宋体" w:cs="宋体"/>
        </w:rPr>
      </w:pPr>
    </w:p>
    <w:p>
      <w:pPr>
        <w:pStyle w:val="20"/>
        <w:adjustRightInd w:val="0"/>
        <w:snapToGrid w:val="0"/>
        <w:spacing w:line="360" w:lineRule="auto"/>
        <w:ind w:left="412"/>
        <w:rPr>
          <w:rFonts w:hAnsi="宋体" w:cs="宋体"/>
        </w:rPr>
      </w:pPr>
      <w:r>
        <w:rPr>
          <w:rFonts w:hint="eastAsia" w:hAnsi="宋体" w:cs="宋体"/>
        </w:rPr>
        <w:t>授权代表无转委托权。特此委托。</w:t>
      </w:r>
    </w:p>
    <w:p>
      <w:pPr>
        <w:pStyle w:val="20"/>
        <w:adjustRightInd w:val="0"/>
        <w:snapToGrid w:val="0"/>
        <w:spacing w:line="360" w:lineRule="auto"/>
        <w:ind w:left="412"/>
        <w:rPr>
          <w:rFonts w:hAnsi="宋体" w:cs="宋体"/>
        </w:rPr>
      </w:pPr>
    </w:p>
    <w:p>
      <w:pPr>
        <w:pStyle w:val="20"/>
        <w:adjustRightInd w:val="0"/>
        <w:snapToGrid w:val="0"/>
        <w:spacing w:line="360" w:lineRule="auto"/>
        <w:ind w:left="412"/>
        <w:rPr>
          <w:rFonts w:hAnsi="宋体" w:cs="宋体"/>
        </w:rPr>
      </w:pPr>
      <w:r>
        <w:rPr>
          <w:rFonts w:hint="eastAsia" w:hAnsi="宋体" w:cs="宋体"/>
        </w:rPr>
        <w:t>授权代表（姓名）：               性别：                    年龄：</w:t>
      </w:r>
    </w:p>
    <w:p>
      <w:pPr>
        <w:pStyle w:val="20"/>
        <w:adjustRightInd w:val="0"/>
        <w:snapToGrid w:val="0"/>
        <w:spacing w:line="360" w:lineRule="auto"/>
        <w:ind w:firstLine="420"/>
        <w:rPr>
          <w:rFonts w:hAnsi="宋体" w:cs="宋体"/>
        </w:rPr>
      </w:pPr>
      <w:r>
        <w:rPr>
          <w:rFonts w:hint="eastAsia" w:hAnsi="宋体" w:cs="宋体"/>
        </w:rPr>
        <w:t>单           位：               部门：                    职务：</w:t>
      </w:r>
    </w:p>
    <w:p>
      <w:pPr>
        <w:pStyle w:val="20"/>
        <w:adjustRightInd w:val="0"/>
        <w:snapToGrid w:val="0"/>
        <w:spacing w:line="360" w:lineRule="auto"/>
        <w:ind w:firstLine="420"/>
        <w:rPr>
          <w:rFonts w:hAnsi="宋体" w:cs="宋体"/>
        </w:rPr>
      </w:pPr>
    </w:p>
    <w:p>
      <w:pPr>
        <w:pStyle w:val="20"/>
        <w:adjustRightInd w:val="0"/>
        <w:snapToGrid w:val="0"/>
        <w:spacing w:line="360" w:lineRule="auto"/>
        <w:ind w:firstLine="420"/>
        <w:rPr>
          <w:rFonts w:hAnsi="宋体" w:cs="宋体"/>
        </w:rPr>
      </w:pPr>
      <w:r>
        <w:rPr>
          <w:rFonts w:hint="eastAsia" w:hAnsi="宋体" w:cs="宋体"/>
        </w:rPr>
        <w:t>附：授权代表身份证复印件正反面</w:t>
      </w:r>
    </w:p>
    <w:p>
      <w:pPr>
        <w:pStyle w:val="20"/>
        <w:adjustRightInd w:val="0"/>
        <w:snapToGrid w:val="0"/>
        <w:spacing w:line="360" w:lineRule="auto"/>
        <w:ind w:firstLine="420"/>
        <w:rPr>
          <w:rFonts w:hAnsi="宋体" w:cs="宋体"/>
        </w:rPr>
      </w:pPr>
    </w:p>
    <w:p>
      <w:pPr>
        <w:pStyle w:val="20"/>
        <w:adjustRightInd w:val="0"/>
        <w:snapToGrid w:val="0"/>
        <w:spacing w:line="360" w:lineRule="auto"/>
        <w:ind w:firstLine="420"/>
        <w:rPr>
          <w:rFonts w:hAnsi="宋体" w:cs="宋体"/>
          <w:u w:val="single"/>
        </w:rPr>
      </w:pPr>
      <w:r>
        <w:rPr>
          <w:rFonts w:hint="eastAsia" w:hAnsi="宋体" w:cs="宋体"/>
        </w:rPr>
        <w:t>投标人名称：</w:t>
      </w:r>
      <w:r>
        <w:rPr>
          <w:rFonts w:hint="eastAsia" w:hAnsi="宋体" w:cs="宋体"/>
          <w:u w:val="single"/>
        </w:rPr>
        <w:t xml:space="preserve">                 </w:t>
      </w:r>
      <w:r>
        <w:rPr>
          <w:rFonts w:hint="eastAsia" w:hAnsi="宋体" w:cs="宋体"/>
        </w:rPr>
        <w:t xml:space="preserve"> (盖单位章)</w:t>
      </w:r>
    </w:p>
    <w:p>
      <w:pPr>
        <w:pStyle w:val="20"/>
        <w:adjustRightInd w:val="0"/>
        <w:snapToGrid w:val="0"/>
        <w:spacing w:line="360" w:lineRule="auto"/>
        <w:ind w:firstLine="420"/>
        <w:rPr>
          <w:rFonts w:hAnsi="宋体" w:cs="宋体"/>
        </w:rPr>
      </w:pPr>
      <w:r>
        <w:rPr>
          <w:rFonts w:hint="eastAsia" w:hAnsi="宋体" w:cs="宋体"/>
        </w:rPr>
        <w:t>法定代表人：</w:t>
      </w:r>
      <w:r>
        <w:rPr>
          <w:rFonts w:hint="eastAsia" w:hAnsi="宋体" w:cs="宋体"/>
          <w:u w:val="single"/>
        </w:rPr>
        <w:t xml:space="preserve">                       </w:t>
      </w:r>
      <w:r>
        <w:rPr>
          <w:rFonts w:hint="eastAsia" w:hAnsi="宋体" w:cs="宋体"/>
        </w:rPr>
        <w:t>(签字或盖章)</w:t>
      </w:r>
    </w:p>
    <w:p>
      <w:pPr>
        <w:pStyle w:val="20"/>
        <w:adjustRightInd w:val="0"/>
        <w:snapToGrid w:val="0"/>
        <w:spacing w:line="360" w:lineRule="auto"/>
        <w:ind w:right="420" w:firstLine="420" w:firstLineChars="200"/>
        <w:rPr>
          <w:rFonts w:hAnsi="宋体" w:cs="宋体"/>
          <w:u w:val="single"/>
        </w:rPr>
      </w:pPr>
      <w:r>
        <w:rPr>
          <w:rFonts w:hint="eastAsia" w:hAnsi="宋体" w:cs="宋体"/>
        </w:rPr>
        <w:t>授权代表：</w:t>
      </w:r>
      <w:r>
        <w:rPr>
          <w:rFonts w:hint="eastAsia" w:hAnsi="宋体" w:cs="宋体"/>
          <w:u w:val="single"/>
        </w:rPr>
        <w:t xml:space="preserve">                          </w:t>
      </w:r>
      <w:r>
        <w:rPr>
          <w:rFonts w:hint="eastAsia" w:hAnsi="宋体" w:cs="宋体"/>
        </w:rPr>
        <w:t>（签字或盖章）</w:t>
      </w:r>
    </w:p>
    <w:p>
      <w:pPr>
        <w:pStyle w:val="20"/>
        <w:adjustRightInd w:val="0"/>
        <w:snapToGrid w:val="0"/>
        <w:spacing w:line="360" w:lineRule="auto"/>
        <w:ind w:right="420" w:firstLine="420" w:firstLineChars="200"/>
        <w:rPr>
          <w:rFonts w:hAnsi="宋体" w:cs="宋体"/>
        </w:rPr>
      </w:pPr>
    </w:p>
    <w:p>
      <w:pPr>
        <w:pStyle w:val="20"/>
        <w:adjustRightInd w:val="0"/>
        <w:snapToGrid w:val="0"/>
        <w:spacing w:line="360" w:lineRule="auto"/>
        <w:ind w:right="420" w:firstLine="420" w:firstLineChars="200"/>
        <w:rPr>
          <w:rFonts w:hAnsi="宋体" w:cs="宋体"/>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20"/>
        <w:adjustRightInd w:val="0"/>
        <w:snapToGrid w:val="0"/>
        <w:spacing w:line="360" w:lineRule="auto"/>
        <w:rPr>
          <w:rFonts w:hAnsi="宋体" w:cs="宋体"/>
        </w:rPr>
      </w:pPr>
    </w:p>
    <w:p>
      <w:pPr>
        <w:autoSpaceDE w:val="0"/>
        <w:autoSpaceDN w:val="0"/>
        <w:adjustRightInd w:val="0"/>
        <w:spacing w:line="360" w:lineRule="auto"/>
        <w:rPr>
          <w:rFonts w:ascii="宋体" w:hAnsi="宋体" w:cs="宋体"/>
          <w:szCs w:val="21"/>
        </w:rPr>
      </w:pPr>
    </w:p>
    <w:p>
      <w:pPr>
        <w:pStyle w:val="5"/>
        <w:numPr>
          <w:ilvl w:val="0"/>
          <w:numId w:val="3"/>
        </w:numPr>
        <w:spacing w:line="360" w:lineRule="auto"/>
        <w:jc w:val="left"/>
        <w:rPr>
          <w:rFonts w:ascii="宋体" w:hAnsi="宋体" w:cs="宋体"/>
          <w:sz w:val="28"/>
          <w:szCs w:val="28"/>
        </w:rPr>
      </w:pPr>
      <w:r>
        <w:rPr>
          <w:rFonts w:hint="eastAsia" w:ascii="宋体" w:hAnsi="宋体" w:cs="宋体"/>
          <w:sz w:val="28"/>
          <w:szCs w:val="28"/>
        </w:rPr>
        <w:br w:type="page"/>
      </w:r>
      <w:bookmarkStart w:id="70" w:name="_Toc6868"/>
      <w:r>
        <w:rPr>
          <w:rFonts w:hint="eastAsia" w:ascii="宋体" w:hAnsi="宋体" w:cs="宋体"/>
          <w:sz w:val="28"/>
          <w:szCs w:val="28"/>
        </w:rPr>
        <w:t>近三年无重大违法记录信息证明文件</w:t>
      </w:r>
      <w:bookmarkEnd w:id="70"/>
    </w:p>
    <w:p>
      <w:pPr>
        <w:pStyle w:val="35"/>
        <w:ind w:firstLine="0"/>
      </w:pPr>
    </w:p>
    <w:p>
      <w:pPr>
        <w:pStyle w:val="5"/>
        <w:spacing w:line="360" w:lineRule="auto"/>
        <w:jc w:val="left"/>
        <w:rPr>
          <w:rFonts w:ascii="宋体" w:hAnsi="宋体" w:cs="宋体"/>
          <w:sz w:val="28"/>
          <w:szCs w:val="28"/>
        </w:rPr>
      </w:pPr>
      <w:bookmarkStart w:id="71" w:name="_Toc17751"/>
      <w:r>
        <w:rPr>
          <w:rFonts w:hint="eastAsia" w:ascii="宋体" w:hAnsi="宋体" w:cs="宋体"/>
          <w:sz w:val="28"/>
          <w:szCs w:val="28"/>
        </w:rPr>
        <w:t>（四）其他资格证明文件</w:t>
      </w:r>
      <w:bookmarkEnd w:id="71"/>
    </w:p>
    <w:p>
      <w:pPr>
        <w:pStyle w:val="35"/>
        <w:ind w:firstLine="0"/>
      </w:pPr>
      <w:r>
        <w:rPr>
          <w:rFonts w:hint="eastAsia"/>
        </w:rPr>
        <w:t>附投标人认为需提供的证明文件</w:t>
      </w: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pStyle w:val="35"/>
        <w:rPr>
          <w:rFonts w:ascii="宋体" w:hAnsi="宋体" w:cs="宋体"/>
          <w:sz w:val="28"/>
          <w:szCs w:val="28"/>
        </w:rPr>
      </w:pPr>
    </w:p>
    <w:p>
      <w:pPr>
        <w:numPr>
          <w:ilvl w:val="0"/>
          <w:numId w:val="4"/>
        </w:numPr>
        <w:spacing w:line="360" w:lineRule="auto"/>
        <w:ind w:right="1120"/>
        <w:jc w:val="center"/>
        <w:rPr>
          <w:rFonts w:ascii="宋体" w:hAnsi="宋体" w:cs="宋体"/>
          <w:b/>
          <w:bCs/>
          <w:sz w:val="28"/>
          <w:szCs w:val="28"/>
        </w:rPr>
      </w:pPr>
      <w:bookmarkStart w:id="72" w:name="_Toc30189"/>
      <w:r>
        <w:rPr>
          <w:rFonts w:hint="eastAsia" w:ascii="宋体" w:hAnsi="宋体" w:cs="宋体"/>
          <w:b/>
          <w:bCs/>
          <w:sz w:val="28"/>
          <w:szCs w:val="28"/>
        </w:rPr>
        <w:t>商务文件</w:t>
      </w:r>
      <w:bookmarkEnd w:id="72"/>
      <w:bookmarkStart w:id="73" w:name="_Toc19829"/>
    </w:p>
    <w:bookmarkEnd w:id="73"/>
    <w:p>
      <w:pPr>
        <w:numPr>
          <w:ilvl w:val="0"/>
          <w:numId w:val="5"/>
        </w:numPr>
        <w:spacing w:line="360" w:lineRule="auto"/>
        <w:ind w:right="1120"/>
        <w:jc w:val="center"/>
        <w:rPr>
          <w:rFonts w:ascii="宋体" w:hAnsi="宋体" w:cs="宋体"/>
          <w:b/>
          <w:bCs/>
          <w:sz w:val="28"/>
          <w:szCs w:val="28"/>
        </w:rPr>
      </w:pPr>
      <w:r>
        <w:rPr>
          <w:rFonts w:hint="eastAsia" w:ascii="宋体" w:hAnsi="宋体" w:cs="宋体"/>
          <w:b/>
          <w:bCs/>
          <w:sz w:val="28"/>
          <w:szCs w:val="28"/>
        </w:rPr>
        <w:t>磋商申请</w:t>
      </w:r>
    </w:p>
    <w:p>
      <w:pPr>
        <w:autoSpaceDE w:val="0"/>
        <w:autoSpaceDN w:val="0"/>
        <w:adjustRightInd w:val="0"/>
        <w:spacing w:line="360" w:lineRule="auto"/>
        <w:rPr>
          <w:rFonts w:ascii="宋体" w:hAnsi="宋体" w:cs="宋体"/>
          <w:szCs w:val="21"/>
          <w:lang w:val="zh-CN"/>
        </w:rPr>
      </w:pPr>
    </w:p>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致：</w:t>
      </w:r>
      <w:r>
        <w:rPr>
          <w:rFonts w:hint="eastAsia" w:ascii="宋体" w:hAnsi="宋体" w:cs="宋体"/>
          <w:szCs w:val="21"/>
          <w:u w:val="single"/>
          <w:lang w:val="zh-CN"/>
        </w:rPr>
        <w:t xml:space="preserve">                         </w:t>
      </w:r>
      <w:r>
        <w:rPr>
          <w:rFonts w:hint="eastAsia" w:ascii="宋体" w:hAnsi="宋体" w:cs="宋体"/>
          <w:szCs w:val="21"/>
          <w:lang w:val="zh-CN"/>
        </w:rPr>
        <w:t>（项目单位）</w:t>
      </w:r>
    </w:p>
    <w:p>
      <w:pPr>
        <w:autoSpaceDE w:val="0"/>
        <w:autoSpaceDN w:val="0"/>
        <w:adjustRightInd w:val="0"/>
        <w:spacing w:beforeLines="50" w:line="360" w:lineRule="auto"/>
        <w:ind w:firstLine="420" w:firstLineChars="200"/>
        <w:jc w:val="left"/>
        <w:rPr>
          <w:rFonts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（项目名称） </w:t>
      </w:r>
      <w:r>
        <w:rPr>
          <w:rFonts w:hint="eastAsia" w:ascii="宋体" w:hAnsi="宋体" w:cs="宋体"/>
          <w:szCs w:val="21"/>
          <w:lang w:val="zh-CN"/>
        </w:rPr>
        <w:t>的磋商文件，我方正式提交响应文件正本壹份，副本</w:t>
      </w:r>
      <w:r>
        <w:rPr>
          <w:rFonts w:hint="eastAsia" w:ascii="宋体" w:hAnsi="宋体" w:cs="宋体"/>
          <w:szCs w:val="21"/>
          <w:u w:val="single"/>
          <w:lang w:val="zh-CN"/>
        </w:rPr>
        <w:t xml:space="preserve">     </w:t>
      </w:r>
      <w:r>
        <w:rPr>
          <w:rFonts w:hint="eastAsia" w:ascii="宋体" w:hAnsi="宋体" w:cs="宋体"/>
          <w:szCs w:val="21"/>
          <w:lang w:val="zh-CN"/>
        </w:rPr>
        <w:t>份。</w:t>
      </w:r>
    </w:p>
    <w:p>
      <w:pPr>
        <w:spacing w:line="360" w:lineRule="auto"/>
        <w:ind w:firstLine="420" w:firstLineChars="200"/>
        <w:rPr>
          <w:rFonts w:ascii="宋体" w:hAnsi="宋体" w:cs="宋体"/>
          <w:szCs w:val="21"/>
        </w:rPr>
      </w:pPr>
      <w:r>
        <w:rPr>
          <w:rFonts w:hint="eastAsia" w:ascii="宋体" w:hAnsi="宋体" w:cs="宋体"/>
          <w:szCs w:val="21"/>
        </w:rPr>
        <w:t>据此函，签字人兹同意如下：</w:t>
      </w:r>
    </w:p>
    <w:p>
      <w:pPr>
        <w:spacing w:line="360" w:lineRule="auto"/>
        <w:ind w:firstLine="420" w:firstLineChars="200"/>
        <w:rPr>
          <w:rFonts w:ascii="宋体" w:hAnsi="宋体" w:cs="宋体"/>
          <w:szCs w:val="21"/>
        </w:rPr>
      </w:pPr>
      <w:r>
        <w:rPr>
          <w:rFonts w:hint="eastAsia" w:ascii="宋体" w:hAnsi="宋体" w:cs="宋体"/>
          <w:szCs w:val="21"/>
        </w:rPr>
        <w:t>1、总报价为（大写）</w:t>
      </w:r>
      <w:r>
        <w:rPr>
          <w:rFonts w:hint="eastAsia" w:ascii="宋体" w:hAnsi="宋体" w:cs="宋体"/>
          <w:b/>
          <w:szCs w:val="21"/>
          <w:u w:val="single"/>
        </w:rPr>
        <w:t xml:space="preserve">             </w:t>
      </w:r>
      <w:r>
        <w:rPr>
          <w:rFonts w:hint="eastAsia" w:ascii="宋体" w:hAnsi="宋体" w:cs="宋体"/>
          <w:szCs w:val="21"/>
        </w:rPr>
        <w:t>元人民币。</w:t>
      </w:r>
    </w:p>
    <w:p>
      <w:pPr>
        <w:spacing w:line="360" w:lineRule="auto"/>
        <w:ind w:firstLine="420" w:firstLineChars="200"/>
        <w:rPr>
          <w:rFonts w:ascii="宋体" w:hAnsi="宋体" w:cs="宋体"/>
          <w:szCs w:val="21"/>
        </w:rPr>
      </w:pPr>
      <w:r>
        <w:rPr>
          <w:rFonts w:hint="eastAsia" w:ascii="宋体" w:hAnsi="宋体" w:cs="宋体"/>
          <w:szCs w:val="21"/>
        </w:rPr>
        <w:t>2、我们同意提供贵方可能要求的与本次磋商有关的任何证据或资料。</w:t>
      </w:r>
    </w:p>
    <w:p>
      <w:pPr>
        <w:spacing w:line="360" w:lineRule="auto"/>
        <w:ind w:firstLine="420" w:firstLineChars="200"/>
        <w:rPr>
          <w:rFonts w:ascii="宋体" w:hAnsi="宋体" w:cs="宋体"/>
          <w:szCs w:val="21"/>
        </w:rPr>
      </w:pPr>
      <w:r>
        <w:rPr>
          <w:rFonts w:hint="eastAsia" w:ascii="宋体" w:hAnsi="宋体" w:cs="宋体"/>
          <w:szCs w:val="21"/>
        </w:rPr>
        <w:t>3、一旦我方成交，我方承诺将根据磋商文件与贵方签订书面合同，并严格履行合同义务。</w:t>
      </w:r>
    </w:p>
    <w:p>
      <w:pPr>
        <w:spacing w:line="360" w:lineRule="auto"/>
        <w:ind w:firstLine="420" w:firstLineChars="200"/>
        <w:rPr>
          <w:rFonts w:ascii="宋体" w:hAnsi="宋体" w:cs="宋体"/>
          <w:szCs w:val="21"/>
        </w:rPr>
      </w:pPr>
      <w:r>
        <w:rPr>
          <w:rFonts w:hint="eastAsia" w:ascii="宋体" w:hAnsi="宋体" w:cs="宋体"/>
          <w:szCs w:val="21"/>
        </w:rPr>
        <w:t>4、我方指派</w:t>
      </w:r>
      <w:r>
        <w:rPr>
          <w:rFonts w:hint="eastAsia" w:ascii="宋体" w:hAnsi="宋体" w:cs="宋体"/>
          <w:szCs w:val="21"/>
          <w:u w:val="single"/>
        </w:rPr>
        <w:t xml:space="preserve">        </w:t>
      </w:r>
      <w:r>
        <w:rPr>
          <w:rFonts w:hint="eastAsia" w:ascii="宋体" w:hAnsi="宋体" w:cs="宋体"/>
          <w:szCs w:val="21"/>
        </w:rPr>
        <w:t>（姓名）为项目经理，保证于承诺的时间内完成本次发包范围内的任务，并交付贵方验收、使用。</w:t>
      </w:r>
    </w:p>
    <w:p>
      <w:pPr>
        <w:spacing w:line="360" w:lineRule="auto"/>
        <w:ind w:firstLine="420" w:firstLineChars="200"/>
        <w:rPr>
          <w:rFonts w:ascii="宋体" w:hAnsi="宋体" w:cs="宋体"/>
          <w:szCs w:val="21"/>
        </w:rPr>
      </w:pPr>
      <w:r>
        <w:rPr>
          <w:rFonts w:hint="eastAsia" w:ascii="宋体" w:hAnsi="宋体" w:cs="宋体"/>
          <w:szCs w:val="21"/>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spacing w:line="360" w:lineRule="auto"/>
        <w:ind w:firstLine="420" w:firstLineChars="200"/>
        <w:rPr>
          <w:rFonts w:ascii="宋体" w:hAnsi="宋体" w:cs="宋体"/>
        </w:rPr>
      </w:pPr>
      <w:r>
        <w:rPr>
          <w:rFonts w:hint="eastAsia" w:ascii="宋体" w:hAnsi="宋体" w:cs="宋体"/>
          <w:szCs w:val="21"/>
        </w:rPr>
        <w:t>6、</w:t>
      </w:r>
      <w:r>
        <w:rPr>
          <w:rFonts w:hint="eastAsia" w:ascii="宋体" w:hAnsi="宋体" w:cs="宋体"/>
        </w:rPr>
        <w:t>随本申请递交的磋商申请附录是本申请的组成部分，对我方构成约束力。</w:t>
      </w:r>
    </w:p>
    <w:p>
      <w:pPr>
        <w:spacing w:line="360" w:lineRule="auto"/>
        <w:ind w:firstLine="420" w:firstLineChars="200"/>
        <w:rPr>
          <w:rFonts w:ascii="宋体" w:hAnsi="宋体" w:cs="宋体"/>
          <w:szCs w:val="21"/>
        </w:rPr>
      </w:pPr>
      <w:r>
        <w:rPr>
          <w:rFonts w:hint="eastAsia" w:ascii="宋体" w:hAnsi="宋体" w:cs="宋体"/>
          <w:szCs w:val="21"/>
        </w:rPr>
        <w:t>7、与本申请有关的正式通讯地址为：</w:t>
      </w:r>
    </w:p>
    <w:p>
      <w:pPr>
        <w:spacing w:line="360" w:lineRule="auto"/>
        <w:ind w:firstLine="420" w:firstLineChars="20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firstLine="420" w:firstLineChars="20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firstLine="420" w:firstLineChars="200"/>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pPr>
        <w:spacing w:line="360" w:lineRule="auto"/>
        <w:ind w:firstLine="420" w:firstLineChars="200"/>
        <w:rPr>
          <w:rFonts w:ascii="宋体" w:hAnsi="宋体" w:cs="宋体"/>
          <w:szCs w:val="21"/>
        </w:rPr>
      </w:pPr>
    </w:p>
    <w:p>
      <w:pPr>
        <w:pStyle w:val="35"/>
        <w:rPr>
          <w:rFonts w:ascii="宋体" w:hAnsi="宋体" w:cs="宋体"/>
          <w:szCs w:val="21"/>
        </w:rPr>
      </w:pPr>
    </w:p>
    <w:p>
      <w:pPr>
        <w:pStyle w:val="35"/>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5"/>
        <w:spacing w:line="360" w:lineRule="auto"/>
        <w:jc w:val="center"/>
        <w:rPr>
          <w:rFonts w:ascii="宋体" w:hAnsi="宋体" w:cs="宋体"/>
          <w:sz w:val="28"/>
          <w:szCs w:val="28"/>
          <w:lang w:val="zh-CN"/>
        </w:rPr>
      </w:pPr>
      <w:r>
        <w:rPr>
          <w:rFonts w:hint="eastAsia" w:ascii="宋体" w:hAnsi="宋体" w:cs="宋体"/>
          <w:sz w:val="28"/>
          <w:szCs w:val="28"/>
        </w:rPr>
        <w:br w:type="page"/>
      </w:r>
      <w:bookmarkStart w:id="74" w:name="_Toc23012"/>
      <w:r>
        <w:rPr>
          <w:rFonts w:hint="eastAsia" w:ascii="宋体" w:hAnsi="宋体" w:cs="宋体"/>
          <w:sz w:val="28"/>
          <w:szCs w:val="28"/>
        </w:rPr>
        <w:t>（二）磋商申请附录</w:t>
      </w:r>
      <w:bookmarkEnd w:id="74"/>
    </w:p>
    <w:p>
      <w:pPr>
        <w:spacing w:afterLines="50" w:line="360" w:lineRule="auto"/>
        <w:jc w:val="left"/>
        <w:rPr>
          <w:rFonts w:ascii="宋体" w:hAnsi="宋体" w:cs="宋体"/>
          <w:b/>
          <w:szCs w:val="21"/>
        </w:rPr>
      </w:pPr>
      <w:r>
        <w:rPr>
          <w:rFonts w:hint="eastAsia" w:ascii="宋体" w:hAnsi="宋体" w:cs="宋体"/>
          <w:szCs w:val="21"/>
        </w:rPr>
        <w:t>项目名称：                                                    报价单位：人民币元</w:t>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color w:val="000000"/>
              </w:rPr>
            </w:pPr>
            <w:r>
              <w:rPr>
                <w:rFonts w:hint="eastAsia" w:hAnsi="宋体" w:cs="宋体"/>
                <w:color w:val="000000"/>
              </w:rPr>
              <w:t>投标人全称</w:t>
            </w:r>
          </w:p>
        </w:tc>
        <w:tc>
          <w:tcPr>
            <w:tcW w:w="7371" w:type="dxa"/>
            <w:gridSpan w:val="2"/>
            <w:vAlign w:val="center"/>
          </w:tcPr>
          <w:p>
            <w:pPr>
              <w:pStyle w:val="20"/>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总报价（元）</w:t>
            </w:r>
          </w:p>
        </w:tc>
        <w:tc>
          <w:tcPr>
            <w:tcW w:w="1501" w:type="dxa"/>
            <w:tcBorders>
              <w:bottom w:val="single" w:color="auto" w:sz="4" w:space="0"/>
            </w:tcBorders>
            <w:vAlign w:val="center"/>
          </w:tcPr>
          <w:p>
            <w:pPr>
              <w:pStyle w:val="20"/>
              <w:spacing w:line="360" w:lineRule="auto"/>
              <w:ind w:firstLine="420"/>
              <w:rPr>
                <w:rFonts w:hAnsi="宋体" w:cs="宋体"/>
                <w:color w:val="000000"/>
              </w:rPr>
            </w:pPr>
            <w:r>
              <w:rPr>
                <w:rFonts w:hint="eastAsia" w:hAnsi="宋体" w:cs="宋体"/>
                <w:color w:val="000000"/>
              </w:rPr>
              <w:t>大写</w:t>
            </w:r>
          </w:p>
        </w:tc>
        <w:tc>
          <w:tcPr>
            <w:tcW w:w="5870" w:type="dxa"/>
            <w:tcBorders>
              <w:bottom w:val="single" w:color="auto" w:sz="4" w:space="0"/>
            </w:tcBorders>
            <w:vAlign w:val="center"/>
          </w:tcPr>
          <w:p>
            <w:pPr>
              <w:pStyle w:val="20"/>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vAlign w:val="center"/>
          </w:tcPr>
          <w:p>
            <w:pPr>
              <w:spacing w:line="360" w:lineRule="auto"/>
              <w:jc w:val="center"/>
              <w:rPr>
                <w:rFonts w:ascii="宋体" w:hAnsi="宋体" w:cs="宋体"/>
                <w:color w:val="000000"/>
                <w:szCs w:val="21"/>
              </w:rPr>
            </w:pPr>
          </w:p>
        </w:tc>
        <w:tc>
          <w:tcPr>
            <w:tcW w:w="1501" w:type="dxa"/>
            <w:tcBorders>
              <w:bottom w:val="single" w:color="auto" w:sz="4" w:space="0"/>
            </w:tcBorders>
            <w:vAlign w:val="center"/>
          </w:tcPr>
          <w:p>
            <w:pPr>
              <w:pStyle w:val="20"/>
              <w:spacing w:line="360" w:lineRule="auto"/>
              <w:ind w:firstLine="420"/>
              <w:rPr>
                <w:rFonts w:hAnsi="宋体" w:cs="宋体"/>
                <w:color w:val="000000"/>
              </w:rPr>
            </w:pPr>
            <w:r>
              <w:rPr>
                <w:rFonts w:hint="eastAsia" w:hAnsi="宋体" w:cs="宋体"/>
                <w:color w:val="000000"/>
              </w:rPr>
              <w:t>小写</w:t>
            </w:r>
          </w:p>
        </w:tc>
        <w:tc>
          <w:tcPr>
            <w:tcW w:w="5870" w:type="dxa"/>
            <w:tcBorders>
              <w:bottom w:val="single" w:color="auto" w:sz="4" w:space="0"/>
            </w:tcBorders>
            <w:vAlign w:val="center"/>
          </w:tcPr>
          <w:p>
            <w:pPr>
              <w:pStyle w:val="20"/>
              <w:spacing w:line="360" w:lineRule="auto"/>
              <w:rPr>
                <w:rFonts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响应文件有效期</w:t>
            </w:r>
          </w:p>
        </w:tc>
        <w:tc>
          <w:tcPr>
            <w:tcW w:w="7371" w:type="dxa"/>
            <w:gridSpan w:val="2"/>
            <w:vAlign w:val="center"/>
          </w:tcPr>
          <w:p>
            <w:pPr>
              <w:pStyle w:val="20"/>
              <w:spacing w:line="360" w:lineRule="auto"/>
              <w:jc w:val="left"/>
              <w:rPr>
                <w:rFonts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对本项目服务承诺</w:t>
            </w:r>
          </w:p>
        </w:tc>
        <w:tc>
          <w:tcPr>
            <w:tcW w:w="7371" w:type="dxa"/>
            <w:gridSpan w:val="2"/>
            <w:vAlign w:val="center"/>
          </w:tcPr>
          <w:p>
            <w:pPr>
              <w:pStyle w:val="20"/>
              <w:spacing w:line="360" w:lineRule="auto"/>
              <w:jc w:val="left"/>
              <w:rPr>
                <w:rFonts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服务质量标准</w:t>
            </w:r>
          </w:p>
        </w:tc>
        <w:tc>
          <w:tcPr>
            <w:tcW w:w="7371" w:type="dxa"/>
            <w:gridSpan w:val="2"/>
            <w:vAlign w:val="center"/>
          </w:tcPr>
          <w:p>
            <w:pPr>
              <w:pStyle w:val="20"/>
              <w:spacing w:line="360" w:lineRule="auto"/>
              <w:jc w:val="left"/>
              <w:rPr>
                <w:rFonts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服务质量保证期</w:t>
            </w:r>
          </w:p>
        </w:tc>
        <w:tc>
          <w:tcPr>
            <w:tcW w:w="7371" w:type="dxa"/>
            <w:gridSpan w:val="2"/>
            <w:vAlign w:val="center"/>
          </w:tcPr>
          <w:p>
            <w:pPr>
              <w:pStyle w:val="20"/>
              <w:spacing w:line="360" w:lineRule="auto"/>
              <w:jc w:val="left"/>
              <w:rPr>
                <w:rFonts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服务拟派项目负责人员</w:t>
            </w:r>
          </w:p>
        </w:tc>
        <w:tc>
          <w:tcPr>
            <w:tcW w:w="7371" w:type="dxa"/>
            <w:gridSpan w:val="2"/>
            <w:vAlign w:val="center"/>
          </w:tcPr>
          <w:p>
            <w:pPr>
              <w:pStyle w:val="20"/>
              <w:spacing w:line="360" w:lineRule="auto"/>
              <w:jc w:val="left"/>
              <w:rPr>
                <w:rFonts w:hAnsi="宋体" w:cs="宋体"/>
                <w:color w:val="00CC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ind w:firstLine="420"/>
              <w:jc w:val="center"/>
              <w:rPr>
                <w:rFonts w:hAnsi="宋体" w:cs="宋体"/>
                <w:color w:val="000000"/>
              </w:rPr>
            </w:pPr>
            <w:r>
              <w:rPr>
                <w:rFonts w:hint="eastAsia" w:hAnsi="宋体" w:cs="宋体"/>
                <w:color w:val="000000"/>
              </w:rPr>
              <w:t>备注</w:t>
            </w:r>
          </w:p>
        </w:tc>
        <w:tc>
          <w:tcPr>
            <w:tcW w:w="7371" w:type="dxa"/>
            <w:gridSpan w:val="2"/>
            <w:vAlign w:val="center"/>
          </w:tcPr>
          <w:p>
            <w:pPr>
              <w:pStyle w:val="20"/>
              <w:spacing w:line="360" w:lineRule="auto"/>
              <w:jc w:val="left"/>
              <w:rPr>
                <w:rFonts w:hAnsi="宋体" w:cs="宋体"/>
                <w:b/>
                <w:color w:val="000000"/>
              </w:rPr>
            </w:pPr>
            <w:r>
              <w:rPr>
                <w:rFonts w:hint="eastAsia" w:hAnsi="宋体" w:cs="宋体"/>
                <w:color w:val="000000"/>
              </w:rPr>
              <w:t>供应商在磋商文件中规定的实质性要求和条件的基础上，可做出其他有利于采购人的承诺。此类承诺可在本表中予以补充填写。</w:t>
            </w:r>
          </w:p>
        </w:tc>
      </w:tr>
    </w:tbl>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left"/>
        <w:rPr>
          <w:rFonts w:ascii="宋体" w:hAnsi="宋体" w:cs="宋体"/>
          <w:b/>
          <w:szCs w:val="21"/>
        </w:rPr>
      </w:pPr>
      <w:r>
        <w:rPr>
          <w:rFonts w:hint="eastAsia"/>
        </w:rPr>
        <w:br w:type="page"/>
      </w:r>
      <w:bookmarkStart w:id="75" w:name="_Toc5414"/>
      <w:r>
        <w:rPr>
          <w:rStyle w:val="52"/>
          <w:rFonts w:hint="eastAsia"/>
          <w:sz w:val="28"/>
          <w:szCs w:val="28"/>
        </w:rPr>
        <w:t>附件：最后报价书格式</w:t>
      </w:r>
      <w:bookmarkEnd w:id="75"/>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Lines="50" w:line="360" w:lineRule="auto"/>
        <w:jc w:val="left"/>
        <w:rPr>
          <w:rFonts w:ascii="宋体" w:hAnsi="宋体" w:cs="宋体"/>
          <w:b/>
          <w:sz w:val="24"/>
        </w:rPr>
      </w:pPr>
      <w:r>
        <w:rPr>
          <w:rFonts w:hint="eastAsia" w:ascii="宋体" w:hAnsi="宋体" w:cs="宋体"/>
          <w:sz w:val="24"/>
        </w:rPr>
        <w:t>项目名称：                                         单位：人民币元</w:t>
      </w:r>
    </w:p>
    <w:tbl>
      <w:tblPr>
        <w:tblStyle w:val="3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优惠后总报价（元）</w:t>
            </w:r>
          </w:p>
          <w:p>
            <w:pPr>
              <w:spacing w:line="360" w:lineRule="auto"/>
              <w:jc w:val="center"/>
              <w:rPr>
                <w:rFonts w:ascii="宋体" w:hAnsi="宋体" w:cs="宋体"/>
                <w:szCs w:val="21"/>
              </w:rPr>
            </w:pPr>
          </w:p>
        </w:tc>
        <w:tc>
          <w:tcPr>
            <w:tcW w:w="1501" w:type="dxa"/>
            <w:vAlign w:val="center"/>
          </w:tcPr>
          <w:p>
            <w:pPr>
              <w:pStyle w:val="20"/>
              <w:spacing w:line="360" w:lineRule="auto"/>
              <w:ind w:firstLine="420"/>
              <w:rPr>
                <w:rFonts w:hAnsi="宋体" w:cs="宋体"/>
              </w:rPr>
            </w:pPr>
            <w:r>
              <w:rPr>
                <w:rFonts w:hint="eastAsia" w:hAnsi="宋体" w:cs="宋体"/>
              </w:rPr>
              <w:t>小写</w:t>
            </w:r>
          </w:p>
        </w:tc>
        <w:tc>
          <w:tcPr>
            <w:tcW w:w="5870" w:type="dxa"/>
            <w:vAlign w:val="center"/>
          </w:tcPr>
          <w:p>
            <w:pPr>
              <w:pStyle w:val="20"/>
              <w:spacing w:line="360" w:lineRule="auto"/>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vAlign w:val="center"/>
          </w:tcPr>
          <w:p>
            <w:pPr>
              <w:spacing w:line="360" w:lineRule="auto"/>
              <w:jc w:val="center"/>
              <w:rPr>
                <w:rFonts w:ascii="宋体" w:hAnsi="宋体" w:cs="宋体"/>
                <w:szCs w:val="21"/>
              </w:rPr>
            </w:pPr>
          </w:p>
        </w:tc>
        <w:tc>
          <w:tcPr>
            <w:tcW w:w="1501" w:type="dxa"/>
            <w:tcBorders>
              <w:bottom w:val="single" w:color="auto" w:sz="4" w:space="0"/>
            </w:tcBorders>
            <w:vAlign w:val="center"/>
          </w:tcPr>
          <w:p>
            <w:pPr>
              <w:pStyle w:val="20"/>
              <w:spacing w:line="360" w:lineRule="auto"/>
              <w:ind w:firstLine="420"/>
              <w:rPr>
                <w:rFonts w:hAnsi="宋体" w:cs="宋体"/>
              </w:rPr>
            </w:pPr>
            <w:r>
              <w:rPr>
                <w:rFonts w:hint="eastAsia" w:hAnsi="宋体" w:cs="宋体"/>
              </w:rPr>
              <w:t>大写</w:t>
            </w:r>
          </w:p>
        </w:tc>
        <w:tc>
          <w:tcPr>
            <w:tcW w:w="5870" w:type="dxa"/>
            <w:tcBorders>
              <w:bottom w:val="single" w:color="auto" w:sz="4" w:space="0"/>
            </w:tcBorders>
            <w:vAlign w:val="center"/>
          </w:tcPr>
          <w:p>
            <w:pPr>
              <w:pStyle w:val="20"/>
              <w:spacing w:line="360" w:lineRule="auto"/>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负责人</w:t>
            </w:r>
          </w:p>
        </w:tc>
        <w:tc>
          <w:tcPr>
            <w:tcW w:w="7371" w:type="dxa"/>
            <w:gridSpan w:val="2"/>
            <w:vAlign w:val="center"/>
          </w:tcPr>
          <w:p>
            <w:pPr>
              <w:pStyle w:val="20"/>
              <w:spacing w:line="360" w:lineRule="auto"/>
              <w:ind w:firstLine="422"/>
              <w:jc w:val="left"/>
              <w:rPr>
                <w:rFonts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Align w:val="center"/>
          </w:tcPr>
          <w:p>
            <w:pPr>
              <w:pStyle w:val="20"/>
              <w:spacing w:line="360" w:lineRule="auto"/>
              <w:jc w:val="center"/>
              <w:rPr>
                <w:rFonts w:hAnsi="宋体" w:cs="宋体"/>
              </w:rPr>
            </w:pPr>
            <w:r>
              <w:rPr>
                <w:rFonts w:hint="eastAsia" w:hAnsi="宋体" w:cs="宋体"/>
              </w:rPr>
              <w:t>备注</w:t>
            </w:r>
          </w:p>
        </w:tc>
        <w:tc>
          <w:tcPr>
            <w:tcW w:w="7371" w:type="dxa"/>
            <w:gridSpan w:val="2"/>
            <w:vAlign w:val="center"/>
          </w:tcPr>
          <w:p>
            <w:pPr>
              <w:pStyle w:val="20"/>
              <w:spacing w:line="360" w:lineRule="auto"/>
              <w:ind w:firstLine="422"/>
              <w:jc w:val="left"/>
              <w:rPr>
                <w:rFonts w:hAnsi="宋体" w:cs="宋体"/>
                <w:b/>
              </w:rPr>
            </w:pP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562" w:firstLineChars="200"/>
        <w:jc w:val="center"/>
        <w:rPr>
          <w:rStyle w:val="47"/>
          <w:sz w:val="28"/>
          <w:szCs w:val="28"/>
        </w:rPr>
      </w:pPr>
      <w:r>
        <w:rPr>
          <w:rStyle w:val="47"/>
          <w:rFonts w:hint="eastAsia"/>
          <w:sz w:val="28"/>
          <w:szCs w:val="28"/>
        </w:rPr>
        <w:br w:type="page"/>
      </w:r>
      <w:bookmarkStart w:id="76" w:name="_Toc3788"/>
      <w:r>
        <w:rPr>
          <w:rStyle w:val="47"/>
          <w:rFonts w:hint="eastAsia"/>
          <w:sz w:val="28"/>
          <w:szCs w:val="28"/>
        </w:rPr>
        <w:t>四、技术文件</w:t>
      </w:r>
    </w:p>
    <w:bookmarkEnd w:id="76"/>
    <w:p>
      <w:pPr>
        <w:topLinePunct/>
        <w:spacing w:line="400" w:lineRule="exact"/>
        <w:rPr>
          <w:rFonts w:ascii="宋体" w:hAnsi="宋体" w:cs="宋体"/>
          <w:kern w:val="0"/>
          <w:szCs w:val="21"/>
        </w:rPr>
      </w:pPr>
      <w:r>
        <w:rPr>
          <w:rFonts w:hint="eastAsia" w:ascii="宋体" w:hAnsi="宋体" w:cs="宋体"/>
          <w:szCs w:val="21"/>
        </w:rPr>
        <w:t>注：</w:t>
      </w:r>
      <w:r>
        <w:rPr>
          <w:rFonts w:hint="eastAsia" w:ascii="宋体" w:hAnsi="宋体" w:cs="宋体"/>
          <w:kern w:val="0"/>
          <w:szCs w:val="21"/>
        </w:rPr>
        <w:t>投标文件须按技术标格式目录顺序编写</w:t>
      </w:r>
    </w:p>
    <w:p>
      <w:pPr>
        <w:spacing w:line="360" w:lineRule="auto"/>
        <w:jc w:val="center"/>
        <w:rPr>
          <w:rFonts w:ascii="宋体" w:hAnsi="宋体" w:cs="宋体"/>
          <w:b/>
          <w:bCs/>
          <w:sz w:val="28"/>
          <w:szCs w:val="28"/>
        </w:rPr>
      </w:pPr>
      <w:r>
        <w:rPr>
          <w:rFonts w:hint="eastAsia"/>
        </w:rPr>
        <w:br w:type="page"/>
      </w:r>
      <w:bookmarkStart w:id="77" w:name="_Toc28157"/>
      <w:r>
        <w:rPr>
          <w:rFonts w:hint="eastAsia" w:ascii="宋体" w:hAnsi="宋体" w:cs="宋体"/>
          <w:b/>
          <w:bCs/>
          <w:sz w:val="28"/>
          <w:szCs w:val="28"/>
        </w:rPr>
        <w:t>五、项目管理机构</w:t>
      </w:r>
      <w:bookmarkEnd w:id="77"/>
    </w:p>
    <w:p>
      <w:pPr>
        <w:pStyle w:val="5"/>
        <w:spacing w:line="360" w:lineRule="auto"/>
        <w:rPr>
          <w:rFonts w:ascii="宋体" w:hAnsi="宋体" w:cs="宋体"/>
          <w:sz w:val="28"/>
          <w:szCs w:val="28"/>
        </w:rPr>
      </w:pPr>
      <w:bookmarkStart w:id="78" w:name="_Toc12180"/>
      <w:r>
        <w:rPr>
          <w:rFonts w:hint="eastAsia" w:ascii="宋体" w:hAnsi="宋体" w:cs="宋体"/>
          <w:sz w:val="28"/>
          <w:szCs w:val="28"/>
        </w:rPr>
        <w:t>（一）项目管理机构组成表</w:t>
      </w:r>
      <w:bookmarkEnd w:id="78"/>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vAlign w:val="center"/>
          </w:tcPr>
          <w:p>
            <w:pPr>
              <w:spacing w:line="360" w:lineRule="auto"/>
              <w:jc w:val="center"/>
              <w:rPr>
                <w:rFonts w:ascii="宋体" w:hAnsi="宋体" w:cs="宋体"/>
                <w:szCs w:val="21"/>
              </w:rPr>
            </w:pPr>
            <w:r>
              <w:rPr>
                <w:rFonts w:hint="eastAsia" w:ascii="宋体" w:hAnsi="宋体" w:cs="宋体"/>
                <w:szCs w:val="21"/>
              </w:rPr>
              <w:t>职务</w:t>
            </w:r>
          </w:p>
        </w:tc>
        <w:tc>
          <w:tcPr>
            <w:tcW w:w="766" w:type="dxa"/>
            <w:vMerge w:val="restart"/>
            <w:vAlign w:val="center"/>
          </w:tcPr>
          <w:p>
            <w:pPr>
              <w:spacing w:line="360" w:lineRule="auto"/>
              <w:jc w:val="center"/>
              <w:rPr>
                <w:rFonts w:ascii="宋体" w:hAnsi="宋体" w:cs="宋体"/>
                <w:szCs w:val="21"/>
              </w:rPr>
            </w:pPr>
            <w:r>
              <w:rPr>
                <w:rFonts w:hint="eastAsia" w:ascii="宋体" w:hAnsi="宋体" w:cs="宋体"/>
                <w:szCs w:val="21"/>
              </w:rPr>
              <w:t>姓名</w:t>
            </w:r>
          </w:p>
        </w:tc>
        <w:tc>
          <w:tcPr>
            <w:tcW w:w="765" w:type="dxa"/>
            <w:vMerge w:val="restart"/>
            <w:vAlign w:val="center"/>
          </w:tcPr>
          <w:p>
            <w:pPr>
              <w:spacing w:line="360" w:lineRule="auto"/>
              <w:jc w:val="center"/>
              <w:rPr>
                <w:rFonts w:ascii="宋体" w:hAnsi="宋体" w:cs="宋体"/>
                <w:szCs w:val="21"/>
              </w:rPr>
            </w:pPr>
            <w:r>
              <w:rPr>
                <w:rFonts w:hint="eastAsia" w:ascii="宋体" w:hAnsi="宋体" w:cs="宋体"/>
                <w:szCs w:val="21"/>
              </w:rPr>
              <w:t>职称</w:t>
            </w:r>
          </w:p>
        </w:tc>
        <w:tc>
          <w:tcPr>
            <w:tcW w:w="6127" w:type="dxa"/>
            <w:gridSpan w:val="5"/>
            <w:vAlign w:val="center"/>
          </w:tcPr>
          <w:p>
            <w:pPr>
              <w:spacing w:line="360" w:lineRule="auto"/>
              <w:jc w:val="center"/>
              <w:rPr>
                <w:rFonts w:ascii="宋体" w:hAnsi="宋体" w:cs="宋体"/>
                <w:szCs w:val="21"/>
              </w:rPr>
            </w:pPr>
            <w:r>
              <w:rPr>
                <w:rFonts w:hint="eastAsia" w:ascii="宋体" w:hAnsi="宋体" w:cs="宋体"/>
                <w:szCs w:val="21"/>
              </w:rPr>
              <w:t>执业或职业资格证明</w:t>
            </w:r>
          </w:p>
        </w:tc>
        <w:tc>
          <w:tcPr>
            <w:tcW w:w="714"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vAlign w:val="center"/>
          </w:tcPr>
          <w:p>
            <w:pPr>
              <w:spacing w:line="360" w:lineRule="auto"/>
              <w:jc w:val="center"/>
              <w:rPr>
                <w:rFonts w:ascii="宋体" w:hAnsi="宋体" w:cs="宋体"/>
                <w:szCs w:val="21"/>
              </w:rPr>
            </w:pPr>
          </w:p>
        </w:tc>
        <w:tc>
          <w:tcPr>
            <w:tcW w:w="766" w:type="dxa"/>
            <w:vMerge w:val="continue"/>
            <w:vAlign w:val="center"/>
          </w:tcPr>
          <w:p>
            <w:pPr>
              <w:spacing w:line="360" w:lineRule="auto"/>
              <w:jc w:val="center"/>
              <w:rPr>
                <w:rFonts w:ascii="宋体" w:hAnsi="宋体" w:cs="宋体"/>
                <w:szCs w:val="21"/>
              </w:rPr>
            </w:pPr>
          </w:p>
        </w:tc>
        <w:tc>
          <w:tcPr>
            <w:tcW w:w="765" w:type="dxa"/>
            <w:vMerge w:val="continue"/>
            <w:vAlign w:val="center"/>
          </w:tcPr>
          <w:p>
            <w:pPr>
              <w:spacing w:line="360" w:lineRule="auto"/>
              <w:jc w:val="center"/>
              <w:rPr>
                <w:rFonts w:ascii="宋体" w:hAnsi="宋体" w:cs="宋体"/>
                <w:szCs w:val="21"/>
              </w:rPr>
            </w:pPr>
          </w:p>
        </w:tc>
        <w:tc>
          <w:tcPr>
            <w:tcW w:w="1149" w:type="dxa"/>
            <w:vAlign w:val="center"/>
          </w:tcPr>
          <w:p>
            <w:pPr>
              <w:spacing w:line="360" w:lineRule="auto"/>
              <w:jc w:val="center"/>
              <w:rPr>
                <w:rFonts w:ascii="宋体" w:hAnsi="宋体" w:cs="宋体"/>
                <w:szCs w:val="21"/>
              </w:rPr>
            </w:pPr>
            <w:r>
              <w:rPr>
                <w:rFonts w:hint="eastAsia" w:ascii="宋体" w:hAnsi="宋体" w:cs="宋体"/>
                <w:szCs w:val="21"/>
              </w:rPr>
              <w:t>证书名称</w:t>
            </w:r>
          </w:p>
        </w:tc>
        <w:tc>
          <w:tcPr>
            <w:tcW w:w="765" w:type="dxa"/>
            <w:vAlign w:val="center"/>
          </w:tcPr>
          <w:p>
            <w:pPr>
              <w:spacing w:line="360" w:lineRule="auto"/>
              <w:jc w:val="center"/>
              <w:rPr>
                <w:rFonts w:ascii="宋体" w:hAnsi="宋体" w:cs="宋体"/>
                <w:szCs w:val="21"/>
              </w:rPr>
            </w:pPr>
            <w:r>
              <w:rPr>
                <w:rFonts w:hint="eastAsia" w:ascii="宋体" w:hAnsi="宋体" w:cs="宋体"/>
                <w:szCs w:val="21"/>
              </w:rPr>
              <w:t>级别</w:t>
            </w:r>
          </w:p>
        </w:tc>
        <w:tc>
          <w:tcPr>
            <w:tcW w:w="766" w:type="dxa"/>
            <w:vAlign w:val="center"/>
          </w:tcPr>
          <w:p>
            <w:pPr>
              <w:spacing w:line="360" w:lineRule="auto"/>
              <w:jc w:val="center"/>
              <w:rPr>
                <w:rFonts w:ascii="宋体" w:hAnsi="宋体" w:cs="宋体"/>
                <w:szCs w:val="21"/>
              </w:rPr>
            </w:pPr>
            <w:r>
              <w:rPr>
                <w:rFonts w:hint="eastAsia" w:ascii="宋体" w:hAnsi="宋体" w:cs="宋体"/>
                <w:szCs w:val="21"/>
              </w:rPr>
              <w:t>证号</w:t>
            </w:r>
          </w:p>
        </w:tc>
        <w:tc>
          <w:tcPr>
            <w:tcW w:w="765" w:type="dxa"/>
            <w:vAlign w:val="center"/>
          </w:tcPr>
          <w:p>
            <w:pPr>
              <w:spacing w:line="360" w:lineRule="auto"/>
              <w:jc w:val="center"/>
              <w:rPr>
                <w:rFonts w:ascii="宋体" w:hAnsi="宋体" w:cs="宋体"/>
                <w:szCs w:val="21"/>
              </w:rPr>
            </w:pPr>
            <w:r>
              <w:rPr>
                <w:rFonts w:hint="eastAsia" w:ascii="宋体" w:hAnsi="宋体" w:cs="宋体"/>
                <w:szCs w:val="21"/>
              </w:rPr>
              <w:t>专业</w:t>
            </w:r>
          </w:p>
        </w:tc>
        <w:tc>
          <w:tcPr>
            <w:tcW w:w="2682" w:type="dxa"/>
            <w:vAlign w:val="center"/>
          </w:tcPr>
          <w:p>
            <w:pPr>
              <w:spacing w:line="360" w:lineRule="auto"/>
              <w:jc w:val="center"/>
              <w:rPr>
                <w:rFonts w:ascii="宋体" w:hAnsi="宋体" w:cs="宋体"/>
                <w:szCs w:val="21"/>
              </w:rPr>
            </w:pPr>
            <w:r>
              <w:rPr>
                <w:rFonts w:hint="eastAsia" w:ascii="宋体" w:hAnsi="宋体" w:cs="宋体"/>
                <w:szCs w:val="21"/>
              </w:rPr>
              <w:t>养老保险</w:t>
            </w:r>
          </w:p>
        </w:tc>
        <w:tc>
          <w:tcPr>
            <w:tcW w:w="714"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pPr>
              <w:spacing w:line="360" w:lineRule="auto"/>
              <w:jc w:val="center"/>
              <w:rPr>
                <w:rFonts w:ascii="宋体" w:hAnsi="宋体" w:cs="宋体"/>
                <w:color w:val="00CCFF"/>
                <w:szCs w:val="21"/>
              </w:rPr>
            </w:pPr>
          </w:p>
        </w:tc>
        <w:tc>
          <w:tcPr>
            <w:tcW w:w="766" w:type="dxa"/>
            <w:vAlign w:val="center"/>
          </w:tcPr>
          <w:p>
            <w:pPr>
              <w:spacing w:line="360" w:lineRule="auto"/>
              <w:jc w:val="center"/>
              <w:rPr>
                <w:rFonts w:ascii="宋体" w:hAnsi="宋体" w:cs="宋体"/>
                <w:color w:val="00CCFF"/>
                <w:szCs w:val="21"/>
              </w:rPr>
            </w:pPr>
          </w:p>
        </w:tc>
        <w:tc>
          <w:tcPr>
            <w:tcW w:w="765" w:type="dxa"/>
            <w:vAlign w:val="center"/>
          </w:tcPr>
          <w:p>
            <w:pPr>
              <w:spacing w:line="360" w:lineRule="auto"/>
              <w:jc w:val="center"/>
              <w:rPr>
                <w:rFonts w:ascii="宋体" w:hAnsi="宋体" w:cs="宋体"/>
                <w:color w:val="00CCFF"/>
                <w:szCs w:val="21"/>
              </w:rPr>
            </w:pPr>
          </w:p>
        </w:tc>
        <w:tc>
          <w:tcPr>
            <w:tcW w:w="1149" w:type="dxa"/>
            <w:vAlign w:val="center"/>
          </w:tcPr>
          <w:p>
            <w:pPr>
              <w:spacing w:line="360" w:lineRule="auto"/>
              <w:jc w:val="center"/>
              <w:rPr>
                <w:rFonts w:ascii="宋体" w:hAnsi="宋体" w:cs="宋体"/>
                <w:color w:val="00CCFF"/>
                <w:szCs w:val="21"/>
              </w:rPr>
            </w:pPr>
          </w:p>
        </w:tc>
        <w:tc>
          <w:tcPr>
            <w:tcW w:w="765" w:type="dxa"/>
            <w:vAlign w:val="center"/>
          </w:tcPr>
          <w:p>
            <w:pPr>
              <w:spacing w:line="360" w:lineRule="auto"/>
              <w:jc w:val="center"/>
              <w:rPr>
                <w:rFonts w:ascii="宋体" w:hAnsi="宋体" w:cs="宋体"/>
                <w:color w:val="00CCFF"/>
                <w:szCs w:val="21"/>
              </w:rPr>
            </w:pPr>
          </w:p>
        </w:tc>
        <w:tc>
          <w:tcPr>
            <w:tcW w:w="766" w:type="dxa"/>
            <w:vAlign w:val="center"/>
          </w:tcPr>
          <w:p>
            <w:pPr>
              <w:spacing w:line="360" w:lineRule="auto"/>
              <w:jc w:val="center"/>
              <w:rPr>
                <w:rFonts w:ascii="宋体" w:hAnsi="宋体" w:cs="宋体"/>
                <w:color w:val="00CCFF"/>
                <w:szCs w:val="21"/>
              </w:rPr>
            </w:pPr>
          </w:p>
        </w:tc>
        <w:tc>
          <w:tcPr>
            <w:tcW w:w="765" w:type="dxa"/>
            <w:vAlign w:val="center"/>
          </w:tcPr>
          <w:p>
            <w:pPr>
              <w:spacing w:line="360" w:lineRule="auto"/>
              <w:jc w:val="center"/>
              <w:rPr>
                <w:rFonts w:ascii="宋体" w:hAnsi="宋体" w:cs="宋体"/>
                <w:color w:val="00CCFF"/>
                <w:szCs w:val="21"/>
              </w:rPr>
            </w:pPr>
          </w:p>
        </w:tc>
        <w:tc>
          <w:tcPr>
            <w:tcW w:w="2682" w:type="dxa"/>
            <w:vAlign w:val="center"/>
          </w:tcPr>
          <w:p>
            <w:pPr>
              <w:spacing w:line="360" w:lineRule="auto"/>
              <w:jc w:val="center"/>
              <w:rPr>
                <w:rFonts w:ascii="宋体" w:hAnsi="宋体" w:cs="宋体"/>
                <w:color w:val="00CCFF"/>
                <w:szCs w:val="21"/>
              </w:rPr>
            </w:pPr>
          </w:p>
        </w:tc>
        <w:tc>
          <w:tcPr>
            <w:tcW w:w="714" w:type="dxa"/>
            <w:vAlign w:val="center"/>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1149"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766" w:type="dxa"/>
          </w:tcPr>
          <w:p>
            <w:pPr>
              <w:spacing w:line="360" w:lineRule="auto"/>
              <w:jc w:val="center"/>
              <w:rPr>
                <w:rFonts w:ascii="宋体" w:hAnsi="宋体" w:cs="宋体"/>
                <w:color w:val="00CCFF"/>
                <w:szCs w:val="21"/>
              </w:rPr>
            </w:pPr>
          </w:p>
        </w:tc>
        <w:tc>
          <w:tcPr>
            <w:tcW w:w="765" w:type="dxa"/>
          </w:tcPr>
          <w:p>
            <w:pPr>
              <w:spacing w:line="360" w:lineRule="auto"/>
              <w:jc w:val="center"/>
              <w:rPr>
                <w:rFonts w:ascii="宋体" w:hAnsi="宋体" w:cs="宋体"/>
                <w:color w:val="00CCFF"/>
                <w:szCs w:val="21"/>
              </w:rPr>
            </w:pPr>
          </w:p>
        </w:tc>
        <w:tc>
          <w:tcPr>
            <w:tcW w:w="2682" w:type="dxa"/>
          </w:tcPr>
          <w:p>
            <w:pPr>
              <w:spacing w:line="360" w:lineRule="auto"/>
              <w:jc w:val="center"/>
              <w:rPr>
                <w:rFonts w:ascii="宋体" w:hAnsi="宋体" w:cs="宋体"/>
                <w:color w:val="00CCFF"/>
                <w:szCs w:val="21"/>
              </w:rPr>
            </w:pPr>
          </w:p>
        </w:tc>
        <w:tc>
          <w:tcPr>
            <w:tcW w:w="714" w:type="dxa"/>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114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6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268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c>
          <w:tcPr>
            <w:tcW w:w="7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CCFF"/>
                <w:szCs w:val="21"/>
              </w:rPr>
            </w:pPr>
          </w:p>
        </w:tc>
      </w:tr>
    </w:tbl>
    <w:p>
      <w:pPr>
        <w:topLinePunct/>
        <w:spacing w:line="360" w:lineRule="auto"/>
        <w:jc w:val="center"/>
        <w:rPr>
          <w:rFonts w:ascii="宋体" w:hAnsi="宋体" w:cs="宋体"/>
          <w:color w:val="00CCFF"/>
          <w:sz w:val="20"/>
        </w:rPr>
      </w:pPr>
    </w:p>
    <w:p>
      <w:pPr>
        <w:spacing w:line="360" w:lineRule="auto"/>
        <w:rPr>
          <w:rFonts w:ascii="宋体" w:hAnsi="宋体" w:cs="宋体"/>
          <w:color w:val="00CCFF"/>
          <w:sz w:val="27"/>
          <w:szCs w:val="27"/>
        </w:rPr>
      </w:pPr>
    </w:p>
    <w:p>
      <w:pPr>
        <w:pStyle w:val="35"/>
        <w:ind w:firstLine="0"/>
        <w:rPr>
          <w:rFonts w:ascii="宋体" w:hAnsi="宋体" w:cs="宋体"/>
          <w:color w:val="00B0F0"/>
          <w:szCs w:val="21"/>
        </w:rPr>
      </w:pPr>
    </w:p>
    <w:sectPr>
      <w:footerReference r:id="rId6" w:type="default"/>
      <w:pgSz w:w="11906" w:h="16838"/>
      <w:pgMar w:top="1440" w:right="1531" w:bottom="1440"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180" w:hanging="180" w:hangingChars="100"/>
      <w:jc w:val="right"/>
      <w:rPr>
        <w:rFonts w:eastAsia="楷体_GB2312"/>
      </w:rPr>
    </w:pPr>
    <w:r>
      <w:rPr>
        <w:rFonts w:hint="eastAsia" w:eastAsia="楷体_GB23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180" w:hanging="180" w:hangingChars="100"/>
      <w:jc w:val="right"/>
      <w:rPr>
        <w:rFonts w:eastAsia="楷体_GB2312"/>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r6IOksQEA&#10;AE4DAAAOAAAAAAAAAAEAIAAAAB4BAABkcnMvZTJvRG9jLnhtbFBLBQYAAAAABgAGAFkBAABBBQAA&#10;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4515" w:firstLineChars="2150"/>
      <w:rPr>
        <w:rFonts w:ascii="Calibri" w:hAnsi="Calibri" w:eastAsia="黑体"/>
        <w:szCs w:val="21"/>
      </w:rPr>
    </w:pPr>
    <w:r>
      <w:rPr>
        <w:rFonts w:ascii="黑体" w:hAnsi="宋体" w:eastAsia="黑体"/>
        <w:szCs w:val="21"/>
      </w:rPr>
      <mc:AlternateContent>
        <mc:Choice Requires="wps">
          <w:drawing>
            <wp:anchor distT="0" distB="0" distL="114300" distR="114300" simplePos="0" relativeHeight="251657216" behindDoc="1" locked="0" layoutInCell="0" allowOverlap="1">
              <wp:simplePos x="0" y="0"/>
              <wp:positionH relativeFrom="page">
                <wp:posOffset>962025</wp:posOffset>
              </wp:positionH>
              <wp:positionV relativeFrom="page">
                <wp:posOffset>539750</wp:posOffset>
              </wp:positionV>
              <wp:extent cx="5277485" cy="37401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文本框 1025" o:spid="_x0000_s1026" o:spt="202" type="#_x0000_t202" style="position:absolute;left:0pt;margin-left:75.75pt;margin-top:42.5pt;height:29.45pt;width:415.55pt;mso-position-horizontal-relative:page;mso-position-vertical-relative:page;z-index:-251659264;mso-width-relative:page;mso-height-relative:page;" filled="f" stroked="f" coordsize="21600,21600" o:allowincell="f"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aG4NcAAAAKAQAADwAAAAAAAAABACAAAAAi&#10;AAAAZHJzL2Rvd25yZXYueG1sUEsBAhQAFAAAAAgAh07iQPFJF2zSAQAAhwMAAA4AAAAAAAAAAQAg&#10;AAAAJgEAAGRycy9lMm9Eb2MueG1sUEsFBgAAAAAGAAYAWQEAAGoFAAAAAA==&#10;">
              <v:fill on="f" focussize="0,0"/>
              <v:stroke on="f"/>
              <v:imagedata o:title=""/>
              <o:lock v:ext="edit" aspectratio="f"/>
              <v:shadow on="t" color="#A0A0A4" offset="0pt,0pt" origin="0f,0f" matrix="65536f,0f,0f,65536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8DAE09"/>
    <w:multiLevelType w:val="singleLevel"/>
    <w:tmpl w:val="D48DAE09"/>
    <w:lvl w:ilvl="0" w:tentative="0">
      <w:start w:val="3"/>
      <w:numFmt w:val="chineseCounting"/>
      <w:suff w:val="nothing"/>
      <w:lvlText w:val="%1、"/>
      <w:lvlJc w:val="left"/>
      <w:rPr>
        <w:rFonts w:hint="eastAsia"/>
      </w:rPr>
    </w:lvl>
  </w:abstractNum>
  <w:abstractNum w:abstractNumId="1">
    <w:nsid w:val="F3CB4E90"/>
    <w:multiLevelType w:val="singleLevel"/>
    <w:tmpl w:val="F3CB4E90"/>
    <w:lvl w:ilvl="0" w:tentative="0">
      <w:start w:val="1"/>
      <w:numFmt w:val="decimal"/>
      <w:lvlText w:val="%1."/>
      <w:lvlJc w:val="left"/>
      <w:pPr>
        <w:tabs>
          <w:tab w:val="left" w:pos="312"/>
        </w:tabs>
      </w:pPr>
    </w:lvl>
  </w:abstractNum>
  <w:abstractNum w:abstractNumId="2">
    <w:nsid w:val="3334FE64"/>
    <w:multiLevelType w:val="singleLevel"/>
    <w:tmpl w:val="3334FE64"/>
    <w:lvl w:ilvl="0" w:tentative="0">
      <w:start w:val="1"/>
      <w:numFmt w:val="chineseCounting"/>
      <w:suff w:val="nothing"/>
      <w:lvlText w:val="（%1）"/>
      <w:lvlJc w:val="left"/>
      <w:rPr>
        <w:rFonts w:hint="eastAsia"/>
      </w:rPr>
    </w:lvl>
  </w:abstractNum>
  <w:abstractNum w:abstractNumId="3">
    <w:nsid w:val="41F0C063"/>
    <w:multiLevelType w:val="singleLevel"/>
    <w:tmpl w:val="41F0C063"/>
    <w:lvl w:ilvl="0" w:tentative="0">
      <w:start w:val="2"/>
      <w:numFmt w:val="decimal"/>
      <w:lvlText w:val="%1."/>
      <w:lvlJc w:val="left"/>
      <w:pPr>
        <w:tabs>
          <w:tab w:val="left" w:pos="312"/>
        </w:tabs>
      </w:pPr>
    </w:lvl>
  </w:abstractNum>
  <w:abstractNum w:abstractNumId="4">
    <w:nsid w:val="5921599D"/>
    <w:multiLevelType w:val="singleLevel"/>
    <w:tmpl w:val="5921599D"/>
    <w:lvl w:ilvl="0" w:tentative="0">
      <w:start w:val="3"/>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B5"/>
    <w:rsid w:val="000004DC"/>
    <w:rsid w:val="0000187E"/>
    <w:rsid w:val="000018AB"/>
    <w:rsid w:val="00002187"/>
    <w:rsid w:val="00003423"/>
    <w:rsid w:val="000056BE"/>
    <w:rsid w:val="0000667E"/>
    <w:rsid w:val="00007C41"/>
    <w:rsid w:val="000103BE"/>
    <w:rsid w:val="00010722"/>
    <w:rsid w:val="000113B5"/>
    <w:rsid w:val="00011D52"/>
    <w:rsid w:val="000122D9"/>
    <w:rsid w:val="000138B6"/>
    <w:rsid w:val="0001478D"/>
    <w:rsid w:val="00015220"/>
    <w:rsid w:val="00015F40"/>
    <w:rsid w:val="0001741F"/>
    <w:rsid w:val="0002067B"/>
    <w:rsid w:val="00021C09"/>
    <w:rsid w:val="000274E2"/>
    <w:rsid w:val="00034FE1"/>
    <w:rsid w:val="00035086"/>
    <w:rsid w:val="0003638D"/>
    <w:rsid w:val="000377B1"/>
    <w:rsid w:val="000407AE"/>
    <w:rsid w:val="00040DF7"/>
    <w:rsid w:val="000429D0"/>
    <w:rsid w:val="000445C2"/>
    <w:rsid w:val="00044F3D"/>
    <w:rsid w:val="00045157"/>
    <w:rsid w:val="00045493"/>
    <w:rsid w:val="000461C2"/>
    <w:rsid w:val="00047C6F"/>
    <w:rsid w:val="000534D2"/>
    <w:rsid w:val="00054847"/>
    <w:rsid w:val="00055B03"/>
    <w:rsid w:val="000563BB"/>
    <w:rsid w:val="000576A5"/>
    <w:rsid w:val="000579A2"/>
    <w:rsid w:val="00057D09"/>
    <w:rsid w:val="00060D85"/>
    <w:rsid w:val="00064BDA"/>
    <w:rsid w:val="00065E7C"/>
    <w:rsid w:val="00066483"/>
    <w:rsid w:val="0006659E"/>
    <w:rsid w:val="000668A0"/>
    <w:rsid w:val="000671E0"/>
    <w:rsid w:val="000732A6"/>
    <w:rsid w:val="0007459F"/>
    <w:rsid w:val="000751DF"/>
    <w:rsid w:val="00077100"/>
    <w:rsid w:val="0007798E"/>
    <w:rsid w:val="00080281"/>
    <w:rsid w:val="000807CC"/>
    <w:rsid w:val="00082A77"/>
    <w:rsid w:val="00084519"/>
    <w:rsid w:val="00084C4A"/>
    <w:rsid w:val="00084D37"/>
    <w:rsid w:val="00086F5D"/>
    <w:rsid w:val="00091760"/>
    <w:rsid w:val="00093C00"/>
    <w:rsid w:val="000976F6"/>
    <w:rsid w:val="000A064E"/>
    <w:rsid w:val="000A45FE"/>
    <w:rsid w:val="000A643F"/>
    <w:rsid w:val="000A7218"/>
    <w:rsid w:val="000A78B6"/>
    <w:rsid w:val="000A7FCF"/>
    <w:rsid w:val="000B08ED"/>
    <w:rsid w:val="000B0C4C"/>
    <w:rsid w:val="000B295C"/>
    <w:rsid w:val="000B420C"/>
    <w:rsid w:val="000B4A4C"/>
    <w:rsid w:val="000B51A7"/>
    <w:rsid w:val="000B64A9"/>
    <w:rsid w:val="000B7C72"/>
    <w:rsid w:val="000C011F"/>
    <w:rsid w:val="000C14E9"/>
    <w:rsid w:val="000C19A7"/>
    <w:rsid w:val="000C243C"/>
    <w:rsid w:val="000C4247"/>
    <w:rsid w:val="000C432F"/>
    <w:rsid w:val="000C4EA4"/>
    <w:rsid w:val="000C7794"/>
    <w:rsid w:val="000C7984"/>
    <w:rsid w:val="000C7EFD"/>
    <w:rsid w:val="000D07D3"/>
    <w:rsid w:val="000D1CED"/>
    <w:rsid w:val="000D34F6"/>
    <w:rsid w:val="000D39F2"/>
    <w:rsid w:val="000D76CB"/>
    <w:rsid w:val="000E01E8"/>
    <w:rsid w:val="000E134B"/>
    <w:rsid w:val="000E161F"/>
    <w:rsid w:val="000E1B35"/>
    <w:rsid w:val="000E337C"/>
    <w:rsid w:val="000E39D8"/>
    <w:rsid w:val="000E43DD"/>
    <w:rsid w:val="000E5F7C"/>
    <w:rsid w:val="000F1441"/>
    <w:rsid w:val="000F297C"/>
    <w:rsid w:val="000F2A64"/>
    <w:rsid w:val="000F6E7F"/>
    <w:rsid w:val="000F7089"/>
    <w:rsid w:val="000F78FF"/>
    <w:rsid w:val="0010013A"/>
    <w:rsid w:val="001028AA"/>
    <w:rsid w:val="001032DD"/>
    <w:rsid w:val="00103567"/>
    <w:rsid w:val="00104EE7"/>
    <w:rsid w:val="00105D63"/>
    <w:rsid w:val="001060D0"/>
    <w:rsid w:val="00110DF2"/>
    <w:rsid w:val="001166BB"/>
    <w:rsid w:val="00117B2D"/>
    <w:rsid w:val="00123676"/>
    <w:rsid w:val="001254DF"/>
    <w:rsid w:val="001262E8"/>
    <w:rsid w:val="0012633E"/>
    <w:rsid w:val="001264C5"/>
    <w:rsid w:val="00127567"/>
    <w:rsid w:val="001309AC"/>
    <w:rsid w:val="00131929"/>
    <w:rsid w:val="00134306"/>
    <w:rsid w:val="00135C61"/>
    <w:rsid w:val="001375F6"/>
    <w:rsid w:val="0013790D"/>
    <w:rsid w:val="00137B7F"/>
    <w:rsid w:val="001443BE"/>
    <w:rsid w:val="0014535B"/>
    <w:rsid w:val="00161639"/>
    <w:rsid w:val="001623AC"/>
    <w:rsid w:val="0016273D"/>
    <w:rsid w:val="00162D3B"/>
    <w:rsid w:val="0016493E"/>
    <w:rsid w:val="00164D0D"/>
    <w:rsid w:val="00165700"/>
    <w:rsid w:val="00165D04"/>
    <w:rsid w:val="00166997"/>
    <w:rsid w:val="00167E67"/>
    <w:rsid w:val="001703E3"/>
    <w:rsid w:val="00172A27"/>
    <w:rsid w:val="001821A9"/>
    <w:rsid w:val="001859D2"/>
    <w:rsid w:val="00185FC4"/>
    <w:rsid w:val="001868E4"/>
    <w:rsid w:val="00187A29"/>
    <w:rsid w:val="00187AEF"/>
    <w:rsid w:val="0019759B"/>
    <w:rsid w:val="00197786"/>
    <w:rsid w:val="00197B68"/>
    <w:rsid w:val="001A17C3"/>
    <w:rsid w:val="001A1B1C"/>
    <w:rsid w:val="001A2BB4"/>
    <w:rsid w:val="001A4378"/>
    <w:rsid w:val="001A6DB5"/>
    <w:rsid w:val="001A7119"/>
    <w:rsid w:val="001B033E"/>
    <w:rsid w:val="001B1DAD"/>
    <w:rsid w:val="001B2912"/>
    <w:rsid w:val="001B330D"/>
    <w:rsid w:val="001B42B6"/>
    <w:rsid w:val="001B7E6D"/>
    <w:rsid w:val="001C12A2"/>
    <w:rsid w:val="001C258D"/>
    <w:rsid w:val="001C3198"/>
    <w:rsid w:val="001C3F72"/>
    <w:rsid w:val="001C5C4B"/>
    <w:rsid w:val="001C5DC9"/>
    <w:rsid w:val="001D0DC8"/>
    <w:rsid w:val="001D0EEA"/>
    <w:rsid w:val="001D1875"/>
    <w:rsid w:val="001D2710"/>
    <w:rsid w:val="001D5613"/>
    <w:rsid w:val="001D5C10"/>
    <w:rsid w:val="001E091F"/>
    <w:rsid w:val="001E26DC"/>
    <w:rsid w:val="001E3005"/>
    <w:rsid w:val="001E62ED"/>
    <w:rsid w:val="001E7A0A"/>
    <w:rsid w:val="001F019D"/>
    <w:rsid w:val="001F056D"/>
    <w:rsid w:val="001F3166"/>
    <w:rsid w:val="001F6F92"/>
    <w:rsid w:val="00200092"/>
    <w:rsid w:val="0020108F"/>
    <w:rsid w:val="00204233"/>
    <w:rsid w:val="00206C07"/>
    <w:rsid w:val="00207080"/>
    <w:rsid w:val="00207AD2"/>
    <w:rsid w:val="00215583"/>
    <w:rsid w:val="002155F0"/>
    <w:rsid w:val="00215DCA"/>
    <w:rsid w:val="00216455"/>
    <w:rsid w:val="00217689"/>
    <w:rsid w:val="002217FB"/>
    <w:rsid w:val="00222596"/>
    <w:rsid w:val="002227F9"/>
    <w:rsid w:val="00231E8C"/>
    <w:rsid w:val="00233087"/>
    <w:rsid w:val="002334CE"/>
    <w:rsid w:val="00234B0D"/>
    <w:rsid w:val="00234F3D"/>
    <w:rsid w:val="002351A6"/>
    <w:rsid w:val="00235CEB"/>
    <w:rsid w:val="00236614"/>
    <w:rsid w:val="002366B8"/>
    <w:rsid w:val="00240C9C"/>
    <w:rsid w:val="00241D7C"/>
    <w:rsid w:val="00242FEF"/>
    <w:rsid w:val="00243FBA"/>
    <w:rsid w:val="00244FBF"/>
    <w:rsid w:val="00246B4C"/>
    <w:rsid w:val="002474D5"/>
    <w:rsid w:val="002476FD"/>
    <w:rsid w:val="00250095"/>
    <w:rsid w:val="002505F2"/>
    <w:rsid w:val="002506EA"/>
    <w:rsid w:val="00250E31"/>
    <w:rsid w:val="002516AB"/>
    <w:rsid w:val="00251AD5"/>
    <w:rsid w:val="00252A95"/>
    <w:rsid w:val="00256367"/>
    <w:rsid w:val="002612FF"/>
    <w:rsid w:val="00261AF5"/>
    <w:rsid w:val="00265828"/>
    <w:rsid w:val="002666B3"/>
    <w:rsid w:val="00277496"/>
    <w:rsid w:val="00280435"/>
    <w:rsid w:val="00280E4A"/>
    <w:rsid w:val="00282AE5"/>
    <w:rsid w:val="00291139"/>
    <w:rsid w:val="00292EF9"/>
    <w:rsid w:val="00294621"/>
    <w:rsid w:val="00295530"/>
    <w:rsid w:val="002A0308"/>
    <w:rsid w:val="002A3C04"/>
    <w:rsid w:val="002A797F"/>
    <w:rsid w:val="002B00BE"/>
    <w:rsid w:val="002B219A"/>
    <w:rsid w:val="002B51F1"/>
    <w:rsid w:val="002B5C1A"/>
    <w:rsid w:val="002B5F0B"/>
    <w:rsid w:val="002B7161"/>
    <w:rsid w:val="002B7259"/>
    <w:rsid w:val="002B7EFC"/>
    <w:rsid w:val="002C0161"/>
    <w:rsid w:val="002C06F0"/>
    <w:rsid w:val="002C4293"/>
    <w:rsid w:val="002C45C3"/>
    <w:rsid w:val="002C5089"/>
    <w:rsid w:val="002C7044"/>
    <w:rsid w:val="002D2E4A"/>
    <w:rsid w:val="002D3339"/>
    <w:rsid w:val="002D37FC"/>
    <w:rsid w:val="002D4AFE"/>
    <w:rsid w:val="002D5833"/>
    <w:rsid w:val="002E1C5B"/>
    <w:rsid w:val="002E1E86"/>
    <w:rsid w:val="002E2074"/>
    <w:rsid w:val="002E21FA"/>
    <w:rsid w:val="002E2795"/>
    <w:rsid w:val="002E75D6"/>
    <w:rsid w:val="002F0386"/>
    <w:rsid w:val="002F04BC"/>
    <w:rsid w:val="002F1D5E"/>
    <w:rsid w:val="002F2BB7"/>
    <w:rsid w:val="002F30CA"/>
    <w:rsid w:val="002F7413"/>
    <w:rsid w:val="00301417"/>
    <w:rsid w:val="00301A00"/>
    <w:rsid w:val="003024C0"/>
    <w:rsid w:val="00303967"/>
    <w:rsid w:val="003049B9"/>
    <w:rsid w:val="0030582C"/>
    <w:rsid w:val="00305971"/>
    <w:rsid w:val="00307A61"/>
    <w:rsid w:val="00311A06"/>
    <w:rsid w:val="00312330"/>
    <w:rsid w:val="00314792"/>
    <w:rsid w:val="0031495A"/>
    <w:rsid w:val="00315173"/>
    <w:rsid w:val="003158D8"/>
    <w:rsid w:val="00315D42"/>
    <w:rsid w:val="00316489"/>
    <w:rsid w:val="00317127"/>
    <w:rsid w:val="0032086D"/>
    <w:rsid w:val="00323CDA"/>
    <w:rsid w:val="00324649"/>
    <w:rsid w:val="00325098"/>
    <w:rsid w:val="003260BF"/>
    <w:rsid w:val="00326685"/>
    <w:rsid w:val="00331013"/>
    <w:rsid w:val="00331CF8"/>
    <w:rsid w:val="00331DF5"/>
    <w:rsid w:val="00334E15"/>
    <w:rsid w:val="00335286"/>
    <w:rsid w:val="00335EE7"/>
    <w:rsid w:val="00337B9D"/>
    <w:rsid w:val="003413EB"/>
    <w:rsid w:val="00343A2B"/>
    <w:rsid w:val="00345316"/>
    <w:rsid w:val="00353035"/>
    <w:rsid w:val="00355FEA"/>
    <w:rsid w:val="00362657"/>
    <w:rsid w:val="00363572"/>
    <w:rsid w:val="00364BAC"/>
    <w:rsid w:val="00367A76"/>
    <w:rsid w:val="00367D10"/>
    <w:rsid w:val="00371731"/>
    <w:rsid w:val="00371A73"/>
    <w:rsid w:val="00371F43"/>
    <w:rsid w:val="00371F6E"/>
    <w:rsid w:val="00373080"/>
    <w:rsid w:val="00373685"/>
    <w:rsid w:val="00374FBC"/>
    <w:rsid w:val="00375685"/>
    <w:rsid w:val="00375CED"/>
    <w:rsid w:val="00376988"/>
    <w:rsid w:val="00376DE0"/>
    <w:rsid w:val="00377199"/>
    <w:rsid w:val="00381ECB"/>
    <w:rsid w:val="00382996"/>
    <w:rsid w:val="00382AD1"/>
    <w:rsid w:val="00382C26"/>
    <w:rsid w:val="00382EBB"/>
    <w:rsid w:val="0038543E"/>
    <w:rsid w:val="0039019E"/>
    <w:rsid w:val="003902F5"/>
    <w:rsid w:val="00391BA1"/>
    <w:rsid w:val="00392A88"/>
    <w:rsid w:val="0039532C"/>
    <w:rsid w:val="00396060"/>
    <w:rsid w:val="00396263"/>
    <w:rsid w:val="003A019E"/>
    <w:rsid w:val="003A2999"/>
    <w:rsid w:val="003A6632"/>
    <w:rsid w:val="003A7E8B"/>
    <w:rsid w:val="003B0B0B"/>
    <w:rsid w:val="003B27C9"/>
    <w:rsid w:val="003B34C1"/>
    <w:rsid w:val="003B47D9"/>
    <w:rsid w:val="003B4AAB"/>
    <w:rsid w:val="003B5F87"/>
    <w:rsid w:val="003C1678"/>
    <w:rsid w:val="003C38BC"/>
    <w:rsid w:val="003C490C"/>
    <w:rsid w:val="003C56ED"/>
    <w:rsid w:val="003C62FF"/>
    <w:rsid w:val="003C65A0"/>
    <w:rsid w:val="003C68B3"/>
    <w:rsid w:val="003C783F"/>
    <w:rsid w:val="003C7AB1"/>
    <w:rsid w:val="003C7F60"/>
    <w:rsid w:val="003D17FD"/>
    <w:rsid w:val="003D20E2"/>
    <w:rsid w:val="003E125A"/>
    <w:rsid w:val="003E12C8"/>
    <w:rsid w:val="003E2E84"/>
    <w:rsid w:val="003E3702"/>
    <w:rsid w:val="003E41D1"/>
    <w:rsid w:val="003E7009"/>
    <w:rsid w:val="003E79BB"/>
    <w:rsid w:val="003E7FBF"/>
    <w:rsid w:val="003F0231"/>
    <w:rsid w:val="003F191C"/>
    <w:rsid w:val="003F272B"/>
    <w:rsid w:val="003F2CFE"/>
    <w:rsid w:val="003F3888"/>
    <w:rsid w:val="003F3CEC"/>
    <w:rsid w:val="003F4F4A"/>
    <w:rsid w:val="003F5B23"/>
    <w:rsid w:val="003F608F"/>
    <w:rsid w:val="003F6E39"/>
    <w:rsid w:val="00401F82"/>
    <w:rsid w:val="00402392"/>
    <w:rsid w:val="00403915"/>
    <w:rsid w:val="00403BE2"/>
    <w:rsid w:val="00403CA6"/>
    <w:rsid w:val="00404725"/>
    <w:rsid w:val="004052EF"/>
    <w:rsid w:val="004054D1"/>
    <w:rsid w:val="004068BB"/>
    <w:rsid w:val="00407B04"/>
    <w:rsid w:val="004122B7"/>
    <w:rsid w:val="0041291E"/>
    <w:rsid w:val="004164E2"/>
    <w:rsid w:val="00416E58"/>
    <w:rsid w:val="00417C88"/>
    <w:rsid w:val="0042038B"/>
    <w:rsid w:val="00420EC6"/>
    <w:rsid w:val="00421522"/>
    <w:rsid w:val="00425B56"/>
    <w:rsid w:val="004261A7"/>
    <w:rsid w:val="0042676E"/>
    <w:rsid w:val="004268CA"/>
    <w:rsid w:val="00430772"/>
    <w:rsid w:val="004308C5"/>
    <w:rsid w:val="00433E5F"/>
    <w:rsid w:val="00435C44"/>
    <w:rsid w:val="0043784D"/>
    <w:rsid w:val="00440150"/>
    <w:rsid w:val="00440B99"/>
    <w:rsid w:val="0044547D"/>
    <w:rsid w:val="0045082A"/>
    <w:rsid w:val="00451494"/>
    <w:rsid w:val="00452CC9"/>
    <w:rsid w:val="00453EEA"/>
    <w:rsid w:val="004541F8"/>
    <w:rsid w:val="00454504"/>
    <w:rsid w:val="0045491E"/>
    <w:rsid w:val="00454F35"/>
    <w:rsid w:val="00455C69"/>
    <w:rsid w:val="0046367E"/>
    <w:rsid w:val="004644B1"/>
    <w:rsid w:val="00464D1D"/>
    <w:rsid w:val="0046536A"/>
    <w:rsid w:val="0046667C"/>
    <w:rsid w:val="00467048"/>
    <w:rsid w:val="00467BEC"/>
    <w:rsid w:val="0047142A"/>
    <w:rsid w:val="0047203B"/>
    <w:rsid w:val="004721CA"/>
    <w:rsid w:val="0047289D"/>
    <w:rsid w:val="0047497C"/>
    <w:rsid w:val="0047666A"/>
    <w:rsid w:val="004773DD"/>
    <w:rsid w:val="00483F28"/>
    <w:rsid w:val="00484286"/>
    <w:rsid w:val="0048487C"/>
    <w:rsid w:val="00485F5B"/>
    <w:rsid w:val="00486831"/>
    <w:rsid w:val="00487529"/>
    <w:rsid w:val="00487F56"/>
    <w:rsid w:val="004936B8"/>
    <w:rsid w:val="00496932"/>
    <w:rsid w:val="004A0EA8"/>
    <w:rsid w:val="004A18F5"/>
    <w:rsid w:val="004A2308"/>
    <w:rsid w:val="004A417C"/>
    <w:rsid w:val="004A627C"/>
    <w:rsid w:val="004A6E34"/>
    <w:rsid w:val="004A7164"/>
    <w:rsid w:val="004A7BB7"/>
    <w:rsid w:val="004B4FF8"/>
    <w:rsid w:val="004B5261"/>
    <w:rsid w:val="004B53CC"/>
    <w:rsid w:val="004B5F04"/>
    <w:rsid w:val="004B70D7"/>
    <w:rsid w:val="004B7E95"/>
    <w:rsid w:val="004C1CEC"/>
    <w:rsid w:val="004C2F81"/>
    <w:rsid w:val="004C2F9B"/>
    <w:rsid w:val="004C3A0E"/>
    <w:rsid w:val="004C4579"/>
    <w:rsid w:val="004C7583"/>
    <w:rsid w:val="004D0523"/>
    <w:rsid w:val="004D25A0"/>
    <w:rsid w:val="004D2D34"/>
    <w:rsid w:val="004D3A3A"/>
    <w:rsid w:val="004D5871"/>
    <w:rsid w:val="004D734F"/>
    <w:rsid w:val="004E0DF3"/>
    <w:rsid w:val="004E273F"/>
    <w:rsid w:val="004E2F12"/>
    <w:rsid w:val="004E31BB"/>
    <w:rsid w:val="004E3279"/>
    <w:rsid w:val="004E3822"/>
    <w:rsid w:val="004E7255"/>
    <w:rsid w:val="004E76F5"/>
    <w:rsid w:val="004F2A84"/>
    <w:rsid w:val="004F2EC8"/>
    <w:rsid w:val="004F7F87"/>
    <w:rsid w:val="00503A74"/>
    <w:rsid w:val="00506D3D"/>
    <w:rsid w:val="00507447"/>
    <w:rsid w:val="005107AC"/>
    <w:rsid w:val="0051081F"/>
    <w:rsid w:val="0051156B"/>
    <w:rsid w:val="00511614"/>
    <w:rsid w:val="00511CF7"/>
    <w:rsid w:val="00511E82"/>
    <w:rsid w:val="00514765"/>
    <w:rsid w:val="005164FF"/>
    <w:rsid w:val="0051685A"/>
    <w:rsid w:val="00521DF3"/>
    <w:rsid w:val="00525492"/>
    <w:rsid w:val="00527A2D"/>
    <w:rsid w:val="00532610"/>
    <w:rsid w:val="00533C6C"/>
    <w:rsid w:val="00537492"/>
    <w:rsid w:val="00540D74"/>
    <w:rsid w:val="00540F70"/>
    <w:rsid w:val="00541F98"/>
    <w:rsid w:val="0054224C"/>
    <w:rsid w:val="0054405A"/>
    <w:rsid w:val="0054609E"/>
    <w:rsid w:val="00546F59"/>
    <w:rsid w:val="005475F0"/>
    <w:rsid w:val="00552444"/>
    <w:rsid w:val="00553422"/>
    <w:rsid w:val="005542C0"/>
    <w:rsid w:val="0055547E"/>
    <w:rsid w:val="00556488"/>
    <w:rsid w:val="0055649B"/>
    <w:rsid w:val="005612CD"/>
    <w:rsid w:val="0056240B"/>
    <w:rsid w:val="005650B1"/>
    <w:rsid w:val="005656AE"/>
    <w:rsid w:val="00566313"/>
    <w:rsid w:val="0057004E"/>
    <w:rsid w:val="0057050D"/>
    <w:rsid w:val="00570655"/>
    <w:rsid w:val="00571573"/>
    <w:rsid w:val="00571F51"/>
    <w:rsid w:val="005725B8"/>
    <w:rsid w:val="00574FA9"/>
    <w:rsid w:val="00580570"/>
    <w:rsid w:val="00581C8D"/>
    <w:rsid w:val="005821A6"/>
    <w:rsid w:val="00584C62"/>
    <w:rsid w:val="00586D1D"/>
    <w:rsid w:val="005909E9"/>
    <w:rsid w:val="00590FC7"/>
    <w:rsid w:val="00592746"/>
    <w:rsid w:val="005929E8"/>
    <w:rsid w:val="005943B6"/>
    <w:rsid w:val="00594BCD"/>
    <w:rsid w:val="00594C08"/>
    <w:rsid w:val="0059711E"/>
    <w:rsid w:val="005978AB"/>
    <w:rsid w:val="005A5D54"/>
    <w:rsid w:val="005A7EC5"/>
    <w:rsid w:val="005B04EB"/>
    <w:rsid w:val="005B23CC"/>
    <w:rsid w:val="005B7489"/>
    <w:rsid w:val="005C0179"/>
    <w:rsid w:val="005C230B"/>
    <w:rsid w:val="005C256D"/>
    <w:rsid w:val="005C63A5"/>
    <w:rsid w:val="005D2C3E"/>
    <w:rsid w:val="005D364F"/>
    <w:rsid w:val="005D467E"/>
    <w:rsid w:val="005D5733"/>
    <w:rsid w:val="005D5C09"/>
    <w:rsid w:val="005E0408"/>
    <w:rsid w:val="005E3BAC"/>
    <w:rsid w:val="005E4B65"/>
    <w:rsid w:val="005E4E3D"/>
    <w:rsid w:val="005E7561"/>
    <w:rsid w:val="005E7C5F"/>
    <w:rsid w:val="005F08B0"/>
    <w:rsid w:val="005F10B9"/>
    <w:rsid w:val="005F16C9"/>
    <w:rsid w:val="005F1E15"/>
    <w:rsid w:val="005F53A2"/>
    <w:rsid w:val="00600033"/>
    <w:rsid w:val="006018A0"/>
    <w:rsid w:val="00603D18"/>
    <w:rsid w:val="00606721"/>
    <w:rsid w:val="00606770"/>
    <w:rsid w:val="00611BB6"/>
    <w:rsid w:val="00612FA8"/>
    <w:rsid w:val="006136BA"/>
    <w:rsid w:val="006144B5"/>
    <w:rsid w:val="0061761D"/>
    <w:rsid w:val="0062157E"/>
    <w:rsid w:val="006219C7"/>
    <w:rsid w:val="00627229"/>
    <w:rsid w:val="00627B0A"/>
    <w:rsid w:val="00630488"/>
    <w:rsid w:val="00630C6F"/>
    <w:rsid w:val="00630FC5"/>
    <w:rsid w:val="00631099"/>
    <w:rsid w:val="00631C0C"/>
    <w:rsid w:val="00631FCE"/>
    <w:rsid w:val="0063238B"/>
    <w:rsid w:val="00633AE5"/>
    <w:rsid w:val="0063696C"/>
    <w:rsid w:val="00640507"/>
    <w:rsid w:val="006405F4"/>
    <w:rsid w:val="0064202E"/>
    <w:rsid w:val="00642155"/>
    <w:rsid w:val="00642534"/>
    <w:rsid w:val="00642791"/>
    <w:rsid w:val="00642B7C"/>
    <w:rsid w:val="00642C0A"/>
    <w:rsid w:val="00642E8E"/>
    <w:rsid w:val="00644715"/>
    <w:rsid w:val="00644EA6"/>
    <w:rsid w:val="00645701"/>
    <w:rsid w:val="006469BD"/>
    <w:rsid w:val="006474F4"/>
    <w:rsid w:val="0064791A"/>
    <w:rsid w:val="006500E0"/>
    <w:rsid w:val="00652199"/>
    <w:rsid w:val="00655561"/>
    <w:rsid w:val="00655A38"/>
    <w:rsid w:val="00655D62"/>
    <w:rsid w:val="00657E00"/>
    <w:rsid w:val="00664319"/>
    <w:rsid w:val="00664B22"/>
    <w:rsid w:val="00666DC2"/>
    <w:rsid w:val="00667353"/>
    <w:rsid w:val="00667682"/>
    <w:rsid w:val="00667CAF"/>
    <w:rsid w:val="00672245"/>
    <w:rsid w:val="00672F60"/>
    <w:rsid w:val="0067351A"/>
    <w:rsid w:val="00673EAF"/>
    <w:rsid w:val="00675430"/>
    <w:rsid w:val="0067680D"/>
    <w:rsid w:val="00677B5B"/>
    <w:rsid w:val="00680EB6"/>
    <w:rsid w:val="006817BE"/>
    <w:rsid w:val="006824F6"/>
    <w:rsid w:val="00682A4F"/>
    <w:rsid w:val="00684A74"/>
    <w:rsid w:val="00686A0A"/>
    <w:rsid w:val="006875A9"/>
    <w:rsid w:val="00687FD2"/>
    <w:rsid w:val="00693322"/>
    <w:rsid w:val="00696B92"/>
    <w:rsid w:val="006A0D6A"/>
    <w:rsid w:val="006A3B7E"/>
    <w:rsid w:val="006A6BB0"/>
    <w:rsid w:val="006A7939"/>
    <w:rsid w:val="006B4692"/>
    <w:rsid w:val="006B4FB9"/>
    <w:rsid w:val="006C07F9"/>
    <w:rsid w:val="006C19BF"/>
    <w:rsid w:val="006C2137"/>
    <w:rsid w:val="006C23C7"/>
    <w:rsid w:val="006C36A9"/>
    <w:rsid w:val="006D2275"/>
    <w:rsid w:val="006D2F44"/>
    <w:rsid w:val="006D355B"/>
    <w:rsid w:val="006D6C5D"/>
    <w:rsid w:val="006D7036"/>
    <w:rsid w:val="006E0AD4"/>
    <w:rsid w:val="006E0E47"/>
    <w:rsid w:val="006E2837"/>
    <w:rsid w:val="006E32DD"/>
    <w:rsid w:val="006E6196"/>
    <w:rsid w:val="006E79DD"/>
    <w:rsid w:val="006F3A27"/>
    <w:rsid w:val="006F48CA"/>
    <w:rsid w:val="006F5C37"/>
    <w:rsid w:val="006F5CA3"/>
    <w:rsid w:val="00701EB2"/>
    <w:rsid w:val="00702017"/>
    <w:rsid w:val="0070429B"/>
    <w:rsid w:val="007051C8"/>
    <w:rsid w:val="00705277"/>
    <w:rsid w:val="007076DE"/>
    <w:rsid w:val="00710136"/>
    <w:rsid w:val="0071233A"/>
    <w:rsid w:val="0071304D"/>
    <w:rsid w:val="00713912"/>
    <w:rsid w:val="007145E3"/>
    <w:rsid w:val="00714BCC"/>
    <w:rsid w:val="00715095"/>
    <w:rsid w:val="007173C6"/>
    <w:rsid w:val="0071793D"/>
    <w:rsid w:val="00717B17"/>
    <w:rsid w:val="007215B0"/>
    <w:rsid w:val="0072422C"/>
    <w:rsid w:val="00727B24"/>
    <w:rsid w:val="00730FBD"/>
    <w:rsid w:val="00734CDB"/>
    <w:rsid w:val="00735339"/>
    <w:rsid w:val="00735528"/>
    <w:rsid w:val="00735ED7"/>
    <w:rsid w:val="00736014"/>
    <w:rsid w:val="00736A9E"/>
    <w:rsid w:val="00741DA9"/>
    <w:rsid w:val="00744FD1"/>
    <w:rsid w:val="0075107C"/>
    <w:rsid w:val="0075113C"/>
    <w:rsid w:val="00752B0A"/>
    <w:rsid w:val="00757325"/>
    <w:rsid w:val="00757359"/>
    <w:rsid w:val="007576FE"/>
    <w:rsid w:val="0076060E"/>
    <w:rsid w:val="0076292B"/>
    <w:rsid w:val="0076453B"/>
    <w:rsid w:val="00764E21"/>
    <w:rsid w:val="00765009"/>
    <w:rsid w:val="00766465"/>
    <w:rsid w:val="0076664F"/>
    <w:rsid w:val="00766A47"/>
    <w:rsid w:val="00766D69"/>
    <w:rsid w:val="0077146A"/>
    <w:rsid w:val="0077215C"/>
    <w:rsid w:val="007723FF"/>
    <w:rsid w:val="0077305E"/>
    <w:rsid w:val="00774E9A"/>
    <w:rsid w:val="0077653E"/>
    <w:rsid w:val="0077754F"/>
    <w:rsid w:val="007775FF"/>
    <w:rsid w:val="00783CBC"/>
    <w:rsid w:val="007859AA"/>
    <w:rsid w:val="00785D44"/>
    <w:rsid w:val="00785E29"/>
    <w:rsid w:val="007909AE"/>
    <w:rsid w:val="00791623"/>
    <w:rsid w:val="00793F1B"/>
    <w:rsid w:val="00793FFB"/>
    <w:rsid w:val="0079482C"/>
    <w:rsid w:val="00794C63"/>
    <w:rsid w:val="007962A8"/>
    <w:rsid w:val="00796920"/>
    <w:rsid w:val="00797A45"/>
    <w:rsid w:val="007A2FB9"/>
    <w:rsid w:val="007A331F"/>
    <w:rsid w:val="007A3561"/>
    <w:rsid w:val="007A5607"/>
    <w:rsid w:val="007A6C54"/>
    <w:rsid w:val="007B248C"/>
    <w:rsid w:val="007B32FB"/>
    <w:rsid w:val="007B7091"/>
    <w:rsid w:val="007B78E0"/>
    <w:rsid w:val="007C3A67"/>
    <w:rsid w:val="007C3F75"/>
    <w:rsid w:val="007C7B94"/>
    <w:rsid w:val="007D19B8"/>
    <w:rsid w:val="007D1DDC"/>
    <w:rsid w:val="007D1EE9"/>
    <w:rsid w:val="007D22D4"/>
    <w:rsid w:val="007D4341"/>
    <w:rsid w:val="007E2985"/>
    <w:rsid w:val="007E49B2"/>
    <w:rsid w:val="007E4E4E"/>
    <w:rsid w:val="007E5380"/>
    <w:rsid w:val="007E6930"/>
    <w:rsid w:val="007F04B1"/>
    <w:rsid w:val="007F5DDC"/>
    <w:rsid w:val="007F61A4"/>
    <w:rsid w:val="007F6649"/>
    <w:rsid w:val="007F71F0"/>
    <w:rsid w:val="008013AD"/>
    <w:rsid w:val="008014E3"/>
    <w:rsid w:val="00802573"/>
    <w:rsid w:val="0080756B"/>
    <w:rsid w:val="008101B9"/>
    <w:rsid w:val="0081075F"/>
    <w:rsid w:val="00810BE5"/>
    <w:rsid w:val="008110FB"/>
    <w:rsid w:val="00812D4F"/>
    <w:rsid w:val="00815070"/>
    <w:rsid w:val="00822AC1"/>
    <w:rsid w:val="0082452D"/>
    <w:rsid w:val="00824BCB"/>
    <w:rsid w:val="00827FEA"/>
    <w:rsid w:val="00832D8B"/>
    <w:rsid w:val="00834700"/>
    <w:rsid w:val="0083704B"/>
    <w:rsid w:val="00841184"/>
    <w:rsid w:val="00841C67"/>
    <w:rsid w:val="00843D04"/>
    <w:rsid w:val="008441C7"/>
    <w:rsid w:val="0084512D"/>
    <w:rsid w:val="008463BC"/>
    <w:rsid w:val="00847A01"/>
    <w:rsid w:val="00851D33"/>
    <w:rsid w:val="00855E6C"/>
    <w:rsid w:val="00862022"/>
    <w:rsid w:val="008624F1"/>
    <w:rsid w:val="00863375"/>
    <w:rsid w:val="00863C23"/>
    <w:rsid w:val="00864AB6"/>
    <w:rsid w:val="00867EB2"/>
    <w:rsid w:val="00871770"/>
    <w:rsid w:val="008729C0"/>
    <w:rsid w:val="00872F4C"/>
    <w:rsid w:val="00873B8D"/>
    <w:rsid w:val="00874EDA"/>
    <w:rsid w:val="008753DF"/>
    <w:rsid w:val="0087546A"/>
    <w:rsid w:val="00876568"/>
    <w:rsid w:val="00877308"/>
    <w:rsid w:val="0088011D"/>
    <w:rsid w:val="00880E6A"/>
    <w:rsid w:val="00886FCB"/>
    <w:rsid w:val="00887FA0"/>
    <w:rsid w:val="00890E74"/>
    <w:rsid w:val="00891622"/>
    <w:rsid w:val="00895A9B"/>
    <w:rsid w:val="008967B6"/>
    <w:rsid w:val="008968FC"/>
    <w:rsid w:val="00896C5F"/>
    <w:rsid w:val="008A0390"/>
    <w:rsid w:val="008A044F"/>
    <w:rsid w:val="008A0952"/>
    <w:rsid w:val="008A2118"/>
    <w:rsid w:val="008A23DB"/>
    <w:rsid w:val="008A342A"/>
    <w:rsid w:val="008A4392"/>
    <w:rsid w:val="008A4828"/>
    <w:rsid w:val="008A5C28"/>
    <w:rsid w:val="008A654D"/>
    <w:rsid w:val="008A6D92"/>
    <w:rsid w:val="008B1162"/>
    <w:rsid w:val="008B182A"/>
    <w:rsid w:val="008B412B"/>
    <w:rsid w:val="008B5C32"/>
    <w:rsid w:val="008B7845"/>
    <w:rsid w:val="008C0207"/>
    <w:rsid w:val="008C0A13"/>
    <w:rsid w:val="008C2AA5"/>
    <w:rsid w:val="008C2CC1"/>
    <w:rsid w:val="008C4B4A"/>
    <w:rsid w:val="008D04C4"/>
    <w:rsid w:val="008D243A"/>
    <w:rsid w:val="008D5AB6"/>
    <w:rsid w:val="008D5F3B"/>
    <w:rsid w:val="008E76D6"/>
    <w:rsid w:val="008F09E5"/>
    <w:rsid w:val="008F2F22"/>
    <w:rsid w:val="008F3231"/>
    <w:rsid w:val="008F5255"/>
    <w:rsid w:val="008F73E6"/>
    <w:rsid w:val="008F7E07"/>
    <w:rsid w:val="0090145E"/>
    <w:rsid w:val="00902A70"/>
    <w:rsid w:val="0090417B"/>
    <w:rsid w:val="00904B49"/>
    <w:rsid w:val="00906EC7"/>
    <w:rsid w:val="0091026F"/>
    <w:rsid w:val="009112C5"/>
    <w:rsid w:val="009137FD"/>
    <w:rsid w:val="009155CB"/>
    <w:rsid w:val="009168E7"/>
    <w:rsid w:val="0092025A"/>
    <w:rsid w:val="009206BC"/>
    <w:rsid w:val="00920788"/>
    <w:rsid w:val="00921D11"/>
    <w:rsid w:val="00922066"/>
    <w:rsid w:val="00922F4C"/>
    <w:rsid w:val="009232B8"/>
    <w:rsid w:val="009252A5"/>
    <w:rsid w:val="00926674"/>
    <w:rsid w:val="00930C99"/>
    <w:rsid w:val="00931259"/>
    <w:rsid w:val="00931A53"/>
    <w:rsid w:val="009342F8"/>
    <w:rsid w:val="00936F58"/>
    <w:rsid w:val="009427CA"/>
    <w:rsid w:val="00942962"/>
    <w:rsid w:val="009529C1"/>
    <w:rsid w:val="0095338C"/>
    <w:rsid w:val="0095446A"/>
    <w:rsid w:val="009557AB"/>
    <w:rsid w:val="00957CBF"/>
    <w:rsid w:val="00961550"/>
    <w:rsid w:val="00961B8D"/>
    <w:rsid w:val="00964FA0"/>
    <w:rsid w:val="009653F1"/>
    <w:rsid w:val="00965FC6"/>
    <w:rsid w:val="0096659D"/>
    <w:rsid w:val="00972B3E"/>
    <w:rsid w:val="00973839"/>
    <w:rsid w:val="00973886"/>
    <w:rsid w:val="009756D7"/>
    <w:rsid w:val="00981189"/>
    <w:rsid w:val="0098124A"/>
    <w:rsid w:val="0098221E"/>
    <w:rsid w:val="00986C60"/>
    <w:rsid w:val="0098731E"/>
    <w:rsid w:val="00987CF3"/>
    <w:rsid w:val="00990054"/>
    <w:rsid w:val="009905B9"/>
    <w:rsid w:val="009912B4"/>
    <w:rsid w:val="009916FA"/>
    <w:rsid w:val="009A12C9"/>
    <w:rsid w:val="009A185F"/>
    <w:rsid w:val="009A1DD7"/>
    <w:rsid w:val="009A49EC"/>
    <w:rsid w:val="009A554E"/>
    <w:rsid w:val="009A5B8B"/>
    <w:rsid w:val="009A6C91"/>
    <w:rsid w:val="009A72C7"/>
    <w:rsid w:val="009B4268"/>
    <w:rsid w:val="009B7280"/>
    <w:rsid w:val="009C3B61"/>
    <w:rsid w:val="009C5211"/>
    <w:rsid w:val="009C538B"/>
    <w:rsid w:val="009C65B2"/>
    <w:rsid w:val="009D05B7"/>
    <w:rsid w:val="009D0F77"/>
    <w:rsid w:val="009D2BEB"/>
    <w:rsid w:val="009D4B31"/>
    <w:rsid w:val="009D5508"/>
    <w:rsid w:val="009D6014"/>
    <w:rsid w:val="009E4D44"/>
    <w:rsid w:val="009E5581"/>
    <w:rsid w:val="009E6941"/>
    <w:rsid w:val="009F5915"/>
    <w:rsid w:val="009F6DC7"/>
    <w:rsid w:val="00A003B3"/>
    <w:rsid w:val="00A01089"/>
    <w:rsid w:val="00A07E3C"/>
    <w:rsid w:val="00A11357"/>
    <w:rsid w:val="00A1405E"/>
    <w:rsid w:val="00A14576"/>
    <w:rsid w:val="00A15C51"/>
    <w:rsid w:val="00A221D0"/>
    <w:rsid w:val="00A230F7"/>
    <w:rsid w:val="00A2425E"/>
    <w:rsid w:val="00A256A9"/>
    <w:rsid w:val="00A26393"/>
    <w:rsid w:val="00A30193"/>
    <w:rsid w:val="00A319AC"/>
    <w:rsid w:val="00A33D43"/>
    <w:rsid w:val="00A34AE8"/>
    <w:rsid w:val="00A3538A"/>
    <w:rsid w:val="00A367BF"/>
    <w:rsid w:val="00A40443"/>
    <w:rsid w:val="00A41740"/>
    <w:rsid w:val="00A43DFE"/>
    <w:rsid w:val="00A47F26"/>
    <w:rsid w:val="00A53AAA"/>
    <w:rsid w:val="00A562BD"/>
    <w:rsid w:val="00A606EF"/>
    <w:rsid w:val="00A60EF9"/>
    <w:rsid w:val="00A61B8F"/>
    <w:rsid w:val="00A64D48"/>
    <w:rsid w:val="00A66DD7"/>
    <w:rsid w:val="00A72742"/>
    <w:rsid w:val="00A733F4"/>
    <w:rsid w:val="00A741F0"/>
    <w:rsid w:val="00A75A67"/>
    <w:rsid w:val="00A77E2C"/>
    <w:rsid w:val="00A815A1"/>
    <w:rsid w:val="00A81C97"/>
    <w:rsid w:val="00A82CA5"/>
    <w:rsid w:val="00A834A9"/>
    <w:rsid w:val="00A837AB"/>
    <w:rsid w:val="00A83E0D"/>
    <w:rsid w:val="00A9024E"/>
    <w:rsid w:val="00A914CC"/>
    <w:rsid w:val="00A928A5"/>
    <w:rsid w:val="00A95803"/>
    <w:rsid w:val="00A96022"/>
    <w:rsid w:val="00AA47E3"/>
    <w:rsid w:val="00AA4888"/>
    <w:rsid w:val="00AB0304"/>
    <w:rsid w:val="00AB3089"/>
    <w:rsid w:val="00AB6560"/>
    <w:rsid w:val="00AC3A65"/>
    <w:rsid w:val="00AC426F"/>
    <w:rsid w:val="00AC698E"/>
    <w:rsid w:val="00AC744C"/>
    <w:rsid w:val="00AD1620"/>
    <w:rsid w:val="00AD16CA"/>
    <w:rsid w:val="00AD58A2"/>
    <w:rsid w:val="00AE0D2D"/>
    <w:rsid w:val="00AE32BC"/>
    <w:rsid w:val="00AE371F"/>
    <w:rsid w:val="00AE4C76"/>
    <w:rsid w:val="00AE51FA"/>
    <w:rsid w:val="00AE6563"/>
    <w:rsid w:val="00AE6925"/>
    <w:rsid w:val="00AE729E"/>
    <w:rsid w:val="00AF23E2"/>
    <w:rsid w:val="00AF26D5"/>
    <w:rsid w:val="00AF536C"/>
    <w:rsid w:val="00AF7A6F"/>
    <w:rsid w:val="00AF7AEB"/>
    <w:rsid w:val="00B02772"/>
    <w:rsid w:val="00B03C98"/>
    <w:rsid w:val="00B059BD"/>
    <w:rsid w:val="00B05D42"/>
    <w:rsid w:val="00B100AE"/>
    <w:rsid w:val="00B12ACC"/>
    <w:rsid w:val="00B12CC6"/>
    <w:rsid w:val="00B13F3F"/>
    <w:rsid w:val="00B15469"/>
    <w:rsid w:val="00B156CA"/>
    <w:rsid w:val="00B166EC"/>
    <w:rsid w:val="00B16865"/>
    <w:rsid w:val="00B21A2B"/>
    <w:rsid w:val="00B23DB8"/>
    <w:rsid w:val="00B251BE"/>
    <w:rsid w:val="00B33B58"/>
    <w:rsid w:val="00B35A29"/>
    <w:rsid w:val="00B41569"/>
    <w:rsid w:val="00B44582"/>
    <w:rsid w:val="00B514A8"/>
    <w:rsid w:val="00B517EB"/>
    <w:rsid w:val="00B51AB4"/>
    <w:rsid w:val="00B52847"/>
    <w:rsid w:val="00B52944"/>
    <w:rsid w:val="00B53D44"/>
    <w:rsid w:val="00B56A5C"/>
    <w:rsid w:val="00B56C0A"/>
    <w:rsid w:val="00B575CB"/>
    <w:rsid w:val="00B60E82"/>
    <w:rsid w:val="00B61BA5"/>
    <w:rsid w:val="00B70E03"/>
    <w:rsid w:val="00B74ED0"/>
    <w:rsid w:val="00B75F55"/>
    <w:rsid w:val="00B80433"/>
    <w:rsid w:val="00B81AD2"/>
    <w:rsid w:val="00B83671"/>
    <w:rsid w:val="00B83919"/>
    <w:rsid w:val="00B83CA9"/>
    <w:rsid w:val="00B87454"/>
    <w:rsid w:val="00B91585"/>
    <w:rsid w:val="00B916A5"/>
    <w:rsid w:val="00B92EB7"/>
    <w:rsid w:val="00BA0FDC"/>
    <w:rsid w:val="00BA197D"/>
    <w:rsid w:val="00BA2517"/>
    <w:rsid w:val="00BA2627"/>
    <w:rsid w:val="00BA33BB"/>
    <w:rsid w:val="00BA5FCB"/>
    <w:rsid w:val="00BA74C7"/>
    <w:rsid w:val="00BB0829"/>
    <w:rsid w:val="00BB089A"/>
    <w:rsid w:val="00BB10FE"/>
    <w:rsid w:val="00BB31D1"/>
    <w:rsid w:val="00BB5075"/>
    <w:rsid w:val="00BB6AE2"/>
    <w:rsid w:val="00BB78AB"/>
    <w:rsid w:val="00BC2CD2"/>
    <w:rsid w:val="00BC63F6"/>
    <w:rsid w:val="00BC7625"/>
    <w:rsid w:val="00BD1211"/>
    <w:rsid w:val="00BD18DC"/>
    <w:rsid w:val="00BD285A"/>
    <w:rsid w:val="00BD5B0A"/>
    <w:rsid w:val="00BD5DB6"/>
    <w:rsid w:val="00BD6DC8"/>
    <w:rsid w:val="00BE365C"/>
    <w:rsid w:val="00BE414F"/>
    <w:rsid w:val="00BE52F8"/>
    <w:rsid w:val="00BE62DB"/>
    <w:rsid w:val="00BF0AD2"/>
    <w:rsid w:val="00BF22E2"/>
    <w:rsid w:val="00BF65E3"/>
    <w:rsid w:val="00BF7608"/>
    <w:rsid w:val="00C005E7"/>
    <w:rsid w:val="00C0122C"/>
    <w:rsid w:val="00C02B5F"/>
    <w:rsid w:val="00C05526"/>
    <w:rsid w:val="00C065D1"/>
    <w:rsid w:val="00C06EC5"/>
    <w:rsid w:val="00C111FD"/>
    <w:rsid w:val="00C121E3"/>
    <w:rsid w:val="00C1236E"/>
    <w:rsid w:val="00C12714"/>
    <w:rsid w:val="00C14F83"/>
    <w:rsid w:val="00C2000F"/>
    <w:rsid w:val="00C20211"/>
    <w:rsid w:val="00C20CA7"/>
    <w:rsid w:val="00C20CFC"/>
    <w:rsid w:val="00C23178"/>
    <w:rsid w:val="00C30C6B"/>
    <w:rsid w:val="00C32F9F"/>
    <w:rsid w:val="00C34D9A"/>
    <w:rsid w:val="00C35903"/>
    <w:rsid w:val="00C364E7"/>
    <w:rsid w:val="00C3673D"/>
    <w:rsid w:val="00C37FD2"/>
    <w:rsid w:val="00C42B97"/>
    <w:rsid w:val="00C43AE4"/>
    <w:rsid w:val="00C44E90"/>
    <w:rsid w:val="00C47265"/>
    <w:rsid w:val="00C51B8F"/>
    <w:rsid w:val="00C525CC"/>
    <w:rsid w:val="00C53C33"/>
    <w:rsid w:val="00C637E0"/>
    <w:rsid w:val="00C65530"/>
    <w:rsid w:val="00C6735D"/>
    <w:rsid w:val="00C674DA"/>
    <w:rsid w:val="00C67D52"/>
    <w:rsid w:val="00C71716"/>
    <w:rsid w:val="00C71E62"/>
    <w:rsid w:val="00C72CB6"/>
    <w:rsid w:val="00C75D24"/>
    <w:rsid w:val="00C75F15"/>
    <w:rsid w:val="00C80A4F"/>
    <w:rsid w:val="00C80C16"/>
    <w:rsid w:val="00C80EBE"/>
    <w:rsid w:val="00C8110F"/>
    <w:rsid w:val="00C81340"/>
    <w:rsid w:val="00C83AD3"/>
    <w:rsid w:val="00C843A7"/>
    <w:rsid w:val="00C85789"/>
    <w:rsid w:val="00C866E2"/>
    <w:rsid w:val="00C908B1"/>
    <w:rsid w:val="00C95078"/>
    <w:rsid w:val="00C96D1B"/>
    <w:rsid w:val="00CA0914"/>
    <w:rsid w:val="00CA251E"/>
    <w:rsid w:val="00CA301F"/>
    <w:rsid w:val="00CA40A0"/>
    <w:rsid w:val="00CA40B5"/>
    <w:rsid w:val="00CA518A"/>
    <w:rsid w:val="00CA52B9"/>
    <w:rsid w:val="00CA5C35"/>
    <w:rsid w:val="00CB037E"/>
    <w:rsid w:val="00CB0768"/>
    <w:rsid w:val="00CB1A68"/>
    <w:rsid w:val="00CB2B10"/>
    <w:rsid w:val="00CB3922"/>
    <w:rsid w:val="00CB4051"/>
    <w:rsid w:val="00CB51A6"/>
    <w:rsid w:val="00CB7A7F"/>
    <w:rsid w:val="00CC02B5"/>
    <w:rsid w:val="00CC0BE9"/>
    <w:rsid w:val="00CC18B5"/>
    <w:rsid w:val="00CC26AB"/>
    <w:rsid w:val="00CC3ACF"/>
    <w:rsid w:val="00CC3D46"/>
    <w:rsid w:val="00CC4F5F"/>
    <w:rsid w:val="00CC7D16"/>
    <w:rsid w:val="00CD04DE"/>
    <w:rsid w:val="00CD0F53"/>
    <w:rsid w:val="00CD35E6"/>
    <w:rsid w:val="00CD7DFA"/>
    <w:rsid w:val="00CE2856"/>
    <w:rsid w:val="00CE309C"/>
    <w:rsid w:val="00CE4A82"/>
    <w:rsid w:val="00CE57A3"/>
    <w:rsid w:val="00CF0748"/>
    <w:rsid w:val="00CF3958"/>
    <w:rsid w:val="00CF4000"/>
    <w:rsid w:val="00CF4D41"/>
    <w:rsid w:val="00CF50DD"/>
    <w:rsid w:val="00D00691"/>
    <w:rsid w:val="00D00AF4"/>
    <w:rsid w:val="00D01872"/>
    <w:rsid w:val="00D02C93"/>
    <w:rsid w:val="00D0336D"/>
    <w:rsid w:val="00D062CC"/>
    <w:rsid w:val="00D06E16"/>
    <w:rsid w:val="00D076FB"/>
    <w:rsid w:val="00D126F3"/>
    <w:rsid w:val="00D12BB6"/>
    <w:rsid w:val="00D1476A"/>
    <w:rsid w:val="00D148D3"/>
    <w:rsid w:val="00D220DA"/>
    <w:rsid w:val="00D224FB"/>
    <w:rsid w:val="00D2400E"/>
    <w:rsid w:val="00D2610A"/>
    <w:rsid w:val="00D2619D"/>
    <w:rsid w:val="00D26762"/>
    <w:rsid w:val="00D26808"/>
    <w:rsid w:val="00D3219D"/>
    <w:rsid w:val="00D342F9"/>
    <w:rsid w:val="00D3701C"/>
    <w:rsid w:val="00D37066"/>
    <w:rsid w:val="00D40DEA"/>
    <w:rsid w:val="00D41052"/>
    <w:rsid w:val="00D43A72"/>
    <w:rsid w:val="00D44C90"/>
    <w:rsid w:val="00D45D9F"/>
    <w:rsid w:val="00D470C1"/>
    <w:rsid w:val="00D47FA3"/>
    <w:rsid w:val="00D52806"/>
    <w:rsid w:val="00D53697"/>
    <w:rsid w:val="00D54F42"/>
    <w:rsid w:val="00D551EA"/>
    <w:rsid w:val="00D57268"/>
    <w:rsid w:val="00D6179C"/>
    <w:rsid w:val="00D64B7E"/>
    <w:rsid w:val="00D6677D"/>
    <w:rsid w:val="00D67E27"/>
    <w:rsid w:val="00D71922"/>
    <w:rsid w:val="00D72F36"/>
    <w:rsid w:val="00D746C9"/>
    <w:rsid w:val="00D75902"/>
    <w:rsid w:val="00D765AC"/>
    <w:rsid w:val="00D76D6E"/>
    <w:rsid w:val="00D779FA"/>
    <w:rsid w:val="00D8049B"/>
    <w:rsid w:val="00D81395"/>
    <w:rsid w:val="00D82043"/>
    <w:rsid w:val="00D82077"/>
    <w:rsid w:val="00D835D6"/>
    <w:rsid w:val="00DA1032"/>
    <w:rsid w:val="00DA209B"/>
    <w:rsid w:val="00DA2797"/>
    <w:rsid w:val="00DA29A0"/>
    <w:rsid w:val="00DA38CC"/>
    <w:rsid w:val="00DA4A18"/>
    <w:rsid w:val="00DB2219"/>
    <w:rsid w:val="00DB34E4"/>
    <w:rsid w:val="00DB4747"/>
    <w:rsid w:val="00DB6469"/>
    <w:rsid w:val="00DB6C0D"/>
    <w:rsid w:val="00DB6EC3"/>
    <w:rsid w:val="00DB77F0"/>
    <w:rsid w:val="00DC00E8"/>
    <w:rsid w:val="00DC1466"/>
    <w:rsid w:val="00DD037D"/>
    <w:rsid w:val="00DD63A4"/>
    <w:rsid w:val="00DD7480"/>
    <w:rsid w:val="00DE19CE"/>
    <w:rsid w:val="00DE1F49"/>
    <w:rsid w:val="00DE3BEA"/>
    <w:rsid w:val="00DE4191"/>
    <w:rsid w:val="00DE4A6B"/>
    <w:rsid w:val="00DE4F42"/>
    <w:rsid w:val="00DE6302"/>
    <w:rsid w:val="00DF0D8B"/>
    <w:rsid w:val="00E001EC"/>
    <w:rsid w:val="00E00271"/>
    <w:rsid w:val="00E00C56"/>
    <w:rsid w:val="00E04D7C"/>
    <w:rsid w:val="00E05DFF"/>
    <w:rsid w:val="00E108DF"/>
    <w:rsid w:val="00E115C6"/>
    <w:rsid w:val="00E12FF6"/>
    <w:rsid w:val="00E13080"/>
    <w:rsid w:val="00E13473"/>
    <w:rsid w:val="00E16946"/>
    <w:rsid w:val="00E16AE4"/>
    <w:rsid w:val="00E17448"/>
    <w:rsid w:val="00E216CD"/>
    <w:rsid w:val="00E22F6C"/>
    <w:rsid w:val="00E23C4B"/>
    <w:rsid w:val="00E23F39"/>
    <w:rsid w:val="00E24005"/>
    <w:rsid w:val="00E2670A"/>
    <w:rsid w:val="00E27320"/>
    <w:rsid w:val="00E27363"/>
    <w:rsid w:val="00E27FBC"/>
    <w:rsid w:val="00E41060"/>
    <w:rsid w:val="00E42A4F"/>
    <w:rsid w:val="00E465CB"/>
    <w:rsid w:val="00E46D70"/>
    <w:rsid w:val="00E507FD"/>
    <w:rsid w:val="00E512F5"/>
    <w:rsid w:val="00E51C39"/>
    <w:rsid w:val="00E52543"/>
    <w:rsid w:val="00E545BC"/>
    <w:rsid w:val="00E55487"/>
    <w:rsid w:val="00E55C07"/>
    <w:rsid w:val="00E56667"/>
    <w:rsid w:val="00E57038"/>
    <w:rsid w:val="00E62831"/>
    <w:rsid w:val="00E67CD3"/>
    <w:rsid w:val="00E75517"/>
    <w:rsid w:val="00E755F4"/>
    <w:rsid w:val="00E75C54"/>
    <w:rsid w:val="00E80207"/>
    <w:rsid w:val="00E805F2"/>
    <w:rsid w:val="00E8176C"/>
    <w:rsid w:val="00E82E8B"/>
    <w:rsid w:val="00E83FD7"/>
    <w:rsid w:val="00E8431A"/>
    <w:rsid w:val="00E87B2A"/>
    <w:rsid w:val="00E92635"/>
    <w:rsid w:val="00E93068"/>
    <w:rsid w:val="00E930AD"/>
    <w:rsid w:val="00E938BB"/>
    <w:rsid w:val="00E94C00"/>
    <w:rsid w:val="00E9532B"/>
    <w:rsid w:val="00E95733"/>
    <w:rsid w:val="00E95C2B"/>
    <w:rsid w:val="00E97A79"/>
    <w:rsid w:val="00EA005E"/>
    <w:rsid w:val="00EA0F7A"/>
    <w:rsid w:val="00EA186C"/>
    <w:rsid w:val="00EA4DE2"/>
    <w:rsid w:val="00EA4E80"/>
    <w:rsid w:val="00EA56BC"/>
    <w:rsid w:val="00EB08B6"/>
    <w:rsid w:val="00EB0941"/>
    <w:rsid w:val="00EB1260"/>
    <w:rsid w:val="00EB2BDA"/>
    <w:rsid w:val="00EB614D"/>
    <w:rsid w:val="00EB7D95"/>
    <w:rsid w:val="00EC085D"/>
    <w:rsid w:val="00EC2899"/>
    <w:rsid w:val="00EC2C04"/>
    <w:rsid w:val="00EC344C"/>
    <w:rsid w:val="00EC5642"/>
    <w:rsid w:val="00EC6410"/>
    <w:rsid w:val="00EC7199"/>
    <w:rsid w:val="00EC724A"/>
    <w:rsid w:val="00EC73FA"/>
    <w:rsid w:val="00ED07E5"/>
    <w:rsid w:val="00ED1579"/>
    <w:rsid w:val="00ED23EA"/>
    <w:rsid w:val="00ED720F"/>
    <w:rsid w:val="00EE036C"/>
    <w:rsid w:val="00EE1F31"/>
    <w:rsid w:val="00EE4B51"/>
    <w:rsid w:val="00EE6497"/>
    <w:rsid w:val="00EF05B0"/>
    <w:rsid w:val="00EF4511"/>
    <w:rsid w:val="00EF7302"/>
    <w:rsid w:val="00F01DCB"/>
    <w:rsid w:val="00F0252C"/>
    <w:rsid w:val="00F033BF"/>
    <w:rsid w:val="00F057F0"/>
    <w:rsid w:val="00F0750C"/>
    <w:rsid w:val="00F07B05"/>
    <w:rsid w:val="00F13154"/>
    <w:rsid w:val="00F1540D"/>
    <w:rsid w:val="00F15D14"/>
    <w:rsid w:val="00F16560"/>
    <w:rsid w:val="00F16BA3"/>
    <w:rsid w:val="00F257AD"/>
    <w:rsid w:val="00F42945"/>
    <w:rsid w:val="00F43C8C"/>
    <w:rsid w:val="00F45898"/>
    <w:rsid w:val="00F45CC0"/>
    <w:rsid w:val="00F463C4"/>
    <w:rsid w:val="00F47608"/>
    <w:rsid w:val="00F549EF"/>
    <w:rsid w:val="00F57DE3"/>
    <w:rsid w:val="00F60A81"/>
    <w:rsid w:val="00F62DFC"/>
    <w:rsid w:val="00F64DF0"/>
    <w:rsid w:val="00F7027B"/>
    <w:rsid w:val="00F71166"/>
    <w:rsid w:val="00F72EDF"/>
    <w:rsid w:val="00F750FD"/>
    <w:rsid w:val="00F77CAD"/>
    <w:rsid w:val="00F804FD"/>
    <w:rsid w:val="00F809D4"/>
    <w:rsid w:val="00F819F8"/>
    <w:rsid w:val="00F83911"/>
    <w:rsid w:val="00F85005"/>
    <w:rsid w:val="00F851DE"/>
    <w:rsid w:val="00F853E7"/>
    <w:rsid w:val="00F86EF4"/>
    <w:rsid w:val="00F875AE"/>
    <w:rsid w:val="00F87BC8"/>
    <w:rsid w:val="00F93B8A"/>
    <w:rsid w:val="00F96167"/>
    <w:rsid w:val="00F96F1E"/>
    <w:rsid w:val="00F975AB"/>
    <w:rsid w:val="00F97A41"/>
    <w:rsid w:val="00F97FBB"/>
    <w:rsid w:val="00FA452D"/>
    <w:rsid w:val="00FA474B"/>
    <w:rsid w:val="00FA4DAF"/>
    <w:rsid w:val="00FA5699"/>
    <w:rsid w:val="00FA5D09"/>
    <w:rsid w:val="00FA7911"/>
    <w:rsid w:val="00FB026E"/>
    <w:rsid w:val="00FB1FA2"/>
    <w:rsid w:val="00FB4FB2"/>
    <w:rsid w:val="00FB5061"/>
    <w:rsid w:val="00FB5AA4"/>
    <w:rsid w:val="00FC0D6A"/>
    <w:rsid w:val="00FC1454"/>
    <w:rsid w:val="00FC2353"/>
    <w:rsid w:val="00FC321E"/>
    <w:rsid w:val="00FC3A96"/>
    <w:rsid w:val="00FC431A"/>
    <w:rsid w:val="00FC603D"/>
    <w:rsid w:val="00FD036A"/>
    <w:rsid w:val="00FD04DE"/>
    <w:rsid w:val="00FD116C"/>
    <w:rsid w:val="00FD3C38"/>
    <w:rsid w:val="00FD4E43"/>
    <w:rsid w:val="00FD53D7"/>
    <w:rsid w:val="00FD56C7"/>
    <w:rsid w:val="00FE0877"/>
    <w:rsid w:val="00FE1DA4"/>
    <w:rsid w:val="00FE397C"/>
    <w:rsid w:val="00FE4B30"/>
    <w:rsid w:val="00FE5A7E"/>
    <w:rsid w:val="00FE62F2"/>
    <w:rsid w:val="00FE6687"/>
    <w:rsid w:val="00FF0984"/>
    <w:rsid w:val="00FF0C13"/>
    <w:rsid w:val="00FF3B9F"/>
    <w:rsid w:val="00FF50C4"/>
    <w:rsid w:val="00FF5963"/>
    <w:rsid w:val="00FF7CFB"/>
    <w:rsid w:val="00FF7E64"/>
    <w:rsid w:val="01040330"/>
    <w:rsid w:val="016942FE"/>
    <w:rsid w:val="018504EB"/>
    <w:rsid w:val="02752EA8"/>
    <w:rsid w:val="029C42CD"/>
    <w:rsid w:val="03530199"/>
    <w:rsid w:val="039737E4"/>
    <w:rsid w:val="03FF68AF"/>
    <w:rsid w:val="045D3B5B"/>
    <w:rsid w:val="048F7A37"/>
    <w:rsid w:val="04EA0403"/>
    <w:rsid w:val="0558753C"/>
    <w:rsid w:val="0598791F"/>
    <w:rsid w:val="05EE3773"/>
    <w:rsid w:val="05F47932"/>
    <w:rsid w:val="065A7588"/>
    <w:rsid w:val="072D1C58"/>
    <w:rsid w:val="07D65DC5"/>
    <w:rsid w:val="07DB72AD"/>
    <w:rsid w:val="082A6A08"/>
    <w:rsid w:val="089E0242"/>
    <w:rsid w:val="08AD2A3E"/>
    <w:rsid w:val="097278B9"/>
    <w:rsid w:val="09A41826"/>
    <w:rsid w:val="0A5F3EBB"/>
    <w:rsid w:val="0B1347E2"/>
    <w:rsid w:val="0B214D20"/>
    <w:rsid w:val="0B3C2888"/>
    <w:rsid w:val="0BA005CD"/>
    <w:rsid w:val="0C5664A2"/>
    <w:rsid w:val="0C702FF9"/>
    <w:rsid w:val="0DB97C77"/>
    <w:rsid w:val="0E0918D0"/>
    <w:rsid w:val="0EB24C43"/>
    <w:rsid w:val="0EF265E1"/>
    <w:rsid w:val="102B6650"/>
    <w:rsid w:val="10330A7D"/>
    <w:rsid w:val="10D53CED"/>
    <w:rsid w:val="110C6C5D"/>
    <w:rsid w:val="12E3755A"/>
    <w:rsid w:val="15786285"/>
    <w:rsid w:val="15882CA0"/>
    <w:rsid w:val="15AD52F3"/>
    <w:rsid w:val="15E13BFB"/>
    <w:rsid w:val="163D5EF7"/>
    <w:rsid w:val="16D51B32"/>
    <w:rsid w:val="180C51B3"/>
    <w:rsid w:val="1935351C"/>
    <w:rsid w:val="19EE1CBA"/>
    <w:rsid w:val="1A0A1EF3"/>
    <w:rsid w:val="1A722925"/>
    <w:rsid w:val="1AF5491F"/>
    <w:rsid w:val="1B1B5C97"/>
    <w:rsid w:val="1CEF4B3F"/>
    <w:rsid w:val="1D153571"/>
    <w:rsid w:val="1D277FFE"/>
    <w:rsid w:val="1D5D54CA"/>
    <w:rsid w:val="1D894623"/>
    <w:rsid w:val="1DE32E65"/>
    <w:rsid w:val="1F0B68A9"/>
    <w:rsid w:val="1F8858D4"/>
    <w:rsid w:val="1FCB79E9"/>
    <w:rsid w:val="20102B3D"/>
    <w:rsid w:val="20920CE9"/>
    <w:rsid w:val="20C4613D"/>
    <w:rsid w:val="21D9384B"/>
    <w:rsid w:val="21EB7537"/>
    <w:rsid w:val="224B4B71"/>
    <w:rsid w:val="22CB14C7"/>
    <w:rsid w:val="22D506DC"/>
    <w:rsid w:val="22E303E7"/>
    <w:rsid w:val="23AC7E39"/>
    <w:rsid w:val="24045437"/>
    <w:rsid w:val="2431095B"/>
    <w:rsid w:val="24C15664"/>
    <w:rsid w:val="24C35B7D"/>
    <w:rsid w:val="258B090F"/>
    <w:rsid w:val="25B34472"/>
    <w:rsid w:val="25D57B80"/>
    <w:rsid w:val="262A17FF"/>
    <w:rsid w:val="280E242E"/>
    <w:rsid w:val="283650D9"/>
    <w:rsid w:val="29007A72"/>
    <w:rsid w:val="29757B7A"/>
    <w:rsid w:val="2AFC0AE9"/>
    <w:rsid w:val="2B6F4ECB"/>
    <w:rsid w:val="2C2043E9"/>
    <w:rsid w:val="2D4C0702"/>
    <w:rsid w:val="2D6D5831"/>
    <w:rsid w:val="2D957585"/>
    <w:rsid w:val="2E2D6A7C"/>
    <w:rsid w:val="2E38251F"/>
    <w:rsid w:val="2F056824"/>
    <w:rsid w:val="2F433D62"/>
    <w:rsid w:val="2F8D1A37"/>
    <w:rsid w:val="2FC65C7C"/>
    <w:rsid w:val="30177C1C"/>
    <w:rsid w:val="317C0C64"/>
    <w:rsid w:val="330A7653"/>
    <w:rsid w:val="33640870"/>
    <w:rsid w:val="33736E80"/>
    <w:rsid w:val="34356128"/>
    <w:rsid w:val="351B0998"/>
    <w:rsid w:val="369F3A39"/>
    <w:rsid w:val="36AD2EE4"/>
    <w:rsid w:val="37170EAD"/>
    <w:rsid w:val="37233474"/>
    <w:rsid w:val="37D57DB1"/>
    <w:rsid w:val="38315527"/>
    <w:rsid w:val="384C3B8F"/>
    <w:rsid w:val="389C537E"/>
    <w:rsid w:val="390D5E21"/>
    <w:rsid w:val="39FE6FCA"/>
    <w:rsid w:val="3AC17143"/>
    <w:rsid w:val="3ADA4591"/>
    <w:rsid w:val="3AE456B1"/>
    <w:rsid w:val="3BE57046"/>
    <w:rsid w:val="3DDE1DE5"/>
    <w:rsid w:val="3E0906F5"/>
    <w:rsid w:val="3EC759A3"/>
    <w:rsid w:val="3F063E7B"/>
    <w:rsid w:val="3F09444F"/>
    <w:rsid w:val="3F2537BF"/>
    <w:rsid w:val="3F826E7C"/>
    <w:rsid w:val="3FA4672B"/>
    <w:rsid w:val="407C30FB"/>
    <w:rsid w:val="40960E38"/>
    <w:rsid w:val="41646170"/>
    <w:rsid w:val="41EA2AED"/>
    <w:rsid w:val="43395074"/>
    <w:rsid w:val="43C171BC"/>
    <w:rsid w:val="43FF25F0"/>
    <w:rsid w:val="441D0A77"/>
    <w:rsid w:val="45605651"/>
    <w:rsid w:val="45686D11"/>
    <w:rsid w:val="45C45987"/>
    <w:rsid w:val="45F8072C"/>
    <w:rsid w:val="46511777"/>
    <w:rsid w:val="472A662F"/>
    <w:rsid w:val="47713085"/>
    <w:rsid w:val="478145B3"/>
    <w:rsid w:val="47D5721C"/>
    <w:rsid w:val="47E3114F"/>
    <w:rsid w:val="47F2579C"/>
    <w:rsid w:val="48E138CA"/>
    <w:rsid w:val="49B05831"/>
    <w:rsid w:val="49CF0CE5"/>
    <w:rsid w:val="4A0B1C74"/>
    <w:rsid w:val="4C1F7795"/>
    <w:rsid w:val="4C293B30"/>
    <w:rsid w:val="4C7B0CB6"/>
    <w:rsid w:val="4CC85958"/>
    <w:rsid w:val="4CCD0C81"/>
    <w:rsid w:val="4DDF657D"/>
    <w:rsid w:val="4E326389"/>
    <w:rsid w:val="4E6D02FF"/>
    <w:rsid w:val="4FD95AAA"/>
    <w:rsid w:val="502B1ACF"/>
    <w:rsid w:val="50504340"/>
    <w:rsid w:val="515B2209"/>
    <w:rsid w:val="51A907AF"/>
    <w:rsid w:val="52F85067"/>
    <w:rsid w:val="547035B9"/>
    <w:rsid w:val="54A50EBB"/>
    <w:rsid w:val="55A97D1F"/>
    <w:rsid w:val="55FB4F91"/>
    <w:rsid w:val="56020B16"/>
    <w:rsid w:val="561C05E9"/>
    <w:rsid w:val="56595BFD"/>
    <w:rsid w:val="568A2C52"/>
    <w:rsid w:val="57BD3346"/>
    <w:rsid w:val="57F845A5"/>
    <w:rsid w:val="58270C53"/>
    <w:rsid w:val="58A3383C"/>
    <w:rsid w:val="59251EF3"/>
    <w:rsid w:val="595208A7"/>
    <w:rsid w:val="596E7019"/>
    <w:rsid w:val="59C507F0"/>
    <w:rsid w:val="5A644FDE"/>
    <w:rsid w:val="5AAF300D"/>
    <w:rsid w:val="5AC71F88"/>
    <w:rsid w:val="5AF36580"/>
    <w:rsid w:val="5B045F97"/>
    <w:rsid w:val="5B4D7E74"/>
    <w:rsid w:val="5D4F5E3D"/>
    <w:rsid w:val="5D594DCC"/>
    <w:rsid w:val="5D853C3B"/>
    <w:rsid w:val="5E3A6ECD"/>
    <w:rsid w:val="5E900895"/>
    <w:rsid w:val="5E9107F4"/>
    <w:rsid w:val="5EBF7BD0"/>
    <w:rsid w:val="5F6D247E"/>
    <w:rsid w:val="5FF92712"/>
    <w:rsid w:val="6001303B"/>
    <w:rsid w:val="607A02D7"/>
    <w:rsid w:val="61B86F30"/>
    <w:rsid w:val="622407FC"/>
    <w:rsid w:val="625B18E9"/>
    <w:rsid w:val="62FA742D"/>
    <w:rsid w:val="633D47FB"/>
    <w:rsid w:val="63465074"/>
    <w:rsid w:val="63480371"/>
    <w:rsid w:val="64C01FE2"/>
    <w:rsid w:val="64C136CF"/>
    <w:rsid w:val="65094F92"/>
    <w:rsid w:val="660B72B7"/>
    <w:rsid w:val="664A4CE6"/>
    <w:rsid w:val="66AB0126"/>
    <w:rsid w:val="67264503"/>
    <w:rsid w:val="67496329"/>
    <w:rsid w:val="687C010E"/>
    <w:rsid w:val="6898631B"/>
    <w:rsid w:val="6905781A"/>
    <w:rsid w:val="6939562F"/>
    <w:rsid w:val="69947B2C"/>
    <w:rsid w:val="69A05F91"/>
    <w:rsid w:val="6A6436D0"/>
    <w:rsid w:val="6ABC6DE8"/>
    <w:rsid w:val="6B3D7B6E"/>
    <w:rsid w:val="6C1F2095"/>
    <w:rsid w:val="6C972AD2"/>
    <w:rsid w:val="6D866075"/>
    <w:rsid w:val="6DE957B7"/>
    <w:rsid w:val="6F077A5F"/>
    <w:rsid w:val="6F1B28B0"/>
    <w:rsid w:val="6F560E09"/>
    <w:rsid w:val="700A1670"/>
    <w:rsid w:val="71564B36"/>
    <w:rsid w:val="71F31F14"/>
    <w:rsid w:val="72A42746"/>
    <w:rsid w:val="72BB4171"/>
    <w:rsid w:val="739A48C4"/>
    <w:rsid w:val="73D42092"/>
    <w:rsid w:val="74444D46"/>
    <w:rsid w:val="746240BE"/>
    <w:rsid w:val="74A01CE9"/>
    <w:rsid w:val="74A53E33"/>
    <w:rsid w:val="74F93051"/>
    <w:rsid w:val="76294642"/>
    <w:rsid w:val="76F53A2E"/>
    <w:rsid w:val="775A5A6A"/>
    <w:rsid w:val="77C6106A"/>
    <w:rsid w:val="78727039"/>
    <w:rsid w:val="78BE4DEF"/>
    <w:rsid w:val="7962021F"/>
    <w:rsid w:val="79C233DA"/>
    <w:rsid w:val="79E067F5"/>
    <w:rsid w:val="7A715A19"/>
    <w:rsid w:val="7B6A29BC"/>
    <w:rsid w:val="7BB76112"/>
    <w:rsid w:val="7BD06D60"/>
    <w:rsid w:val="7C8354D1"/>
    <w:rsid w:val="7D176617"/>
    <w:rsid w:val="7E060C91"/>
    <w:rsid w:val="7E3F7BA7"/>
    <w:rsid w:val="7E54029F"/>
    <w:rsid w:val="7E7E1452"/>
    <w:rsid w:val="7E9935C7"/>
    <w:rsid w:val="7EE2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1"/>
    <w:qFormat/>
    <w:uiPriority w:val="0"/>
    <w:pPr>
      <w:jc w:val="center"/>
      <w:outlineLvl w:val="0"/>
    </w:pPr>
    <w:rPr>
      <w:rFonts w:ascii="Times New Roman" w:hAnsi="Times New Roman"/>
      <w:szCs w:val="20"/>
    </w:rPr>
  </w:style>
  <w:style w:type="paragraph" w:styleId="4">
    <w:name w:val="heading 2"/>
    <w:basedOn w:val="5"/>
    <w:next w:val="1"/>
    <w:link w:val="47"/>
    <w:qFormat/>
    <w:uiPriority w:val="0"/>
    <w:pPr>
      <w:spacing w:line="360" w:lineRule="auto"/>
      <w:outlineLvl w:val="1"/>
    </w:pPr>
    <w:rPr>
      <w:rFonts w:ascii="Arial" w:hAnsi="Arial"/>
      <w:kern w:val="0"/>
      <w:sz w:val="24"/>
    </w:rPr>
  </w:style>
  <w:style w:type="paragraph" w:styleId="5">
    <w:name w:val="heading 3"/>
    <w:basedOn w:val="1"/>
    <w:next w:val="1"/>
    <w:link w:val="52"/>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37">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0"/>
    <w:pPr>
      <w:spacing w:after="120"/>
    </w:p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qFormat/>
    <w:uiPriority w:val="0"/>
    <w:pPr>
      <w:shd w:val="clear" w:color="auto" w:fill="000080"/>
    </w:pPr>
  </w:style>
  <w:style w:type="paragraph" w:styleId="14">
    <w:name w:val="annotation text"/>
    <w:basedOn w:val="1"/>
    <w:link w:val="46"/>
    <w:qFormat/>
    <w:uiPriority w:val="0"/>
    <w:pPr>
      <w:jc w:val="left"/>
    </w:pPr>
  </w:style>
  <w:style w:type="paragraph" w:styleId="15">
    <w:name w:val="Salutation"/>
    <w:basedOn w:val="1"/>
    <w:next w:val="1"/>
    <w:qFormat/>
    <w:uiPriority w:val="0"/>
    <w:rPr>
      <w:rFonts w:ascii="仿宋_GB2312" w:eastAsia="仿宋_GB2312"/>
      <w:sz w:val="24"/>
    </w:rPr>
  </w:style>
  <w:style w:type="paragraph" w:styleId="16">
    <w:name w:val="Body Text 3"/>
    <w:basedOn w:val="1"/>
    <w:link w:val="53"/>
    <w:qFormat/>
    <w:uiPriority w:val="0"/>
    <w:pPr>
      <w:spacing w:after="120"/>
    </w:pPr>
    <w:rPr>
      <w:sz w:val="16"/>
      <w:szCs w:val="16"/>
    </w:rPr>
  </w:style>
  <w:style w:type="paragraph" w:styleId="17">
    <w:name w:val="Body Text Indent"/>
    <w:basedOn w:val="1"/>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3"/>
    <w:basedOn w:val="1"/>
    <w:next w:val="1"/>
    <w:qFormat/>
    <w:uiPriority w:val="0"/>
    <w:pPr>
      <w:ind w:left="840" w:leftChars="400"/>
    </w:pPr>
  </w:style>
  <w:style w:type="paragraph" w:styleId="20">
    <w:name w:val="Plain Text"/>
    <w:basedOn w:val="1"/>
    <w:link w:val="45"/>
    <w:qFormat/>
    <w:uiPriority w:val="0"/>
    <w:rPr>
      <w:rFonts w:ascii="宋体" w:hAnsi="Courier New"/>
      <w:szCs w:val="21"/>
    </w:rPr>
  </w:style>
  <w:style w:type="paragraph" w:styleId="21">
    <w:name w:val="Date"/>
    <w:basedOn w:val="1"/>
    <w:next w:val="1"/>
    <w:qFormat/>
    <w:uiPriority w:val="0"/>
    <w:rPr>
      <w:sz w:val="24"/>
      <w:szCs w:val="20"/>
    </w:rPr>
  </w:style>
  <w:style w:type="paragraph" w:styleId="22">
    <w:name w:val="Body Text Indent 2"/>
    <w:basedOn w:val="1"/>
    <w:qFormat/>
    <w:uiPriority w:val="0"/>
    <w:pPr>
      <w:spacing w:after="120" w:line="480" w:lineRule="auto"/>
      <w:ind w:left="420" w:leftChars="200"/>
    </w:pPr>
  </w:style>
  <w:style w:type="paragraph" w:styleId="23">
    <w:name w:val="Balloon Text"/>
    <w:basedOn w:val="1"/>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spacing w:beforeLines="50"/>
    </w:pPr>
    <w:rPr>
      <w:rFonts w:ascii="仿宋_GB2312" w:eastAsia="仿宋_GB2312"/>
      <w:sz w:val="24"/>
    </w:rPr>
  </w:style>
  <w:style w:type="paragraph" w:styleId="27">
    <w:name w:val="Body Text Indent 3"/>
    <w:basedOn w:val="1"/>
    <w:qFormat/>
    <w:uiPriority w:val="0"/>
    <w:pPr>
      <w:spacing w:after="120"/>
      <w:ind w:left="420" w:leftChars="200"/>
    </w:pPr>
    <w:rPr>
      <w:sz w:val="16"/>
      <w:szCs w:val="16"/>
    </w:rPr>
  </w:style>
  <w:style w:type="paragraph" w:styleId="28">
    <w:name w:val="toc 2"/>
    <w:basedOn w:val="1"/>
    <w:next w:val="1"/>
    <w:qFormat/>
    <w:uiPriority w:val="0"/>
    <w:pPr>
      <w:ind w:left="420" w:leftChars="200"/>
    </w:pPr>
  </w:style>
  <w:style w:type="paragraph" w:styleId="29">
    <w:name w:val="Body Text 2"/>
    <w:basedOn w:val="1"/>
    <w:qFormat/>
    <w:uiPriority w:val="0"/>
    <w:pPr>
      <w:spacing w:after="120" w:line="480" w:lineRule="auto"/>
    </w:p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0"/>
    </w:rPr>
  </w:style>
  <w:style w:type="paragraph" w:styleId="33">
    <w:name w:val="Title"/>
    <w:basedOn w:val="1"/>
    <w:next w:val="1"/>
    <w:link w:val="44"/>
    <w:qFormat/>
    <w:uiPriority w:val="0"/>
    <w:pPr>
      <w:spacing w:line="360" w:lineRule="auto"/>
      <w:jc w:val="center"/>
      <w:outlineLvl w:val="0"/>
    </w:pPr>
    <w:rPr>
      <w:rFonts w:ascii="Cambria" w:hAnsi="Cambria"/>
      <w:b/>
      <w:bCs/>
      <w:sz w:val="36"/>
      <w:szCs w:val="32"/>
    </w:rPr>
  </w:style>
  <w:style w:type="paragraph" w:styleId="34">
    <w:name w:val="annotation subject"/>
    <w:basedOn w:val="14"/>
    <w:next w:val="14"/>
    <w:qFormat/>
    <w:uiPriority w:val="0"/>
    <w:rPr>
      <w:b/>
      <w:bCs/>
    </w:rPr>
  </w:style>
  <w:style w:type="paragraph" w:styleId="35">
    <w:name w:val="Body Text First Indent 2"/>
    <w:basedOn w:val="17"/>
    <w:qFormat/>
    <w:uiPriority w:val="0"/>
    <w:pPr>
      <w:ind w:left="0" w:leftChars="0" w:firstLine="210"/>
    </w:pPr>
    <w:rPr>
      <w:szCs w:val="20"/>
    </w:r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0"/>
    <w:rPr>
      <w:color w:val="136EC2"/>
      <w:u w:val="single"/>
    </w:rPr>
  </w:style>
  <w:style w:type="character" w:styleId="42">
    <w:name w:val="annotation reference"/>
    <w:qFormat/>
    <w:uiPriority w:val="0"/>
    <w:rPr>
      <w:sz w:val="21"/>
      <w:szCs w:val="21"/>
    </w:rPr>
  </w:style>
  <w:style w:type="character" w:customStyle="1" w:styleId="43">
    <w:name w:val="正文文本 Char"/>
    <w:link w:val="2"/>
    <w:qFormat/>
    <w:uiPriority w:val="0"/>
    <w:rPr>
      <w:kern w:val="2"/>
      <w:sz w:val="21"/>
      <w:szCs w:val="24"/>
    </w:rPr>
  </w:style>
  <w:style w:type="character" w:customStyle="1" w:styleId="44">
    <w:name w:val="标题 Char"/>
    <w:link w:val="33"/>
    <w:qFormat/>
    <w:uiPriority w:val="0"/>
    <w:rPr>
      <w:rFonts w:ascii="Cambria" w:hAnsi="Cambria" w:eastAsia="宋体"/>
      <w:b/>
      <w:bCs/>
      <w:kern w:val="2"/>
      <w:sz w:val="36"/>
      <w:szCs w:val="32"/>
      <w:lang w:val="en-US" w:eastAsia="zh-CN" w:bidi="ar-SA"/>
    </w:rPr>
  </w:style>
  <w:style w:type="character" w:customStyle="1" w:styleId="45">
    <w:name w:val="纯文本 Char"/>
    <w:link w:val="20"/>
    <w:qFormat/>
    <w:uiPriority w:val="0"/>
    <w:rPr>
      <w:rFonts w:ascii="宋体" w:hAnsi="Courier New" w:cs="Courier New"/>
      <w:kern w:val="2"/>
      <w:sz w:val="21"/>
      <w:szCs w:val="21"/>
    </w:rPr>
  </w:style>
  <w:style w:type="character" w:customStyle="1" w:styleId="46">
    <w:name w:val="批注文字 Char"/>
    <w:link w:val="14"/>
    <w:qFormat/>
    <w:uiPriority w:val="0"/>
    <w:rPr>
      <w:kern w:val="2"/>
      <w:sz w:val="21"/>
      <w:szCs w:val="24"/>
    </w:rPr>
  </w:style>
  <w:style w:type="character" w:customStyle="1" w:styleId="47">
    <w:name w:val="标题 2 Char"/>
    <w:link w:val="4"/>
    <w:qFormat/>
    <w:uiPriority w:val="0"/>
    <w:rPr>
      <w:rFonts w:ascii="Arial" w:hAnsi="Arial"/>
      <w:b/>
      <w:bCs/>
      <w:sz w:val="24"/>
      <w:szCs w:val="32"/>
    </w:rPr>
  </w:style>
  <w:style w:type="character" w:customStyle="1" w:styleId="48">
    <w:name w:val="样式 仿宋"/>
    <w:qFormat/>
    <w:uiPriority w:val="0"/>
    <w:rPr>
      <w:rFonts w:ascii="仿宋" w:hAnsi="仿宋" w:eastAsia="仿宋"/>
      <w:kern w:val="1"/>
    </w:rPr>
  </w:style>
  <w:style w:type="character" w:customStyle="1" w:styleId="49">
    <w:name w:val="标题 2 Char Char"/>
    <w:qFormat/>
    <w:uiPriority w:val="0"/>
    <w:rPr>
      <w:rFonts w:ascii="Arial" w:hAnsi="Arial" w:eastAsia="黑体" w:cs="Times New Roman"/>
      <w:b/>
      <w:bCs/>
      <w:kern w:val="2"/>
      <w:sz w:val="32"/>
      <w:szCs w:val="32"/>
      <w:lang w:val="en-US" w:eastAsia="zh-CN" w:bidi="ar-SA"/>
    </w:rPr>
  </w:style>
  <w:style w:type="character" w:customStyle="1" w:styleId="50">
    <w:name w:val="txt7"/>
    <w:basedOn w:val="37"/>
    <w:qFormat/>
    <w:uiPriority w:val="0"/>
  </w:style>
  <w:style w:type="character" w:customStyle="1" w:styleId="51">
    <w:name w:val="标题 1 Char"/>
    <w:link w:val="3"/>
    <w:qFormat/>
    <w:uiPriority w:val="0"/>
    <w:rPr>
      <w:b/>
      <w:bCs/>
      <w:sz w:val="24"/>
      <w:szCs w:val="20"/>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正文文本 3 Char"/>
    <w:link w:val="16"/>
    <w:qFormat/>
    <w:uiPriority w:val="0"/>
    <w:rPr>
      <w:kern w:val="2"/>
      <w:sz w:val="16"/>
      <w:szCs w:val="16"/>
    </w:rPr>
  </w:style>
  <w:style w:type="character" w:customStyle="1" w:styleId="54">
    <w:name w:val="p0 Char"/>
    <w:link w:val="55"/>
    <w:qFormat/>
    <w:uiPriority w:val="0"/>
    <w:rPr>
      <w:rFonts w:eastAsia="宋体"/>
      <w:sz w:val="21"/>
      <w:szCs w:val="21"/>
      <w:lang w:val="en-US" w:eastAsia="zh-CN" w:bidi="ar-SA"/>
    </w:rPr>
  </w:style>
  <w:style w:type="paragraph" w:customStyle="1" w:styleId="55">
    <w:name w:val="p0"/>
    <w:basedOn w:val="1"/>
    <w:link w:val="54"/>
    <w:qFormat/>
    <w:uiPriority w:val="0"/>
    <w:pPr>
      <w:widowControl/>
    </w:pPr>
    <w:rPr>
      <w:kern w:val="0"/>
      <w:szCs w:val="21"/>
    </w:rPr>
  </w:style>
  <w:style w:type="character" w:customStyle="1" w:styleId="56">
    <w:name w:val="apple-converted-space"/>
    <w:basedOn w:val="37"/>
    <w:qFormat/>
    <w:uiPriority w:val="0"/>
  </w:style>
  <w:style w:type="paragraph" w:customStyle="1" w:styleId="57">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9">
    <w:name w:val="List Paragraph"/>
    <w:basedOn w:val="1"/>
    <w:qFormat/>
    <w:uiPriority w:val="34"/>
    <w:pPr>
      <w:ind w:firstLine="420" w:firstLineChars="200"/>
    </w:pPr>
    <w:rPr>
      <w:rFonts w:ascii="Calibri" w:hAnsi="Calibri"/>
      <w:szCs w:val="22"/>
    </w:rPr>
  </w:style>
  <w:style w:type="paragraph" w:customStyle="1" w:styleId="60">
    <w:name w:val="p16"/>
    <w:basedOn w:val="1"/>
    <w:qFormat/>
    <w:uiPriority w:val="0"/>
    <w:pPr>
      <w:widowControl/>
      <w:jc w:val="left"/>
    </w:pPr>
    <w:rPr>
      <w:kern w:val="0"/>
      <w:szCs w:val="21"/>
    </w:rPr>
  </w:style>
  <w:style w:type="paragraph" w:customStyle="1" w:styleId="61">
    <w:name w:val="Char Char Char"/>
    <w:basedOn w:val="1"/>
    <w:qFormat/>
    <w:uiPriority w:val="0"/>
    <w:rPr>
      <w:rFonts w:ascii="宋体" w:hAnsi="宋体"/>
      <w:b/>
      <w:sz w:val="28"/>
      <w:szCs w:val="28"/>
    </w:rPr>
  </w:style>
  <w:style w:type="paragraph" w:customStyle="1" w:styleId="62">
    <w:name w:val="(符号)五标题1.1.1"/>
    <w:basedOn w:val="1"/>
    <w:qFormat/>
    <w:uiPriority w:val="0"/>
    <w:pPr>
      <w:tabs>
        <w:tab w:val="left" w:pos="862"/>
      </w:tabs>
      <w:spacing w:line="500" w:lineRule="exact"/>
      <w:ind w:left="862" w:hanging="720"/>
    </w:pPr>
    <w:rPr>
      <w:rFonts w:ascii="宋体" w:hAnsi="宋体" w:cs="宋体"/>
      <w:color w:val="000000"/>
      <w:sz w:val="24"/>
      <w:szCs w:val="20"/>
    </w:rPr>
  </w:style>
  <w:style w:type="paragraph" w:customStyle="1" w:styleId="6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6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表格内容"/>
    <w:basedOn w:val="2"/>
    <w:qFormat/>
    <w:uiPriority w:val="0"/>
    <w:pPr>
      <w:suppressLineNumbers/>
      <w:suppressAutoHyphens/>
      <w:jc w:val="left"/>
    </w:pPr>
    <w:rPr>
      <w:rFonts w:cs="Tahoma"/>
      <w:kern w:val="0"/>
      <w:sz w:val="24"/>
    </w:rPr>
  </w:style>
  <w:style w:type="paragraph" w:customStyle="1" w:styleId="6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7">
    <w:name w:val="1"/>
    <w:basedOn w:val="1"/>
    <w:qFormat/>
    <w:uiPriority w:val="0"/>
    <w:pPr>
      <w:spacing w:afterLines="50" w:line="360" w:lineRule="auto"/>
    </w:pPr>
    <w:rPr>
      <w:rFonts w:ascii="宋体" w:hAnsi="宋体"/>
      <w:b/>
      <w:sz w:val="30"/>
      <w:szCs w:val="21"/>
    </w:rPr>
  </w:style>
  <w:style w:type="paragraph" w:customStyle="1" w:styleId="68">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69">
    <w:name w:val="样式 标题 2 + 宋体 五号 行距: 单倍行距"/>
    <w:basedOn w:val="4"/>
    <w:qFormat/>
    <w:uiPriority w:val="0"/>
    <w:pPr>
      <w:tabs>
        <w:tab w:val="left" w:pos="2175"/>
      </w:tabs>
      <w:adjustRightInd w:val="0"/>
      <w:spacing w:line="240" w:lineRule="auto"/>
      <w:ind w:left="2175" w:hanging="1275"/>
      <w:jc w:val="left"/>
      <w:textAlignment w:val="baseline"/>
    </w:pPr>
    <w:rPr>
      <w:rFonts w:ascii="宋体" w:hAnsi="宋体"/>
      <w:sz w:val="21"/>
      <w:szCs w:val="20"/>
    </w:rPr>
  </w:style>
  <w:style w:type="paragraph" w:styleId="70">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customStyle="1" w:styleId="71">
    <w:name w:val="Char"/>
    <w:basedOn w:val="1"/>
    <w:qFormat/>
    <w:uiPriority w:val="0"/>
    <w:pPr>
      <w:tabs>
        <w:tab w:val="left" w:pos="360"/>
      </w:tabs>
      <w:ind w:left="360" w:hanging="360" w:hangingChars="200"/>
    </w:pPr>
    <w:rPr>
      <w:sz w:val="24"/>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75">
    <w:name w:val="标题 1 +"/>
    <w:basedOn w:val="3"/>
    <w:next w:val="1"/>
    <w:qFormat/>
    <w:uiPriority w:val="0"/>
    <w:pPr>
      <w:spacing w:line="600" w:lineRule="auto"/>
    </w:pPr>
    <w:rPr>
      <w:rFonts w:eastAsia="黑体"/>
      <w:sz w:val="32"/>
      <w:szCs w:val="32"/>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7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Char Char1 Char Char Char Char Char1 Char Char Char Char"/>
    <w:basedOn w:val="13"/>
    <w:qFormat/>
    <w:uiPriority w:val="0"/>
    <w:rPr>
      <w:rFonts w:ascii="Tahoma" w:hAnsi="Tahoma"/>
    </w:rPr>
  </w:style>
  <w:style w:type="paragraph" w:customStyle="1" w:styleId="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3">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84">
    <w:name w:val="Normal_1"/>
    <w:qFormat/>
    <w:uiPriority w:val="0"/>
    <w:rPr>
      <w:rFonts w:ascii="黑体" w:hAnsi="黑体" w:eastAsia="黑体" w:cs="Times New Roman"/>
      <w:b/>
      <w:sz w:val="32"/>
      <w:szCs w:val="24"/>
      <w:lang w:val="en-US" w:eastAsia="zh-CN" w:bidi="ar-SA"/>
    </w:rPr>
  </w:style>
  <w:style w:type="paragraph" w:customStyle="1" w:styleId="85">
    <w:name w:val="WPS Plain"/>
    <w:qFormat/>
    <w:uiPriority w:val="0"/>
    <w:rPr>
      <w:rFonts w:ascii="Times New Roman" w:hAnsi="Times New Roman" w:eastAsia="宋体" w:cs="Times New Roman"/>
      <w:lang w:val="en-US" w:eastAsia="zh-CN" w:bidi="ar-SA"/>
    </w:rPr>
  </w:style>
  <w:style w:type="paragraph" w:customStyle="1" w:styleId="86">
    <w:name w:val="Char1 Char Char Char 字元 Char Char 字元 Char 字元 Char1 Char Char Char"/>
    <w:basedOn w:val="1"/>
    <w:qFormat/>
    <w:uiPriority w:val="0"/>
    <w:rPr>
      <w:szCs w:val="20"/>
    </w:rPr>
  </w:style>
  <w:style w:type="paragraph" w:customStyle="1" w:styleId="87">
    <w:name w:val="样式 样式 样式 左侧:  2 字符1 + 首行缩进:  2 字符1 + 首行缩进:  2 字符"/>
    <w:basedOn w:val="1"/>
    <w:qFormat/>
    <w:uiPriority w:val="0"/>
    <w:pPr>
      <w:widowControl/>
      <w:spacing w:before="60" w:after="120" w:line="440" w:lineRule="atLeast"/>
      <w:ind w:firstLine="480"/>
    </w:pPr>
    <w:rPr>
      <w:rFonts w:hint="eastAsia" w:ascii="Calibri" w:hAnsi="Calibri" w:eastAsia="微软雅黑"/>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2541</Words>
  <Characters>14487</Characters>
  <Lines>120</Lines>
  <Paragraphs>33</Paragraphs>
  <TotalTime>18</TotalTime>
  <ScaleCrop>false</ScaleCrop>
  <LinksUpToDate>false</LinksUpToDate>
  <CharactersWithSpaces>16995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2022-05-03T07:38:00Z</dcterms:created>
  <dc:creator>Lenovo User</dc:creator>
  <cp:lastModifiedBy>拾</cp:lastModifiedBy>
  <cp:lastPrinted>2021-01-30T02:47:00Z</cp:lastPrinted>
  <dcterms:modified xsi:type="dcterms:W3CDTF">2022-05-09T10:57:08Z</dcterms:modified>
  <dc:title>竞争性谈判采购公告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28F2AF0309BA4AAA9472ACD7B637FBD6</vt:lpwstr>
  </property>
</Properties>
</file>