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kern w:val="2"/>
          <w:sz w:val="24"/>
          <w:szCs w:val="24"/>
          <w:lang w:val="en-US" w:eastAsia="zh-CN" w:bidi="ar-SA"/>
        </w:rPr>
      </w:pPr>
      <w:bookmarkStart w:id="0" w:name="_Toc9033"/>
      <w:r>
        <w:rPr>
          <w:rFonts w:hint="eastAsia" w:ascii="仿宋" w:hAnsi="仿宋" w:eastAsia="仿宋" w:cs="仿宋"/>
          <w:b/>
          <w:bCs/>
          <w:kern w:val="2"/>
          <w:sz w:val="24"/>
          <w:szCs w:val="24"/>
          <w:lang w:val="en-US" w:eastAsia="zh-CN" w:bidi="ar-SA"/>
        </w:rPr>
        <w:t xml:space="preserve">             采购备案处</w:t>
      </w:r>
    </w:p>
    <w:p>
      <w:pPr>
        <w:pStyle w:val="5"/>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于田县木尕拉镇友谊村天然气管网配套设施建设采购项目</w:t>
      </w:r>
      <w:r>
        <w:rPr>
          <w:rFonts w:hint="eastAsia" w:ascii="仿宋" w:hAnsi="仿宋" w:eastAsia="仿宋" w:cs="仿宋"/>
          <w:sz w:val="32"/>
          <w:szCs w:val="32"/>
        </w:rPr>
        <w:t>竞争性谈判公告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于田县木尕拉镇友谊村天然气管网配套设施建设采购项目</w:t>
      </w:r>
      <w:r>
        <w:rPr>
          <w:rFonts w:hint="eastAsia" w:ascii="仿宋" w:hAnsi="仿宋" w:eastAsia="仿宋" w:cs="仿宋"/>
          <w:sz w:val="24"/>
          <w:szCs w:val="24"/>
          <w:highlight w:val="none"/>
          <w:u w:val="single"/>
        </w:rPr>
        <w:t>的潜在供应商应在</w:t>
      </w:r>
      <w:r>
        <w:rPr>
          <w:rFonts w:hint="eastAsia" w:ascii="仿宋" w:hAnsi="仿宋" w:eastAsia="仿宋" w:cs="仿宋"/>
          <w:sz w:val="24"/>
          <w:szCs w:val="24"/>
          <w:highlight w:val="none"/>
          <w:u w:val="single"/>
          <w:lang w:eastAsia="zh-CN"/>
        </w:rPr>
        <w:t>线下</w:t>
      </w:r>
      <w:r>
        <w:rPr>
          <w:rFonts w:hint="eastAsia" w:ascii="仿宋" w:hAnsi="仿宋" w:eastAsia="仿宋" w:cs="仿宋"/>
          <w:sz w:val="24"/>
          <w:szCs w:val="24"/>
          <w:highlight w:val="none"/>
          <w:u w:val="single"/>
        </w:rPr>
        <w:t>获取招标文件，并于</w:t>
      </w:r>
      <w:r>
        <w:rPr>
          <w:rFonts w:hint="eastAsia" w:ascii="仿宋" w:hAnsi="仿宋" w:eastAsia="仿宋" w:cs="仿宋"/>
          <w:sz w:val="24"/>
          <w:szCs w:val="24"/>
          <w:highlight w:val="none"/>
          <w:u w:val="single"/>
          <w:lang w:eastAsia="zh-CN"/>
        </w:rPr>
        <w:t>202</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lang w:eastAsia="zh-CN"/>
        </w:rPr>
        <w:t>年</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lang w:eastAsia="zh-CN"/>
        </w:rPr>
        <w:t>月</w:t>
      </w:r>
      <w:r>
        <w:rPr>
          <w:rFonts w:hint="eastAsia" w:ascii="仿宋" w:hAnsi="仿宋" w:eastAsia="仿宋" w:cs="仿宋"/>
          <w:sz w:val="24"/>
          <w:szCs w:val="24"/>
          <w:highlight w:val="none"/>
          <w:u w:val="single"/>
          <w:lang w:val="en-US" w:eastAsia="zh-CN"/>
        </w:rPr>
        <w:t>20</w:t>
      </w:r>
      <w:r>
        <w:rPr>
          <w:rFonts w:hint="eastAsia" w:ascii="仿宋" w:hAnsi="仿宋" w:eastAsia="仿宋" w:cs="仿宋"/>
          <w:sz w:val="24"/>
          <w:szCs w:val="24"/>
          <w:highlight w:val="none"/>
          <w:u w:val="single"/>
          <w:lang w:eastAsia="zh-CN"/>
        </w:rPr>
        <w:t xml:space="preserve">日 </w:t>
      </w:r>
      <w:r>
        <w:rPr>
          <w:rFonts w:hint="eastAsia" w:ascii="仿宋" w:hAnsi="仿宋" w:eastAsia="仿宋" w:cs="仿宋"/>
          <w:sz w:val="24"/>
          <w:szCs w:val="24"/>
          <w:highlight w:val="none"/>
          <w:u w:val="single"/>
          <w:lang w:val="en-US" w:eastAsia="zh-CN"/>
        </w:rPr>
        <w:t>16</w:t>
      </w:r>
      <w:r>
        <w:rPr>
          <w:rFonts w:hint="eastAsia" w:ascii="仿宋" w:hAnsi="仿宋" w:eastAsia="仿宋" w:cs="仿宋"/>
          <w:sz w:val="24"/>
          <w:szCs w:val="24"/>
          <w:highlight w:val="none"/>
          <w:u w:val="single"/>
          <w:lang w:eastAsia="zh-CN"/>
        </w:rPr>
        <w:t>:00</w:t>
      </w:r>
      <w:r>
        <w:rPr>
          <w:rFonts w:hint="eastAsia" w:ascii="仿宋" w:hAnsi="仿宋" w:eastAsia="仿宋" w:cs="仿宋"/>
          <w:sz w:val="24"/>
          <w:szCs w:val="24"/>
          <w:u w:val="single"/>
        </w:rPr>
        <w:t xml:space="preserve"> （北京时间）前提交（上传）响应文件。</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bookmarkStart w:id="1" w:name="_Toc14464"/>
      <w:bookmarkStart w:id="2" w:name="_Toc11674"/>
      <w:bookmarkStart w:id="3" w:name="_Toc28359012"/>
      <w:bookmarkStart w:id="4" w:name="_Toc28359089"/>
      <w:bookmarkStart w:id="5" w:name="_Toc35393798"/>
      <w:bookmarkStart w:id="6" w:name="_Toc35393629"/>
      <w:r>
        <w:rPr>
          <w:rFonts w:hint="eastAsia" w:ascii="仿宋" w:hAnsi="仿宋" w:eastAsia="仿宋" w:cs="仿宋"/>
          <w:b w:val="0"/>
          <w:sz w:val="24"/>
          <w:szCs w:val="24"/>
        </w:rPr>
        <w:t>一、项目基本情况</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项目编号：</w:t>
      </w:r>
      <w:r>
        <w:rPr>
          <w:rFonts w:hint="eastAsia" w:ascii="仿宋" w:hAnsi="仿宋" w:eastAsia="仿宋" w:cs="仿宋"/>
          <w:sz w:val="24"/>
          <w:szCs w:val="24"/>
          <w:highlight w:val="none"/>
          <w:lang w:val="en-US" w:eastAsia="zh-CN"/>
        </w:rPr>
        <w:t>YTCGD-JZ-2022-073</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于田县木尕拉镇友谊村天然气管网配套设施建设采购项目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采购方式：☑竞争性谈判 □竞争性磋商 □询价</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956741.34</w:t>
      </w:r>
      <w:r>
        <w:rPr>
          <w:rFonts w:hint="eastAsia" w:ascii="仿宋" w:hAnsi="仿宋" w:eastAsia="仿宋" w:cs="仿宋"/>
          <w:sz w:val="24"/>
          <w:szCs w:val="24"/>
          <w:highlight w:val="none"/>
        </w:rPr>
        <w:t>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956741.34</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r>
        <w:rPr>
          <w:rFonts w:hint="eastAsia" w:ascii="仿宋" w:hAnsi="仿宋" w:eastAsia="仿宋" w:cs="仿宋"/>
          <w:sz w:val="24"/>
          <w:szCs w:val="24"/>
          <w:lang w:eastAsia="zh-CN"/>
        </w:rPr>
        <w:t>对</w:t>
      </w:r>
      <w:r>
        <w:rPr>
          <w:rFonts w:hint="eastAsia" w:ascii="仿宋" w:hAnsi="仿宋" w:eastAsia="仿宋" w:cs="仿宋"/>
          <w:sz w:val="24"/>
          <w:szCs w:val="24"/>
          <w:lang w:val="en-US" w:eastAsia="zh-CN"/>
        </w:rPr>
        <w:t>122户商铺、204户住宅天然气中压管网，调压设施配套及入户工程</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合同履行期限：/</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lang w:val="en-US" w:eastAsia="zh-CN"/>
        </w:rPr>
        <w:t>否</w:t>
      </w:r>
      <w:r>
        <w:rPr>
          <w:rFonts w:hint="eastAsia" w:ascii="仿宋" w:hAnsi="仿宋" w:eastAsia="仿宋" w:cs="仿宋"/>
          <w:sz w:val="24"/>
          <w:szCs w:val="24"/>
        </w:rPr>
        <w:t>）接受联合体。</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bookmarkStart w:id="7" w:name="_Toc28359013"/>
      <w:bookmarkStart w:id="8" w:name="_Toc35393799"/>
      <w:bookmarkStart w:id="9" w:name="_Toc35393630"/>
      <w:bookmarkStart w:id="10" w:name="_Toc28359090"/>
      <w:bookmarkStart w:id="11" w:name="_Toc10197"/>
      <w:bookmarkStart w:id="12" w:name="_Toc3275"/>
      <w:r>
        <w:rPr>
          <w:rFonts w:hint="eastAsia" w:ascii="仿宋" w:hAnsi="仿宋" w:eastAsia="仿宋" w:cs="仿宋"/>
          <w:b w:val="0"/>
          <w:sz w:val="24"/>
          <w:szCs w:val="24"/>
        </w:rPr>
        <w:t>二、申请人的资格要求：</w:t>
      </w:r>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sz w:val="24"/>
          <w:szCs w:val="24"/>
        </w:rPr>
      </w:pPr>
      <w:bookmarkStart w:id="13" w:name="_Toc35393800"/>
      <w:bookmarkStart w:id="14" w:name="_Toc28359091"/>
      <w:bookmarkStart w:id="15" w:name="_Toc28359014"/>
      <w:bookmarkStart w:id="16" w:name="_Toc35393631"/>
      <w:bookmarkStart w:id="17" w:name="_Toc17402"/>
      <w:bookmarkStart w:id="18" w:name="_Toc20889"/>
      <w:r>
        <w:rPr>
          <w:rFonts w:hint="eastAsia" w:ascii="仿宋" w:hAnsi="仿宋" w:eastAsia="仿宋" w:cs="仿宋"/>
          <w:b/>
          <w:bCs w:val="0"/>
          <w:sz w:val="24"/>
          <w:szCs w:val="24"/>
        </w:rPr>
        <w:t>1.满足《中华人民共和国政府采购法》第二十二条规定；</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2.落实政府采购政策需满足的资格要求：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textAlignment w:val="auto"/>
        <w:rPr>
          <w:rFonts w:hint="eastAsia" w:ascii="仿宋" w:hAnsi="仿宋" w:eastAsia="仿宋" w:cs="仿宋"/>
          <w:bCs/>
          <w:sz w:val="24"/>
          <w:szCs w:val="24"/>
          <w:lang w:eastAsia="zh-CN"/>
        </w:rPr>
      </w:pPr>
      <w:r>
        <w:rPr>
          <w:rFonts w:hint="eastAsia" w:ascii="仿宋" w:hAnsi="仿宋" w:eastAsia="仿宋" w:cs="仿宋"/>
          <w:i w:val="0"/>
          <w:caps w:val="0"/>
          <w:color w:val="000000"/>
          <w:spacing w:val="0"/>
          <w:kern w:val="0"/>
          <w:sz w:val="24"/>
          <w:szCs w:val="24"/>
          <w:highlight w:val="none"/>
          <w:lang w:val="en-US" w:eastAsia="zh-CN" w:bidi="ar-SA"/>
        </w:rPr>
        <w:t>（1）《政府采购促进中小企业发展管理办法》（财库〔2020〕46号）；（2）《财政部民政部中国残疾人联合会关于促进残疾人就业政府采购政策的通知》财库〔2017〕141号；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sz w:val="24"/>
          <w:szCs w:val="24"/>
        </w:rPr>
      </w:pPr>
      <w:r>
        <w:rPr>
          <w:rFonts w:hint="eastAsia" w:ascii="仿宋" w:hAnsi="仿宋" w:eastAsia="仿宋" w:cs="仿宋"/>
          <w:b/>
          <w:bCs w:val="0"/>
          <w:sz w:val="24"/>
          <w:szCs w:val="24"/>
        </w:rPr>
        <w:t>3.本项目的特定资格要求: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具备市政公用工程施工总承包三级</w:t>
      </w:r>
      <w:r>
        <w:rPr>
          <w:rFonts w:hint="eastAsia" w:ascii="仿宋" w:hAnsi="仿宋" w:eastAsia="仿宋" w:cs="仿宋"/>
          <w:sz w:val="24"/>
          <w:szCs w:val="24"/>
          <w:lang w:eastAsia="zh-CN"/>
        </w:rPr>
        <w:t>或</w:t>
      </w:r>
      <w:r>
        <w:rPr>
          <w:rFonts w:hint="eastAsia" w:ascii="仿宋" w:hAnsi="仿宋" w:eastAsia="仿宋" w:cs="仿宋"/>
          <w:sz w:val="24"/>
          <w:szCs w:val="24"/>
        </w:rPr>
        <w:t>以上资质（疆外企业需提供进疆备案）</w:t>
      </w:r>
      <w:r>
        <w:rPr>
          <w:rFonts w:hint="eastAsia" w:ascii="仿宋" w:hAnsi="仿宋" w:eastAsia="仿宋" w:cs="仿宋"/>
          <w:sz w:val="24"/>
          <w:szCs w:val="24"/>
          <w:lang w:val="en-US" w:eastAsia="zh-CN"/>
        </w:rPr>
        <w:t>并同时具备压力管道安装改造维修许可证GB1类（燃气管道）</w:t>
      </w:r>
      <w:r>
        <w:rPr>
          <w:rFonts w:hint="eastAsia" w:ascii="仿宋" w:hAnsi="仿宋" w:eastAsia="仿宋" w:cs="仿宋"/>
          <w:sz w:val="24"/>
          <w:szCs w:val="24"/>
        </w:rPr>
        <w:t>，具有工程施工类安全生产许可证；项目负责人需具有市政公用工程专业二级（含）</w:t>
      </w:r>
      <w:r>
        <w:rPr>
          <w:rFonts w:hint="eastAsia" w:ascii="仿宋" w:hAnsi="仿宋" w:eastAsia="仿宋" w:cs="仿宋"/>
          <w:sz w:val="24"/>
          <w:szCs w:val="24"/>
          <w:lang w:eastAsia="zh-CN"/>
        </w:rPr>
        <w:t>或以上</w:t>
      </w:r>
      <w:r>
        <w:rPr>
          <w:rFonts w:hint="eastAsia" w:ascii="仿宋" w:hAnsi="仿宋" w:eastAsia="仿宋" w:cs="仿宋"/>
          <w:sz w:val="24"/>
          <w:szCs w:val="24"/>
        </w:rPr>
        <w:t>注册建造执业资格，具备有效的安全生产考核合格证书，且不得担任其他在建工程项目的项目负责人。技术负责人、施工员、质检员、安全员、资料员、材料员等项目管理机构班组人员必须持证上岗（在建设云可查到）；</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（4）</w:t>
      </w:r>
      <w:r>
        <w:rPr>
          <w:rFonts w:hint="eastAsia" w:ascii="仿宋" w:hAnsi="仿宋" w:eastAsia="仿宋" w:cs="仿宋"/>
          <w:color w:val="auto"/>
          <w:sz w:val="24"/>
          <w:szCs w:val="24"/>
          <w:highlight w:val="none"/>
          <w:lang w:val="en-US" w:eastAsia="zh-CN"/>
        </w:rPr>
        <w:t>具有良好的商业信誉和健全的财务会计制度（提供2021年的财务审计报告，2021年10月以后新成立公司可不提供）；</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b w:val="0"/>
          <w:bCs w:val="0"/>
          <w:color w:val="auto"/>
          <w:kern w:val="0"/>
          <w:sz w:val="24"/>
          <w:szCs w:val="24"/>
          <w:highlight w:val="none"/>
          <w:lang w:val="en-US" w:eastAsia="zh-CN"/>
        </w:rPr>
        <w:t>提供税务部门出具近3个月依法缴纳税收的完税证明或报税材料（依法免缴的，应提供依法免缴的相关证明文件）。</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凡拟参加本次招标项目的投标人，如在“信用中国”网站（</w:t>
      </w:r>
      <w:r>
        <w:rPr>
          <w:rFonts w:hint="eastAsia" w:ascii="仿宋" w:hAnsi="仿宋" w:eastAsia="仿宋" w:cs="仿宋"/>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320" w:lineRule="exact"/>
        <w:ind w:firstLine="480" w:firstLineChars="200"/>
        <w:textAlignment w:val="auto"/>
        <w:outlineLvl w:val="0"/>
        <w:rPr>
          <w:rFonts w:hint="eastAsia"/>
        </w:rPr>
      </w:pPr>
      <w:r>
        <w:rPr>
          <w:rFonts w:hint="eastAsia" w:ascii="仿宋" w:hAnsi="仿宋" w:eastAsia="仿宋" w:cs="仿宋"/>
          <w:sz w:val="24"/>
          <w:szCs w:val="24"/>
          <w:lang w:val="en-US" w:eastAsia="zh-CN"/>
        </w:rPr>
        <w:t>（7）</w:t>
      </w:r>
      <w:r>
        <w:rPr>
          <w:rFonts w:hint="eastAsia" w:ascii="仿宋" w:hAnsi="仿宋" w:eastAsia="仿宋" w:cs="仿宋"/>
          <w:sz w:val="24"/>
          <w:szCs w:val="24"/>
        </w:rPr>
        <w:t>本项目不接受联合体投标。</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三、获取采购文件</w:t>
      </w:r>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仿宋" w:hAnsi="仿宋" w:eastAsia="仿宋" w:cs="仿宋"/>
          <w:sz w:val="24"/>
          <w:szCs w:val="24"/>
        </w:rPr>
      </w:pPr>
      <w:bookmarkStart w:id="19" w:name="_Toc28359092"/>
      <w:bookmarkStart w:id="20" w:name="_Toc35393801"/>
      <w:bookmarkStart w:id="21" w:name="_Toc35393632"/>
      <w:bookmarkStart w:id="22" w:name="_Toc22996"/>
      <w:bookmarkStart w:id="23" w:name="_Toc7922"/>
      <w:bookmarkStart w:id="24" w:name="_Toc28359015"/>
      <w:r>
        <w:rPr>
          <w:rFonts w:hint="eastAsia" w:ascii="仿宋" w:hAnsi="仿宋" w:eastAsia="仿宋" w:cs="仿宋"/>
          <w:sz w:val="24"/>
          <w:szCs w:val="24"/>
        </w:rPr>
        <w:t>时间： 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05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日至  202</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05</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日（提供期限自本公告发布之日起不得少于</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个工作日），每天上午10:</w:t>
      </w:r>
      <w:r>
        <w:rPr>
          <w:rFonts w:hint="eastAsia" w:ascii="仿宋" w:hAnsi="仿宋" w:eastAsia="仿宋" w:cs="仿宋"/>
          <w:sz w:val="24"/>
          <w:szCs w:val="24"/>
          <w:lang w:val="en-US" w:eastAsia="zh-CN"/>
        </w:rPr>
        <w:t>3</w:t>
      </w:r>
      <w:r>
        <w:rPr>
          <w:rFonts w:hint="eastAsia" w:ascii="仿宋" w:hAnsi="仿宋" w:eastAsia="仿宋" w:cs="仿宋"/>
          <w:sz w:val="24"/>
          <w:szCs w:val="24"/>
        </w:rPr>
        <w:t>0　至14:00，下午16:00至19:30（北京时间，法定节假日除外）</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地点：新疆庆信达项目管理有限公司（和田市人民街18号玉都国际广场金座703室）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方式：满足上述投标资质的投标人，携带第二条申请人的资格要求的相关证件（原件及加盖单位鲜公章的复印件各一套核对），审查</w:t>
      </w:r>
      <w:bookmarkStart w:id="47" w:name="_GoBack"/>
      <w:bookmarkEnd w:id="47"/>
      <w:r>
        <w:rPr>
          <w:rFonts w:hint="eastAsia" w:ascii="仿宋" w:hAnsi="仿宋" w:eastAsia="仿宋" w:cs="仿宋"/>
          <w:sz w:val="24"/>
          <w:szCs w:val="24"/>
        </w:rPr>
        <w:t>合格后现场获取招标文件</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售价：</w:t>
      </w:r>
      <w:r>
        <w:rPr>
          <w:rFonts w:hint="eastAsia" w:ascii="仿宋" w:hAnsi="仿宋" w:eastAsia="仿宋" w:cs="仿宋"/>
          <w:sz w:val="24"/>
          <w:szCs w:val="24"/>
          <w:lang w:val="en-US" w:eastAsia="zh-CN"/>
        </w:rPr>
        <w:t>200.00</w:t>
      </w:r>
      <w:r>
        <w:rPr>
          <w:rFonts w:hint="eastAsia" w:ascii="仿宋" w:hAnsi="仿宋" w:eastAsia="仿宋" w:cs="仿宋"/>
          <w:sz w:val="24"/>
          <w:szCs w:val="24"/>
        </w:rPr>
        <w:t>元/份（售后不退）</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四、响应文件提交</w:t>
      </w:r>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05</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20</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16</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地点：腾讯会议</w:t>
      </w:r>
      <w:r>
        <w:rPr>
          <w:rFonts w:hint="eastAsia" w:ascii="仿宋" w:hAnsi="仿宋" w:eastAsia="仿宋" w:cs="仿宋"/>
          <w:sz w:val="24"/>
          <w:szCs w:val="24"/>
          <w:lang w:val="en-US" w:eastAsia="zh-CN"/>
        </w:rPr>
        <w:t>不见面</w:t>
      </w:r>
      <w:r>
        <w:rPr>
          <w:rFonts w:hint="eastAsia" w:ascii="仿宋" w:hAnsi="仿宋" w:eastAsia="仿宋" w:cs="仿宋"/>
          <w:sz w:val="24"/>
          <w:szCs w:val="24"/>
        </w:rPr>
        <w:t>开标</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bookmarkStart w:id="25" w:name="_Toc297"/>
      <w:bookmarkStart w:id="26" w:name="_Toc30975"/>
      <w:bookmarkStart w:id="27" w:name="_Toc35393633"/>
      <w:bookmarkStart w:id="28" w:name="_Toc35393802"/>
      <w:bookmarkStart w:id="29" w:name="_Toc28359093"/>
      <w:bookmarkStart w:id="30" w:name="_Toc28359016"/>
      <w:r>
        <w:rPr>
          <w:rFonts w:hint="eastAsia" w:ascii="仿宋" w:hAnsi="仿宋" w:eastAsia="仿宋" w:cs="仿宋"/>
          <w:b w:val="0"/>
          <w:sz w:val="24"/>
          <w:szCs w:val="24"/>
        </w:rPr>
        <w:t>五、开启</w:t>
      </w:r>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05</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20</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16</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仿宋" w:hAnsi="仿宋" w:eastAsia="仿宋" w:cs="仿宋"/>
          <w:sz w:val="24"/>
          <w:szCs w:val="24"/>
          <w:lang w:eastAsia="zh-CN"/>
        </w:rPr>
      </w:pPr>
      <w:bookmarkStart w:id="31" w:name="_Toc15664"/>
      <w:bookmarkStart w:id="32" w:name="_Toc28359017"/>
      <w:bookmarkStart w:id="33" w:name="_Toc28359094"/>
      <w:bookmarkStart w:id="34" w:name="_Toc135"/>
      <w:bookmarkStart w:id="35" w:name="_Toc35393803"/>
      <w:bookmarkStart w:id="36" w:name="_Toc35393634"/>
      <w:r>
        <w:rPr>
          <w:rFonts w:hint="eastAsia" w:ascii="仿宋" w:hAnsi="仿宋" w:eastAsia="仿宋" w:cs="仿宋"/>
          <w:sz w:val="24"/>
          <w:szCs w:val="24"/>
        </w:rPr>
        <w:t>地点：腾讯会议</w:t>
      </w:r>
      <w:r>
        <w:rPr>
          <w:rFonts w:hint="eastAsia" w:ascii="仿宋" w:hAnsi="仿宋" w:eastAsia="仿宋" w:cs="仿宋"/>
          <w:sz w:val="24"/>
          <w:szCs w:val="24"/>
          <w:lang w:val="en-US" w:eastAsia="zh-CN"/>
        </w:rPr>
        <w:t>不见面</w:t>
      </w:r>
      <w:r>
        <w:rPr>
          <w:rFonts w:hint="eastAsia" w:ascii="仿宋" w:hAnsi="仿宋" w:eastAsia="仿宋" w:cs="仿宋"/>
          <w:sz w:val="24"/>
          <w:szCs w:val="24"/>
        </w:rPr>
        <w:t>开标</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个工作日。</w:t>
      </w:r>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lang w:val="en-US" w:eastAsia="zh-CN"/>
        </w:rPr>
      </w:pPr>
      <w:bookmarkStart w:id="37" w:name="_Toc35393804"/>
      <w:bookmarkStart w:id="38" w:name="_Toc35393635"/>
      <w:bookmarkStart w:id="39" w:name="_Toc25927"/>
      <w:bookmarkStart w:id="40" w:name="_Toc23752"/>
      <w:r>
        <w:rPr>
          <w:rFonts w:hint="eastAsia" w:ascii="仿宋" w:hAnsi="仿宋" w:eastAsia="仿宋" w:cs="仿宋"/>
          <w:b w:val="0"/>
          <w:sz w:val="24"/>
          <w:szCs w:val="24"/>
        </w:rPr>
        <w:t>七、其他补充事宜</w:t>
      </w:r>
      <w:bookmarkEnd w:id="37"/>
      <w:bookmarkEnd w:id="38"/>
      <w:r>
        <w:rPr>
          <w:rFonts w:hint="eastAsia" w:ascii="仿宋" w:hAnsi="仿宋" w:eastAsia="仿宋" w:cs="仿宋"/>
          <w:b w:val="0"/>
          <w:sz w:val="24"/>
          <w:szCs w:val="24"/>
          <w:lang w:eastAsia="zh-CN"/>
        </w:rPr>
        <w:t>：</w:t>
      </w:r>
      <w:r>
        <w:rPr>
          <w:rFonts w:hint="eastAsia" w:ascii="仿宋" w:hAnsi="仿宋" w:eastAsia="仿宋" w:cs="仿宋"/>
          <w:b w:val="0"/>
          <w:sz w:val="24"/>
          <w:szCs w:val="24"/>
          <w:lang w:val="en-US" w:eastAsia="zh-CN"/>
        </w:rPr>
        <w:t>无</w:t>
      </w:r>
      <w:bookmarkEnd w:id="39"/>
      <w:bookmarkEnd w:id="40"/>
    </w:p>
    <w:p>
      <w:pPr>
        <w:pStyle w:val="6"/>
        <w:keepNext/>
        <w:keepLines/>
        <w:pageBreakBefore w:val="0"/>
        <w:widowControl w:val="0"/>
        <w:kinsoku/>
        <w:wordWrap/>
        <w:overflowPunct/>
        <w:topLinePunct w:val="0"/>
        <w:autoSpaceDE/>
        <w:autoSpaceDN/>
        <w:bidi w:val="0"/>
        <w:adjustRightInd w:val="0"/>
        <w:snapToGrid w:val="0"/>
        <w:spacing w:before="157" w:beforeLines="50" w:after="157" w:afterLines="50" w:line="320" w:lineRule="exact"/>
        <w:textAlignment w:val="auto"/>
        <w:outlineLvl w:val="0"/>
        <w:rPr>
          <w:rFonts w:hint="eastAsia" w:ascii="仿宋" w:hAnsi="仿宋" w:eastAsia="仿宋" w:cs="仿宋"/>
          <w:b w:val="0"/>
          <w:sz w:val="24"/>
          <w:szCs w:val="24"/>
        </w:rPr>
      </w:pPr>
      <w:bookmarkStart w:id="41" w:name="_Toc35393636"/>
      <w:bookmarkStart w:id="42" w:name="_Toc28359095"/>
      <w:bookmarkStart w:id="43" w:name="_Toc35393805"/>
      <w:bookmarkStart w:id="44" w:name="_Toc28359018"/>
      <w:bookmarkStart w:id="45" w:name="_Toc20454"/>
      <w:bookmarkStart w:id="46" w:name="_Toc1455"/>
      <w:r>
        <w:rPr>
          <w:rFonts w:hint="eastAsia" w:ascii="仿宋" w:hAnsi="仿宋" w:eastAsia="仿宋" w:cs="仿宋"/>
          <w:b w:val="0"/>
          <w:sz w:val="24"/>
          <w:szCs w:val="24"/>
        </w:rPr>
        <w:t>八、凡对本次采购提出询问，请按以下方式联系。</w:t>
      </w:r>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1.采购人信息</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称：于田县木尕拉镇人民政府</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址：于田县木尕拉镇　　　　</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联系方式：0903-6811607</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2.采购代理机构信息（如有）</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称：新疆庆信达项目管理有限公司　</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址：和田市人民街18号玉都国际广场金座703室</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联系方式：0903-7820626　　</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3.项目联系方式</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项目联系人：葛小收</w:t>
      </w:r>
    </w:p>
    <w:p>
      <w:pPr>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val="0"/>
          <w:kern w:val="2"/>
          <w:sz w:val="24"/>
          <w:szCs w:val="24"/>
          <w:lang w:val="en-US" w:eastAsia="zh-CN" w:bidi="ar-SA"/>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421528"/>
    <w:rsid w:val="06EF2FA2"/>
    <w:rsid w:val="0A2D03DC"/>
    <w:rsid w:val="0A6A6A49"/>
    <w:rsid w:val="0B8C32E1"/>
    <w:rsid w:val="0D1D1F35"/>
    <w:rsid w:val="105826E5"/>
    <w:rsid w:val="10C87EA7"/>
    <w:rsid w:val="123C6D39"/>
    <w:rsid w:val="129E586A"/>
    <w:rsid w:val="16A44F1B"/>
    <w:rsid w:val="17DF7699"/>
    <w:rsid w:val="1B096E2E"/>
    <w:rsid w:val="1B556D3A"/>
    <w:rsid w:val="1E0006CF"/>
    <w:rsid w:val="1E5336A7"/>
    <w:rsid w:val="1E58477B"/>
    <w:rsid w:val="1EDF7840"/>
    <w:rsid w:val="1F2F00CB"/>
    <w:rsid w:val="20CF6BF6"/>
    <w:rsid w:val="22561326"/>
    <w:rsid w:val="22937B65"/>
    <w:rsid w:val="22D203C6"/>
    <w:rsid w:val="230B6196"/>
    <w:rsid w:val="25CC750F"/>
    <w:rsid w:val="25E67079"/>
    <w:rsid w:val="29E3121F"/>
    <w:rsid w:val="2AC848F7"/>
    <w:rsid w:val="2AF44FC1"/>
    <w:rsid w:val="2C7E7560"/>
    <w:rsid w:val="2D003A0D"/>
    <w:rsid w:val="32206981"/>
    <w:rsid w:val="32887969"/>
    <w:rsid w:val="386353BA"/>
    <w:rsid w:val="389E4A6F"/>
    <w:rsid w:val="3A4F75FC"/>
    <w:rsid w:val="3D18027B"/>
    <w:rsid w:val="3E550ABE"/>
    <w:rsid w:val="3EAF6C91"/>
    <w:rsid w:val="41006CBB"/>
    <w:rsid w:val="4244039E"/>
    <w:rsid w:val="43252EEA"/>
    <w:rsid w:val="4ADE0D1B"/>
    <w:rsid w:val="4CEA10A3"/>
    <w:rsid w:val="4DD25658"/>
    <w:rsid w:val="4DFD5FE8"/>
    <w:rsid w:val="544D52BC"/>
    <w:rsid w:val="54A76DD9"/>
    <w:rsid w:val="54DF2178"/>
    <w:rsid w:val="55A2018D"/>
    <w:rsid w:val="57352285"/>
    <w:rsid w:val="5A692400"/>
    <w:rsid w:val="5ECE2D5C"/>
    <w:rsid w:val="5FB16742"/>
    <w:rsid w:val="626F29D3"/>
    <w:rsid w:val="638C6FD1"/>
    <w:rsid w:val="68104FC0"/>
    <w:rsid w:val="68143539"/>
    <w:rsid w:val="6D387DFB"/>
    <w:rsid w:val="6D3A39AF"/>
    <w:rsid w:val="6FFB0FE3"/>
    <w:rsid w:val="70010101"/>
    <w:rsid w:val="752A6A53"/>
    <w:rsid w:val="76834321"/>
    <w:rsid w:val="7AF460F1"/>
    <w:rsid w:val="7B051C57"/>
    <w:rsid w:val="7C593BFD"/>
    <w:rsid w:val="7D5B67C5"/>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unhideWhenUsed/>
    <w:qFormat/>
    <w:uiPriority w:val="0"/>
    <w:pPr>
      <w:keepNext/>
      <w:keepLines/>
      <w:spacing w:before="240" w:after="240"/>
      <w:outlineLvl w:val="1"/>
    </w:pPr>
    <w:rPr>
      <w:rFonts w:ascii="Arial" w:hAnsi="Arial"/>
      <w:b/>
    </w:rPr>
  </w:style>
  <w:style w:type="paragraph" w:styleId="7">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sz w:val="11"/>
      <w:szCs w:val="20"/>
    </w:rPr>
  </w:style>
  <w:style w:type="paragraph" w:styleId="10">
    <w:name w:val="Normal (Web)"/>
    <w:basedOn w:val="1"/>
    <w:qFormat/>
    <w:uiPriority w:val="0"/>
    <w:pPr>
      <w:spacing w:before="100" w:beforeLines="0" w:beforeAutospacing="1" w:after="100" w:afterLines="0" w:afterAutospacing="1"/>
    </w:pPr>
    <w:rPr>
      <w:rFonts w:ascii="宋体" w:hAnsi="宋体" w:cs="宋体"/>
      <w:sz w:val="24"/>
      <w:szCs w:val="24"/>
    </w:rPr>
  </w:style>
  <w:style w:type="paragraph" w:customStyle="1" w:styleId="1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1446</Words>
  <Characters>1680</Characters>
  <Lines>0</Lines>
  <Paragraphs>0</Paragraphs>
  <TotalTime>25</TotalTime>
  <ScaleCrop>false</ScaleCrop>
  <LinksUpToDate>false</LinksUpToDate>
  <CharactersWithSpaces>1734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2021-11-16T11:05:00Z</cp:lastPrinted>
  <dcterms:modified xsi:type="dcterms:W3CDTF">2022-05-10T12:00:01Z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3C3F5A10A35B4C5ABB0207051F2EE688</vt:lpwstr>
  </property>
</Properties>
</file>