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hd w:val="clear"/>
        <w:spacing w:before="0" w:beforeAutospacing="0" w:after="0" w:afterAutospacing="0" w:line="400" w:lineRule="exact"/>
        <w:ind w:firstLine="723" w:firstLineChars="200"/>
        <w:jc w:val="center"/>
        <w:rPr>
          <w:rFonts w:hint="eastAsia" w:ascii="仿宋" w:hAnsi="仿宋" w:eastAsia="仿宋" w:cs="仿宋"/>
          <w:b/>
          <w:color w:val="auto"/>
          <w:sz w:val="36"/>
          <w:szCs w:val="36"/>
          <w:highlight w:val="none"/>
          <w:lang w:eastAsia="zh-CN"/>
        </w:rPr>
      </w:pPr>
      <w:bookmarkStart w:id="0" w:name="_Toc23056"/>
      <w:bookmarkStart w:id="1" w:name="_Toc38290703"/>
      <w:bookmarkStart w:id="2" w:name="_Toc23537"/>
    </w:p>
    <w:p>
      <w:pPr>
        <w:pStyle w:val="17"/>
        <w:shd w:val="clear"/>
        <w:spacing w:before="0" w:beforeAutospacing="0" w:after="0" w:afterAutospacing="0" w:line="400" w:lineRule="exact"/>
        <w:ind w:firstLine="723" w:firstLineChars="200"/>
        <w:jc w:val="center"/>
        <w:rPr>
          <w:rFonts w:hint="eastAsia" w:ascii="仿宋" w:hAnsi="仿宋" w:eastAsia="仿宋" w:cs="仿宋"/>
          <w:b/>
          <w:color w:val="auto"/>
          <w:sz w:val="36"/>
          <w:szCs w:val="36"/>
          <w:highlight w:val="none"/>
          <w:lang w:eastAsia="zh-CN"/>
        </w:rPr>
      </w:pPr>
    </w:p>
    <w:p>
      <w:pPr>
        <w:pStyle w:val="17"/>
        <w:shd w:val="clear"/>
        <w:spacing w:before="0" w:beforeAutospacing="0" w:after="0" w:afterAutospacing="0" w:line="400" w:lineRule="exact"/>
        <w:ind w:firstLine="723" w:firstLineChars="200"/>
        <w:jc w:val="center"/>
        <w:rPr>
          <w:rFonts w:hint="eastAsia" w:ascii="仿宋" w:hAnsi="仿宋" w:eastAsia="仿宋" w:cs="仿宋"/>
          <w:b/>
          <w:color w:val="auto"/>
          <w:sz w:val="36"/>
          <w:szCs w:val="36"/>
          <w:highlight w:val="none"/>
          <w:lang w:eastAsia="zh-CN"/>
        </w:rPr>
      </w:pPr>
    </w:p>
    <w:p>
      <w:pPr>
        <w:pStyle w:val="17"/>
        <w:shd w:val="clear"/>
        <w:spacing w:before="0" w:beforeAutospacing="0" w:after="0" w:afterAutospacing="0" w:line="400" w:lineRule="exact"/>
        <w:ind w:firstLine="723" w:firstLineChars="200"/>
        <w:jc w:val="center"/>
        <w:rPr>
          <w:rFonts w:hint="eastAsia" w:ascii="仿宋" w:hAnsi="仿宋" w:eastAsia="仿宋" w:cs="仿宋"/>
          <w:b/>
          <w:color w:val="auto"/>
          <w:sz w:val="36"/>
          <w:szCs w:val="36"/>
          <w:highlight w:val="none"/>
          <w:lang w:eastAsia="zh-CN"/>
        </w:rPr>
      </w:pPr>
    </w:p>
    <w:p>
      <w:pPr>
        <w:pStyle w:val="17"/>
        <w:shd w:val="clear"/>
        <w:spacing w:before="0" w:beforeAutospacing="0" w:after="0" w:afterAutospacing="0" w:line="400" w:lineRule="exact"/>
        <w:ind w:firstLine="0" w:firstLineChars="0"/>
        <w:jc w:val="center"/>
        <w:rPr>
          <w:rFonts w:hint="eastAsia" w:ascii="仿宋" w:hAnsi="仿宋" w:eastAsia="仿宋" w:cs="仿宋"/>
          <w:b/>
          <w:color w:val="auto"/>
          <w:sz w:val="40"/>
          <w:szCs w:val="40"/>
          <w:highlight w:val="none"/>
          <w:lang w:eastAsia="zh-CN"/>
        </w:rPr>
      </w:pPr>
      <w:r>
        <w:rPr>
          <w:rFonts w:hint="eastAsia" w:ascii="仿宋" w:hAnsi="仿宋" w:eastAsia="仿宋" w:cs="仿宋"/>
          <w:b/>
          <w:color w:val="auto"/>
          <w:sz w:val="40"/>
          <w:szCs w:val="40"/>
          <w:highlight w:val="none"/>
          <w:lang w:eastAsia="zh-CN"/>
        </w:rPr>
        <w:t>新疆维吾尔自治区渔业绿色发展调研项目</w:t>
      </w:r>
    </w:p>
    <w:p>
      <w:pPr>
        <w:pStyle w:val="17"/>
        <w:shd w:val="clear"/>
        <w:spacing w:before="0" w:beforeAutospacing="0" w:after="0" w:afterAutospacing="0" w:line="400" w:lineRule="exact"/>
        <w:ind w:firstLine="0" w:firstLineChars="0"/>
        <w:jc w:val="center"/>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0" w:firstLineChars="0"/>
        <w:jc w:val="center"/>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0" w:firstLineChars="0"/>
        <w:jc w:val="center"/>
        <w:rPr>
          <w:rFonts w:hint="eastAsia" w:ascii="仿宋" w:hAnsi="仿宋" w:eastAsia="仿宋" w:cs="仿宋"/>
          <w:b/>
          <w:color w:val="auto"/>
          <w:sz w:val="36"/>
          <w:szCs w:val="36"/>
          <w:highlight w:val="none"/>
          <w:lang w:eastAsia="zh-CN"/>
        </w:rPr>
      </w:pPr>
    </w:p>
    <w:p>
      <w:pPr>
        <w:pStyle w:val="17"/>
        <w:shd w:val="clear"/>
        <w:spacing w:before="0" w:beforeAutospacing="0" w:after="0" w:afterAutospacing="0" w:line="400" w:lineRule="exact"/>
        <w:ind w:firstLine="0" w:firstLineChars="0"/>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采购文件</w:t>
      </w: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shd w:val="clear"/>
        <w:spacing w:before="0" w:beforeAutospacing="0" w:after="0" w:afterAutospacing="0" w:line="400" w:lineRule="exact"/>
        <w:ind w:firstLine="422" w:firstLineChars="200"/>
        <w:rPr>
          <w:rFonts w:hint="eastAsia" w:ascii="仿宋" w:hAnsi="仿宋" w:eastAsia="仿宋" w:cs="仿宋"/>
          <w:b/>
          <w:color w:val="auto"/>
          <w:sz w:val="21"/>
          <w:szCs w:val="21"/>
          <w:highlight w:val="none"/>
          <w:lang w:eastAsia="zh-CN"/>
        </w:rPr>
      </w:pPr>
    </w:p>
    <w:p>
      <w:pPr>
        <w:pStyle w:val="1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仿宋" w:hAnsi="仿宋" w:eastAsia="仿宋" w:cs="仿宋"/>
          <w:b/>
          <w:color w:val="auto"/>
          <w:sz w:val="24"/>
          <w:szCs w:val="24"/>
          <w:highlight w:val="none"/>
          <w:lang w:eastAsia="zh-CN"/>
        </w:rPr>
      </w:pPr>
    </w:p>
    <w:p>
      <w:pPr>
        <w:pStyle w:val="1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采购人名称：</w:t>
      </w:r>
      <w:r>
        <w:rPr>
          <w:rFonts w:hint="eastAsia" w:ascii="仿宋" w:hAnsi="仿宋" w:eastAsia="仿宋" w:cs="仿宋"/>
          <w:color w:val="auto"/>
          <w:sz w:val="24"/>
          <w:szCs w:val="24"/>
          <w:highlight w:val="none"/>
        </w:rPr>
        <w:t>新疆维吾尔自治区农业农村厅办公室</w:t>
      </w:r>
    </w:p>
    <w:p>
      <w:pPr>
        <w:pStyle w:val="1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采购人联系人：</w:t>
      </w:r>
      <w:r>
        <w:rPr>
          <w:rFonts w:hint="eastAsia" w:ascii="仿宋" w:hAnsi="仿宋" w:eastAsia="仿宋" w:cs="仿宋"/>
          <w:color w:val="auto"/>
          <w:sz w:val="24"/>
          <w:szCs w:val="24"/>
          <w:highlight w:val="none"/>
          <w:lang w:eastAsia="zh-CN"/>
        </w:rPr>
        <w:t>帕吾扎提</w:t>
      </w:r>
    </w:p>
    <w:p>
      <w:pPr>
        <w:pStyle w:val="1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采购人联系方式： 1</w:t>
      </w:r>
      <w:r>
        <w:rPr>
          <w:rFonts w:hint="eastAsia" w:ascii="仿宋" w:hAnsi="仿宋" w:eastAsia="仿宋" w:cs="仿宋"/>
          <w:color w:val="auto"/>
          <w:sz w:val="24"/>
          <w:szCs w:val="24"/>
          <w:highlight w:val="none"/>
          <w:lang w:val="en-US" w:eastAsia="zh-CN"/>
        </w:rPr>
        <w:t>8999906504</w:t>
      </w:r>
      <w:r>
        <w:rPr>
          <w:rFonts w:hint="eastAsia" w:ascii="仿宋" w:hAnsi="仿宋" w:eastAsia="仿宋" w:cs="仿宋"/>
          <w:color w:val="auto"/>
          <w:sz w:val="24"/>
          <w:szCs w:val="24"/>
          <w:highlight w:val="none"/>
        </w:rPr>
        <w:t> </w:t>
      </w:r>
    </w:p>
    <w:p>
      <w:pPr>
        <w:pStyle w:val="1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采购人地址： 乌市新华南路408号 </w:t>
      </w:r>
    </w:p>
    <w:p>
      <w:pPr>
        <w:keepNext w:val="0"/>
        <w:keepLines w:val="0"/>
        <w:pageBreakBefore w:val="0"/>
        <w:widowControl/>
        <w:shd w:val="clear"/>
        <w:kinsoku/>
        <w:wordWrap/>
        <w:overflowPunct/>
        <w:topLinePunct w:val="0"/>
        <w:autoSpaceDE/>
        <w:autoSpaceDN/>
        <w:bidi w:val="0"/>
        <w:adjustRightInd/>
        <w:snapToGrid/>
        <w:spacing w:line="360" w:lineRule="auto"/>
        <w:ind w:firstLine="480"/>
        <w:jc w:val="left"/>
        <w:textAlignment w:val="auto"/>
        <w:rPr>
          <w:rFonts w:hint="eastAsia" w:ascii="仿宋" w:hAnsi="仿宋" w:eastAsia="仿宋" w:cs="仿宋"/>
          <w:color w:val="auto"/>
          <w:sz w:val="24"/>
          <w:szCs w:val="24"/>
          <w:highlight w:val="none"/>
        </w:rPr>
      </w:pPr>
    </w:p>
    <w:p>
      <w:pPr>
        <w:pStyle w:val="1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新疆润标工程勘察设计研究院有限公司</w:t>
      </w:r>
    </w:p>
    <w:p>
      <w:pPr>
        <w:pStyle w:val="1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张刚</w:t>
      </w:r>
    </w:p>
    <w:p>
      <w:pPr>
        <w:pStyle w:val="17"/>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1"/>
          <w:szCs w:val="21"/>
          <w:highlight w:val="none"/>
          <w:lang w:val="en-US" w:eastAsia="zh-CN"/>
        </w:rPr>
        <w:t>15739563607</w:t>
      </w:r>
    </w:p>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乌鲁木齐市新市区鲤鱼山北路集电港B座902室</w:t>
      </w:r>
    </w:p>
    <w:p>
      <w:pPr>
        <w:shd w:val="clea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rPr>
      </w:pPr>
    </w:p>
    <w:sdt>
      <w:sdtPr>
        <w:rPr>
          <w:rFonts w:hint="eastAsia" w:ascii="仿宋" w:hAnsi="仿宋" w:eastAsia="仿宋" w:cs="仿宋"/>
          <w:color w:val="auto"/>
          <w:kern w:val="2"/>
          <w:sz w:val="21"/>
          <w:szCs w:val="24"/>
          <w:highlight w:val="none"/>
          <w:lang w:val="en-US" w:eastAsia="zh-CN" w:bidi="ar-SA"/>
        </w:rPr>
        <w:id w:val="147454779"/>
        <w15:color w:val="DBDBDB"/>
      </w:sdtPr>
      <w:sdtEndPr>
        <w:rPr>
          <w:rFonts w:hint="eastAsia" w:ascii="仿宋" w:hAnsi="仿宋" w:eastAsia="仿宋" w:cs="仿宋"/>
          <w:color w:val="auto"/>
          <w:kern w:val="2"/>
          <w:sz w:val="21"/>
          <w:szCs w:val="24"/>
          <w:highlight w:val="none"/>
          <w:lang w:val="en-US" w:eastAsia="zh-CN" w:bidi="ar-SA"/>
        </w:rPr>
      </w:sdtEndPr>
      <w:sdtContent>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6"/>
              <w:szCs w:val="44"/>
              <w:highlight w:val="none"/>
            </w:rPr>
          </w:pPr>
          <w:r>
            <w:rPr>
              <w:rFonts w:hint="eastAsia" w:ascii="仿宋" w:hAnsi="仿宋" w:eastAsia="仿宋" w:cs="仿宋"/>
              <w:color w:val="auto"/>
              <w:sz w:val="36"/>
              <w:szCs w:val="44"/>
              <w:highlight w:val="none"/>
            </w:rPr>
            <w:t>目录</w:t>
          </w:r>
        </w:p>
        <w:p>
          <w:pPr>
            <w:pStyle w:val="33"/>
            <w:keepNext w:val="0"/>
            <w:keepLines w:val="0"/>
            <w:pageBreakBefore w:val="0"/>
            <w:widowControl/>
            <w:shd w:val="clear"/>
            <w:tabs>
              <w:tab w:val="right" w:leader="middleDot" w:pos="921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"1-1"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_Toc18510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w:t>
          </w:r>
          <w:r>
            <w:rPr>
              <w:rFonts w:hint="eastAsia" w:ascii="仿宋" w:hAnsi="仿宋" w:eastAsia="仿宋" w:cs="仿宋"/>
              <w:color w:val="auto"/>
              <w:highlight w:val="none"/>
              <w:lang w:eastAsia="zh-CN"/>
            </w:rPr>
            <w:t>部分</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公开招标</w:t>
          </w:r>
          <w:r>
            <w:rPr>
              <w:rFonts w:hint="eastAsia" w:ascii="仿宋" w:hAnsi="仿宋" w:eastAsia="仿宋" w:cs="仿宋"/>
              <w:color w:val="auto"/>
              <w:highlight w:val="none"/>
            </w:rPr>
            <w:t>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_Toc18510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33"/>
            <w:keepNext w:val="0"/>
            <w:keepLines w:val="0"/>
            <w:pageBreakBefore w:val="0"/>
            <w:widowControl/>
            <w:shd w:val="clear"/>
            <w:tabs>
              <w:tab w:val="right" w:leader="middleDot" w:pos="921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_Toc23800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w:t>
          </w:r>
          <w:r>
            <w:rPr>
              <w:rFonts w:hint="eastAsia" w:ascii="仿宋" w:hAnsi="仿宋" w:eastAsia="仿宋" w:cs="仿宋"/>
              <w:color w:val="auto"/>
              <w:highlight w:val="none"/>
              <w:lang w:eastAsia="zh-CN"/>
            </w:rPr>
            <w:t>部分</w:t>
          </w:r>
          <w:r>
            <w:rPr>
              <w:rFonts w:hint="eastAsia" w:ascii="仿宋" w:hAnsi="仿宋" w:eastAsia="仿宋" w:cs="仿宋"/>
              <w:color w:val="auto"/>
              <w:highlight w:val="none"/>
            </w:rPr>
            <w:t xml:space="preserve">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33"/>
            <w:keepNext w:val="0"/>
            <w:keepLines w:val="0"/>
            <w:pageBreakBefore w:val="0"/>
            <w:widowControl/>
            <w:shd w:val="clear"/>
            <w:tabs>
              <w:tab w:val="right" w:leader="middleDot" w:pos="921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_Toc8109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第三部分  合同格式（参考）</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_Toc8109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33"/>
            <w:keepNext w:val="0"/>
            <w:keepLines w:val="0"/>
            <w:pageBreakBefore w:val="0"/>
            <w:widowControl/>
            <w:shd w:val="clear"/>
            <w:tabs>
              <w:tab w:val="right" w:leader="middleDot" w:pos="921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_Toc6886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第四部分 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_Toc6886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33"/>
            <w:keepNext w:val="0"/>
            <w:keepLines w:val="0"/>
            <w:pageBreakBefore w:val="0"/>
            <w:widowControl/>
            <w:shd w:val="clear"/>
            <w:tabs>
              <w:tab w:val="right" w:leader="middleDot" w:pos="9213"/>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_Toc20192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第五部分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_Toc20192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8"/>
            <w:shd w:val="clear"/>
            <w:rPr>
              <w:rFonts w:hint="eastAsia" w:ascii="仿宋" w:hAnsi="仿宋" w:eastAsia="仿宋" w:cs="仿宋"/>
              <w:color w:val="auto"/>
              <w:kern w:val="2"/>
              <w:sz w:val="21"/>
              <w:szCs w:val="24"/>
              <w:highlight w:val="none"/>
              <w:lang w:val="en-US" w:eastAsia="zh-CN" w:bidi="ar-SA"/>
            </w:rPr>
            <w:sectPr>
              <w:headerReference r:id="rId4" w:type="first"/>
              <w:footerReference r:id="rId6" w:type="first"/>
              <w:headerReference r:id="rId3" w:type="default"/>
              <w:footerReference r:id="rId5" w:type="default"/>
              <w:pgSz w:w="11906" w:h="16838"/>
              <w:pgMar w:top="680" w:right="1276" w:bottom="1712" w:left="1417" w:header="703" w:footer="850" w:gutter="0"/>
              <w:pgBorders>
                <w:top w:val="none" w:sz="0" w:space="0"/>
                <w:left w:val="none" w:sz="0" w:space="0"/>
                <w:bottom w:val="none" w:sz="0" w:space="0"/>
                <w:right w:val="none" w:sz="0" w:space="0"/>
              </w:pgBorders>
              <w:pgNumType w:fmt="numberInDash"/>
              <w:cols w:space="720" w:num="1"/>
              <w:docGrid w:type="lines" w:linePitch="314" w:charSpace="0"/>
            </w:sectPr>
          </w:pPr>
          <w:r>
            <w:rPr>
              <w:rFonts w:hint="eastAsia" w:ascii="仿宋" w:hAnsi="仿宋" w:eastAsia="仿宋" w:cs="仿宋"/>
              <w:color w:val="auto"/>
              <w:highlight w:val="none"/>
            </w:rPr>
            <w:fldChar w:fldCharType="end"/>
          </w:r>
        </w:p>
      </w:sdtContent>
    </w:sdt>
    <w:p>
      <w:pPr>
        <w:pStyle w:val="3"/>
        <w:shd w:val="clear"/>
        <w:bidi w:val="0"/>
        <w:rPr>
          <w:rFonts w:hint="eastAsia" w:ascii="仿宋" w:hAnsi="仿宋" w:eastAsia="仿宋" w:cs="仿宋"/>
          <w:color w:val="auto"/>
          <w:highlight w:val="none"/>
        </w:rPr>
      </w:pPr>
      <w:bookmarkStart w:id="3" w:name="_Toc18510"/>
      <w:r>
        <w:rPr>
          <w:rFonts w:hint="eastAsia" w:ascii="仿宋" w:hAnsi="仿宋" w:eastAsia="仿宋" w:cs="仿宋"/>
          <w:color w:val="auto"/>
          <w:highlight w:val="none"/>
        </w:rPr>
        <w:t>第一</w:t>
      </w:r>
      <w:bookmarkStart w:id="4" w:name="_Hlk51338716"/>
      <w:bookmarkStart w:id="5" w:name="_Toc349573119"/>
      <w:bookmarkStart w:id="6" w:name="_Toc349637918"/>
      <w:bookmarkStart w:id="7" w:name="_Toc298240403"/>
      <w:bookmarkStart w:id="8" w:name="_Toc462223630"/>
      <w:bookmarkStart w:id="9" w:name="_Toc267301280"/>
      <w:r>
        <w:rPr>
          <w:rFonts w:hint="eastAsia" w:ascii="仿宋" w:hAnsi="仿宋" w:eastAsia="仿宋" w:cs="仿宋"/>
          <w:color w:val="auto"/>
          <w:highlight w:val="none"/>
          <w:lang w:eastAsia="zh-CN"/>
        </w:rPr>
        <w:t>部分</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公开招标</w:t>
      </w:r>
      <w:r>
        <w:rPr>
          <w:rFonts w:hint="eastAsia" w:ascii="仿宋" w:hAnsi="仿宋" w:eastAsia="仿宋" w:cs="仿宋"/>
          <w:color w:val="auto"/>
          <w:highlight w:val="none"/>
        </w:rPr>
        <w:t>公告</w:t>
      </w:r>
      <w:bookmarkEnd w:id="0"/>
      <w:bookmarkEnd w:id="3"/>
    </w:p>
    <w:p>
      <w:pPr>
        <w:widowControl/>
        <w:shd w:val="clear"/>
        <w:spacing w:line="40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新疆维吾尔自治区渔业绿色发展调研项目公开招标</w:t>
      </w:r>
      <w:r>
        <w:rPr>
          <w:rFonts w:hint="eastAsia" w:ascii="仿宋" w:hAnsi="仿宋" w:eastAsia="仿宋" w:cs="仿宋"/>
          <w:b/>
          <w:color w:val="auto"/>
          <w:sz w:val="21"/>
          <w:szCs w:val="21"/>
          <w:highlight w:val="none"/>
        </w:rPr>
        <w:t>公告</w:t>
      </w:r>
    </w:p>
    <w:p>
      <w:pPr>
        <w:pBdr>
          <w:top w:val="single" w:color="auto" w:sz="4" w:space="1"/>
          <w:left w:val="single" w:color="auto" w:sz="4" w:space="4"/>
          <w:bottom w:val="single" w:color="auto" w:sz="4" w:space="1"/>
          <w:right w:val="single" w:color="auto" w:sz="4" w:space="4"/>
        </w:pBdr>
        <w:shd w:val="clea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项目概况</w:t>
      </w:r>
    </w:p>
    <w:p>
      <w:pPr>
        <w:pBdr>
          <w:top w:val="single" w:color="auto" w:sz="4" w:space="1"/>
          <w:left w:val="single" w:color="auto" w:sz="4" w:space="4"/>
          <w:bottom w:val="single" w:color="auto" w:sz="4" w:space="1"/>
          <w:right w:val="single" w:color="auto" w:sz="4" w:space="4"/>
        </w:pBdr>
        <w:shd w:val="clea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新疆维吾尔自治区渔业绿色发展调研项目</w:t>
      </w:r>
      <w:r>
        <w:rPr>
          <w:rFonts w:hint="eastAsia" w:ascii="仿宋" w:hAnsi="仿宋" w:eastAsia="仿宋" w:cs="仿宋"/>
          <w:color w:val="auto"/>
          <w:sz w:val="21"/>
          <w:szCs w:val="21"/>
          <w:highlight w:val="none"/>
        </w:rPr>
        <w:t>的潜在投标人应在</w:t>
      </w:r>
      <w:r>
        <w:rPr>
          <w:rFonts w:hint="eastAsia" w:ascii="仿宋" w:hAnsi="仿宋" w:eastAsia="仿宋" w:cs="仿宋"/>
          <w:color w:val="auto"/>
          <w:sz w:val="21"/>
          <w:szCs w:val="21"/>
          <w:highlight w:val="none"/>
          <w:lang w:eastAsia="zh-CN"/>
        </w:rPr>
        <w:t>乌鲁木齐市新市区鲤鱼山北路集电港B座902室</w:t>
      </w:r>
      <w:r>
        <w:rPr>
          <w:rFonts w:hint="eastAsia" w:ascii="仿宋" w:hAnsi="仿宋" w:eastAsia="仿宋" w:cs="仿宋"/>
          <w:color w:val="auto"/>
          <w:sz w:val="21"/>
          <w:szCs w:val="21"/>
          <w:highlight w:val="none"/>
        </w:rPr>
        <w:t>获取招标文件，并于</w:t>
      </w:r>
      <w:r>
        <w:rPr>
          <w:rFonts w:hint="eastAsia" w:ascii="仿宋" w:hAnsi="仿宋" w:eastAsia="仿宋" w:cs="仿宋"/>
          <w:color w:val="auto"/>
          <w:sz w:val="21"/>
          <w:szCs w:val="21"/>
          <w:highlight w:val="none"/>
          <w:lang w:eastAsia="zh-CN"/>
        </w:rPr>
        <w:t>2022年5月</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lang w:eastAsia="zh-CN"/>
        </w:rPr>
        <w:t>日 16:00（北京时间）</w:t>
      </w:r>
      <w:r>
        <w:rPr>
          <w:rFonts w:hint="eastAsia" w:ascii="仿宋" w:hAnsi="仿宋" w:eastAsia="仿宋" w:cs="仿宋"/>
          <w:color w:val="auto"/>
          <w:sz w:val="21"/>
          <w:szCs w:val="21"/>
          <w:highlight w:val="none"/>
        </w:rPr>
        <w:t>前递交投标文件。</w:t>
      </w:r>
    </w:p>
    <w:p>
      <w:pPr>
        <w:pStyle w:val="17"/>
        <w:shd w:val="clear"/>
        <w:spacing w:before="0" w:beforeAutospacing="0" w:after="0" w:afterAutospacing="0" w:line="400" w:lineRule="exact"/>
        <w:jc w:val="both"/>
        <w:rPr>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一、项目基本情况</w:t>
      </w:r>
    </w:p>
    <w:p>
      <w:pPr>
        <w:pStyle w:val="17"/>
        <w:shd w:val="clear"/>
        <w:spacing w:before="0" w:beforeAutospacing="0" w:after="0" w:afterAutospacing="0" w:line="4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val="en-US" w:eastAsia="zh-CN"/>
        </w:rPr>
        <w:t>XJRBZB-CG01-2022012</w:t>
      </w:r>
    </w:p>
    <w:p>
      <w:pPr>
        <w:pStyle w:val="17"/>
        <w:shd w:val="clear"/>
        <w:spacing w:before="0" w:beforeAutospacing="0" w:after="0" w:afterAutospacing="0"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新疆维吾尔自治区渔业绿色发展调研项目</w:t>
      </w:r>
    </w:p>
    <w:p>
      <w:pPr>
        <w:pStyle w:val="17"/>
        <w:shd w:val="clear"/>
        <w:spacing w:before="0" w:beforeAutospacing="0" w:after="0" w:afterAutospacing="0"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采购方式：</w:t>
      </w:r>
      <w:r>
        <w:rPr>
          <w:rFonts w:hint="eastAsia" w:ascii="仿宋" w:hAnsi="仿宋" w:eastAsia="仿宋" w:cs="仿宋"/>
          <w:color w:val="auto"/>
          <w:sz w:val="21"/>
          <w:szCs w:val="21"/>
          <w:highlight w:val="none"/>
          <w:lang w:eastAsia="zh-CN"/>
        </w:rPr>
        <w:t>公开招标</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预算金额（元）：</w:t>
      </w:r>
      <w:r>
        <w:rPr>
          <w:rFonts w:hint="eastAsia" w:ascii="仿宋" w:hAnsi="仿宋" w:eastAsia="仿宋" w:cs="仿宋"/>
          <w:color w:val="auto"/>
          <w:sz w:val="21"/>
          <w:szCs w:val="21"/>
          <w:highlight w:val="none"/>
          <w:lang w:val="en-US" w:eastAsia="zh-CN"/>
        </w:rPr>
        <w:t>580000.00</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最高限价（元）：</w:t>
      </w:r>
      <w:r>
        <w:rPr>
          <w:rFonts w:hint="eastAsia" w:ascii="仿宋" w:hAnsi="仿宋" w:eastAsia="仿宋" w:cs="仿宋"/>
          <w:color w:val="auto"/>
          <w:sz w:val="21"/>
          <w:szCs w:val="21"/>
          <w:highlight w:val="none"/>
          <w:lang w:val="en-US" w:eastAsia="zh-CN"/>
        </w:rPr>
        <w:t>580000.00</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简要规格描述：</w:t>
      </w:r>
    </w:p>
    <w:p>
      <w:pPr>
        <w:pStyle w:val="17"/>
        <w:shd w:val="clear"/>
        <w:spacing w:before="0" w:beforeAutospacing="0" w:after="0" w:afterAutospacing="0"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采购内容：初步摸清新疆维吾尔自治区重要水产养殖区水产品质量安全现状，并开展风险评估；初步查清新疆维吾尔自治区重要水产养殖鱼类流行病学特征，并制定重要疫病防控措施；在水产品质量安全和疫病调查基础上，开展新疆维吾尔自治区水生生物资源资料综合分析，提出渔业高质量发展建议。</w:t>
      </w:r>
    </w:p>
    <w:p>
      <w:pPr>
        <w:pStyle w:val="8"/>
        <w:shd w:val="clear"/>
        <w:spacing w:after="0" w:line="560" w:lineRule="exac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rPr>
        <w:t>合同履约期限：</w:t>
      </w:r>
      <w:r>
        <w:rPr>
          <w:rFonts w:hint="eastAsia" w:ascii="仿宋" w:hAnsi="仿宋" w:eastAsia="仿宋" w:cs="仿宋"/>
          <w:color w:val="auto"/>
          <w:kern w:val="0"/>
          <w:sz w:val="21"/>
          <w:szCs w:val="21"/>
          <w:highlight w:val="none"/>
          <w:lang w:val="en-US" w:eastAsia="zh-CN" w:bidi="ar-SA"/>
        </w:rPr>
        <w:t>自签订合同之日起至2022年12月30日，因疫情影响以及国家政策所带来的不可控因素导致项目实施周期延长，双方另行协商。</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本项目（否）接受联合体投标。  </w:t>
      </w:r>
    </w:p>
    <w:p>
      <w:pPr>
        <w:pStyle w:val="17"/>
        <w:shd w:val="clear"/>
        <w:spacing w:before="0" w:beforeAutospacing="0" w:after="0" w:afterAutospacing="0" w:line="400" w:lineRule="exact"/>
        <w:jc w:val="both"/>
        <w:rPr>
          <w:rStyle w:val="22"/>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二、申请人的资格要求：</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1、满足《中华人民共和国政府采购法》第二十二条规定；</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（1）具有独立承担民事责任的能力；</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（2）具有良好的商业信誉和健全的财务会计制度；</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（3）具有履行合同所必需的设备和专业技术能力；</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（4）有依法缴纳税收和社会保障资金的良好记录；</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（5）参加政府采购活动前三年内，在经营活动中没有重大违法记录；</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（6）法律、行政法规规定的其他条件。</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、投标人需</w:t>
      </w:r>
      <w:r>
        <w:rPr>
          <w:rFonts w:hint="eastAsia" w:ascii="仿宋" w:hAnsi="仿宋" w:eastAsia="仿宋" w:cs="仿宋"/>
          <w:color w:val="auto"/>
          <w:kern w:val="2"/>
          <w:sz w:val="21"/>
          <w:szCs w:val="21"/>
          <w:highlight w:val="none"/>
          <w:lang w:val="en-US" w:eastAsia="zh-CN"/>
        </w:rPr>
        <w:t>通过</w:t>
      </w:r>
      <w:r>
        <w:rPr>
          <w:rFonts w:hint="eastAsia" w:ascii="仿宋" w:hAnsi="仿宋" w:eastAsia="仿宋" w:cs="仿宋"/>
          <w:color w:val="auto"/>
          <w:kern w:val="2"/>
          <w:sz w:val="21"/>
          <w:szCs w:val="21"/>
          <w:highlight w:val="none"/>
        </w:rPr>
        <w:t>在</w:t>
      </w:r>
      <w:r>
        <w:rPr>
          <w:rFonts w:hint="eastAsia" w:ascii="仿宋" w:hAnsi="仿宋" w:eastAsia="仿宋" w:cs="仿宋"/>
          <w:color w:val="auto"/>
          <w:kern w:val="2"/>
          <w:sz w:val="21"/>
          <w:szCs w:val="21"/>
          <w:highlight w:val="none"/>
          <w:lang w:val="en-US" w:eastAsia="zh-CN"/>
        </w:rPr>
        <w:t>“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3、须具有省级及以上行政主管部分颁发的《检验检测机构资质认定证书》《计量认证证书》。</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供应商投标人在人员、设备、资金等方面具有完成本项目的相应服务能力；</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、单位负责人为同一人或者存在直接控股、管理关系的不同供应商，不得同时参加本项目的投标。</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rPr>
        <w:t>、投标人不得以其他公司资质投标或中标后转包。如发现执行开发的公司并非中标公司，则采购人有权终止合作，并向中标人追索由此造成的一切损失。</w:t>
      </w:r>
    </w:p>
    <w:p>
      <w:pPr>
        <w:pStyle w:val="17"/>
        <w:widowControl/>
        <w:shd w:val="clear"/>
        <w:kinsoku/>
        <w:wordWrap/>
        <w:topLinePunct w:val="0"/>
        <w:bidi w:val="0"/>
        <w:spacing w:before="0" w:beforeAutospacing="0" w:after="0" w:afterAutospacing="0" w:line="400" w:lineRule="exact"/>
        <w:ind w:left="0" w:leftChars="0" w:right="0" w:rightChars="0"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7</w:t>
      </w:r>
      <w:r>
        <w:rPr>
          <w:rFonts w:hint="eastAsia" w:ascii="仿宋" w:hAnsi="仿宋" w:eastAsia="仿宋" w:cs="仿宋"/>
          <w:color w:val="auto"/>
          <w:kern w:val="2"/>
          <w:sz w:val="21"/>
          <w:szCs w:val="21"/>
          <w:highlight w:val="none"/>
        </w:rPr>
        <w:t>、本项目不接受联合体投标。</w:t>
      </w:r>
    </w:p>
    <w:p>
      <w:pPr>
        <w:pStyle w:val="17"/>
        <w:shd w:val="clear"/>
        <w:spacing w:before="0" w:beforeAutospacing="0" w:after="0" w:afterAutospacing="0" w:line="400" w:lineRule="exact"/>
        <w:jc w:val="both"/>
        <w:rPr>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三、获取采购文件</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时间：2022年0</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27</w:t>
      </w:r>
      <w:r>
        <w:rPr>
          <w:rFonts w:hint="eastAsia" w:ascii="仿宋" w:hAnsi="仿宋" w:eastAsia="仿宋" w:cs="仿宋"/>
          <w:color w:val="auto"/>
          <w:sz w:val="21"/>
          <w:szCs w:val="21"/>
          <w:highlight w:val="none"/>
        </w:rPr>
        <w:t>日至2022年0</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日，每天上午10:00至13:30，下午16:00至19:00（北京时间，法定节假日除外）</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地点：</w:t>
      </w:r>
      <w:r>
        <w:rPr>
          <w:rFonts w:hint="eastAsia" w:ascii="仿宋" w:hAnsi="仿宋" w:eastAsia="仿宋" w:cs="仿宋"/>
          <w:color w:val="auto"/>
          <w:sz w:val="21"/>
          <w:szCs w:val="21"/>
          <w:highlight w:val="none"/>
          <w:lang w:eastAsia="zh-CN"/>
        </w:rPr>
        <w:t xml:space="preserve">乌鲁木齐市新市区鲤鱼山北路集电港B座902室  </w:t>
      </w:r>
      <w:r>
        <w:rPr>
          <w:rFonts w:hint="eastAsia" w:ascii="仿宋" w:hAnsi="仿宋" w:eastAsia="仿宋" w:cs="仿宋"/>
          <w:color w:val="auto"/>
          <w:sz w:val="21"/>
          <w:szCs w:val="21"/>
          <w:highlight w:val="none"/>
        </w:rPr>
        <w:t> </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方式：线下获取 </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售价（元）：300 </w:t>
      </w:r>
    </w:p>
    <w:p>
      <w:pPr>
        <w:pStyle w:val="17"/>
        <w:shd w:val="clear"/>
        <w:spacing w:before="0" w:beforeAutospacing="0" w:after="0" w:afterAutospacing="0" w:line="400" w:lineRule="exact"/>
        <w:jc w:val="both"/>
        <w:rPr>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四、响应文件提交</w:t>
      </w:r>
    </w:p>
    <w:p>
      <w:pPr>
        <w:pStyle w:val="17"/>
        <w:shd w:val="clear"/>
        <w:spacing w:before="0" w:beforeAutospacing="0" w:after="0" w:afterAutospacing="0"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    截止时间：</w:t>
      </w:r>
      <w:r>
        <w:rPr>
          <w:rFonts w:hint="eastAsia" w:ascii="仿宋" w:hAnsi="仿宋" w:eastAsia="仿宋" w:cs="仿宋"/>
          <w:color w:val="auto"/>
          <w:sz w:val="21"/>
          <w:szCs w:val="21"/>
          <w:highlight w:val="none"/>
          <w:lang w:eastAsia="zh-CN"/>
        </w:rPr>
        <w:t>2022年</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lang w:eastAsia="zh-CN"/>
        </w:rPr>
        <w:t>日 16:00（北京时间）</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地点：</w:t>
      </w:r>
      <w:r>
        <w:rPr>
          <w:rFonts w:hint="eastAsia" w:ascii="仿宋" w:hAnsi="仿宋" w:eastAsia="仿宋" w:cs="仿宋"/>
          <w:color w:val="auto"/>
          <w:sz w:val="21"/>
          <w:szCs w:val="21"/>
          <w:highlight w:val="none"/>
          <w:lang w:eastAsia="zh-CN"/>
        </w:rPr>
        <w:t xml:space="preserve">乌鲁木齐市新市区鲤鱼山北路集电港B座902室  </w:t>
      </w:r>
    </w:p>
    <w:p>
      <w:pPr>
        <w:pStyle w:val="17"/>
        <w:shd w:val="clear"/>
        <w:spacing w:before="0" w:beforeAutospacing="0" w:after="0" w:afterAutospacing="0" w:line="400" w:lineRule="exact"/>
        <w:jc w:val="both"/>
        <w:rPr>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五、响应文件开启</w:t>
      </w:r>
    </w:p>
    <w:p>
      <w:pPr>
        <w:pStyle w:val="17"/>
        <w:shd w:val="clear"/>
        <w:spacing w:before="0" w:beforeAutospacing="0" w:after="0" w:afterAutospacing="0"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    开启时间：</w:t>
      </w:r>
      <w:r>
        <w:rPr>
          <w:rFonts w:hint="eastAsia" w:ascii="仿宋" w:hAnsi="仿宋" w:eastAsia="仿宋" w:cs="仿宋"/>
          <w:color w:val="auto"/>
          <w:sz w:val="21"/>
          <w:szCs w:val="21"/>
          <w:highlight w:val="none"/>
          <w:lang w:eastAsia="zh-CN"/>
        </w:rPr>
        <w:t>2022年5月</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lang w:eastAsia="zh-CN"/>
        </w:rPr>
        <w:t>日 16:00（北京时间）</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地点：</w:t>
      </w:r>
      <w:r>
        <w:rPr>
          <w:rFonts w:hint="eastAsia" w:ascii="仿宋" w:hAnsi="仿宋" w:eastAsia="仿宋" w:cs="仿宋"/>
          <w:color w:val="auto"/>
          <w:sz w:val="21"/>
          <w:szCs w:val="21"/>
          <w:highlight w:val="none"/>
          <w:lang w:eastAsia="zh-CN"/>
        </w:rPr>
        <w:t xml:space="preserve">乌鲁木齐市新市区鲤鱼山北路集电港B座902室  </w:t>
      </w:r>
    </w:p>
    <w:p>
      <w:pPr>
        <w:pStyle w:val="17"/>
        <w:shd w:val="clear"/>
        <w:spacing w:before="0" w:beforeAutospacing="0" w:after="0" w:afterAutospacing="0" w:line="400" w:lineRule="exact"/>
        <w:jc w:val="both"/>
        <w:rPr>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六、公告期限</w:t>
      </w:r>
    </w:p>
    <w:p>
      <w:pPr>
        <w:pStyle w:val="17"/>
        <w:shd w:val="clear"/>
        <w:spacing w:before="0" w:beforeAutospacing="0" w:after="0" w:afterAutospacing="0"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自本公告发布之日起5个工作日。</w:t>
      </w:r>
    </w:p>
    <w:p>
      <w:pPr>
        <w:pStyle w:val="17"/>
        <w:shd w:val="clear"/>
        <w:spacing w:before="0" w:beforeAutospacing="0" w:after="0" w:afterAutospacing="0" w:line="400" w:lineRule="exact"/>
        <w:jc w:val="both"/>
        <w:rPr>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七、其他补充事宜</w:t>
      </w:r>
      <w:r>
        <w:rPr>
          <w:rFonts w:hint="eastAsia" w:ascii="仿宋" w:hAnsi="仿宋" w:eastAsia="仿宋" w:cs="仿宋"/>
          <w:color w:val="auto"/>
          <w:sz w:val="21"/>
          <w:szCs w:val="21"/>
          <w:highlight w:val="none"/>
        </w:rPr>
        <w:t>  </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供应商购买标书时应提交的资料：（1）满足招标要求的“三证合一的营业执照；（2）授权委托书原件及被授权人身份证原件（或者法定代表人身份证明书及法定代表人身份证）；所有报名的投标供应商需提供上述资格要求中的资料原件及加盖企业鲜章的复印件三套交由招标代理公司存档，资料不全者不予受理。</w:t>
      </w:r>
    </w:p>
    <w:p>
      <w:pPr>
        <w:pStyle w:val="17"/>
        <w:shd w:val="clear"/>
        <w:spacing w:before="0" w:beforeAutospacing="0" w:after="0" w:afterAutospacing="0" w:line="40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以上资料提交原件审核，复印件叁套加盖公章，资料不全者，一律谢绝报名。</w:t>
      </w:r>
    </w:p>
    <w:p>
      <w:pPr>
        <w:pStyle w:val="17"/>
        <w:shd w:val="clear"/>
        <w:spacing w:before="0" w:beforeAutospacing="0" w:after="0" w:afterAutospacing="0" w:line="400" w:lineRule="exact"/>
        <w:jc w:val="both"/>
        <w:rPr>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八、凡对本次招标提出询问，请按以下方式联系</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1.采购人信息</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采购人名称：</w:t>
      </w:r>
      <w:r>
        <w:rPr>
          <w:rFonts w:hint="eastAsia" w:ascii="仿宋" w:hAnsi="仿宋" w:eastAsia="仿宋" w:cs="仿宋"/>
          <w:color w:val="auto"/>
          <w:sz w:val="21"/>
          <w:szCs w:val="21"/>
          <w:highlight w:val="none"/>
        </w:rPr>
        <w:t>新疆维吾尔自治区农业农村厅办公室</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采购人联系人：</w:t>
      </w:r>
      <w:r>
        <w:rPr>
          <w:rFonts w:hint="eastAsia" w:ascii="仿宋" w:hAnsi="仿宋" w:eastAsia="仿宋" w:cs="仿宋"/>
          <w:color w:val="auto"/>
          <w:sz w:val="21"/>
          <w:szCs w:val="21"/>
          <w:highlight w:val="none"/>
          <w:lang w:eastAsia="zh-CN"/>
        </w:rPr>
        <w:t>帕吾扎提</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采购人联系方式： </w:t>
      </w:r>
      <w:r>
        <w:rPr>
          <w:rFonts w:hint="eastAsia" w:ascii="仿宋" w:hAnsi="仿宋" w:eastAsia="仿宋" w:cs="仿宋"/>
          <w:color w:val="auto"/>
          <w:sz w:val="21"/>
          <w:szCs w:val="21"/>
          <w:highlight w:val="none"/>
          <w:lang w:val="en-US" w:eastAsia="zh-CN"/>
        </w:rPr>
        <w:t>18999906504</w:t>
      </w:r>
      <w:r>
        <w:rPr>
          <w:rFonts w:hint="eastAsia" w:ascii="仿宋" w:hAnsi="仿宋" w:eastAsia="仿宋" w:cs="仿宋"/>
          <w:color w:val="auto"/>
          <w:sz w:val="21"/>
          <w:szCs w:val="21"/>
          <w:highlight w:val="none"/>
        </w:rPr>
        <w:t> </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采购人地址：乌市新华南路408号 </w:t>
      </w:r>
    </w:p>
    <w:p>
      <w:pPr>
        <w:widowControl/>
        <w:shd w:val="clear"/>
        <w:spacing w:line="400" w:lineRule="exact"/>
        <w:ind w:firstLine="48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2.采购代理机构信息</w:t>
      </w:r>
    </w:p>
    <w:bookmarkEnd w:id="4"/>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采购代理机构：</w:t>
      </w:r>
      <w:r>
        <w:rPr>
          <w:rFonts w:hint="eastAsia" w:ascii="仿宋" w:hAnsi="仿宋" w:eastAsia="仿宋" w:cs="仿宋"/>
          <w:color w:val="auto"/>
          <w:sz w:val="21"/>
          <w:szCs w:val="21"/>
          <w:highlight w:val="none"/>
          <w:lang w:eastAsia="zh-CN"/>
        </w:rPr>
        <w:t>新疆润标工程勘察设计研究院有限公司</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eastAsia="zh-CN"/>
        </w:rPr>
        <w:t>张工</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lang w:val="en-US" w:eastAsia="zh-CN"/>
        </w:rPr>
        <w:t>15739563607</w:t>
      </w:r>
    </w:p>
    <w:p>
      <w:pPr>
        <w:pStyle w:val="17"/>
        <w:shd w:val="clear"/>
        <w:spacing w:before="0" w:beforeAutospacing="0" w:after="0" w:afterAutospacing="0" w:line="400" w:lineRule="exact"/>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lang w:eastAsia="zh-CN"/>
        </w:rPr>
        <w:t>乌鲁木齐市新市区鲤鱼山北路集电港B座902室</w:t>
      </w:r>
    </w:p>
    <w:p>
      <w:pPr>
        <w:pStyle w:val="3"/>
        <w:shd w:val="clear"/>
        <w:bidi w:val="0"/>
        <w:rPr>
          <w:rFonts w:hint="eastAsia" w:ascii="仿宋" w:hAnsi="仿宋" w:eastAsia="仿宋" w:cs="仿宋"/>
          <w:b/>
          <w:color w:val="auto"/>
          <w:sz w:val="21"/>
          <w:szCs w:val="21"/>
          <w:highlight w:val="none"/>
        </w:rPr>
      </w:pPr>
      <w:bookmarkStart w:id="10" w:name="_Toc11946"/>
      <w:r>
        <w:rPr>
          <w:rFonts w:hint="eastAsia" w:ascii="仿宋" w:hAnsi="仿宋" w:eastAsia="仿宋" w:cs="仿宋"/>
          <w:b/>
          <w:color w:val="auto"/>
          <w:sz w:val="21"/>
          <w:szCs w:val="21"/>
          <w:highlight w:val="none"/>
        </w:rPr>
        <w:br w:type="page"/>
      </w:r>
      <w:bookmarkStart w:id="11" w:name="_Toc23800"/>
      <w:r>
        <w:rPr>
          <w:rStyle w:val="32"/>
          <w:rFonts w:hint="eastAsia" w:ascii="仿宋" w:hAnsi="仿宋" w:eastAsia="仿宋" w:cs="仿宋"/>
          <w:b/>
          <w:bCs/>
          <w:color w:val="auto"/>
          <w:highlight w:val="none"/>
        </w:rPr>
        <w:t>第二</w:t>
      </w:r>
      <w:r>
        <w:rPr>
          <w:rStyle w:val="32"/>
          <w:rFonts w:hint="eastAsia" w:ascii="仿宋" w:hAnsi="仿宋" w:eastAsia="仿宋" w:cs="仿宋"/>
          <w:b/>
          <w:bCs/>
          <w:color w:val="auto"/>
          <w:highlight w:val="none"/>
          <w:lang w:eastAsia="zh-CN"/>
        </w:rPr>
        <w:t>部分</w:t>
      </w:r>
      <w:r>
        <w:rPr>
          <w:rStyle w:val="32"/>
          <w:rFonts w:hint="eastAsia" w:ascii="仿宋" w:hAnsi="仿宋" w:eastAsia="仿宋" w:cs="仿宋"/>
          <w:b/>
          <w:bCs/>
          <w:color w:val="auto"/>
          <w:highlight w:val="none"/>
        </w:rPr>
        <w:t xml:space="preserve">  供应商须知</w:t>
      </w:r>
      <w:bookmarkEnd w:id="5"/>
      <w:bookmarkEnd w:id="6"/>
      <w:bookmarkEnd w:id="7"/>
      <w:bookmarkEnd w:id="8"/>
      <w:bookmarkEnd w:id="9"/>
      <w:bookmarkEnd w:id="10"/>
      <w:bookmarkEnd w:id="11"/>
      <w:bookmarkStart w:id="12" w:name="_Toc349637919"/>
      <w:bookmarkStart w:id="13" w:name="_Toc298240404"/>
      <w:bookmarkStart w:id="14" w:name="_Toc267301281"/>
      <w:bookmarkStart w:id="15" w:name="_Toc349573120"/>
    </w:p>
    <w:p>
      <w:pPr>
        <w:shd w:val="clear"/>
        <w:spacing w:line="400" w:lineRule="exact"/>
        <w:jc w:val="center"/>
        <w:rPr>
          <w:rFonts w:hint="eastAsia" w:ascii="仿宋" w:hAnsi="仿宋" w:eastAsia="仿宋" w:cs="仿宋"/>
          <w:b/>
          <w:color w:val="auto"/>
          <w:sz w:val="21"/>
          <w:szCs w:val="21"/>
          <w:highlight w:val="none"/>
        </w:rPr>
      </w:pPr>
      <w:bookmarkStart w:id="16" w:name="_Toc462223631"/>
      <w:r>
        <w:rPr>
          <w:rFonts w:hint="eastAsia" w:ascii="仿宋" w:hAnsi="仿宋" w:eastAsia="仿宋" w:cs="仿宋"/>
          <w:b/>
          <w:color w:val="auto"/>
          <w:sz w:val="21"/>
          <w:szCs w:val="21"/>
          <w:highlight w:val="none"/>
        </w:rPr>
        <w:t>供应商须知前附表</w:t>
      </w:r>
      <w:bookmarkEnd w:id="12"/>
      <w:bookmarkEnd w:id="13"/>
      <w:bookmarkEnd w:id="14"/>
      <w:bookmarkEnd w:id="15"/>
      <w:bookmarkEnd w:id="16"/>
    </w:p>
    <w:tbl>
      <w:tblPr>
        <w:tblStyle w:val="19"/>
        <w:tblW w:w="96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350"/>
        <w:gridCol w:w="6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766" w:type="dxa"/>
            <w:vAlign w:val="center"/>
          </w:tcPr>
          <w:p>
            <w:pPr>
              <w:pageBreakBefore w:val="0"/>
              <w:shd w:val="clear"/>
              <w:kinsoku/>
              <w:topLinePunct w:val="0"/>
              <w:bidi w:val="0"/>
              <w:spacing w:line="400" w:lineRule="exact"/>
              <w:ind w:left="0" w:leftChars="0" w:firstLine="0" w:firstLineChars="0"/>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br w:type="page"/>
            </w:r>
            <w:r>
              <w:rPr>
                <w:rFonts w:hint="eastAsia" w:ascii="仿宋" w:hAnsi="仿宋" w:eastAsia="仿宋" w:cs="仿宋"/>
                <w:b/>
                <w:bCs w:val="0"/>
                <w:color w:val="auto"/>
                <w:sz w:val="21"/>
                <w:szCs w:val="21"/>
                <w:highlight w:val="none"/>
              </w:rPr>
              <w:t>序列号</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条款名称</w:t>
            </w:r>
          </w:p>
        </w:tc>
        <w:tc>
          <w:tcPr>
            <w:tcW w:w="6583"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项目名称</w:t>
            </w:r>
          </w:p>
        </w:tc>
        <w:tc>
          <w:tcPr>
            <w:tcW w:w="6583" w:type="dxa"/>
            <w:vAlign w:val="center"/>
          </w:tcPr>
          <w:p>
            <w:pPr>
              <w:pageBreakBefore w:val="0"/>
              <w:widowControl/>
              <w:shd w:val="clear"/>
              <w:kinsoku/>
              <w:wordWrap w:val="0"/>
              <w:topLinePunct w:val="0"/>
              <w:bidi w:val="0"/>
              <w:spacing w:line="400" w:lineRule="exact"/>
              <w:ind w:left="0" w:leftChars="0" w:firstLine="0" w:firstLineChars="0"/>
              <w:jc w:val="both"/>
              <w:rPr>
                <w:rFonts w:hint="eastAsia" w:ascii="仿宋" w:hAnsi="仿宋" w:eastAsia="仿宋" w:cs="仿宋"/>
                <w:b w:val="0"/>
                <w:bCs/>
                <w:color w:val="auto"/>
                <w:sz w:val="21"/>
                <w:szCs w:val="21"/>
                <w:highlight w:val="none"/>
              </w:rPr>
            </w:pPr>
            <w:r>
              <w:rPr>
                <w:rFonts w:hint="eastAsia" w:ascii="仿宋" w:hAnsi="仿宋" w:eastAsia="仿宋" w:cs="仿宋"/>
                <w:color w:val="auto"/>
                <w:sz w:val="21"/>
                <w:szCs w:val="21"/>
                <w:highlight w:val="none"/>
                <w:lang w:eastAsia="zh-CN"/>
              </w:rPr>
              <w:t>新疆维吾尔自治区渔业绿色发展调研项目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采购人</w:t>
            </w:r>
          </w:p>
        </w:tc>
        <w:tc>
          <w:tcPr>
            <w:tcW w:w="6583" w:type="dxa"/>
            <w:vAlign w:val="center"/>
          </w:tcPr>
          <w:p>
            <w:pPr>
              <w:pStyle w:val="17"/>
              <w:keepNext w:val="0"/>
              <w:keepLines w:val="0"/>
              <w:widowControl/>
              <w:suppressLineNumbers w:val="0"/>
              <w:shd w:val="clear"/>
              <w:spacing w:before="75" w:beforeAutospacing="0" w:after="75" w:afterAutospacing="0"/>
              <w:ind w:left="0" w:right="0" w:firstLine="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采购人名称：新疆维吾尔自治区农业农村厅办公室 </w:t>
            </w:r>
          </w:p>
          <w:p>
            <w:pPr>
              <w:pStyle w:val="17"/>
              <w:keepNext w:val="0"/>
              <w:keepLines w:val="0"/>
              <w:widowControl/>
              <w:suppressLineNumbers w:val="0"/>
              <w:shd w:val="clear"/>
              <w:spacing w:before="75" w:beforeAutospacing="0" w:after="75" w:afterAutospacing="0"/>
              <w:ind w:left="0" w:right="0" w:firstLine="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采购人联系人：帕吾扎提</w:t>
            </w:r>
          </w:p>
          <w:p>
            <w:pPr>
              <w:pStyle w:val="17"/>
              <w:keepNext w:val="0"/>
              <w:keepLines w:val="0"/>
              <w:widowControl/>
              <w:suppressLineNumbers w:val="0"/>
              <w:shd w:val="clear"/>
              <w:spacing w:before="75" w:beforeAutospacing="0" w:after="75" w:afterAutospacing="0"/>
              <w:ind w:left="0" w:right="0" w:firstLine="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采购人联系方式： 18999906504 </w:t>
            </w:r>
          </w:p>
          <w:p>
            <w:pPr>
              <w:pStyle w:val="17"/>
              <w:keepNext w:val="0"/>
              <w:keepLines w:val="0"/>
              <w:widowControl/>
              <w:suppressLineNumbers w:val="0"/>
              <w:shd w:val="clear"/>
              <w:spacing w:before="75" w:beforeAutospacing="0" w:after="75" w:afterAutospacing="0"/>
              <w:ind w:left="0" w:right="0" w:firstLine="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采购人地址： 乌市新华南路408号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47"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采购代理机构</w:t>
            </w:r>
          </w:p>
        </w:tc>
        <w:tc>
          <w:tcPr>
            <w:tcW w:w="6583" w:type="dxa"/>
            <w:vAlign w:val="center"/>
          </w:tcPr>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名称：新疆润标工程勘察设计研究院有限公司</w:t>
            </w:r>
          </w:p>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地　址：乌鲁木齐市新市区鲤鱼山北路集电港B座902室</w:t>
            </w:r>
          </w:p>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联系人：张刚</w:t>
            </w:r>
          </w:p>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联系电话：</w:t>
            </w:r>
            <w:r>
              <w:rPr>
                <w:rFonts w:hint="eastAsia" w:ascii="仿宋" w:hAnsi="仿宋" w:eastAsia="仿宋" w:cs="仿宋"/>
                <w:color w:val="auto"/>
                <w:sz w:val="21"/>
                <w:szCs w:val="21"/>
                <w:highlight w:val="none"/>
                <w:lang w:val="en-US" w:eastAsia="zh-CN"/>
              </w:rPr>
              <w:t>15739563607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5</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eastAsia="zh-CN"/>
              </w:rPr>
              <w:t>采购方式</w:t>
            </w:r>
          </w:p>
        </w:tc>
        <w:tc>
          <w:tcPr>
            <w:tcW w:w="6583" w:type="dxa"/>
            <w:vAlign w:val="center"/>
          </w:tcPr>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公开招标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6</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采购内容</w:t>
            </w:r>
          </w:p>
        </w:tc>
        <w:tc>
          <w:tcPr>
            <w:tcW w:w="6583" w:type="dxa"/>
            <w:vAlign w:val="center"/>
          </w:tcPr>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详见第一章采购公告或投标邀请书“</w:t>
            </w:r>
            <w:r>
              <w:rPr>
                <w:rFonts w:hint="eastAsia" w:ascii="仿宋" w:hAnsi="仿宋" w:eastAsia="仿宋" w:cs="仿宋"/>
                <w:color w:val="auto"/>
                <w:sz w:val="21"/>
                <w:szCs w:val="21"/>
                <w:highlight w:val="none"/>
              </w:rPr>
              <w:t>简要规格描述</w:t>
            </w:r>
            <w:r>
              <w:rPr>
                <w:rFonts w:hint="eastAsia" w:ascii="仿宋" w:hAnsi="仿宋" w:eastAsia="仿宋" w:cs="仿宋"/>
                <w:b w:val="0"/>
                <w:bCs/>
                <w:color w:val="auto"/>
                <w:kern w:val="0"/>
                <w:sz w:val="21"/>
                <w:szCs w:val="21"/>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7</w:t>
            </w:r>
          </w:p>
        </w:tc>
        <w:tc>
          <w:tcPr>
            <w:tcW w:w="2350" w:type="dxa"/>
            <w:vAlign w:val="center"/>
          </w:tcPr>
          <w:p>
            <w:pPr>
              <w:pageBreakBefore w:val="0"/>
              <w:shd w:val="clear"/>
              <w:kinsoku/>
              <w:topLinePunct w:val="0"/>
              <w:autoSpaceDE w:val="0"/>
              <w:autoSpaceDN w:val="0"/>
              <w:bidi w:val="0"/>
              <w:spacing w:line="400" w:lineRule="exact"/>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资格审查方式</w:t>
            </w:r>
          </w:p>
        </w:tc>
        <w:tc>
          <w:tcPr>
            <w:tcW w:w="6583" w:type="dxa"/>
            <w:vAlign w:val="center"/>
          </w:tcPr>
          <w:p>
            <w:pPr>
              <w:pageBreakBefore w:val="0"/>
              <w:shd w:val="clear"/>
              <w:kinsoku/>
              <w:topLinePunct w:val="0"/>
              <w:autoSpaceDE w:val="0"/>
              <w:autoSpaceDN w:val="0"/>
              <w:bidi w:val="0"/>
              <w:spacing w:line="400" w:lineRule="exact"/>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资格后审，资格审查内容详见第三章评标办法。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8</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项目预算（最高限价）</w:t>
            </w:r>
          </w:p>
        </w:tc>
        <w:tc>
          <w:tcPr>
            <w:tcW w:w="6583" w:type="dxa"/>
            <w:vAlign w:val="center"/>
          </w:tcPr>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zh-CN" w:eastAsia="zh-CN" w:bidi="ar-SA"/>
              </w:rPr>
              <w:t>金额（小写）：</w:t>
            </w:r>
            <w:r>
              <w:rPr>
                <w:rFonts w:hint="eastAsia" w:ascii="仿宋" w:hAnsi="仿宋" w:eastAsia="仿宋" w:cs="仿宋"/>
                <w:b w:val="0"/>
                <w:bCs/>
                <w:color w:val="auto"/>
                <w:kern w:val="0"/>
                <w:sz w:val="21"/>
                <w:szCs w:val="21"/>
                <w:highlight w:val="none"/>
                <w:lang w:val="en-US" w:eastAsia="zh-CN" w:bidi="ar-SA"/>
              </w:rPr>
              <w:t>580000元；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9</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服务期要求</w:t>
            </w:r>
          </w:p>
        </w:tc>
        <w:tc>
          <w:tcPr>
            <w:tcW w:w="6583" w:type="dxa"/>
            <w:vAlign w:val="center"/>
          </w:tcPr>
          <w:p>
            <w:pPr>
              <w:pageBreakBefore w:val="0"/>
              <w:shd w:val="clear"/>
              <w:kinsoku/>
              <w:topLinePunct w:val="0"/>
              <w:bidi w:val="0"/>
              <w:adjustRightInd w:val="0"/>
              <w:snapToGrid w:val="0"/>
              <w:spacing w:line="400" w:lineRule="exact"/>
              <w:ind w:left="0" w:leftChars="0" w:firstLine="0" w:firstLineChars="0"/>
              <w:jc w:val="left"/>
              <w:rPr>
                <w:rFonts w:hint="eastAsia" w:ascii="仿宋" w:hAnsi="仿宋" w:eastAsia="仿宋" w:cs="仿宋"/>
                <w:b w:val="0"/>
                <w:bCs/>
                <w:color w:val="auto"/>
                <w:sz w:val="21"/>
                <w:szCs w:val="21"/>
                <w:highlight w:val="none"/>
                <w:lang w:val="zh-CN" w:eastAsia="zh-CN"/>
              </w:rPr>
            </w:pPr>
            <w:r>
              <w:rPr>
                <w:rFonts w:hint="eastAsia" w:ascii="仿宋" w:hAnsi="仿宋" w:eastAsia="仿宋" w:cs="仿宋"/>
                <w:color w:val="auto"/>
                <w:sz w:val="21"/>
                <w:szCs w:val="21"/>
                <w:highlight w:val="none"/>
              </w:rPr>
              <w:t>自签订合同之日起至2022年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月30日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因疫情影响以及国家政策所带来的不可控因素导致项目实施周期延长，双方另行协商</w:t>
            </w:r>
            <w:r>
              <w:rPr>
                <w:rFonts w:hint="eastAsia" w:ascii="仿宋" w:hAnsi="仿宋" w:eastAsia="仿宋" w:cs="仿宋"/>
                <w:color w:val="auto"/>
                <w:sz w:val="32"/>
                <w:szCs w:val="32"/>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10</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项目地点</w:t>
            </w:r>
          </w:p>
        </w:tc>
        <w:tc>
          <w:tcPr>
            <w:tcW w:w="6583" w:type="dxa"/>
            <w:vAlign w:val="center"/>
          </w:tcPr>
          <w:p>
            <w:pPr>
              <w:pageBreakBefore w:val="0"/>
              <w:shd w:val="clear"/>
              <w:kinsoku/>
              <w:topLinePunct w:val="0"/>
              <w:bidi w:val="0"/>
              <w:adjustRightInd w:val="0"/>
              <w:snapToGrid w:val="0"/>
              <w:spacing w:line="400" w:lineRule="exact"/>
              <w:ind w:left="0" w:leftChars="0" w:firstLine="0" w:firstLineChars="0"/>
              <w:jc w:val="left"/>
              <w:rPr>
                <w:rFonts w:hint="eastAsia" w:ascii="仿宋" w:hAnsi="仿宋" w:eastAsia="仿宋" w:cs="仿宋"/>
                <w:b w:val="0"/>
                <w:bCs/>
                <w:color w:val="auto"/>
                <w:sz w:val="21"/>
                <w:szCs w:val="21"/>
                <w:highlight w:val="none"/>
                <w:lang w:val="zh-CN" w:eastAsia="zh-CN"/>
              </w:rPr>
            </w:pPr>
            <w:r>
              <w:rPr>
                <w:rFonts w:hint="eastAsia" w:ascii="仿宋" w:hAnsi="仿宋" w:eastAsia="仿宋" w:cs="仿宋"/>
                <w:b w:val="0"/>
                <w:bCs/>
                <w:color w:val="auto"/>
                <w:sz w:val="21"/>
                <w:szCs w:val="21"/>
                <w:highlight w:val="none"/>
                <w:lang w:eastAsia="zh-CN"/>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11</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付款方式</w:t>
            </w:r>
          </w:p>
        </w:tc>
        <w:tc>
          <w:tcPr>
            <w:tcW w:w="6583" w:type="dxa"/>
            <w:vAlign w:val="center"/>
          </w:tcPr>
          <w:p>
            <w:pPr>
              <w:pageBreakBefore w:val="0"/>
              <w:shd w:val="clear"/>
              <w:kinsoku/>
              <w:topLinePunct w:val="0"/>
              <w:bidi w:val="0"/>
              <w:adjustRightInd w:val="0"/>
              <w:snapToGrid w:val="0"/>
              <w:spacing w:line="400" w:lineRule="exact"/>
              <w:ind w:left="0" w:leftChars="0" w:firstLine="0" w:firstLineChars="0"/>
              <w:jc w:val="left"/>
              <w:rPr>
                <w:rFonts w:hint="eastAsia" w:ascii="仿宋" w:hAnsi="仿宋" w:eastAsia="仿宋" w:cs="仿宋"/>
                <w:b w:val="0"/>
                <w:bCs/>
                <w:color w:val="auto"/>
                <w:sz w:val="21"/>
                <w:szCs w:val="21"/>
                <w:highlight w:val="none"/>
                <w:lang w:val="zh-CN" w:eastAsia="zh-CN"/>
              </w:rPr>
            </w:pPr>
            <w:r>
              <w:rPr>
                <w:rFonts w:hint="eastAsia" w:ascii="仿宋" w:hAnsi="仿宋" w:eastAsia="仿宋" w:cs="仿宋"/>
                <w:b w:val="0"/>
                <w:bCs/>
                <w:color w:val="auto"/>
                <w:sz w:val="21"/>
                <w:szCs w:val="21"/>
                <w:highlight w:val="none"/>
                <w:lang w:eastAsia="zh-CN"/>
              </w:rPr>
              <w:t>合同签订后支付合同金额的30%，6月30日前提交中期总结报告支付合同金额的60%，项目验收合格后支付合同金额的10%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12</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质量标准</w:t>
            </w:r>
          </w:p>
        </w:tc>
        <w:tc>
          <w:tcPr>
            <w:tcW w:w="6583" w:type="dxa"/>
            <w:vAlign w:val="center"/>
          </w:tcPr>
          <w:p>
            <w:pPr>
              <w:pageBreakBefore w:val="0"/>
              <w:shd w:val="clear"/>
              <w:kinsoku/>
              <w:wordWrap w:val="0"/>
              <w:topLinePunct w:val="0"/>
              <w:bidi w:val="0"/>
              <w:spacing w:line="400" w:lineRule="exact"/>
              <w:ind w:left="0" w:leftChars="0" w:firstLine="0" w:firstLineChars="0"/>
              <w:jc w:val="left"/>
              <w:rPr>
                <w:rFonts w:hint="eastAsia" w:ascii="仿宋" w:hAnsi="仿宋" w:eastAsia="仿宋" w:cs="仿宋"/>
                <w:b w:val="0"/>
                <w:bCs/>
                <w:color w:val="auto"/>
                <w:kern w:val="0"/>
                <w:sz w:val="21"/>
                <w:szCs w:val="21"/>
                <w:highlight w:val="none"/>
                <w:lang w:val="zh-CN" w:eastAsia="zh-CN" w:bidi="ar-SA"/>
              </w:rPr>
            </w:pPr>
            <w:r>
              <w:rPr>
                <w:rFonts w:hint="eastAsia" w:ascii="仿宋" w:hAnsi="仿宋" w:eastAsia="仿宋" w:cs="仿宋"/>
                <w:b w:val="0"/>
                <w:bCs/>
                <w:color w:val="auto"/>
                <w:sz w:val="21"/>
                <w:szCs w:val="21"/>
                <w:highlight w:val="none"/>
              </w:rPr>
              <w:t>合格</w:t>
            </w:r>
            <w:r>
              <w:rPr>
                <w:rFonts w:hint="eastAsia" w:ascii="仿宋" w:hAnsi="仿宋" w:eastAsia="仿宋" w:cs="仿宋"/>
                <w:b w:val="0"/>
                <w:bCs/>
                <w:color w:val="auto"/>
                <w:sz w:val="21"/>
                <w:szCs w:val="21"/>
                <w:highlight w:val="none"/>
                <w:lang w:eastAsia="zh-CN"/>
              </w:rPr>
              <w:t>（通过采购人及有关部门组织的项目验收）</w:t>
            </w:r>
            <w:r>
              <w:rPr>
                <w:rFonts w:hint="eastAsia" w:ascii="仿宋" w:hAnsi="仿宋" w:eastAsia="仿宋" w:cs="仿宋"/>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13</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供应商资格条件</w:t>
            </w:r>
          </w:p>
        </w:tc>
        <w:tc>
          <w:tcPr>
            <w:tcW w:w="6583" w:type="dxa"/>
            <w:vAlign w:val="center"/>
          </w:tcPr>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bidi="ar"/>
              </w:rPr>
              <w:t>1、满足《中华人民共和国政府采购法》第二十二条规定；</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bidi="ar"/>
              </w:rPr>
              <w:t>（1）具有独立承担民事责任的能力；</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bidi="ar"/>
              </w:rPr>
              <w:t>（2）具有良好的商业信誉和健全的财务会计制度；</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bidi="ar"/>
              </w:rPr>
              <w:t>（3）具有履行合同所必需的设备和专业技术能力；</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bidi="ar"/>
              </w:rPr>
              <w:t>（4）有依法缴纳税收和社会保障资金的良好记录；</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bidi="ar"/>
              </w:rPr>
              <w:t>（5）参加政府采购活动前三年内，在经营活动中没有重大违法记录；</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bidi="ar"/>
              </w:rPr>
              <w:t>（6）法律、行政法规规定的其他条件。</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2</w:t>
            </w:r>
            <w:r>
              <w:rPr>
                <w:rFonts w:hint="eastAsia" w:ascii="仿宋" w:hAnsi="仿宋" w:eastAsia="仿宋" w:cs="仿宋"/>
                <w:b w:val="0"/>
                <w:bCs/>
                <w:color w:val="auto"/>
                <w:kern w:val="0"/>
                <w:sz w:val="21"/>
                <w:szCs w:val="21"/>
                <w:highlight w:val="none"/>
                <w:lang w:bidi="ar"/>
              </w:rPr>
              <w:t>、投标人需</w:t>
            </w:r>
            <w:r>
              <w:rPr>
                <w:rFonts w:hint="eastAsia" w:ascii="仿宋" w:hAnsi="仿宋" w:eastAsia="仿宋" w:cs="仿宋"/>
                <w:b w:val="0"/>
                <w:bCs/>
                <w:color w:val="auto"/>
                <w:kern w:val="0"/>
                <w:sz w:val="21"/>
                <w:szCs w:val="21"/>
                <w:highlight w:val="none"/>
                <w:lang w:val="en-US" w:eastAsia="zh-CN" w:bidi="ar"/>
              </w:rPr>
              <w:t>通过</w:t>
            </w:r>
            <w:r>
              <w:rPr>
                <w:rFonts w:hint="eastAsia" w:ascii="仿宋" w:hAnsi="仿宋" w:eastAsia="仿宋" w:cs="仿宋"/>
                <w:b w:val="0"/>
                <w:bCs/>
                <w:color w:val="auto"/>
                <w:kern w:val="0"/>
                <w:sz w:val="21"/>
                <w:szCs w:val="21"/>
                <w:highlight w:val="none"/>
                <w:lang w:bidi="ar"/>
              </w:rPr>
              <w:t>在</w:t>
            </w:r>
            <w:r>
              <w:rPr>
                <w:rFonts w:hint="eastAsia" w:ascii="仿宋" w:hAnsi="仿宋" w:eastAsia="仿宋" w:cs="仿宋"/>
                <w:b w:val="0"/>
                <w:bCs/>
                <w:color w:val="auto"/>
                <w:kern w:val="0"/>
                <w:sz w:val="21"/>
                <w:szCs w:val="21"/>
                <w:highlight w:val="none"/>
                <w:lang w:val="en-US" w:eastAsia="zh-CN" w:bidi="ar"/>
              </w:rPr>
              <w:t>“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3、须具有省级及以上行政主管部分颁发的《检验检测机构资质认定证书》《计量认证证书》。</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4</w:t>
            </w:r>
            <w:r>
              <w:rPr>
                <w:rFonts w:hint="eastAsia" w:ascii="仿宋" w:hAnsi="仿宋" w:eastAsia="仿宋" w:cs="仿宋"/>
                <w:b w:val="0"/>
                <w:bCs/>
                <w:color w:val="auto"/>
                <w:kern w:val="0"/>
                <w:sz w:val="21"/>
                <w:szCs w:val="21"/>
                <w:highlight w:val="none"/>
                <w:lang w:bidi="ar"/>
              </w:rPr>
              <w:t>、</w:t>
            </w:r>
            <w:r>
              <w:rPr>
                <w:rFonts w:hint="eastAsia" w:ascii="仿宋" w:hAnsi="仿宋" w:eastAsia="仿宋" w:cs="仿宋"/>
                <w:b w:val="0"/>
                <w:bCs/>
                <w:color w:val="auto"/>
                <w:kern w:val="0"/>
                <w:sz w:val="21"/>
                <w:szCs w:val="21"/>
                <w:highlight w:val="none"/>
                <w:lang w:val="en-US" w:eastAsia="zh-CN" w:bidi="ar"/>
              </w:rPr>
              <w:t>供应商投标人在人员、设备、资金等方面具有完成本项目的相应服务能力；</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val="en-US" w:eastAsia="zh-CN" w:bidi="ar"/>
              </w:rPr>
              <w:t>5</w:t>
            </w:r>
            <w:r>
              <w:rPr>
                <w:rFonts w:hint="eastAsia" w:ascii="仿宋" w:hAnsi="仿宋" w:eastAsia="仿宋" w:cs="仿宋"/>
                <w:b w:val="0"/>
                <w:bCs/>
                <w:color w:val="auto"/>
                <w:kern w:val="0"/>
                <w:sz w:val="21"/>
                <w:szCs w:val="21"/>
                <w:highlight w:val="none"/>
                <w:lang w:bidi="ar"/>
              </w:rPr>
              <w:t>、单位负责人为同一人或者存在直接控股、管理关系的不同供应商，不得同时参加本项目的投标。</w:t>
            </w:r>
          </w:p>
          <w:p>
            <w:pPr>
              <w:pStyle w:val="17"/>
              <w:widowControl/>
              <w:shd w:val="clear"/>
              <w:kinsoku/>
              <w:wordWrap/>
              <w:topLinePunct w:val="0"/>
              <w:bidi w:val="0"/>
              <w:spacing w:before="0" w:beforeAutospacing="0" w:after="0" w:afterAutospacing="0" w:line="400" w:lineRule="exact"/>
              <w:ind w:right="0" w:rightChars="0"/>
              <w:jc w:val="both"/>
              <w:rPr>
                <w:rFonts w:hint="eastAsia" w:ascii="仿宋" w:hAnsi="仿宋" w:eastAsia="仿宋" w:cs="仿宋"/>
                <w:b w:val="0"/>
                <w:bCs/>
                <w:color w:val="auto"/>
                <w:kern w:val="0"/>
                <w:sz w:val="21"/>
                <w:szCs w:val="21"/>
                <w:highlight w:val="none"/>
                <w:lang w:bidi="ar"/>
              </w:rPr>
            </w:pPr>
            <w:r>
              <w:rPr>
                <w:rFonts w:hint="eastAsia" w:ascii="仿宋" w:hAnsi="仿宋" w:eastAsia="仿宋" w:cs="仿宋"/>
                <w:b w:val="0"/>
                <w:bCs/>
                <w:color w:val="auto"/>
                <w:kern w:val="0"/>
                <w:sz w:val="21"/>
                <w:szCs w:val="21"/>
                <w:highlight w:val="none"/>
                <w:lang w:val="en-US" w:eastAsia="zh-CN" w:bidi="ar"/>
              </w:rPr>
              <w:t>6</w:t>
            </w:r>
            <w:r>
              <w:rPr>
                <w:rFonts w:hint="eastAsia" w:ascii="仿宋" w:hAnsi="仿宋" w:eastAsia="仿宋" w:cs="仿宋"/>
                <w:b w:val="0"/>
                <w:bCs/>
                <w:color w:val="auto"/>
                <w:kern w:val="0"/>
                <w:sz w:val="21"/>
                <w:szCs w:val="21"/>
                <w:highlight w:val="none"/>
                <w:lang w:bidi="ar"/>
              </w:rPr>
              <w:t>、投标人不得以其他公司资质投标或中标后转包。如发现执行开发的公司并非中标公司，则采购人有权终止合作，并向中标人追索由此造成的一切损失。</w:t>
            </w:r>
          </w:p>
          <w:p>
            <w:pPr>
              <w:pStyle w:val="17"/>
              <w:widowControl/>
              <w:shd w:val="clear"/>
              <w:kinsoku/>
              <w:wordWrap/>
              <w:topLinePunct w:val="0"/>
              <w:bidi w:val="0"/>
              <w:spacing w:before="0" w:beforeAutospacing="0" w:after="0" w:afterAutospacing="0" w:line="400" w:lineRule="exact"/>
              <w:ind w:right="0" w:rightChars="0"/>
              <w:jc w:val="both"/>
              <w:rPr>
                <w:rFonts w:hint="default"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7</w:t>
            </w:r>
            <w:r>
              <w:rPr>
                <w:rFonts w:hint="eastAsia" w:ascii="仿宋" w:hAnsi="仿宋" w:eastAsia="仿宋" w:cs="仿宋"/>
                <w:b w:val="0"/>
                <w:bCs/>
                <w:color w:val="auto"/>
                <w:kern w:val="0"/>
                <w:sz w:val="21"/>
                <w:szCs w:val="21"/>
                <w:highlight w:val="none"/>
                <w:lang w:bidi="ar"/>
              </w:rPr>
              <w:t>、本项目不接受联合体投标。</w:t>
            </w:r>
            <w:r>
              <w:rPr>
                <w:rFonts w:hint="eastAsia" w:ascii="仿宋" w:hAnsi="仿宋" w:eastAsia="仿宋" w:cs="仿宋"/>
                <w:b w:val="0"/>
                <w:bCs/>
                <w:color w:val="auto"/>
                <w:kern w:val="0"/>
                <w:sz w:val="21"/>
                <w:szCs w:val="21"/>
                <w:highlight w:val="none"/>
                <w:lang w:val="en-US" w:eastAsia="zh-CN" w:bidi="ar"/>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14</w:t>
            </w:r>
          </w:p>
        </w:tc>
        <w:tc>
          <w:tcPr>
            <w:tcW w:w="2350" w:type="dxa"/>
            <w:vAlign w:val="center"/>
          </w:tcPr>
          <w:p>
            <w:pPr>
              <w:pageBreakBefore w:val="0"/>
              <w:shd w:val="clear"/>
              <w:kinsoku/>
              <w:topLinePunct w:val="0"/>
              <w:autoSpaceDE w:val="0"/>
              <w:autoSpaceDN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color w:val="auto"/>
                <w:sz w:val="21"/>
                <w:szCs w:val="21"/>
                <w:highlight w:val="none"/>
              </w:rPr>
              <w:t>投标人不得存在的其他情形</w:t>
            </w:r>
          </w:p>
        </w:tc>
        <w:tc>
          <w:tcPr>
            <w:tcW w:w="6583" w:type="dxa"/>
            <w:vAlign w:val="center"/>
          </w:tcPr>
          <w:p>
            <w:pPr>
              <w:pageBreakBefore w:val="0"/>
              <w:shd w:val="clear"/>
              <w:tabs>
                <w:tab w:val="left" w:pos="645"/>
                <w:tab w:val="left" w:pos="1146"/>
              </w:tabs>
              <w:kinsoku/>
              <w:topLinePunct w:val="0"/>
              <w:bidi w:val="0"/>
              <w:adjustRightInd w:val="0"/>
              <w:snapToGrid w:val="0"/>
              <w:spacing w:line="400" w:lineRule="exact"/>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（1）为不具有独立法人资格的附属机构（单位）；</w:t>
            </w:r>
          </w:p>
          <w:p>
            <w:pPr>
              <w:pageBreakBefore w:val="0"/>
              <w:shd w:val="clear"/>
              <w:tabs>
                <w:tab w:val="left" w:pos="645"/>
                <w:tab w:val="left" w:pos="1146"/>
              </w:tabs>
              <w:kinsoku/>
              <w:topLinePunct w:val="0"/>
              <w:bidi w:val="0"/>
              <w:adjustRightInd w:val="0"/>
              <w:snapToGrid w:val="0"/>
              <w:spacing w:line="400" w:lineRule="exact"/>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（2）被责令停业或破产状态的；</w:t>
            </w:r>
          </w:p>
          <w:p>
            <w:pPr>
              <w:pageBreakBefore w:val="0"/>
              <w:shd w:val="clear"/>
              <w:tabs>
                <w:tab w:val="left" w:pos="645"/>
                <w:tab w:val="left" w:pos="1146"/>
              </w:tabs>
              <w:kinsoku/>
              <w:topLinePunct w:val="0"/>
              <w:bidi w:val="0"/>
              <w:adjustRightInd w:val="0"/>
              <w:snapToGrid w:val="0"/>
              <w:spacing w:line="400" w:lineRule="exact"/>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（3）被暂停或取消投标资格的；</w:t>
            </w:r>
          </w:p>
          <w:p>
            <w:pPr>
              <w:pageBreakBefore w:val="0"/>
              <w:shd w:val="clear"/>
              <w:tabs>
                <w:tab w:val="left" w:pos="645"/>
                <w:tab w:val="left" w:pos="1146"/>
              </w:tabs>
              <w:kinsoku/>
              <w:topLinePunct w:val="0"/>
              <w:bidi w:val="0"/>
              <w:adjustRightInd w:val="0"/>
              <w:snapToGrid w:val="0"/>
              <w:spacing w:line="400" w:lineRule="exact"/>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（4）财产被重组、接管、查封、扣押或冻结的；</w:t>
            </w:r>
          </w:p>
          <w:p>
            <w:pPr>
              <w:pageBreakBefore w:val="0"/>
              <w:shd w:val="clear"/>
              <w:tabs>
                <w:tab w:val="left" w:pos="645"/>
                <w:tab w:val="left" w:pos="1146"/>
              </w:tabs>
              <w:kinsoku/>
              <w:topLinePunct w:val="0"/>
              <w:bidi w:val="0"/>
              <w:adjustRightInd w:val="0"/>
              <w:snapToGrid w:val="0"/>
              <w:spacing w:line="400" w:lineRule="exact"/>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（5）在最近三年内骗取中选的；</w:t>
            </w:r>
          </w:p>
          <w:p>
            <w:pPr>
              <w:pageBreakBefore w:val="0"/>
              <w:shd w:val="clear"/>
              <w:tabs>
                <w:tab w:val="left" w:pos="645"/>
                <w:tab w:val="left" w:pos="1146"/>
              </w:tabs>
              <w:kinsoku/>
              <w:topLinePunct w:val="0"/>
              <w:bidi w:val="0"/>
              <w:adjustRightInd w:val="0"/>
              <w:snapToGrid w:val="0"/>
              <w:spacing w:line="400" w:lineRule="exact"/>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（6）在最近三年内因严重违反合同约定被解除合同/协议，或取消供应商资格的； </w:t>
            </w:r>
          </w:p>
          <w:p>
            <w:pPr>
              <w:pageBreakBefore w:val="0"/>
              <w:shd w:val="clear"/>
              <w:tabs>
                <w:tab w:val="left" w:pos="645"/>
                <w:tab w:val="left" w:pos="1146"/>
              </w:tabs>
              <w:kinsoku/>
              <w:topLinePunct w:val="0"/>
              <w:bidi w:val="0"/>
              <w:adjustRightInd w:val="0"/>
              <w:snapToGrid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color w:val="auto"/>
                <w:sz w:val="21"/>
                <w:szCs w:val="21"/>
                <w:highlight w:val="none"/>
              </w:rPr>
              <w:t xml:space="preserve">（7）投标人在最近五年内参与的采购活动中有行贿犯罪记录的；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15</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 xml:space="preserve">联合体投标    </w:t>
            </w:r>
          </w:p>
        </w:tc>
        <w:tc>
          <w:tcPr>
            <w:tcW w:w="6583" w:type="dxa"/>
            <w:vAlign w:val="center"/>
          </w:tcPr>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 xml:space="preserve">√不接受 </w:t>
            </w:r>
          </w:p>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16</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备选方案</w:t>
            </w:r>
          </w:p>
        </w:tc>
        <w:tc>
          <w:tcPr>
            <w:tcW w:w="6583" w:type="dxa"/>
            <w:vAlign w:val="center"/>
          </w:tcPr>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 不接受</w:t>
            </w:r>
          </w:p>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17</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响应文件递交截止时间</w:t>
            </w:r>
            <w:r>
              <w:rPr>
                <w:rFonts w:hint="eastAsia" w:ascii="仿宋" w:hAnsi="仿宋" w:eastAsia="仿宋" w:cs="仿宋"/>
                <w:b w:val="0"/>
                <w:bCs/>
                <w:color w:val="auto"/>
                <w:sz w:val="21"/>
                <w:szCs w:val="21"/>
                <w:highlight w:val="none"/>
                <w:lang w:eastAsia="zh-CN"/>
              </w:rPr>
              <w:t>及开标时间</w:t>
            </w:r>
          </w:p>
        </w:tc>
        <w:tc>
          <w:tcPr>
            <w:tcW w:w="6583" w:type="dxa"/>
            <w:vAlign w:val="center"/>
          </w:tcPr>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lang w:eastAsia="zh-CN"/>
              </w:rPr>
            </w:pPr>
            <w:r>
              <w:rPr>
                <w:rFonts w:hint="eastAsia" w:ascii="仿宋" w:hAnsi="仿宋" w:eastAsia="仿宋" w:cs="仿宋"/>
                <w:color w:val="auto"/>
                <w:sz w:val="21"/>
                <w:szCs w:val="21"/>
                <w:highlight w:val="none"/>
                <w:lang w:eastAsia="zh-CN"/>
              </w:rPr>
              <w:t>2022年5月</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lang w:eastAsia="zh-CN"/>
              </w:rPr>
              <w:t>日 16:00（北京时间）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18</w:t>
            </w:r>
          </w:p>
        </w:tc>
        <w:tc>
          <w:tcPr>
            <w:tcW w:w="2350" w:type="dxa"/>
            <w:vAlign w:val="center"/>
          </w:tcPr>
          <w:p>
            <w:pPr>
              <w:pageBreakBefore w:val="0"/>
              <w:shd w:val="clear"/>
              <w:kinsoku/>
              <w:topLinePunct w:val="0"/>
              <w:bidi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响应文件递交截止</w:t>
            </w:r>
            <w:r>
              <w:rPr>
                <w:rFonts w:hint="eastAsia" w:ascii="仿宋" w:hAnsi="仿宋" w:eastAsia="仿宋" w:cs="仿宋"/>
                <w:b w:val="0"/>
                <w:bCs/>
                <w:color w:val="auto"/>
                <w:sz w:val="21"/>
                <w:szCs w:val="21"/>
                <w:highlight w:val="none"/>
                <w:lang w:eastAsia="zh-CN"/>
              </w:rPr>
              <w:t>地点及开标地点</w:t>
            </w:r>
          </w:p>
        </w:tc>
        <w:tc>
          <w:tcPr>
            <w:tcW w:w="6583" w:type="dxa"/>
            <w:vAlign w:val="center"/>
          </w:tcPr>
          <w:p>
            <w:pPr>
              <w:pageBreakBefore w:val="0"/>
              <w:widowControl w:val="0"/>
              <w:shd w:val="clear"/>
              <w:kinsoku/>
              <w:wordWrap/>
              <w:overflowPunct/>
              <w:topLinePunct w:val="0"/>
              <w:autoSpaceDE/>
              <w:autoSpaceDN/>
              <w:bidi w:val="0"/>
              <w:spacing w:line="400" w:lineRule="exact"/>
              <w:ind w:left="0" w:leftChars="0" w:firstLine="0" w:firstLineChars="0"/>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 xml:space="preserve">乌鲁木齐市新市区鲤鱼山北路集电港B座902室  </w:t>
            </w:r>
            <w:r>
              <w:rPr>
                <w:rFonts w:hint="eastAsia" w:ascii="仿宋" w:hAnsi="仿宋" w:eastAsia="仿宋" w:cs="仿宋"/>
                <w:b w:val="0"/>
                <w:bCs/>
                <w:color w:val="auto"/>
                <w:sz w:val="21"/>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19</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投标</w:t>
            </w:r>
            <w:r>
              <w:rPr>
                <w:rFonts w:hint="eastAsia" w:ascii="仿宋" w:hAnsi="仿宋" w:eastAsia="仿宋" w:cs="仿宋"/>
                <w:b w:val="0"/>
                <w:bCs/>
                <w:color w:val="auto"/>
                <w:sz w:val="21"/>
                <w:szCs w:val="21"/>
                <w:highlight w:val="none"/>
              </w:rPr>
              <w:t>小组的组建及评审专家的确定方式</w:t>
            </w:r>
          </w:p>
        </w:tc>
        <w:tc>
          <w:tcPr>
            <w:tcW w:w="6583" w:type="dxa"/>
            <w:vAlign w:val="center"/>
          </w:tcPr>
          <w:p>
            <w:pPr>
              <w:pageBreakBefore w:val="0"/>
              <w:shd w:val="clear"/>
              <w:kinsoku/>
              <w:topLinePunct w:val="0"/>
              <w:bidi w:val="0"/>
              <w:adjustRightInd w:val="0"/>
              <w:snapToGrid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招标采购单位依法组建</w:t>
            </w:r>
            <w:r>
              <w:rPr>
                <w:rFonts w:hint="eastAsia" w:ascii="仿宋" w:hAnsi="仿宋" w:eastAsia="仿宋" w:cs="仿宋"/>
                <w:b w:val="0"/>
                <w:bCs/>
                <w:color w:val="auto"/>
                <w:sz w:val="21"/>
                <w:szCs w:val="21"/>
                <w:highlight w:val="none"/>
                <w:lang w:eastAsia="zh-CN"/>
              </w:rPr>
              <w:t>投标</w:t>
            </w:r>
            <w:r>
              <w:rPr>
                <w:rFonts w:hint="eastAsia" w:ascii="仿宋" w:hAnsi="仿宋" w:eastAsia="仿宋" w:cs="仿宋"/>
                <w:b w:val="0"/>
                <w:bCs/>
                <w:color w:val="auto"/>
                <w:sz w:val="21"/>
                <w:szCs w:val="21"/>
                <w:highlight w:val="none"/>
              </w:rPr>
              <w:t>小组共</w:t>
            </w:r>
            <w:r>
              <w:rPr>
                <w:rFonts w:hint="eastAsia" w:ascii="仿宋" w:hAnsi="仿宋" w:eastAsia="仿宋" w:cs="仿宋"/>
                <w:b w:val="0"/>
                <w:bCs/>
                <w:color w:val="auto"/>
                <w:sz w:val="21"/>
                <w:szCs w:val="21"/>
                <w:highlight w:val="none"/>
                <w:u w:val="single"/>
                <w:lang w:val="en-US" w:eastAsia="zh-CN"/>
              </w:rPr>
              <w:t>5</w:t>
            </w:r>
            <w:r>
              <w:rPr>
                <w:rFonts w:hint="eastAsia" w:ascii="仿宋" w:hAnsi="仿宋" w:eastAsia="仿宋" w:cs="仿宋"/>
                <w:b w:val="0"/>
                <w:bCs/>
                <w:color w:val="auto"/>
                <w:sz w:val="21"/>
                <w:szCs w:val="21"/>
                <w:highlight w:val="none"/>
              </w:rPr>
              <w:t>人组成，其中采购人代表</w:t>
            </w:r>
            <w:r>
              <w:rPr>
                <w:rFonts w:hint="eastAsia" w:ascii="仿宋" w:hAnsi="仿宋" w:eastAsia="仿宋" w:cs="仿宋"/>
                <w:b w:val="0"/>
                <w:bCs/>
                <w:color w:val="auto"/>
                <w:sz w:val="21"/>
                <w:szCs w:val="21"/>
                <w:highlight w:val="none"/>
                <w:lang w:eastAsia="zh-CN"/>
              </w:rPr>
              <w:t>不得超过投标小组的三分之一</w:t>
            </w:r>
            <w:r>
              <w:rPr>
                <w:rFonts w:hint="eastAsia" w:ascii="仿宋" w:hAnsi="仿宋" w:eastAsia="仿宋" w:cs="仿宋"/>
                <w:b w:val="0"/>
                <w:bCs/>
                <w:color w:val="auto"/>
                <w:sz w:val="21"/>
                <w:szCs w:val="21"/>
                <w:highlight w:val="none"/>
              </w:rPr>
              <w:t>。</w:t>
            </w:r>
          </w:p>
          <w:p>
            <w:pPr>
              <w:pageBreakBefore w:val="0"/>
              <w:shd w:val="clear"/>
              <w:kinsoku/>
              <w:topLinePunct w:val="0"/>
              <w:bidi w:val="0"/>
              <w:adjustRightInd w:val="0"/>
              <w:snapToGrid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20</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评审办法</w:t>
            </w:r>
          </w:p>
        </w:tc>
        <w:tc>
          <w:tcPr>
            <w:tcW w:w="6583" w:type="dxa"/>
            <w:vAlign w:val="center"/>
          </w:tcPr>
          <w:p>
            <w:pPr>
              <w:pageBreakBefore w:val="0"/>
              <w:shd w:val="clear"/>
              <w:kinsoku/>
              <w:topLinePunct w:val="0"/>
              <w:bidi w:val="0"/>
              <w:spacing w:line="400" w:lineRule="exact"/>
              <w:ind w:left="0" w:leftChars="0" w:firstLine="0" w:firstLineChars="0"/>
              <w:jc w:val="lef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综合评分法，即指</w:t>
            </w:r>
            <w:r>
              <w:rPr>
                <w:rFonts w:hint="eastAsia" w:ascii="仿宋" w:hAnsi="仿宋" w:eastAsia="仿宋" w:cs="仿宋"/>
                <w:b w:val="0"/>
                <w:bCs/>
                <w:color w:val="auto"/>
                <w:sz w:val="21"/>
                <w:szCs w:val="21"/>
                <w:highlight w:val="none"/>
                <w:lang w:eastAsia="zh-CN"/>
              </w:rPr>
              <w:t>响应文件</w:t>
            </w:r>
            <w:r>
              <w:rPr>
                <w:rFonts w:hint="eastAsia" w:ascii="仿宋" w:hAnsi="仿宋" w:eastAsia="仿宋" w:cs="仿宋"/>
                <w:b w:val="0"/>
                <w:bCs/>
                <w:color w:val="auto"/>
                <w:sz w:val="21"/>
                <w:szCs w:val="21"/>
                <w:highlight w:val="none"/>
              </w:rPr>
              <w:t>满足</w:t>
            </w:r>
            <w:r>
              <w:rPr>
                <w:rFonts w:hint="eastAsia" w:ascii="仿宋" w:hAnsi="仿宋" w:eastAsia="仿宋" w:cs="仿宋"/>
                <w:b w:val="0"/>
                <w:bCs/>
                <w:color w:val="auto"/>
                <w:sz w:val="21"/>
                <w:szCs w:val="21"/>
                <w:highlight w:val="none"/>
                <w:lang w:eastAsia="zh-CN"/>
              </w:rPr>
              <w:t>投标</w:t>
            </w:r>
            <w:r>
              <w:rPr>
                <w:rFonts w:hint="eastAsia" w:ascii="仿宋" w:hAnsi="仿宋" w:eastAsia="仿宋" w:cs="仿宋"/>
                <w:b w:val="0"/>
                <w:bCs/>
                <w:color w:val="auto"/>
                <w:sz w:val="21"/>
                <w:szCs w:val="21"/>
                <w:highlight w:val="none"/>
              </w:rPr>
              <w:t>文件全部实质性要求且按照评审因素的量化指标评审得分最高的</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为中标候选人的评标方法。每一</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21</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投标</w:t>
            </w:r>
            <w:r>
              <w:rPr>
                <w:rFonts w:hint="eastAsia" w:ascii="仿宋" w:hAnsi="仿宋" w:eastAsia="仿宋" w:cs="仿宋"/>
                <w:b w:val="0"/>
                <w:bCs/>
                <w:color w:val="auto"/>
                <w:sz w:val="21"/>
                <w:szCs w:val="21"/>
                <w:highlight w:val="none"/>
              </w:rPr>
              <w:t>有效期</w:t>
            </w:r>
          </w:p>
        </w:tc>
        <w:tc>
          <w:tcPr>
            <w:tcW w:w="6583" w:type="dxa"/>
            <w:vAlign w:val="center"/>
          </w:tcPr>
          <w:p>
            <w:pPr>
              <w:pageBreakBefore w:val="0"/>
              <w:shd w:val="clear"/>
              <w:kinsoku/>
              <w:topLinePunct w:val="0"/>
              <w:bidi w:val="0"/>
              <w:adjustRightInd w:val="0"/>
              <w:snapToGrid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u w:val="single"/>
                <w:lang w:val="en-US" w:eastAsia="zh-CN"/>
              </w:rPr>
              <w:t>9</w:t>
            </w:r>
            <w:r>
              <w:rPr>
                <w:rFonts w:hint="eastAsia" w:ascii="仿宋" w:hAnsi="仿宋" w:eastAsia="仿宋" w:cs="仿宋"/>
                <w:b w:val="0"/>
                <w:bCs/>
                <w:color w:val="auto"/>
                <w:sz w:val="21"/>
                <w:szCs w:val="21"/>
                <w:highlight w:val="none"/>
                <w:u w:val="single"/>
              </w:rPr>
              <w:t xml:space="preserve">0 </w:t>
            </w:r>
            <w:r>
              <w:rPr>
                <w:rFonts w:hint="eastAsia" w:ascii="仿宋" w:hAnsi="仿宋" w:eastAsia="仿宋" w:cs="仿宋"/>
                <w:b w:val="0"/>
                <w:bCs/>
                <w:color w:val="auto"/>
                <w:sz w:val="21"/>
                <w:szCs w:val="21"/>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22</w:t>
            </w:r>
          </w:p>
        </w:tc>
        <w:tc>
          <w:tcPr>
            <w:tcW w:w="2350" w:type="dxa"/>
            <w:vAlign w:val="center"/>
          </w:tcPr>
          <w:p>
            <w:pPr>
              <w:pageBreakBefore w:val="0"/>
              <w:shd w:val="clear"/>
              <w:kinsoku/>
              <w:topLinePunct w:val="0"/>
              <w:bidi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eastAsia="zh-CN"/>
              </w:rPr>
              <w:t>投标预备会</w:t>
            </w:r>
          </w:p>
        </w:tc>
        <w:tc>
          <w:tcPr>
            <w:tcW w:w="6583" w:type="dxa"/>
            <w:vAlign w:val="center"/>
          </w:tcPr>
          <w:p>
            <w:pPr>
              <w:pageBreakBefore w:val="0"/>
              <w:shd w:val="clear"/>
              <w:kinsoku/>
              <w:topLinePunct w:val="0"/>
              <w:autoSpaceDE w:val="0"/>
              <w:autoSpaceDN w:val="0"/>
              <w:bidi w:val="0"/>
              <w:adjustRightInd w:val="0"/>
              <w:spacing w:line="400" w:lineRule="exact"/>
              <w:ind w:left="0" w:leftChars="0" w:firstLine="0" w:firstLineChars="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□是</w:t>
            </w:r>
          </w:p>
          <w:p>
            <w:pPr>
              <w:pageBreakBefore w:val="0"/>
              <w:shd w:val="clear"/>
              <w:kinsoku/>
              <w:topLinePunct w:val="0"/>
              <w:autoSpaceDE w:val="0"/>
              <w:autoSpaceDN w:val="0"/>
              <w:bidi w:val="0"/>
              <w:adjustRightInd w:val="0"/>
              <w:spacing w:line="40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23</w:t>
            </w:r>
          </w:p>
        </w:tc>
        <w:tc>
          <w:tcPr>
            <w:tcW w:w="2350" w:type="dxa"/>
            <w:vAlign w:val="center"/>
          </w:tcPr>
          <w:p>
            <w:pPr>
              <w:pageBreakBefore w:val="0"/>
              <w:shd w:val="clear"/>
              <w:kinsoku/>
              <w:topLinePunct w:val="0"/>
              <w:bidi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踏勘现场</w:t>
            </w:r>
          </w:p>
        </w:tc>
        <w:tc>
          <w:tcPr>
            <w:tcW w:w="6583" w:type="dxa"/>
            <w:vAlign w:val="center"/>
          </w:tcPr>
          <w:p>
            <w:pPr>
              <w:pageBreakBefore w:val="0"/>
              <w:shd w:val="clear"/>
              <w:kinsoku/>
              <w:topLinePunct w:val="0"/>
              <w:autoSpaceDE w:val="0"/>
              <w:autoSpaceDN w:val="0"/>
              <w:bidi w:val="0"/>
              <w:adjustRightInd w:val="0"/>
              <w:spacing w:line="400" w:lineRule="exact"/>
              <w:ind w:left="0" w:leftChars="0" w:firstLine="0" w:firstLineChars="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24</w:t>
            </w:r>
          </w:p>
        </w:tc>
        <w:tc>
          <w:tcPr>
            <w:tcW w:w="2350" w:type="dxa"/>
            <w:vAlign w:val="center"/>
          </w:tcPr>
          <w:p>
            <w:pPr>
              <w:pageBreakBefore w:val="0"/>
              <w:shd w:val="clear"/>
              <w:kinsoku/>
              <w:topLinePunct w:val="0"/>
              <w:bidi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资料</w:t>
            </w:r>
            <w:r>
              <w:rPr>
                <w:rFonts w:hint="eastAsia" w:ascii="仿宋" w:hAnsi="仿宋" w:eastAsia="仿宋" w:cs="仿宋"/>
                <w:b w:val="0"/>
                <w:bCs/>
                <w:color w:val="auto"/>
                <w:sz w:val="21"/>
                <w:szCs w:val="21"/>
                <w:highlight w:val="none"/>
                <w:lang w:val="en-US" w:eastAsia="zh-CN"/>
              </w:rPr>
              <w:t>备查</w:t>
            </w:r>
          </w:p>
        </w:tc>
        <w:tc>
          <w:tcPr>
            <w:tcW w:w="6583" w:type="dxa"/>
            <w:vAlign w:val="center"/>
          </w:tcPr>
          <w:p>
            <w:pPr>
              <w:pageBreakBefore w:val="0"/>
              <w:widowControl/>
              <w:shd w:val="clear"/>
              <w:kinsoku/>
              <w:topLinePunct w:val="0"/>
              <w:bidi w:val="0"/>
              <w:spacing w:line="400" w:lineRule="exact"/>
              <w:ind w:left="0" w:leftChars="0" w:firstLine="0" w:firstLineChars="0"/>
              <w:jc w:val="lef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各</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开标会现场需携带以下</w:t>
            </w:r>
            <w:r>
              <w:rPr>
                <w:rFonts w:hint="eastAsia" w:ascii="仿宋" w:hAnsi="仿宋" w:eastAsia="仿宋" w:cs="仿宋"/>
                <w:b w:val="0"/>
                <w:bCs/>
                <w:color w:val="auto"/>
                <w:sz w:val="21"/>
                <w:szCs w:val="21"/>
                <w:highlight w:val="none"/>
                <w:lang w:val="en-US" w:eastAsia="zh-CN"/>
              </w:rPr>
              <w:t>资料原件备查</w:t>
            </w:r>
            <w:r>
              <w:rPr>
                <w:rFonts w:hint="eastAsia" w:ascii="仿宋" w:hAnsi="仿宋" w:eastAsia="仿宋" w:cs="仿宋"/>
                <w:b w:val="0"/>
                <w:bCs/>
                <w:color w:val="auto"/>
                <w:sz w:val="21"/>
                <w:szCs w:val="21"/>
                <w:highlight w:val="none"/>
                <w:lang w:eastAsia="zh-CN"/>
              </w:rPr>
              <w:t>：</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（1）营业执照（三证合一）；</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（2）投标方</w:t>
            </w:r>
            <w:r>
              <w:rPr>
                <w:rFonts w:hint="eastAsia" w:ascii="仿宋" w:hAnsi="仿宋" w:eastAsia="仿宋" w:cs="仿宋"/>
                <w:b w:val="0"/>
                <w:bCs/>
                <w:color w:val="auto"/>
                <w:sz w:val="21"/>
                <w:szCs w:val="21"/>
                <w:highlight w:val="none"/>
                <w:lang w:eastAsia="zh-CN"/>
              </w:rPr>
              <w:t>为</w:t>
            </w:r>
            <w:r>
              <w:rPr>
                <w:rFonts w:hint="eastAsia" w:ascii="仿宋" w:hAnsi="仿宋" w:eastAsia="仿宋" w:cs="仿宋"/>
                <w:b w:val="0"/>
                <w:bCs/>
                <w:color w:val="auto"/>
                <w:sz w:val="21"/>
                <w:szCs w:val="21"/>
                <w:highlight w:val="none"/>
              </w:rPr>
              <w:t>法人投标需携带法人授权委托书原件及被授权人身份证原件或法人身份证明书及身份证原件（加盖公章）</w:t>
            </w:r>
            <w:r>
              <w:rPr>
                <w:rFonts w:hint="eastAsia" w:ascii="仿宋" w:hAnsi="仿宋" w:eastAsia="仿宋" w:cs="仿宋"/>
                <w:b w:val="0"/>
                <w:bCs/>
                <w:color w:val="auto"/>
                <w:sz w:val="21"/>
                <w:szCs w:val="21"/>
                <w:highlight w:val="none"/>
                <w:lang w:eastAsia="zh-CN"/>
              </w:rPr>
              <w:t>；</w:t>
            </w:r>
          </w:p>
          <w:p>
            <w:pPr>
              <w:pStyle w:val="11"/>
              <w:shd w:val="clear"/>
              <w:ind w:left="0" w:leftChars="0" w:firstLine="0" w:firstLineChars="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w:t>
            </w:r>
            <w:r>
              <w:rPr>
                <w:rFonts w:hint="eastAsia" w:ascii="仿宋" w:hAnsi="仿宋" w:eastAsia="仿宋" w:cs="仿宋"/>
                <w:color w:val="auto"/>
                <w:kern w:val="2"/>
                <w:sz w:val="21"/>
                <w:szCs w:val="21"/>
                <w:highlight w:val="none"/>
                <w:lang w:val="en-US" w:eastAsia="zh-CN" w:bidi="ar-SA"/>
              </w:rPr>
              <w:t>“信用中国”网站（https://www.creditchina.gov.cn/）中的企业信用信息查询结果，“中国政府采购网”（http://www.ccgp.gov.cn/）中“政府采购严重违法失信行为信息记录”查询结果。查询时间不能早于本项目采购公告发布之日。</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（4）投标保证金交纳凭证（复印件加盖公章）。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25</w:t>
            </w:r>
          </w:p>
        </w:tc>
        <w:tc>
          <w:tcPr>
            <w:tcW w:w="2350" w:type="dxa"/>
            <w:vAlign w:val="center"/>
          </w:tcPr>
          <w:p>
            <w:pPr>
              <w:pageBreakBefore w:val="0"/>
              <w:shd w:val="clear"/>
              <w:kinsoku/>
              <w:topLinePunct w:val="0"/>
              <w:autoSpaceDE w:val="0"/>
              <w:autoSpaceDN w:val="0"/>
              <w:bidi w:val="0"/>
              <w:spacing w:line="400" w:lineRule="exact"/>
              <w:ind w:left="0" w:leftChars="0" w:firstLine="0" w:firstLineChars="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投标文件组成</w:t>
            </w:r>
          </w:p>
        </w:tc>
        <w:tc>
          <w:tcPr>
            <w:tcW w:w="6583" w:type="dxa"/>
            <w:vAlign w:val="center"/>
          </w:tcPr>
          <w:p>
            <w:pPr>
              <w:keepNext w:val="0"/>
              <w:keepLines w:val="0"/>
              <w:pageBreakBefore w:val="0"/>
              <w:widowControl w:val="0"/>
              <w:suppressLineNumbers w:val="0"/>
              <w:shd w:val="clear"/>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本次开标：线下投标、纸质版投标文件评审。投标人编制、提交的投标文件，须符合本项目采购文件要求的投标文件编制和提交要求。</w:t>
            </w:r>
          </w:p>
          <w:p>
            <w:pPr>
              <w:pageBreakBefore w:val="0"/>
              <w:shd w:val="clear"/>
              <w:kinsoku/>
              <w:topLinePunct w:val="0"/>
              <w:autoSpaceDE w:val="0"/>
              <w:autoSpaceDN w:val="0"/>
              <w:bidi w:val="0"/>
              <w:spacing w:line="400" w:lineRule="exact"/>
              <w:ind w:left="0" w:leftChars="0" w:firstLine="0" w:firstLine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响应文件的装订及密封要求：</w:t>
            </w:r>
          </w:p>
          <w:p>
            <w:pPr>
              <w:keepNext w:val="0"/>
              <w:keepLines w:val="0"/>
              <w:pageBreakBefore w:val="0"/>
              <w:widowControl w:val="0"/>
              <w:suppressLineNumbers w:val="0"/>
              <w:shd w:val="clear"/>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color w:val="auto"/>
                <w:sz w:val="21"/>
                <w:szCs w:val="21"/>
                <w:highlight w:val="none"/>
              </w:rPr>
              <w:t>正</w:t>
            </w:r>
            <w:r>
              <w:rPr>
                <w:rFonts w:hint="eastAsia" w:ascii="仿宋" w:hAnsi="仿宋" w:eastAsia="仿宋" w:cs="仿宋"/>
                <w:b w:val="0"/>
                <w:bCs/>
                <w:color w:val="auto"/>
                <w:sz w:val="21"/>
                <w:szCs w:val="21"/>
                <w:highlight w:val="none"/>
                <w:lang w:val="en-US" w:eastAsia="zh-CN"/>
              </w:rPr>
              <w:t>本壹份，副本肆份（共伍份），</w:t>
            </w:r>
          </w:p>
          <w:p>
            <w:pPr>
              <w:keepNext w:val="0"/>
              <w:keepLines w:val="0"/>
              <w:pageBreakBefore w:val="0"/>
              <w:widowControl w:val="0"/>
              <w:suppressLineNumbers w:val="0"/>
              <w:shd w:val="clear"/>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开标一览表壹份，</w:t>
            </w:r>
          </w:p>
          <w:p>
            <w:pPr>
              <w:keepNext w:val="0"/>
              <w:keepLines w:val="0"/>
              <w:pageBreakBefore w:val="0"/>
              <w:widowControl w:val="0"/>
              <w:suppressLineNumbers w:val="0"/>
              <w:shd w:val="clear"/>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电子版：U盘壹份，光盘贰份（内容为加盖公章的响应文件扫描件）</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u w:val="single"/>
              </w:rPr>
            </w:pPr>
            <w:r>
              <w:rPr>
                <w:rFonts w:hint="eastAsia" w:ascii="仿宋" w:hAnsi="仿宋" w:eastAsia="仿宋" w:cs="仿宋"/>
                <w:b w:val="0"/>
                <w:bCs/>
                <w:color w:val="auto"/>
                <w:sz w:val="21"/>
                <w:szCs w:val="21"/>
                <w:highlight w:val="none"/>
                <w:lang w:val="en-US" w:eastAsia="zh-CN"/>
              </w:rPr>
              <w:t>响应文件的装订要求：响应文件不得以活页方式装订，不可拆装。装订应牢固、胶粘不易拆散和换页2、响应文件的密封要求：</w:t>
            </w:r>
            <w:r>
              <w:rPr>
                <w:rFonts w:hint="eastAsia" w:ascii="仿宋" w:hAnsi="仿宋" w:eastAsia="仿宋" w:cs="仿宋"/>
                <w:b/>
                <w:bCs/>
                <w:color w:val="auto"/>
                <w:sz w:val="21"/>
                <w:szCs w:val="21"/>
                <w:highlight w:val="none"/>
              </w:rPr>
              <w:t>(1)供应商应将</w:t>
            </w:r>
            <w:r>
              <w:rPr>
                <w:rFonts w:hint="eastAsia" w:ascii="仿宋" w:hAnsi="仿宋" w:eastAsia="仿宋" w:cs="仿宋"/>
                <w:b/>
                <w:bCs/>
                <w:color w:val="auto"/>
                <w:sz w:val="21"/>
                <w:szCs w:val="21"/>
                <w:highlight w:val="none"/>
                <w:lang w:eastAsia="zh-CN"/>
              </w:rPr>
              <w:t>开标</w:t>
            </w:r>
            <w:r>
              <w:rPr>
                <w:rFonts w:hint="eastAsia" w:ascii="仿宋" w:hAnsi="仿宋" w:eastAsia="仿宋" w:cs="仿宋"/>
                <w:b/>
                <w:bCs/>
                <w:color w:val="auto"/>
                <w:sz w:val="21"/>
                <w:szCs w:val="21"/>
                <w:highlight w:val="none"/>
              </w:rPr>
              <w:t>一览表单独密封提交，并在信封上标明"</w:t>
            </w:r>
            <w:r>
              <w:rPr>
                <w:rFonts w:hint="eastAsia" w:ascii="仿宋" w:hAnsi="仿宋" w:eastAsia="仿宋" w:cs="仿宋"/>
                <w:b/>
                <w:bCs/>
                <w:color w:val="auto"/>
                <w:sz w:val="21"/>
                <w:szCs w:val="21"/>
                <w:highlight w:val="none"/>
                <w:lang w:eastAsia="zh-CN"/>
              </w:rPr>
              <w:t>开标</w:t>
            </w:r>
            <w:r>
              <w:rPr>
                <w:rFonts w:hint="eastAsia" w:ascii="仿宋" w:hAnsi="仿宋" w:eastAsia="仿宋" w:cs="仿宋"/>
                <w:b/>
                <w:bCs/>
                <w:color w:val="auto"/>
                <w:sz w:val="21"/>
                <w:szCs w:val="21"/>
                <w:highlight w:val="none"/>
              </w:rPr>
              <w:t>一览表"字样；</w:t>
            </w:r>
            <w:r>
              <w:rPr>
                <w:rFonts w:hint="eastAsia" w:ascii="仿宋" w:hAnsi="仿宋" w:eastAsia="仿宋" w:cs="仿宋"/>
                <w:color w:val="auto"/>
                <w:sz w:val="21"/>
                <w:szCs w:val="21"/>
                <w:highlight w:val="none"/>
              </w:rPr>
              <w:t>(</w:t>
            </w:r>
            <w:r>
              <w:rPr>
                <w:rFonts w:hint="eastAsia" w:ascii="仿宋" w:hAnsi="仿宋" w:eastAsia="仿宋" w:cs="仿宋"/>
                <w:b w:val="0"/>
                <w:bCs/>
                <w:color w:val="auto"/>
                <w:sz w:val="21"/>
                <w:szCs w:val="21"/>
                <w:highlight w:val="none"/>
                <w:lang w:val="en-US" w:eastAsia="zh-CN"/>
              </w:rPr>
              <w:t>2)电子版</w:t>
            </w:r>
            <w:r>
              <w:rPr>
                <w:rFonts w:hint="eastAsia" w:ascii="仿宋" w:hAnsi="仿宋" w:eastAsia="仿宋" w:cs="仿宋"/>
                <w:b/>
                <w:bCs/>
                <w:color w:val="auto"/>
                <w:sz w:val="21"/>
                <w:szCs w:val="21"/>
                <w:highlight w:val="none"/>
              </w:rPr>
              <w:t>单独密封提交，并在信封上标明"</w:t>
            </w:r>
            <w:r>
              <w:rPr>
                <w:rFonts w:hint="eastAsia" w:ascii="仿宋" w:hAnsi="仿宋" w:eastAsia="仿宋" w:cs="仿宋"/>
                <w:b/>
                <w:bCs/>
                <w:color w:val="auto"/>
                <w:sz w:val="21"/>
                <w:szCs w:val="21"/>
                <w:highlight w:val="none"/>
                <w:lang w:eastAsia="zh-CN"/>
              </w:rPr>
              <w:t>电子版</w:t>
            </w:r>
            <w:r>
              <w:rPr>
                <w:rFonts w:hint="eastAsia" w:ascii="仿宋" w:hAnsi="仿宋" w:eastAsia="仿宋" w:cs="仿宋"/>
                <w:b/>
                <w:bCs/>
                <w:color w:val="auto"/>
                <w:sz w:val="21"/>
                <w:szCs w:val="21"/>
                <w:highlight w:val="none"/>
              </w:rPr>
              <w:t>"字样；</w:t>
            </w:r>
            <w:r>
              <w:rPr>
                <w:rFonts w:hint="eastAsia" w:ascii="仿宋" w:hAnsi="仿宋" w:eastAsia="仿宋" w:cs="仿宋"/>
                <w:color w:val="auto"/>
                <w:sz w:val="21"/>
                <w:szCs w:val="21"/>
                <w:highlight w:val="none"/>
              </w:rPr>
              <w:t>(</w:t>
            </w:r>
            <w:r>
              <w:rPr>
                <w:rFonts w:hint="eastAsia" w:ascii="仿宋" w:hAnsi="仿宋" w:eastAsia="仿宋" w:cs="仿宋"/>
                <w:b w:val="0"/>
                <w:bCs/>
                <w:color w:val="auto"/>
                <w:sz w:val="21"/>
                <w:szCs w:val="21"/>
                <w:highlight w:val="none"/>
                <w:lang w:val="en-US" w:eastAsia="zh-CN"/>
              </w:rPr>
              <w:t>3)供应商应将响应文件统包密封，封面应注明项目名称</w:t>
            </w:r>
            <w:r>
              <w:rPr>
                <w:rFonts w:hint="eastAsia" w:ascii="仿宋" w:hAnsi="仿宋" w:eastAsia="仿宋" w:cs="仿宋"/>
                <w:color w:val="auto"/>
                <w:sz w:val="21"/>
                <w:szCs w:val="21"/>
                <w:highlight w:val="none"/>
                <w:lang w:val="en-US" w:eastAsia="zh-CN"/>
              </w:rPr>
              <w:t>、</w:t>
            </w:r>
            <w:r>
              <w:rPr>
                <w:rFonts w:hint="eastAsia" w:ascii="仿宋" w:hAnsi="仿宋" w:eastAsia="仿宋" w:cs="仿宋"/>
                <w:b w:val="0"/>
                <w:bCs/>
                <w:color w:val="auto"/>
                <w:sz w:val="21"/>
                <w:szCs w:val="21"/>
                <w:highlight w:val="none"/>
                <w:lang w:val="en-US" w:eastAsia="zh-CN"/>
              </w:rPr>
              <w:t>项目编号</w:t>
            </w:r>
            <w:r>
              <w:rPr>
                <w:rFonts w:hint="eastAsia" w:ascii="仿宋" w:hAnsi="仿宋" w:eastAsia="仿宋" w:cs="仿宋"/>
                <w:color w:val="auto"/>
                <w:sz w:val="21"/>
                <w:szCs w:val="21"/>
                <w:highlight w:val="none"/>
                <w:lang w:val="en-US" w:eastAsia="zh-CN"/>
              </w:rPr>
              <w:t>、</w:t>
            </w:r>
            <w:r>
              <w:rPr>
                <w:rFonts w:hint="eastAsia" w:ascii="仿宋" w:hAnsi="仿宋" w:eastAsia="仿宋" w:cs="仿宋"/>
                <w:b w:val="0"/>
                <w:bCs/>
                <w:color w:val="auto"/>
                <w:sz w:val="21"/>
                <w:szCs w:val="21"/>
                <w:highlight w:val="none"/>
              </w:rPr>
              <w:t>采购人名称</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供应商名称</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供应商的地址、联系人、联系电话等。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2</w:t>
            </w:r>
            <w:r>
              <w:rPr>
                <w:rFonts w:hint="eastAsia" w:ascii="仿宋" w:hAnsi="仿宋" w:eastAsia="仿宋" w:cs="仿宋"/>
                <w:b w:val="0"/>
                <w:bCs/>
                <w:color w:val="auto"/>
                <w:sz w:val="21"/>
                <w:szCs w:val="21"/>
                <w:highlight w:val="none"/>
                <w:lang w:val="en-US" w:eastAsia="zh-CN"/>
              </w:rPr>
              <w:t>6</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eastAsia="zh-CN"/>
              </w:rPr>
              <w:t>投标</w:t>
            </w:r>
            <w:r>
              <w:rPr>
                <w:rFonts w:hint="eastAsia" w:ascii="仿宋" w:hAnsi="仿宋" w:eastAsia="仿宋" w:cs="仿宋"/>
                <w:b w:val="0"/>
                <w:bCs/>
                <w:color w:val="auto"/>
                <w:sz w:val="21"/>
                <w:szCs w:val="21"/>
                <w:highlight w:val="none"/>
              </w:rPr>
              <w:t>保证金</w:t>
            </w:r>
          </w:p>
        </w:tc>
        <w:tc>
          <w:tcPr>
            <w:tcW w:w="6583" w:type="dxa"/>
            <w:vAlign w:val="center"/>
          </w:tcPr>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投标</w:t>
            </w:r>
            <w:r>
              <w:rPr>
                <w:rFonts w:hint="eastAsia" w:ascii="仿宋" w:hAnsi="仿宋" w:eastAsia="仿宋" w:cs="仿宋"/>
                <w:b w:val="0"/>
                <w:bCs/>
                <w:color w:val="auto"/>
                <w:sz w:val="21"/>
                <w:szCs w:val="21"/>
                <w:highlight w:val="none"/>
              </w:rPr>
              <w:t>保证金：</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缴纳方式：电汇、网银转账</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金额（小写）：</w:t>
            </w:r>
            <w:r>
              <w:rPr>
                <w:rFonts w:hint="eastAsia" w:ascii="仿宋" w:hAnsi="仿宋" w:eastAsia="仿宋" w:cs="仿宋"/>
                <w:b w:val="0"/>
                <w:bCs/>
                <w:color w:val="auto"/>
                <w:sz w:val="21"/>
                <w:szCs w:val="21"/>
                <w:highlight w:val="none"/>
                <w:lang w:val="en-US" w:eastAsia="zh-CN"/>
              </w:rPr>
              <w:t>10000.00</w:t>
            </w:r>
            <w:r>
              <w:rPr>
                <w:rFonts w:hint="eastAsia" w:ascii="仿宋" w:hAnsi="仿宋" w:eastAsia="仿宋" w:cs="仿宋"/>
                <w:b w:val="0"/>
                <w:bCs/>
                <w:color w:val="auto"/>
                <w:sz w:val="21"/>
                <w:szCs w:val="21"/>
                <w:highlight w:val="none"/>
              </w:rPr>
              <w:t xml:space="preserve">元                                    </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金额（大写）：</w:t>
            </w:r>
            <w:r>
              <w:rPr>
                <w:rFonts w:hint="eastAsia" w:ascii="仿宋" w:hAnsi="仿宋" w:eastAsia="仿宋" w:cs="仿宋"/>
                <w:b w:val="0"/>
                <w:bCs/>
                <w:color w:val="auto"/>
                <w:sz w:val="21"/>
                <w:szCs w:val="21"/>
                <w:highlight w:val="none"/>
                <w:lang w:eastAsia="zh-CN"/>
              </w:rPr>
              <w:t>壹万元整；（</w:t>
            </w:r>
            <w:r>
              <w:rPr>
                <w:rFonts w:hint="eastAsia" w:ascii="仿宋" w:hAnsi="仿宋" w:eastAsia="仿宋" w:cs="仿宋"/>
                <w:b w:val="0"/>
                <w:bCs/>
                <w:color w:val="auto"/>
                <w:sz w:val="21"/>
                <w:szCs w:val="21"/>
                <w:highlight w:val="none"/>
              </w:rPr>
              <w:t>备注项目</w:t>
            </w:r>
            <w:r>
              <w:rPr>
                <w:rFonts w:hint="eastAsia" w:ascii="仿宋" w:hAnsi="仿宋" w:eastAsia="仿宋" w:cs="仿宋"/>
                <w:b w:val="0"/>
                <w:bCs/>
                <w:color w:val="auto"/>
                <w:sz w:val="21"/>
                <w:szCs w:val="21"/>
                <w:highlight w:val="none"/>
                <w:lang w:eastAsia="zh-CN"/>
              </w:rPr>
              <w:t>编号、项目</w:t>
            </w:r>
            <w:r>
              <w:rPr>
                <w:rFonts w:hint="eastAsia" w:ascii="仿宋" w:hAnsi="仿宋" w:eastAsia="仿宋" w:cs="仿宋"/>
                <w:b w:val="0"/>
                <w:bCs/>
                <w:color w:val="auto"/>
                <w:sz w:val="21"/>
                <w:szCs w:val="21"/>
                <w:highlight w:val="none"/>
              </w:rPr>
              <w:t xml:space="preserve">名称 </w:t>
            </w:r>
            <w:r>
              <w:rPr>
                <w:rFonts w:hint="eastAsia" w:ascii="仿宋" w:hAnsi="仿宋" w:eastAsia="仿宋" w:cs="仿宋"/>
                <w:b w:val="0"/>
                <w:bCs/>
                <w:color w:val="auto"/>
                <w:sz w:val="21"/>
                <w:szCs w:val="21"/>
                <w:highlight w:val="none"/>
                <w:lang w:eastAsia="zh-CN"/>
              </w:rPr>
              <w:t>）</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收款单位：</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 xml:space="preserve">公司名称：新疆润标工程勘察设计研究院有限公司乌鲁木齐分公司 </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账号：65050110601500000137</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开户银行：中国建设银行乌鲁木齐鲤鱼山北路支行</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 xml:space="preserve">税号：91650100MA780REH9A </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必须</w:t>
            </w:r>
            <w:r>
              <w:rPr>
                <w:rFonts w:hint="eastAsia" w:ascii="仿宋" w:hAnsi="仿宋" w:eastAsia="仿宋" w:cs="仿宋"/>
                <w:b w:val="0"/>
                <w:bCs/>
                <w:color w:val="auto"/>
                <w:sz w:val="21"/>
                <w:szCs w:val="21"/>
                <w:highlight w:val="none"/>
                <w:lang w:eastAsia="zh-CN"/>
              </w:rPr>
              <w:t>投标截止时间前</w:t>
            </w:r>
            <w:r>
              <w:rPr>
                <w:rFonts w:hint="eastAsia" w:ascii="仿宋" w:hAnsi="仿宋" w:eastAsia="仿宋" w:cs="仿宋"/>
                <w:b w:val="0"/>
                <w:bCs/>
                <w:color w:val="auto"/>
                <w:sz w:val="21"/>
                <w:szCs w:val="21"/>
                <w:highlight w:val="none"/>
              </w:rPr>
              <w:t>完成保证金缴纳工作。</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需自行评估因异地、跨行、公休日等因素造成的投标保证金到账延迟风险，并承担相应责任。</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(2)投标保证金的提交以保证金账户到账时间为准。</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27</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0"/>
                <w:sz w:val="21"/>
                <w:szCs w:val="21"/>
                <w:highlight w:val="none"/>
              </w:rPr>
              <w:t>履约保证金</w:t>
            </w:r>
          </w:p>
        </w:tc>
        <w:tc>
          <w:tcPr>
            <w:tcW w:w="6583" w:type="dxa"/>
            <w:vAlign w:val="center"/>
          </w:tcPr>
          <w:p>
            <w:pPr>
              <w:keepNext w:val="0"/>
              <w:keepLines w:val="0"/>
              <w:pageBreakBefore w:val="0"/>
              <w:widowControl w:val="0"/>
              <w:suppressLineNumbers w:val="0"/>
              <w:shd w:val="clear"/>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 xml:space="preserve">约保证金金额：合同金额的 </w:t>
            </w:r>
            <w:r>
              <w:rPr>
                <w:rFonts w:hint="eastAsia" w:ascii="仿宋" w:hAnsi="仿宋" w:eastAsia="仿宋" w:cs="仿宋"/>
                <w:b w:val="0"/>
                <w:bCs/>
                <w:color w:val="auto"/>
                <w:sz w:val="21"/>
                <w:szCs w:val="21"/>
                <w:highlight w:val="none"/>
                <w:lang w:val="en-US" w:eastAsia="zh-CN"/>
              </w:rPr>
              <w:t xml:space="preserve">/ </w:t>
            </w:r>
            <w:r>
              <w:rPr>
                <w:rFonts w:hint="eastAsia" w:ascii="仿宋" w:hAnsi="仿宋" w:eastAsia="仿宋" w:cs="仿宋"/>
                <w:b w:val="0"/>
                <w:bCs/>
                <w:color w:val="auto"/>
                <w:sz w:val="21"/>
                <w:szCs w:val="21"/>
                <w:highlight w:val="none"/>
              </w:rPr>
              <w:t>%</w:t>
            </w:r>
          </w:p>
          <w:p>
            <w:pPr>
              <w:keepNext w:val="0"/>
              <w:keepLines w:val="0"/>
              <w:pageBreakBefore w:val="0"/>
              <w:widowControl w:val="0"/>
              <w:suppressLineNumbers w:val="0"/>
              <w:shd w:val="clear"/>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履约保证金递交：中标单位收到《</w:t>
            </w:r>
            <w:r>
              <w:rPr>
                <w:rFonts w:hint="eastAsia" w:ascii="仿宋" w:hAnsi="仿宋" w:eastAsia="仿宋" w:cs="仿宋"/>
                <w:b w:val="0"/>
                <w:bCs/>
                <w:color w:val="auto"/>
                <w:sz w:val="21"/>
                <w:szCs w:val="21"/>
                <w:highlight w:val="none"/>
                <w:lang w:val="en-US" w:eastAsia="zh-CN"/>
              </w:rPr>
              <w:t>中标</w:t>
            </w:r>
            <w:r>
              <w:rPr>
                <w:rFonts w:hint="eastAsia" w:ascii="仿宋" w:hAnsi="仿宋" w:eastAsia="仿宋" w:cs="仿宋"/>
                <w:b w:val="0"/>
                <w:bCs/>
                <w:color w:val="auto"/>
                <w:sz w:val="21"/>
                <w:szCs w:val="21"/>
                <w:highlight w:val="none"/>
              </w:rPr>
              <w:t>通知书》</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签订合同</w:t>
            </w:r>
            <w:r>
              <w:rPr>
                <w:rFonts w:hint="eastAsia" w:ascii="仿宋" w:hAnsi="仿宋" w:eastAsia="仿宋" w:cs="仿宋"/>
                <w:b w:val="0"/>
                <w:bCs/>
                <w:color w:val="auto"/>
                <w:sz w:val="21"/>
                <w:szCs w:val="21"/>
                <w:highlight w:val="none"/>
                <w:lang w:val="en-US" w:eastAsia="zh-CN"/>
              </w:rPr>
              <w:t>前</w:t>
            </w:r>
            <w:r>
              <w:rPr>
                <w:rFonts w:hint="eastAsia" w:ascii="仿宋" w:hAnsi="仿宋" w:eastAsia="仿宋" w:cs="仿宋"/>
                <w:b w:val="0"/>
                <w:bCs/>
                <w:color w:val="auto"/>
                <w:sz w:val="21"/>
                <w:szCs w:val="21"/>
                <w:highlight w:val="none"/>
              </w:rPr>
              <w:t>缴纳</w:t>
            </w:r>
          </w:p>
          <w:p>
            <w:pPr>
              <w:keepNext w:val="0"/>
              <w:keepLines w:val="0"/>
              <w:pageBreakBefore w:val="0"/>
              <w:widowControl w:val="0"/>
              <w:suppressLineNumbers w:val="0"/>
              <w:shd w:val="clear"/>
              <w:kinsoku/>
              <w:wordWrap/>
              <w:overflowPunct/>
              <w:topLinePunct w:val="0"/>
              <w:autoSpaceDE/>
              <w:autoSpaceDN/>
              <w:bidi w:val="0"/>
              <w:adjustRightInd/>
              <w:spacing w:beforeAutospacing="0" w:after="0" w:afterAutospacing="0" w:line="400" w:lineRule="exact"/>
              <w:ind w:left="0" w:leftChars="0" w:right="0" w:rightChars="0" w:firstLine="0" w:firstLineChars="0"/>
              <w:jc w:val="both"/>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履约保证金形式：银行转账形式（中标单位未按</w:t>
            </w:r>
            <w:r>
              <w:rPr>
                <w:rFonts w:hint="eastAsia" w:ascii="仿宋" w:hAnsi="仿宋" w:eastAsia="仿宋" w:cs="仿宋"/>
                <w:b w:val="0"/>
                <w:bCs/>
                <w:color w:val="auto"/>
                <w:sz w:val="21"/>
                <w:szCs w:val="21"/>
                <w:highlight w:val="none"/>
                <w:lang w:val="en-US" w:eastAsia="zh-CN"/>
              </w:rPr>
              <w:t>采购</w:t>
            </w:r>
            <w:r>
              <w:rPr>
                <w:rFonts w:hint="eastAsia" w:ascii="仿宋" w:hAnsi="仿宋" w:eastAsia="仿宋" w:cs="仿宋"/>
                <w:b w:val="0"/>
                <w:bCs/>
                <w:color w:val="auto"/>
                <w:sz w:val="21"/>
                <w:szCs w:val="21"/>
                <w:highlight w:val="none"/>
              </w:rPr>
              <w:t>文件规定缴纳履约保证金的，其投标保证金将不予退还）</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zh-CN"/>
              </w:rPr>
              <w:t>履约保证金（质保金）退还：（1）履约保证金的有效期为该项目</w:t>
            </w:r>
            <w:r>
              <w:rPr>
                <w:rFonts w:hint="eastAsia" w:ascii="仿宋" w:hAnsi="仿宋" w:eastAsia="仿宋" w:cs="仿宋"/>
                <w:b w:val="0"/>
                <w:bCs/>
                <w:color w:val="auto"/>
                <w:sz w:val="21"/>
                <w:szCs w:val="21"/>
                <w:highlight w:val="none"/>
                <w:lang w:val="en-US" w:eastAsia="zh-CN"/>
              </w:rPr>
              <w:t>完成供货且通过采购人组织的项目验收</w:t>
            </w:r>
            <w:r>
              <w:rPr>
                <w:rFonts w:hint="eastAsia" w:ascii="仿宋" w:hAnsi="仿宋" w:eastAsia="仿宋" w:cs="仿宋"/>
                <w:b w:val="0"/>
                <w:bCs/>
                <w:color w:val="auto"/>
                <w:sz w:val="21"/>
                <w:szCs w:val="21"/>
                <w:highlight w:val="none"/>
                <w:lang w:val="zh-CN"/>
              </w:rPr>
              <w:t>止。（2）供应商在</w:t>
            </w:r>
            <w:r>
              <w:rPr>
                <w:rFonts w:hint="eastAsia" w:ascii="仿宋" w:hAnsi="仿宋" w:eastAsia="仿宋" w:cs="仿宋"/>
                <w:b w:val="0"/>
                <w:bCs/>
                <w:color w:val="auto"/>
                <w:sz w:val="21"/>
                <w:szCs w:val="21"/>
                <w:highlight w:val="none"/>
                <w:lang w:val="en-US" w:eastAsia="zh-CN"/>
              </w:rPr>
              <w:t>产品</w:t>
            </w:r>
            <w:r>
              <w:rPr>
                <w:rFonts w:hint="eastAsia" w:ascii="仿宋" w:hAnsi="仿宋" w:eastAsia="仿宋" w:cs="仿宋"/>
                <w:b w:val="0"/>
                <w:bCs/>
                <w:color w:val="auto"/>
                <w:sz w:val="21"/>
                <w:szCs w:val="21"/>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28</w:t>
            </w:r>
          </w:p>
        </w:tc>
        <w:tc>
          <w:tcPr>
            <w:tcW w:w="2350"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代理服务费</w:t>
            </w:r>
          </w:p>
        </w:tc>
        <w:tc>
          <w:tcPr>
            <w:tcW w:w="6583" w:type="dxa"/>
            <w:vAlign w:val="center"/>
          </w:tcPr>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本项目招标代理服务费根据发改价格[2011]534 号及计价格[2002]1980 号文件计算的招标代理服务收费标准</w:t>
            </w:r>
            <w:r>
              <w:rPr>
                <w:rFonts w:hint="eastAsia" w:ascii="仿宋" w:hAnsi="仿宋" w:eastAsia="仿宋" w:cs="仿宋"/>
                <w:b w:val="0"/>
                <w:bCs/>
                <w:color w:val="auto"/>
                <w:sz w:val="21"/>
                <w:szCs w:val="21"/>
                <w:highlight w:val="none"/>
                <w:lang w:eastAsia="zh-CN"/>
              </w:rPr>
              <w:t>下浮</w:t>
            </w:r>
            <w:r>
              <w:rPr>
                <w:rFonts w:hint="eastAsia" w:ascii="仿宋" w:hAnsi="仿宋" w:eastAsia="仿宋" w:cs="仿宋"/>
                <w:b w:val="0"/>
                <w:bCs/>
                <w:color w:val="auto"/>
                <w:sz w:val="21"/>
                <w:szCs w:val="21"/>
                <w:highlight w:val="none"/>
                <w:lang w:val="en-US" w:eastAsia="zh-CN"/>
              </w:rPr>
              <w:t>80%</w:t>
            </w:r>
            <w:r>
              <w:rPr>
                <w:rFonts w:hint="eastAsia" w:ascii="仿宋" w:hAnsi="仿宋" w:eastAsia="仿宋" w:cs="仿宋"/>
                <w:b w:val="0"/>
                <w:bCs/>
                <w:color w:val="auto"/>
                <w:sz w:val="21"/>
                <w:szCs w:val="21"/>
                <w:highlight w:val="none"/>
                <w:lang w:eastAsia="zh-CN"/>
              </w:rPr>
              <w:t>收取</w:t>
            </w:r>
            <w:r>
              <w:rPr>
                <w:rFonts w:hint="eastAsia" w:ascii="仿宋" w:hAnsi="仿宋" w:eastAsia="仿宋" w:cs="仿宋"/>
                <w:b w:val="0"/>
                <w:bCs/>
                <w:color w:val="auto"/>
                <w:sz w:val="21"/>
                <w:szCs w:val="21"/>
                <w:highlight w:val="none"/>
              </w:rPr>
              <w:t>。由中标</w:t>
            </w:r>
            <w:r>
              <w:rPr>
                <w:rFonts w:hint="eastAsia" w:ascii="仿宋" w:hAnsi="仿宋" w:eastAsia="仿宋" w:cs="仿宋"/>
                <w:b w:val="0"/>
                <w:bCs/>
                <w:color w:val="auto"/>
                <w:sz w:val="21"/>
                <w:szCs w:val="21"/>
                <w:highlight w:val="none"/>
                <w:lang w:eastAsia="zh-CN"/>
              </w:rPr>
              <w:t>（成交）</w:t>
            </w:r>
            <w:r>
              <w:rPr>
                <w:rFonts w:hint="eastAsia" w:ascii="仿宋" w:hAnsi="仿宋" w:eastAsia="仿宋" w:cs="仿宋"/>
                <w:b w:val="0"/>
                <w:bCs/>
                <w:color w:val="auto"/>
                <w:sz w:val="21"/>
                <w:szCs w:val="21"/>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29</w:t>
            </w:r>
          </w:p>
        </w:tc>
        <w:tc>
          <w:tcPr>
            <w:tcW w:w="2350" w:type="dxa"/>
            <w:vAlign w:val="center"/>
          </w:tcPr>
          <w:p>
            <w:pPr>
              <w:pageBreakBefore w:val="0"/>
              <w:shd w:val="clear"/>
              <w:kinsoku/>
              <w:topLinePunct w:val="0"/>
              <w:bidi w:val="0"/>
              <w:spacing w:line="400" w:lineRule="exact"/>
              <w:ind w:left="0" w:leftChars="0"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中小微型企业</w:t>
            </w:r>
          </w:p>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0"/>
                <w:sz w:val="21"/>
                <w:szCs w:val="21"/>
                <w:highlight w:val="none"/>
              </w:rPr>
              <w:t>有关政策</w:t>
            </w:r>
          </w:p>
        </w:tc>
        <w:tc>
          <w:tcPr>
            <w:tcW w:w="6583" w:type="dxa"/>
            <w:vAlign w:val="center"/>
          </w:tcPr>
          <w:p>
            <w:pPr>
              <w:pageBreakBefore w:val="0"/>
              <w:numPr>
                <w:ilvl w:val="0"/>
                <w:numId w:val="2"/>
              </w:numPr>
              <w:shd w:val="clear"/>
              <w:kinsoku/>
              <w:topLinePunct w:val="0"/>
              <w:bidi w:val="0"/>
              <w:spacing w:line="400" w:lineRule="exact"/>
              <w:ind w:left="0" w:leftChars="0" w:firstLine="0" w:firstLineChars="0"/>
              <w:rPr>
                <w:rStyle w:val="31"/>
                <w:rFonts w:hint="eastAsia" w:ascii="仿宋" w:hAnsi="仿宋" w:eastAsia="仿宋" w:cs="仿宋"/>
                <w:b w:val="0"/>
                <w:bCs/>
                <w:color w:val="auto"/>
                <w:sz w:val="21"/>
                <w:szCs w:val="21"/>
                <w:highlight w:val="none"/>
              </w:rPr>
            </w:pPr>
            <w:r>
              <w:rPr>
                <w:rStyle w:val="31"/>
                <w:rFonts w:hint="eastAsia" w:ascii="仿宋" w:hAnsi="仿宋" w:eastAsia="仿宋" w:cs="仿宋"/>
                <w:b w:val="0"/>
                <w:bCs/>
                <w:color w:val="auto"/>
                <w:sz w:val="21"/>
                <w:szCs w:val="21"/>
                <w:highlight w:val="none"/>
              </w:rPr>
              <w:t>《政府采购促进中小企业发展暂行办法》（财库〔2020〕4</w:t>
            </w:r>
            <w:r>
              <w:rPr>
                <w:rStyle w:val="31"/>
                <w:rFonts w:hint="eastAsia" w:ascii="仿宋" w:hAnsi="仿宋" w:eastAsia="仿宋" w:cs="仿宋"/>
                <w:b w:val="0"/>
                <w:bCs/>
                <w:color w:val="auto"/>
                <w:sz w:val="21"/>
                <w:szCs w:val="21"/>
                <w:highlight w:val="none"/>
                <w:lang w:val="en-US" w:eastAsia="zh-CN"/>
              </w:rPr>
              <w:t>6</w:t>
            </w:r>
            <w:r>
              <w:rPr>
                <w:rStyle w:val="31"/>
                <w:rFonts w:hint="eastAsia" w:ascii="仿宋" w:hAnsi="仿宋" w:eastAsia="仿宋" w:cs="仿宋"/>
                <w:b w:val="0"/>
                <w:bCs/>
                <w:color w:val="auto"/>
                <w:sz w:val="21"/>
                <w:szCs w:val="21"/>
                <w:highlight w:val="none"/>
              </w:rPr>
              <w:t>号）； （2）《财政部、司法部关于政府采购支持监狱企业发展有关问题的通知》（财库〔2014〕68号）；（3）《财政部民政部 中国残疾人联合会关于促进残疾人就业政府采购政策的通知》财库〔2017〕141号等政策，详见招标文件.</w:t>
            </w:r>
          </w:p>
          <w:p>
            <w:pPr>
              <w:pageBreakBefore w:val="0"/>
              <w:numPr>
                <w:ilvl w:val="0"/>
                <w:numId w:val="0"/>
              </w:numPr>
              <w:shd w:val="clear"/>
              <w:kinsoku/>
              <w:topLinePunct w:val="0"/>
              <w:bidi w:val="0"/>
              <w:spacing w:line="400" w:lineRule="exact"/>
              <w:ind w:leftChars="0"/>
              <w:rPr>
                <w:rFonts w:hint="eastAsia" w:ascii="仿宋" w:hAnsi="仿宋" w:eastAsia="仿宋" w:cs="仿宋"/>
                <w:b w:val="0"/>
                <w:bCs/>
                <w:color w:val="auto"/>
                <w:kern w:val="2"/>
                <w:sz w:val="21"/>
                <w:szCs w:val="21"/>
                <w:highlight w:val="none"/>
                <w:lang w:val="en-US" w:eastAsia="zh-CN" w:bidi="ar-SA"/>
              </w:rPr>
            </w:pPr>
            <w:r>
              <w:rPr>
                <w:rStyle w:val="31"/>
                <w:rFonts w:hint="eastAsia" w:ascii="仿宋" w:hAnsi="仿宋" w:eastAsia="仿宋" w:cs="仿宋"/>
                <w:b w:val="0"/>
                <w:bCs/>
                <w:color w:val="auto"/>
                <w:sz w:val="21"/>
                <w:szCs w:val="21"/>
                <w:highlight w:val="none"/>
              </w:rPr>
              <w:t>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0"/>
                <w:sz w:val="21"/>
                <w:szCs w:val="21"/>
                <w:highlight w:val="none"/>
              </w:rPr>
              <w:t>30</w:t>
            </w:r>
          </w:p>
        </w:tc>
        <w:tc>
          <w:tcPr>
            <w:tcW w:w="2350" w:type="dxa"/>
            <w:vAlign w:val="center"/>
          </w:tcPr>
          <w:p>
            <w:pPr>
              <w:pageBreakBefore w:val="0"/>
              <w:shd w:val="clear"/>
              <w:kinsoku/>
              <w:topLinePunct w:val="0"/>
              <w:bidi w:val="0"/>
              <w:spacing w:line="400" w:lineRule="exact"/>
              <w:ind w:left="0" w:leftChars="0" w:firstLine="0" w:firstLineChars="0"/>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封套上应载明的信息</w:t>
            </w:r>
          </w:p>
        </w:tc>
        <w:tc>
          <w:tcPr>
            <w:tcW w:w="6583" w:type="dxa"/>
            <w:vAlign w:val="center"/>
          </w:tcPr>
          <w:p>
            <w:pPr>
              <w:pageBreakBefore w:val="0"/>
              <w:shd w:val="clear"/>
              <w:kinsoku/>
              <w:topLinePunct w:val="0"/>
              <w:bidi w:val="0"/>
              <w:spacing w:line="400" w:lineRule="exact"/>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 </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pPr>
              <w:pageBreakBefore w:val="0"/>
              <w:shd w:val="clear"/>
              <w:kinsoku/>
              <w:topLinePunct w:val="0"/>
              <w:bidi w:val="0"/>
              <w:spacing w:line="400" w:lineRule="exact"/>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pPr>
              <w:pageBreakBefore w:val="0"/>
              <w:shd w:val="clear"/>
              <w:kinsoku/>
              <w:topLinePunct w:val="0"/>
              <w:bidi w:val="0"/>
              <w:spacing w:line="400" w:lineRule="exact"/>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eastAsia="zh-CN"/>
              </w:rPr>
              <w:t>：</w:t>
            </w:r>
            <w:r>
              <w:rPr>
                <w:rFonts w:hint="eastAsia" w:ascii="仿宋" w:hAnsi="仿宋" w:eastAsia="仿宋" w:cs="仿宋"/>
                <w:b w:val="0"/>
                <w:bCs/>
                <w:color w:val="auto"/>
                <w:sz w:val="21"/>
                <w:szCs w:val="21"/>
                <w:highlight w:val="none"/>
                <w:u w:val="single"/>
              </w:rPr>
              <w:t xml:space="preserve">                               </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color w:val="auto"/>
                <w:sz w:val="21"/>
                <w:szCs w:val="21"/>
                <w:highlight w:val="none"/>
              </w:rPr>
              <w:t>授权代理人</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u w:val="single"/>
              </w:rPr>
              <w:t xml:space="preserve">                               </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color w:val="auto"/>
                <w:sz w:val="21"/>
                <w:szCs w:val="21"/>
                <w:highlight w:val="none"/>
              </w:rPr>
              <w:t>授权代理人</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u w:val="single"/>
              </w:rPr>
              <w:t xml:space="preserve">                               </w:t>
            </w:r>
          </w:p>
          <w:p>
            <w:pPr>
              <w:pStyle w:val="6"/>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联系电话：</w:t>
            </w:r>
            <w:r>
              <w:rPr>
                <w:rFonts w:hint="eastAsia" w:ascii="仿宋" w:hAnsi="仿宋" w:eastAsia="仿宋" w:cs="仿宋"/>
                <w:b w:val="0"/>
                <w:bCs/>
                <w:color w:val="auto"/>
                <w:sz w:val="21"/>
                <w:szCs w:val="21"/>
                <w:highlight w:val="none"/>
                <w:u w:val="single"/>
              </w:rPr>
              <w:t xml:space="preserve">                                 </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sz w:val="21"/>
                <w:szCs w:val="21"/>
                <w:highlight w:val="none"/>
              </w:rPr>
              <w:t>在</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日</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时</w:t>
            </w:r>
            <w:r>
              <w:rPr>
                <w:rFonts w:hint="eastAsia" w:ascii="仿宋" w:hAnsi="仿宋" w:eastAsia="仿宋" w:cs="仿宋"/>
                <w:b w:val="0"/>
                <w:bCs/>
                <w:color w:val="auto"/>
                <w:sz w:val="21"/>
                <w:szCs w:val="21"/>
                <w:highlight w:val="none"/>
                <w:u w:val="single"/>
              </w:rPr>
              <w:t xml:space="preserve">    </w:t>
            </w:r>
            <w:r>
              <w:rPr>
                <w:rFonts w:hint="eastAsia" w:ascii="仿宋" w:hAnsi="仿宋" w:eastAsia="仿宋" w:cs="仿宋"/>
                <w:b w:val="0"/>
                <w:bCs/>
                <w:color w:val="auto"/>
                <w:sz w:val="21"/>
                <w:szCs w:val="21"/>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31</w:t>
            </w:r>
          </w:p>
        </w:tc>
        <w:tc>
          <w:tcPr>
            <w:tcW w:w="2350" w:type="dxa"/>
            <w:vAlign w:val="center"/>
          </w:tcPr>
          <w:p>
            <w:pPr>
              <w:shd w:val="clear"/>
              <w:autoSpaceDE w:val="0"/>
              <w:autoSpaceDN w:val="0"/>
              <w:spacing w:line="360" w:lineRule="auto"/>
              <w:rPr>
                <w:rFonts w:hint="eastAsia" w:ascii="仿宋" w:hAnsi="仿宋" w:eastAsia="仿宋" w:cs="仿宋"/>
                <w:b w:val="0"/>
                <w:bCs/>
                <w:color w:val="auto"/>
                <w:sz w:val="21"/>
                <w:szCs w:val="21"/>
                <w:highlight w:val="none"/>
              </w:rPr>
            </w:pPr>
            <w:r>
              <w:rPr>
                <w:rFonts w:hint="eastAsia" w:ascii="仿宋" w:hAnsi="仿宋" w:eastAsia="仿宋" w:cs="仿宋"/>
                <w:color w:val="auto"/>
                <w:sz w:val="21"/>
                <w:szCs w:val="21"/>
                <w:highlight w:val="none"/>
              </w:rPr>
              <w:t>需要补充的其他内容</w:t>
            </w:r>
          </w:p>
        </w:tc>
        <w:tc>
          <w:tcPr>
            <w:tcW w:w="6583" w:type="dxa"/>
            <w:vAlign w:val="center"/>
          </w:tcPr>
          <w:p>
            <w:pPr>
              <w:pageBreakBefore w:val="0"/>
              <w:numPr>
                <w:ilvl w:val="0"/>
                <w:numId w:val="0"/>
              </w:numPr>
              <w:shd w:val="clear"/>
              <w:kinsoku/>
              <w:topLinePunct w:val="0"/>
              <w:bidi w:val="0"/>
              <w:spacing w:line="400" w:lineRule="exact"/>
              <w:ind w:leftChars="0"/>
              <w:rPr>
                <w:rStyle w:val="31"/>
                <w:rFonts w:hint="eastAsia" w:ascii="仿宋" w:hAnsi="仿宋" w:eastAsia="仿宋" w:cs="仿宋"/>
                <w:b w:val="0"/>
                <w:bCs/>
                <w:color w:val="auto"/>
                <w:sz w:val="21"/>
                <w:szCs w:val="21"/>
                <w:highlight w:val="none"/>
              </w:rPr>
            </w:pPr>
            <w:r>
              <w:rPr>
                <w:rStyle w:val="31"/>
                <w:rFonts w:hint="eastAsia" w:ascii="仿宋" w:hAnsi="仿宋" w:eastAsia="仿宋" w:cs="仿宋"/>
                <w:b w:val="0"/>
                <w:bCs/>
                <w:color w:val="auto"/>
                <w:sz w:val="21"/>
                <w:szCs w:val="21"/>
                <w:highlight w:val="none"/>
                <w:lang w:val="en-US" w:eastAsia="zh-CN"/>
              </w:rPr>
              <w:t>1</w:t>
            </w:r>
            <w:r>
              <w:rPr>
                <w:rStyle w:val="31"/>
                <w:rFonts w:hint="eastAsia" w:ascii="仿宋" w:hAnsi="仿宋" w:eastAsia="仿宋" w:cs="仿宋"/>
                <w:b w:val="0"/>
                <w:bCs/>
                <w:color w:val="auto"/>
                <w:sz w:val="21"/>
                <w:szCs w:val="21"/>
                <w:highlight w:val="none"/>
              </w:rPr>
              <w:t>、本项目投标应以人民币报价；</w:t>
            </w:r>
          </w:p>
          <w:p>
            <w:pPr>
              <w:pageBreakBefore w:val="0"/>
              <w:numPr>
                <w:ilvl w:val="0"/>
                <w:numId w:val="0"/>
              </w:numPr>
              <w:shd w:val="clear"/>
              <w:kinsoku/>
              <w:topLinePunct w:val="0"/>
              <w:bidi w:val="0"/>
              <w:spacing w:line="400" w:lineRule="exact"/>
              <w:ind w:leftChars="0"/>
              <w:rPr>
                <w:rStyle w:val="31"/>
                <w:rFonts w:hint="eastAsia" w:ascii="仿宋" w:hAnsi="仿宋" w:eastAsia="仿宋" w:cs="仿宋"/>
                <w:b w:val="0"/>
                <w:bCs/>
                <w:color w:val="auto"/>
                <w:sz w:val="21"/>
                <w:szCs w:val="21"/>
                <w:highlight w:val="none"/>
              </w:rPr>
            </w:pPr>
            <w:r>
              <w:rPr>
                <w:rStyle w:val="31"/>
                <w:rFonts w:hint="eastAsia" w:ascii="仿宋" w:hAnsi="仿宋" w:eastAsia="仿宋" w:cs="仿宋"/>
                <w:b w:val="0"/>
                <w:bCs/>
                <w:color w:val="auto"/>
                <w:sz w:val="21"/>
                <w:szCs w:val="21"/>
                <w:highlight w:val="none"/>
              </w:rPr>
              <w:t>2、不论投标结果如何，投标人均应自行承担所有与投标有关的全部费用</w:t>
            </w:r>
            <w:r>
              <w:rPr>
                <w:rStyle w:val="31"/>
                <w:rFonts w:hint="eastAsia" w:ascii="仿宋" w:hAnsi="仿宋" w:eastAsia="仿宋" w:cs="仿宋"/>
                <w:b w:val="0"/>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32</w:t>
            </w:r>
          </w:p>
        </w:tc>
        <w:tc>
          <w:tcPr>
            <w:tcW w:w="2350" w:type="dxa"/>
            <w:vAlign w:val="center"/>
          </w:tcPr>
          <w:p>
            <w:pPr>
              <w:shd w:val="clear"/>
              <w:autoSpaceDE w:val="0"/>
              <w:autoSpaceDN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583" w:type="dxa"/>
            <w:vAlign w:val="center"/>
          </w:tcPr>
          <w:p>
            <w:pPr>
              <w:pageBreakBefore w:val="0"/>
              <w:numPr>
                <w:ilvl w:val="0"/>
                <w:numId w:val="0"/>
              </w:numPr>
              <w:shd w:val="clear"/>
              <w:kinsoku/>
              <w:topLinePunct w:val="0"/>
              <w:bidi w:val="0"/>
              <w:spacing w:line="400" w:lineRule="exact"/>
              <w:rPr>
                <w:rStyle w:val="31"/>
                <w:rFonts w:hint="eastAsia" w:ascii="仿宋" w:hAnsi="仿宋" w:eastAsia="仿宋" w:cs="仿宋"/>
                <w:b w:val="0"/>
                <w:bCs/>
                <w:color w:val="auto"/>
                <w:sz w:val="21"/>
                <w:szCs w:val="21"/>
                <w:highlight w:val="none"/>
              </w:rPr>
            </w:pPr>
            <w:r>
              <w:rPr>
                <w:rStyle w:val="31"/>
                <w:rFonts w:hint="eastAsia" w:ascii="仿宋" w:hAnsi="仿宋" w:eastAsia="仿宋" w:cs="仿宋"/>
                <w:b w:val="0"/>
                <w:bCs/>
                <w:color w:val="auto"/>
                <w:sz w:val="21"/>
                <w:szCs w:val="21"/>
                <w:highlight w:val="none"/>
                <w:lang w:val="en-US" w:eastAsia="zh-CN"/>
              </w:rPr>
              <w:t>1、</w:t>
            </w:r>
            <w:r>
              <w:rPr>
                <w:rStyle w:val="31"/>
                <w:rFonts w:hint="eastAsia" w:ascii="仿宋" w:hAnsi="仿宋" w:eastAsia="仿宋" w:cs="仿宋"/>
                <w:b w:val="0"/>
                <w:bCs/>
                <w:color w:val="auto"/>
                <w:sz w:val="21"/>
                <w:szCs w:val="21"/>
                <w:highlight w:val="none"/>
              </w:rPr>
              <w:t>为保证本项目质量，良好的售后服务，最低报价不作为中标的唯一依据。</w:t>
            </w:r>
          </w:p>
          <w:p>
            <w:pPr>
              <w:pageBreakBefore w:val="0"/>
              <w:numPr>
                <w:ilvl w:val="0"/>
                <w:numId w:val="0"/>
              </w:numPr>
              <w:shd w:val="clear"/>
              <w:kinsoku/>
              <w:topLinePunct w:val="0"/>
              <w:bidi w:val="0"/>
              <w:spacing w:line="400" w:lineRule="exact"/>
              <w:rPr>
                <w:rStyle w:val="31"/>
                <w:rFonts w:hint="eastAsia" w:ascii="仿宋" w:hAnsi="仿宋" w:eastAsia="仿宋" w:cs="仿宋"/>
                <w:b w:val="0"/>
                <w:bCs/>
                <w:color w:val="auto"/>
                <w:sz w:val="21"/>
                <w:szCs w:val="21"/>
                <w:highlight w:val="none"/>
              </w:rPr>
            </w:pPr>
            <w:r>
              <w:rPr>
                <w:rStyle w:val="31"/>
                <w:rFonts w:hint="eastAsia" w:ascii="仿宋" w:hAnsi="仿宋" w:eastAsia="仿宋" w:cs="仿宋"/>
                <w:b w:val="0"/>
                <w:bCs/>
                <w:color w:val="auto"/>
                <w:sz w:val="21"/>
                <w:szCs w:val="21"/>
                <w:highlight w:val="none"/>
                <w:lang w:val="en-US" w:eastAsia="zh-CN"/>
              </w:rPr>
              <w:t>2、</w:t>
            </w:r>
            <w:r>
              <w:rPr>
                <w:rStyle w:val="31"/>
                <w:rFonts w:hint="eastAsia" w:ascii="仿宋" w:hAnsi="仿宋" w:eastAsia="仿宋" w:cs="仿宋"/>
                <w:b w:val="0"/>
                <w:bCs/>
                <w:color w:val="auto"/>
                <w:sz w:val="21"/>
                <w:szCs w:val="21"/>
                <w:highlight w:val="none"/>
              </w:rPr>
              <w:t>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766" w:type="dxa"/>
            <w:vAlign w:val="center"/>
          </w:tcPr>
          <w:p>
            <w:pPr>
              <w:pStyle w:val="6"/>
              <w:pageBreakBefore w:val="0"/>
              <w:shd w:val="clear"/>
              <w:kinsoku/>
              <w:topLinePunct w:val="0"/>
              <w:bidi w:val="0"/>
              <w:spacing w:line="400" w:lineRule="exact"/>
              <w:ind w:left="0" w:leftChars="0" w:firstLine="0" w:firstLineChars="0"/>
              <w:contextualSpacing/>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注意</w:t>
            </w:r>
          </w:p>
          <w:p>
            <w:pPr>
              <w:pStyle w:val="6"/>
              <w:pageBreakBefore w:val="0"/>
              <w:shd w:val="clear"/>
              <w:kinsoku/>
              <w:topLinePunct w:val="0"/>
              <w:bidi w:val="0"/>
              <w:spacing w:line="400" w:lineRule="exact"/>
              <w:ind w:left="0" w:leftChars="0" w:firstLine="0" w:firstLineChars="0"/>
              <w:contextualSpacing/>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事项</w:t>
            </w:r>
          </w:p>
        </w:tc>
        <w:tc>
          <w:tcPr>
            <w:tcW w:w="8933" w:type="dxa"/>
            <w:gridSpan w:val="2"/>
            <w:vAlign w:val="center"/>
          </w:tcPr>
          <w:p>
            <w:pPr>
              <w:pStyle w:val="6"/>
              <w:pageBreakBefore w:val="0"/>
              <w:shd w:val="clear"/>
              <w:kinsoku/>
              <w:topLinePunct w:val="0"/>
              <w:bidi w:val="0"/>
              <w:spacing w:line="400" w:lineRule="exact"/>
              <w:ind w:left="0" w:leftChars="0" w:firstLine="0" w:firstLineChars="0"/>
              <w:contextualSpacing/>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各供应商应在本项目采购公告发布之日起到响应文件递交截止时间期间，通过“信用中国”网站（</w:t>
            </w: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color w:val="auto"/>
                <w:sz w:val="21"/>
                <w:szCs w:val="21"/>
                <w:highlight w:val="none"/>
              </w:rPr>
              <w:instrText xml:space="preserve"> HYPERLINK "qq://txfile/" </w:instrText>
            </w:r>
            <w:r>
              <w:rPr>
                <w:rFonts w:hint="eastAsia" w:ascii="仿宋" w:hAnsi="仿宋" w:eastAsia="仿宋" w:cs="仿宋"/>
                <w:b w:val="0"/>
                <w:bCs/>
                <w:color w:val="auto"/>
                <w:sz w:val="21"/>
                <w:szCs w:val="21"/>
                <w:highlight w:val="none"/>
              </w:rPr>
              <w:fldChar w:fldCharType="separate"/>
            </w:r>
            <w:r>
              <w:rPr>
                <w:rFonts w:hint="eastAsia" w:ascii="仿宋" w:hAnsi="仿宋" w:eastAsia="仿宋" w:cs="仿宋"/>
                <w:b w:val="0"/>
                <w:bCs/>
                <w:color w:val="auto"/>
                <w:sz w:val="21"/>
                <w:szCs w:val="21"/>
                <w:highlight w:val="none"/>
              </w:rPr>
              <w:t>www.creditchina.gov.cn</w:t>
            </w:r>
            <w:r>
              <w:rPr>
                <w:rFonts w:hint="eastAsia" w:ascii="仿宋" w:hAnsi="仿宋" w:eastAsia="仿宋" w:cs="仿宋"/>
                <w:b w:val="0"/>
                <w:bCs/>
                <w:color w:val="auto"/>
                <w:sz w:val="21"/>
                <w:szCs w:val="21"/>
                <w:highlight w:val="none"/>
              </w:rPr>
              <w:fldChar w:fldCharType="end"/>
            </w:r>
            <w:r>
              <w:rPr>
                <w:rFonts w:hint="eastAsia" w:ascii="仿宋" w:hAnsi="仿宋" w:eastAsia="仿宋" w:cs="仿宋"/>
                <w:b w:val="0"/>
                <w:bCs/>
                <w:color w:val="auto"/>
                <w:sz w:val="21"/>
                <w:szCs w:val="21"/>
                <w:highlight w:val="none"/>
              </w:rPr>
              <w:t>）、中国政府采购网（</w:t>
            </w:r>
            <w:r>
              <w:rPr>
                <w:rFonts w:hint="eastAsia" w:ascii="仿宋" w:hAnsi="仿宋" w:eastAsia="仿宋" w:cs="仿宋"/>
                <w:b w:val="0"/>
                <w:bCs/>
                <w:color w:val="auto"/>
                <w:sz w:val="21"/>
                <w:szCs w:val="21"/>
                <w:highlight w:val="none"/>
              </w:rPr>
              <w:fldChar w:fldCharType="begin"/>
            </w:r>
            <w:r>
              <w:rPr>
                <w:rFonts w:hint="eastAsia" w:ascii="仿宋" w:hAnsi="仿宋" w:eastAsia="仿宋" w:cs="仿宋"/>
                <w:b w:val="0"/>
                <w:bCs/>
                <w:color w:val="auto"/>
                <w:sz w:val="21"/>
                <w:szCs w:val="21"/>
                <w:highlight w:val="none"/>
              </w:rPr>
              <w:instrText xml:space="preserve"> HYPERLINK "qq://txfile/" </w:instrText>
            </w:r>
            <w:r>
              <w:rPr>
                <w:rFonts w:hint="eastAsia" w:ascii="仿宋" w:hAnsi="仿宋" w:eastAsia="仿宋" w:cs="仿宋"/>
                <w:b w:val="0"/>
                <w:bCs/>
                <w:color w:val="auto"/>
                <w:sz w:val="21"/>
                <w:szCs w:val="21"/>
                <w:highlight w:val="none"/>
              </w:rPr>
              <w:fldChar w:fldCharType="separate"/>
            </w:r>
            <w:r>
              <w:rPr>
                <w:rFonts w:hint="eastAsia" w:ascii="仿宋" w:hAnsi="仿宋" w:eastAsia="仿宋" w:cs="仿宋"/>
                <w:b w:val="0"/>
                <w:bCs/>
                <w:color w:val="auto"/>
                <w:sz w:val="21"/>
                <w:szCs w:val="21"/>
                <w:highlight w:val="none"/>
              </w:rPr>
              <w:t>www.ccgp.gov.cn</w:t>
            </w:r>
            <w:r>
              <w:rPr>
                <w:rFonts w:hint="eastAsia" w:ascii="仿宋" w:hAnsi="仿宋" w:eastAsia="仿宋" w:cs="仿宋"/>
                <w:b w:val="0"/>
                <w:bCs/>
                <w:color w:val="auto"/>
                <w:sz w:val="21"/>
                <w:szCs w:val="21"/>
                <w:highlight w:val="none"/>
              </w:rPr>
              <w:fldChar w:fldCharType="end"/>
            </w:r>
            <w:r>
              <w:rPr>
                <w:rFonts w:hint="eastAsia" w:ascii="仿宋" w:hAnsi="仿宋" w:eastAsia="仿宋" w:cs="仿宋"/>
                <w:b w:val="0"/>
                <w:bCs/>
                <w:color w:val="auto"/>
                <w:sz w:val="21"/>
                <w:szCs w:val="21"/>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66" w:type="dxa"/>
            <w:vAlign w:val="center"/>
          </w:tcPr>
          <w:p>
            <w:pPr>
              <w:pageBreakBefore w:val="0"/>
              <w:shd w:val="clear"/>
              <w:kinsoku/>
              <w:topLinePunct w:val="0"/>
              <w:bidi w:val="0"/>
              <w:adjustRightInd w:val="0"/>
              <w:snapToGrid w:val="0"/>
              <w:spacing w:line="400" w:lineRule="exact"/>
              <w:ind w:left="0" w:lef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其他</w:t>
            </w:r>
          </w:p>
        </w:tc>
        <w:tc>
          <w:tcPr>
            <w:tcW w:w="8933" w:type="dxa"/>
            <w:gridSpan w:val="2"/>
            <w:vAlign w:val="center"/>
          </w:tcPr>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品牌产品参加投标处理办法：</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7"/>
              <w:pageBreakBefore w:val="0"/>
              <w:shd w:val="clear"/>
              <w:kinsoku/>
              <w:topLinePunct w:val="0"/>
              <w:bidi w:val="0"/>
              <w:spacing w:before="0"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非单一产品采购项目，采购人应当根据采购项目技术构成、产品价格比重等合理确定核心产品，并在招标文件中载明。多家投标人提供的核心产品品牌相同的，按前款规定处理。</w:t>
            </w:r>
          </w:p>
          <w:p>
            <w:pPr>
              <w:pageBreakBefore w:val="0"/>
              <w:shd w:val="clear"/>
              <w:kinsoku/>
              <w:topLinePunct w:val="0"/>
              <w:bidi w:val="0"/>
              <w:snapToGrid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特别说明：</w:t>
            </w:r>
          </w:p>
          <w:p>
            <w:pPr>
              <w:pageBreakBefore w:val="0"/>
              <w:shd w:val="clear"/>
              <w:kinsoku/>
              <w:topLinePunct w:val="0"/>
              <w:bidi w:val="0"/>
              <w:snapToGrid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1.为保证本项目质量，良好的售后服务，最低报价不作为中标的唯一依据。</w:t>
            </w:r>
          </w:p>
          <w:p>
            <w:pPr>
              <w:pageBreakBefore w:val="0"/>
              <w:shd w:val="clear"/>
              <w:kinsoku/>
              <w:topLinePunct w:val="0"/>
              <w:bidi w:val="0"/>
              <w:spacing w:line="400" w:lineRule="exact"/>
              <w:ind w:left="0" w:leftChars="0" w:firstLine="0" w:firstLineChars="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2.采购人若发现成交候选供应商在竞标过程中提供虚假证明文件，故意隐瞒公司不良信誉和财务状况，以及存在可能对合同圆满履行造成风险的其他因素等，则按规定取消其成交资格，监管部门依法进行处理。</w:t>
            </w:r>
          </w:p>
          <w:p>
            <w:pPr>
              <w:pageBreakBefore w:val="0"/>
              <w:shd w:val="clear"/>
              <w:kinsoku/>
              <w:topLinePunct w:val="0"/>
              <w:bidi w:val="0"/>
              <w:spacing w:line="400" w:lineRule="exact"/>
              <w:ind w:left="0" w:leftChars="0" w:firstLine="0" w:firstLineChars="0"/>
              <w:rPr>
                <w:rFonts w:hint="default" w:ascii="仿宋" w:hAnsi="仿宋" w:eastAsia="仿宋" w:cs="仿宋"/>
                <w:b w:val="0"/>
                <w:bCs/>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3.3.所有数据在未经我方同意的情况下不得泄露或对外公布</w:t>
            </w:r>
          </w:p>
        </w:tc>
      </w:tr>
    </w:tbl>
    <w:p>
      <w:pPr>
        <w:keepNext w:val="0"/>
        <w:keepLines w:val="0"/>
        <w:pageBreakBefore w:val="0"/>
        <w:shd w:val="clear"/>
        <w:kinsoku/>
        <w:wordWrap/>
        <w:overflowPunct/>
        <w:topLinePunct w:val="0"/>
        <w:bidi w:val="0"/>
        <w:snapToGrid/>
        <w:spacing w:line="360" w:lineRule="exact"/>
        <w:jc w:val="center"/>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r>
        <w:rPr>
          <w:rFonts w:hint="eastAsia" w:ascii="仿宋" w:hAnsi="仿宋" w:eastAsia="仿宋" w:cs="仿宋"/>
          <w:color w:val="auto"/>
          <w:sz w:val="21"/>
          <w:szCs w:val="21"/>
          <w:highlight w:val="none"/>
        </w:rPr>
        <w:t>二、投标须知</w:t>
      </w:r>
      <w:bookmarkEnd w:id="1"/>
      <w:bookmarkEnd w:id="2"/>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一、总则</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（一）适用范围</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本招标文件适用于</w:t>
      </w:r>
      <w:r>
        <w:rPr>
          <w:rFonts w:hint="eastAsia" w:ascii="仿宋" w:hAnsi="仿宋" w:eastAsia="仿宋" w:cs="仿宋"/>
          <w:color w:val="auto"/>
          <w:sz w:val="21"/>
          <w:szCs w:val="21"/>
          <w:highlight w:val="none"/>
          <w:lang w:eastAsia="zh-CN"/>
        </w:rPr>
        <w:t>-新疆维吾尔自治区渔业绿色发展调研项目</w:t>
      </w:r>
      <w:r>
        <w:rPr>
          <w:rFonts w:hint="eastAsia" w:ascii="仿宋" w:hAnsi="仿宋" w:eastAsia="仿宋" w:cs="仿宋"/>
          <w:color w:val="auto"/>
          <w:sz w:val="21"/>
          <w:szCs w:val="21"/>
          <w:highlight w:val="none"/>
        </w:rPr>
        <w:t>的招标、投标、评标、定标、验收、合同履约、付款等行为（法律、法规另有规定的，从其规定）。</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（二）定义</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1.招标采购单位（“招标人”）系指组织本次招标的代理机构和采购单位。</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2.“投标人”系指向招标方提交投标文件的单位或个人。</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3.“产品”系指供方按招标文件规定，须向采购人提供的一切设备、保险、税金、备品备件、工具、手册及其它有关技术资料和材料。</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4.“服务”系指招标文件规定投标人须承担的安装、调试、技术协助、校准、培训、技术指导以及其他类似的义务。</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5.“项目”系指投标人按招标文件规定向采购人提供的产品和服务。</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6.“书面形式”包括信函、传真、电报、电子邮件等。</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（三）招标方式</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本次招标采用公开招标方式进行。</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（四）投标委托</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投标人代表须携带身份证。如投标人代表不是法定代表人，须有法定代表人出具的授权委托书（正本用原件，副本用复印件，格式见第四部分）。</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（五）投标费用</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不论投标结果如何，投标人均应自行承担所有与投标有关的全部费用（招标文件有相反规定除外）。</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（六）联合体投标</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本项目不接受联合体投标。</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sz w:val="21"/>
          <w:szCs w:val="21"/>
          <w:highlight w:val="none"/>
        </w:rPr>
        <w:t>（七）</w:t>
      </w:r>
      <w:r>
        <w:rPr>
          <w:rFonts w:hint="eastAsia" w:ascii="仿宋" w:hAnsi="仿宋" w:eastAsia="仿宋" w:cs="仿宋"/>
          <w:b/>
          <w:color w:val="auto"/>
          <w:kern w:val="0"/>
          <w:sz w:val="21"/>
          <w:szCs w:val="21"/>
          <w:highlight w:val="none"/>
        </w:rPr>
        <w:t>转包与分包</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1.本项目不允许转包。</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2.本项目不可以分包。</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（八）特别说明</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1.</w:t>
      </w:r>
      <w:r>
        <w:rPr>
          <w:rFonts w:hint="eastAsia" w:ascii="仿宋" w:hAnsi="仿宋" w:eastAsia="仿宋" w:cs="仿宋"/>
          <w:color w:val="auto"/>
          <w:sz w:val="21"/>
          <w:szCs w:val="21"/>
          <w:highlight w:val="none"/>
        </w:rPr>
        <w:t>投标人投标所使用的资格、信誉、荣誉、业绩与企业认证必须为本企业所拥有。在组织商务技术评审或资格性审查时，不得将属于供应商母公司（总机构）或者同一母公司下属的其他子公司（同一总机构下属的其他分支机构）的人员、业绩、荣誉、知识产权、项目案例等，作为该供应商的资信文件予以确认或审查通过。</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2.投标人应仔细阅读招标文件的所有内容，按照招标文件的要求提交投标文件，并对所提供的全部资料的真实性承担法律责任。</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3.投标人在投标活动中提供任何虚假材料,其投标无效，并报监管部门查处。中标后发现的,将没收中标人保证金，造成其他损失的须赔偿相应损失，且民事赔偿并不免除违法投标人的行政与刑事责任。</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 w:val="0"/>
          <w:bCs w:val="0"/>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b w:val="0"/>
          <w:bCs w:val="0"/>
          <w:color w:val="auto"/>
          <w:sz w:val="21"/>
          <w:szCs w:val="21"/>
          <w:highlight w:val="none"/>
        </w:rPr>
        <w:t>.根据财政部、国家发展改革委《关于调整公布第二十三期节能产品政府采购清单的通知》的规定，节能清单中的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为政府强制采购节能产品（以“★”标注）。采购人需购买的产品属于政府强制采购节能产品范围，但在节能清单中无对应细化分类且节能清单中的产品确实无法满足工作需要的，允许在节能清单之外采购。</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若投标人所投产品在《第二十三期节能产品政府采购清单》内，则投标人须在投标文件中提供所投产品在《第二十三期节能产品政府采购清单》中所处的页码、截图等证明材料。</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 根据《政府采购货物和服务招标投标管理办法》（财政部令第87号）的规定。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非单一产品采购项目，采购人应当根据采购项目技术构成、产品价格比重等合理确定核心产品，并在招标文件中载明。多家投标人提供的核心产品品牌相同的，按前两款规定处理。</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（九）知识产权</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lang w:val="en-GB"/>
        </w:rPr>
      </w:pPr>
      <w:r>
        <w:rPr>
          <w:rFonts w:hint="eastAsia" w:ascii="仿宋" w:hAnsi="仿宋" w:eastAsia="仿宋" w:cs="仿宋"/>
          <w:bCs/>
          <w:color w:val="auto"/>
          <w:sz w:val="21"/>
          <w:szCs w:val="21"/>
          <w:highlight w:val="none"/>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2.投标报价应包含所有应向所有权人支付的专利权、商标权或其它知识产权的一切相关费用。</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3.系统软件、通用软件必须是具有在中国境内的合法使用权或版权的正版软件，涉及到第三方提出侵权或知识产权的起诉及支付版税等费用由投标人承担所有责任及费用。</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（十）质疑</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质疑与投诉</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1、投标人认为</w:t>
      </w:r>
      <w:r>
        <w:rPr>
          <w:rFonts w:hint="eastAsia" w:ascii="仿宋" w:hAnsi="仿宋" w:eastAsia="仿宋" w:cs="仿宋"/>
          <w:bCs/>
          <w:color w:val="auto"/>
          <w:sz w:val="21"/>
          <w:szCs w:val="21"/>
          <w:highlight w:val="none"/>
          <w:lang w:val="en-US" w:eastAsia="zh-CN"/>
        </w:rPr>
        <w:t>采购</w:t>
      </w:r>
      <w:r>
        <w:rPr>
          <w:rFonts w:hint="eastAsia" w:ascii="仿宋" w:hAnsi="仿宋" w:eastAsia="仿宋" w:cs="仿宋"/>
          <w:bCs/>
          <w:color w:val="auto"/>
          <w:sz w:val="21"/>
          <w:szCs w:val="21"/>
          <w:highlight w:val="none"/>
        </w:rPr>
        <w:t>文件、采购过程、中标或者成交结果使自己的权益受到损害的，可以在知道或者应知其权益受到损害之日起7个工作日内，向采购人、采购代理机构提出质疑。投标人须在法定质疑期内一次性提出针对同一采购程序环节的质疑。采购人在收到投标人的书面质疑后七个工作日内作出答复，并以书面形式通知质疑投标人和其他有关投标人；作出答复前，将暂停招标投标活动。</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2、质疑函的必备内容</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（1）投标人提交的质疑函必须注明单位名称、地址、邮编、可供查询的单位和法定代表人的电话号码、联系人电话；</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（2）质疑项目的名称、编号；</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（3）具体质疑事项和与质疑事项相关的请求；</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（4）事实依据；</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（5）提起质疑的日期；</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（6）质疑函须加盖单位公章，由法定代表人签章。</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（7）授权代理人递交质疑函的，还须提交委托质疑事项的授权委托书（附法定代表人和被授权人的身份证正反面），加盖单位公章和法定代表人签章和被授权人签字，同时出示被授权人身份证。</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3、质疑应符合下列条件：</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⑴质疑人是参与所质疑项目的采购活动的投标人；</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⑵质疑函内容符合相关的规定；</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⑶在规定的有效期限内提起质疑；</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⑷招投标监管部门规定的其他条件。</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4、采购人在收到投标人的书面质疑后七个工作日内作出答复，并以书面形式通知质疑投标人和其他有关投标人，但答复的内容不涉及商业秘密。</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（十一）投标人的资格要求</w:t>
      </w:r>
    </w:p>
    <w:p>
      <w:pPr>
        <w:pStyle w:val="17"/>
        <w:keepNext w:val="0"/>
        <w:keepLines w:val="0"/>
        <w:pageBreakBefore w:val="0"/>
        <w:numPr>
          <w:ilvl w:val="0"/>
          <w:numId w:val="0"/>
        </w:numPr>
        <w:kinsoku/>
        <w:wordWrap/>
        <w:overflowPunct/>
        <w:topLinePunct w:val="0"/>
        <w:bidi w:val="0"/>
        <w:spacing w:before="0" w:beforeAutospacing="0" w:after="0" w:afterAutospacing="0" w:line="440" w:lineRule="exact"/>
        <w:ind w:left="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1.落实政府采购政策需满足的资格要求：详见</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文件 </w:t>
      </w:r>
    </w:p>
    <w:p>
      <w:pPr>
        <w:pStyle w:val="17"/>
        <w:keepNext w:val="0"/>
        <w:keepLines w:val="0"/>
        <w:pageBreakBefore w:val="0"/>
        <w:numPr>
          <w:ilvl w:val="0"/>
          <w:numId w:val="0"/>
        </w:numPr>
        <w:kinsoku/>
        <w:wordWrap/>
        <w:overflowPunct/>
        <w:topLinePunct w:val="0"/>
        <w:bidi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2.本项目的特定资格要求：</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kern w:val="2"/>
          <w:sz w:val="21"/>
          <w:szCs w:val="21"/>
          <w:highlight w:val="none"/>
        </w:rPr>
        <w:t>1、满足《中华人民共和国政府采购法》第二十二条规定；</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（1）具有独立承担民事责任的能力；</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（2）具有良好的商业信誉和健全的财务会计制度；</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（3）具有履行合同所必需的设备和专业技术能力；</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（4）有依法缴纳税收和社会保障资金的良好记录；</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（5）参加政府采购活动前三年内，在经营活动中没有重大违法记录；</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（6）法律、行政法规规定的其他条件。</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2</w:t>
      </w:r>
      <w:r>
        <w:rPr>
          <w:rFonts w:hint="eastAsia" w:ascii="仿宋" w:hAnsi="仿宋" w:eastAsia="仿宋" w:cs="仿宋"/>
          <w:color w:val="auto"/>
          <w:kern w:val="2"/>
          <w:sz w:val="21"/>
          <w:szCs w:val="21"/>
          <w:highlight w:val="none"/>
        </w:rPr>
        <w:t>、投标人需</w:t>
      </w:r>
      <w:r>
        <w:rPr>
          <w:rFonts w:hint="eastAsia" w:ascii="仿宋" w:hAnsi="仿宋" w:eastAsia="仿宋" w:cs="仿宋"/>
          <w:color w:val="auto"/>
          <w:kern w:val="2"/>
          <w:sz w:val="21"/>
          <w:szCs w:val="21"/>
          <w:highlight w:val="none"/>
          <w:lang w:val="en-US" w:eastAsia="zh-CN"/>
        </w:rPr>
        <w:t>通过</w:t>
      </w:r>
      <w:r>
        <w:rPr>
          <w:rFonts w:hint="eastAsia" w:ascii="仿宋" w:hAnsi="仿宋" w:eastAsia="仿宋" w:cs="仿宋"/>
          <w:color w:val="auto"/>
          <w:kern w:val="2"/>
          <w:sz w:val="21"/>
          <w:szCs w:val="21"/>
          <w:highlight w:val="none"/>
        </w:rPr>
        <w:t>在</w:t>
      </w:r>
      <w:r>
        <w:rPr>
          <w:rFonts w:hint="eastAsia" w:ascii="仿宋" w:hAnsi="仿宋" w:eastAsia="仿宋" w:cs="仿宋"/>
          <w:color w:val="auto"/>
          <w:kern w:val="2"/>
          <w:sz w:val="21"/>
          <w:szCs w:val="21"/>
          <w:highlight w:val="none"/>
          <w:lang w:val="en-US" w:eastAsia="zh-CN"/>
        </w:rPr>
        <w:t>“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被列入以上条款尚在处罚期内的将拒绝其参本次采购活动；</w:t>
      </w:r>
    </w:p>
    <w:p>
      <w:pPr>
        <w:pStyle w:val="17"/>
        <w:keepNext w:val="0"/>
        <w:keepLines w:val="0"/>
        <w:pageBreakBefore w:val="0"/>
        <w:widowControl/>
        <w:shd w:val="clear"/>
        <w:kinsoku/>
        <w:wordWrap/>
        <w:overflowPunct/>
        <w:topLinePunct w:val="0"/>
        <w:bidi w:val="0"/>
        <w:spacing w:before="0" w:beforeAutospacing="0" w:after="0" w:afterAutospacing="0"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rPr>
        <w:t>3、供应商需在人员、设备、</w:t>
      </w:r>
      <w:r>
        <w:rPr>
          <w:rFonts w:hint="eastAsia" w:ascii="仿宋" w:hAnsi="仿宋" w:eastAsia="仿宋" w:cs="仿宋"/>
          <w:color w:val="auto"/>
          <w:kern w:val="2"/>
          <w:sz w:val="21"/>
          <w:szCs w:val="21"/>
          <w:highlight w:val="none"/>
          <w:lang w:val="en-US" w:eastAsia="zh-CN" w:bidi="ar-SA"/>
        </w:rPr>
        <w:t>资金等方面具有完成本项目的相应服务能力；</w:t>
      </w:r>
    </w:p>
    <w:p>
      <w:pPr>
        <w:keepNext w:val="0"/>
        <w:keepLines w:val="0"/>
        <w:pageBreakBefore w:val="0"/>
        <w:widowControl/>
        <w:shd w:val="clear" w:color="auto"/>
        <w:kinsoku/>
        <w:wordWrap/>
        <w:overflowPunct/>
        <w:topLinePunct w:val="0"/>
        <w:bidi w:val="0"/>
        <w:spacing w:line="440" w:lineRule="exact"/>
        <w:ind w:left="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4、</w:t>
      </w:r>
      <w:r>
        <w:rPr>
          <w:rFonts w:hint="eastAsia" w:ascii="仿宋" w:hAnsi="仿宋" w:eastAsia="仿宋" w:cs="仿宋"/>
          <w:color w:val="auto"/>
          <w:sz w:val="21"/>
          <w:szCs w:val="21"/>
          <w:highlight w:val="none"/>
        </w:rPr>
        <w:t>拒绝下述投标人参加本次采购活动：</w:t>
      </w:r>
    </w:p>
    <w:p>
      <w:pPr>
        <w:keepNext w:val="0"/>
        <w:keepLines w:val="0"/>
        <w:pageBreakBefore w:val="0"/>
        <w:widowControl/>
        <w:shd w:val="clear" w:color="auto"/>
        <w:kinsoku/>
        <w:wordWrap/>
        <w:overflowPunct/>
        <w:topLinePunct w:val="0"/>
        <w:bidi w:val="0"/>
        <w:spacing w:line="440" w:lineRule="exact"/>
        <w:ind w:left="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1）与采购人存在利害关系可能影响</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公正性的法人、其他组织或者个人，不得参加投标。</w:t>
      </w:r>
    </w:p>
    <w:p>
      <w:pPr>
        <w:keepNext w:val="0"/>
        <w:keepLines w:val="0"/>
        <w:pageBreakBefore w:val="0"/>
        <w:widowControl/>
        <w:shd w:val="clear" w:color="auto"/>
        <w:kinsoku/>
        <w:wordWrap/>
        <w:overflowPunct/>
        <w:topLinePunct w:val="0"/>
        <w:bidi w:val="0"/>
        <w:spacing w:line="440" w:lineRule="exact"/>
        <w:ind w:left="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2）单位负责人为同一人或者存在控股、管理关系的不同单位，不得参加同一标段或者未划分标段的同一采购项目投标，违反前两款规定的，相关投标均无效。</w:t>
      </w:r>
    </w:p>
    <w:p>
      <w:pPr>
        <w:keepNext w:val="0"/>
        <w:keepLines w:val="0"/>
        <w:pageBreakBefore w:val="0"/>
        <w:widowControl/>
        <w:shd w:val="clear" w:color="auto"/>
        <w:kinsoku/>
        <w:wordWrap/>
        <w:overflowPunct/>
        <w:topLinePunct w:val="0"/>
        <w:bidi w:val="0"/>
        <w:spacing w:line="440" w:lineRule="exact"/>
        <w:ind w:left="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3）供应商参加政府采购活动前三年内，因违法经营受到刑事处罚或者责令停产停业、吊销许可证或者执照、较大数额罚款等行政处罚。</w:t>
      </w:r>
    </w:p>
    <w:p>
      <w:pPr>
        <w:keepNext w:val="0"/>
        <w:keepLines w:val="0"/>
        <w:pageBreakBefore w:val="0"/>
        <w:widowControl/>
        <w:shd w:val="clear" w:color="auto"/>
        <w:kinsoku/>
        <w:wordWrap/>
        <w:overflowPunct/>
        <w:topLinePunct w:val="0"/>
        <w:bidi w:val="0"/>
        <w:spacing w:line="440" w:lineRule="exact"/>
        <w:ind w:left="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4）除单一来源采购外，凡为采购项目提供整体设计、规范编制或者项目管理、监理、检测等服务的供应商，不得再参加本项目的采购活动。</w:t>
      </w:r>
    </w:p>
    <w:p>
      <w:pPr>
        <w:keepNext w:val="0"/>
        <w:keepLines w:val="0"/>
        <w:pageBreakBefore w:val="0"/>
        <w:shd w:val="clear"/>
        <w:kinsoku/>
        <w:wordWrap/>
        <w:overflowPunct/>
        <w:topLinePunct w:val="0"/>
        <w:bidi w:val="0"/>
        <w:snapToGrid/>
        <w:spacing w:line="440" w:lineRule="exact"/>
        <w:ind w:left="0" w:firstLine="0" w:firstLineChars="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5）供应商被“信用中国（www.creditchina.gov.cn）、中国政府采购网(www.ccgp.gov.cn) 、</w:t>
      </w:r>
      <w:r>
        <w:rPr>
          <w:rFonts w:hint="eastAsia" w:ascii="仿宋" w:hAnsi="仿宋" w:eastAsia="仿宋" w:cs="仿宋"/>
          <w:color w:val="auto"/>
          <w:sz w:val="21"/>
          <w:szCs w:val="21"/>
          <w:highlight w:val="none"/>
          <w:lang w:val="en-US" w:eastAsia="zh-CN"/>
        </w:rPr>
        <w:t>中国</w:t>
      </w:r>
      <w:r>
        <w:rPr>
          <w:rFonts w:hint="eastAsia" w:ascii="仿宋" w:hAnsi="仿宋" w:eastAsia="仿宋" w:cs="仿宋"/>
          <w:color w:val="auto"/>
          <w:sz w:val="21"/>
          <w:szCs w:val="21"/>
          <w:highlight w:val="none"/>
        </w:rPr>
        <w:t>裁判文书网”列入失信被执行人、重大税收违法案件当事人名单、政府采购严重违法失信行为记录名单的。</w:t>
      </w:r>
    </w:p>
    <w:p>
      <w:pPr>
        <w:pStyle w:val="17"/>
        <w:keepNext w:val="0"/>
        <w:keepLines w:val="0"/>
        <w:pageBreakBefore w:val="0"/>
        <w:numPr>
          <w:ilvl w:val="0"/>
          <w:numId w:val="0"/>
        </w:numPr>
        <w:kinsoku/>
        <w:wordWrap/>
        <w:overflowPunct/>
        <w:topLinePunct w:val="0"/>
        <w:bidi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8）不接受联合体。 </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center"/>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二、招标文件</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（一）招标文件的构成。本招标文件由以下</w:t>
      </w:r>
      <w:r>
        <w:rPr>
          <w:rFonts w:hint="eastAsia" w:ascii="仿宋" w:hAnsi="仿宋" w:eastAsia="仿宋" w:cs="仿宋"/>
          <w:b/>
          <w:color w:val="auto"/>
          <w:sz w:val="21"/>
          <w:szCs w:val="21"/>
          <w:highlight w:val="none"/>
          <w:lang w:eastAsia="zh-CN"/>
        </w:rPr>
        <w:t>部分</w:t>
      </w:r>
      <w:r>
        <w:rPr>
          <w:rFonts w:hint="eastAsia" w:ascii="仿宋" w:hAnsi="仿宋" w:eastAsia="仿宋" w:cs="仿宋"/>
          <w:b/>
          <w:color w:val="auto"/>
          <w:sz w:val="21"/>
          <w:szCs w:val="21"/>
          <w:highlight w:val="none"/>
        </w:rPr>
        <w:t>组成：</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第一部分  招标公告</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第二部分  投标人须知</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第三部分  采购需求</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第四部分  合同格式（参考）</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第五部分  与投标文件格式</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（二）投标人的风险</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投标人没有按照招标文件要求提供全部资料，或者投标人没有对招标文件在各方面作出实质性响应是投标人的风险，并可能导致其投标被拒绝。</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（三）招标文件的澄清与修改</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在投标截止时间前，采购代理机构对已发出的招标文件进行必要澄清或者修改时，将依法在财政部门指定的政府采购信息发布媒体上发布更正公告，并以书面形式通知所有招标文件收受人，除书面答复以外的其他澄清方式及澄清内容均无效。该澄清或者修改的内容为招标文件的组成部分，对所有投标人有约束力。投标人在收到招标文件的澄清修改函后，应以书面形式予以确认。</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 采购代理机构可以视采购具体情况，延长投标截止时间和开标时间，并依法在招标文件要求提交投标文件的截至时间三日前，将变更时间书面通知所有招标文件收受人，并在财政部门指定的政府采购信息发布媒体上发布变更公告。</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3.招标文件澄清、答复、修改、补充的内容为招标文件的组成部分。当招标文件与招标文件的答复、澄清、修改、补充通知就同一内容的表述不一致时，以最后发出的书面文件为准。</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4.招标文件的澄清、答复、修改或补充都应该通过本代理机构以法定形式发布，采购人非通过本机构，不得擅自澄清、答复、修改或补充招标文件。</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四</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投标文件的编制</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1、投标语言</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投标人提交的投标文件及投标人与采购代理机构就有关投标的所有来往函电均使用中文。投标人可以提交其他它语言的资料，但应附有中文注释，有差异时以中文为准。</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2、计量单位</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所有计量均采用中华人民共和国法定计量单位。</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3、投标文件的组成</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注：投标人应保证所提供文件资料的真实性，所有文件资料必须是针对本次投标的。如发现投标人提供了虚假文件资料，其投标将被拒绝，并自行承担相应的法律责任。</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3.1投标文件由商务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技术、经济</w:t>
      </w:r>
      <w:r>
        <w:rPr>
          <w:rFonts w:hint="eastAsia" w:ascii="仿宋" w:hAnsi="仿宋" w:eastAsia="仿宋" w:cs="仿宋"/>
          <w:color w:val="auto"/>
          <w:sz w:val="21"/>
          <w:szCs w:val="21"/>
          <w:highlight w:val="none"/>
        </w:rPr>
        <w:t>部分组成。内容如下：</w:t>
      </w:r>
    </w:p>
    <w:p>
      <w:pPr>
        <w:keepNext w:val="0"/>
        <w:keepLines w:val="0"/>
        <w:pageBreakBefore w:val="0"/>
        <w:kinsoku/>
        <w:wordWrap/>
        <w:overflowPunct/>
        <w:topLinePunct w:val="0"/>
        <w:bidi w:val="0"/>
        <w:spacing w:beforeAutospacing="0" w:line="440" w:lineRule="exact"/>
        <w:ind w:left="0" w:leftChars="0" w:right="0" w:firstLine="0" w:firstLineChars="0"/>
        <w:textAlignment w:val="auto"/>
        <w:outlineLvl w:val="9"/>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rPr>
        <w:t>商务技术部分主要包括</w:t>
      </w:r>
      <w:r>
        <w:rPr>
          <w:rFonts w:hint="eastAsia" w:ascii="仿宋" w:hAnsi="仿宋" w:eastAsia="仿宋" w:cs="仿宋"/>
          <w:b/>
          <w:color w:val="auto"/>
          <w:sz w:val="21"/>
          <w:szCs w:val="21"/>
          <w:highlight w:val="none"/>
        </w:rPr>
        <w:t>但不限于以下内容：</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17" w:name="_Toc30854"/>
      <w:r>
        <w:rPr>
          <w:rFonts w:hint="eastAsia" w:ascii="仿宋" w:hAnsi="仿宋" w:eastAsia="仿宋" w:cs="仿宋"/>
          <w:color w:val="auto"/>
          <w:sz w:val="21"/>
          <w:szCs w:val="21"/>
          <w:highlight w:val="none"/>
          <w:lang w:val="en-US" w:eastAsia="zh-CN"/>
        </w:rPr>
        <w:t>1、 投标函</w:t>
      </w:r>
      <w:bookmarkEnd w:id="17"/>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18" w:name="_Toc18786"/>
      <w:r>
        <w:rPr>
          <w:rFonts w:hint="eastAsia" w:ascii="仿宋" w:hAnsi="仿宋" w:eastAsia="仿宋" w:cs="仿宋"/>
          <w:color w:val="auto"/>
          <w:sz w:val="21"/>
          <w:szCs w:val="21"/>
          <w:highlight w:val="none"/>
          <w:lang w:val="en-US" w:eastAsia="zh-CN"/>
        </w:rPr>
        <w:t>2、法定代表人身份证明</w:t>
      </w:r>
      <w:bookmarkEnd w:id="18"/>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19" w:name="_Toc22439"/>
      <w:r>
        <w:rPr>
          <w:rFonts w:hint="eastAsia" w:ascii="仿宋" w:hAnsi="仿宋" w:eastAsia="仿宋" w:cs="仿宋"/>
          <w:color w:val="auto"/>
          <w:sz w:val="21"/>
          <w:szCs w:val="21"/>
          <w:highlight w:val="none"/>
          <w:lang w:val="en-US" w:eastAsia="zh-CN"/>
        </w:rPr>
        <w:t>3、法定代表人授权委托书</w:t>
      </w:r>
      <w:bookmarkEnd w:id="19"/>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0" w:name="_Toc24061"/>
      <w:r>
        <w:rPr>
          <w:rFonts w:hint="eastAsia" w:ascii="仿宋" w:hAnsi="仿宋" w:eastAsia="仿宋" w:cs="仿宋"/>
          <w:color w:val="auto"/>
          <w:sz w:val="21"/>
          <w:szCs w:val="21"/>
          <w:highlight w:val="none"/>
          <w:lang w:val="en-US" w:eastAsia="zh-CN"/>
        </w:rPr>
        <w:t>4、投标报价表</w:t>
      </w:r>
      <w:bookmarkEnd w:id="20"/>
      <w:bookmarkStart w:id="21" w:name="_Toc23676"/>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5、商务偏离表</w:t>
      </w:r>
      <w:bookmarkEnd w:id="21"/>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2" w:name="_Toc32168"/>
      <w:r>
        <w:rPr>
          <w:rFonts w:hint="eastAsia" w:ascii="仿宋" w:hAnsi="仿宋" w:eastAsia="仿宋" w:cs="仿宋"/>
          <w:color w:val="auto"/>
          <w:sz w:val="21"/>
          <w:szCs w:val="21"/>
          <w:highlight w:val="none"/>
          <w:lang w:val="en-US" w:eastAsia="zh-CN"/>
        </w:rPr>
        <w:t>6、技术偏离表</w:t>
      </w:r>
      <w:bookmarkEnd w:id="22"/>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3" w:name="_Toc4252"/>
      <w:r>
        <w:rPr>
          <w:rFonts w:hint="eastAsia" w:ascii="仿宋" w:hAnsi="仿宋" w:eastAsia="仿宋" w:cs="仿宋"/>
          <w:color w:val="auto"/>
          <w:sz w:val="21"/>
          <w:szCs w:val="21"/>
          <w:highlight w:val="none"/>
          <w:lang w:val="en-US" w:eastAsia="zh-CN"/>
        </w:rPr>
        <w:t>7、公司业绩一览表</w:t>
      </w:r>
      <w:bookmarkEnd w:id="23"/>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4" w:name="_Toc20234"/>
      <w:r>
        <w:rPr>
          <w:rFonts w:hint="eastAsia" w:ascii="仿宋" w:hAnsi="仿宋" w:eastAsia="仿宋" w:cs="仿宋"/>
          <w:color w:val="auto"/>
          <w:sz w:val="21"/>
          <w:szCs w:val="21"/>
          <w:highlight w:val="none"/>
          <w:lang w:val="en-US" w:eastAsia="zh-CN"/>
        </w:rPr>
        <w:t>8</w:t>
      </w:r>
      <w:bookmarkEnd w:id="24"/>
      <w:r>
        <w:rPr>
          <w:rFonts w:hint="eastAsia" w:ascii="仿宋" w:hAnsi="仿宋" w:eastAsia="仿宋" w:cs="仿宋"/>
          <w:color w:val="auto"/>
          <w:sz w:val="21"/>
          <w:szCs w:val="21"/>
          <w:highlight w:val="none"/>
          <w:lang w:val="en-US" w:eastAsia="zh-CN"/>
        </w:rPr>
        <w:t>、投标方的资格声明</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5" w:name="_Toc24015"/>
      <w:r>
        <w:rPr>
          <w:rFonts w:hint="eastAsia" w:ascii="仿宋" w:hAnsi="仿宋" w:eastAsia="仿宋" w:cs="仿宋"/>
          <w:color w:val="auto"/>
          <w:sz w:val="21"/>
          <w:szCs w:val="21"/>
          <w:highlight w:val="none"/>
          <w:lang w:val="en-US" w:eastAsia="zh-CN"/>
        </w:rPr>
        <w:t>9、</w:t>
      </w:r>
      <w:bookmarkEnd w:id="25"/>
      <w:r>
        <w:rPr>
          <w:rFonts w:hint="eastAsia" w:ascii="仿宋" w:hAnsi="仿宋" w:eastAsia="仿宋" w:cs="仿宋"/>
          <w:color w:val="auto"/>
          <w:sz w:val="21"/>
          <w:szCs w:val="21"/>
          <w:highlight w:val="none"/>
          <w:lang w:val="en-US" w:eastAsia="zh-CN"/>
        </w:rPr>
        <w:t xml:space="preserve">实施方案 </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6" w:name="_Toc901"/>
      <w:r>
        <w:rPr>
          <w:rFonts w:hint="eastAsia" w:ascii="仿宋" w:hAnsi="仿宋" w:eastAsia="仿宋" w:cs="仿宋"/>
          <w:color w:val="auto"/>
          <w:sz w:val="21"/>
          <w:szCs w:val="21"/>
          <w:highlight w:val="none"/>
          <w:lang w:val="en-US" w:eastAsia="zh-CN"/>
        </w:rPr>
        <w:t>10、无重大违法记录声明</w:t>
      </w:r>
      <w:bookmarkEnd w:id="26"/>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7" w:name="_Toc19396"/>
      <w:r>
        <w:rPr>
          <w:rFonts w:hint="eastAsia" w:ascii="仿宋" w:hAnsi="仿宋" w:eastAsia="仿宋" w:cs="仿宋"/>
          <w:color w:val="auto"/>
          <w:sz w:val="21"/>
          <w:szCs w:val="21"/>
          <w:highlight w:val="none"/>
          <w:lang w:val="en-US" w:eastAsia="zh-CN"/>
        </w:rPr>
        <w:t>11、供应商反商业贿赂承诺书</w:t>
      </w:r>
      <w:bookmarkEnd w:id="27"/>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8" w:name="_Toc30867"/>
      <w:r>
        <w:rPr>
          <w:rFonts w:hint="eastAsia" w:ascii="仿宋" w:hAnsi="仿宋" w:eastAsia="仿宋" w:cs="仿宋"/>
          <w:color w:val="auto"/>
          <w:sz w:val="21"/>
          <w:szCs w:val="21"/>
          <w:highlight w:val="none"/>
          <w:lang w:val="en-US" w:eastAsia="zh-CN"/>
        </w:rPr>
        <w:t>12、中小微企业证明文件等（如有）</w:t>
      </w:r>
      <w:bookmarkEnd w:id="28"/>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bookmarkStart w:id="29" w:name="_Toc3181"/>
      <w:r>
        <w:rPr>
          <w:rFonts w:hint="eastAsia" w:ascii="仿宋" w:hAnsi="仿宋" w:eastAsia="仿宋" w:cs="仿宋"/>
          <w:color w:val="auto"/>
          <w:sz w:val="21"/>
          <w:szCs w:val="21"/>
          <w:highlight w:val="none"/>
          <w:lang w:val="en-US" w:eastAsia="zh-CN"/>
        </w:rPr>
        <w:t>13、投标人认为有必要提交的其他相关证明材料</w:t>
      </w:r>
      <w:bookmarkEnd w:id="29"/>
    </w:p>
    <w:p>
      <w:pPr>
        <w:keepNext w:val="0"/>
        <w:keepLines w:val="0"/>
        <w:pageBreakBefore w:val="0"/>
        <w:kinsoku/>
        <w:wordWrap/>
        <w:overflowPunct/>
        <w:topLinePunct w:val="0"/>
        <w:autoSpaceDE w:val="0"/>
        <w:autoSpaceDN w:val="0"/>
        <w:bidi w:val="0"/>
        <w:adjustRightInd w:val="0"/>
        <w:spacing w:beforeAutospacing="0" w:line="440" w:lineRule="exact"/>
        <w:ind w:left="0" w:leftChars="0" w:right="0" w:firstLine="0" w:firstLineChars="0"/>
        <w:jc w:val="left"/>
        <w:textAlignment w:val="auto"/>
        <w:outlineLvl w:val="9"/>
        <w:rPr>
          <w:rFonts w:hint="eastAsia" w:ascii="仿宋" w:hAnsi="仿宋" w:eastAsia="仿宋" w:cs="仿宋"/>
          <w:bCs/>
          <w:color w:val="auto"/>
          <w:kern w:val="0"/>
          <w:sz w:val="21"/>
          <w:szCs w:val="21"/>
          <w:highlight w:val="none"/>
        </w:rPr>
      </w:pPr>
      <w:r>
        <w:rPr>
          <w:rFonts w:hint="eastAsia" w:ascii="仿宋" w:hAnsi="仿宋" w:eastAsia="仿宋" w:cs="仿宋"/>
          <w:b/>
          <w:bCs/>
          <w:color w:val="auto"/>
          <w:kern w:val="0"/>
          <w:sz w:val="21"/>
          <w:szCs w:val="21"/>
          <w:highlight w:val="none"/>
        </w:rPr>
        <w:t>经济部分主要包括</w:t>
      </w:r>
      <w:r>
        <w:rPr>
          <w:rFonts w:hint="eastAsia" w:ascii="仿宋" w:hAnsi="仿宋" w:eastAsia="仿宋" w:cs="仿宋"/>
          <w:b/>
          <w:color w:val="auto"/>
          <w:sz w:val="21"/>
          <w:szCs w:val="21"/>
          <w:highlight w:val="none"/>
        </w:rPr>
        <w:t>但不限于以下内容：</w:t>
      </w:r>
      <w:r>
        <w:rPr>
          <w:rFonts w:hint="eastAsia" w:ascii="仿宋" w:hAnsi="仿宋" w:eastAsia="仿宋" w:cs="仿宋"/>
          <w:bCs/>
          <w:color w:val="auto"/>
          <w:kern w:val="0"/>
          <w:sz w:val="21"/>
          <w:szCs w:val="21"/>
          <w:highlight w:val="none"/>
        </w:rPr>
        <w:tab/>
      </w:r>
    </w:p>
    <w:p>
      <w:pPr>
        <w:keepNext w:val="0"/>
        <w:keepLines w:val="0"/>
        <w:pageBreakBefore w:val="0"/>
        <w:kinsoku/>
        <w:wordWrap/>
        <w:overflowPunct/>
        <w:topLinePunct w:val="0"/>
        <w:autoSpaceDE w:val="0"/>
        <w:autoSpaceDN w:val="0"/>
        <w:bidi w:val="0"/>
        <w:adjustRightInd w:val="0"/>
        <w:spacing w:beforeAutospacing="0" w:line="440" w:lineRule="exact"/>
        <w:ind w:left="0" w:leftChars="0" w:right="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（1）投标报价表；</w:t>
      </w:r>
    </w:p>
    <w:p>
      <w:pPr>
        <w:keepNext w:val="0"/>
        <w:keepLines w:val="0"/>
        <w:pageBreakBefore w:val="0"/>
        <w:kinsoku/>
        <w:wordWrap/>
        <w:overflowPunct/>
        <w:topLinePunct w:val="0"/>
        <w:autoSpaceDE w:val="0"/>
        <w:autoSpaceDN w:val="0"/>
        <w:bidi w:val="0"/>
        <w:adjustRightInd w:val="0"/>
        <w:spacing w:beforeAutospacing="0" w:line="440" w:lineRule="exact"/>
        <w:ind w:left="0" w:leftChars="0" w:right="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（2）明细报价；</w:t>
      </w:r>
    </w:p>
    <w:p>
      <w:pPr>
        <w:keepNext w:val="0"/>
        <w:keepLines w:val="0"/>
        <w:pageBreakBefore w:val="0"/>
        <w:kinsoku/>
        <w:wordWrap/>
        <w:overflowPunct/>
        <w:topLinePunct w:val="0"/>
        <w:autoSpaceDE w:val="0"/>
        <w:autoSpaceDN w:val="0"/>
        <w:bidi w:val="0"/>
        <w:adjustRightInd w:val="0"/>
        <w:spacing w:beforeAutospacing="0" w:line="440" w:lineRule="exact"/>
        <w:ind w:left="0" w:leftChars="0" w:right="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（3）报价说明；</w:t>
      </w:r>
    </w:p>
    <w:p>
      <w:pPr>
        <w:keepNext w:val="0"/>
        <w:keepLines w:val="0"/>
        <w:pageBreakBefore w:val="0"/>
        <w:kinsoku/>
        <w:wordWrap/>
        <w:overflowPunct/>
        <w:topLinePunct w:val="0"/>
        <w:bidi w:val="0"/>
        <w:spacing w:beforeAutospacing="0" w:line="440" w:lineRule="exact"/>
        <w:ind w:left="0" w:leftChars="0" w:right="0" w:firstLine="0" w:firstLineChars="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（4）报价需要的其他资料。</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 投标文件内容及题目的编排顺序和编号按本章第3.1</w:t>
      </w:r>
      <w:r>
        <w:rPr>
          <w:rFonts w:hint="eastAsia" w:ascii="仿宋" w:hAnsi="仿宋" w:eastAsia="仿宋" w:cs="仿宋"/>
          <w:color w:val="auto"/>
          <w:kern w:val="0"/>
          <w:sz w:val="21"/>
          <w:szCs w:val="21"/>
          <w:highlight w:val="none"/>
          <w:lang w:val="zh-CN"/>
        </w:rPr>
        <w:t>款</w:t>
      </w:r>
      <w:r>
        <w:rPr>
          <w:rFonts w:hint="eastAsia" w:ascii="仿宋" w:hAnsi="仿宋" w:eastAsia="仿宋" w:cs="仿宋"/>
          <w:color w:val="auto"/>
          <w:sz w:val="21"/>
          <w:szCs w:val="21"/>
          <w:highlight w:val="none"/>
        </w:rPr>
        <w:t>要求的结构。</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 根据《政府采购法》第四十二条的规定，投标人无论中标与否，其投标文件不予退还。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3.4投标人如有投标优惠，涉及价格的，应当直接在开标一览表的投标报价中给出(即投标报价中己包含价格折扣)；涉及商务、技术内容的，应当在商务条款响应/偏离表或技术规格、参数响应/偏离表中填写。</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五</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投标报价</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本采购项目使用的货币为人民币 ，实施时亦以人民币支付。</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投标报价为本</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文件所确定的采购范围内的全部工作内容的价格体现。任何有选择的报价将不予接受（除非采购人另有约定），否则，在评标时将其视为无效投标。</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投标价格应包括：</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3.1投标报价为完成本次采购项目的服务费、手续费、交通费、住宿费、税金及不可预见费等一切相关费用。</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3.2投标报价为含税价，报价应包含完成本采购项目发生的所有含税费用、支付给员工的工资和国家强制缴纳的各种社会保障资金、以及投标人认为需要的其他费用等。</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投标人应充分考虑到市场价格变动，以及项目实施过程中的不可预见因素，一旦中标，总价格不变。如果有漏项，视同让利。</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w:t>
      </w:r>
      <w:r>
        <w:rPr>
          <w:rFonts w:hint="eastAsia" w:ascii="仿宋" w:hAnsi="仿宋" w:eastAsia="仿宋" w:cs="仿宋"/>
          <w:b/>
          <w:color w:val="auto"/>
          <w:sz w:val="21"/>
          <w:szCs w:val="21"/>
          <w:highlight w:val="none"/>
        </w:rPr>
        <w:t>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非本项目要求的其它内容除外）</w:t>
      </w:r>
      <w:r>
        <w:rPr>
          <w:rFonts w:hint="eastAsia" w:ascii="仿宋" w:hAnsi="仿宋" w:eastAsia="仿宋" w:cs="仿宋"/>
          <w:color w:val="auto"/>
          <w:sz w:val="21"/>
          <w:szCs w:val="21"/>
          <w:highlight w:val="none"/>
        </w:rPr>
        <w:t>。</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3.4投标人应在《开标一览表》、《投标报价一览表》等标明投标人报价；《明细报价清单》提供明细报价。</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4.4投标文件报价出现前后不一致的，除</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文件另有规定外，按照下列规定修正：</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（一）投标文件中开标一览表（报价表）内容与投标文件中相应内容不一致的，以开标一览表（报价表）为准；</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（二）大写金额和小写金额不一致的，以大写金额为准；</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（三）单价金额小数点或者百分比有明显错位的，以开标一览表的总价为准，并修改单价；</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（四）总价金额与按单价汇总金额不一致的，以单价金额计算结果为准。</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同时出现两种以上不一致的，按照前款规定的顺序修正。</w:t>
      </w:r>
    </w:p>
    <w:p>
      <w:pPr>
        <w:keepNext w:val="0"/>
        <w:keepLines w:val="0"/>
        <w:pageBreakBefore w:val="0"/>
        <w:kinsoku/>
        <w:wordWrap/>
        <w:overflowPunct/>
        <w:topLinePunct w:val="0"/>
        <w:bidi w:val="0"/>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六</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投标人的资格证明文件</w:t>
      </w:r>
    </w:p>
    <w:p>
      <w:pPr>
        <w:keepNext w:val="0"/>
        <w:keepLines w:val="0"/>
        <w:pageBreakBefore w:val="0"/>
        <w:tabs>
          <w:tab w:val="left" w:pos="7560"/>
          <w:tab w:val="left" w:pos="7740"/>
          <w:tab w:val="left" w:pos="792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投标人应提交满足本章第3.1</w:t>
      </w:r>
      <w:r>
        <w:rPr>
          <w:rFonts w:hint="eastAsia" w:ascii="仿宋" w:hAnsi="仿宋" w:eastAsia="仿宋" w:cs="仿宋"/>
          <w:color w:val="auto"/>
          <w:kern w:val="0"/>
          <w:sz w:val="21"/>
          <w:szCs w:val="21"/>
          <w:highlight w:val="none"/>
          <w:lang w:val="zh-CN"/>
        </w:rPr>
        <w:t>款</w:t>
      </w:r>
      <w:r>
        <w:rPr>
          <w:rFonts w:hint="eastAsia" w:ascii="仿宋" w:hAnsi="仿宋" w:eastAsia="仿宋" w:cs="仿宋"/>
          <w:color w:val="auto"/>
          <w:sz w:val="21"/>
          <w:szCs w:val="21"/>
          <w:highlight w:val="none"/>
        </w:rPr>
        <w:t>规定的资格条件要求的证明文件,该证明文件作为投标文件的一部分。</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如果投标人为联合体，则应提交联合体各方资格证明文件、联合体协议。否则，在评标时将其视为无效投标。</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除</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另有规定外，投标人提供的货物及服务不是投标人制造或拥有的,则应当提供经销、或代理投标货物、或为投标货物提供售后服务的证明文件。否则，在评标时将其视为无效投标。</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七</w:t>
      </w:r>
      <w:r>
        <w:rPr>
          <w:rFonts w:hint="eastAsia" w:ascii="仿宋" w:hAnsi="仿宋" w:eastAsia="仿宋" w:cs="仿宋"/>
          <w:b/>
          <w:color w:val="auto"/>
          <w:sz w:val="21"/>
          <w:szCs w:val="21"/>
          <w:highlight w:val="none"/>
          <w:lang w:eastAsia="zh-CN"/>
        </w:rPr>
        <w:t>）符合文件规定的证明文件</w:t>
      </w:r>
    </w:p>
    <w:p>
      <w:pPr>
        <w:keepNext w:val="0"/>
        <w:keepLines w:val="0"/>
        <w:pageBreakBefore w:val="0"/>
        <w:kinsoku/>
        <w:wordWrap/>
        <w:overflowPunct/>
        <w:topLinePunct w:val="0"/>
        <w:bidi w:val="0"/>
        <w:spacing w:line="440" w:lineRule="exact"/>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供应商提供的资格证明材料，须满足投标人须知前附表的要求。</w:t>
      </w:r>
    </w:p>
    <w:p>
      <w:pPr>
        <w:keepNext w:val="0"/>
        <w:keepLines w:val="0"/>
        <w:pageBreakBefore w:val="0"/>
        <w:kinsoku/>
        <w:wordWrap/>
        <w:overflowPunct/>
        <w:topLinePunct w:val="0"/>
        <w:bidi w:val="0"/>
        <w:spacing w:line="440" w:lineRule="exact"/>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供应商为联合体形式的，则应提交联合体各方的资格文件，否则将视为未实质性响应条款而被拒绝。</w:t>
      </w:r>
    </w:p>
    <w:p>
      <w:pPr>
        <w:keepNext w:val="0"/>
        <w:keepLines w:val="0"/>
        <w:pageBreakBefore w:val="0"/>
        <w:kinsoku/>
        <w:wordWrap/>
        <w:overflowPunct/>
        <w:topLinePunct w:val="0"/>
        <w:bidi w:val="0"/>
        <w:spacing w:line="440" w:lineRule="exact"/>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投标人确保所提供货物（或服务），其质量满足中华人民共和国国家相关标准，使用的原辅材料要符合质量要求，拟投入的设备完好率足以胜任本项目的工作。</w:t>
      </w:r>
    </w:p>
    <w:p>
      <w:pPr>
        <w:keepNext w:val="0"/>
        <w:keepLines w:val="0"/>
        <w:pageBreakBefore w:val="0"/>
        <w:kinsoku/>
        <w:wordWrap/>
        <w:overflowPunct/>
        <w:topLinePunct w:val="0"/>
        <w:bidi w:val="0"/>
        <w:spacing w:line="440" w:lineRule="exact"/>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投标人须提交证明拟供货物（或服务）符合竞争性</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文件规定的技术响应文件，作为响应文件的一部分。</w:t>
      </w:r>
    </w:p>
    <w:p>
      <w:pPr>
        <w:keepNext w:val="0"/>
        <w:keepLines w:val="0"/>
        <w:pageBreakBefore w:val="0"/>
        <w:kinsoku/>
        <w:wordWrap/>
        <w:overflowPunct/>
        <w:topLinePunct w:val="0"/>
        <w:bidi w:val="0"/>
        <w:spacing w:line="440" w:lineRule="exact"/>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 xml:space="preserve"> 提供的货物（或服务）符合规定的相应技术标准、环保及节能标准等。</w:t>
      </w:r>
    </w:p>
    <w:p>
      <w:pPr>
        <w:keepNext w:val="0"/>
        <w:keepLines w:val="0"/>
        <w:pageBreakBefore w:val="0"/>
        <w:kinsoku/>
        <w:wordWrap/>
        <w:overflowPunct/>
        <w:topLinePunct w:val="0"/>
        <w:bidi w:val="0"/>
        <w:spacing w:line="440" w:lineRule="exact"/>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对照采购人的采购内容及技术要求，逐条确定，指出所提供的货物（或服务）是否实质性响应</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文件的要求，如有偏离，须填报偏离表（见附件）。</w:t>
      </w:r>
    </w:p>
    <w:p>
      <w:pPr>
        <w:keepNext w:val="0"/>
        <w:keepLines w:val="0"/>
        <w:pageBreakBefore w:val="0"/>
        <w:kinsoku/>
        <w:wordWrap/>
        <w:overflowPunct/>
        <w:topLinePunct w:val="0"/>
        <w:bidi w:val="0"/>
        <w:spacing w:line="440" w:lineRule="exact"/>
        <w:ind w:left="0"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投标人应当提交符合</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文件规定的业绩证明文件，该证明文件作为响应文件的一部分</w:t>
      </w:r>
      <w:r>
        <w:rPr>
          <w:rFonts w:hint="eastAsia" w:ascii="仿宋" w:hAnsi="仿宋" w:eastAsia="仿宋" w:cs="仿宋"/>
          <w:color w:val="auto"/>
          <w:sz w:val="21"/>
          <w:szCs w:val="21"/>
          <w:highlight w:val="none"/>
          <w:lang w:eastAsia="zh-CN"/>
        </w:rPr>
        <w:t>。</w:t>
      </w:r>
    </w:p>
    <w:p>
      <w:pPr>
        <w:keepNext w:val="0"/>
        <w:keepLines w:val="0"/>
        <w:pageBreakBefore w:val="0"/>
        <w:kinsoku/>
        <w:wordWrap/>
        <w:overflowPunct/>
        <w:topLinePunct w:val="0"/>
        <w:bidi w:val="0"/>
        <w:spacing w:line="440" w:lineRule="exact"/>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没有按要求提供资料或提供资料不完全，其风险由投标人自行承担。</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八</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rPr>
        <w:t>投标保证金</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规定缴纳</w:t>
      </w:r>
      <w:r>
        <w:rPr>
          <w:rFonts w:hint="eastAsia" w:ascii="仿宋" w:hAnsi="仿宋" w:eastAsia="仿宋" w:cs="仿宋"/>
          <w:bCs/>
          <w:color w:val="auto"/>
          <w:sz w:val="21"/>
          <w:szCs w:val="21"/>
          <w:highlight w:val="none"/>
        </w:rPr>
        <w:t>投标保证金的</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投标人应按</w:t>
      </w:r>
      <w:r>
        <w:rPr>
          <w:rFonts w:hint="eastAsia" w:ascii="仿宋" w:hAnsi="仿宋" w:eastAsia="仿宋" w:cs="仿宋"/>
          <w:b/>
          <w:bCs/>
          <w:color w:val="auto"/>
          <w:sz w:val="21"/>
          <w:szCs w:val="21"/>
          <w:highlight w:val="none"/>
        </w:rPr>
        <w:t>投标人须知前附表</w:t>
      </w:r>
      <w:r>
        <w:rPr>
          <w:rFonts w:hint="eastAsia" w:ascii="仿宋" w:hAnsi="仿宋" w:eastAsia="仿宋" w:cs="仿宋"/>
          <w:color w:val="auto"/>
          <w:sz w:val="21"/>
          <w:szCs w:val="21"/>
          <w:highlight w:val="none"/>
        </w:rPr>
        <w:t>规定的要求</w:t>
      </w:r>
      <w:r>
        <w:rPr>
          <w:rFonts w:hint="eastAsia" w:ascii="仿宋" w:hAnsi="仿宋" w:eastAsia="仿宋" w:cs="仿宋"/>
          <w:bCs/>
          <w:color w:val="auto"/>
          <w:sz w:val="21"/>
          <w:szCs w:val="21"/>
          <w:highlight w:val="none"/>
        </w:rPr>
        <w:t>提交保证金</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投标保证金有效期应与</w:t>
      </w:r>
      <w:r>
        <w:rPr>
          <w:rFonts w:hint="eastAsia" w:ascii="仿宋" w:hAnsi="仿宋" w:eastAsia="仿宋" w:cs="仿宋"/>
          <w:color w:val="auto"/>
          <w:sz w:val="21"/>
          <w:szCs w:val="21"/>
          <w:highlight w:val="none"/>
        </w:rPr>
        <w:t>本章第6.1</w:t>
      </w:r>
      <w:r>
        <w:rPr>
          <w:rFonts w:hint="eastAsia" w:ascii="仿宋" w:hAnsi="仿宋" w:eastAsia="仿宋" w:cs="仿宋"/>
          <w:color w:val="auto"/>
          <w:kern w:val="0"/>
          <w:sz w:val="21"/>
          <w:szCs w:val="21"/>
          <w:highlight w:val="none"/>
          <w:lang w:val="zh-CN"/>
        </w:rPr>
        <w:t>款</w:t>
      </w:r>
      <w:r>
        <w:rPr>
          <w:rFonts w:hint="eastAsia" w:ascii="仿宋" w:hAnsi="仿宋" w:eastAsia="仿宋" w:cs="仿宋"/>
          <w:color w:val="auto"/>
          <w:sz w:val="21"/>
          <w:szCs w:val="21"/>
          <w:highlight w:val="none"/>
        </w:rPr>
        <w:t>规定</w:t>
      </w:r>
      <w:r>
        <w:rPr>
          <w:rFonts w:hint="eastAsia" w:ascii="仿宋" w:hAnsi="仿宋" w:eastAsia="仿宋" w:cs="仿宋"/>
          <w:bCs/>
          <w:color w:val="auto"/>
          <w:sz w:val="21"/>
          <w:szCs w:val="21"/>
          <w:highlight w:val="none"/>
        </w:rPr>
        <w:t>的投标有效期一致。投标人</w:t>
      </w:r>
      <w:r>
        <w:rPr>
          <w:rFonts w:hint="eastAsia" w:ascii="仿宋" w:hAnsi="仿宋" w:eastAsia="仿宋" w:cs="仿宋"/>
          <w:color w:val="auto"/>
          <w:sz w:val="21"/>
          <w:szCs w:val="21"/>
          <w:highlight w:val="none"/>
        </w:rPr>
        <w:t>未按照招标文件要求提交投标保证金的，</w:t>
      </w:r>
      <w:r>
        <w:rPr>
          <w:rFonts w:hint="eastAsia" w:ascii="仿宋" w:hAnsi="仿宋" w:eastAsia="仿宋" w:cs="仿宋"/>
          <w:bCs/>
          <w:color w:val="auto"/>
          <w:sz w:val="21"/>
          <w:szCs w:val="21"/>
          <w:highlight w:val="none"/>
        </w:rPr>
        <w:t>采购代理机构</w:t>
      </w:r>
      <w:r>
        <w:rPr>
          <w:rFonts w:hint="eastAsia" w:ascii="仿宋" w:hAnsi="仿宋" w:eastAsia="仿宋" w:cs="仿宋"/>
          <w:color w:val="auto"/>
          <w:sz w:val="21"/>
          <w:szCs w:val="21"/>
          <w:highlight w:val="none"/>
        </w:rPr>
        <w:t>应当拒绝接收投标人的投标文件或评标委员会在评标时将其视为无效投标。</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2、</w:t>
      </w:r>
      <w:r>
        <w:rPr>
          <w:rFonts w:hint="eastAsia" w:ascii="仿宋" w:hAnsi="仿宋" w:eastAsia="仿宋" w:cs="仿宋"/>
          <w:color w:val="auto"/>
          <w:sz w:val="21"/>
          <w:szCs w:val="21"/>
          <w:highlight w:val="none"/>
        </w:rPr>
        <w:t>联合体投标的，由联合体牵头方提交投标保证金。以牵头方提交投标保证金的，对联合体各方均具有约束力。</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未中标的投标人的投标保证金，将在中标通知书发出后五个工作日内无息退还。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中标的投标人的投标保证金，将在政府采购合同签订后五个工作日内无息退还。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有以下情形之一的，投标保证金将不予退还：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（1）投标人在本章第21.1</w:t>
      </w:r>
      <w:r>
        <w:rPr>
          <w:rFonts w:hint="eastAsia" w:ascii="仿宋" w:hAnsi="仿宋" w:eastAsia="仿宋" w:cs="仿宋"/>
          <w:color w:val="auto"/>
          <w:kern w:val="0"/>
          <w:sz w:val="21"/>
          <w:szCs w:val="21"/>
          <w:highlight w:val="none"/>
          <w:lang w:val="zh-CN"/>
        </w:rPr>
        <w:t>款</w:t>
      </w:r>
      <w:r>
        <w:rPr>
          <w:rFonts w:hint="eastAsia" w:ascii="仿宋" w:hAnsi="仿宋" w:eastAsia="仿宋" w:cs="仿宋"/>
          <w:bCs/>
          <w:color w:val="auto"/>
          <w:sz w:val="21"/>
          <w:szCs w:val="21"/>
          <w:highlight w:val="none"/>
        </w:rPr>
        <w:t>规定的</w:t>
      </w:r>
      <w:r>
        <w:rPr>
          <w:rFonts w:hint="eastAsia" w:ascii="仿宋" w:hAnsi="仿宋" w:eastAsia="仿宋" w:cs="仿宋"/>
          <w:color w:val="auto"/>
          <w:sz w:val="21"/>
          <w:szCs w:val="21"/>
          <w:highlight w:val="none"/>
        </w:rPr>
        <w:t xml:space="preserve">投标有效期内撤回或修改投标文件； </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（2）投标提供虚假材料谋取中标的；</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（3）确定为中标供应商后，中标人无正当理由放弃中标资格的；</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（4）中标后，无正当理由不签订合同或转让、分包项目以及拒绝履行合同义务的；</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（5）法律法规或招标文件规定的其他情形。</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九</w:t>
      </w:r>
      <w:r>
        <w:rPr>
          <w:rFonts w:hint="eastAsia" w:ascii="仿宋" w:hAnsi="仿宋" w:eastAsia="仿宋" w:cs="仿宋"/>
          <w:b/>
          <w:color w:val="auto"/>
          <w:sz w:val="21"/>
          <w:szCs w:val="21"/>
          <w:highlight w:val="none"/>
          <w:lang w:eastAsia="zh-CN"/>
        </w:rPr>
        <w:t>）投标有效期</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投标有效期见</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，在此期间投标文件对投标人具有法律约束力，以保证采购人有足够的时间完成评标、定标以及签订合同。投标有效期从本章规定的投标截止之日起计算。投标有效期不足的，在评标时将其视为无效投标。</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十</w:t>
      </w:r>
      <w:r>
        <w:rPr>
          <w:rFonts w:hint="eastAsia" w:ascii="仿宋" w:hAnsi="仿宋" w:eastAsia="仿宋" w:cs="仿宋"/>
          <w:b/>
          <w:color w:val="auto"/>
          <w:sz w:val="21"/>
          <w:szCs w:val="21"/>
          <w:highlight w:val="none"/>
          <w:lang w:eastAsia="zh-CN"/>
        </w:rPr>
        <w:t>）投标文件的签署</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投标文件正本一份,电子文件一份(U盘,并标注投标人名称)，副本</w:t>
      </w:r>
      <w:r>
        <w:rPr>
          <w:rFonts w:hint="eastAsia" w:ascii="仿宋" w:hAnsi="仿宋" w:eastAsia="仿宋" w:cs="仿宋"/>
          <w:color w:val="auto"/>
          <w:sz w:val="21"/>
          <w:szCs w:val="21"/>
          <w:highlight w:val="none"/>
          <w:lang w:val="en-US" w:eastAsia="zh-CN"/>
        </w:rPr>
        <w:t>肆</w:t>
      </w:r>
      <w:r>
        <w:rPr>
          <w:rFonts w:hint="eastAsia" w:ascii="仿宋" w:hAnsi="仿宋" w:eastAsia="仿宋" w:cs="仿宋"/>
          <w:color w:val="auto"/>
          <w:sz w:val="21"/>
          <w:szCs w:val="21"/>
          <w:highlight w:val="none"/>
        </w:rPr>
        <w:t>份</w:t>
      </w:r>
      <w:r>
        <w:rPr>
          <w:rFonts w:hint="eastAsia" w:ascii="仿宋" w:hAnsi="仿宋" w:eastAsia="仿宋" w:cs="仿宋"/>
          <w:b/>
          <w:color w:val="auto"/>
          <w:sz w:val="21"/>
          <w:szCs w:val="21"/>
          <w:highlight w:val="none"/>
        </w:rPr>
        <w:t>。</w:t>
      </w:r>
      <w:r>
        <w:rPr>
          <w:rFonts w:hint="eastAsia" w:ascii="仿宋" w:hAnsi="仿宋" w:eastAsia="仿宋" w:cs="仿宋"/>
          <w:color w:val="auto"/>
          <w:sz w:val="21"/>
          <w:szCs w:val="21"/>
          <w:highlight w:val="none"/>
        </w:rPr>
        <w:t>正本和副本的封面应注明“正本”或“副本”的字样，当正本和副本不一致时，以正本为准。</w:t>
      </w:r>
    </w:p>
    <w:p>
      <w:pPr>
        <w:keepNext w:val="0"/>
        <w:keepLines w:val="0"/>
        <w:pageBreakBefore w:val="0"/>
        <w:tabs>
          <w:tab w:val="left" w:pos="570"/>
          <w:tab w:val="left" w:pos="8280"/>
        </w:tabs>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投标文件应用不褪色的材料打印或书写，并在</w:t>
      </w:r>
      <w:r>
        <w:rPr>
          <w:rFonts w:hint="eastAsia" w:ascii="仿宋" w:hAnsi="仿宋" w:eastAsia="仿宋" w:cs="仿宋"/>
          <w:bCs/>
          <w:color w:val="auto"/>
          <w:sz w:val="21"/>
          <w:szCs w:val="21"/>
          <w:highlight w:val="none"/>
        </w:rPr>
        <w:t>招标</w:t>
      </w:r>
      <w:r>
        <w:rPr>
          <w:rFonts w:hint="eastAsia" w:ascii="仿宋" w:hAnsi="仿宋" w:eastAsia="仿宋" w:cs="仿宋"/>
          <w:color w:val="auto"/>
          <w:sz w:val="21"/>
          <w:szCs w:val="21"/>
          <w:highlight w:val="none"/>
        </w:rPr>
        <w:t>文件要求签字、盖章处盖投标单位行政公章和由法定代表人或其委托代理人签字。投标文件中的任何行间插字、涂改和增删，改动之处应加盖单位行政公章或由投标人的法定代表人或其授权的代理人签字确认。不按上述要求盖章和签字的，在评标时将其视为无效投标。</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十一</w:t>
      </w:r>
      <w:r>
        <w:rPr>
          <w:rFonts w:hint="eastAsia" w:ascii="仿宋" w:hAnsi="仿宋" w:eastAsia="仿宋" w:cs="仿宋"/>
          <w:b/>
          <w:color w:val="auto"/>
          <w:sz w:val="21"/>
          <w:szCs w:val="21"/>
          <w:highlight w:val="none"/>
          <w:lang w:eastAsia="zh-CN"/>
        </w:rPr>
        <w:t>）投标文件的递交</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1、</w:t>
      </w:r>
      <w:r>
        <w:rPr>
          <w:rFonts w:hint="eastAsia" w:ascii="仿宋" w:hAnsi="仿宋" w:eastAsia="仿宋" w:cs="仿宋"/>
          <w:b/>
          <w:color w:val="auto"/>
          <w:sz w:val="21"/>
          <w:szCs w:val="21"/>
          <w:highlight w:val="none"/>
          <w:lang w:eastAsia="zh-CN"/>
        </w:rPr>
        <w:t>投标文件的密封和标记</w:t>
      </w:r>
    </w:p>
    <w:p>
      <w:pPr>
        <w:keepNext w:val="0"/>
        <w:keepLines w:val="0"/>
        <w:pageBreakBefore w:val="0"/>
        <w:kinsoku/>
        <w:wordWrap/>
        <w:overflowPunct/>
        <w:topLinePunct w:val="0"/>
        <w:bidi w:val="0"/>
        <w:snapToGrid/>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文件按正本和副本分别密封包装(电子文件装入投标文件正本密封袋中)，注明“正本”或“副本”，在封套两端折叠封口处加贴封条，标明“正本”或“副本”、“项目名称、项目编号、投标人、授权代理人、联系电话”、标注“    年   月   日   时   分（开标时间）开标前不得开启”，并在启封处加盖公章、法定代表人印章，并应确保密封完好。不按此规定装订、密封的按无效标处理。</w:t>
      </w:r>
    </w:p>
    <w:p>
      <w:pPr>
        <w:keepNext w:val="0"/>
        <w:keepLines w:val="0"/>
        <w:pageBreakBefore w:val="0"/>
        <w:kinsoku/>
        <w:wordWrap/>
        <w:overflowPunct/>
        <w:topLinePunct w:val="0"/>
        <w:bidi w:val="0"/>
        <w:snapToGrid/>
        <w:spacing w:before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投标文件封套或外包装上应载明的内容见</w:t>
      </w:r>
      <w:r>
        <w:rPr>
          <w:rFonts w:hint="eastAsia" w:ascii="仿宋" w:hAnsi="仿宋" w:eastAsia="仿宋" w:cs="仿宋"/>
          <w:b/>
          <w:color w:val="auto"/>
          <w:sz w:val="21"/>
          <w:szCs w:val="21"/>
          <w:highlight w:val="none"/>
        </w:rPr>
        <w:t>投标人须知前附表。</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投标文件如果未按上述规定密封和标记，采购代理机构应当拒绝接收。</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2、</w:t>
      </w:r>
      <w:r>
        <w:rPr>
          <w:rFonts w:hint="eastAsia" w:ascii="仿宋" w:hAnsi="仿宋" w:eastAsia="仿宋" w:cs="仿宋"/>
          <w:b/>
          <w:color w:val="auto"/>
          <w:sz w:val="21"/>
          <w:szCs w:val="21"/>
          <w:highlight w:val="none"/>
          <w:lang w:eastAsia="zh-CN"/>
        </w:rPr>
        <w:t>投标文件的递交</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投标文件应在本章第11.2</w:t>
      </w:r>
      <w:r>
        <w:rPr>
          <w:rFonts w:hint="eastAsia" w:ascii="仿宋" w:hAnsi="仿宋" w:eastAsia="仿宋" w:cs="仿宋"/>
          <w:color w:val="auto"/>
          <w:kern w:val="0"/>
          <w:sz w:val="21"/>
          <w:szCs w:val="21"/>
          <w:highlight w:val="none"/>
          <w:lang w:val="zh-CN"/>
        </w:rPr>
        <w:t>款</w:t>
      </w:r>
      <w:r>
        <w:rPr>
          <w:rFonts w:hint="eastAsia" w:ascii="仿宋" w:hAnsi="仿宋" w:eastAsia="仿宋" w:cs="仿宋"/>
          <w:color w:val="auto"/>
          <w:sz w:val="21"/>
          <w:szCs w:val="21"/>
          <w:highlight w:val="none"/>
        </w:rPr>
        <w:t>规定的投标截止时间之前送达</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指定的地点。</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逾期送达或未送达指定地点的投标文件，采购代理机构应当拒绝接收。</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sz w:val="21"/>
          <w:szCs w:val="21"/>
          <w:highlight w:val="none"/>
        </w:rPr>
        <w:t>投标人应将招标文件中第五章投标文件的组成“政府采购招标文件（商务文件）二、《开标一览表》和三、《</w:t>
      </w:r>
      <w:r>
        <w:rPr>
          <w:rFonts w:hint="eastAsia" w:ascii="仿宋" w:hAnsi="仿宋" w:eastAsia="仿宋" w:cs="仿宋"/>
          <w:b w:val="0"/>
          <w:bCs w:val="0"/>
          <w:color w:val="auto"/>
          <w:sz w:val="21"/>
          <w:szCs w:val="21"/>
          <w:highlight w:val="none"/>
          <w:lang w:val="en-US" w:eastAsia="zh-CN"/>
        </w:rPr>
        <w:t>报价明细表</w:t>
      </w:r>
      <w:r>
        <w:rPr>
          <w:rFonts w:hint="eastAsia" w:ascii="仿宋" w:hAnsi="仿宋" w:eastAsia="仿宋" w:cs="仿宋"/>
          <w:b w:val="0"/>
          <w:bCs w:val="0"/>
          <w:color w:val="auto"/>
          <w:sz w:val="21"/>
          <w:szCs w:val="21"/>
          <w:highlight w:val="none"/>
        </w:rPr>
        <w:t>表》”另备一份单独密封，与项目投标文件同时递交，否则视为自动放弃投标；单独密封递交的《开标一览表》和《</w:t>
      </w:r>
      <w:r>
        <w:rPr>
          <w:rFonts w:hint="eastAsia" w:ascii="仿宋" w:hAnsi="仿宋" w:eastAsia="仿宋" w:cs="仿宋"/>
          <w:b w:val="0"/>
          <w:bCs w:val="0"/>
          <w:color w:val="auto"/>
          <w:sz w:val="21"/>
          <w:szCs w:val="21"/>
          <w:highlight w:val="none"/>
          <w:lang w:val="en-US" w:eastAsia="zh-CN"/>
        </w:rPr>
        <w:t>报价明细</w:t>
      </w:r>
      <w:r>
        <w:rPr>
          <w:rFonts w:hint="eastAsia" w:ascii="仿宋" w:hAnsi="仿宋" w:eastAsia="仿宋" w:cs="仿宋"/>
          <w:b w:val="0"/>
          <w:bCs w:val="0"/>
          <w:color w:val="auto"/>
          <w:sz w:val="21"/>
          <w:szCs w:val="21"/>
          <w:highlight w:val="none"/>
        </w:rPr>
        <w:t>表》与投标文件中的表格内容不一致的，视为无效投标。</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val="en-US" w:eastAsia="zh-CN"/>
        </w:rPr>
        <w:t>3、</w:t>
      </w:r>
      <w:r>
        <w:rPr>
          <w:rFonts w:hint="eastAsia" w:ascii="仿宋" w:hAnsi="仿宋" w:eastAsia="仿宋" w:cs="仿宋"/>
          <w:b/>
          <w:color w:val="auto"/>
          <w:sz w:val="21"/>
          <w:szCs w:val="21"/>
          <w:highlight w:val="none"/>
          <w:lang w:eastAsia="zh-CN"/>
        </w:rPr>
        <w:t>投标文件的修改和撤回</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在本章第11.2</w:t>
      </w:r>
      <w:r>
        <w:rPr>
          <w:rFonts w:hint="eastAsia" w:ascii="仿宋" w:hAnsi="仿宋" w:eastAsia="仿宋" w:cs="仿宋"/>
          <w:color w:val="auto"/>
          <w:kern w:val="0"/>
          <w:sz w:val="21"/>
          <w:szCs w:val="21"/>
          <w:highlight w:val="none"/>
          <w:lang w:val="zh-CN"/>
        </w:rPr>
        <w:t>款</w:t>
      </w:r>
      <w:r>
        <w:rPr>
          <w:rFonts w:hint="eastAsia" w:ascii="仿宋" w:hAnsi="仿宋" w:eastAsia="仿宋" w:cs="仿宋"/>
          <w:color w:val="auto"/>
          <w:sz w:val="21"/>
          <w:szCs w:val="21"/>
          <w:highlight w:val="none"/>
        </w:rPr>
        <w:t>规定的投标截止时间前，投标人可以书面形式修改、补充或撤回己递交的投标文件，但应以书面形式通知采购代理机构。</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修改、补充的内容为投标文件的组成部分。修改、补充的投标文件应按本章第</w:t>
      </w:r>
      <w:r>
        <w:rPr>
          <w:rFonts w:hint="eastAsia" w:ascii="仿宋" w:hAnsi="仿宋" w:eastAsia="仿宋" w:cs="仿宋"/>
          <w:bCs/>
          <w:color w:val="auto"/>
          <w:sz w:val="21"/>
          <w:szCs w:val="21"/>
          <w:highlight w:val="none"/>
        </w:rPr>
        <w:t>22、23、24项</w:t>
      </w:r>
      <w:r>
        <w:rPr>
          <w:rFonts w:hint="eastAsia" w:ascii="仿宋" w:hAnsi="仿宋" w:eastAsia="仿宋" w:cs="仿宋"/>
          <w:color w:val="auto"/>
          <w:sz w:val="21"/>
          <w:szCs w:val="21"/>
          <w:highlight w:val="none"/>
        </w:rPr>
        <w:t>规定编制、</w:t>
      </w:r>
      <w:r>
        <w:rPr>
          <w:rFonts w:hint="eastAsia" w:ascii="仿宋" w:hAnsi="仿宋" w:eastAsia="仿宋" w:cs="仿宋"/>
          <w:bCs/>
          <w:color w:val="auto"/>
          <w:sz w:val="21"/>
          <w:szCs w:val="21"/>
          <w:highlight w:val="none"/>
        </w:rPr>
        <w:t>签署、</w:t>
      </w:r>
      <w:r>
        <w:rPr>
          <w:rFonts w:hint="eastAsia" w:ascii="仿宋" w:hAnsi="仿宋" w:eastAsia="仿宋" w:cs="仿宋"/>
          <w:color w:val="auto"/>
          <w:sz w:val="21"/>
          <w:szCs w:val="21"/>
          <w:highlight w:val="none"/>
        </w:rPr>
        <w:t>密封、标记和递交，并标明“修改、补充”字样。</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投标人撤回投标文件的，采购代理机构自收到投标人书面撤回通知之日起五日内退还已收取的</w:t>
      </w:r>
      <w:r>
        <w:rPr>
          <w:rFonts w:hint="eastAsia" w:ascii="仿宋" w:hAnsi="仿宋" w:eastAsia="仿宋" w:cs="仿宋"/>
          <w:b w:val="0"/>
          <w:bCs/>
          <w:color w:val="auto"/>
          <w:sz w:val="21"/>
          <w:szCs w:val="21"/>
          <w:highlight w:val="none"/>
          <w:lang w:eastAsia="zh-CN"/>
        </w:rPr>
        <w:t>投标保证金。</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1"/>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十二</w:t>
      </w:r>
      <w:r>
        <w:rPr>
          <w:rFonts w:hint="eastAsia" w:ascii="仿宋" w:hAnsi="仿宋" w:eastAsia="仿宋" w:cs="仿宋"/>
          <w:b/>
          <w:color w:val="auto"/>
          <w:sz w:val="21"/>
          <w:szCs w:val="21"/>
          <w:highlight w:val="none"/>
          <w:lang w:eastAsia="zh-CN"/>
        </w:rPr>
        <w:t>）串通投标行为</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left"/>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12.1</w:t>
      </w:r>
      <w:r>
        <w:rPr>
          <w:rFonts w:hint="eastAsia" w:ascii="仿宋" w:hAnsi="仿宋" w:eastAsia="仿宋" w:cs="仿宋"/>
          <w:color w:val="auto"/>
          <w:sz w:val="21"/>
          <w:szCs w:val="21"/>
          <w:highlight w:val="none"/>
        </w:rPr>
        <w:t>投标人有以下情形之一的，可认定其有串通投标行为，中标无效：</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（1）投标人之间协商投标报价等投标文件的实质性内容；</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（2）投标人之间约定中标人；</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（3）投标人之间约定部分投标人放弃投标或者中标；</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（4）属于同一集团、协会、商会等组织成员的投标人按照该组织要求协同投标；</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（5）投标人之间为谋取中标或者排斥特定投标人而采取的其他联合行动；</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（6）不同投标人的投标文件由同一单位或者个人编制；</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（7）不同投标人委托同一单位或者个人办理投标事宜；</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（8）不同投标人的投标文件载明的项目管理成员为同一人；</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（9）不同投标人的投标文件异常一致或者投标报价呈规律性差异；</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（10）不同投标人的投标文件相互混装；</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（11）不同投标人的投标保证金从同一单位或者个人的账户转出；</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（12）法律、法规或规章规定的其他串通投标行为。</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outlineLvl w:val="1"/>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（十三）开标</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rPr>
          <w:rStyle w:val="22"/>
          <w:rFonts w:hint="eastAsia" w:ascii="仿宋" w:hAnsi="仿宋" w:eastAsia="仿宋" w:cs="仿宋"/>
          <w:color w:val="auto"/>
          <w:sz w:val="21"/>
          <w:szCs w:val="21"/>
          <w:highlight w:val="none"/>
        </w:rPr>
      </w:pPr>
      <w:r>
        <w:rPr>
          <w:rStyle w:val="22"/>
          <w:rFonts w:hint="eastAsia" w:ascii="仿宋" w:hAnsi="仿宋" w:eastAsia="仿宋" w:cs="仿宋"/>
          <w:color w:val="auto"/>
          <w:sz w:val="21"/>
          <w:szCs w:val="21"/>
          <w:highlight w:val="none"/>
        </w:rPr>
        <w:t>13、开标</w:t>
      </w:r>
    </w:p>
    <w:p>
      <w:pPr>
        <w:keepNext w:val="0"/>
        <w:keepLines w:val="0"/>
        <w:pageBreakBefore w:val="0"/>
        <w:kinsoku/>
        <w:wordWrap/>
        <w:overflowPunct/>
        <w:topLinePunct w:val="0"/>
        <w:bidi w:val="0"/>
        <w:snapToGrid/>
        <w:spacing w:beforeAutospacing="0" w:line="440" w:lineRule="exact"/>
        <w:ind w:left="0" w:leftChars="0" w:right="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13.1</w:t>
      </w:r>
      <w:r>
        <w:rPr>
          <w:rFonts w:hint="eastAsia" w:ascii="仿宋" w:hAnsi="仿宋" w:eastAsia="仿宋" w:cs="仿宋"/>
          <w:b/>
          <w:bCs/>
          <w:color w:val="auto"/>
          <w:sz w:val="21"/>
          <w:szCs w:val="21"/>
          <w:highlight w:val="none"/>
        </w:rPr>
        <w:t>开标仪式由招标代理机构组织，采购人代表(需提供单位授权函)、监管代表、投标人代表等参加。有关行政监督部门的工作人员将对投标人进行资格审查，如缺项将导致失去投标资格或废标。开标现场提供资格查验资料齐全、满足</w:t>
      </w:r>
      <w:r>
        <w:rPr>
          <w:rFonts w:hint="eastAsia" w:ascii="仿宋" w:hAnsi="仿宋" w:eastAsia="仿宋" w:cs="仿宋"/>
          <w:b/>
          <w:bCs/>
          <w:color w:val="auto"/>
          <w:sz w:val="21"/>
          <w:szCs w:val="21"/>
          <w:highlight w:val="none"/>
          <w:lang w:val="en-US" w:eastAsia="zh-CN"/>
        </w:rPr>
        <w:t>采购</w:t>
      </w:r>
      <w:r>
        <w:rPr>
          <w:rFonts w:hint="eastAsia" w:ascii="仿宋" w:hAnsi="仿宋" w:eastAsia="仿宋" w:cs="仿宋"/>
          <w:b/>
          <w:bCs/>
          <w:color w:val="auto"/>
          <w:sz w:val="21"/>
          <w:szCs w:val="21"/>
          <w:highlight w:val="none"/>
        </w:rPr>
        <w:t>文件封装、标识、签章要求的投标人为合格有效投标人。</w:t>
      </w:r>
    </w:p>
    <w:p>
      <w:pPr>
        <w:keepNext w:val="0"/>
        <w:keepLines w:val="0"/>
        <w:pageBreakBefore w:val="0"/>
        <w:kinsoku/>
        <w:wordWrap/>
        <w:overflowPunct/>
        <w:topLinePunct w:val="0"/>
        <w:bidi w:val="0"/>
        <w:snapToGrid/>
        <w:spacing w:beforeAutospacing="0" w:line="440" w:lineRule="exact"/>
        <w:ind w:left="0" w:leftChars="0" w:right="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资格审查：</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开标时，</w:t>
      </w:r>
      <w:r>
        <w:rPr>
          <w:rFonts w:hint="eastAsia" w:ascii="仿宋" w:hAnsi="仿宋" w:eastAsia="仿宋" w:cs="仿宋"/>
          <w:color w:val="auto"/>
          <w:sz w:val="21"/>
          <w:szCs w:val="21"/>
          <w:highlight w:val="none"/>
          <w:lang w:val="en-US" w:eastAsia="zh-CN"/>
        </w:rPr>
        <w:t>投标委派的开标代表携带身份证原件并</w:t>
      </w:r>
      <w:r>
        <w:rPr>
          <w:rFonts w:hint="eastAsia" w:ascii="仿宋" w:hAnsi="仿宋" w:eastAsia="仿宋" w:cs="仿宋"/>
          <w:color w:val="auto"/>
          <w:sz w:val="21"/>
          <w:szCs w:val="21"/>
          <w:highlight w:val="none"/>
        </w:rPr>
        <w:t>按如下要求提供有效证明材料进行资格审查</w:t>
      </w:r>
      <w:r>
        <w:rPr>
          <w:rFonts w:hint="eastAsia" w:ascii="仿宋" w:hAnsi="仿宋" w:eastAsia="仿宋" w:cs="仿宋"/>
          <w:color w:val="auto"/>
          <w:sz w:val="21"/>
          <w:szCs w:val="21"/>
          <w:highlight w:val="none"/>
          <w:lang w:eastAsia="zh-CN"/>
        </w:rPr>
        <w:t>。</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资格查验资料：</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（1）营业执照</w:t>
      </w:r>
      <w:r>
        <w:rPr>
          <w:rFonts w:hint="eastAsia" w:ascii="仿宋" w:hAnsi="仿宋" w:eastAsia="仿宋" w:cs="仿宋"/>
          <w:color w:val="auto"/>
          <w:sz w:val="21"/>
          <w:szCs w:val="21"/>
          <w:highlight w:val="none"/>
          <w:lang w:val="en-US" w:eastAsia="zh-CN"/>
        </w:rPr>
        <w:t>复印件加盖公章</w:t>
      </w:r>
      <w:r>
        <w:rPr>
          <w:rFonts w:hint="eastAsia" w:ascii="仿宋" w:hAnsi="仿宋" w:eastAsia="仿宋" w:cs="仿宋"/>
          <w:color w:val="auto"/>
          <w:sz w:val="21"/>
          <w:szCs w:val="21"/>
          <w:highlight w:val="none"/>
        </w:rPr>
        <w:t>；</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（2）法定代表人身份证明书原件并附法定代表人身份证复印件（如委托授权代表的，仅需提供法定代表人授权委托书原件并附代理人身份证复印件）；</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（3）投标保证金缴款证明复印件加盖单位公章</w:t>
      </w:r>
      <w:r>
        <w:rPr>
          <w:rFonts w:hint="eastAsia" w:ascii="仿宋" w:hAnsi="仿宋" w:eastAsia="仿宋" w:cs="仿宋"/>
          <w:color w:val="auto"/>
          <w:sz w:val="21"/>
          <w:szCs w:val="21"/>
          <w:highlight w:val="none"/>
          <w:lang w:eastAsia="zh-CN"/>
        </w:rPr>
        <w:t>；</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）“信用中国”网站（http://www.creditchina.gov.cn/）列入失信被执行人、重大税收违法案件当事人名单、政府采购严重违法失信行为</w:t>
      </w:r>
      <w:r>
        <w:rPr>
          <w:rFonts w:hint="eastAsia" w:ascii="仿宋" w:hAnsi="仿宋" w:eastAsia="仿宋" w:cs="仿宋"/>
          <w:color w:val="auto"/>
          <w:sz w:val="21"/>
          <w:szCs w:val="21"/>
          <w:highlight w:val="none"/>
          <w:lang w:val="en-US" w:eastAsia="zh-CN"/>
        </w:rPr>
        <w:t>查询</w:t>
      </w:r>
      <w:r>
        <w:rPr>
          <w:rFonts w:hint="eastAsia" w:ascii="仿宋" w:hAnsi="仿宋" w:eastAsia="仿宋" w:cs="仿宋"/>
          <w:color w:val="auto"/>
          <w:sz w:val="21"/>
          <w:szCs w:val="21"/>
          <w:highlight w:val="none"/>
        </w:rPr>
        <w:t>、“中国政府采购网”网站（http://www.ccgp.gov.cn/）</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无违法违规行为的；（提供“信用中国”《中国政府采购网》网站无任何不良记录的查询截图，时间为投标截止时间前20天内）</w:t>
      </w:r>
      <w:r>
        <w:rPr>
          <w:rFonts w:hint="eastAsia" w:ascii="仿宋" w:hAnsi="仿宋" w:eastAsia="仿宋" w:cs="仿宋"/>
          <w:color w:val="auto"/>
          <w:sz w:val="21"/>
          <w:szCs w:val="21"/>
          <w:highlight w:val="none"/>
          <w:lang w:eastAsia="zh-CN"/>
        </w:rPr>
        <w:t>；</w:t>
      </w:r>
    </w:p>
    <w:p>
      <w:pPr>
        <w:keepNext w:val="0"/>
        <w:keepLines w:val="0"/>
        <w:adjustRightInd w:val="0"/>
        <w:snapToGrid w:val="0"/>
        <w:spacing w:line="440" w:lineRule="exact"/>
        <w:ind w:left="0" w:left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）近</w:t>
      </w:r>
      <w:r>
        <w:rPr>
          <w:rFonts w:hint="eastAsia" w:ascii="仿宋" w:hAnsi="仿宋" w:eastAsia="仿宋" w:cs="仿宋"/>
          <w:color w:val="auto"/>
          <w:sz w:val="21"/>
          <w:szCs w:val="21"/>
          <w:highlight w:val="none"/>
          <w:lang w:val="en-US" w:eastAsia="zh-CN"/>
        </w:rPr>
        <w:t>3年财务状况表，包括经审计的财务会计报表（含资产负债表、现金流量表、利润表等的复印件）；</w:t>
      </w:r>
    </w:p>
    <w:p>
      <w:pPr>
        <w:keepNext w:val="0"/>
        <w:keepLines w:val="0"/>
        <w:adjustRightInd w:val="0"/>
        <w:snapToGrid w:val="0"/>
        <w:spacing w:line="44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）取得省级及以上行政主管部分颁发的《检验检测机构资质认定证书》《计量认证证书》。</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lang w:val="zh-CN"/>
        </w:rPr>
      </w:pPr>
      <w:r>
        <w:rPr>
          <w:rFonts w:hint="eastAsia" w:ascii="仿宋" w:hAnsi="仿宋" w:eastAsia="仿宋" w:cs="仿宋"/>
          <w:b/>
          <w:bCs/>
          <w:color w:val="auto"/>
          <w:sz w:val="21"/>
          <w:szCs w:val="21"/>
          <w:highlight w:val="none"/>
        </w:rPr>
        <w:t>以上内容需单独封装、标识后提交</w:t>
      </w:r>
      <w:r>
        <w:rPr>
          <w:rFonts w:hint="eastAsia" w:ascii="仿宋" w:hAnsi="仿宋" w:eastAsia="仿宋" w:cs="仿宋"/>
          <w:color w:val="auto"/>
          <w:sz w:val="21"/>
          <w:szCs w:val="21"/>
          <w:highlight w:val="none"/>
        </w:rPr>
        <w:t>。在外封套表面加贴封条：注明“资格审查”、“项目名称、项目编号、投标人、授权代理人、联系电话”、标注“    年   月   日   时   分（开标时间）开标前不得开启”，并在启封处加盖公章、法定代表人印章，并应确保密封完好。</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13.2本次招标按招标文件中投标邀请规定的时间地点进行开标，将邀请投标商的法定代表人或其授权委托人准时参加开标会。</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13.3宣布投标文件开启顺序。</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13.4开标时检查投标文件密封情况，确认无误后拆封唱标，唱正本</w:t>
      </w:r>
      <w:r>
        <w:rPr>
          <w:rFonts w:hint="eastAsia" w:ascii="仿宋" w:hAnsi="仿宋" w:eastAsia="仿宋" w:cs="仿宋"/>
          <w:color w:val="auto"/>
          <w:sz w:val="21"/>
          <w:szCs w:val="21"/>
          <w:highlight w:val="none"/>
        </w:rPr>
        <w:t>“开标一览表”内容，以及招标代理机构认为合适的其他内容并记录。</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13.5评标原则在开标会议上宣布。</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13.6 对招标人的纪律要求</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招标人不得泄露招标投标活动中应当保密的情况和资料，不得与投标人串通损害国家利益、社会公共利益或者他人合法权益。</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13.7对投标人的纪律要求</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投标人不得互相串通投标或者与招标人串通投标，不得向招标人或者评标委员会成员行贿谋取中标，不得以他人名义投标或者以其他方式弄虚作假骗取中标；投标人不得以任何方式干扰、影响评标工作。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13.8 对与评标活动有关的工作人员的纪律要求</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13.9对评标委员会成员要求评标纪律</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13.9.1评委会应当依照有关法律法规的规定，按照招标文件确定的评标标准和办法客观、公正的对投标文件提出评审意见。招标文件设有规定的评标标准和方法不得作为评标依据。</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13.9.2评标委员会成员不得私下接触投标人，不得收受投标人给予的财务或者其他好处，不得向招标人征询确定中标人意向。</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13.9.3不得接受任何单位或个人明示或暗示提出的倾向或排斥特定投标人的要求。</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13.9.4不得有其他不客观，不公正履行职务的行为。</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13.10无效投标条款和废标条款</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13.10.1无效投标条款</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13.10.2未按要求交纳投标保证金的；</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13.10.3未按照招标文件规定要求密封、签署、盖章的；</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13.10.4投标人在报价时采用选择性报价；</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13.10.5投标人不具备招标文件中规定资格要求的；</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13.10.6投标人的报价超过了采购预算的；</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13.10.7未通过符合性检查的；</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13.10.8不符合招标文件中规定的其他实质性要求和条件的；</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13.10.9投标人串通投标；</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13.10.10其他法律、法规及本招标文件规定的属无效投标的情形。</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13.11废标条款：                                                                                                                                                                                                                                                                                                                                                                                                                                                                                                                                                                                                                                                                                                                                                                                                                                                                                                                                                                                                                                                                                                                                                                                                                                                                                                                                                                                                                                                                         </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13.11.1符合专业条件的供应商或者对招标文件作实质响应的供应商不足三家的；30.2.2出现影响采购公正的违法、违规行为的；</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13.11.2因重大变故，采购任务取消的；</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13.11.3评标委员会认定招标文件存在歧义、 重大缺陷导致评审工作无法进行。</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13.11.4 投标截止时间结束后参加投标的供应商不足三家的处理：</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13.11.5如出现投标截止时间结束后参加投标的供应商或者在评标期间对招标文件做出实质响应的供应商不足三家情况，按财政部第八十七号令第四十三条的规定执行。</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outlineLvl w:val="1"/>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（十四）中标信息公布与投标人质疑</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14.中标信息公布</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rPr>
        <w:t>14.1确定中标供应商后，中标信息将在本章指定的媒体上同步发布。</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rPr>
        <w:t>15.投标人质疑</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15.1投标人对政府采购活动事项有疑问的，可以向采购人或采购代理机构提出询问。采购人或采购代理机构将在三个工作日内做出答复。</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 2投标人若认为采购过程和中标结果使自己的权益受到损害，应当在下列时间内以书面形式向采购人或采购代理机构提出：</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（1）关于采购过程的质疑，应当在采购程序环节结束之日起七个工作日内提出。</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（2）关于中标结果的质疑，应当在知道或者应知其权益受到损害之日起7个工作日内提出。</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15.3投标人提出质疑的，应提供质疑书原件。采购人或采购代理机构应当向质疑供应商签收回执。</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15.4质疑书应当包括下列内容：</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（1）质疑供应商的名称、地址及有效联系方式；</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（2）质疑事项；</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（3）事实依据及相关证明材料；</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（4）相关请求及主张。</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15.5 质疑书应当由投标人法定代表人或其授权的代理人签字并加盖投标人单位行政公章，质疑书由授权的代理人签字的应附投标人法定代表人授权委托书。</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15.6 采购人或采购代理机构将在签收回执之日起七个工作日内做出书面答复，并以书面形式通知质疑投标人和其他有关的投标人。</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15.7 投标人对采购人或采购代理机构无正当理由拒绝受理质疑的，投标人可书面向政府采购行政监管部门反映情况；投标人对采购人或采购代理机构的答复不满意，或采购人或采购代理机构未在规定的期限做出答复的，可在答复期满后十五个工作日内，按政府采购相关法律法规规章的规定及程序，向同级财政部门提出投诉。</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outlineLvl w:val="1"/>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（十五）合同签订</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16.中标结果通知</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16.1 在本章规定的投标有效期内，采购代理机构将以书面形式向中标供应商发出《中标通知书》。中标通知书对采购人和中标供应商具有同等法律效力。  </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17、履约担保</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17.1</w:t>
      </w:r>
      <w:r>
        <w:rPr>
          <w:rFonts w:hint="eastAsia" w:ascii="仿宋" w:hAnsi="仿宋" w:eastAsia="仿宋" w:cs="仿宋"/>
          <w:color w:val="auto"/>
          <w:sz w:val="21"/>
          <w:szCs w:val="21"/>
          <w:highlight w:val="none"/>
        </w:rPr>
        <w:t>中标供应商在收到采购代理机构的《中标通知书》后十日内，需向采购人提交履约担保的，应按照</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的规定提交。联合体中标的，履约担保由联合体各方或联合体中牵头人的名义提交。</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17.2 中标供应商</w:t>
      </w:r>
      <w:r>
        <w:rPr>
          <w:rFonts w:hint="eastAsia" w:ascii="仿宋" w:hAnsi="仿宋" w:eastAsia="仿宋" w:cs="仿宋"/>
          <w:color w:val="auto"/>
          <w:spacing w:val="4"/>
          <w:sz w:val="21"/>
          <w:szCs w:val="21"/>
          <w:highlight w:val="none"/>
        </w:rPr>
        <w:t>没有按照本章第33.1</w:t>
      </w:r>
      <w:r>
        <w:rPr>
          <w:rFonts w:hint="eastAsia" w:ascii="仿宋" w:hAnsi="仿宋" w:eastAsia="仿宋" w:cs="仿宋"/>
          <w:color w:val="auto"/>
          <w:kern w:val="0"/>
          <w:sz w:val="21"/>
          <w:szCs w:val="21"/>
          <w:highlight w:val="none"/>
          <w:lang w:val="zh-CN"/>
        </w:rPr>
        <w:t>款</w:t>
      </w:r>
      <w:r>
        <w:rPr>
          <w:rFonts w:hint="eastAsia" w:ascii="仿宋" w:hAnsi="仿宋" w:eastAsia="仿宋" w:cs="仿宋"/>
          <w:color w:val="auto"/>
          <w:spacing w:val="4"/>
          <w:sz w:val="21"/>
          <w:szCs w:val="21"/>
          <w:highlight w:val="none"/>
        </w:rPr>
        <w:t>规定</w:t>
      </w:r>
      <w:r>
        <w:rPr>
          <w:rFonts w:hint="eastAsia" w:ascii="仿宋" w:hAnsi="仿宋" w:eastAsia="仿宋" w:cs="仿宋"/>
          <w:color w:val="auto"/>
          <w:sz w:val="21"/>
          <w:szCs w:val="21"/>
          <w:highlight w:val="none"/>
        </w:rPr>
        <w:t>提交履约担保的</w:t>
      </w:r>
      <w:r>
        <w:rPr>
          <w:rFonts w:hint="eastAsia" w:ascii="仿宋" w:hAnsi="仿宋" w:eastAsia="仿宋" w:cs="仿宋"/>
          <w:color w:val="auto"/>
          <w:spacing w:val="4"/>
          <w:sz w:val="21"/>
          <w:szCs w:val="21"/>
          <w:highlight w:val="none"/>
        </w:rPr>
        <w:t>，视为放弃中标，</w:t>
      </w:r>
      <w:r>
        <w:rPr>
          <w:rFonts w:hint="eastAsia" w:ascii="仿宋" w:hAnsi="仿宋" w:eastAsia="仿宋" w:cs="仿宋"/>
          <w:color w:val="auto"/>
          <w:spacing w:val="2"/>
          <w:sz w:val="21"/>
          <w:szCs w:val="21"/>
          <w:highlight w:val="none"/>
        </w:rPr>
        <w:t>其投标保证金不予退还。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18、签订合同</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18.1 采购人应自中标通知书发出之日起七日内，按指定的时间、地点与中标供应商签订政府采购合同。</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18.2 招标文件、中标供应商的投标文件均为签订合同的依据。</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18.3 中标供应商</w:t>
      </w:r>
      <w:r>
        <w:rPr>
          <w:rFonts w:hint="eastAsia" w:ascii="仿宋" w:hAnsi="仿宋" w:eastAsia="仿宋" w:cs="仿宋"/>
          <w:bCs/>
          <w:color w:val="auto"/>
          <w:sz w:val="21"/>
          <w:szCs w:val="21"/>
          <w:highlight w:val="none"/>
        </w:rPr>
        <w:t>应当按照合同约定履行义务。</w:t>
      </w:r>
      <w:r>
        <w:rPr>
          <w:rFonts w:hint="eastAsia" w:ascii="仿宋" w:hAnsi="仿宋" w:eastAsia="仿宋" w:cs="仿宋"/>
          <w:color w:val="auto"/>
          <w:sz w:val="21"/>
          <w:szCs w:val="21"/>
          <w:highlight w:val="none"/>
        </w:rPr>
        <w:t>中标人</w:t>
      </w:r>
      <w:r>
        <w:rPr>
          <w:rFonts w:hint="eastAsia" w:ascii="仿宋" w:hAnsi="仿宋" w:eastAsia="仿宋" w:cs="仿宋"/>
          <w:bCs/>
          <w:color w:val="auto"/>
          <w:sz w:val="21"/>
          <w:szCs w:val="21"/>
          <w:highlight w:val="none"/>
        </w:rPr>
        <w:t>不得向他人分包中标项目（</w:t>
      </w:r>
      <w:r>
        <w:rPr>
          <w:rFonts w:hint="eastAsia" w:ascii="仿宋" w:hAnsi="仿宋" w:eastAsia="仿宋" w:cs="仿宋"/>
          <w:color w:val="auto"/>
          <w:sz w:val="21"/>
          <w:szCs w:val="21"/>
          <w:highlight w:val="none"/>
        </w:rPr>
        <w:t>政府采购支持中小企业发展等政策规定的除外</w:t>
      </w:r>
      <w:r>
        <w:rPr>
          <w:rFonts w:hint="eastAsia" w:ascii="仿宋" w:hAnsi="仿宋" w:eastAsia="仿宋" w:cs="仿宋"/>
          <w:bCs/>
          <w:color w:val="auto"/>
          <w:sz w:val="21"/>
          <w:szCs w:val="21"/>
          <w:highlight w:val="none"/>
        </w:rPr>
        <w:t>）。</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19、</w:t>
      </w:r>
      <w:r>
        <w:rPr>
          <w:rFonts w:hint="eastAsia" w:ascii="仿宋" w:hAnsi="仿宋" w:eastAsia="仿宋" w:cs="仿宋"/>
          <w:b/>
          <w:color w:val="auto"/>
          <w:sz w:val="21"/>
          <w:szCs w:val="21"/>
          <w:highlight w:val="none"/>
        </w:rPr>
        <w:t xml:space="preserve"> 政府采购合同履行中</w:t>
      </w:r>
      <w:r>
        <w:rPr>
          <w:rFonts w:hint="eastAsia" w:ascii="仿宋" w:hAnsi="仿宋" w:eastAsia="仿宋" w:cs="仿宋"/>
          <w:b/>
          <w:bCs/>
          <w:color w:val="auto"/>
          <w:sz w:val="21"/>
          <w:szCs w:val="21"/>
          <w:highlight w:val="none"/>
        </w:rPr>
        <w:t>数量的变更</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19.1政府采购合同履行中，采购人需追加与合同标的相同的货物服务的，在不改变合同其他条款的前提下，可以与中标供应商协商签订补充合同，但所有补充合同的采购金额不得超过原合同采购金额的百分之十。</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textAlignment w:val="auto"/>
        <w:outlineLvl w:val="1"/>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（十六）其他规定</w:t>
      </w:r>
    </w:p>
    <w:p>
      <w:pPr>
        <w:keepNext w:val="0"/>
        <w:keepLines w:val="0"/>
        <w:pageBreakBefore w:val="0"/>
        <w:tabs>
          <w:tab w:val="left" w:pos="690"/>
          <w:tab w:val="left" w:pos="7560"/>
          <w:tab w:val="left" w:pos="7740"/>
          <w:tab w:val="left" w:pos="792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1</w:t>
      </w:r>
      <w:r>
        <w:rPr>
          <w:rFonts w:hint="eastAsia" w:ascii="仿宋" w:hAnsi="仿宋" w:eastAsia="仿宋" w:cs="仿宋"/>
          <w:b/>
          <w:color w:val="auto"/>
          <w:sz w:val="21"/>
          <w:szCs w:val="21"/>
          <w:highlight w:val="none"/>
        </w:rPr>
        <w:t>、招标代理服务费</w:t>
      </w:r>
    </w:p>
    <w:p>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.1参照原国家计委《招标代理服务收费管理暂行办法的通知》（计价格［2002］1980号）文件、《国家发展改革委办公厅关于招标代理服务收费有关问题的通知》（发改办价格[2003]857号 ）中规定的收费标准计取。</w:t>
      </w:r>
    </w:p>
    <w:p>
      <w:pPr>
        <w:keepNext w:val="0"/>
        <w:keepLines w:val="0"/>
        <w:pageBreakBefore w:val="0"/>
        <w:tabs>
          <w:tab w:val="left" w:pos="420"/>
          <w:tab w:val="left" w:pos="7560"/>
          <w:tab w:val="left" w:pos="7740"/>
          <w:tab w:val="left" w:pos="792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2、</w:t>
      </w:r>
      <w:r>
        <w:rPr>
          <w:rFonts w:hint="eastAsia" w:ascii="仿宋" w:hAnsi="仿宋" w:eastAsia="仿宋" w:cs="仿宋"/>
          <w:b/>
          <w:color w:val="auto"/>
          <w:sz w:val="21"/>
          <w:szCs w:val="21"/>
          <w:highlight w:val="none"/>
        </w:rPr>
        <w:t xml:space="preserve"> 其他规定</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.1招标文件的其他规定见</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2采购人或采购代理机构可在中标人签订采购合同前通过“信用中国”网站、中国政府采购网、国家企业信用信息公示等渠道查询相关中标人及其主体的信用记录，对中标人被列入失信被执行人、重大税收违法案件当事人名单、政府采购严重违法失信行为记录名单及其他不符合《中华人民共和国政府采购法》第二十二条规定条件的供应商，采购人有权随时取消其中标资格和终止其合同签订及其履行。</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评标</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中华人民共和国政府采购法》、《政府采购货物和服务招标投标管理办法》（财政部令第18号）》及有关规定，评标坚持公正、公平、公开及科学、择优的原则。采用百分制记分方法，根据排名先后确定中标供应商。</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
          <w:bCs/>
          <w:color w:val="auto"/>
          <w:sz w:val="21"/>
          <w:szCs w:val="21"/>
          <w:highlight w:val="none"/>
        </w:rPr>
        <w:t>采用最低评标价法的采购项目</w:t>
      </w:r>
      <w:r>
        <w:rPr>
          <w:rFonts w:hint="eastAsia" w:ascii="仿宋" w:hAnsi="仿宋" w:eastAsia="仿宋" w:cs="仿宋"/>
          <w:bCs/>
          <w:color w:val="auto"/>
          <w:sz w:val="21"/>
          <w:szCs w:val="21"/>
          <w:highlight w:val="none"/>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
          <w:bCs/>
          <w:color w:val="auto"/>
          <w:sz w:val="21"/>
          <w:szCs w:val="21"/>
          <w:highlight w:val="none"/>
        </w:rPr>
        <w:t>使用综合评分法的采购项目</w:t>
      </w:r>
      <w:r>
        <w:rPr>
          <w:rFonts w:hint="eastAsia" w:ascii="仿宋" w:hAnsi="仿宋" w:eastAsia="仿宋" w:cs="仿宋"/>
          <w:bCs/>
          <w:color w:val="auto"/>
          <w:sz w:val="21"/>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
          <w:bCs/>
          <w:color w:val="auto"/>
          <w:sz w:val="21"/>
          <w:szCs w:val="21"/>
          <w:highlight w:val="none"/>
        </w:rPr>
        <w:t>非单一产品采购项目</w:t>
      </w:r>
      <w:r>
        <w:rPr>
          <w:rFonts w:hint="eastAsia" w:ascii="仿宋" w:hAnsi="仿宋" w:eastAsia="仿宋" w:cs="仿宋"/>
          <w:bCs/>
          <w:color w:val="auto"/>
          <w:sz w:val="21"/>
          <w:szCs w:val="21"/>
          <w:highlight w:val="none"/>
        </w:rPr>
        <w:t>，采购人应当根据采购项目技术构成、产品价格比重等合理确定核心产品，并在招标文件中载明。多家投标人提供的核心产品品牌相同的，按前两款规定处理。(87号令第31条)</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17"/>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both"/>
        <w:textAlignment w:val="auto"/>
        <w:outlineLvl w:val="1"/>
        <w:rPr>
          <w:rFonts w:hint="eastAsia" w:ascii="仿宋" w:hAnsi="仿宋" w:eastAsia="仿宋" w:cs="仿宋"/>
          <w:b/>
          <w:bCs/>
          <w:color w:val="auto"/>
          <w:sz w:val="21"/>
          <w:szCs w:val="21"/>
          <w:highlight w:val="none"/>
        </w:rPr>
      </w:pPr>
      <w:bookmarkStart w:id="30" w:name="_Toc13139"/>
      <w:r>
        <w:rPr>
          <w:rFonts w:hint="eastAsia" w:ascii="仿宋" w:hAnsi="仿宋" w:eastAsia="仿宋" w:cs="仿宋"/>
          <w:b/>
          <w:color w:val="auto"/>
          <w:kern w:val="2"/>
          <w:sz w:val="21"/>
          <w:szCs w:val="21"/>
          <w:highlight w:val="none"/>
          <w:lang w:val="en-US" w:eastAsia="zh-CN" w:bidi="ar-SA"/>
        </w:rPr>
        <w:t>（十七）</w:t>
      </w:r>
      <w:r>
        <w:rPr>
          <w:rFonts w:hint="eastAsia" w:ascii="仿宋" w:hAnsi="仿宋" w:eastAsia="仿宋" w:cs="仿宋"/>
          <w:b/>
          <w:bCs/>
          <w:color w:val="auto"/>
          <w:sz w:val="21"/>
          <w:szCs w:val="21"/>
          <w:highlight w:val="none"/>
        </w:rPr>
        <w:t>评标办法及评分标准</w:t>
      </w:r>
      <w:bookmarkEnd w:id="30"/>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b/>
          <w:color w:val="auto"/>
          <w:sz w:val="21"/>
          <w:szCs w:val="21"/>
          <w:highlight w:val="none"/>
        </w:rPr>
        <w:t>组建评审委员会</w:t>
      </w:r>
    </w:p>
    <w:p>
      <w:pPr>
        <w:pStyle w:val="12"/>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评标由依法组成的评标委员会负责。</w:t>
      </w:r>
    </w:p>
    <w:p>
      <w:pPr>
        <w:keepNext w:val="0"/>
        <w:keepLines w:val="0"/>
        <w:pageBreakBefore w:val="0"/>
        <w:numPr>
          <w:ilvl w:val="0"/>
          <w:numId w:val="3"/>
        </w:numPr>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评标的依据为招标文件和投标文件。</w:t>
      </w:r>
    </w:p>
    <w:p>
      <w:pPr>
        <w:keepNext w:val="0"/>
        <w:keepLines w:val="0"/>
        <w:pageBreakBefore w:val="0"/>
        <w:numPr>
          <w:ilvl w:val="0"/>
          <w:numId w:val="3"/>
        </w:numPr>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开标后评委会将组织审查投标文件是否完整，是否有计算错误，要求的保证金是否提供，文件是否恰当地签署。</w:t>
      </w:r>
    </w:p>
    <w:p>
      <w:pPr>
        <w:keepNext w:val="0"/>
        <w:keepLines w:val="0"/>
        <w:pageBreakBefore w:val="0"/>
        <w:numPr>
          <w:ilvl w:val="0"/>
          <w:numId w:val="3"/>
        </w:numPr>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在对投标文件进行详细评估之前，评委会将依据投标商提供的资格证明文件审查投标商的财务、技术和生产能力。如果确定投标商无资格履行合同，其投标将被拒绝。</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outlineLvl w:val="9"/>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投标文件符合性审查表</w:t>
      </w:r>
    </w:p>
    <w:tbl>
      <w:tblPr>
        <w:tblStyle w:val="19"/>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67"/>
        <w:gridCol w:w="5951"/>
        <w:gridCol w:w="709"/>
        <w:gridCol w:w="709"/>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5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65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  审  内  容</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投标人1</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投标人2</w:t>
            </w: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投标人3</w:t>
            </w: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3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初</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步</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审</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符</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合</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性</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审</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查</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表</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投标文件是否按采购文件要求签字盖章；</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投标报价是否高于本项目的最高限价；</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投标人是否对同一招标项目做出两个以上报价且未明确效力的；</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投标文件的</w:t>
            </w:r>
            <w:r>
              <w:rPr>
                <w:rFonts w:hint="eastAsia" w:ascii="仿宋" w:hAnsi="仿宋" w:eastAsia="仿宋" w:cs="仿宋"/>
                <w:color w:val="auto"/>
                <w:sz w:val="21"/>
                <w:szCs w:val="21"/>
                <w:highlight w:val="none"/>
                <w:lang w:val="en-US" w:eastAsia="zh-CN"/>
              </w:rPr>
              <w:t>服务期</w:t>
            </w:r>
            <w:r>
              <w:rPr>
                <w:rFonts w:hint="eastAsia" w:ascii="仿宋" w:hAnsi="仿宋" w:eastAsia="仿宋" w:cs="仿宋"/>
                <w:color w:val="auto"/>
                <w:sz w:val="21"/>
                <w:szCs w:val="21"/>
                <w:highlight w:val="none"/>
              </w:rPr>
              <w:t>是否</w:t>
            </w:r>
            <w:r>
              <w:rPr>
                <w:rFonts w:hint="eastAsia" w:ascii="仿宋" w:hAnsi="仿宋" w:eastAsia="仿宋" w:cs="仿宋"/>
                <w:color w:val="auto"/>
                <w:sz w:val="21"/>
                <w:szCs w:val="21"/>
                <w:highlight w:val="none"/>
                <w:lang w:val="en-US" w:eastAsia="zh-CN"/>
              </w:rPr>
              <w:t>满足</w:t>
            </w:r>
            <w:r>
              <w:rPr>
                <w:rFonts w:hint="eastAsia" w:ascii="仿宋" w:hAnsi="仿宋" w:eastAsia="仿宋" w:cs="仿宋"/>
                <w:color w:val="auto"/>
                <w:sz w:val="21"/>
                <w:szCs w:val="21"/>
                <w:highlight w:val="none"/>
              </w:rPr>
              <w:t>采购文件</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投标保证金的缴纳主体是否与投标人一致、提供投标担保或者所提供的投标担保不符合采购文件要求；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项目负责人是否符合采购文件要求、并按采购文件要求提供相关资料；拟派主要服务人员是否符合采购文件要求并按采购文件要求提供相关资料；</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投标文件封面右上角是否注明“正本”或“副本”字样；</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投标承诺书是否按采购文件规定格式完整提供、且按采购文件要求签字或盖章；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法定代表人身份证明书及法定代表人授权委托书是否按采购文件规定格式完整提供、并按采购文件要求签字或盖章。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企业信誉是否满足采购文件的要求</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投标文件是否附有采购人不能接受的条件</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技术服务等是否满足采购文件要求；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firstLine="0" w:firstLineChars="0"/>
              <w:jc w:val="left"/>
              <w:textAlignment w:val="auto"/>
              <w:rPr>
                <w:rFonts w:hint="eastAsia" w:ascii="仿宋" w:hAnsi="仿宋" w:eastAsia="仿宋" w:cs="仿宋"/>
                <w:color w:val="auto"/>
                <w:sz w:val="21"/>
                <w:szCs w:val="21"/>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5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是否满足采购文件实质性要求的其他情形</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结论：是否通过初步评审</w:t>
            </w:r>
            <w:r>
              <w:rPr>
                <w:rFonts w:hint="eastAsia" w:ascii="仿宋" w:hAnsi="仿宋" w:eastAsia="仿宋" w:cs="仿宋"/>
                <w:b/>
                <w:color w:val="auto"/>
                <w:sz w:val="21"/>
                <w:szCs w:val="21"/>
                <w:highlight w:val="none"/>
              </w:rPr>
              <w:t>（</w:t>
            </w:r>
            <w:r>
              <w:rPr>
                <w:rFonts w:hint="eastAsia" w:ascii="仿宋" w:hAnsi="仿宋" w:eastAsia="仿宋" w:cs="仿宋"/>
                <w:color w:val="auto"/>
                <w:sz w:val="21"/>
                <w:szCs w:val="21"/>
                <w:highlight w:val="none"/>
              </w:rPr>
              <w:t>初步评审合格后方可进入详细评审阶段</w:t>
            </w:r>
            <w:r>
              <w:rPr>
                <w:rFonts w:hint="eastAsia" w:ascii="仿宋" w:hAnsi="仿宋" w:eastAsia="仿宋" w:cs="仿宋"/>
                <w:b/>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9828"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评标委员会成员签名：</w:t>
            </w:r>
          </w:p>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bidi w:val="0"/>
              <w:spacing w:before="0" w:beforeAutospacing="0" w:after="0" w:afterAutospacing="0" w:line="440" w:lineRule="exact"/>
              <w:ind w:left="0" w:leftChars="0" w:right="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keepNext w:val="0"/>
        <w:keepLines w:val="0"/>
        <w:pageBreakBefore w:val="0"/>
        <w:numPr>
          <w:ilvl w:val="0"/>
          <w:numId w:val="3"/>
        </w:numPr>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商的义务的规定，而纠正这些偏离将影响到其他提交实质性响应投标的投标商的公平竞争地位。其中，供应商的报价超出采购预算的、供应商未按招标文件要求提供完整资料的，均视为未实质性响应招标文件的要求，其投标文件可能被拒绝或导致废标。</w:t>
      </w:r>
    </w:p>
    <w:p>
      <w:pPr>
        <w:keepNext w:val="0"/>
        <w:keepLines w:val="0"/>
        <w:pageBreakBefore w:val="0"/>
        <w:numPr>
          <w:ilvl w:val="0"/>
          <w:numId w:val="3"/>
        </w:numPr>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对投标文件的评估和比较</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对投标文件的评估和比较分为两步进行，评标委员会按照招标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投标报价的初步评审</w:t>
      </w:r>
      <w:r>
        <w:rPr>
          <w:rFonts w:hint="eastAsia" w:ascii="仿宋" w:hAnsi="仿宋" w:eastAsia="仿宋" w:cs="仿宋"/>
          <w:b/>
          <w:color w:val="auto"/>
          <w:sz w:val="21"/>
          <w:szCs w:val="21"/>
          <w:highlight w:val="none"/>
          <w:lang w:eastAsia="zh-CN"/>
        </w:rPr>
        <w:t>：</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依据《中华人民共和国招投标法》第33条、第41条及财政部令第87号（以下简称87号令）第六十条、《反不正当竞争法》中相关法律条款的内容规定。投标人须积极响应相关法律条文规定。</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当投标报价明显低于其他投标报价时，评标委员会将对其进行重点评审。评标委员会认为低于成本价的，应当要求该投标人作出书面说明并提供证明不低于其研发、生产、制造成本的证明材料（要求：①证明材料必须能符合或优于本项目所采购货物的实际情况；②证明材料必须以扫描件的形式插入投标文件相关章节中；③证明材料的原件开标时须携带备查；④提供证明材料的期限为竞标当日评标开始至评标结束，逾期不作任何解释；⑤证明材料的真实性必须有依据，以备当场核查）。投标人不能合理说明或者不能提供相关证明材料的，由评标委员会认定该投标人以低于成本报价竞价，应当否决其投标。</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投标报价得分的评分方法：</w:t>
      </w:r>
    </w:p>
    <w:p>
      <w:pPr>
        <w:keepNext w:val="0"/>
        <w:keepLines w:val="0"/>
        <w:pageBreakBefore w:val="0"/>
        <w:widowControl/>
        <w:kinsoku/>
        <w:wordWrap/>
        <w:overflowPunct/>
        <w:topLinePunct w:val="0"/>
        <w:bidi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只对通过评标委员会对投标报价的初步评审的投标企业进入价格得分计算；</w:t>
      </w:r>
    </w:p>
    <w:p>
      <w:pPr>
        <w:keepNext w:val="0"/>
        <w:keepLines w:val="0"/>
        <w:pageBreakBefore w:val="0"/>
        <w:widowControl/>
        <w:kinsoku/>
        <w:wordWrap/>
        <w:overflowPunct/>
        <w:topLinePunct w:val="0"/>
        <w:bidi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采用低价优先法计算，即满足招标文件要求且经评审的投标价格最低的投标报价为评标基准价，其价格得分为满分</w:t>
      </w:r>
      <w:r>
        <w:rPr>
          <w:rFonts w:hint="eastAsia" w:ascii="仿宋" w:hAnsi="仿宋" w:eastAsia="仿宋" w:cs="仿宋"/>
          <w:color w:val="auto"/>
          <w:sz w:val="21"/>
          <w:szCs w:val="21"/>
          <w:highlight w:val="none"/>
          <w:lang w:val="en-US" w:eastAsia="zh-CN"/>
        </w:rPr>
        <w:t>10分</w:t>
      </w:r>
      <w:r>
        <w:rPr>
          <w:rFonts w:hint="eastAsia" w:ascii="仿宋" w:hAnsi="仿宋" w:eastAsia="仿宋" w:cs="仿宋"/>
          <w:color w:val="auto"/>
          <w:sz w:val="21"/>
          <w:szCs w:val="21"/>
          <w:highlight w:val="none"/>
        </w:rPr>
        <w:t>。其他投标人的价格得分统一按照下列公式计算：价格得分=（评标基准价/投标报价）×</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0%×100，如此类推，算出所有投标供应商的价格得分。</w:t>
      </w:r>
    </w:p>
    <w:p>
      <w:pPr>
        <w:keepNext w:val="0"/>
        <w:keepLines w:val="0"/>
        <w:pageBreakBefore w:val="0"/>
        <w:widowControl/>
        <w:kinsoku/>
        <w:wordWrap/>
        <w:overflowPunct/>
        <w:topLinePunct w:val="0"/>
        <w:bidi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法律、法规、规章和省级以上财政部门涉及政府采购政策功能及其他规定，见投标人须知前附表。评委会应根据招标文件规定，优先推荐节能环保产品，优先考虑中小企业。</w:t>
      </w:r>
    </w:p>
    <w:p>
      <w:pPr>
        <w:keepNext w:val="0"/>
        <w:keepLines w:val="0"/>
        <w:pageBreakBefore w:val="0"/>
        <w:widowControl/>
        <w:kinsoku/>
        <w:wordWrap/>
        <w:overflowPunct/>
        <w:topLinePunct w:val="0"/>
        <w:bidi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投标人获得相应政府采购政策优惠的，应提供相关证明材料。</w:t>
      </w:r>
    </w:p>
    <w:p>
      <w:pPr>
        <w:keepNext w:val="0"/>
        <w:keepLines w:val="0"/>
        <w:pageBreakBefore w:val="0"/>
        <w:widowControl/>
        <w:kinsoku/>
        <w:wordWrap/>
        <w:overflowPunct/>
        <w:topLinePunct w:val="0"/>
        <w:bidi w:val="0"/>
        <w:spacing w:beforeAutospacing="0" w:line="44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对中小微企业执行财库〔2011〕181号文件的规定，对其投标报价按6%扣除后的价格作为其评标价。不符合财库〔2011〕181号文件的规定企业的产品价格不予扣除，其投标报价即为评标价。</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outlineLvl w:val="9"/>
        <w:rPr>
          <w:rFonts w:hint="eastAsia" w:ascii="仿宋" w:hAnsi="仿宋" w:eastAsia="仿宋" w:cs="仿宋"/>
          <w:bCs w:val="0"/>
          <w:color w:val="auto"/>
          <w:kern w:val="2"/>
          <w:sz w:val="21"/>
          <w:szCs w:val="21"/>
          <w:highlight w:val="none"/>
        </w:rPr>
      </w:pPr>
      <w:r>
        <w:rPr>
          <w:rFonts w:hint="eastAsia" w:ascii="仿宋" w:hAnsi="仿宋" w:eastAsia="仿宋" w:cs="仿宋"/>
          <w:bCs w:val="0"/>
          <w:color w:val="auto"/>
          <w:kern w:val="2"/>
          <w:sz w:val="21"/>
          <w:szCs w:val="21"/>
          <w:highlight w:val="none"/>
        </w:rPr>
        <w:t>评分细则</w:t>
      </w:r>
    </w:p>
    <w:tbl>
      <w:tblPr>
        <w:tblStyle w:val="19"/>
        <w:tblW w:w="9636" w:type="dxa"/>
        <w:jc w:val="center"/>
        <w:tblLayout w:type="fixed"/>
        <w:tblCellMar>
          <w:top w:w="0" w:type="dxa"/>
          <w:left w:w="108" w:type="dxa"/>
          <w:bottom w:w="0" w:type="dxa"/>
          <w:right w:w="108" w:type="dxa"/>
        </w:tblCellMar>
      </w:tblPr>
      <w:tblGrid>
        <w:gridCol w:w="934"/>
        <w:gridCol w:w="1067"/>
        <w:gridCol w:w="717"/>
        <w:gridCol w:w="6918"/>
      </w:tblGrid>
      <w:tr>
        <w:tblPrEx>
          <w:tblCellMar>
            <w:top w:w="0" w:type="dxa"/>
            <w:left w:w="108" w:type="dxa"/>
            <w:bottom w:w="0" w:type="dxa"/>
            <w:right w:w="108" w:type="dxa"/>
          </w:tblCellMar>
        </w:tblPrEx>
        <w:trPr>
          <w:trHeight w:val="424" w:hRule="atLeast"/>
          <w:jc w:val="center"/>
        </w:trPr>
        <w:tc>
          <w:tcPr>
            <w:tcW w:w="9636" w:type="dxa"/>
            <w:gridSpan w:val="4"/>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技术评审75分</w:t>
            </w:r>
          </w:p>
        </w:tc>
      </w:tr>
      <w:tr>
        <w:tblPrEx>
          <w:tblCellMar>
            <w:top w:w="0" w:type="dxa"/>
            <w:left w:w="108" w:type="dxa"/>
            <w:bottom w:w="0" w:type="dxa"/>
            <w:right w:w="108" w:type="dxa"/>
          </w:tblCellMar>
        </w:tblPrEx>
        <w:trPr>
          <w:trHeight w:val="9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rPr>
              <w:t>评审项目</w:t>
            </w:r>
          </w:p>
        </w:tc>
        <w:tc>
          <w:tcPr>
            <w:tcW w:w="1067"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rPr>
              <w:t>评审因素</w:t>
            </w:r>
          </w:p>
        </w:tc>
        <w:tc>
          <w:tcPr>
            <w:tcW w:w="717"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rPr>
              <w:t>分值</w:t>
            </w:r>
          </w:p>
        </w:tc>
        <w:tc>
          <w:tcPr>
            <w:tcW w:w="6918" w:type="dxa"/>
            <w:tcBorders>
              <w:top w:val="single" w:color="auto" w:sz="4" w:space="0"/>
              <w:left w:val="nil"/>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rPr>
              <w:t>评审细则</w:t>
            </w:r>
          </w:p>
        </w:tc>
      </w:tr>
      <w:tr>
        <w:tblPrEx>
          <w:tblCellMar>
            <w:top w:w="0" w:type="dxa"/>
            <w:left w:w="108" w:type="dxa"/>
            <w:bottom w:w="0" w:type="dxa"/>
            <w:right w:w="108" w:type="dxa"/>
          </w:tblCellMar>
        </w:tblPrEx>
        <w:trPr>
          <w:trHeight w:val="528" w:hRule="atLeast"/>
          <w:jc w:val="center"/>
        </w:trPr>
        <w:tc>
          <w:tcPr>
            <w:tcW w:w="934"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技术部分</w:t>
            </w:r>
          </w:p>
          <w:p>
            <w:pPr>
              <w:widowControl/>
              <w:shd w:val="clear" w:color="auto" w:fill="auto"/>
              <w:jc w:val="center"/>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75</w:t>
            </w:r>
            <w:r>
              <w:rPr>
                <w:rFonts w:hint="eastAsia" w:ascii="仿宋" w:hAnsi="仿宋" w:eastAsia="仿宋" w:cs="仿宋"/>
                <w:color w:val="auto"/>
                <w:kern w:val="0"/>
                <w:sz w:val="21"/>
                <w:szCs w:val="21"/>
                <w:highlight w:val="none"/>
              </w:rPr>
              <w:t>分）</w:t>
            </w:r>
          </w:p>
        </w:tc>
        <w:tc>
          <w:tcPr>
            <w:tcW w:w="10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对本项目总体要求的理解程度</w:t>
            </w:r>
          </w:p>
        </w:tc>
        <w:tc>
          <w:tcPr>
            <w:tcW w:w="7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分</w:t>
            </w:r>
          </w:p>
        </w:tc>
        <w:tc>
          <w:tcPr>
            <w:tcW w:w="69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根据本项目的服务需求，从相关政策、要求、规范、安全等层面提出对项目总体要求的理解，理解准确到位；结合本项目，对发展调研情况提出深入分析，分析透彻10分;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根据本项目的服务需求，能够提出对项目总体要求的理解，但理解的不够全面与准确；结合本项目对发展调研情况提出分析，分析合理8分;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根据本项目的服务需求，仅提出了对项目的理解，但未提出分析5分；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color w:val="auto"/>
                <w:highlight w:val="none"/>
                <w:lang w:val="en-US" w:eastAsia="zh-CN"/>
              </w:rPr>
            </w:pPr>
            <w:r>
              <w:rPr>
                <w:rFonts w:hint="eastAsia" w:ascii="仿宋" w:hAnsi="仿宋" w:eastAsia="仿宋" w:cs="仿宋"/>
                <w:color w:val="auto"/>
                <w:sz w:val="21"/>
                <w:szCs w:val="21"/>
                <w:highlight w:val="none"/>
                <w:lang w:val="en-US" w:eastAsia="zh-CN"/>
              </w:rPr>
              <w:t>根据本项目的服务需求，提出了对项目的分析，但未提出项目的理解3分；未提出对项目的理解及分析的不得分。</w:t>
            </w:r>
          </w:p>
        </w:tc>
      </w:tr>
      <w:tr>
        <w:tblPrEx>
          <w:tblCellMar>
            <w:top w:w="0" w:type="dxa"/>
            <w:left w:w="108" w:type="dxa"/>
            <w:bottom w:w="0" w:type="dxa"/>
            <w:right w:w="108" w:type="dxa"/>
          </w:tblCellMar>
        </w:tblPrEx>
        <w:trPr>
          <w:trHeight w:val="838" w:hRule="atLeast"/>
          <w:jc w:val="center"/>
        </w:trPr>
        <w:tc>
          <w:tcPr>
            <w:tcW w:w="93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outlineLvl w:val="9"/>
              <w:rPr>
                <w:rFonts w:hint="eastAsia" w:ascii="仿宋" w:hAnsi="仿宋" w:eastAsia="仿宋" w:cs="仿宋"/>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val="en-US" w:eastAsia="zh-CN"/>
              </w:rPr>
              <w:t>调研</w:t>
            </w:r>
            <w:r>
              <w:rPr>
                <w:rFonts w:hint="eastAsia" w:ascii="仿宋" w:hAnsi="仿宋" w:eastAsia="仿宋" w:cs="仿宋"/>
                <w:color w:val="auto"/>
                <w:kern w:val="0"/>
                <w:sz w:val="21"/>
                <w:szCs w:val="21"/>
                <w:highlight w:val="none"/>
              </w:rPr>
              <w:t>工作重点、难点的理解把握程度</w:t>
            </w:r>
          </w:p>
        </w:tc>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分</w:t>
            </w:r>
          </w:p>
        </w:tc>
        <w:tc>
          <w:tcPr>
            <w:tcW w:w="6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项目方案编制的思路清晰、方法有效</w:t>
            </w:r>
            <w:r>
              <w:rPr>
                <w:rFonts w:hint="eastAsia" w:ascii="仿宋" w:hAnsi="仿宋" w:eastAsia="仿宋" w:cs="仿宋"/>
                <w:color w:val="auto"/>
                <w:kern w:val="0"/>
                <w:sz w:val="21"/>
                <w:szCs w:val="21"/>
                <w:highlight w:val="none"/>
              </w:rPr>
              <w:t>对本项目总体要求的理解程度</w:t>
            </w:r>
            <w:r>
              <w:rPr>
                <w:rFonts w:hint="eastAsia" w:ascii="仿宋" w:hAnsi="仿宋" w:eastAsia="仿宋" w:cs="仿宋"/>
                <w:color w:val="auto"/>
                <w:sz w:val="21"/>
                <w:szCs w:val="21"/>
                <w:highlight w:val="none"/>
                <w:lang w:val="en-US" w:eastAsia="zh-CN"/>
              </w:rPr>
              <w:t>，对项目的重点把握准确，提出的建设基本框架和主要内容完全符合国家规定和要求，且对项目建设需求的理解充分的得10分;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项目方案编</w:t>
            </w:r>
            <w:r>
              <w:rPr>
                <w:rFonts w:hint="eastAsia" w:ascii="仿宋" w:hAnsi="仿宋" w:eastAsia="仿宋" w:cs="仿宋"/>
                <w:color w:val="auto"/>
                <w:sz w:val="21"/>
                <w:szCs w:val="21"/>
                <w:highlight w:val="none"/>
              </w:rPr>
              <w:t>制的思路和方法比较清楚，对</w:t>
            </w:r>
            <w:r>
              <w:rPr>
                <w:rFonts w:hint="eastAsia" w:ascii="仿宋" w:hAnsi="仿宋" w:eastAsia="仿宋" w:cs="仿宋"/>
                <w:color w:val="auto"/>
                <w:sz w:val="21"/>
                <w:szCs w:val="21"/>
                <w:highlight w:val="none"/>
                <w:lang w:val="en-US" w:eastAsia="zh-CN"/>
              </w:rPr>
              <w:t>项目咨询</w:t>
            </w:r>
            <w:r>
              <w:rPr>
                <w:rFonts w:hint="eastAsia" w:ascii="仿宋" w:hAnsi="仿宋" w:eastAsia="仿宋" w:cs="仿宋"/>
                <w:color w:val="auto"/>
                <w:sz w:val="21"/>
                <w:szCs w:val="21"/>
                <w:highlight w:val="none"/>
              </w:rPr>
              <w:t>的重点有一定把握，提出的</w:t>
            </w:r>
            <w:r>
              <w:rPr>
                <w:rFonts w:hint="eastAsia" w:ascii="仿宋" w:hAnsi="仿宋" w:eastAsia="仿宋" w:cs="仿宋"/>
                <w:color w:val="auto"/>
                <w:sz w:val="21"/>
                <w:szCs w:val="21"/>
                <w:highlight w:val="none"/>
                <w:lang w:val="en-US" w:eastAsia="zh-CN"/>
              </w:rPr>
              <w:t>可研方案</w:t>
            </w:r>
            <w:r>
              <w:rPr>
                <w:rFonts w:hint="eastAsia" w:ascii="仿宋" w:hAnsi="仿宋" w:eastAsia="仿宋" w:cs="仿宋"/>
                <w:color w:val="auto"/>
                <w:sz w:val="21"/>
                <w:szCs w:val="21"/>
                <w:highlight w:val="none"/>
              </w:rPr>
              <w:t>基本框架和主要内容基本符合国家规定和要求，基本满足</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rPr>
              <w:t>建设需求</w:t>
            </w:r>
            <w:r>
              <w:rPr>
                <w:rFonts w:hint="eastAsia" w:ascii="仿宋" w:hAnsi="仿宋" w:eastAsia="仿宋" w:cs="仿宋"/>
                <w:color w:val="auto"/>
                <w:sz w:val="21"/>
                <w:szCs w:val="21"/>
                <w:highlight w:val="none"/>
                <w:lang w:val="en-US" w:eastAsia="zh-CN"/>
              </w:rPr>
              <w:t>的得7</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rPr>
              <w:t>方案编制的思路、方法不够清晰有效，对</w:t>
            </w:r>
            <w:r>
              <w:rPr>
                <w:rFonts w:hint="eastAsia" w:ascii="仿宋" w:hAnsi="仿宋" w:eastAsia="仿宋" w:cs="仿宋"/>
                <w:color w:val="auto"/>
                <w:sz w:val="21"/>
                <w:szCs w:val="21"/>
                <w:highlight w:val="none"/>
                <w:lang w:val="en-US" w:eastAsia="zh-CN"/>
              </w:rPr>
              <w:t>项目咨询</w:t>
            </w:r>
            <w:r>
              <w:rPr>
                <w:rFonts w:hint="eastAsia" w:ascii="仿宋" w:hAnsi="仿宋" w:eastAsia="仿宋" w:cs="仿宋"/>
                <w:color w:val="auto"/>
                <w:sz w:val="21"/>
                <w:szCs w:val="21"/>
                <w:highlight w:val="none"/>
              </w:rPr>
              <w:t>的重点把握不够准确，对</w:t>
            </w:r>
            <w:r>
              <w:rPr>
                <w:rFonts w:hint="eastAsia" w:ascii="仿宋" w:hAnsi="仿宋" w:eastAsia="仿宋" w:cs="仿宋"/>
                <w:color w:val="auto"/>
                <w:sz w:val="21"/>
                <w:szCs w:val="21"/>
                <w:highlight w:val="none"/>
                <w:lang w:val="en-US" w:eastAsia="zh-CN"/>
              </w:rPr>
              <w:t>可研方案</w:t>
            </w:r>
            <w:r>
              <w:rPr>
                <w:rFonts w:hint="eastAsia" w:ascii="仿宋" w:hAnsi="仿宋" w:eastAsia="仿宋" w:cs="仿宋"/>
                <w:color w:val="auto"/>
                <w:sz w:val="21"/>
                <w:szCs w:val="21"/>
                <w:highlight w:val="none"/>
              </w:rPr>
              <w:t>的过程及内容设置描述不够清楚，提出的</w:t>
            </w:r>
            <w:r>
              <w:rPr>
                <w:rFonts w:hint="eastAsia" w:ascii="仿宋" w:hAnsi="仿宋" w:eastAsia="仿宋" w:cs="仿宋"/>
                <w:color w:val="auto"/>
                <w:sz w:val="21"/>
                <w:szCs w:val="21"/>
                <w:highlight w:val="none"/>
                <w:lang w:val="en-US" w:eastAsia="zh-CN"/>
              </w:rPr>
              <w:t>可研方案</w:t>
            </w:r>
            <w:r>
              <w:rPr>
                <w:rFonts w:hint="eastAsia" w:ascii="仿宋" w:hAnsi="仿宋" w:eastAsia="仿宋" w:cs="仿宋"/>
                <w:color w:val="auto"/>
                <w:sz w:val="21"/>
                <w:szCs w:val="21"/>
                <w:highlight w:val="none"/>
              </w:rPr>
              <w:t>基本框架和主要</w:t>
            </w:r>
            <w:r>
              <w:rPr>
                <w:rFonts w:hint="eastAsia" w:ascii="仿宋" w:hAnsi="仿宋" w:eastAsia="仿宋" w:cs="仿宋"/>
                <w:color w:val="auto"/>
                <w:kern w:val="0"/>
                <w:sz w:val="21"/>
                <w:szCs w:val="21"/>
                <w:highlight w:val="none"/>
              </w:rPr>
              <w:t>内容</w:t>
            </w:r>
            <w:r>
              <w:rPr>
                <w:rFonts w:hint="eastAsia" w:ascii="仿宋" w:hAnsi="仿宋" w:eastAsia="仿宋" w:cs="仿宋"/>
                <w:color w:val="auto"/>
                <w:kern w:val="0"/>
                <w:sz w:val="21"/>
                <w:szCs w:val="21"/>
                <w:highlight w:val="none"/>
                <w:lang w:eastAsia="zh-CN"/>
              </w:rPr>
              <w:t>不够完善的得</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分</w:t>
            </w:r>
            <w:r>
              <w:rPr>
                <w:rFonts w:hint="eastAsia" w:ascii="仿宋" w:hAnsi="仿宋" w:eastAsia="仿宋" w:cs="仿宋"/>
                <w:color w:val="auto"/>
                <w:kern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color w:val="auto"/>
                <w:highlight w:val="none"/>
                <w:lang w:val="en-US" w:eastAsia="zh-CN"/>
              </w:rPr>
            </w:pP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rPr>
              <w:t>方案编制的思路、方法不清晰有效，对</w:t>
            </w:r>
            <w:r>
              <w:rPr>
                <w:rFonts w:hint="eastAsia" w:ascii="仿宋" w:hAnsi="仿宋" w:eastAsia="仿宋" w:cs="仿宋"/>
                <w:color w:val="auto"/>
                <w:sz w:val="21"/>
                <w:szCs w:val="21"/>
                <w:highlight w:val="none"/>
                <w:lang w:val="en-US" w:eastAsia="zh-CN"/>
              </w:rPr>
              <w:t>项目咨询</w:t>
            </w:r>
            <w:r>
              <w:rPr>
                <w:rFonts w:hint="eastAsia" w:ascii="仿宋" w:hAnsi="仿宋" w:eastAsia="仿宋" w:cs="仿宋"/>
                <w:color w:val="auto"/>
                <w:sz w:val="21"/>
                <w:szCs w:val="21"/>
                <w:highlight w:val="none"/>
              </w:rPr>
              <w:t>的重点把握不准确，对</w:t>
            </w:r>
            <w:r>
              <w:rPr>
                <w:rFonts w:hint="eastAsia" w:ascii="仿宋" w:hAnsi="仿宋" w:eastAsia="仿宋" w:cs="仿宋"/>
                <w:color w:val="auto"/>
                <w:sz w:val="21"/>
                <w:szCs w:val="21"/>
                <w:highlight w:val="none"/>
                <w:lang w:val="en-US" w:eastAsia="zh-CN"/>
              </w:rPr>
              <w:t>可研方案</w:t>
            </w:r>
            <w:r>
              <w:rPr>
                <w:rFonts w:hint="eastAsia" w:ascii="仿宋" w:hAnsi="仿宋" w:eastAsia="仿宋" w:cs="仿宋"/>
                <w:color w:val="auto"/>
                <w:sz w:val="21"/>
                <w:szCs w:val="21"/>
                <w:highlight w:val="none"/>
              </w:rPr>
              <w:t>的过程及内容设置描述不清楚，提出的</w:t>
            </w:r>
            <w:r>
              <w:rPr>
                <w:rFonts w:hint="eastAsia" w:ascii="仿宋" w:hAnsi="仿宋" w:eastAsia="仿宋" w:cs="仿宋"/>
                <w:color w:val="auto"/>
                <w:sz w:val="21"/>
                <w:szCs w:val="21"/>
                <w:highlight w:val="none"/>
                <w:lang w:val="en-US" w:eastAsia="zh-CN"/>
              </w:rPr>
              <w:t>可研方案</w:t>
            </w:r>
            <w:r>
              <w:rPr>
                <w:rFonts w:hint="eastAsia" w:ascii="仿宋" w:hAnsi="仿宋" w:eastAsia="仿宋" w:cs="仿宋"/>
                <w:color w:val="auto"/>
                <w:sz w:val="21"/>
                <w:szCs w:val="21"/>
                <w:highlight w:val="none"/>
              </w:rPr>
              <w:t>基本框架和主要</w:t>
            </w:r>
            <w:r>
              <w:rPr>
                <w:rFonts w:hint="eastAsia" w:ascii="仿宋" w:hAnsi="仿宋" w:eastAsia="仿宋" w:cs="仿宋"/>
                <w:color w:val="auto"/>
                <w:kern w:val="0"/>
                <w:sz w:val="21"/>
                <w:szCs w:val="21"/>
                <w:highlight w:val="none"/>
              </w:rPr>
              <w:t>内容</w:t>
            </w:r>
            <w:r>
              <w:rPr>
                <w:rFonts w:hint="eastAsia" w:ascii="仿宋" w:hAnsi="仿宋" w:eastAsia="仿宋" w:cs="仿宋"/>
                <w:color w:val="auto"/>
                <w:kern w:val="0"/>
                <w:sz w:val="21"/>
                <w:szCs w:val="21"/>
                <w:highlight w:val="none"/>
                <w:lang w:eastAsia="zh-CN"/>
              </w:rPr>
              <w:t>不完善的或未提供的不得分。</w:t>
            </w:r>
          </w:p>
        </w:tc>
      </w:tr>
      <w:tr>
        <w:tblPrEx>
          <w:tblCellMar>
            <w:top w:w="0" w:type="dxa"/>
            <w:left w:w="108" w:type="dxa"/>
            <w:bottom w:w="0" w:type="dxa"/>
            <w:right w:w="108" w:type="dxa"/>
          </w:tblCellMar>
        </w:tblPrEx>
        <w:trPr>
          <w:trHeight w:val="838" w:hRule="atLeast"/>
          <w:jc w:val="center"/>
        </w:trPr>
        <w:tc>
          <w:tcPr>
            <w:tcW w:w="93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outlineLvl w:val="9"/>
              <w:rPr>
                <w:rFonts w:hint="eastAsia" w:ascii="仿宋" w:hAnsi="仿宋" w:eastAsia="仿宋" w:cs="仿宋"/>
                <w:color w:val="auto"/>
                <w:kern w:val="0"/>
                <w:sz w:val="21"/>
                <w:szCs w:val="21"/>
                <w:highlight w:val="none"/>
              </w:rPr>
            </w:pPr>
          </w:p>
        </w:tc>
        <w:tc>
          <w:tcPr>
            <w:tcW w:w="10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b w:val="0"/>
                <w:bCs/>
                <w:color w:val="auto"/>
                <w:sz w:val="21"/>
                <w:szCs w:val="21"/>
                <w:highlight w:val="none"/>
                <w:lang w:val="en-US" w:eastAsia="zh-CN"/>
              </w:rPr>
              <w:t>仪器设备</w:t>
            </w:r>
          </w:p>
        </w:tc>
        <w:tc>
          <w:tcPr>
            <w:tcW w:w="7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10分</w:t>
            </w:r>
          </w:p>
        </w:tc>
        <w:tc>
          <w:tcPr>
            <w:tcW w:w="69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具有完成项目所需的大型仪器设备（10万元及以上仪器设备）数量大于等于10台（套），得10分；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具有完成项目所需的大型仪器设备（10万元及以上仪器设备）数量5-9台（套），得6分；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具有完成项目所需的大型仪器设备（10万元及以上仪器设备）数量少于等于4台（套），得2分；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未提供的不得分。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color w:val="auto"/>
                <w:highlight w:val="none"/>
                <w:lang w:val="en-US" w:eastAsia="zh-CN"/>
              </w:rPr>
            </w:pPr>
            <w:r>
              <w:rPr>
                <w:rFonts w:hint="eastAsia" w:ascii="仿宋" w:hAnsi="仿宋" w:eastAsia="仿宋" w:cs="仿宋"/>
                <w:b/>
                <w:bCs/>
                <w:color w:val="auto"/>
                <w:highlight w:val="none"/>
                <w:lang w:val="en-US" w:eastAsia="zh-CN"/>
              </w:rPr>
              <w:t>提供相应证明材料，且仪器为投标单位自有。</w:t>
            </w:r>
          </w:p>
        </w:tc>
      </w:tr>
      <w:tr>
        <w:tblPrEx>
          <w:tblCellMar>
            <w:top w:w="0" w:type="dxa"/>
            <w:left w:w="108" w:type="dxa"/>
            <w:bottom w:w="0" w:type="dxa"/>
            <w:right w:w="108" w:type="dxa"/>
          </w:tblCellMar>
        </w:tblPrEx>
        <w:trPr>
          <w:trHeight w:val="838" w:hRule="atLeast"/>
          <w:jc w:val="center"/>
        </w:trPr>
        <w:tc>
          <w:tcPr>
            <w:tcW w:w="93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outlineLvl w:val="9"/>
              <w:rPr>
                <w:rFonts w:hint="eastAsia" w:ascii="仿宋" w:hAnsi="仿宋" w:eastAsia="仿宋" w:cs="仿宋"/>
                <w:color w:val="auto"/>
                <w:kern w:val="0"/>
                <w:sz w:val="21"/>
                <w:szCs w:val="21"/>
                <w:highlight w:val="none"/>
              </w:rPr>
            </w:pPr>
          </w:p>
        </w:tc>
        <w:tc>
          <w:tcPr>
            <w:tcW w:w="10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实验室能力</w:t>
            </w:r>
          </w:p>
        </w:tc>
        <w:tc>
          <w:tcPr>
            <w:tcW w:w="7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10分</w:t>
            </w:r>
          </w:p>
        </w:tc>
        <w:tc>
          <w:tcPr>
            <w:tcW w:w="69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具有农业农村部风险评估实验室（水产相关业），且承担过国家农产品风险评估重大专项工作任务，通过水生动物防疫系统实验室检测能力验证，得10分；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具有农业农村部风险评估实验室（水产相关业），未承担过国家农产品风险评估重大专项工作任务或未通过水生动物防疫系统实验室检测能力验证，得8分；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color w:val="auto"/>
                <w:highlight w:val="none"/>
                <w:lang w:val="en-US" w:eastAsia="zh-CN"/>
              </w:rPr>
            </w:pPr>
            <w:r>
              <w:rPr>
                <w:rFonts w:hint="eastAsia" w:ascii="仿宋" w:hAnsi="仿宋" w:eastAsia="仿宋" w:cs="仿宋"/>
                <w:color w:val="auto"/>
                <w:highlight w:val="none"/>
                <w:lang w:val="en-US" w:eastAsia="zh-CN"/>
              </w:rPr>
              <w:t>具有农业农村部风险评估实验室（水产相关业），未承担过国家农产品风险评估重大专项工作任务且未通过水生动物防疫系统实验室检测能力验证，得6分；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具有省市级风险评估实验室（水产相关业），得4分；</w:t>
            </w:r>
          </w:p>
          <w:p>
            <w:pPr>
              <w:keepNext w:val="0"/>
              <w:keepLines w:val="0"/>
              <w:pageBreakBefore w:val="0"/>
              <w:widowControl/>
              <w:kinsoku/>
              <w:wordWrap/>
              <w:overflowPunct/>
              <w:topLinePunct w:val="0"/>
              <w:autoSpaceDE/>
              <w:autoSpaceDN/>
              <w:bidi w:val="0"/>
              <w:adjustRightInd/>
              <w:snapToGrid/>
              <w:spacing w:beforeAutospacing="0" w:line="320" w:lineRule="exact"/>
              <w:ind w:left="0" w:leftChars="0" w:right="0" w:rightChars="0" w:firstLine="0" w:firstLineChars="0"/>
              <w:jc w:val="left"/>
              <w:textAlignment w:val="auto"/>
              <w:rPr>
                <w:rFonts w:hint="eastAsia" w:eastAsia="Arial Unicode MS"/>
                <w:color w:val="auto"/>
                <w:highlight w:val="none"/>
                <w:lang w:val="en-US" w:eastAsia="zh-CN"/>
              </w:rPr>
            </w:pPr>
            <w:r>
              <w:rPr>
                <w:rFonts w:hint="eastAsia" w:ascii="仿宋" w:hAnsi="仿宋" w:eastAsia="仿宋" w:cs="仿宋"/>
                <w:color w:val="auto"/>
                <w:highlight w:val="none"/>
                <w:lang w:val="en-US" w:eastAsia="zh-CN"/>
              </w:rPr>
              <w:t>未提供的不得分。（提供证明材料）</w:t>
            </w:r>
          </w:p>
        </w:tc>
      </w:tr>
      <w:tr>
        <w:tblPrEx>
          <w:tblCellMar>
            <w:top w:w="0" w:type="dxa"/>
            <w:left w:w="108" w:type="dxa"/>
            <w:bottom w:w="0" w:type="dxa"/>
            <w:right w:w="108" w:type="dxa"/>
          </w:tblCellMar>
        </w:tblPrEx>
        <w:trPr>
          <w:trHeight w:val="838" w:hRule="atLeast"/>
          <w:jc w:val="center"/>
        </w:trPr>
        <w:tc>
          <w:tcPr>
            <w:tcW w:w="934"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auto"/>
              <w:jc w:val="left"/>
              <w:outlineLvl w:val="9"/>
              <w:rPr>
                <w:rFonts w:hint="eastAsia" w:ascii="仿宋" w:hAnsi="仿宋" w:eastAsia="仿宋" w:cs="仿宋"/>
                <w:color w:val="auto"/>
                <w:kern w:val="0"/>
                <w:sz w:val="21"/>
                <w:szCs w:val="21"/>
                <w:highlight w:val="none"/>
              </w:rPr>
            </w:pPr>
          </w:p>
        </w:tc>
        <w:tc>
          <w:tcPr>
            <w:tcW w:w="106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技术能力</w:t>
            </w:r>
            <w:r>
              <w:rPr>
                <w:rFonts w:hint="eastAsia" w:ascii="仿宋" w:hAnsi="仿宋" w:eastAsia="仿宋" w:cs="仿宋"/>
                <w:color w:val="auto"/>
                <w:kern w:val="0"/>
                <w:sz w:val="21"/>
                <w:szCs w:val="21"/>
                <w:highlight w:val="none"/>
                <w:lang w:val="en-US" w:eastAsia="zh-CN"/>
              </w:rPr>
              <w:t>情况</w:t>
            </w:r>
          </w:p>
        </w:tc>
        <w:tc>
          <w:tcPr>
            <w:tcW w:w="71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outlineLvl w:val="9"/>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15分</w:t>
            </w:r>
          </w:p>
        </w:tc>
        <w:tc>
          <w:tcPr>
            <w:tcW w:w="69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项目负责人：拟投入项目负责人具有正高级职称(水产科学相关专业)得5分，具备副高级职称(水产科学相关专业)得3分，其余不得分；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（具有10年以上工作经验，提供身份证、职称证、学历证、从业简历、近半年内任意一月本单位社保缴纳证明，资料齐全者计分）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负责人、主要完成人（子项目负责人或项目前3参加人）提供近五年内（2017年1月至今）主持过类似项目，每提供一项计1分，满分5分。（需提供相关证明材料复印件，类似服务业绩需提供合同或技术服务协议或购买服务组织证明复印件，业绩证明材料须反映项目负责人，否则不得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color w:val="auto"/>
                <w:highlight w:val="none"/>
                <w:lang w:val="en-US" w:eastAsia="zh-CN"/>
              </w:rPr>
            </w:pPr>
            <w:r>
              <w:rPr>
                <w:rFonts w:hint="eastAsia" w:ascii="仿宋" w:hAnsi="仿宋" w:eastAsia="仿宋" w:cs="仿宋"/>
                <w:color w:val="auto"/>
                <w:highlight w:val="none"/>
                <w:lang w:val="en-US" w:eastAsia="zh-CN"/>
              </w:rPr>
              <w:t>项目组成员具有中高级职称（不含项目负责人），不少于5人，每少一人扣1分。（提供身份证、职称证、学历证、从业简历、近半年内任意一月本单位社保缴纳证明，资料齐全者计分）</w:t>
            </w:r>
          </w:p>
        </w:tc>
      </w:tr>
      <w:tr>
        <w:tblPrEx>
          <w:tblCellMar>
            <w:top w:w="0" w:type="dxa"/>
            <w:left w:w="108" w:type="dxa"/>
            <w:bottom w:w="0" w:type="dxa"/>
            <w:right w:w="108" w:type="dxa"/>
          </w:tblCellMar>
        </w:tblPrEx>
        <w:trPr>
          <w:trHeight w:val="2020" w:hRule="atLeast"/>
          <w:jc w:val="center"/>
        </w:trPr>
        <w:tc>
          <w:tcPr>
            <w:tcW w:w="9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outlineLvl w:val="9"/>
              <w:rPr>
                <w:rFonts w:hint="eastAsia" w:ascii="仿宋" w:hAnsi="仿宋" w:eastAsia="仿宋" w:cs="仿宋"/>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项目实施方案、</w:t>
            </w:r>
            <w:r>
              <w:rPr>
                <w:rFonts w:hint="eastAsia" w:ascii="仿宋" w:hAnsi="仿宋" w:eastAsia="仿宋" w:cs="仿宋"/>
                <w:color w:val="auto"/>
                <w:kern w:val="0"/>
                <w:sz w:val="21"/>
                <w:szCs w:val="21"/>
                <w:highlight w:val="none"/>
              </w:rPr>
              <w:t>实施进度计划及保证措施</w:t>
            </w:r>
          </w:p>
        </w:tc>
        <w:tc>
          <w:tcPr>
            <w:tcW w:w="71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rPr>
              <w:t>分</w:t>
            </w:r>
          </w:p>
        </w:tc>
        <w:tc>
          <w:tcPr>
            <w:tcW w:w="69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项目实施方案及实施进度计划科学、合理，完全满足项目需求，保障措施具体、详细、全面，具有针对性，</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项目实施方案及实施进度计划具有可行性，基本满足项目需求，保障措施基本到位，</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项目实施方案及实施进度计划不能有效满足项目需求，保障措施不到位，</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w:t>
            </w:r>
            <w:r>
              <w:rPr>
                <w:rFonts w:hint="eastAsia" w:ascii="仿宋" w:hAnsi="仿宋" w:eastAsia="仿宋" w:cs="仿宋"/>
                <w:color w:val="auto"/>
                <w:sz w:val="21"/>
                <w:szCs w:val="21"/>
                <w:highlight w:val="none"/>
                <w:lang w:val="en-US" w:eastAsia="zh-CN"/>
              </w:rPr>
              <w:t>;</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color w:val="auto"/>
                <w:highlight w:val="none"/>
                <w:lang w:val="en-US" w:eastAsia="zh-CN"/>
              </w:rPr>
            </w:pPr>
            <w:r>
              <w:rPr>
                <w:rFonts w:hint="eastAsia" w:ascii="仿宋" w:hAnsi="仿宋" w:eastAsia="仿宋" w:cs="仿宋"/>
                <w:color w:val="auto"/>
                <w:sz w:val="21"/>
                <w:szCs w:val="21"/>
                <w:highlight w:val="none"/>
                <w:lang w:val="en-US" w:eastAsia="zh-CN"/>
              </w:rPr>
              <w:t>项目实施方案及实施进度计划未提供的不得分</w:t>
            </w:r>
          </w:p>
        </w:tc>
      </w:tr>
      <w:tr>
        <w:tblPrEx>
          <w:tblCellMar>
            <w:top w:w="0" w:type="dxa"/>
            <w:left w:w="108" w:type="dxa"/>
            <w:bottom w:w="0" w:type="dxa"/>
            <w:right w:w="108" w:type="dxa"/>
          </w:tblCellMar>
        </w:tblPrEx>
        <w:trPr>
          <w:trHeight w:val="838" w:hRule="atLeast"/>
          <w:jc w:val="center"/>
        </w:trPr>
        <w:tc>
          <w:tcPr>
            <w:tcW w:w="934" w:type="dxa"/>
            <w:vMerge w:val="continue"/>
            <w:tcBorders>
              <w:top w:val="nil"/>
              <w:left w:val="single" w:color="auto" w:sz="4" w:space="0"/>
              <w:bottom w:val="nil"/>
              <w:right w:val="single" w:color="auto" w:sz="4" w:space="0"/>
            </w:tcBorders>
            <w:noWrap w:val="0"/>
            <w:vAlign w:val="center"/>
          </w:tcPr>
          <w:p>
            <w:pPr>
              <w:widowControl/>
              <w:shd w:val="clear" w:color="auto" w:fill="auto"/>
              <w:jc w:val="left"/>
              <w:outlineLvl w:val="9"/>
              <w:rPr>
                <w:rFonts w:hint="eastAsia" w:ascii="仿宋" w:hAnsi="仿宋" w:eastAsia="仿宋" w:cs="仿宋"/>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项目绩效目标设定</w:t>
            </w:r>
          </w:p>
        </w:tc>
        <w:tc>
          <w:tcPr>
            <w:tcW w:w="71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分</w:t>
            </w:r>
          </w:p>
        </w:tc>
        <w:tc>
          <w:tcPr>
            <w:tcW w:w="69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绩效目标设定的指标齐全、细化量化清晰、合理可行，能够准确体现项目总体目标预期实现程度，得5分；</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绩效目标设定的指标较齐全、细化量化较清晰、基本合理可行，能够基本体现项目总体目标预期实现程度，得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绩效目标设定的指标有欠缺、细化量化不够，得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未提供的不得分</w:t>
            </w:r>
          </w:p>
        </w:tc>
      </w:tr>
      <w:tr>
        <w:tblPrEx>
          <w:tblCellMar>
            <w:top w:w="0" w:type="dxa"/>
            <w:left w:w="108" w:type="dxa"/>
            <w:bottom w:w="0" w:type="dxa"/>
            <w:right w:w="108" w:type="dxa"/>
          </w:tblCellMar>
        </w:tblPrEx>
        <w:trPr>
          <w:trHeight w:val="838" w:hRule="atLeast"/>
          <w:jc w:val="center"/>
        </w:trPr>
        <w:tc>
          <w:tcPr>
            <w:tcW w:w="934" w:type="dxa"/>
            <w:tcBorders>
              <w:top w:val="nil"/>
              <w:left w:val="single" w:color="auto" w:sz="4" w:space="0"/>
              <w:bottom w:val="single" w:color="auto" w:sz="4" w:space="0"/>
              <w:right w:val="single" w:color="auto" w:sz="4" w:space="0"/>
            </w:tcBorders>
            <w:noWrap w:val="0"/>
            <w:vAlign w:val="center"/>
          </w:tcPr>
          <w:p>
            <w:pPr>
              <w:widowControl/>
              <w:shd w:val="clear" w:color="auto" w:fill="auto"/>
              <w:jc w:val="left"/>
              <w:outlineLvl w:val="9"/>
              <w:rPr>
                <w:rFonts w:hint="eastAsia" w:ascii="仿宋" w:hAnsi="仿宋" w:eastAsia="仿宋" w:cs="仿宋"/>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质量控制和安全保障措施</w:t>
            </w:r>
          </w:p>
        </w:tc>
        <w:tc>
          <w:tcPr>
            <w:tcW w:w="71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5分</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质量控制和安全保障措施考虑周全、合理，得5分；</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质量控制和安全保障措施考虑比较周全、合理，得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质量控制和安全保障措施不够周全，得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p>
            <w:pPr>
              <w:keepNext w:val="0"/>
              <w:keepLines w:val="0"/>
              <w:pageBreakBefore w:val="0"/>
              <w:widowControl/>
              <w:kinsoku/>
              <w:wordWrap/>
              <w:overflowPunct/>
              <w:topLinePunct w:val="0"/>
              <w:bidi w:val="0"/>
              <w:spacing w:beforeAutospacing="0" w:line="320" w:lineRule="exact"/>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未提供的不得分。</w:t>
            </w:r>
          </w:p>
        </w:tc>
      </w:tr>
    </w:tbl>
    <w:p>
      <w:pPr>
        <w:pStyle w:val="2"/>
        <w:ind w:left="0" w:leftChars="0" w:firstLine="0" w:firstLineChars="0"/>
        <w:rPr>
          <w:rFonts w:hint="eastAsia"/>
          <w:color w:val="auto"/>
          <w:highlight w:val="none"/>
        </w:rPr>
      </w:pPr>
      <w:bookmarkStart w:id="70" w:name="_GoBack"/>
      <w:bookmarkEnd w:id="70"/>
    </w:p>
    <w:tbl>
      <w:tblPr>
        <w:tblStyle w:val="19"/>
        <w:tblW w:w="96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947"/>
        <w:gridCol w:w="1371"/>
        <w:gridCol w:w="650"/>
        <w:gridCol w:w="6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55" w:hRule="atLeast"/>
          <w:jc w:val="center"/>
        </w:trPr>
        <w:tc>
          <w:tcPr>
            <w:tcW w:w="9636" w:type="dxa"/>
            <w:gridSpan w:val="4"/>
            <w:noWrap w:val="0"/>
            <w:tcMar>
              <w:top w:w="20" w:type="dxa"/>
              <w:left w:w="20" w:type="dxa"/>
              <w:bottom w:w="0" w:type="dxa"/>
              <w:right w:w="20" w:type="dxa"/>
            </w:tcMar>
            <w:vAlign w:val="center"/>
          </w:tcPr>
          <w:p>
            <w:pPr>
              <w:widowControl/>
              <w:shd w:val="clear" w:color="auto" w:fill="auto"/>
              <w:jc w:val="center"/>
              <w:outlineLvl w:val="9"/>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商务评审15分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494" w:hRule="atLeast"/>
          <w:jc w:val="center"/>
        </w:trPr>
        <w:tc>
          <w:tcPr>
            <w:tcW w:w="947" w:type="dxa"/>
            <w:noWrap w:val="0"/>
            <w:tcMar>
              <w:top w:w="20" w:type="dxa"/>
              <w:left w:w="20" w:type="dxa"/>
              <w:bottom w:w="0" w:type="dxa"/>
              <w:right w:w="20" w:type="dxa"/>
            </w:tcMar>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rPr>
              <w:t>评审项目</w:t>
            </w:r>
          </w:p>
        </w:tc>
        <w:tc>
          <w:tcPr>
            <w:tcW w:w="1371" w:type="dxa"/>
            <w:noWrap w:val="0"/>
            <w:tcMar>
              <w:top w:w="20" w:type="dxa"/>
              <w:left w:w="20" w:type="dxa"/>
              <w:bottom w:w="0" w:type="dxa"/>
              <w:right w:w="20" w:type="dxa"/>
            </w:tcMar>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rPr>
              <w:t>评审因素</w:t>
            </w:r>
          </w:p>
        </w:tc>
        <w:tc>
          <w:tcPr>
            <w:tcW w:w="650" w:type="dxa"/>
            <w:noWrap w:val="0"/>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rPr>
              <w:t>分值</w:t>
            </w:r>
          </w:p>
        </w:tc>
        <w:tc>
          <w:tcPr>
            <w:tcW w:w="6668" w:type="dxa"/>
            <w:noWrap w:val="0"/>
            <w:vAlign w:val="center"/>
          </w:tcPr>
          <w:p>
            <w:pPr>
              <w:widowControl/>
              <w:shd w:val="clear" w:color="auto" w:fill="auto"/>
              <w:jc w:val="center"/>
              <w:outlineLvl w:val="9"/>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654" w:hRule="atLeast"/>
          <w:jc w:val="center"/>
        </w:trPr>
        <w:tc>
          <w:tcPr>
            <w:tcW w:w="947" w:type="dxa"/>
            <w:noWrap w:val="0"/>
            <w:tcMar>
              <w:top w:w="20" w:type="dxa"/>
              <w:left w:w="20" w:type="dxa"/>
              <w:bottom w:w="0" w:type="dxa"/>
              <w:right w:w="20" w:type="dxa"/>
            </w:tcMar>
            <w:vAlign w:val="center"/>
          </w:tcPr>
          <w:p>
            <w:pPr>
              <w:shd w:val="clear" w:color="auto" w:fill="auto"/>
              <w:spacing w:line="320" w:lineRule="exact"/>
              <w:jc w:val="center"/>
              <w:outlineLvl w:val="9"/>
              <w:rPr>
                <w:rFonts w:hint="eastAsia" w:ascii="仿宋" w:hAnsi="仿宋" w:eastAsia="仿宋" w:cs="仿宋"/>
                <w:color w:val="auto"/>
                <w:szCs w:val="21"/>
                <w:highlight w:val="none"/>
              </w:rPr>
            </w:pPr>
          </w:p>
          <w:p>
            <w:pPr>
              <w:shd w:val="clear" w:color="auto" w:fill="auto"/>
              <w:spacing w:line="320" w:lineRule="exact"/>
              <w:jc w:val="center"/>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szCs w:val="21"/>
                <w:highlight w:val="none"/>
              </w:rPr>
              <w:t>1</w:t>
            </w:r>
          </w:p>
        </w:tc>
        <w:tc>
          <w:tcPr>
            <w:tcW w:w="1371" w:type="dxa"/>
            <w:noWrap w:val="0"/>
            <w:tcMar>
              <w:top w:w="20" w:type="dxa"/>
              <w:left w:w="20" w:type="dxa"/>
              <w:bottom w:w="0" w:type="dxa"/>
              <w:right w:w="20" w:type="dxa"/>
            </w:tcMar>
            <w:vAlign w:val="center"/>
          </w:tcPr>
          <w:p>
            <w:pPr>
              <w:shd w:val="clear" w:color="auto" w:fill="auto"/>
              <w:spacing w:line="320" w:lineRule="exact"/>
              <w:jc w:val="center"/>
              <w:outlineLvl w:val="9"/>
              <w:rPr>
                <w:rFonts w:hint="eastAsia" w:ascii="仿宋" w:hAnsi="仿宋" w:eastAsia="仿宋" w:cs="仿宋"/>
                <w:b/>
                <w:bCs/>
                <w:color w:val="auto"/>
                <w:kern w:val="0"/>
                <w:sz w:val="21"/>
                <w:szCs w:val="21"/>
                <w:highlight w:val="none"/>
              </w:rPr>
            </w:pPr>
            <w:r>
              <w:rPr>
                <w:rFonts w:hint="eastAsia" w:ascii="仿宋" w:hAnsi="仿宋" w:eastAsia="仿宋" w:cs="仿宋"/>
                <w:bCs/>
                <w:color w:val="auto"/>
                <w:highlight w:val="none"/>
              </w:rPr>
              <w:t>投标人基本情况的综合评审</w:t>
            </w:r>
          </w:p>
        </w:tc>
        <w:tc>
          <w:tcPr>
            <w:tcW w:w="650" w:type="dxa"/>
            <w:noWrap w:val="0"/>
            <w:vAlign w:val="center"/>
          </w:tcPr>
          <w:p>
            <w:pPr>
              <w:shd w:val="clear" w:color="auto" w:fill="auto"/>
              <w:spacing w:line="320" w:lineRule="exact"/>
              <w:jc w:val="center"/>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szCs w:val="21"/>
                <w:highlight w:val="none"/>
              </w:rPr>
              <w:t>3分</w:t>
            </w:r>
          </w:p>
        </w:tc>
        <w:tc>
          <w:tcPr>
            <w:tcW w:w="6668" w:type="dxa"/>
            <w:noWrap w:val="0"/>
            <w:vAlign w:val="center"/>
          </w:tcPr>
          <w:p>
            <w:pPr>
              <w:widowControl/>
              <w:shd w:val="clear" w:color="auto" w:fill="auto"/>
              <w:spacing w:line="320" w:lineRule="exact"/>
              <w:jc w:val="left"/>
              <w:outlineLvl w:val="9"/>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投标人的基本情况、管理制度及信用情况（可附业主评价良好的记录证明等材料）等</w:t>
            </w:r>
          </w:p>
          <w:p>
            <w:pPr>
              <w:widowControl/>
              <w:shd w:val="clear" w:color="auto" w:fill="auto"/>
              <w:spacing w:line="320" w:lineRule="exact"/>
              <w:jc w:val="left"/>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基本情况完善，管理制度合理，信用信息完好得</w:t>
            </w:r>
            <w:r>
              <w:rPr>
                <w:rFonts w:hint="eastAsia" w:ascii="仿宋" w:hAnsi="仿宋" w:eastAsia="仿宋" w:cs="仿宋"/>
                <w:color w:val="auto"/>
                <w:kern w:val="0"/>
                <w:sz w:val="21"/>
                <w:szCs w:val="21"/>
                <w:highlight w:val="none"/>
                <w:lang w:val="en-US" w:eastAsia="zh-CN"/>
              </w:rPr>
              <w:t>3分；</w:t>
            </w:r>
          </w:p>
          <w:p>
            <w:pPr>
              <w:widowControl/>
              <w:shd w:val="clear" w:color="auto" w:fill="auto"/>
              <w:spacing w:line="320" w:lineRule="exact"/>
              <w:jc w:val="left"/>
              <w:outlineLvl w:val="9"/>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基本情况不够完善，管理制度不太合理，信用情况一般得</w:t>
            </w:r>
            <w:r>
              <w:rPr>
                <w:rFonts w:hint="eastAsia" w:ascii="仿宋" w:hAnsi="仿宋" w:eastAsia="仿宋" w:cs="仿宋"/>
                <w:color w:val="auto"/>
                <w:kern w:val="0"/>
                <w:sz w:val="21"/>
                <w:szCs w:val="21"/>
                <w:highlight w:val="none"/>
                <w:lang w:val="en-US" w:eastAsia="zh-CN"/>
              </w:rPr>
              <w:t>1分；</w:t>
            </w:r>
          </w:p>
          <w:p>
            <w:pPr>
              <w:widowControl/>
              <w:shd w:val="clear" w:color="auto" w:fill="auto"/>
              <w:spacing w:line="320" w:lineRule="exact"/>
              <w:jc w:val="left"/>
              <w:outlineLvl w:val="9"/>
              <w:rPr>
                <w:rFonts w:hint="default"/>
                <w:color w:val="auto"/>
                <w:highlight w:val="none"/>
                <w:lang w:val="en-US"/>
              </w:rPr>
            </w:pPr>
            <w:r>
              <w:rPr>
                <w:rFonts w:hint="eastAsia" w:ascii="仿宋" w:hAnsi="仿宋" w:eastAsia="仿宋" w:cs="仿宋"/>
                <w:color w:val="auto"/>
                <w:kern w:val="0"/>
                <w:sz w:val="21"/>
                <w:szCs w:val="21"/>
                <w:highlight w:val="none"/>
                <w:lang w:val="en-US" w:eastAsia="zh-CN"/>
              </w:rPr>
              <w:t>未提供的不得分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1265" w:hRule="atLeast"/>
          <w:jc w:val="center"/>
        </w:trPr>
        <w:tc>
          <w:tcPr>
            <w:tcW w:w="947" w:type="dxa"/>
            <w:noWrap w:val="0"/>
            <w:tcMar>
              <w:top w:w="20" w:type="dxa"/>
              <w:left w:w="20" w:type="dxa"/>
              <w:bottom w:w="0" w:type="dxa"/>
              <w:right w:w="20" w:type="dxa"/>
            </w:tcMar>
            <w:vAlign w:val="center"/>
          </w:tcPr>
          <w:p>
            <w:pPr>
              <w:shd w:val="clear" w:color="auto" w:fill="auto"/>
              <w:spacing w:line="320" w:lineRule="exact"/>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371" w:type="dxa"/>
            <w:noWrap w:val="0"/>
            <w:tcMar>
              <w:top w:w="20" w:type="dxa"/>
              <w:left w:w="20" w:type="dxa"/>
              <w:bottom w:w="0" w:type="dxa"/>
              <w:right w:w="20" w:type="dxa"/>
            </w:tcMar>
            <w:vAlign w:val="center"/>
          </w:tcPr>
          <w:p>
            <w:pPr>
              <w:shd w:val="clear" w:color="auto" w:fill="auto"/>
              <w:spacing w:line="320" w:lineRule="exact"/>
              <w:jc w:val="center"/>
              <w:outlineLvl w:val="9"/>
              <w:rPr>
                <w:rFonts w:hint="eastAsia" w:ascii="仿宋" w:hAnsi="仿宋" w:eastAsia="仿宋" w:cs="仿宋"/>
                <w:color w:val="auto"/>
                <w:szCs w:val="21"/>
                <w:highlight w:val="none"/>
              </w:rPr>
            </w:pPr>
            <w:r>
              <w:rPr>
                <w:rFonts w:hint="eastAsia" w:ascii="仿宋" w:hAnsi="仿宋" w:eastAsia="仿宋" w:cs="仿宋"/>
                <w:color w:val="auto"/>
                <w:kern w:val="1"/>
                <w:szCs w:val="21"/>
                <w:highlight w:val="none"/>
              </w:rPr>
              <w:t>投标人业绩</w:t>
            </w:r>
          </w:p>
        </w:tc>
        <w:tc>
          <w:tcPr>
            <w:tcW w:w="650" w:type="dxa"/>
            <w:noWrap w:val="0"/>
            <w:vAlign w:val="center"/>
          </w:tcPr>
          <w:p>
            <w:pPr>
              <w:shd w:val="clear" w:color="auto" w:fill="auto"/>
              <w:spacing w:line="320" w:lineRule="exact"/>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分</w:t>
            </w:r>
          </w:p>
        </w:tc>
        <w:tc>
          <w:tcPr>
            <w:tcW w:w="6668" w:type="dxa"/>
            <w:noWrap w:val="0"/>
            <w:vAlign w:val="center"/>
          </w:tcPr>
          <w:p>
            <w:pPr>
              <w:widowControl/>
              <w:shd w:val="clear" w:color="auto" w:fill="auto"/>
              <w:spacing w:line="320" w:lineRule="exact"/>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近</w:t>
            </w:r>
            <w:r>
              <w:rPr>
                <w:rFonts w:hint="eastAsia" w:ascii="仿宋" w:hAnsi="仿宋" w:eastAsia="仿宋" w:cs="仿宋"/>
                <w:color w:val="auto"/>
                <w:kern w:val="0"/>
                <w:sz w:val="21"/>
                <w:szCs w:val="21"/>
                <w:highlight w:val="none"/>
                <w:lang w:eastAsia="zh-CN"/>
              </w:rPr>
              <w:t>五</w:t>
            </w:r>
            <w:r>
              <w:rPr>
                <w:rFonts w:hint="eastAsia" w:ascii="仿宋" w:hAnsi="仿宋" w:eastAsia="仿宋" w:cs="仿宋"/>
                <w:color w:val="auto"/>
                <w:kern w:val="0"/>
                <w:sz w:val="21"/>
                <w:szCs w:val="21"/>
                <w:highlight w:val="none"/>
              </w:rPr>
              <w:t>年（201</w:t>
            </w: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月至今）承担</w:t>
            </w:r>
            <w:r>
              <w:rPr>
                <w:rFonts w:hint="eastAsia" w:ascii="仿宋" w:hAnsi="仿宋" w:eastAsia="仿宋" w:cs="仿宋"/>
                <w:color w:val="auto"/>
                <w:kern w:val="0"/>
                <w:sz w:val="21"/>
                <w:szCs w:val="21"/>
                <w:highlight w:val="none"/>
                <w:lang w:val="en-US" w:eastAsia="zh-CN"/>
              </w:rPr>
              <w:t>过</w:t>
            </w:r>
            <w:r>
              <w:rPr>
                <w:rFonts w:hint="eastAsia" w:ascii="仿宋" w:hAnsi="仿宋" w:eastAsia="仿宋" w:cs="仿宋"/>
                <w:color w:val="auto"/>
                <w:kern w:val="0"/>
                <w:sz w:val="21"/>
                <w:szCs w:val="21"/>
                <w:highlight w:val="none"/>
              </w:rPr>
              <w:t>类似项目业绩的，每提供</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项</w:t>
            </w:r>
            <w:r>
              <w:rPr>
                <w:rFonts w:hint="eastAsia" w:ascii="仿宋" w:hAnsi="仿宋" w:eastAsia="仿宋" w:cs="仿宋"/>
                <w:color w:val="auto"/>
                <w:kern w:val="0"/>
                <w:sz w:val="21"/>
                <w:szCs w:val="21"/>
                <w:highlight w:val="none"/>
                <w:lang w:eastAsia="zh-CN"/>
              </w:rPr>
              <w:t>部</w:t>
            </w:r>
            <w:r>
              <w:rPr>
                <w:rFonts w:hint="eastAsia" w:ascii="仿宋" w:hAnsi="仿宋" w:eastAsia="仿宋" w:cs="仿宋"/>
                <w:color w:val="auto"/>
                <w:kern w:val="0"/>
                <w:sz w:val="21"/>
                <w:szCs w:val="21"/>
                <w:highlight w:val="none"/>
                <w:lang w:val="en-US" w:eastAsia="zh-CN"/>
              </w:rPr>
              <w:t>局</w:t>
            </w:r>
            <w:r>
              <w:rPr>
                <w:rFonts w:hint="eastAsia" w:ascii="仿宋" w:hAnsi="仿宋" w:eastAsia="仿宋" w:cs="仿宋"/>
                <w:color w:val="auto"/>
                <w:kern w:val="0"/>
                <w:sz w:val="21"/>
                <w:szCs w:val="21"/>
                <w:highlight w:val="none"/>
                <w:lang w:eastAsia="zh-CN"/>
              </w:rPr>
              <w:t>级项目</w:t>
            </w:r>
            <w:r>
              <w:rPr>
                <w:rFonts w:hint="eastAsia" w:ascii="仿宋" w:hAnsi="仿宋" w:eastAsia="仿宋" w:cs="仿宋"/>
                <w:color w:val="auto"/>
                <w:kern w:val="0"/>
                <w:sz w:val="21"/>
                <w:szCs w:val="21"/>
                <w:highlight w:val="none"/>
              </w:rPr>
              <w:t>得</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分，</w:t>
            </w:r>
            <w:r>
              <w:rPr>
                <w:rFonts w:hint="eastAsia" w:ascii="仿宋" w:hAnsi="仿宋" w:eastAsia="仿宋" w:cs="仿宋"/>
                <w:color w:val="auto"/>
                <w:kern w:val="0"/>
                <w:sz w:val="21"/>
                <w:szCs w:val="21"/>
                <w:highlight w:val="none"/>
                <w:lang w:eastAsia="zh-CN"/>
              </w:rPr>
              <w:t>每提供</w:t>
            </w:r>
            <w:r>
              <w:rPr>
                <w:rFonts w:hint="eastAsia" w:ascii="仿宋" w:hAnsi="仿宋" w:eastAsia="仿宋" w:cs="仿宋"/>
                <w:color w:val="auto"/>
                <w:kern w:val="0"/>
                <w:sz w:val="21"/>
                <w:szCs w:val="21"/>
                <w:highlight w:val="none"/>
                <w:lang w:val="en-US" w:eastAsia="zh-CN"/>
              </w:rPr>
              <w:t>1项省级项目得0.5分，满分7分。</w:t>
            </w:r>
          </w:p>
          <w:p>
            <w:pPr>
              <w:widowControl/>
              <w:shd w:val="clear" w:color="auto" w:fill="auto"/>
              <w:spacing w:line="320" w:lineRule="exact"/>
              <w:jc w:val="left"/>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业绩证明材料为合同复印件</w:t>
            </w:r>
            <w:r>
              <w:rPr>
                <w:rFonts w:hint="eastAsia" w:ascii="仿宋" w:hAnsi="仿宋" w:eastAsia="仿宋" w:cs="仿宋"/>
                <w:color w:val="auto"/>
                <w:kern w:val="0"/>
                <w:sz w:val="21"/>
                <w:szCs w:val="21"/>
                <w:highlight w:val="none"/>
                <w:lang w:eastAsia="zh-CN"/>
              </w:rPr>
              <w:t>、任务书复印件</w:t>
            </w:r>
            <w:r>
              <w:rPr>
                <w:rFonts w:hint="eastAsia" w:ascii="仿宋" w:hAnsi="仿宋" w:eastAsia="仿宋" w:cs="仿宋"/>
                <w:color w:val="auto"/>
                <w:kern w:val="0"/>
                <w:sz w:val="21"/>
                <w:szCs w:val="21"/>
                <w:highlight w:val="none"/>
              </w:rPr>
              <w:t>、中标通知书或结项证明，未提供证明材料的或提供不全的不得分。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985" w:hRule="atLeast"/>
          <w:jc w:val="center"/>
        </w:trPr>
        <w:tc>
          <w:tcPr>
            <w:tcW w:w="947" w:type="dxa"/>
            <w:noWrap w:val="0"/>
            <w:tcMar>
              <w:top w:w="20" w:type="dxa"/>
              <w:left w:w="20" w:type="dxa"/>
              <w:bottom w:w="0" w:type="dxa"/>
              <w:right w:w="20" w:type="dxa"/>
            </w:tcMar>
            <w:vAlign w:val="center"/>
          </w:tcPr>
          <w:p>
            <w:pPr>
              <w:shd w:val="clear" w:color="auto" w:fill="auto"/>
              <w:spacing w:line="320" w:lineRule="exact"/>
              <w:jc w:val="center"/>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371" w:type="dxa"/>
            <w:noWrap w:val="0"/>
            <w:tcMar>
              <w:top w:w="20" w:type="dxa"/>
              <w:left w:w="20" w:type="dxa"/>
              <w:bottom w:w="0" w:type="dxa"/>
              <w:right w:w="20" w:type="dxa"/>
            </w:tcMar>
            <w:vAlign w:val="center"/>
          </w:tcPr>
          <w:p>
            <w:pPr>
              <w:shd w:val="clear" w:color="auto" w:fill="auto"/>
              <w:spacing w:line="320" w:lineRule="exact"/>
              <w:jc w:val="center"/>
              <w:outlineLvl w:val="9"/>
              <w:rPr>
                <w:rFonts w:hint="eastAsia" w:ascii="仿宋" w:hAnsi="仿宋" w:eastAsia="仿宋" w:cs="仿宋"/>
                <w:color w:val="auto"/>
                <w:szCs w:val="21"/>
                <w:highlight w:val="none"/>
              </w:rPr>
            </w:pPr>
            <w:r>
              <w:rPr>
                <w:rFonts w:hint="eastAsia" w:ascii="仿宋" w:hAnsi="仿宋" w:eastAsia="仿宋" w:cs="仿宋"/>
                <w:color w:val="auto"/>
                <w:kern w:val="1"/>
                <w:szCs w:val="21"/>
                <w:highlight w:val="none"/>
              </w:rPr>
              <w:t>服务承诺</w:t>
            </w:r>
          </w:p>
        </w:tc>
        <w:tc>
          <w:tcPr>
            <w:tcW w:w="650" w:type="dxa"/>
            <w:noWrap w:val="0"/>
            <w:tcMar>
              <w:top w:w="20" w:type="dxa"/>
              <w:left w:w="20" w:type="dxa"/>
              <w:bottom w:w="0" w:type="dxa"/>
              <w:right w:w="20" w:type="dxa"/>
            </w:tcMar>
            <w:vAlign w:val="center"/>
          </w:tcPr>
          <w:p>
            <w:pPr>
              <w:shd w:val="clear" w:color="auto" w:fill="auto"/>
              <w:autoSpaceDE w:val="0"/>
              <w:autoSpaceDN w:val="0"/>
              <w:adjustRightInd w:val="0"/>
              <w:spacing w:line="320" w:lineRule="exact"/>
              <w:jc w:val="center"/>
              <w:outlineLvl w:val="9"/>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Cs w:val="21"/>
                <w:highlight w:val="none"/>
                <w:lang w:val="en-US" w:eastAsia="zh-CN"/>
              </w:rPr>
              <w:t>3</w:t>
            </w:r>
            <w:r>
              <w:rPr>
                <w:rFonts w:hint="eastAsia" w:ascii="仿宋" w:hAnsi="仿宋" w:eastAsia="仿宋" w:cs="仿宋"/>
                <w:bCs/>
                <w:color w:val="auto"/>
                <w:kern w:val="0"/>
                <w:szCs w:val="21"/>
                <w:highlight w:val="none"/>
              </w:rPr>
              <w:t>分</w:t>
            </w:r>
          </w:p>
        </w:tc>
        <w:tc>
          <w:tcPr>
            <w:tcW w:w="6668" w:type="dxa"/>
            <w:noWrap w:val="0"/>
            <w:tcMar>
              <w:top w:w="20" w:type="dxa"/>
              <w:left w:w="20" w:type="dxa"/>
              <w:bottom w:w="0" w:type="dxa"/>
              <w:right w:w="20" w:type="dxa"/>
            </w:tcMar>
            <w:vAlign w:val="center"/>
          </w:tcPr>
          <w:p>
            <w:pPr>
              <w:shd w:val="clear" w:color="auto" w:fill="auto"/>
              <w:autoSpaceDE w:val="0"/>
              <w:autoSpaceDN w:val="0"/>
              <w:adjustRightInd w:val="0"/>
              <w:spacing w:line="32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提供服务承诺函且服务承诺详细、具体、完整，满足用户要求、优于服务承诺的得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分；服务承诺周到，具有服务体系一般的得</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分；服务体系不完备的得</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978" w:hRule="atLeast"/>
          <w:jc w:val="center"/>
        </w:trPr>
        <w:tc>
          <w:tcPr>
            <w:tcW w:w="947" w:type="dxa"/>
            <w:noWrap w:val="0"/>
            <w:vAlign w:val="center"/>
          </w:tcPr>
          <w:p>
            <w:pPr>
              <w:shd w:val="clear" w:color="auto" w:fill="auto"/>
              <w:spacing w:line="320" w:lineRule="exact"/>
              <w:jc w:val="center"/>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1371" w:type="dxa"/>
            <w:noWrap w:val="0"/>
            <w:vAlign w:val="center"/>
          </w:tcPr>
          <w:p>
            <w:pPr>
              <w:shd w:val="clear" w:color="auto" w:fill="auto"/>
              <w:autoSpaceDE w:val="0"/>
              <w:autoSpaceDN w:val="0"/>
              <w:adjustRightInd w:val="0"/>
              <w:spacing w:line="320" w:lineRule="exact"/>
              <w:jc w:val="center"/>
              <w:outlineLvl w:val="9"/>
              <w:rPr>
                <w:rFonts w:hint="eastAsia" w:ascii="仿宋" w:hAnsi="仿宋" w:eastAsia="仿宋" w:cs="仿宋"/>
                <w:bCs/>
                <w:color w:val="auto"/>
                <w:kern w:val="0"/>
                <w:szCs w:val="21"/>
                <w:highlight w:val="none"/>
              </w:rPr>
            </w:pPr>
            <w:r>
              <w:rPr>
                <w:rFonts w:hint="eastAsia" w:ascii="仿宋" w:hAnsi="仿宋" w:eastAsia="仿宋" w:cs="仿宋"/>
                <w:color w:val="auto"/>
                <w:kern w:val="1"/>
                <w:szCs w:val="21"/>
                <w:highlight w:val="none"/>
              </w:rPr>
              <w:t>投标文件的规范性</w:t>
            </w:r>
          </w:p>
        </w:tc>
        <w:tc>
          <w:tcPr>
            <w:tcW w:w="650" w:type="dxa"/>
            <w:noWrap w:val="0"/>
            <w:tcMar>
              <w:top w:w="20" w:type="dxa"/>
              <w:left w:w="20" w:type="dxa"/>
              <w:bottom w:w="0" w:type="dxa"/>
              <w:right w:w="20" w:type="dxa"/>
            </w:tcMar>
            <w:vAlign w:val="center"/>
          </w:tcPr>
          <w:p>
            <w:pPr>
              <w:shd w:val="clear" w:color="auto" w:fill="auto"/>
              <w:spacing w:line="320" w:lineRule="exact"/>
              <w:jc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2分</w:t>
            </w:r>
          </w:p>
        </w:tc>
        <w:tc>
          <w:tcPr>
            <w:tcW w:w="6668" w:type="dxa"/>
            <w:noWrap w:val="0"/>
            <w:tcMar>
              <w:top w:w="20" w:type="dxa"/>
              <w:left w:w="20" w:type="dxa"/>
              <w:bottom w:w="0" w:type="dxa"/>
              <w:right w:w="20" w:type="dxa"/>
            </w:tcMar>
            <w:vAlign w:val="center"/>
          </w:tcPr>
          <w:p>
            <w:pPr>
              <w:shd w:val="clear" w:color="auto" w:fill="auto"/>
              <w:spacing w:line="32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1.对投标文件制作是否规范、投标文件编制的内容是否完整、齐全、叙述是否严谨；标书是否有错页、漏页现象等的综合评审；</w:t>
            </w:r>
          </w:p>
          <w:p>
            <w:pPr>
              <w:shd w:val="clear" w:color="auto" w:fill="auto"/>
              <w:spacing w:line="32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2.若有一项细微偏差扣0.5分，直至该项分值扣完为止。</w:t>
            </w:r>
          </w:p>
        </w:tc>
      </w:tr>
    </w:tbl>
    <w:p>
      <w:pPr>
        <w:pStyle w:val="8"/>
        <w:rPr>
          <w:rFonts w:hint="eastAsia" w:ascii="仿宋" w:hAnsi="仿宋" w:eastAsia="仿宋" w:cs="仿宋"/>
          <w:color w:val="auto"/>
          <w:highlight w:val="none"/>
        </w:rPr>
      </w:pP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6、评标过程的保密性</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7、投标商在评标过程中，所进行的力图影响评标结果的不符合《招投标法》、《政府采购法》及本次招标中有关规定的活动，将被取消其中标资格。</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
          <w:bCs/>
          <w:color w:val="auto"/>
          <w:sz w:val="21"/>
          <w:szCs w:val="21"/>
          <w:highlight w:val="none"/>
        </w:rPr>
        <w:t>22澄清有关问题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 对投标文件中含义不明确、同类问题表述不一致或者有明显文字和计算错误的内容，评标委员会将以书面形式通知投标人做出必要的澄清、说明，但不得超出投标文件的范围或对投标文件做实质性的修改（计算错误修正除外）。评标委员会不接受投标人主动提出的澄清、说明。</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22.2投标人不得对下列内容</w:t>
      </w:r>
      <w:r>
        <w:rPr>
          <w:rFonts w:hint="eastAsia" w:ascii="仿宋" w:hAnsi="仿宋" w:eastAsia="仿宋" w:cs="仿宋"/>
          <w:bCs/>
          <w:color w:val="auto"/>
          <w:sz w:val="21"/>
          <w:szCs w:val="21"/>
          <w:highlight w:val="none"/>
        </w:rPr>
        <w:t>其进行澄清或补充：</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（1）开标时，</w:t>
      </w:r>
      <w:r>
        <w:rPr>
          <w:rFonts w:hint="eastAsia" w:ascii="仿宋" w:hAnsi="仿宋" w:eastAsia="仿宋" w:cs="仿宋"/>
          <w:bCs/>
          <w:color w:val="auto"/>
          <w:sz w:val="21"/>
          <w:szCs w:val="21"/>
          <w:highlight w:val="none"/>
        </w:rPr>
        <w:t>未宣读的投标价格、价格折扣和</w:t>
      </w:r>
      <w:r>
        <w:rPr>
          <w:rFonts w:hint="eastAsia" w:ascii="仿宋" w:hAnsi="仿宋" w:eastAsia="仿宋" w:cs="仿宋"/>
          <w:color w:val="auto"/>
          <w:sz w:val="21"/>
          <w:szCs w:val="21"/>
          <w:highlight w:val="none"/>
        </w:rPr>
        <w:t>第一章“投标须知”第16.3</w:t>
      </w:r>
      <w:r>
        <w:rPr>
          <w:rFonts w:hint="eastAsia" w:ascii="仿宋" w:hAnsi="仿宋" w:eastAsia="仿宋" w:cs="仿宋"/>
          <w:color w:val="auto"/>
          <w:kern w:val="0"/>
          <w:sz w:val="21"/>
          <w:szCs w:val="21"/>
          <w:highlight w:val="none"/>
          <w:lang w:val="zh-CN"/>
        </w:rPr>
        <w:t>款</w:t>
      </w:r>
      <w:r>
        <w:rPr>
          <w:rFonts w:hint="eastAsia" w:ascii="仿宋" w:hAnsi="仿宋" w:eastAsia="仿宋" w:cs="仿宋"/>
          <w:bCs/>
          <w:color w:val="auto"/>
          <w:sz w:val="21"/>
          <w:szCs w:val="21"/>
          <w:highlight w:val="none"/>
        </w:rPr>
        <w:t>允许提</w:t>
      </w:r>
      <w:r>
        <w:rPr>
          <w:rFonts w:hint="eastAsia" w:ascii="仿宋" w:hAnsi="仿宋" w:eastAsia="仿宋" w:cs="仿宋"/>
          <w:color w:val="auto"/>
          <w:sz w:val="21"/>
          <w:szCs w:val="21"/>
          <w:highlight w:val="none"/>
        </w:rPr>
        <w:t>交</w:t>
      </w:r>
      <w:r>
        <w:rPr>
          <w:rFonts w:hint="eastAsia" w:ascii="仿宋" w:hAnsi="仿宋" w:eastAsia="仿宋" w:cs="仿宋"/>
          <w:bCs/>
          <w:color w:val="auto"/>
          <w:sz w:val="21"/>
          <w:szCs w:val="21"/>
          <w:highlight w:val="none"/>
        </w:rPr>
        <w:t>的备选方案等实质性内容。</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（2）不满足第一章投标须知第10.2</w:t>
      </w:r>
      <w:r>
        <w:rPr>
          <w:rFonts w:hint="eastAsia" w:ascii="仿宋" w:hAnsi="仿宋" w:eastAsia="仿宋" w:cs="仿宋"/>
          <w:color w:val="auto"/>
          <w:kern w:val="0"/>
          <w:sz w:val="21"/>
          <w:szCs w:val="21"/>
          <w:highlight w:val="none"/>
          <w:lang w:val="zh-CN"/>
        </w:rPr>
        <w:t>款</w:t>
      </w:r>
      <w:r>
        <w:rPr>
          <w:rFonts w:hint="eastAsia" w:ascii="仿宋" w:hAnsi="仿宋" w:eastAsia="仿宋" w:cs="仿宋"/>
          <w:bCs/>
          <w:color w:val="auto"/>
          <w:sz w:val="21"/>
          <w:szCs w:val="21"/>
          <w:highlight w:val="none"/>
        </w:rPr>
        <w:t>规定的</w:t>
      </w:r>
      <w:r>
        <w:rPr>
          <w:rFonts w:hint="eastAsia" w:ascii="仿宋" w:hAnsi="仿宋" w:eastAsia="仿宋" w:cs="仿宋"/>
          <w:color w:val="auto"/>
          <w:sz w:val="21"/>
          <w:szCs w:val="21"/>
          <w:highlight w:val="none"/>
        </w:rPr>
        <w:t>实质性要求的</w:t>
      </w:r>
      <w:r>
        <w:rPr>
          <w:rFonts w:hint="eastAsia" w:ascii="仿宋" w:hAnsi="仿宋" w:eastAsia="仿宋" w:cs="仿宋"/>
          <w:bCs/>
          <w:color w:val="auto"/>
          <w:sz w:val="21"/>
          <w:szCs w:val="21"/>
          <w:highlight w:val="none"/>
        </w:rPr>
        <w:t>投标文件内容</w:t>
      </w:r>
      <w:r>
        <w:rPr>
          <w:rFonts w:hint="eastAsia" w:ascii="仿宋" w:hAnsi="仿宋" w:eastAsia="仿宋" w:cs="仿宋"/>
          <w:color w:val="auto"/>
          <w:sz w:val="21"/>
          <w:szCs w:val="21"/>
          <w:highlight w:val="none"/>
        </w:rPr>
        <w:t>，</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22.3 计算错误将按以下方法修正：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投标人拒绝接受上述修正，在评标时将其视为无效投标。</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22.4 投标人的澄清、说明或者补正应该采用书面形式，由法定代表人或其授权的代理人签字，并按评标委员会的通知要求递交。</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22.5 有效的书面澄清材料，是投标文件的补充材料，成为投标文件的组成部分。</w:t>
      </w:r>
    </w:p>
    <w:p>
      <w:pPr>
        <w:keepNext w:val="0"/>
        <w:keepLines w:val="0"/>
        <w:pageBreakBefore w:val="0"/>
        <w:widowControl/>
        <w:kinsoku/>
        <w:wordWrap/>
        <w:overflowPunct/>
        <w:topLinePunct w:val="0"/>
        <w:bidi w:val="0"/>
        <w:adjustRightInd w:val="0"/>
        <w:snapToGrid w:val="0"/>
        <w:spacing w:beforeAutospacing="0" w:line="440" w:lineRule="exact"/>
        <w:ind w:left="0" w:leftChars="0" w:right="0" w:rightChars="0" w:firstLine="0" w:firstLineChars="0"/>
        <w:jc w:val="left"/>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23 推荐中标候选人名单</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23.1</w:t>
      </w:r>
      <w:r>
        <w:rPr>
          <w:rFonts w:hint="eastAsia" w:ascii="仿宋" w:hAnsi="仿宋" w:eastAsia="仿宋" w:cs="仿宋"/>
          <w:bCs/>
          <w:color w:val="auto"/>
          <w:sz w:val="21"/>
          <w:szCs w:val="21"/>
          <w:highlight w:val="none"/>
        </w:rPr>
        <w:t>按评审后得分由高到低顺序排列。得分相同的，按投标报价由低到高顺序排列。得分且投标报价相同的，按技术指标优劣顺序排列。</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Cs/>
          <w:color w:val="auto"/>
          <w:sz w:val="21"/>
          <w:szCs w:val="21"/>
          <w:highlight w:val="none"/>
        </w:rPr>
        <w:t>23.2</w:t>
      </w:r>
      <w:r>
        <w:rPr>
          <w:rFonts w:hint="eastAsia" w:ascii="仿宋" w:hAnsi="仿宋" w:eastAsia="仿宋" w:cs="仿宋"/>
          <w:color w:val="auto"/>
          <w:sz w:val="21"/>
          <w:szCs w:val="21"/>
          <w:highlight w:val="none"/>
        </w:rPr>
        <w:t>中标候选人数量为1-3名，本次招标采购推荐的中标候选人数量见</w:t>
      </w:r>
      <w:r>
        <w:rPr>
          <w:rFonts w:hint="eastAsia" w:ascii="仿宋" w:hAnsi="仿宋" w:eastAsia="仿宋" w:cs="仿宋"/>
          <w:b/>
          <w:color w:val="auto"/>
          <w:sz w:val="21"/>
          <w:szCs w:val="21"/>
          <w:highlight w:val="none"/>
        </w:rPr>
        <w:t>投标人须知前附表。</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24 编写评标报告</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24.1评标委员会根据全体评标成员签字的原始评标记录和评标结果编写评标报告</w:t>
      </w:r>
    </w:p>
    <w:p>
      <w:pPr>
        <w:keepNext w:val="0"/>
        <w:keepLines w:val="0"/>
        <w:pageBreakBefore w:val="0"/>
        <w:tabs>
          <w:tab w:val="left" w:pos="0"/>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九、合同授予</w:t>
      </w:r>
    </w:p>
    <w:p>
      <w:pPr>
        <w:keepNext w:val="0"/>
        <w:keepLines w:val="0"/>
        <w:pageBreakBefore w:val="0"/>
        <w:tabs>
          <w:tab w:val="left" w:pos="8820"/>
          <w:tab w:val="left" w:pos="9345"/>
          <w:tab w:val="left" w:pos="9765"/>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1.</w:t>
      </w:r>
      <w:r>
        <w:rPr>
          <w:rFonts w:hint="eastAsia" w:ascii="仿宋" w:hAnsi="仿宋" w:eastAsia="仿宋" w:cs="仿宋"/>
          <w:b/>
          <w:bCs/>
          <w:color w:val="auto"/>
          <w:sz w:val="21"/>
          <w:szCs w:val="21"/>
          <w:highlight w:val="none"/>
        </w:rPr>
        <w:t>定义</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1.1合同当事人</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（1）采购人(以下称甲方)是指使用财政性资金，通过政府采购程序向供应商购买货物、服务的国家机关、事业单位、团体组织。本次采购的甲方名称、地址见</w:t>
      </w:r>
      <w:r>
        <w:rPr>
          <w:rFonts w:hint="eastAsia" w:ascii="仿宋" w:hAnsi="仿宋" w:eastAsia="仿宋" w:cs="仿宋"/>
          <w:b/>
          <w:color w:val="auto"/>
          <w:sz w:val="21"/>
          <w:szCs w:val="21"/>
          <w:highlight w:val="none"/>
        </w:rPr>
        <w:t>投标人须知前附表。</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（2）供应商(以下称乙方)是指参加政府采购活动而取得中标或</w:t>
      </w:r>
      <w:r>
        <w:rPr>
          <w:rFonts w:hint="eastAsia" w:ascii="仿宋" w:hAnsi="仿宋" w:eastAsia="仿宋" w:cs="仿宋"/>
          <w:color w:val="auto"/>
          <w:sz w:val="21"/>
          <w:szCs w:val="21"/>
          <w:highlight w:val="none"/>
          <w:lang w:eastAsia="zh-CN"/>
        </w:rPr>
        <w:t>中标</w:t>
      </w:r>
      <w:r>
        <w:rPr>
          <w:rFonts w:hint="eastAsia" w:ascii="仿宋" w:hAnsi="仿宋" w:eastAsia="仿宋" w:cs="仿宋"/>
          <w:color w:val="auto"/>
          <w:sz w:val="21"/>
          <w:szCs w:val="21"/>
          <w:highlight w:val="none"/>
        </w:rPr>
        <w:t>结果，并向采购人提供货物、服务的法人、其他组织或者自然人。</w:t>
      </w:r>
    </w:p>
    <w:p>
      <w:pPr>
        <w:keepNext w:val="0"/>
        <w:keepLines w:val="0"/>
        <w:pageBreakBefore w:val="0"/>
        <w:tabs>
          <w:tab w:val="left" w:pos="570"/>
          <w:tab w:val="left" w:pos="9240"/>
          <w:tab w:val="left" w:pos="9555"/>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1.2本合同下列术语应解释为：</w:t>
      </w:r>
    </w:p>
    <w:p>
      <w:pPr>
        <w:keepNext w:val="0"/>
        <w:keepLines w:val="0"/>
        <w:pageBreakBefore w:val="0"/>
        <w:tabs>
          <w:tab w:val="left" w:pos="570"/>
          <w:tab w:val="left" w:pos="9240"/>
          <w:tab w:val="left" w:pos="9555"/>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（1）“合同”系指甲乙双方签署的、政府采购合同协议书中载明的甲乙双方所达成的协议，包括所有的附件、附录和上述文件所提到的构成合同的所有文件。</w:t>
      </w:r>
    </w:p>
    <w:p>
      <w:pPr>
        <w:keepNext w:val="0"/>
        <w:keepLines w:val="0"/>
        <w:pageBreakBefore w:val="0"/>
        <w:tabs>
          <w:tab w:val="left" w:pos="570"/>
          <w:tab w:val="left" w:pos="9240"/>
          <w:tab w:val="left" w:pos="9555"/>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（2）“合同价”系指根据本合同规定乙方在正确地完全履行合同义务后甲方应支付给乙方的价款。</w:t>
      </w:r>
    </w:p>
    <w:p>
      <w:pPr>
        <w:keepNext w:val="0"/>
        <w:keepLines w:val="0"/>
        <w:pageBreakBefore w:val="0"/>
        <w:tabs>
          <w:tab w:val="left" w:pos="570"/>
          <w:tab w:val="left" w:pos="9240"/>
          <w:tab w:val="left" w:pos="9555"/>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（3）“货物”系指乙方根据本合同规定须向甲方提供的各种形态和种类的物品，包括原材料、设备、产品(包括软件)及相关的其备品备件、工具、手册及其他技术资料和材料。</w:t>
      </w:r>
    </w:p>
    <w:p>
      <w:pPr>
        <w:keepNext w:val="0"/>
        <w:keepLines w:val="0"/>
        <w:pageBreakBefore w:val="0"/>
        <w:tabs>
          <w:tab w:val="left" w:pos="570"/>
          <w:tab w:val="left" w:pos="8880"/>
          <w:tab w:val="left" w:pos="9555"/>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（4）“伴随服务”系指根据本合同规定乙方承担与供货有关的辅助服务，如运输、保</w:t>
      </w:r>
      <w:r>
        <w:rPr>
          <w:rFonts w:hint="eastAsia" w:ascii="仿宋" w:hAnsi="仿宋" w:eastAsia="仿宋" w:cs="仿宋"/>
          <w:color w:val="auto"/>
          <w:spacing w:val="2"/>
          <w:sz w:val="21"/>
          <w:szCs w:val="21"/>
          <w:highlight w:val="none"/>
        </w:rPr>
        <w:t>险以及其他的伴随服务，例如安装、调试、提供技术</w:t>
      </w:r>
      <w:r>
        <w:rPr>
          <w:rFonts w:hint="eastAsia" w:ascii="仿宋" w:hAnsi="仿宋" w:eastAsia="仿宋" w:cs="仿宋"/>
          <w:color w:val="auto"/>
          <w:sz w:val="21"/>
          <w:szCs w:val="21"/>
          <w:highlight w:val="none"/>
        </w:rPr>
        <w:t>协</w:t>
      </w:r>
      <w:r>
        <w:rPr>
          <w:rFonts w:hint="eastAsia" w:ascii="仿宋" w:hAnsi="仿宋" w:eastAsia="仿宋" w:cs="仿宋"/>
          <w:color w:val="auto"/>
          <w:spacing w:val="2"/>
          <w:sz w:val="21"/>
          <w:szCs w:val="21"/>
          <w:highlight w:val="none"/>
        </w:rPr>
        <w:t>助、培训和合同中规定</w:t>
      </w:r>
      <w:r>
        <w:rPr>
          <w:rFonts w:hint="eastAsia" w:ascii="仿宋" w:hAnsi="仿宋" w:eastAsia="仿宋" w:cs="仿宋"/>
          <w:color w:val="auto"/>
          <w:sz w:val="21"/>
          <w:szCs w:val="21"/>
          <w:highlight w:val="none"/>
        </w:rPr>
        <w:t>乙方应承担的其他义务。</w:t>
      </w:r>
    </w:p>
    <w:p>
      <w:pPr>
        <w:keepNext w:val="0"/>
        <w:keepLines w:val="0"/>
        <w:pageBreakBefore w:val="0"/>
        <w:tabs>
          <w:tab w:val="left" w:pos="570"/>
          <w:tab w:val="left" w:pos="9240"/>
          <w:tab w:val="left" w:pos="9555"/>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（5）“合同条款”系指本合同条款。</w:t>
      </w:r>
    </w:p>
    <w:p>
      <w:pPr>
        <w:keepNext w:val="0"/>
        <w:keepLines w:val="0"/>
        <w:pageBreakBefore w:val="0"/>
        <w:tabs>
          <w:tab w:val="left" w:pos="570"/>
          <w:tab w:val="left" w:pos="9240"/>
          <w:tab w:val="left" w:pos="9555"/>
        </w:tabs>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（6）“项目现场”系指本合同项下货物安装、运行的现场，其名称在</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指明。</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2.合同的适用范围</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 本合同条款适用于没有被本合同其他部分的条款所取代的范围。</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 合同内容根据招标文件、投标文件而确定。</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w:t>
      </w:r>
      <w:r>
        <w:rPr>
          <w:rFonts w:hint="eastAsia" w:ascii="仿宋" w:hAnsi="仿宋" w:eastAsia="仿宋" w:cs="仿宋"/>
          <w:b/>
          <w:color w:val="auto"/>
          <w:sz w:val="21"/>
          <w:szCs w:val="21"/>
          <w:highlight w:val="none"/>
        </w:rPr>
        <w:t>合同标的及金额</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 合同标的及金额应与中标或</w:t>
      </w:r>
      <w:r>
        <w:rPr>
          <w:rFonts w:hint="eastAsia" w:ascii="仿宋" w:hAnsi="仿宋" w:eastAsia="仿宋" w:cs="仿宋"/>
          <w:color w:val="auto"/>
          <w:sz w:val="21"/>
          <w:szCs w:val="21"/>
          <w:highlight w:val="none"/>
          <w:lang w:eastAsia="zh-CN"/>
        </w:rPr>
        <w:t>中标</w:t>
      </w:r>
      <w:r>
        <w:rPr>
          <w:rFonts w:hint="eastAsia" w:ascii="仿宋" w:hAnsi="仿宋" w:eastAsia="仿宋" w:cs="仿宋"/>
          <w:color w:val="auto"/>
          <w:sz w:val="21"/>
          <w:szCs w:val="21"/>
          <w:highlight w:val="none"/>
        </w:rPr>
        <w:t>结果一致。</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4.</w:t>
      </w:r>
      <w:r>
        <w:rPr>
          <w:rFonts w:hint="eastAsia" w:ascii="仿宋" w:hAnsi="仿宋" w:eastAsia="仿宋" w:cs="仿宋"/>
          <w:b/>
          <w:color w:val="auto"/>
          <w:sz w:val="21"/>
          <w:szCs w:val="21"/>
          <w:highlight w:val="none"/>
        </w:rPr>
        <w:t>合同价款</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i/>
          <w:iCs/>
          <w:color w:val="auto"/>
          <w:sz w:val="21"/>
          <w:szCs w:val="21"/>
          <w:highlight w:val="none"/>
        </w:rPr>
      </w:pPr>
      <w:r>
        <w:rPr>
          <w:rFonts w:hint="eastAsia" w:ascii="仿宋" w:hAnsi="仿宋" w:eastAsia="仿宋" w:cs="仿宋"/>
          <w:color w:val="auto"/>
          <w:sz w:val="21"/>
          <w:szCs w:val="21"/>
          <w:highlight w:val="none"/>
        </w:rPr>
        <w:t>4.1具体合同价款见本合同第3.1条。乙方为履行本合同而发生的所有费用均应包含在合同价款中</w:t>
      </w:r>
      <w:r>
        <w:rPr>
          <w:rFonts w:hint="eastAsia" w:ascii="仿宋" w:hAnsi="仿宋" w:eastAsia="仿宋" w:cs="仿宋"/>
          <w:b/>
          <w:color w:val="auto"/>
          <w:sz w:val="21"/>
          <w:szCs w:val="21"/>
          <w:highlight w:val="none"/>
        </w:rPr>
        <w:t>(固定总价合同)</w:t>
      </w:r>
      <w:r>
        <w:rPr>
          <w:rFonts w:hint="eastAsia" w:ascii="仿宋" w:hAnsi="仿宋" w:eastAsia="仿宋" w:cs="仿宋"/>
          <w:color w:val="auto"/>
          <w:sz w:val="21"/>
          <w:szCs w:val="21"/>
          <w:highlight w:val="none"/>
        </w:rPr>
        <w:t>，甲方不再另行支付其他任何费用。</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5.履行合同的时间、地点和方式</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 乙方应当在甲方确定的时间、指定的地点履行合同，具体的交货时间、地点和方式见</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 乙方提供服务的应当在甲方指定的地点完成服务项目。</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6.</w:t>
      </w:r>
      <w:r>
        <w:rPr>
          <w:rFonts w:hint="eastAsia" w:ascii="仿宋" w:hAnsi="仿宋" w:eastAsia="仿宋" w:cs="仿宋"/>
          <w:b/>
          <w:color w:val="auto"/>
          <w:sz w:val="21"/>
          <w:szCs w:val="21"/>
          <w:highlight w:val="none"/>
        </w:rPr>
        <w:t>货物的验收</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 甲方在收到乙方交付的货物后应当及时组织验收。</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6.2 货物的表面瑕疵，甲方应在验收时当面提出；对质量问题有异议的应在安装调试后十个工作日内提出。</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 在验收过程中发现数量不足或有质量、技术等问题，乙方应负责按照甲方的要求采取补足、更换或退货等处理措施，并承担由此发生的一切费用和损失。</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6.4 甲方在乙方按合同规定交货或安装、调试后，无正当理由而拖延接收、验收或拒绝接收、验收的，应承担因此给乙方造成的直接损失。</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6.5 甲方对货物进行检查验收合格后，应当收取发票并在《交货验收单》上签署验收意见及加盖单位印章。</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6.6 大型或者复杂的货物采购项目，甲方可以邀请国家认可的质量检测机构参加验收工作，并由其出具验收报告单。</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6.7 乙方提供的进口产品，乙方应出示中华人民共和国进出口商品检验部门出具的检验证书（招标文件第三章“采购需求”另有约定的除外）。</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6.8</w:t>
      </w:r>
      <w:r>
        <w:rPr>
          <w:rFonts w:hint="eastAsia" w:ascii="仿宋" w:hAnsi="仿宋" w:eastAsia="仿宋" w:cs="仿宋"/>
          <w:color w:val="auto"/>
          <w:kern w:val="0"/>
          <w:sz w:val="21"/>
          <w:szCs w:val="21"/>
          <w:highlight w:val="none"/>
        </w:rPr>
        <w:t>政府采购当事人在合同履约和验收工作中，应当自觉接受财政部门和对政府采购负有行政监督职责的政府其他有关部门的监督检查,</w:t>
      </w:r>
      <w:r>
        <w:rPr>
          <w:rFonts w:hint="eastAsia" w:ascii="仿宋" w:hAnsi="仿宋" w:eastAsia="仿宋" w:cs="仿宋"/>
          <w:color w:val="auto"/>
          <w:sz w:val="21"/>
          <w:szCs w:val="21"/>
          <w:highlight w:val="none"/>
        </w:rPr>
        <w:t>在合同履约验收工作中合同当事人有下列情形的，将追究相关违法、违纪责任：</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（1）甲方无正当理由推迟项目验收时间的；</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（2）甲乙双方相互串通通过减少货物数量、调换物品、更改配置、降低服务标准或虚开发票等手段，套取财政资金的；</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kern w:val="0"/>
          <w:sz w:val="21"/>
          <w:szCs w:val="21"/>
          <w:highlight w:val="none"/>
        </w:rPr>
        <w:t>发现问题未向财政部门反映，私自与对方协商改变中标、</w:t>
      </w:r>
      <w:r>
        <w:rPr>
          <w:rFonts w:hint="eastAsia" w:ascii="仿宋" w:hAnsi="仿宋" w:eastAsia="仿宋" w:cs="仿宋"/>
          <w:color w:val="auto"/>
          <w:kern w:val="0"/>
          <w:sz w:val="21"/>
          <w:szCs w:val="21"/>
          <w:highlight w:val="none"/>
          <w:lang w:eastAsia="zh-CN"/>
        </w:rPr>
        <w:t>中标</w:t>
      </w:r>
      <w:r>
        <w:rPr>
          <w:rFonts w:hint="eastAsia" w:ascii="仿宋" w:hAnsi="仿宋" w:eastAsia="仿宋" w:cs="仿宋"/>
          <w:color w:val="auto"/>
          <w:kern w:val="0"/>
          <w:sz w:val="21"/>
          <w:szCs w:val="21"/>
          <w:highlight w:val="none"/>
        </w:rPr>
        <w:t>结果的；</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（4）行贿、受贿或谋取不正当利益的；</w:t>
      </w:r>
    </w:p>
    <w:p>
      <w:pPr>
        <w:keepNext w:val="0"/>
        <w:keepLines w:val="0"/>
        <w:pageBreakBefore w:val="0"/>
        <w:kinsoku/>
        <w:wordWrap/>
        <w:overflowPunct/>
        <w:topLinePunct w:val="0"/>
        <w:bidi w:val="0"/>
        <w:spacing w:beforeAutospacing="0" w:line="440" w:lineRule="exact"/>
        <w:ind w:left="0" w:leftChars="0" w:right="0" w:rightChars="0" w:firstLine="0" w:firstLineChars="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（5）拒绝有关部门依法实施监督检查的。</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7.货物包装要求</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 每一个包装箱内应附一份详细装箱单、质量证书和保修保养证书。</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outlineLvl w:val="9"/>
        <w:rPr>
          <w:rFonts w:hint="eastAsia" w:ascii="仿宋" w:hAnsi="仿宋" w:eastAsia="仿宋" w:cs="仿宋"/>
          <w:bCs w:val="0"/>
          <w:color w:val="auto"/>
          <w:sz w:val="21"/>
          <w:szCs w:val="21"/>
          <w:highlight w:val="none"/>
        </w:rPr>
      </w:pPr>
      <w:r>
        <w:rPr>
          <w:rFonts w:hint="eastAsia" w:ascii="仿宋" w:hAnsi="仿宋" w:eastAsia="仿宋" w:cs="仿宋"/>
          <w:bCs w:val="0"/>
          <w:color w:val="auto"/>
          <w:sz w:val="21"/>
          <w:szCs w:val="21"/>
          <w:highlight w:val="none"/>
        </w:rPr>
        <w:t>8.</w:t>
      </w:r>
      <w:r>
        <w:rPr>
          <w:rFonts w:hint="eastAsia" w:ascii="仿宋" w:hAnsi="仿宋" w:eastAsia="仿宋" w:cs="仿宋"/>
          <w:color w:val="auto"/>
          <w:sz w:val="21"/>
          <w:szCs w:val="21"/>
          <w:highlight w:val="none"/>
        </w:rPr>
        <w:t>运输和保险</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8.1乙方负责办理将货物运抵本合同第5.1条规定的交货地点的一切运输事项，相关费用应包括在合同总价中。</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8.2乙方应向保险公司投保以甲方为受益人的发运合同货物发票金额的110％运输一切险。</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9.质量标准和保证</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9.1 质量标准</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（1）本合同下交付的货物应符合第三章“采购需求”所述的标准。如果没有提及适用标准，则应符合中华人民共和国有关机构发布的最新版本的标准。</w:t>
      </w:r>
    </w:p>
    <w:p>
      <w:pPr>
        <w:pStyle w:val="12"/>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（2）采用中华人民共和国法定计量单位。</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（3）乙方所出售的货物还应符合国家有关安全、环保、卫生之规定。</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9.2 保证</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规定或乙方承诺（两者以较长的为准）的质量保证期内，本保证保持有效。</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（2）在质量保证期内所发现的缺陷，甲方应尽快以书面形式通知乙方。</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（3）乙方收到通知后应在</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规定的响应时间内以合理的速度免费维修或更换有缺陷的货物或部件。</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（5）乙方在约定的时间内未能弥补缺陷，甲方可采取必要的补救措施，但其风险和费用将由乙方承担，甲方根据合同规定对乙方行使的其他权利不受影响。</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10.权利瑕疵担保</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10.1 乙方保证对其出售的货物享有合法的权利。</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 乙方保证在其出售的货物上不存在任何未曾向甲方透露的担保物权，如抵押权、质押权、留置权等。</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10.3 如甲方使用该货物构成上述侵权的，则由乙方承担全部责任。</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11.知识产权保护</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 乙方对其所销售的货物应当享有知识产权或经权利人合法授权，保证没有侵犯任何第三人的知识产权和商业秘密等权利。</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 甲方使用乙方提供的货物对第三人构成侵权的，应当由乙方承担全部法律责任，给甲方造成损害的，乙方应当承担赔偿责任。</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 甲方委托乙方开发的产品，甲方享有知识产权，未经甲方许可不得转让任何第三人。</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12.保密义务</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 甲、乙双方在采购和履行合同过程中所获悉的对方属于保密的内容，双方均有保密义务。</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13.合同价款支付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13.1验收合格后，乙方出具正规发票给甲方，凭甲方开具的《政府采购合同验收报告单》办理合同价</w:t>
      </w:r>
      <w:r>
        <w:rPr>
          <w:rFonts w:hint="eastAsia" w:ascii="仿宋" w:hAnsi="仿宋" w:eastAsia="仿宋" w:cs="仿宋"/>
          <w:bCs/>
          <w:color w:val="auto"/>
          <w:sz w:val="21"/>
          <w:szCs w:val="21"/>
          <w:highlight w:val="none"/>
        </w:rPr>
        <w:t>款</w:t>
      </w:r>
      <w:r>
        <w:rPr>
          <w:rFonts w:hint="eastAsia" w:ascii="仿宋" w:hAnsi="仿宋" w:eastAsia="仿宋" w:cs="仿宋"/>
          <w:color w:val="auto"/>
          <w:sz w:val="21"/>
          <w:szCs w:val="21"/>
          <w:highlight w:val="none"/>
        </w:rPr>
        <w:t>结算手续。</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 合同价款构成中应当由财政支付的部分，甲方应当在货物验收合格后的十五个工作日内向国库管理部门申请支付，经国库管理部门审核后直接支付给乙方。</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 合同价款构成中应当由甲方自行支付的部分，甲方应当在货物验收合格后十五个工作内支付。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13.4支付合同价</w:t>
      </w:r>
      <w:r>
        <w:rPr>
          <w:rFonts w:hint="eastAsia" w:ascii="仿宋" w:hAnsi="仿宋" w:eastAsia="仿宋" w:cs="仿宋"/>
          <w:bCs/>
          <w:color w:val="auto"/>
          <w:sz w:val="21"/>
          <w:szCs w:val="21"/>
          <w:highlight w:val="none"/>
        </w:rPr>
        <w:t>款</w:t>
      </w:r>
      <w:r>
        <w:rPr>
          <w:rFonts w:hint="eastAsia" w:ascii="仿宋" w:hAnsi="仿宋" w:eastAsia="仿宋" w:cs="仿宋"/>
          <w:color w:val="auto"/>
          <w:sz w:val="21"/>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13.5 合同价款支付方式</w:t>
      </w:r>
      <w:r>
        <w:rPr>
          <w:rFonts w:hint="eastAsia" w:ascii="仿宋" w:hAnsi="仿宋" w:eastAsia="仿宋" w:cs="仿宋"/>
          <w:bCs/>
          <w:color w:val="auto"/>
          <w:sz w:val="21"/>
          <w:szCs w:val="21"/>
          <w:highlight w:val="none"/>
        </w:rPr>
        <w:t>和条件在</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中另有规定。</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bCs/>
          <w:color w:val="auto"/>
          <w:sz w:val="21"/>
          <w:szCs w:val="21"/>
          <w:highlight w:val="none"/>
        </w:rPr>
        <w:t>14.</w:t>
      </w:r>
      <w:r>
        <w:rPr>
          <w:rFonts w:hint="eastAsia" w:ascii="仿宋" w:hAnsi="仿宋" w:eastAsia="仿宋" w:cs="仿宋"/>
          <w:b/>
          <w:color w:val="auto"/>
          <w:sz w:val="21"/>
          <w:szCs w:val="21"/>
          <w:highlight w:val="none"/>
        </w:rPr>
        <w:t>伴随服务</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 乙方应向甲方提交所提供货物的技术文件，包括相应的中文技术文件，如：产品目录、图纸、操作手册、使用说明、维护手册或服务指南。这些文件应包装好随同货物一起发运。</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 乙方还应提供下列服务：</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（1）货物的现场移动、安装、调试、启动监督及技术支持；</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（2）提供货物组装和维修所需的专用工具和辅助材料；</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（3）在合同各方商定的一定期限内对所有的货物实施运行监督、维修，但前提条件是该服务并不能免除乙方在质量保证期内所承担的义务；</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（4）在制造商或项目现场就货物的安装、启动、运营、维护对甲方操作人员进行培训。</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与第三章“采购需求”规定的其他伴随服务</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 乙方提供的伴随服务的费用应包含在合同价款中，甲方不再另行支付。</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15.违约责任</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15.1质量瑕疵的补救措施和索赔</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①乙方同意退货并将货款退还给甲方，由此发生的一切费用和损失由乙方承担。</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②根据货物的质量状况以及甲方所遭受的损失，经过甲乙双方商定降低货物的价格。</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15.2 迟延交货的违约责任</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（2）除本合同</w:t>
      </w:r>
      <w:r>
        <w:rPr>
          <w:rFonts w:hint="eastAsia" w:ascii="仿宋" w:hAnsi="仿宋" w:eastAsia="仿宋" w:cs="仿宋"/>
          <w:bCs/>
          <w:color w:val="auto"/>
          <w:sz w:val="21"/>
          <w:szCs w:val="21"/>
          <w:highlight w:val="none"/>
        </w:rPr>
        <w:t>第20条</w:t>
      </w:r>
      <w:r>
        <w:rPr>
          <w:rFonts w:hint="eastAsia" w:ascii="仿宋" w:hAnsi="仿宋" w:eastAsia="仿宋" w:cs="仿宋"/>
          <w:color w:val="auto"/>
          <w:sz w:val="21"/>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16.合同的变更</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 在合同履行过程中，甲、乙双方可就合同履行的时间、地点和方式等协商进行变更。协商一致后，双方应签订书面的补充协议。</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16.2 在不改变合同其他条款的前提下，甲方有权在合同价款百分之十的范围内追加与合同标的相同的货物或服务，并就此与乙方签订补充合同，乙方不得拒绝。</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16.3 除双方签署书面协议，并成为合同不可分割的一部分外，本合同条件不得有任何变更。</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17.合同中止与终止</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17.1合同的中止</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（1）合同在履行过程中，因采购计划调整，甲方可以要求中止履行，待计划确定后继续履行；</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（2）合同履行过程中因供应商就采购过程或结果提起投诉的，甲方认为有必要或财政部门责令中止的，应当中止合同的履行。</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17.2合同的终止</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（1）合同因有效期限届满而终止；</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（2）乙方未能依照本合同约定条件履行合同，已构成根本性违约的，甲方有权终止本合同，并追究乙方的违约责任。</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（3）如果乙方丧失履约能力或被宣告破产，甲方可在任何时候以书面形式通知乙方终止合同而不给乙方补偿。</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（4）如果乙方在履行合同过程中有不正当竞争行为，甲方有权解除合同，并按《中华人民共和国反不正当竞争法》规定由有关部门追究其法律责任。</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（5）如果合同的履行将损害国家利益或社会公共利益，甲方有权终止合同的履行，给乙方造成损失的予以相应补偿。</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18.合同转让和分包</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18.1 乙方不得以任何形式将合同约定的乙方义务转包。</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18.2 乙方未在投标文件中说明，不得将</w:t>
      </w:r>
      <w:r>
        <w:rPr>
          <w:rFonts w:hint="eastAsia" w:ascii="仿宋" w:hAnsi="仿宋" w:eastAsia="仿宋" w:cs="仿宋"/>
          <w:bCs/>
          <w:color w:val="auto"/>
          <w:sz w:val="21"/>
          <w:szCs w:val="21"/>
          <w:highlight w:val="none"/>
        </w:rPr>
        <w:t>合同约定的乙方义务</w:t>
      </w:r>
      <w:r>
        <w:rPr>
          <w:rFonts w:hint="eastAsia" w:ascii="仿宋" w:hAnsi="仿宋" w:eastAsia="仿宋" w:cs="仿宋"/>
          <w:color w:val="auto"/>
          <w:sz w:val="21"/>
          <w:szCs w:val="21"/>
          <w:highlight w:val="none"/>
        </w:rPr>
        <w:t>分包给他人。</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18.3 根据政府采购</w:t>
      </w:r>
      <w:r>
        <w:rPr>
          <w:rFonts w:hint="eastAsia" w:ascii="仿宋" w:hAnsi="仿宋" w:eastAsia="仿宋" w:cs="仿宋"/>
          <w:bCs/>
          <w:color w:val="auto"/>
          <w:kern w:val="0"/>
          <w:sz w:val="21"/>
          <w:szCs w:val="21"/>
          <w:highlight w:val="none"/>
        </w:rPr>
        <w:t>支持</w:t>
      </w:r>
      <w:r>
        <w:rPr>
          <w:rFonts w:hint="eastAsia" w:ascii="仿宋" w:hAnsi="仿宋" w:eastAsia="仿宋" w:cs="仿宋"/>
          <w:color w:val="auto"/>
          <w:sz w:val="21"/>
          <w:szCs w:val="21"/>
          <w:highlight w:val="none"/>
        </w:rPr>
        <w:t>中小企业发展政策规定，经甲方同意，获得政府采购合同的大型企业可依法向中小企业分包。</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19.供应商的广告或宣传</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19.1 未经甲方事先书面许可，乙方不得以履行本政府采购合同为由，以广告或其他形式宣称其是政府采购指定供应商或其产品是政府采购指定产品。</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20.不可抗力</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20.1 不可抗力是指合同双方不可预见、不可避免、不可克服的自然灾害和社会事件。</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 任何一方对由于不可抗力造成的部分或全部不能履行合同不承担违约责任。但迟延履行后发生不可抗力的，不能免除责任。</w:t>
      </w:r>
    </w:p>
    <w:p>
      <w:pPr>
        <w:pStyle w:val="35"/>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jc w:val="center"/>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20.3 遇有不可抗力的一方，应在三日内将事件的情况以书面形式通知另一方，并在事件发生后十日内，向另一方提交合同不能履行或部分不能履行或需要延期履行理由的报告。</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21.解决争议的方法</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 合同各方应通过友好协商，解决在执行合同过程中所发生的或与合同有关的一切争端。如从协商开始后十日内仍不能解决，可以向财政部门提请调解。</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21.2 调解不成可以按</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中规定下列方式之一提起仲裁或诉讼：</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（1）向甲方所在地仲裁机构提起仲裁；</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（2）向甲方所在地人民法院提起诉讼。</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21.3 如仲裁或诉讼事项不影响合同其他部分的履行，则在仲裁或诉讼期间，除正在进行仲裁或诉讼的部分外，合同的其他部分应继续执行。</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22.法律适用</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 本合同适用中华人民共和国现行法律、行政法规和规章，如合同条款与法律、行政法规和规章不一致的，按照法律、行政法规和规章修改本合同。</w:t>
      </w:r>
    </w:p>
    <w:p>
      <w:pPr>
        <w:keepNext w:val="0"/>
        <w:keepLines w:val="0"/>
        <w:pageBreakBefore w:val="0"/>
        <w:kinsoku/>
        <w:wordWrap/>
        <w:overflowPunct/>
        <w:topLinePunct w:val="0"/>
        <w:autoSpaceDE w:val="0"/>
        <w:autoSpaceDN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bCs/>
          <w:color w:val="auto"/>
          <w:sz w:val="21"/>
          <w:szCs w:val="21"/>
          <w:highlight w:val="none"/>
        </w:rPr>
        <w:t>23.</w:t>
      </w:r>
      <w:r>
        <w:rPr>
          <w:rFonts w:hint="eastAsia" w:ascii="仿宋" w:hAnsi="仿宋" w:eastAsia="仿宋" w:cs="仿宋"/>
          <w:b/>
          <w:color w:val="auto"/>
          <w:sz w:val="21"/>
          <w:szCs w:val="21"/>
          <w:highlight w:val="none"/>
        </w:rPr>
        <w:t>通知</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23.1本合同一方给另一方的通知均应采用书面形式，传真或快递送到本合同中规定的对方的地址和办理签收手续，</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23.2通知以送到之日或通知书中规定的生效之日起生效，两者中以较迟之日为准。</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24.合同未尽事项</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Cs/>
          <w:color w:val="auto"/>
          <w:sz w:val="21"/>
          <w:szCs w:val="21"/>
          <w:highlight w:val="none"/>
        </w:rPr>
        <w:t>24.1合同未尽事项见</w:t>
      </w:r>
      <w:r>
        <w:rPr>
          <w:rFonts w:hint="eastAsia" w:ascii="仿宋" w:hAnsi="仿宋" w:eastAsia="仿宋" w:cs="仿宋"/>
          <w:b/>
          <w:color w:val="auto"/>
          <w:sz w:val="21"/>
          <w:szCs w:val="21"/>
          <w:highlight w:val="none"/>
        </w:rPr>
        <w:t>投标人须知前附表。</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25.合同份数及生效</w:t>
      </w:r>
    </w:p>
    <w:p>
      <w:pPr>
        <w:keepNext w:val="0"/>
        <w:keepLines w:val="0"/>
        <w:pageBreakBefore w:val="0"/>
        <w:kinsoku/>
        <w:wordWrap/>
        <w:overflowPunct/>
        <w:topLinePunct w:val="0"/>
        <w:bidi w:val="0"/>
        <w:adjustRightInd w:val="0"/>
        <w:snapToGrid w:val="0"/>
        <w:spacing w:beforeAutospacing="0" w:line="440" w:lineRule="exact"/>
        <w:ind w:left="0" w:leftChars="0" w:right="0" w:righ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25.1合同份数见</w:t>
      </w:r>
      <w:r>
        <w:rPr>
          <w:rFonts w:hint="eastAsia" w:ascii="仿宋" w:hAnsi="仿宋" w:eastAsia="仿宋" w:cs="仿宋"/>
          <w:b/>
          <w:color w:val="auto"/>
          <w:sz w:val="21"/>
          <w:szCs w:val="21"/>
          <w:highlight w:val="none"/>
        </w:rPr>
        <w:t>投标人须知前附表</w:t>
      </w:r>
      <w:r>
        <w:rPr>
          <w:rFonts w:hint="eastAsia" w:ascii="仿宋" w:hAnsi="仿宋" w:eastAsia="仿宋" w:cs="仿宋"/>
          <w:color w:val="auto"/>
          <w:sz w:val="21"/>
          <w:szCs w:val="21"/>
          <w:highlight w:val="none"/>
        </w:rPr>
        <w:t>。</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25.2合同自甲乙双方法定代表人或授权代表签字并加盖单位公章之日起生效。</w:t>
      </w:r>
    </w:p>
    <w:p>
      <w:pPr>
        <w:keepNext w:val="0"/>
        <w:keepLines w:val="0"/>
        <w:pageBreakBefore w:val="0"/>
        <w:kinsoku/>
        <w:wordWrap/>
        <w:overflowPunct/>
        <w:topLinePunct w:val="0"/>
        <w:bidi w:val="0"/>
        <w:snapToGrid w:val="0"/>
        <w:spacing w:beforeAutospacing="0" w:line="440" w:lineRule="exact"/>
        <w:ind w:left="0" w:leftChars="0" w:right="0" w:rightChars="0" w:firstLine="0" w:firstLineChars="0"/>
        <w:jc w:val="center"/>
        <w:textAlignment w:val="auto"/>
        <w:rPr>
          <w:rFonts w:hint="eastAsia" w:ascii="仿宋" w:hAnsi="仿宋" w:eastAsia="仿宋" w:cs="仿宋"/>
          <w:b/>
          <w:color w:val="auto"/>
          <w:sz w:val="21"/>
          <w:szCs w:val="21"/>
          <w:highlight w:val="none"/>
        </w:rPr>
      </w:pPr>
    </w:p>
    <w:p>
      <w:pPr>
        <w:rPr>
          <w:rFonts w:hint="eastAsia" w:ascii="仿宋" w:hAnsi="仿宋" w:eastAsia="仿宋" w:cs="仿宋"/>
          <w:color w:val="auto"/>
          <w:highlight w:val="none"/>
        </w:rPr>
      </w:pPr>
      <w:bookmarkStart w:id="31" w:name="_Toc8109"/>
      <w:bookmarkStart w:id="32" w:name="_Hlk519787567"/>
      <w:bookmarkStart w:id="33" w:name="_Toc38290704"/>
      <w:r>
        <w:rPr>
          <w:rFonts w:hint="eastAsia" w:ascii="仿宋" w:hAnsi="仿宋" w:eastAsia="仿宋" w:cs="仿宋"/>
          <w:color w:val="auto"/>
          <w:highlight w:val="none"/>
        </w:rPr>
        <w:br w:type="page"/>
      </w:r>
    </w:p>
    <w:p>
      <w:pPr>
        <w:pStyle w:val="3"/>
        <w:shd w:val="clear"/>
        <w:bidi w:val="0"/>
        <w:rPr>
          <w:rFonts w:hint="eastAsia" w:ascii="仿宋" w:hAnsi="仿宋" w:eastAsia="仿宋" w:cs="仿宋"/>
          <w:color w:val="auto"/>
          <w:highlight w:val="none"/>
        </w:rPr>
      </w:pPr>
      <w:r>
        <w:rPr>
          <w:rFonts w:hint="eastAsia" w:ascii="仿宋" w:hAnsi="仿宋" w:eastAsia="仿宋" w:cs="仿宋"/>
          <w:color w:val="auto"/>
          <w:highlight w:val="none"/>
        </w:rPr>
        <w:t>第三部分  合同格式（参考）</w:t>
      </w:r>
      <w:bookmarkEnd w:id="31"/>
      <w:bookmarkEnd w:id="32"/>
      <w:bookmarkEnd w:id="33"/>
    </w:p>
    <w:p>
      <w:pPr>
        <w:shd w:val="clear"/>
        <w:spacing w:line="44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技术服务合同</w:t>
      </w:r>
    </w:p>
    <w:p>
      <w:pPr>
        <w:shd w:val="clear"/>
        <w:spacing w:line="440" w:lineRule="exact"/>
        <w:outlineLvl w:val="9"/>
        <w:rPr>
          <w:rFonts w:hint="eastAsia" w:ascii="仿宋" w:hAnsi="仿宋" w:eastAsia="仿宋" w:cs="仿宋"/>
          <w:color w:val="auto"/>
          <w:sz w:val="21"/>
          <w:szCs w:val="21"/>
          <w:highlight w:val="none"/>
        </w:rPr>
      </w:pP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委托方（甲方）：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住  所  地：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法定代表人：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项目联系人：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通讯地址：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电    话：             传   真：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电子信箱：                                           </w:t>
      </w:r>
    </w:p>
    <w:p>
      <w:pPr>
        <w:shd w:val="clear"/>
        <w:spacing w:line="440" w:lineRule="exact"/>
        <w:outlineLvl w:val="9"/>
        <w:rPr>
          <w:rFonts w:hint="eastAsia" w:ascii="仿宋" w:hAnsi="仿宋" w:eastAsia="仿宋" w:cs="仿宋"/>
          <w:color w:val="auto"/>
          <w:sz w:val="21"/>
          <w:szCs w:val="21"/>
          <w:highlight w:val="none"/>
        </w:rPr>
      </w:pP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受托方（乙方）：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住  所  地：</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 xml:space="preserve">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法定代表人：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项目联系人：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通讯地址：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电    话：            传    真：     ——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电子信箱：                                            </w:t>
      </w:r>
    </w:p>
    <w:p>
      <w:pPr>
        <w:shd w:val="clear"/>
        <w:spacing w:line="440" w:lineRule="exact"/>
        <w:outlineLvl w:val="9"/>
        <w:rPr>
          <w:rFonts w:hint="eastAsia" w:ascii="仿宋" w:hAnsi="仿宋" w:eastAsia="仿宋" w:cs="仿宋"/>
          <w:color w:val="auto"/>
          <w:sz w:val="21"/>
          <w:szCs w:val="21"/>
          <w:highlight w:val="none"/>
        </w:rPr>
      </w:pPr>
    </w:p>
    <w:p>
      <w:pPr>
        <w:shd w:val="clear"/>
        <w:spacing w:line="440" w:lineRule="exact"/>
        <w:outlineLvl w:val="9"/>
        <w:rPr>
          <w:rFonts w:hint="eastAsia" w:ascii="仿宋" w:hAnsi="仿宋" w:eastAsia="仿宋" w:cs="仿宋"/>
          <w:color w:val="auto"/>
          <w:sz w:val="21"/>
          <w:szCs w:val="21"/>
          <w:highlight w:val="none"/>
        </w:rPr>
      </w:pP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本合同甲方委托乙方就</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项目进行的专项技术服务，并支付相应的技术服务报酬。双方经过平等协商，在真实、充分地表达各自意愿的基础上，根据《中华人民共和国</w:t>
      </w:r>
      <w:r>
        <w:rPr>
          <w:rFonts w:hint="eastAsia" w:ascii="仿宋" w:hAnsi="仿宋" w:eastAsia="仿宋" w:cs="仿宋"/>
          <w:color w:val="auto"/>
          <w:sz w:val="21"/>
          <w:szCs w:val="21"/>
          <w:highlight w:val="none"/>
          <w:lang w:eastAsia="zh-CN"/>
        </w:rPr>
        <w:t>民法典</w:t>
      </w:r>
      <w:r>
        <w:rPr>
          <w:rFonts w:hint="eastAsia" w:ascii="仿宋" w:hAnsi="仿宋" w:eastAsia="仿宋" w:cs="仿宋"/>
          <w:color w:val="auto"/>
          <w:sz w:val="21"/>
          <w:szCs w:val="21"/>
          <w:highlight w:val="none"/>
        </w:rPr>
        <w:t>》的规定，达成如下协议，并由双方共同恪守。</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第一条 甲方委托乙方进行技术</w:t>
      </w:r>
      <w:r>
        <w:rPr>
          <w:rFonts w:hint="eastAsia" w:ascii="仿宋" w:hAnsi="仿宋" w:eastAsia="仿宋" w:cs="仿宋"/>
          <w:color w:val="auto"/>
          <w:sz w:val="21"/>
          <w:szCs w:val="21"/>
          <w:highlight w:val="none"/>
          <w:u w:val="single"/>
        </w:rPr>
        <w:t>服务的内容如下：</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1．技术服务的目标：完成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编制并通过采购人组织的项目验收后交付最终的技术咨询成果</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2．技术服务的内容：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编制。</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第二条 乙方应按下列要求完成技术服务工作：</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1．技术服务地点：</w:t>
      </w:r>
      <w:r>
        <w:rPr>
          <w:rFonts w:hint="eastAsia" w:ascii="仿宋" w:hAnsi="仿宋" w:eastAsia="仿宋" w:cs="仿宋"/>
          <w:color w:val="auto"/>
          <w:sz w:val="21"/>
          <w:szCs w:val="21"/>
          <w:highlight w:val="none"/>
          <w:u w:val="single"/>
        </w:rPr>
        <w:t xml:space="preserve">       新疆维吾尔自治区乌鲁木齐市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2．技术服务期限：</w:t>
      </w:r>
      <w:r>
        <w:rPr>
          <w:rFonts w:hint="eastAsia" w:ascii="仿宋" w:hAnsi="仿宋" w:eastAsia="仿宋" w:cs="仿宋"/>
          <w:color w:val="auto"/>
          <w:sz w:val="21"/>
          <w:szCs w:val="21"/>
          <w:highlight w:val="none"/>
          <w:u w:val="single"/>
        </w:rPr>
        <w:t xml:space="preserve">  202</w:t>
      </w:r>
      <w:r>
        <w:rPr>
          <w:rFonts w:hint="eastAsia" w:ascii="仿宋" w:hAnsi="仿宋" w:eastAsia="仿宋" w:cs="仿宋"/>
          <w:color w:val="auto"/>
          <w:sz w:val="21"/>
          <w:szCs w:val="21"/>
          <w:highlight w:val="none"/>
          <w:u w:val="single"/>
          <w:lang w:val="en-US" w:eastAsia="zh-CN"/>
        </w:rPr>
        <w:t>2</w:t>
      </w:r>
      <w:r>
        <w:rPr>
          <w:rFonts w:hint="eastAsia" w:ascii="仿宋" w:hAnsi="仿宋" w:eastAsia="仿宋" w:cs="仿宋"/>
          <w:color w:val="auto"/>
          <w:sz w:val="21"/>
          <w:szCs w:val="21"/>
          <w:highlight w:val="none"/>
          <w:u w:val="single"/>
        </w:rPr>
        <w:t>年   月  日至     年  月  日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3．技术服务进度：合同签订后开始</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编制工作；</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6月30日前提交中期总结报告</w:t>
      </w:r>
      <w:r>
        <w:rPr>
          <w:rFonts w:hint="eastAsia" w:ascii="仿宋" w:hAnsi="仿宋" w:eastAsia="仿宋" w:cs="仿宋"/>
          <w:color w:val="auto"/>
          <w:sz w:val="21"/>
          <w:szCs w:val="21"/>
          <w:highlight w:val="none"/>
        </w:rPr>
        <w:t>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日内交付最终的成果</w:t>
      </w:r>
      <w:r>
        <w:rPr>
          <w:rFonts w:hint="eastAsia" w:ascii="仿宋" w:hAnsi="仿宋" w:eastAsia="仿宋" w:cs="仿宋"/>
          <w:color w:val="auto"/>
          <w:sz w:val="21"/>
          <w:szCs w:val="21"/>
          <w:highlight w:val="none"/>
          <w:lang w:eastAsia="zh-CN"/>
        </w:rPr>
        <w:t>文件</w:t>
      </w:r>
      <w:r>
        <w:rPr>
          <w:rFonts w:hint="eastAsia" w:ascii="仿宋" w:hAnsi="仿宋" w:eastAsia="仿宋" w:cs="仿宋"/>
          <w:color w:val="auto"/>
          <w:sz w:val="21"/>
          <w:szCs w:val="21"/>
          <w:highlight w:val="none"/>
        </w:rPr>
        <w:t>。（详见乙方投标文件）</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4．技术服务质量要求：</w:t>
      </w:r>
      <w:r>
        <w:rPr>
          <w:rFonts w:hint="eastAsia" w:ascii="仿宋" w:hAnsi="仿宋" w:eastAsia="仿宋" w:cs="仿宋"/>
          <w:color w:val="auto"/>
          <w:sz w:val="21"/>
          <w:szCs w:val="21"/>
          <w:highlight w:val="none"/>
          <w:u w:val="single"/>
        </w:rPr>
        <w:t xml:space="preserve"> 遵循国家、自治区现行有关法律法规、相关规定、技术标准   </w:t>
      </w:r>
      <w:r>
        <w:rPr>
          <w:rFonts w:hint="eastAsia" w:ascii="仿宋" w:hAnsi="仿宋" w:eastAsia="仿宋" w:cs="仿宋"/>
          <w:color w:val="auto"/>
          <w:sz w:val="21"/>
          <w:szCs w:val="21"/>
          <w:highlight w:val="none"/>
        </w:rPr>
        <w:t>；</w:t>
      </w:r>
    </w:p>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第三条 为保证乙方有效进行技术服务工作，甲方应当向乙方提供</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下列工作条件和协作事项：</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1．提供技术资料：</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（1）</w:t>
      </w:r>
      <w:r>
        <w:rPr>
          <w:rFonts w:hint="eastAsia" w:ascii="仿宋" w:hAnsi="仿宋" w:eastAsia="仿宋" w:cs="仿宋"/>
          <w:color w:val="auto"/>
          <w:sz w:val="21"/>
          <w:szCs w:val="21"/>
          <w:highlight w:val="none"/>
          <w:u w:val="single"/>
        </w:rPr>
        <w:t xml:space="preserve">  自治区现有相关的有关情况的资料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2．提供工作条件：</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  为乙方开展调研工作提供必要的便利和协助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  协调相关部门，保证乙方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编制中跨部门的工作协同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3．其他：</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第四条 甲方向乙方支付技术服务报酬及支付方式为：</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1．技术服务费总额为：</w:t>
      </w:r>
      <w:r>
        <w:rPr>
          <w:rFonts w:hint="eastAsia" w:ascii="仿宋" w:hAnsi="仿宋" w:eastAsia="仿宋" w:cs="仿宋"/>
          <w:color w:val="auto"/>
          <w:sz w:val="21"/>
          <w:szCs w:val="21"/>
          <w:highlight w:val="none"/>
          <w:u w:val="single"/>
        </w:rPr>
        <w:t xml:space="preserve"> 人民币：（小写）   元；                （大写）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2．技术服务费由甲方</w:t>
      </w:r>
      <w:r>
        <w:rPr>
          <w:rFonts w:hint="eastAsia" w:ascii="仿宋" w:hAnsi="仿宋" w:eastAsia="仿宋" w:cs="仿宋"/>
          <w:color w:val="auto"/>
          <w:sz w:val="21"/>
          <w:szCs w:val="21"/>
          <w:highlight w:val="none"/>
          <w:u w:val="single"/>
        </w:rPr>
        <w:t xml:space="preserve">    分期    </w:t>
      </w:r>
      <w:r>
        <w:rPr>
          <w:rFonts w:hint="eastAsia" w:ascii="仿宋" w:hAnsi="仿宋" w:eastAsia="仿宋" w:cs="仿宋"/>
          <w:color w:val="auto"/>
          <w:sz w:val="21"/>
          <w:szCs w:val="21"/>
          <w:highlight w:val="none"/>
        </w:rPr>
        <w:t xml:space="preserve">（一次或分期）支付乙方。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具体支付方式和时间如下：</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u w:val="single"/>
        </w:rPr>
        <w:t xml:space="preserve">  双方约定 ，在甲方组织专家对乙方提交方案评审中，产生的相关费用由乙方承担</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乙方开户银行名称、账号为：</w:t>
      </w:r>
    </w:p>
    <w:p>
      <w:pPr>
        <w:shd w:val="clear"/>
        <w:spacing w:line="440" w:lineRule="exact"/>
        <w:ind w:firstLine="630" w:firstLineChars="3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pPr>
        <w:shd w:val="clear"/>
        <w:spacing w:line="440" w:lineRule="exact"/>
        <w:ind w:firstLine="630" w:firstLineChars="3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帐    号：</w:t>
      </w:r>
      <w:r>
        <w:rPr>
          <w:rFonts w:hint="eastAsia" w:ascii="仿宋" w:hAnsi="仿宋" w:eastAsia="仿宋" w:cs="仿宋"/>
          <w:color w:val="auto"/>
          <w:sz w:val="21"/>
          <w:szCs w:val="21"/>
          <w:highlight w:val="none"/>
          <w:u w:val="single"/>
        </w:rPr>
        <w:t xml:space="preserve">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第五条 双方确定因履行本合同应遵守的保密义务如下：</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甲方：</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1.保密内容（包括技术信息和经营信息）:  甲方项目工作人员不得将本项目的任何内容向任何第三方披露、转让。</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2．涉密人员范围:  甲方参与此项目的工作人员</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3．保密期限：</w:t>
      </w:r>
      <w:r>
        <w:rPr>
          <w:rFonts w:hint="eastAsia" w:ascii="仿宋" w:hAnsi="仿宋" w:eastAsia="仿宋" w:cs="仿宋"/>
          <w:color w:val="auto"/>
          <w:sz w:val="21"/>
          <w:szCs w:val="21"/>
          <w:highlight w:val="none"/>
          <w:u w:val="single"/>
        </w:rPr>
        <w:t xml:space="preserve">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4．泄密责任：  承担由此给另外一方带来的相关损失或责任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乙方：</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1.保密内容（包括技术信息和经营信息）:   乙方项目参与人员不得将本项目的任何内容向任何第三方披露、转让。</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2．涉密人员范围:     乙方参与项目的全部人员            。</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3．保密期限：</w:t>
      </w:r>
      <w:r>
        <w:rPr>
          <w:rFonts w:hint="eastAsia" w:ascii="仿宋" w:hAnsi="仿宋" w:eastAsia="仿宋" w:cs="仿宋"/>
          <w:color w:val="auto"/>
          <w:sz w:val="21"/>
          <w:szCs w:val="21"/>
          <w:highlight w:val="none"/>
          <w:u w:val="single"/>
        </w:rPr>
        <w:t xml:space="preserve">                                     。</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4．泄密责任： </w:t>
      </w:r>
      <w:r>
        <w:rPr>
          <w:rFonts w:hint="eastAsia" w:ascii="仿宋" w:hAnsi="仿宋" w:eastAsia="仿宋" w:cs="仿宋"/>
          <w:color w:val="auto"/>
          <w:sz w:val="21"/>
          <w:szCs w:val="21"/>
          <w:highlight w:val="none"/>
          <w:u w:val="single"/>
        </w:rPr>
        <w:t xml:space="preserve"> 承担由此给另外一方带来的相关损失或责任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第六条 本合同的变更必须由双方协商一致，并以书面形式确定。但有下列情形之一的，一方可以向另一方提出变更合同权利与义务的请求，另一方应当在   10   日内予以答复；逾期未予答复的，视为同意：</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 涉及合同款支付的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 因项目实际情况，涉及成果提交时间的；</w:t>
      </w:r>
    </w:p>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因项目实际情况，涉及合同期限的；</w:t>
      </w:r>
    </w:p>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第七条 双方确定以下列标准和方式对乙方的技术服务工作成果进行验收：</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1．乙方完成技术服务工作的形式：  提交</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方案成果，包括可研方案成果的阐述和说明、</w:t>
      </w:r>
      <w:r>
        <w:rPr>
          <w:rFonts w:hint="eastAsia" w:ascii="仿宋" w:hAnsi="仿宋" w:eastAsia="仿宋" w:cs="仿宋"/>
          <w:color w:val="auto"/>
          <w:sz w:val="21"/>
          <w:szCs w:val="21"/>
          <w:highlight w:val="none"/>
          <w:lang w:val="en-US" w:eastAsia="zh-CN"/>
        </w:rPr>
        <w:t>技术咨询</w:t>
      </w:r>
      <w:r>
        <w:rPr>
          <w:rFonts w:hint="eastAsia" w:ascii="仿宋" w:hAnsi="仿宋" w:eastAsia="仿宋" w:cs="仿宋"/>
          <w:color w:val="auto"/>
          <w:sz w:val="21"/>
          <w:szCs w:val="21"/>
          <w:highlight w:val="none"/>
        </w:rPr>
        <w:t>方案纸质版、电子文件</w:t>
      </w:r>
      <w:r>
        <w:rPr>
          <w:rFonts w:hint="eastAsia" w:ascii="仿宋" w:hAnsi="仿宋" w:eastAsia="仿宋" w:cs="仿宋"/>
          <w:color w:val="auto"/>
          <w:sz w:val="21"/>
          <w:szCs w:val="21"/>
          <w:highlight w:val="none"/>
          <w:lang w:val="en-US" w:eastAsia="zh-CN"/>
        </w:rPr>
        <w:t>等技术咨询成果</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2．技术服务工作成果的验收标准： 完成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编制并通过采购人组织的项目验收后交付最终的</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成果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3．技术服务工作成果的验收方法：</w:t>
      </w:r>
      <w:r>
        <w:rPr>
          <w:rFonts w:hint="eastAsia" w:ascii="仿宋" w:hAnsi="仿宋" w:eastAsia="仿宋" w:cs="仿宋"/>
          <w:color w:val="auto"/>
          <w:sz w:val="21"/>
          <w:szCs w:val="21"/>
          <w:highlight w:val="none"/>
          <w:u w:val="single"/>
        </w:rPr>
        <w:t xml:space="preserve"> 通过采购人及有关部门组织的项目验收和审批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4．验收的时间和地点：</w:t>
      </w:r>
      <w:r>
        <w:rPr>
          <w:rFonts w:hint="eastAsia" w:ascii="仿宋" w:hAnsi="仿宋" w:eastAsia="仿宋" w:cs="仿宋"/>
          <w:color w:val="auto"/>
          <w:sz w:val="21"/>
          <w:szCs w:val="21"/>
          <w:highlight w:val="none"/>
          <w:u w:val="single"/>
        </w:rPr>
        <w:t xml:space="preserve">  具体时间和地点由甲乙双方协商决定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第八条 双方确定：</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1．在本合同有效期内，甲方利用乙方提交的技术服务工作成果所完成的新的技术成果，归</w:t>
      </w:r>
      <w:r>
        <w:rPr>
          <w:rFonts w:hint="eastAsia" w:ascii="仿宋" w:hAnsi="仿宋" w:eastAsia="仿宋" w:cs="仿宋"/>
          <w:color w:val="auto"/>
          <w:sz w:val="21"/>
          <w:szCs w:val="21"/>
          <w:highlight w:val="none"/>
          <w:u w:val="single"/>
        </w:rPr>
        <w:t xml:space="preserve">  甲 </w:t>
      </w:r>
      <w:r>
        <w:rPr>
          <w:rFonts w:hint="eastAsia" w:ascii="仿宋" w:hAnsi="仿宋" w:eastAsia="仿宋" w:cs="仿宋"/>
          <w:color w:val="auto"/>
          <w:sz w:val="21"/>
          <w:szCs w:val="21"/>
          <w:highlight w:val="none"/>
        </w:rPr>
        <w:t>方所有。</w:t>
      </w:r>
    </w:p>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2．在本合同有效期内，乙方利用甲方提供的技术资料和工作条件所完成的新的技术成果，归</w:t>
      </w:r>
      <w:r>
        <w:rPr>
          <w:rFonts w:hint="eastAsia" w:ascii="仿宋" w:hAnsi="仿宋" w:eastAsia="仿宋" w:cs="仿宋"/>
          <w:color w:val="auto"/>
          <w:sz w:val="21"/>
          <w:szCs w:val="21"/>
          <w:highlight w:val="none"/>
          <w:u w:val="single"/>
        </w:rPr>
        <w:t xml:space="preserve">  甲 </w:t>
      </w:r>
      <w:r>
        <w:rPr>
          <w:rFonts w:hint="eastAsia" w:ascii="仿宋" w:hAnsi="仿宋" w:eastAsia="仿宋" w:cs="仿宋"/>
          <w:color w:val="auto"/>
          <w:sz w:val="21"/>
          <w:szCs w:val="21"/>
          <w:highlight w:val="none"/>
        </w:rPr>
        <w:t>方所有。</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第九条 双方确定，按以下约定承担各自的违约责任：</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任何一方如果违反合同约定，给对方造成损失的，由违约方承担相关责任。</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第十条 双方确定，在本合同有效期内，甲方指定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为甲方项目联系人，乙方指定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为乙方项目联系人。项目联系人承担以下责任：</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w:t>
      </w:r>
      <w:r>
        <w:rPr>
          <w:rFonts w:hint="eastAsia" w:ascii="仿宋" w:hAnsi="仿宋" w:eastAsia="仿宋" w:cs="仿宋"/>
          <w:color w:val="auto"/>
          <w:sz w:val="21"/>
          <w:szCs w:val="21"/>
          <w:highlight w:val="none"/>
          <w:u w:val="single"/>
        </w:rPr>
        <w:t xml:space="preserve">负责项目的具体实施与工作对接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w:t>
      </w:r>
      <w:r>
        <w:rPr>
          <w:rFonts w:hint="eastAsia" w:ascii="仿宋" w:hAnsi="仿宋" w:eastAsia="仿宋" w:cs="仿宋"/>
          <w:color w:val="auto"/>
          <w:sz w:val="21"/>
          <w:szCs w:val="21"/>
          <w:highlight w:val="none"/>
          <w:u w:val="single"/>
        </w:rPr>
        <w:t xml:space="preserve">负责项目执行中的相关工作沟通与协调工作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一方变更项目联系人的，应当及时以书面形式通知另一方。未及时通知并影响本合同履行或造成损失的，应承担相应的责任。</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第十一条 双方确定，出现下列情形，致使本合同的履行成为不必要或不可能的，可以解除本合同：</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w:t>
      </w:r>
      <w:r>
        <w:rPr>
          <w:rFonts w:hint="eastAsia" w:ascii="仿宋" w:hAnsi="仿宋" w:eastAsia="仿宋" w:cs="仿宋"/>
          <w:color w:val="auto"/>
          <w:sz w:val="21"/>
          <w:szCs w:val="21"/>
          <w:highlight w:val="none"/>
          <w:u w:val="single"/>
        </w:rPr>
        <w:t xml:space="preserve"> 发生不可抗力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w:t>
      </w:r>
      <w:r>
        <w:rPr>
          <w:rFonts w:hint="eastAsia" w:ascii="仿宋" w:hAnsi="仿宋" w:eastAsia="仿宋" w:cs="仿宋"/>
          <w:color w:val="auto"/>
          <w:sz w:val="21"/>
          <w:szCs w:val="21"/>
          <w:highlight w:val="none"/>
          <w:u w:val="single"/>
        </w:rPr>
        <w:t xml:space="preserve"> 无特殊原因，甲方不按时支付乙方服务费用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3．</w:t>
      </w:r>
      <w:r>
        <w:rPr>
          <w:rFonts w:hint="eastAsia" w:ascii="仿宋" w:hAnsi="仿宋" w:eastAsia="仿宋" w:cs="仿宋"/>
          <w:color w:val="auto"/>
          <w:sz w:val="21"/>
          <w:szCs w:val="21"/>
          <w:highlight w:val="none"/>
          <w:u w:val="single"/>
        </w:rPr>
        <w:t xml:space="preserve"> 乙方不能按时提交[    ]方案（成果）且没事先与甲方进行沟通协商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第十二条 双方因履行本合同而发生的争议，应协商、调解解决。协商、调解不成的，确定按以下第</w:t>
      </w:r>
      <w:r>
        <w:rPr>
          <w:rFonts w:hint="eastAsia" w:ascii="仿宋" w:hAnsi="仿宋" w:eastAsia="仿宋" w:cs="仿宋"/>
          <w:color w:val="auto"/>
          <w:sz w:val="21"/>
          <w:szCs w:val="21"/>
          <w:highlight w:val="none"/>
          <w:u w:val="single"/>
        </w:rPr>
        <w:t xml:space="preserve">   1   </w:t>
      </w:r>
      <w:r>
        <w:rPr>
          <w:rFonts w:hint="eastAsia" w:ascii="仿宋" w:hAnsi="仿宋" w:eastAsia="仿宋" w:cs="仿宋"/>
          <w:color w:val="auto"/>
          <w:sz w:val="21"/>
          <w:szCs w:val="21"/>
          <w:highlight w:val="none"/>
        </w:rPr>
        <w:t>种方式处理：</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1．提交</w:t>
      </w:r>
      <w:r>
        <w:rPr>
          <w:rFonts w:hint="eastAsia" w:ascii="仿宋" w:hAnsi="仿宋" w:eastAsia="仿宋" w:cs="仿宋"/>
          <w:color w:val="auto"/>
          <w:sz w:val="21"/>
          <w:szCs w:val="21"/>
          <w:highlight w:val="none"/>
          <w:u w:val="single"/>
        </w:rPr>
        <w:t xml:space="preserve">      乌鲁木齐        </w:t>
      </w:r>
      <w:r>
        <w:rPr>
          <w:rFonts w:hint="eastAsia" w:ascii="仿宋" w:hAnsi="仿宋" w:eastAsia="仿宋" w:cs="仿宋"/>
          <w:color w:val="auto"/>
          <w:sz w:val="21"/>
          <w:szCs w:val="21"/>
          <w:highlight w:val="none"/>
        </w:rPr>
        <w:t>仲裁委员会仲裁；</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2．依法向人民法院起诉。</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第十三条 双方约定本合同其他相关事项为：</w:t>
      </w:r>
      <w:r>
        <w:rPr>
          <w:rFonts w:hint="eastAsia" w:ascii="仿宋" w:hAnsi="仿宋" w:eastAsia="仿宋" w:cs="仿宋"/>
          <w:color w:val="auto"/>
          <w:sz w:val="21"/>
          <w:szCs w:val="21"/>
          <w:highlight w:val="none"/>
          <w:u w:val="single"/>
        </w:rPr>
        <w:t xml:space="preserve">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第十四条 本合同一式</w:t>
      </w:r>
      <w:r>
        <w:rPr>
          <w:rFonts w:hint="eastAsia" w:ascii="仿宋" w:hAnsi="仿宋" w:eastAsia="仿宋" w:cs="仿宋"/>
          <w:color w:val="auto"/>
          <w:sz w:val="21"/>
          <w:szCs w:val="21"/>
          <w:highlight w:val="none"/>
          <w:u w:val="single"/>
        </w:rPr>
        <w:t xml:space="preserve">  拾 </w:t>
      </w:r>
      <w:r>
        <w:rPr>
          <w:rFonts w:hint="eastAsia" w:ascii="仿宋" w:hAnsi="仿宋" w:eastAsia="仿宋" w:cs="仿宋"/>
          <w:color w:val="auto"/>
          <w:sz w:val="21"/>
          <w:szCs w:val="21"/>
          <w:highlight w:val="none"/>
        </w:rPr>
        <w:t>份，具有同等法律效力。</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第十五条 本合同经双方签字盖章后生效。</w:t>
      </w:r>
    </w:p>
    <w:p>
      <w:pPr>
        <w:shd w:val="clear"/>
        <w:spacing w:line="440" w:lineRule="exact"/>
        <w:outlineLvl w:val="9"/>
        <w:rPr>
          <w:rFonts w:hint="eastAsia" w:ascii="仿宋" w:hAnsi="仿宋" w:eastAsia="仿宋" w:cs="仿宋"/>
          <w:color w:val="auto"/>
          <w:sz w:val="21"/>
          <w:szCs w:val="21"/>
          <w:highlight w:val="none"/>
        </w:rPr>
      </w:pP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甲方：</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（盖章）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法定代表人／委托代理人：</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rPr>
        <w:t xml:space="preserve">（签名） </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年     月     日</w:t>
      </w:r>
    </w:p>
    <w:p>
      <w:pPr>
        <w:shd w:val="clear"/>
        <w:spacing w:line="44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乙方：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（盖章）</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法定代表人／委托代理人：</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rPr>
        <w:t>（签名）</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年     月     日</w:t>
      </w:r>
    </w:p>
    <w:p>
      <w:pPr>
        <w:shd w:val="clea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pStyle w:val="3"/>
        <w:numPr>
          <w:ilvl w:val="0"/>
          <w:numId w:val="4"/>
        </w:numPr>
        <w:shd w:val="clear"/>
        <w:bidi w:val="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bookmarkStart w:id="34" w:name="_Toc6886"/>
      <w:r>
        <w:rPr>
          <w:rFonts w:hint="eastAsia" w:ascii="仿宋" w:hAnsi="仿宋" w:eastAsia="仿宋" w:cs="仿宋"/>
          <w:color w:val="auto"/>
          <w:highlight w:val="none"/>
        </w:rPr>
        <w:t>采购需求</w:t>
      </w:r>
      <w:bookmarkEnd w:id="34"/>
    </w:p>
    <w:p>
      <w:pPr>
        <w:pStyle w:val="8"/>
        <w:numPr>
          <w:ilvl w:val="0"/>
          <w:numId w:val="0"/>
        </w:numPr>
        <w:shd w:val="clear"/>
        <w:outlineLvl w:val="9"/>
        <w:rPr>
          <w:rFonts w:hint="eastAsia" w:ascii="仿宋" w:hAnsi="仿宋" w:eastAsia="仿宋" w:cs="仿宋"/>
          <w:color w:val="auto"/>
          <w:highlight w:val="none"/>
        </w:rPr>
      </w:pPr>
    </w:p>
    <w:p>
      <w:pPr>
        <w:pStyle w:val="8"/>
        <w:numPr>
          <w:ilvl w:val="0"/>
          <w:numId w:val="0"/>
        </w:numPr>
        <w:shd w:val="clear"/>
        <w:spacing w:after="0"/>
        <w:ind w:firstLine="42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一、项目内容：</w:t>
      </w:r>
    </w:p>
    <w:p>
      <w:pPr>
        <w:pStyle w:val="8"/>
        <w:numPr>
          <w:ilvl w:val="0"/>
          <w:numId w:val="0"/>
        </w:numPr>
        <w:shd w:val="clear"/>
        <w:spacing w:after="0"/>
        <w:ind w:firstLine="42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初步摸清新疆维吾尔自治区重要水产养殖区水产品质量安全现状，并开展风险评估；初步查清新疆维吾尔自治区重要水产养殖鱼类流行病学特征，并制定重要疫病防控措施；在水产品质量安全和疫病调查</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水生生物资源资料综合分析基础上，提出渔业高质量发展建议。</w:t>
      </w:r>
    </w:p>
    <w:p>
      <w:pPr>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（一）水产品质量安全现状调查与风险评估</w:t>
      </w:r>
    </w:p>
    <w:p>
      <w:pPr>
        <w:pStyle w:val="8"/>
        <w:numPr>
          <w:ilvl w:val="0"/>
          <w:numId w:val="0"/>
        </w:numPr>
        <w:spacing w:after="0"/>
        <w:ind w:firstLine="420" w:firstLineChars="200"/>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分析我区水产品质量安全检测数据，并在重要水产养殖区补充开展水产品质量安全样品检测，检测指标包括但不仅限于</w:t>
      </w:r>
      <w:r>
        <w:rPr>
          <w:rFonts w:hint="eastAsia" w:ascii="仿宋" w:hAnsi="仿宋" w:eastAsia="仿宋" w:cs="仿宋"/>
          <w:color w:val="auto"/>
          <w:highlight w:val="none"/>
          <w:lang w:val="en-US" w:eastAsia="zh-CN"/>
        </w:rPr>
        <w:t>，初步查清我区重要水产养殖区水产品质量安全现状，并开展风险评估，提出相关意见建议，制定水产品质量安全控制措施方案。</w:t>
      </w:r>
    </w:p>
    <w:p>
      <w:pPr>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（二）流行病学特征调查及疫病防控措施研究</w:t>
      </w:r>
    </w:p>
    <w:p>
      <w:pPr>
        <w:pStyle w:val="8"/>
        <w:numPr>
          <w:ilvl w:val="0"/>
          <w:numId w:val="0"/>
        </w:numPr>
        <w:spacing w:after="0"/>
        <w:ind w:firstLine="420" w:firstLineChars="200"/>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分析我区疫病检测分析资料，并在重要水产养殖区补充开展重要养殖品种的流行病学调查，抽检样品数不少于</w:t>
      </w:r>
      <w:r>
        <w:rPr>
          <w:rFonts w:hint="eastAsia" w:ascii="仿宋" w:hAnsi="仿宋" w:eastAsia="仿宋" w:cs="仿宋"/>
          <w:color w:val="auto"/>
          <w:highlight w:val="none"/>
          <w:lang w:val="en-US" w:eastAsia="zh-CN"/>
        </w:rPr>
        <w:t>20组（每组不少于100尾），初步查清我区</w:t>
      </w:r>
      <w:r>
        <w:rPr>
          <w:rFonts w:hint="eastAsia" w:ascii="仿宋" w:hAnsi="仿宋" w:eastAsia="仿宋" w:cs="仿宋"/>
          <w:color w:val="auto"/>
          <w:highlight w:val="none"/>
        </w:rPr>
        <w:t>重要水产养殖鱼类流行病学特征</w:t>
      </w:r>
      <w:r>
        <w:rPr>
          <w:rFonts w:hint="eastAsia" w:ascii="仿宋" w:hAnsi="仿宋" w:eastAsia="仿宋" w:cs="仿宋"/>
          <w:color w:val="auto"/>
          <w:highlight w:val="none"/>
          <w:lang w:eastAsia="zh-CN"/>
        </w:rPr>
        <w:t>，提出我区重要疫病防控措施意见和建议，制定我区重要疫病防控措施方案。</w:t>
      </w:r>
    </w:p>
    <w:p>
      <w:pPr>
        <w:numPr>
          <w:ilvl w:val="0"/>
          <w:numId w:val="5"/>
        </w:numPr>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渔业高质量发展对策研究</w:t>
      </w:r>
    </w:p>
    <w:p>
      <w:pPr>
        <w:pStyle w:val="8"/>
        <w:numPr>
          <w:ilvl w:val="0"/>
          <w:numId w:val="0"/>
        </w:numPr>
        <w:spacing w:after="0"/>
        <w:ind w:firstLine="42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开展典型区域渔业生产及相关情况调研及资料分析，</w:t>
      </w:r>
      <w:r>
        <w:rPr>
          <w:rFonts w:hint="eastAsia" w:ascii="仿宋" w:hAnsi="仿宋" w:eastAsia="仿宋" w:cs="仿宋"/>
          <w:color w:val="auto"/>
          <w:highlight w:val="none"/>
          <w:lang w:val="en-US" w:eastAsia="zh-CN"/>
        </w:rPr>
        <w:t>找出制约新疆渔业高质量发展的短板和瓶颈，有针对性提出对策建议。</w:t>
      </w:r>
    </w:p>
    <w:p>
      <w:pPr>
        <w:pStyle w:val="8"/>
        <w:numPr>
          <w:ilvl w:val="0"/>
          <w:numId w:val="0"/>
        </w:numPr>
        <w:shd w:val="clear"/>
        <w:spacing w:after="0"/>
        <w:ind w:firstLine="42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lang w:eastAsia="zh-CN"/>
        </w:rPr>
        <w:t>、绩效考核标准</w:t>
      </w:r>
    </w:p>
    <w:p>
      <w:pPr>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）补充开展水产品质量安全检测样品数不少于</w:t>
      </w:r>
      <w:r>
        <w:rPr>
          <w:rFonts w:hint="eastAsia" w:ascii="仿宋" w:hAnsi="仿宋" w:eastAsia="仿宋" w:cs="仿宋"/>
          <w:color w:val="auto"/>
          <w:highlight w:val="none"/>
          <w:lang w:val="en-US" w:eastAsia="zh-CN"/>
        </w:rPr>
        <w:t>20尾，基本掌握新疆维吾尔自治区水产品质量安全现状；</w:t>
      </w:r>
    </w:p>
    <w:p>
      <w:pPr>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（2）编制</w:t>
      </w:r>
      <w:r>
        <w:rPr>
          <w:rFonts w:hint="eastAsia" w:ascii="仿宋" w:hAnsi="仿宋" w:eastAsia="仿宋" w:cs="仿宋"/>
          <w:color w:val="auto"/>
          <w:highlight w:val="none"/>
          <w:lang w:eastAsia="zh-CN"/>
        </w:rPr>
        <w:t>水产品质量安全</w:t>
      </w:r>
      <w:r>
        <w:rPr>
          <w:rFonts w:hint="eastAsia" w:ascii="仿宋" w:hAnsi="仿宋" w:eastAsia="仿宋" w:cs="仿宋"/>
          <w:color w:val="auto"/>
          <w:highlight w:val="none"/>
          <w:lang w:val="en-US" w:eastAsia="zh-CN"/>
        </w:rPr>
        <w:t>风险评估报告；</w:t>
      </w:r>
    </w:p>
    <w:p>
      <w:pPr>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（3）补充开展养殖鱼类疫病样品抽样组数不少于20组，每组鱼类不少于100尾，基本掌握新疆维吾尔自治区养殖业鱼病现状；</w:t>
      </w:r>
    </w:p>
    <w:p>
      <w:pPr>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（4）编制新疆维吾尔自治区主要养殖鱼类流行病学特征报告，提出风险防控措施；</w:t>
      </w:r>
    </w:p>
    <w:p>
      <w:pPr>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（5）编制新疆渔业发展战略研究报告，找出制约新疆渔业高质量发展的短板和瓶颈，有针对性提出对策建议，对新疆渔业高质量发展进行战略设计，为新疆渔业高质量发展提供政策支持。</w:t>
      </w:r>
    </w:p>
    <w:p>
      <w:pPr>
        <w:pStyle w:val="8"/>
        <w:numPr>
          <w:ilvl w:val="0"/>
          <w:numId w:val="0"/>
        </w:numPr>
        <w:shd w:val="clear"/>
        <w:spacing w:after="0"/>
        <w:ind w:firstLine="42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三、项目执行时间</w:t>
      </w:r>
    </w:p>
    <w:p>
      <w:pPr>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2022年6月30日前完成中期总结报告，9月30日前完成项目任务，并提交项目成果。</w:t>
      </w:r>
    </w:p>
    <w:p>
      <w:pPr>
        <w:shd w:val="clear"/>
        <w:outlineLvl w:val="9"/>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
        <w:shd w:val="clear"/>
        <w:bidi w:val="0"/>
        <w:rPr>
          <w:rFonts w:hint="eastAsia" w:ascii="仿宋" w:hAnsi="仿宋" w:eastAsia="仿宋" w:cs="仿宋"/>
          <w:color w:val="auto"/>
          <w:highlight w:val="none"/>
        </w:rPr>
      </w:pPr>
      <w:bookmarkStart w:id="35" w:name="_Toc20192"/>
      <w:bookmarkStart w:id="36" w:name="_Toc10875"/>
      <w:r>
        <w:rPr>
          <w:rFonts w:hint="eastAsia" w:ascii="仿宋" w:hAnsi="仿宋" w:eastAsia="仿宋" w:cs="仿宋"/>
          <w:color w:val="auto"/>
          <w:highlight w:val="none"/>
        </w:rPr>
        <w:t>第五部分  投标文件格式</w:t>
      </w:r>
      <w:bookmarkEnd w:id="35"/>
    </w:p>
    <w:p>
      <w:pPr>
        <w:shd w:val="clear"/>
        <w:spacing w:line="400" w:lineRule="exact"/>
        <w:jc w:val="center"/>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开标一览表</w:t>
      </w:r>
      <w:bookmarkEnd w:id="36"/>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 xml:space="preserve">  项目编号：       </w:t>
      </w:r>
    </w:p>
    <w:tbl>
      <w:tblPr>
        <w:tblStyle w:val="19"/>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9"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418"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6801"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服务期</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质量标准</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报价说明</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p>
        </w:tc>
      </w:tr>
    </w:tbl>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1、投标总价应为各分项报价之和。报价须以元为单位，小数点后保留2位。</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2、投标报价包括投标人为实施本项目提供投标产品及服务内容所包括的全部含税价格的体现。</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3、投标人必须自行考虑本项目在实施期间的一切可能产生的费用。在合同执行过程中，招标人将不再另行支付与本项目相关的任何费用（非本项目要求的其它内容除外）。</w:t>
      </w:r>
    </w:p>
    <w:p>
      <w:pPr>
        <w:shd w:val="clear"/>
        <w:spacing w:line="400" w:lineRule="exact"/>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4、本表须按采购文件要求，单独封装、标识后提交。</w:t>
      </w:r>
    </w:p>
    <w:p>
      <w:pPr>
        <w:shd w:val="clear"/>
        <w:spacing w:line="400" w:lineRule="exact"/>
        <w:outlineLvl w:val="9"/>
        <w:rPr>
          <w:rFonts w:hint="eastAsia" w:ascii="仿宋" w:hAnsi="仿宋" w:eastAsia="仿宋" w:cs="仿宋"/>
          <w:b/>
          <w:bCs/>
          <w:color w:val="auto"/>
          <w:sz w:val="21"/>
          <w:szCs w:val="21"/>
          <w:highlight w:val="none"/>
        </w:rPr>
      </w:pPr>
    </w:p>
    <w:p>
      <w:pPr>
        <w:pStyle w:val="8"/>
        <w:shd w:val="clear"/>
        <w:spacing w:line="400" w:lineRule="exact"/>
        <w:outlineLvl w:val="9"/>
        <w:rPr>
          <w:rFonts w:hint="eastAsia" w:ascii="仿宋" w:hAnsi="仿宋" w:eastAsia="仿宋" w:cs="仿宋"/>
          <w:b/>
          <w:bCs/>
          <w:color w:val="auto"/>
          <w:sz w:val="21"/>
          <w:szCs w:val="21"/>
          <w:highlight w:val="none"/>
        </w:rPr>
      </w:pPr>
    </w:p>
    <w:p>
      <w:pPr>
        <w:shd w:val="clear"/>
        <w:spacing w:line="400" w:lineRule="exact"/>
        <w:ind w:firstLine="420" w:firstLineChars="200"/>
        <w:jc w:val="left"/>
        <w:outlineLvl w:val="9"/>
        <w:rPr>
          <w:rFonts w:hint="eastAsia" w:ascii="仿宋" w:hAnsi="仿宋" w:eastAsia="仿宋" w:cs="仿宋"/>
          <w:color w:val="auto"/>
          <w:sz w:val="21"/>
          <w:szCs w:val="21"/>
          <w:highlight w:val="none"/>
          <w:u w:val="single"/>
        </w:rPr>
      </w:pPr>
      <w:bookmarkStart w:id="37" w:name="_Toc22719"/>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bookmarkEnd w:id="37"/>
    </w:p>
    <w:p>
      <w:pPr>
        <w:shd w:val="clear"/>
        <w:spacing w:line="400" w:lineRule="exact"/>
        <w:ind w:firstLine="420" w:firstLineChars="200"/>
        <w:jc w:val="left"/>
        <w:outlineLvl w:val="9"/>
        <w:rPr>
          <w:rFonts w:hint="eastAsia" w:ascii="仿宋" w:hAnsi="仿宋" w:eastAsia="仿宋" w:cs="仿宋"/>
          <w:color w:val="auto"/>
          <w:sz w:val="21"/>
          <w:szCs w:val="21"/>
          <w:highlight w:val="none"/>
          <w:u w:val="single"/>
        </w:rPr>
      </w:pPr>
      <w:bookmarkStart w:id="38" w:name="_Toc13389"/>
      <w:r>
        <w:rPr>
          <w:rFonts w:hint="eastAsia" w:ascii="仿宋" w:hAnsi="仿宋" w:eastAsia="仿宋" w:cs="仿宋"/>
          <w:color w:val="auto"/>
          <w:sz w:val="21"/>
          <w:szCs w:val="21"/>
          <w:highlight w:val="none"/>
        </w:rPr>
        <w:t>法定代表人或授权代表人（签字）：</w:t>
      </w:r>
      <w:bookmarkEnd w:id="38"/>
    </w:p>
    <w:p>
      <w:pPr>
        <w:shd w:val="clear"/>
        <w:spacing w:line="400" w:lineRule="exact"/>
        <w:ind w:firstLine="420" w:firstLineChars="200"/>
        <w:jc w:val="left"/>
        <w:outlineLvl w:val="9"/>
        <w:rPr>
          <w:rFonts w:hint="eastAsia" w:ascii="仿宋" w:hAnsi="仿宋" w:eastAsia="仿宋" w:cs="仿宋"/>
          <w:b/>
          <w:color w:val="auto"/>
          <w:sz w:val="21"/>
          <w:szCs w:val="21"/>
          <w:highlight w:val="none"/>
        </w:rPr>
      </w:pPr>
      <w:r>
        <w:rPr>
          <w:rFonts w:hint="eastAsia" w:ascii="仿宋" w:hAnsi="仿宋" w:eastAsia="仿宋" w:cs="仿宋"/>
          <w:bCs/>
          <w:color w:val="auto"/>
          <w:sz w:val="21"/>
          <w:szCs w:val="21"/>
          <w:highlight w:val="none"/>
        </w:rPr>
        <w:t>日期：</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color w:val="auto"/>
          <w:sz w:val="21"/>
          <w:szCs w:val="21"/>
          <w:highlight w:val="none"/>
        </w:rPr>
        <w:br w:type="page"/>
      </w: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函</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法定代表人身份证明</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法定代表人授权委托书</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报价表</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商务偏离表</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技术偏离表</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公司业绩一览表</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投标方的资格声明</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实施方案</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无重大违法记录声明</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供应商反商业贿赂承诺书</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中小微企业证明文件等（如有）</w:t>
      </w:r>
    </w:p>
    <w:p>
      <w:pPr>
        <w:shd w:val="clear"/>
        <w:spacing w:line="400" w:lineRule="exact"/>
        <w:ind w:firstLine="420" w:firstLineChars="200"/>
        <w:textAlignment w:val="baseline"/>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投标人认为有必要提交的其他相关证明材料</w:t>
      </w:r>
    </w:p>
    <w:p>
      <w:pPr>
        <w:shd w:val="clear"/>
        <w:spacing w:line="400" w:lineRule="exact"/>
        <w:outlineLvl w:val="9"/>
        <w:rPr>
          <w:rFonts w:hint="eastAsia" w:ascii="仿宋" w:hAnsi="仿宋" w:eastAsia="仿宋" w:cs="仿宋"/>
          <w:color w:val="auto"/>
          <w:sz w:val="21"/>
          <w:szCs w:val="21"/>
          <w:highlight w:val="none"/>
        </w:rPr>
        <w:sectPr>
          <w:footerReference r:id="rId8" w:type="first"/>
          <w:footerReference r:id="rId7" w:type="default"/>
          <w:pgSz w:w="11850" w:h="16840"/>
          <w:pgMar w:top="1440" w:right="1247" w:bottom="1440" w:left="1361" w:header="851" w:footer="799" w:gutter="0"/>
          <w:pgBorders>
            <w:top w:val="none" w:sz="0" w:space="0"/>
            <w:left w:val="none" w:sz="0" w:space="0"/>
            <w:bottom w:val="none" w:sz="0" w:space="0"/>
            <w:right w:val="none" w:sz="0" w:space="0"/>
          </w:pgBorders>
          <w:pgNumType w:fmt="decimal"/>
          <w:cols w:space="720" w:num="1"/>
          <w:titlePg/>
          <w:docGrid w:type="lines" w:linePitch="409" w:charSpace="0"/>
        </w:sectPr>
      </w:pPr>
    </w:p>
    <w:p>
      <w:pPr>
        <w:shd w:val="clear"/>
        <w:spacing w:line="400" w:lineRule="exact"/>
        <w:outlineLvl w:val="0"/>
        <w:rPr>
          <w:rFonts w:hint="eastAsia" w:ascii="仿宋" w:hAnsi="仿宋" w:eastAsia="仿宋" w:cs="仿宋"/>
          <w:b/>
          <w:color w:val="auto"/>
          <w:sz w:val="21"/>
          <w:szCs w:val="21"/>
          <w:highlight w:val="none"/>
          <w:lang w:val="en-US" w:eastAsia="zh-CN"/>
        </w:rPr>
      </w:pPr>
      <w:bookmarkStart w:id="39" w:name="_Toc16702"/>
      <w:bookmarkStart w:id="40" w:name="_Toc13037"/>
      <w:r>
        <w:rPr>
          <w:rFonts w:hint="eastAsia" w:ascii="仿宋" w:hAnsi="仿宋" w:eastAsia="仿宋" w:cs="仿宋"/>
          <w:b/>
          <w:color w:val="auto"/>
          <w:sz w:val="21"/>
          <w:szCs w:val="21"/>
          <w:highlight w:val="none"/>
        </w:rPr>
        <w:t>附件1：</w:t>
      </w:r>
      <w:bookmarkEnd w:id="39"/>
      <w:bookmarkEnd w:id="40"/>
      <w:r>
        <w:rPr>
          <w:rFonts w:hint="eastAsia" w:ascii="仿宋" w:hAnsi="仿宋" w:eastAsia="仿宋" w:cs="仿宋"/>
          <w:b/>
          <w:color w:val="auto"/>
          <w:sz w:val="21"/>
          <w:szCs w:val="21"/>
          <w:highlight w:val="none"/>
          <w:lang w:val="en-US" w:eastAsia="zh-CN"/>
        </w:rPr>
        <w:t xml:space="preserve">          </w:t>
      </w:r>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投标</w:t>
      </w:r>
      <w:r>
        <w:rPr>
          <w:rFonts w:hint="eastAsia" w:ascii="仿宋" w:hAnsi="仿宋" w:eastAsia="仿宋" w:cs="仿宋"/>
          <w:b/>
          <w:color w:val="auto"/>
          <w:sz w:val="21"/>
          <w:szCs w:val="21"/>
          <w:highlight w:val="none"/>
        </w:rPr>
        <w:t>函</w:t>
      </w:r>
    </w:p>
    <w:p>
      <w:pPr>
        <w:shd w:val="clear"/>
        <w:spacing w:line="400" w:lineRule="exact"/>
        <w:outlineLvl w:val="9"/>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rPr>
        <w:t>致：</w:t>
      </w:r>
      <w:r>
        <w:rPr>
          <w:rFonts w:hint="eastAsia" w:ascii="仿宋" w:hAnsi="仿宋" w:eastAsia="仿宋" w:cs="仿宋"/>
          <w:b w:val="0"/>
          <w:bCs/>
          <w:color w:val="auto"/>
          <w:sz w:val="21"/>
          <w:szCs w:val="21"/>
          <w:highlight w:val="none"/>
          <w:lang w:eastAsia="zh-CN"/>
        </w:rPr>
        <w:t>新疆润标工程勘察设计研究院有限公司</w:t>
      </w:r>
    </w:p>
    <w:p>
      <w:pPr>
        <w:shd w:val="clear"/>
        <w:spacing w:line="400" w:lineRule="exact"/>
        <w:ind w:firstLine="396"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根据贵方项目</w:t>
      </w:r>
      <w:r>
        <w:rPr>
          <w:rFonts w:hint="eastAsia" w:ascii="仿宋" w:hAnsi="仿宋" w:eastAsia="仿宋" w:cs="仿宋"/>
          <w:color w:val="auto"/>
          <w:sz w:val="21"/>
          <w:szCs w:val="21"/>
          <w:highlight w:val="none"/>
        </w:rPr>
        <w:t>的</w:t>
      </w:r>
      <w:r>
        <w:rPr>
          <w:rFonts w:hint="eastAsia" w:ascii="仿宋" w:hAnsi="仿宋" w:eastAsia="仿宋" w:cs="仿宋"/>
          <w:color w:val="auto"/>
          <w:spacing w:val="-6"/>
          <w:sz w:val="21"/>
          <w:szCs w:val="21"/>
          <w:highlight w:val="none"/>
        </w:rPr>
        <w:t>招标采购</w:t>
      </w:r>
      <w:r>
        <w:rPr>
          <w:rFonts w:hint="eastAsia" w:ascii="仿宋" w:hAnsi="仿宋" w:eastAsia="仿宋" w:cs="仿宋"/>
          <w:color w:val="auto"/>
          <w:sz w:val="21"/>
          <w:szCs w:val="21"/>
          <w:highlight w:val="none"/>
        </w:rPr>
        <w:t>(项目编号:      )，正式授权的下述签字人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姓名和职务）代表供应商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），提交下述文件</w:t>
      </w:r>
      <w:r>
        <w:rPr>
          <w:rFonts w:hint="eastAsia" w:ascii="仿宋" w:hAnsi="仿宋" w:eastAsia="仿宋" w:cs="仿宋"/>
          <w:bCs/>
          <w:color w:val="auto"/>
          <w:sz w:val="21"/>
          <w:szCs w:val="21"/>
          <w:highlight w:val="none"/>
        </w:rPr>
        <w:t>正本1份，副本</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rPr>
        <w:t>份，开标一览表1份，电子U盘1份，光盘</w:t>
      </w: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份</w:t>
      </w:r>
    </w:p>
    <w:p>
      <w:pPr>
        <w:shd w:val="clear"/>
        <w:spacing w:line="400" w:lineRule="exact"/>
        <w:ind w:firstLine="420" w:firstLineChars="200"/>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投标函</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2.开标一览表</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报价表</w:t>
      </w:r>
    </w:p>
    <w:p>
      <w:pPr>
        <w:shd w:val="clear"/>
        <w:spacing w:line="400" w:lineRule="exact"/>
        <w:ind w:firstLine="420" w:firstLineChars="200"/>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投标保证金</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5.按</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要求供应商提交的全部文件</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据此函，签字人兹宣布同意如下条款：</w:t>
      </w:r>
    </w:p>
    <w:p>
      <w:pPr>
        <w:numPr>
          <w:ilvl w:val="0"/>
          <w:numId w:val="0"/>
        </w:numPr>
        <w:shd w:val="clear"/>
        <w:spacing w:line="400" w:lineRule="exact"/>
        <w:ind w:left="-360" w:leftChars="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（1）</w:t>
      </w:r>
      <w:r>
        <w:rPr>
          <w:rFonts w:hint="eastAsia" w:ascii="仿宋" w:hAnsi="仿宋" w:eastAsia="仿宋" w:cs="仿宋"/>
          <w:color w:val="auto"/>
          <w:sz w:val="21"/>
          <w:szCs w:val="21"/>
          <w:highlight w:val="none"/>
        </w:rPr>
        <w:t>附</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价格表中规定的应提供和交付的货物及服务</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总价为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大写）。</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⑵ 我们将按</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的规定履行合同责任和义务。</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⑶ 我们已详细审查全部</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，包括修改意见（如有则附）以及全部参考资料和有关附件。我们完全理解并同意放弃对这方面有不明及误解而要求招标方解释和承担责任的权利。</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⑷ 在供应商须知规定的有效期内遵循本</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文件，并在</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须知规定的</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有效期期满之前具有约束力。</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⑸ 如果在规定的</w:t>
      </w:r>
      <w:r>
        <w:rPr>
          <w:rFonts w:hint="eastAsia" w:ascii="仿宋" w:hAnsi="仿宋" w:eastAsia="仿宋" w:cs="仿宋"/>
          <w:color w:val="auto"/>
          <w:sz w:val="21"/>
          <w:szCs w:val="21"/>
          <w:highlight w:val="none"/>
          <w:lang w:eastAsia="zh-CN"/>
        </w:rPr>
        <w:t>投标</w:t>
      </w:r>
      <w:r>
        <w:rPr>
          <w:rFonts w:hint="eastAsia" w:ascii="仿宋" w:hAnsi="仿宋" w:eastAsia="仿宋" w:cs="仿宋"/>
          <w:color w:val="auto"/>
          <w:sz w:val="21"/>
          <w:szCs w:val="21"/>
          <w:highlight w:val="none"/>
        </w:rPr>
        <w:t>有效期内撤回投标，我们的</w:t>
      </w:r>
      <w:r>
        <w:rPr>
          <w:rFonts w:hint="eastAsia" w:ascii="仿宋" w:hAnsi="仿宋" w:eastAsia="仿宋" w:cs="仿宋"/>
          <w:color w:val="auto"/>
          <w:sz w:val="21"/>
          <w:szCs w:val="21"/>
          <w:highlight w:val="none"/>
          <w:lang w:eastAsia="zh-CN"/>
        </w:rPr>
        <w:t>投标保证金</w:t>
      </w:r>
      <w:r>
        <w:rPr>
          <w:rFonts w:hint="eastAsia" w:ascii="仿宋" w:hAnsi="仿宋" w:eastAsia="仿宋" w:cs="仿宋"/>
          <w:color w:val="auto"/>
          <w:sz w:val="21"/>
          <w:szCs w:val="21"/>
          <w:highlight w:val="none"/>
        </w:rPr>
        <w:t>可被贵方没收。</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⑹ 同意提供贵方可能要求的与本投标有关的任何证据或资料。</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⑺ 我们同意提供按照招标单位可能出示的与其投标有关的一切数据或资料。</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⑻ 我们理解贵方不一定要接受最低报价的投标或收到的任何投标。</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⑼ 与本投标有关的一切正式往来通讯请寄至：</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电话：</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传真：</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法定代表人或授权代表人（签字）：</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shd w:val="clear"/>
        <w:spacing w:line="400" w:lineRule="exac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hd w:val="clear"/>
        <w:spacing w:line="400" w:lineRule="exact"/>
        <w:outlineLvl w:val="0"/>
        <w:rPr>
          <w:rFonts w:hint="eastAsia" w:ascii="仿宋" w:hAnsi="仿宋" w:eastAsia="仿宋" w:cs="仿宋"/>
          <w:b/>
          <w:color w:val="auto"/>
          <w:sz w:val="21"/>
          <w:szCs w:val="21"/>
          <w:highlight w:val="none"/>
        </w:rPr>
      </w:pPr>
      <w:bookmarkStart w:id="41" w:name="_Toc21536"/>
      <w:bookmarkStart w:id="42" w:name="_Toc29707"/>
      <w:r>
        <w:rPr>
          <w:rFonts w:hint="eastAsia" w:ascii="仿宋" w:hAnsi="仿宋" w:eastAsia="仿宋" w:cs="仿宋"/>
          <w:b/>
          <w:color w:val="auto"/>
          <w:sz w:val="21"/>
          <w:szCs w:val="21"/>
          <w:highlight w:val="none"/>
        </w:rPr>
        <w:t>附件2：</w:t>
      </w:r>
      <w:bookmarkEnd w:id="41"/>
      <w:bookmarkEnd w:id="42"/>
      <w:bookmarkStart w:id="43" w:name="_Toc139965362"/>
    </w:p>
    <w:p>
      <w:pPr>
        <w:shd w:val="clear"/>
        <w:spacing w:line="400" w:lineRule="exact"/>
        <w:jc w:val="center"/>
        <w:outlineLvl w:val="0"/>
        <w:rPr>
          <w:rFonts w:hint="eastAsia" w:ascii="仿宋" w:hAnsi="仿宋" w:eastAsia="仿宋" w:cs="仿宋"/>
          <w:b/>
          <w:color w:val="auto"/>
          <w:sz w:val="21"/>
          <w:szCs w:val="21"/>
          <w:highlight w:val="none"/>
        </w:rPr>
      </w:pPr>
      <w:bookmarkStart w:id="44" w:name="_Toc327439494"/>
      <w:r>
        <w:rPr>
          <w:rFonts w:hint="eastAsia" w:ascii="仿宋" w:hAnsi="仿宋" w:eastAsia="仿宋" w:cs="仿宋"/>
          <w:b/>
          <w:color w:val="auto"/>
          <w:sz w:val="21"/>
          <w:szCs w:val="21"/>
          <w:highlight w:val="none"/>
        </w:rPr>
        <w:t>法定代表人身份证明</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单位性质：</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成立时间：年月日</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经营期限：</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姓名：性别：年龄：职务：</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p>
    <w:p>
      <w:pPr>
        <w:shd w:val="clear"/>
        <w:spacing w:line="40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系（</w:t>
      </w: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）的法定代表人。</w:t>
      </w:r>
    </w:p>
    <w:p>
      <w:pPr>
        <w:shd w:val="clear"/>
        <w:spacing w:line="400" w:lineRule="exact"/>
        <w:ind w:firstLine="840" w:firstLineChars="4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特此证明。</w:t>
      </w: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tbl>
      <w:tblPr>
        <w:tblStyle w:val="19"/>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hd w:val="clear"/>
              <w:spacing w:line="400" w:lineRule="exact"/>
              <w:jc w:val="center"/>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法定代表人身份证</w:t>
            </w:r>
          </w:p>
          <w:p>
            <w:pPr>
              <w:shd w:val="clear"/>
              <w:spacing w:line="400" w:lineRule="exact"/>
              <w:jc w:val="center"/>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复印件正面</w:t>
            </w:r>
          </w:p>
        </w:tc>
        <w:tc>
          <w:tcPr>
            <w:tcW w:w="4610" w:type="dxa"/>
            <w:vAlign w:val="center"/>
          </w:tcPr>
          <w:p>
            <w:pPr>
              <w:shd w:val="clear"/>
              <w:spacing w:line="400" w:lineRule="exact"/>
              <w:jc w:val="center"/>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法定代表人身份证</w:t>
            </w:r>
          </w:p>
          <w:p>
            <w:pPr>
              <w:shd w:val="clear"/>
              <w:spacing w:line="400" w:lineRule="exact"/>
              <w:jc w:val="center"/>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复印件反面</w:t>
            </w:r>
          </w:p>
        </w:tc>
      </w:tr>
    </w:tbl>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法定代表人（签字）：</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hd w:val="clear"/>
        <w:spacing w:line="400" w:lineRule="exact"/>
        <w:outlineLvl w:val="0"/>
        <w:rPr>
          <w:rFonts w:hint="eastAsia" w:ascii="仿宋" w:hAnsi="仿宋" w:eastAsia="仿宋" w:cs="仿宋"/>
          <w:b/>
          <w:color w:val="auto"/>
          <w:sz w:val="21"/>
          <w:szCs w:val="21"/>
          <w:highlight w:val="none"/>
        </w:rPr>
      </w:pPr>
      <w:bookmarkStart w:id="45" w:name="_Toc16424"/>
      <w:bookmarkStart w:id="46" w:name="_Toc24918"/>
      <w:r>
        <w:rPr>
          <w:rFonts w:hint="eastAsia" w:ascii="仿宋" w:hAnsi="仿宋" w:eastAsia="仿宋" w:cs="仿宋"/>
          <w:b/>
          <w:color w:val="auto"/>
          <w:sz w:val="21"/>
          <w:szCs w:val="21"/>
          <w:highlight w:val="none"/>
        </w:rPr>
        <w:t>附件3：</w:t>
      </w:r>
      <w:bookmarkEnd w:id="45"/>
      <w:bookmarkEnd w:id="46"/>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法定代表人授权委托书</w:t>
      </w:r>
    </w:p>
    <w:p>
      <w:pPr>
        <w:shd w:val="clear"/>
        <w:spacing w:line="400" w:lineRule="exact"/>
        <w:jc w:val="center"/>
        <w:outlineLvl w:val="9"/>
        <w:rPr>
          <w:rFonts w:hint="eastAsia" w:ascii="仿宋" w:hAnsi="仿宋" w:eastAsia="仿宋" w:cs="仿宋"/>
          <w:color w:val="auto"/>
          <w:sz w:val="21"/>
          <w:szCs w:val="21"/>
          <w:highlight w:val="none"/>
        </w:rPr>
      </w:pPr>
    </w:p>
    <w:p>
      <w:pPr>
        <w:shd w:val="clear"/>
        <w:spacing w:line="400" w:lineRule="exact"/>
        <w:ind w:firstLine="420" w:firstLineChars="200"/>
        <w:jc w:val="lef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本授权书声明：我单位的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（法人代表姓名、职务）代表本单位授权</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被授权人的姓名、职务）为本单位的合法代理人，就</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项目的投标及合同的执行、完成，以本单位的名义处理一切与之有关的事务。</w:t>
      </w:r>
    </w:p>
    <w:p>
      <w:pPr>
        <w:shd w:val="clear"/>
        <w:spacing w:line="400" w:lineRule="exact"/>
        <w:ind w:firstLine="538"/>
        <w:jc w:val="left"/>
        <w:outlineLvl w:val="9"/>
        <w:rPr>
          <w:rFonts w:hint="eastAsia" w:ascii="仿宋" w:hAnsi="仿宋" w:eastAsia="仿宋" w:cs="仿宋"/>
          <w:color w:val="auto"/>
          <w:sz w:val="21"/>
          <w:szCs w:val="21"/>
          <w:highlight w:val="none"/>
        </w:rPr>
      </w:pPr>
    </w:p>
    <w:p>
      <w:pPr>
        <w:shd w:val="clear"/>
        <w:spacing w:line="400" w:lineRule="exact"/>
        <w:ind w:firstLine="538"/>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本授权书于年月日签字生效，特此声明。</w:t>
      </w:r>
    </w:p>
    <w:p>
      <w:pPr>
        <w:shd w:val="clear"/>
        <w:spacing w:line="400" w:lineRule="exact"/>
        <w:ind w:firstLine="538"/>
        <w:jc w:val="lef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ind w:firstLine="437"/>
        <w:outlineLvl w:val="9"/>
        <w:rPr>
          <w:rFonts w:hint="eastAsia" w:ascii="仿宋" w:hAnsi="仿宋" w:eastAsia="仿宋" w:cs="仿宋"/>
          <w:color w:val="auto"/>
          <w:sz w:val="21"/>
          <w:szCs w:val="21"/>
          <w:highlight w:val="none"/>
        </w:rPr>
      </w:pPr>
    </w:p>
    <w:p>
      <w:pPr>
        <w:shd w:val="clear"/>
        <w:spacing w:line="400" w:lineRule="exact"/>
        <w:ind w:firstLine="437"/>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ind w:firstLine="437"/>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法定代表人签字：</w:t>
      </w:r>
    </w:p>
    <w:p>
      <w:pPr>
        <w:shd w:val="clear"/>
        <w:spacing w:line="400" w:lineRule="exact"/>
        <w:ind w:firstLine="437"/>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授权代表人签字：</w:t>
      </w:r>
    </w:p>
    <w:p>
      <w:pPr>
        <w:shd w:val="clear"/>
        <w:spacing w:line="400" w:lineRule="exact"/>
        <w:ind w:firstLine="411" w:firstLineChars="196"/>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年   月   日</w:t>
      </w:r>
    </w:p>
    <w:p>
      <w:pPr>
        <w:shd w:val="clear"/>
        <w:spacing w:line="400" w:lineRule="exact"/>
        <w:jc w:val="righ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pacing w:val="10"/>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outlineLvl w:val="9"/>
        <w:rPr>
          <w:rFonts w:hint="eastAsia" w:ascii="仿宋" w:hAnsi="仿宋" w:eastAsia="仿宋" w:cs="仿宋"/>
          <w:b/>
          <w:color w:val="auto"/>
          <w:sz w:val="21"/>
          <w:szCs w:val="21"/>
          <w:highlight w:val="none"/>
        </w:rPr>
      </w:pPr>
      <w:bookmarkStart w:id="47" w:name="_Toc9209"/>
      <w:r>
        <w:rPr>
          <w:rFonts w:hint="eastAsia" w:ascii="仿宋" w:hAnsi="仿宋" w:eastAsia="仿宋" w:cs="仿宋"/>
          <w:b/>
          <w:color w:val="auto"/>
          <w:sz w:val="21"/>
          <w:szCs w:val="21"/>
          <w:highlight w:val="none"/>
        </w:rPr>
        <w:br w:type="page"/>
      </w:r>
    </w:p>
    <w:p>
      <w:pPr>
        <w:shd w:val="clear"/>
        <w:spacing w:line="400" w:lineRule="exact"/>
        <w:jc w:val="left"/>
        <w:outlineLvl w:val="0"/>
        <w:rPr>
          <w:rFonts w:hint="eastAsia" w:ascii="仿宋" w:hAnsi="仿宋" w:eastAsia="仿宋" w:cs="仿宋"/>
          <w:b/>
          <w:color w:val="auto"/>
          <w:sz w:val="21"/>
          <w:szCs w:val="21"/>
          <w:highlight w:val="none"/>
        </w:rPr>
      </w:pPr>
      <w:bookmarkStart w:id="48" w:name="_Toc24114"/>
      <w:r>
        <w:rPr>
          <w:rFonts w:hint="eastAsia" w:ascii="仿宋" w:hAnsi="仿宋" w:eastAsia="仿宋" w:cs="仿宋"/>
          <w:b/>
          <w:color w:val="auto"/>
          <w:sz w:val="21"/>
          <w:szCs w:val="21"/>
          <w:highlight w:val="none"/>
        </w:rPr>
        <w:t>附件4：</w:t>
      </w:r>
      <w:bookmarkEnd w:id="47"/>
      <w:bookmarkEnd w:id="48"/>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报价一览表</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 xml:space="preserve">  项目编号：       </w:t>
      </w:r>
    </w:p>
    <w:tbl>
      <w:tblPr>
        <w:tblStyle w:val="19"/>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418"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6801"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服务期</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质量标准</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报价说明</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09"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418" w:type="dxa"/>
            <w:vAlign w:val="center"/>
          </w:tcPr>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801" w:type="dxa"/>
            <w:vAlign w:val="center"/>
          </w:tcPr>
          <w:p>
            <w:pPr>
              <w:shd w:val="clear"/>
              <w:spacing w:line="400" w:lineRule="exact"/>
              <w:outlineLvl w:val="9"/>
              <w:rPr>
                <w:rFonts w:hint="eastAsia" w:ascii="仿宋" w:hAnsi="仿宋" w:eastAsia="仿宋" w:cs="仿宋"/>
                <w:color w:val="auto"/>
                <w:sz w:val="21"/>
                <w:szCs w:val="21"/>
                <w:highlight w:val="none"/>
              </w:rPr>
            </w:pPr>
          </w:p>
        </w:tc>
      </w:tr>
    </w:tbl>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1、投标总价应为各分项报价之和。报价须以元为单位，小数点后保留2位。</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2、投标报价包括投标人为实施本项目提供投标产品及服务内容所包括的全部含税价格的体现。</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3、投标人必须自行考虑本项目在实施期间的一切可能产生的费用。在合同执行过程中，招标人将不再另行支付与本项目相关的任何费用（非本项目要求的其它内容除外）。</w:t>
      </w:r>
    </w:p>
    <w:p>
      <w:pPr>
        <w:shd w:val="clear"/>
        <w:spacing w:line="400" w:lineRule="exact"/>
        <w:outlineLvl w:val="9"/>
        <w:rPr>
          <w:rFonts w:hint="eastAsia" w:ascii="仿宋" w:hAnsi="仿宋" w:eastAsia="仿宋" w:cs="仿宋"/>
          <w:b/>
          <w:bCs/>
          <w:color w:val="auto"/>
          <w:sz w:val="21"/>
          <w:szCs w:val="21"/>
          <w:highlight w:val="none"/>
        </w:rPr>
      </w:pPr>
    </w:p>
    <w:p>
      <w:pPr>
        <w:shd w:val="clear"/>
        <w:spacing w:line="400" w:lineRule="exact"/>
        <w:outlineLvl w:val="9"/>
        <w:rPr>
          <w:rFonts w:hint="eastAsia" w:ascii="仿宋" w:hAnsi="仿宋" w:eastAsia="仿宋" w:cs="仿宋"/>
          <w:b/>
          <w:bCs/>
          <w:color w:val="auto"/>
          <w:sz w:val="21"/>
          <w:szCs w:val="21"/>
          <w:highlight w:val="none"/>
        </w:rPr>
      </w:pPr>
    </w:p>
    <w:p>
      <w:pPr>
        <w:pStyle w:val="8"/>
        <w:shd w:val="clear"/>
        <w:spacing w:line="400" w:lineRule="exact"/>
        <w:outlineLvl w:val="9"/>
        <w:rPr>
          <w:rFonts w:hint="eastAsia" w:ascii="仿宋" w:hAnsi="仿宋" w:eastAsia="仿宋" w:cs="仿宋"/>
          <w:b/>
          <w:bCs/>
          <w:color w:val="auto"/>
          <w:sz w:val="21"/>
          <w:szCs w:val="21"/>
          <w:highlight w:val="none"/>
        </w:rPr>
      </w:pPr>
    </w:p>
    <w:p>
      <w:pPr>
        <w:shd w:val="clear"/>
        <w:spacing w:line="400" w:lineRule="exact"/>
        <w:ind w:firstLine="420" w:firstLineChars="200"/>
        <w:jc w:val="lef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ind w:firstLine="420" w:firstLineChars="200"/>
        <w:jc w:val="lef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法定代表人或授权代表人（签字）：</w:t>
      </w:r>
    </w:p>
    <w:p>
      <w:pPr>
        <w:shd w:val="clear"/>
        <w:spacing w:line="400" w:lineRule="exact"/>
        <w:ind w:firstLine="420" w:firstLineChars="200"/>
        <w:jc w:val="left"/>
        <w:outlineLvl w:val="9"/>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rPr>
        <w:t>日期：</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 xml:space="preserve">     </w:t>
      </w:r>
    </w:p>
    <w:p>
      <w:pPr>
        <w:shd w:val="clear"/>
        <w:spacing w:line="400" w:lineRule="exact"/>
        <w:outlineLvl w:val="9"/>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u w:val="single"/>
        </w:rPr>
        <w:br w:type="page"/>
      </w:r>
    </w:p>
    <w:p>
      <w:pPr>
        <w:shd w:val="clear"/>
        <w:spacing w:line="400" w:lineRule="exact"/>
        <w:jc w:val="center"/>
        <w:outlineLvl w:val="9"/>
        <w:rPr>
          <w:rFonts w:hint="eastAsia" w:ascii="仿宋" w:hAnsi="仿宋" w:eastAsia="仿宋" w:cs="仿宋"/>
          <w:color w:val="auto"/>
          <w:sz w:val="21"/>
          <w:szCs w:val="21"/>
          <w:highlight w:val="none"/>
        </w:rPr>
      </w:pPr>
    </w:p>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报价明细表</w:t>
      </w:r>
    </w:p>
    <w:p>
      <w:pPr>
        <w:pStyle w:val="18"/>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 xml:space="preserve">  项目编号：</w:t>
      </w:r>
    </w:p>
    <w:tbl>
      <w:tblPr>
        <w:tblStyle w:val="19"/>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900"/>
        <w:gridCol w:w="2415"/>
        <w:gridCol w:w="1985"/>
        <w:gridCol w:w="18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93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90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rPr>
              <w:t>内容</w:t>
            </w:r>
          </w:p>
        </w:tc>
        <w:tc>
          <w:tcPr>
            <w:tcW w:w="2415"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单价（元）</w:t>
            </w:r>
          </w:p>
        </w:tc>
        <w:tc>
          <w:tcPr>
            <w:tcW w:w="1985"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842"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900"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415"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985"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c>
          <w:tcPr>
            <w:tcW w:w="1842"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3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900"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415"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985"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c>
          <w:tcPr>
            <w:tcW w:w="1842"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900"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415"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985" w:type="dxa"/>
          </w:tcPr>
          <w:p>
            <w:pPr>
              <w:shd w:val="clear"/>
              <w:spacing w:line="400" w:lineRule="exact"/>
              <w:jc w:val="left"/>
              <w:outlineLvl w:val="9"/>
              <w:rPr>
                <w:rFonts w:hint="eastAsia" w:ascii="仿宋" w:hAnsi="仿宋" w:eastAsia="仿宋" w:cs="仿宋"/>
                <w:b/>
                <w:color w:val="auto"/>
                <w:sz w:val="21"/>
                <w:szCs w:val="21"/>
                <w:highlight w:val="none"/>
                <w:u w:val="single"/>
              </w:rPr>
            </w:pPr>
          </w:p>
        </w:tc>
        <w:tc>
          <w:tcPr>
            <w:tcW w:w="1842"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900"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415"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985"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c>
          <w:tcPr>
            <w:tcW w:w="1842"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900"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415"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985"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c>
          <w:tcPr>
            <w:tcW w:w="1842"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900"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415"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985"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c>
          <w:tcPr>
            <w:tcW w:w="1842"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30" w:type="dxa"/>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1900"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415" w:type="dxa"/>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985"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c>
          <w:tcPr>
            <w:tcW w:w="1842" w:type="dxa"/>
          </w:tcPr>
          <w:p>
            <w:pPr>
              <w:shd w:val="clear"/>
              <w:spacing w:line="400" w:lineRule="exact"/>
              <w:jc w:val="center"/>
              <w:outlineLvl w:val="9"/>
              <w:rPr>
                <w:rFonts w:hint="eastAsia" w:ascii="仿宋" w:hAnsi="仿宋" w:eastAsia="仿宋" w:cs="仿宋"/>
                <w:b/>
                <w:color w:val="auto"/>
                <w:sz w:val="21"/>
                <w:szCs w:val="21"/>
                <w:highlight w:val="none"/>
                <w:u w:val="single"/>
              </w:rPr>
            </w:pPr>
          </w:p>
        </w:tc>
      </w:tr>
    </w:tbl>
    <w:p>
      <w:pPr>
        <w:shd w:val="clear"/>
        <w:spacing w:line="400" w:lineRule="exact"/>
        <w:outlineLvl w:val="9"/>
        <w:rPr>
          <w:rFonts w:hint="eastAsia" w:ascii="仿宋" w:hAnsi="仿宋" w:eastAsia="仿宋" w:cs="仿宋"/>
          <w:color w:val="auto"/>
          <w:sz w:val="21"/>
          <w:szCs w:val="21"/>
          <w:highlight w:val="none"/>
        </w:rPr>
      </w:pPr>
    </w:p>
    <w:p>
      <w:pPr>
        <w:shd w:val="clear"/>
        <w:spacing w:line="440" w:lineRule="exact"/>
        <w:outlineLvl w:val="9"/>
        <w:rPr>
          <w:rFonts w:hint="eastAsia" w:ascii="仿宋" w:hAnsi="仿宋" w:eastAsia="仿宋" w:cs="仿宋"/>
          <w:color w:val="auto"/>
          <w:sz w:val="21"/>
          <w:szCs w:val="21"/>
          <w:highlight w:val="none"/>
          <w:lang w:val="en-GB"/>
        </w:rPr>
      </w:pPr>
      <w:r>
        <w:rPr>
          <w:rFonts w:hint="eastAsia" w:ascii="仿宋" w:hAnsi="仿宋" w:eastAsia="仿宋" w:cs="仿宋"/>
          <w:color w:val="auto"/>
          <w:sz w:val="21"/>
          <w:szCs w:val="21"/>
          <w:highlight w:val="none"/>
        </w:rPr>
        <w:t>注：本项目我方服务范围如有任何漏项，但确实是采购人采购范围中应该有的，是满足技术规范及国家或行业有关标准要求所必须的，均应由投标人负责将漏项补齐并填报在对应分项的“其它”栏中，在备注栏中予以说明。合同签订后如发现仍有遗漏，仍由投标人无偿提供补齐。</w:t>
      </w:r>
    </w:p>
    <w:p>
      <w:pPr>
        <w:shd w:val="clear"/>
        <w:spacing w:line="44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jc w:val="lef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jc w:val="lef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法定代表人（签字）：</w:t>
      </w:r>
    </w:p>
    <w:p>
      <w:pPr>
        <w:shd w:val="clear"/>
        <w:spacing w:line="400" w:lineRule="exact"/>
        <w:jc w:val="left"/>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shd w:val="clear"/>
        <w:spacing w:line="400" w:lineRule="exact"/>
        <w:jc w:val="righ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bookmarkEnd w:id="43"/>
    <w:bookmarkEnd w:id="44"/>
    <w:p>
      <w:pPr>
        <w:shd w:val="clear"/>
        <w:spacing w:line="400" w:lineRule="exact"/>
        <w:outlineLvl w:val="0"/>
        <w:rPr>
          <w:rFonts w:hint="eastAsia" w:ascii="仿宋" w:hAnsi="仿宋" w:eastAsia="仿宋" w:cs="仿宋"/>
          <w:b/>
          <w:color w:val="auto"/>
          <w:sz w:val="21"/>
          <w:szCs w:val="21"/>
          <w:highlight w:val="none"/>
        </w:rPr>
      </w:pPr>
      <w:bookmarkStart w:id="49" w:name="_Toc32506"/>
      <w:bookmarkStart w:id="50" w:name="_Toc21842"/>
      <w:r>
        <w:rPr>
          <w:rFonts w:hint="eastAsia" w:ascii="仿宋" w:hAnsi="仿宋" w:eastAsia="仿宋" w:cs="仿宋"/>
          <w:b/>
          <w:color w:val="auto"/>
          <w:sz w:val="21"/>
          <w:szCs w:val="21"/>
          <w:highlight w:val="none"/>
        </w:rPr>
        <w:t>附件5：</w:t>
      </w:r>
      <w:bookmarkEnd w:id="49"/>
      <w:bookmarkEnd w:id="50"/>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商务偏离表</w:t>
      </w:r>
    </w:p>
    <w:p>
      <w:pPr>
        <w:shd w:val="clear"/>
        <w:spacing w:line="400" w:lineRule="exact"/>
        <w:jc w:val="center"/>
        <w:outlineLvl w:val="9"/>
        <w:rPr>
          <w:rFonts w:hint="eastAsia" w:ascii="仿宋" w:hAnsi="仿宋" w:eastAsia="仿宋" w:cs="仿宋"/>
          <w:b/>
          <w:color w:val="auto"/>
          <w:sz w:val="21"/>
          <w:szCs w:val="21"/>
          <w:highlight w:val="none"/>
        </w:rPr>
      </w:pPr>
    </w:p>
    <w:tbl>
      <w:tblPr>
        <w:tblStyle w:val="19"/>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1983"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采购</w:t>
            </w:r>
            <w:r>
              <w:rPr>
                <w:rFonts w:hint="eastAsia" w:ascii="仿宋" w:hAnsi="仿宋" w:eastAsia="仿宋" w:cs="仿宋"/>
                <w:bCs/>
                <w:color w:val="auto"/>
                <w:sz w:val="21"/>
                <w:szCs w:val="21"/>
                <w:highlight w:val="none"/>
              </w:rPr>
              <w:t>文件条目号</w:t>
            </w:r>
          </w:p>
        </w:tc>
        <w:tc>
          <w:tcPr>
            <w:tcW w:w="234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采购</w:t>
            </w:r>
            <w:r>
              <w:rPr>
                <w:rFonts w:hint="eastAsia" w:ascii="仿宋" w:hAnsi="仿宋" w:eastAsia="仿宋" w:cs="仿宋"/>
                <w:bCs/>
                <w:color w:val="auto"/>
                <w:sz w:val="21"/>
                <w:szCs w:val="21"/>
                <w:highlight w:val="none"/>
              </w:rPr>
              <w:t>文件的商务条款</w:t>
            </w:r>
          </w:p>
        </w:tc>
        <w:tc>
          <w:tcPr>
            <w:tcW w:w="2345" w:type="dxa"/>
            <w:vAlign w:val="center"/>
          </w:tcPr>
          <w:p>
            <w:pPr>
              <w:shd w:val="clear"/>
              <w:spacing w:line="400" w:lineRule="exact"/>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采购</w:t>
            </w:r>
            <w:r>
              <w:rPr>
                <w:rFonts w:hint="eastAsia" w:ascii="仿宋" w:hAnsi="仿宋" w:eastAsia="仿宋" w:cs="仿宋"/>
                <w:bCs/>
                <w:color w:val="auto"/>
                <w:sz w:val="21"/>
                <w:szCs w:val="21"/>
                <w:highlight w:val="none"/>
              </w:rPr>
              <w:t>文件的商务条款</w:t>
            </w:r>
          </w:p>
        </w:tc>
        <w:tc>
          <w:tcPr>
            <w:tcW w:w="1274" w:type="dxa"/>
            <w:tcBorders>
              <w:righ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偏离情况</w:t>
            </w:r>
          </w:p>
        </w:tc>
        <w:tc>
          <w:tcPr>
            <w:tcW w:w="900" w:type="dxa"/>
            <w:tcBorders>
              <w:lef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983"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5" w:type="dxa"/>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274" w:type="dxa"/>
            <w:tcBorders>
              <w:righ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900" w:type="dxa"/>
            <w:tcBorders>
              <w:lef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983"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5" w:type="dxa"/>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274" w:type="dxa"/>
            <w:tcBorders>
              <w:righ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900" w:type="dxa"/>
            <w:tcBorders>
              <w:lef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983"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5" w:type="dxa"/>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274" w:type="dxa"/>
            <w:tcBorders>
              <w:righ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900" w:type="dxa"/>
            <w:tcBorders>
              <w:lef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983"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5" w:type="dxa"/>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274" w:type="dxa"/>
            <w:tcBorders>
              <w:righ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900" w:type="dxa"/>
            <w:tcBorders>
              <w:lef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983"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5" w:type="dxa"/>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274" w:type="dxa"/>
            <w:tcBorders>
              <w:righ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900" w:type="dxa"/>
            <w:tcBorders>
              <w:lef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983"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5" w:type="dxa"/>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274" w:type="dxa"/>
            <w:tcBorders>
              <w:righ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900" w:type="dxa"/>
            <w:tcBorders>
              <w:lef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983"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8" w:type="dxa"/>
            <w:tcMar>
              <w:top w:w="15" w:type="dxa"/>
              <w:left w:w="15" w:type="dxa"/>
              <w:bottom w:w="0" w:type="dxa"/>
              <w:right w:w="15" w:type="dxa"/>
            </w:tcMar>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2345" w:type="dxa"/>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1274" w:type="dxa"/>
            <w:tcBorders>
              <w:righ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c>
          <w:tcPr>
            <w:tcW w:w="900" w:type="dxa"/>
            <w:tcBorders>
              <w:left w:val="single" w:color="auto" w:sz="4" w:space="0"/>
            </w:tcBorders>
            <w:vAlign w:val="center"/>
          </w:tcPr>
          <w:p>
            <w:pPr>
              <w:shd w:val="clear"/>
              <w:spacing w:line="400" w:lineRule="exact"/>
              <w:jc w:val="center"/>
              <w:outlineLvl w:val="9"/>
              <w:rPr>
                <w:rFonts w:hint="eastAsia" w:ascii="仿宋" w:hAnsi="仿宋" w:eastAsia="仿宋" w:cs="仿宋"/>
                <w:bCs/>
                <w:color w:val="auto"/>
                <w:sz w:val="21"/>
                <w:szCs w:val="21"/>
                <w:highlight w:val="none"/>
              </w:rPr>
            </w:pPr>
          </w:p>
        </w:tc>
      </w:tr>
    </w:tbl>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注：除本商务偏离表中所列的偏离内容外，其他所有商务条款均应完全响应“</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”中的要求。</w:t>
      </w: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u w:val="single"/>
        </w:rPr>
      </w:pPr>
      <w:bookmarkStart w:id="51" w:name="_Toc327439493"/>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法定代表人（签字）：</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shd w:val="clear"/>
        <w:snapToGrid w:val="0"/>
        <w:spacing w:line="400" w:lineRule="exact"/>
        <w:ind w:firstLine="5145" w:firstLineChars="2450"/>
        <w:outlineLvl w:val="9"/>
        <w:rPr>
          <w:rFonts w:hint="eastAsia" w:ascii="仿宋" w:hAnsi="仿宋" w:eastAsia="仿宋" w:cs="仿宋"/>
          <w:bCs/>
          <w:color w:val="auto"/>
          <w:sz w:val="21"/>
          <w:szCs w:val="21"/>
          <w:highlight w:val="none"/>
          <w:u w:val="single"/>
        </w:rPr>
      </w:pPr>
    </w:p>
    <w:p>
      <w:pPr>
        <w:shd w:val="clear"/>
        <w:snapToGrid w:val="0"/>
        <w:spacing w:line="400" w:lineRule="exact"/>
        <w:ind w:firstLine="5145" w:firstLineChars="2450"/>
        <w:outlineLvl w:val="9"/>
        <w:rPr>
          <w:rFonts w:hint="eastAsia" w:ascii="仿宋" w:hAnsi="仿宋" w:eastAsia="仿宋" w:cs="仿宋"/>
          <w:bCs/>
          <w:color w:val="auto"/>
          <w:sz w:val="21"/>
          <w:szCs w:val="21"/>
          <w:highlight w:val="none"/>
          <w:u w:val="single"/>
        </w:rPr>
      </w:pPr>
    </w:p>
    <w:p>
      <w:pPr>
        <w:shd w:val="clear"/>
        <w:snapToGrid w:val="0"/>
        <w:spacing w:line="400" w:lineRule="exact"/>
        <w:ind w:firstLine="5145" w:firstLineChars="2450"/>
        <w:outlineLvl w:val="9"/>
        <w:rPr>
          <w:rFonts w:hint="eastAsia" w:ascii="仿宋" w:hAnsi="仿宋" w:eastAsia="仿宋" w:cs="仿宋"/>
          <w:bCs/>
          <w:color w:val="auto"/>
          <w:sz w:val="21"/>
          <w:szCs w:val="21"/>
          <w:highlight w:val="none"/>
          <w:u w:val="single"/>
        </w:rPr>
      </w:pPr>
    </w:p>
    <w:p>
      <w:pPr>
        <w:shd w:val="clear"/>
        <w:snapToGrid w:val="0"/>
        <w:spacing w:line="400" w:lineRule="exact"/>
        <w:ind w:firstLine="5145" w:firstLineChars="2450"/>
        <w:outlineLvl w:val="9"/>
        <w:rPr>
          <w:rFonts w:hint="eastAsia" w:ascii="仿宋" w:hAnsi="仿宋" w:eastAsia="仿宋" w:cs="仿宋"/>
          <w:bCs/>
          <w:color w:val="auto"/>
          <w:sz w:val="21"/>
          <w:szCs w:val="21"/>
          <w:highlight w:val="none"/>
          <w:u w:val="single"/>
        </w:rPr>
      </w:pPr>
    </w:p>
    <w:p>
      <w:pPr>
        <w:shd w:val="clear"/>
        <w:snapToGrid w:val="0"/>
        <w:spacing w:line="400" w:lineRule="exact"/>
        <w:ind w:firstLine="5145" w:firstLineChars="2450"/>
        <w:outlineLvl w:val="9"/>
        <w:rPr>
          <w:rFonts w:hint="eastAsia" w:ascii="仿宋" w:hAnsi="仿宋" w:eastAsia="仿宋" w:cs="仿宋"/>
          <w:bCs/>
          <w:color w:val="auto"/>
          <w:sz w:val="21"/>
          <w:szCs w:val="21"/>
          <w:highlight w:val="none"/>
          <w:u w:val="single"/>
        </w:rPr>
      </w:pPr>
    </w:p>
    <w:p>
      <w:pPr>
        <w:shd w:val="clear"/>
        <w:snapToGrid w:val="0"/>
        <w:spacing w:line="400" w:lineRule="exact"/>
        <w:ind w:firstLine="5145" w:firstLineChars="2450"/>
        <w:outlineLvl w:val="9"/>
        <w:rPr>
          <w:rFonts w:hint="eastAsia" w:ascii="仿宋" w:hAnsi="仿宋" w:eastAsia="仿宋" w:cs="仿宋"/>
          <w:bCs/>
          <w:color w:val="auto"/>
          <w:sz w:val="21"/>
          <w:szCs w:val="21"/>
          <w:highlight w:val="none"/>
          <w:u w:val="single"/>
        </w:rPr>
      </w:pPr>
    </w:p>
    <w:p>
      <w:pPr>
        <w:shd w:val="clear"/>
        <w:snapToGrid w:val="0"/>
        <w:spacing w:line="400" w:lineRule="exact"/>
        <w:outlineLvl w:val="9"/>
        <w:rPr>
          <w:rFonts w:hint="eastAsia" w:ascii="仿宋" w:hAnsi="仿宋" w:eastAsia="仿宋" w:cs="仿宋"/>
          <w:bCs/>
          <w:color w:val="auto"/>
          <w:sz w:val="21"/>
          <w:szCs w:val="21"/>
          <w:highlight w:val="none"/>
          <w:u w:val="singl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hd w:val="clear"/>
        <w:spacing w:line="400" w:lineRule="exact"/>
        <w:outlineLvl w:val="0"/>
        <w:rPr>
          <w:rFonts w:hint="eastAsia" w:ascii="仿宋" w:hAnsi="仿宋" w:eastAsia="仿宋" w:cs="仿宋"/>
          <w:b/>
          <w:color w:val="auto"/>
          <w:sz w:val="21"/>
          <w:szCs w:val="21"/>
          <w:highlight w:val="none"/>
        </w:rPr>
      </w:pPr>
      <w:bookmarkStart w:id="52" w:name="_Toc8206"/>
      <w:bookmarkStart w:id="53" w:name="_Toc13059"/>
      <w:r>
        <w:rPr>
          <w:rFonts w:hint="eastAsia" w:ascii="仿宋" w:hAnsi="仿宋" w:eastAsia="仿宋" w:cs="仿宋"/>
          <w:b/>
          <w:color w:val="auto"/>
          <w:sz w:val="21"/>
          <w:szCs w:val="21"/>
          <w:highlight w:val="none"/>
        </w:rPr>
        <w:t>附件6：</w:t>
      </w:r>
      <w:bookmarkEnd w:id="52"/>
      <w:bookmarkEnd w:id="53"/>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技术偏离表</w:t>
      </w:r>
    </w:p>
    <w:tbl>
      <w:tblPr>
        <w:tblStyle w:val="19"/>
        <w:tblW w:w="8496" w:type="dxa"/>
        <w:jc w:val="center"/>
        <w:tblLayout w:type="fixed"/>
        <w:tblCellMar>
          <w:top w:w="0" w:type="dxa"/>
          <w:left w:w="0" w:type="dxa"/>
          <w:bottom w:w="0" w:type="dxa"/>
          <w:right w:w="0" w:type="dxa"/>
        </w:tblCellMar>
      </w:tblPr>
      <w:tblGrid>
        <w:gridCol w:w="1427"/>
        <w:gridCol w:w="1440"/>
        <w:gridCol w:w="2160"/>
        <w:gridCol w:w="2340"/>
        <w:gridCol w:w="1129"/>
      </w:tblGrid>
      <w:tr>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400" w:lineRule="exact"/>
              <w:outlineLvl w:val="9"/>
              <w:rPr>
                <w:rFonts w:hint="eastAsia" w:ascii="仿宋" w:hAnsi="仿宋" w:eastAsia="仿宋" w:cs="仿宋"/>
                <w:color w:val="auto"/>
                <w:sz w:val="21"/>
                <w:szCs w:val="21"/>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400" w:lineRule="exact"/>
              <w:outlineLvl w:val="9"/>
              <w:rPr>
                <w:rFonts w:hint="eastAsia" w:ascii="仿宋" w:hAnsi="仿宋" w:eastAsia="仿宋" w:cs="仿宋"/>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12"/>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技术要求</w:t>
            </w:r>
          </w:p>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12"/>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供应商的技术响</w:t>
            </w:r>
          </w:p>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hd w:val="clear"/>
              <w:spacing w:line="400" w:lineRule="exact"/>
              <w:jc w:val="center"/>
              <w:outlineLvl w:val="9"/>
              <w:rPr>
                <w:rFonts w:hint="eastAsia" w:ascii="仿宋" w:hAnsi="仿宋" w:eastAsia="仿宋" w:cs="仿宋"/>
                <w:color w:val="auto"/>
                <w:sz w:val="21"/>
                <w:szCs w:val="21"/>
                <w:highlight w:val="none"/>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hd w:val="clear"/>
              <w:spacing w:line="400" w:lineRule="exact"/>
              <w:outlineLvl w:val="9"/>
              <w:rPr>
                <w:rFonts w:hint="eastAsia" w:ascii="仿宋" w:hAnsi="仿宋" w:eastAsia="仿宋" w:cs="仿宋"/>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hd w:val="clear"/>
              <w:spacing w:line="400" w:lineRule="exact"/>
              <w:jc w:val="center"/>
              <w:outlineLvl w:val="9"/>
              <w:rPr>
                <w:rFonts w:hint="eastAsia" w:ascii="仿宋" w:hAnsi="仿宋" w:eastAsia="仿宋" w:cs="仿宋"/>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hd w:val="clear"/>
              <w:spacing w:line="400" w:lineRule="exact"/>
              <w:outlineLvl w:val="9"/>
              <w:rPr>
                <w:rFonts w:hint="eastAsia" w:ascii="仿宋" w:hAnsi="仿宋" w:eastAsia="仿宋" w:cs="仿宋"/>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hd w:val="clear"/>
              <w:spacing w:line="400" w:lineRule="exact"/>
              <w:outlineLvl w:val="9"/>
              <w:rPr>
                <w:rFonts w:hint="eastAsia" w:ascii="仿宋" w:hAnsi="仿宋" w:eastAsia="仿宋" w:cs="仿宋"/>
                <w:color w:val="auto"/>
                <w:sz w:val="21"/>
                <w:szCs w:val="21"/>
                <w:highlight w:val="none"/>
              </w:rPr>
            </w:pPr>
          </w:p>
        </w:tc>
      </w:tr>
      <w:tr>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hd w:val="clear"/>
              <w:spacing w:line="400" w:lineRule="exact"/>
              <w:outlineLvl w:val="9"/>
              <w:rPr>
                <w:rFonts w:hint="eastAsia" w:ascii="仿宋" w:hAnsi="仿宋" w:eastAsia="仿宋" w:cs="仿宋"/>
                <w:color w:val="auto"/>
                <w:sz w:val="21"/>
                <w:szCs w:val="21"/>
                <w:highlight w:val="none"/>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hd w:val="clear"/>
              <w:spacing w:line="400" w:lineRule="exact"/>
              <w:jc w:val="center"/>
              <w:outlineLvl w:val="9"/>
              <w:rPr>
                <w:rFonts w:hint="eastAsia" w:ascii="仿宋" w:hAnsi="仿宋" w:eastAsia="仿宋" w:cs="仿宋"/>
                <w:color w:val="auto"/>
                <w:sz w:val="21"/>
                <w:szCs w:val="21"/>
                <w:highlight w:val="none"/>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hd w:val="clear"/>
              <w:spacing w:line="400" w:lineRule="exact"/>
              <w:outlineLvl w:val="9"/>
              <w:rPr>
                <w:rFonts w:hint="eastAsia" w:ascii="仿宋" w:hAnsi="仿宋" w:eastAsia="仿宋" w:cs="仿宋"/>
                <w:color w:val="auto"/>
                <w:sz w:val="21"/>
                <w:szCs w:val="21"/>
                <w:highlight w:val="none"/>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hd w:val="clear"/>
              <w:spacing w:line="400" w:lineRule="exact"/>
              <w:outlineLvl w:val="9"/>
              <w:rPr>
                <w:rFonts w:hint="eastAsia" w:ascii="仿宋" w:hAnsi="仿宋" w:eastAsia="仿宋" w:cs="仿宋"/>
                <w:color w:val="auto"/>
                <w:sz w:val="21"/>
                <w:szCs w:val="21"/>
                <w:highlight w:val="none"/>
              </w:rPr>
            </w:pPr>
          </w:p>
        </w:tc>
      </w:tr>
    </w:tbl>
    <w:p>
      <w:pPr>
        <w:shd w:val="clear"/>
        <w:snapToGrid w:val="0"/>
        <w:spacing w:line="400" w:lineRule="exact"/>
        <w:jc w:val="center"/>
        <w:outlineLvl w:val="9"/>
        <w:rPr>
          <w:rFonts w:hint="eastAsia" w:ascii="仿宋" w:hAnsi="仿宋" w:eastAsia="仿宋" w:cs="仿宋"/>
          <w:b/>
          <w:color w:val="auto"/>
          <w:sz w:val="21"/>
          <w:szCs w:val="21"/>
          <w:highlight w:val="none"/>
        </w:rPr>
      </w:pPr>
    </w:p>
    <w:p>
      <w:pPr>
        <w:shd w:val="clear"/>
        <w:adjustRightInd w:val="0"/>
        <w:snapToGrid w:val="0"/>
        <w:spacing w:line="440" w:lineRule="exact"/>
        <w:ind w:left="693" w:hanging="693" w:hangingChars="33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pPr>
        <w:pStyle w:val="29"/>
        <w:numPr>
          <w:ilvl w:val="3"/>
          <w:numId w:val="6"/>
        </w:numPr>
        <w:shd w:val="clear"/>
        <w:adjustRightInd w:val="0"/>
        <w:snapToGrid w:val="0"/>
        <w:spacing w:line="440" w:lineRule="exact"/>
        <w:ind w:left="0" w:firstLine="0" w:firstLineChars="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投标人应当逐条对照采购文件合同条款，就投标文件对合同条款存在的偏差与例外逐条做出说明；</w:t>
      </w:r>
    </w:p>
    <w:p>
      <w:pPr>
        <w:pStyle w:val="29"/>
        <w:numPr>
          <w:ilvl w:val="3"/>
          <w:numId w:val="6"/>
        </w:numPr>
        <w:shd w:val="clear"/>
        <w:adjustRightInd w:val="0"/>
        <w:snapToGrid w:val="0"/>
        <w:spacing w:line="440" w:lineRule="exact"/>
        <w:ind w:left="0" w:firstLine="0" w:firstLineChars="0"/>
        <w:outlineLvl w:val="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如投标文件对合同条款无任何偏差，投标人仅需在本偏离表中填写“无偏离”即可。</w:t>
      </w:r>
    </w:p>
    <w:p>
      <w:pPr>
        <w:pStyle w:val="16"/>
        <w:shd w:val="clear"/>
        <w:spacing w:line="400" w:lineRule="exact"/>
        <w:ind w:left="480" w:hanging="480"/>
        <w:outlineLvl w:val="9"/>
        <w:rPr>
          <w:rFonts w:hint="eastAsia" w:ascii="仿宋" w:hAnsi="仿宋" w:eastAsia="仿宋" w:cs="仿宋"/>
          <w:b w:val="0"/>
          <w:color w:val="auto"/>
          <w:sz w:val="21"/>
          <w:szCs w:val="21"/>
          <w:highlight w:val="none"/>
        </w:rPr>
      </w:pPr>
    </w:p>
    <w:p>
      <w:pPr>
        <w:pStyle w:val="16"/>
        <w:shd w:val="clear"/>
        <w:spacing w:line="400" w:lineRule="exact"/>
        <w:ind w:left="480" w:hanging="480"/>
        <w:outlineLvl w:val="9"/>
        <w:rPr>
          <w:rFonts w:hint="eastAsia" w:ascii="仿宋" w:hAnsi="仿宋" w:eastAsia="仿宋" w:cs="仿宋"/>
          <w:b w:val="0"/>
          <w:color w:val="auto"/>
          <w:sz w:val="21"/>
          <w:szCs w:val="21"/>
          <w:highlight w:val="none"/>
        </w:rPr>
      </w:pPr>
    </w:p>
    <w:p>
      <w:pPr>
        <w:shd w:val="clear"/>
        <w:spacing w:line="400" w:lineRule="exact"/>
        <w:outlineLvl w:val="9"/>
        <w:rPr>
          <w:rFonts w:hint="eastAsia" w:ascii="仿宋" w:hAnsi="仿宋" w:eastAsia="仿宋" w:cs="仿宋"/>
          <w:bCs/>
          <w:color w:val="auto"/>
          <w:sz w:val="21"/>
          <w:szCs w:val="21"/>
          <w:highlight w:val="none"/>
        </w:rPr>
      </w:pPr>
    </w:p>
    <w:p>
      <w:pPr>
        <w:shd w:val="clear"/>
        <w:spacing w:line="400" w:lineRule="exact"/>
        <w:outlineLvl w:val="9"/>
        <w:rPr>
          <w:rFonts w:hint="eastAsia" w:ascii="仿宋" w:hAnsi="仿宋" w:eastAsia="仿宋" w:cs="仿宋"/>
          <w:bCs/>
          <w:color w:val="auto"/>
          <w:sz w:val="21"/>
          <w:szCs w:val="21"/>
          <w:highlight w:val="none"/>
        </w:rPr>
      </w:pP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法定代表人（签字）：</w:t>
      </w:r>
    </w:p>
    <w:p>
      <w:pPr>
        <w:shd w:val="clear"/>
        <w:spacing w:line="400" w:lineRule="exact"/>
        <w:ind w:firstLine="420" w:firstLineChars="200"/>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shd w:val="clear"/>
        <w:spacing w:line="400" w:lineRule="exact"/>
        <w:outlineLvl w:val="9"/>
        <w:rPr>
          <w:rFonts w:hint="eastAsia" w:ascii="仿宋" w:hAnsi="仿宋" w:eastAsia="仿宋" w:cs="仿宋"/>
          <w:b/>
          <w:bCs/>
          <w:color w:val="auto"/>
          <w:sz w:val="21"/>
          <w:szCs w:val="21"/>
          <w:highlight w:val="none"/>
        </w:rPr>
      </w:pPr>
    </w:p>
    <w:bookmarkEnd w:id="51"/>
    <w:p>
      <w:pPr>
        <w:shd w:val="clear"/>
        <w:spacing w:line="400" w:lineRule="exact"/>
        <w:outlineLvl w:val="9"/>
        <w:rPr>
          <w:rFonts w:hint="eastAsia" w:ascii="仿宋" w:hAnsi="仿宋" w:eastAsia="仿宋" w:cs="仿宋"/>
          <w:color w:val="auto"/>
          <w:sz w:val="21"/>
          <w:szCs w:val="21"/>
          <w:highlight w:val="none"/>
        </w:rPr>
        <w:sectPr>
          <w:headerReference r:id="rId9" w:type="default"/>
          <w:pgSz w:w="11906" w:h="16838"/>
          <w:pgMar w:top="1304" w:right="1247" w:bottom="1418" w:left="1247" w:header="851" w:footer="992" w:gutter="0"/>
          <w:pgBorders>
            <w:top w:val="none" w:sz="0" w:space="0"/>
            <w:left w:val="none" w:sz="0" w:space="0"/>
            <w:bottom w:val="none" w:sz="0" w:space="0"/>
            <w:right w:val="none" w:sz="0" w:space="0"/>
          </w:pgBorders>
          <w:pgNumType w:fmt="decimal"/>
          <w:cols w:space="720" w:num="1"/>
          <w:docGrid w:linePitch="312" w:charSpace="0"/>
        </w:sectPr>
      </w:pPr>
      <w:bookmarkStart w:id="54" w:name="_Toc258923314"/>
      <w:bookmarkStart w:id="55" w:name="_Toc400536597"/>
    </w:p>
    <w:p>
      <w:pPr>
        <w:shd w:val="clear"/>
        <w:spacing w:line="400" w:lineRule="exact"/>
        <w:outlineLvl w:val="0"/>
        <w:rPr>
          <w:rFonts w:hint="eastAsia" w:ascii="仿宋" w:hAnsi="仿宋" w:eastAsia="仿宋" w:cs="仿宋"/>
          <w:b/>
          <w:color w:val="auto"/>
          <w:sz w:val="21"/>
          <w:szCs w:val="21"/>
          <w:highlight w:val="none"/>
        </w:rPr>
      </w:pPr>
      <w:bookmarkStart w:id="56" w:name="_Toc5690"/>
      <w:bookmarkStart w:id="57" w:name="_Toc27697"/>
      <w:r>
        <w:rPr>
          <w:rFonts w:hint="eastAsia" w:ascii="仿宋" w:hAnsi="仿宋" w:eastAsia="仿宋" w:cs="仿宋"/>
          <w:b/>
          <w:color w:val="auto"/>
          <w:sz w:val="21"/>
          <w:szCs w:val="21"/>
          <w:highlight w:val="none"/>
        </w:rPr>
        <w:t>附件7：</w:t>
      </w:r>
      <w:bookmarkEnd w:id="56"/>
      <w:bookmarkEnd w:id="57"/>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公司业绩一览表</w:t>
      </w:r>
      <w:bookmarkEnd w:id="54"/>
      <w:bookmarkEnd w:id="55"/>
    </w:p>
    <w:p>
      <w:pPr>
        <w:shd w:val="clear"/>
        <w:spacing w:line="400" w:lineRule="exact"/>
        <w:jc w:val="center"/>
        <w:outlineLvl w:val="9"/>
        <w:rPr>
          <w:rFonts w:hint="eastAsia" w:ascii="仿宋" w:hAnsi="仿宋" w:eastAsia="仿宋" w:cs="仿宋"/>
          <w:color w:val="auto"/>
          <w:sz w:val="21"/>
          <w:szCs w:val="21"/>
          <w:highlight w:val="none"/>
        </w:rPr>
      </w:pPr>
    </w:p>
    <w:tbl>
      <w:tblPr>
        <w:tblStyle w:val="19"/>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shd w:val="clear"/>
              <w:spacing w:line="400" w:lineRule="exact"/>
              <w:outlineLvl w:val="9"/>
              <w:rPr>
                <w:rFonts w:hint="eastAsia" w:ascii="仿宋" w:hAnsi="仿宋" w:eastAsia="仿宋" w:cs="仿宋"/>
                <w:color w:val="auto"/>
                <w:sz w:val="21"/>
                <w:szCs w:val="21"/>
                <w:highlight w:val="none"/>
              </w:rPr>
            </w:pPr>
          </w:p>
        </w:tc>
      </w:tr>
    </w:tbl>
    <w:p>
      <w:pPr>
        <w:shd w:val="clear"/>
        <w:spacing w:line="400" w:lineRule="exact"/>
        <w:outlineLvl w:val="9"/>
        <w:rPr>
          <w:rFonts w:hint="eastAsia" w:ascii="仿宋" w:hAnsi="仿宋" w:eastAsia="仿宋" w:cs="仿宋"/>
          <w:color w:val="auto"/>
          <w:sz w:val="21"/>
          <w:szCs w:val="21"/>
          <w:highlight w:val="none"/>
        </w:rPr>
      </w:pP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1.投标人必须提供合同复印件</w:t>
      </w: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rPr>
        <w:t>中标通知书或结项证明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作为证明材料。</w:t>
      </w: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2.证明材料的复印件必须附在本表格之后，否则在评审时该项业绩无效。</w:t>
      </w: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法定代表人（签字）：</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shd w:val="clear"/>
        <w:spacing w:line="400" w:lineRule="exact"/>
        <w:outlineLvl w:val="9"/>
        <w:rPr>
          <w:rFonts w:hint="eastAsia" w:ascii="仿宋" w:hAnsi="仿宋" w:eastAsia="仿宋" w:cs="仿宋"/>
          <w:b/>
          <w:bCs/>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hd w:val="clear"/>
        <w:spacing w:line="400" w:lineRule="exact"/>
        <w:jc w:val="center"/>
        <w:outlineLvl w:val="0"/>
        <w:rPr>
          <w:rFonts w:hint="eastAsia" w:ascii="仿宋" w:hAnsi="仿宋" w:eastAsia="仿宋" w:cs="仿宋"/>
          <w:b/>
          <w:color w:val="auto"/>
          <w:sz w:val="21"/>
          <w:szCs w:val="21"/>
          <w:highlight w:val="none"/>
        </w:rPr>
      </w:pPr>
      <w:bookmarkStart w:id="58" w:name="_Toc14230"/>
      <w:bookmarkStart w:id="59" w:name="_Toc6256"/>
      <w:r>
        <w:rPr>
          <w:rFonts w:hint="eastAsia" w:ascii="仿宋" w:hAnsi="仿宋" w:eastAsia="仿宋" w:cs="仿宋"/>
          <w:b/>
          <w:color w:val="auto"/>
          <w:sz w:val="21"/>
          <w:szCs w:val="21"/>
          <w:highlight w:val="none"/>
        </w:rPr>
        <w:t>拟投入本项目的人员一览表</w:t>
      </w:r>
    </w:p>
    <w:p>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19"/>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157"/>
        <w:gridCol w:w="1561"/>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职责分工</w:t>
            </w:r>
          </w:p>
        </w:tc>
        <w:tc>
          <w:tcPr>
            <w:tcW w:w="1183" w:type="dxa"/>
            <w:noWrap w:val="0"/>
            <w:vAlign w:val="center"/>
          </w:tcPr>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945" w:type="dxa"/>
            <w:noWrap w:val="0"/>
            <w:vAlign w:val="center"/>
          </w:tcPr>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年龄</w:t>
            </w:r>
          </w:p>
        </w:tc>
        <w:tc>
          <w:tcPr>
            <w:tcW w:w="1137" w:type="dxa"/>
            <w:noWrap w:val="0"/>
            <w:vAlign w:val="center"/>
          </w:tcPr>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w:t>
            </w:r>
          </w:p>
        </w:tc>
        <w:tc>
          <w:tcPr>
            <w:tcW w:w="1157" w:type="dxa"/>
            <w:noWrap w:val="0"/>
            <w:vAlign w:val="center"/>
          </w:tcPr>
          <w:p>
            <w:pPr>
              <w:shd w:val="clear"/>
              <w:spacing w:line="440" w:lineRule="exac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职称</w:t>
            </w:r>
          </w:p>
        </w:tc>
        <w:tc>
          <w:tcPr>
            <w:tcW w:w="1561" w:type="dxa"/>
            <w:noWrap w:val="0"/>
            <w:vAlign w:val="center"/>
          </w:tcPr>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在本项目中担任的岗位</w:t>
            </w:r>
          </w:p>
        </w:tc>
        <w:tc>
          <w:tcPr>
            <w:tcW w:w="1470" w:type="dxa"/>
            <w:noWrap w:val="0"/>
            <w:vAlign w:val="center"/>
          </w:tcPr>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从事类似工作年限</w:t>
            </w: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1183"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945"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3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5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561"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470"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其他人员</w:t>
            </w:r>
          </w:p>
        </w:tc>
        <w:tc>
          <w:tcPr>
            <w:tcW w:w="1183"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945"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3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5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561"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470"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83"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945"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3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5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561"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470"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83"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945"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3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5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561"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470"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83"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945"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3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5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561"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470"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83"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945"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3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5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561"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470"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83"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945"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3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5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561"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470"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83" w:type="dxa"/>
            <w:tcBorders>
              <w:bottom w:val="single" w:color="auto" w:sz="4" w:space="0"/>
            </w:tcBorders>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945"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3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57"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561"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470"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c>
          <w:tcPr>
            <w:tcW w:w="1142" w:type="dxa"/>
            <w:noWrap w:val="0"/>
            <w:vAlign w:val="center"/>
          </w:tcPr>
          <w:p>
            <w:pPr>
              <w:shd w:val="clear"/>
              <w:spacing w:line="440" w:lineRule="exact"/>
              <w:ind w:firstLine="420" w:firstLineChars="200"/>
              <w:outlineLvl w:val="9"/>
              <w:rPr>
                <w:rFonts w:hint="eastAsia" w:ascii="仿宋" w:hAnsi="仿宋" w:eastAsia="仿宋" w:cs="仿宋"/>
                <w:color w:val="auto"/>
                <w:sz w:val="21"/>
                <w:szCs w:val="21"/>
                <w:highlight w:val="none"/>
              </w:rPr>
            </w:pPr>
          </w:p>
        </w:tc>
      </w:tr>
    </w:tbl>
    <w:p>
      <w:pPr>
        <w:spacing w:line="400" w:lineRule="exact"/>
        <w:rPr>
          <w:rFonts w:hint="eastAsia" w:ascii="宋体" w:hAnsi="宋体"/>
          <w:color w:val="auto"/>
          <w:highlight w:val="none"/>
        </w:rPr>
      </w:pPr>
    </w:p>
    <w:p>
      <w:pPr>
        <w:shd w:val="clear"/>
        <w:spacing w:line="400" w:lineRule="exact"/>
        <w:outlineLvl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说明：包括项目管理人员、实施人员及售后服务人员，后附全部人员提供身份证、职称证、学历证、从业简历、近半年内任意一月本单位社保缴纳证明复印件。</w:t>
      </w:r>
    </w:p>
    <w:p>
      <w:pPr>
        <w:rPr>
          <w:rFonts w:hint="eastAsia" w:ascii="宋体" w:hAnsi="宋体"/>
          <w:color w:val="auto"/>
          <w:highlight w:val="none"/>
        </w:rPr>
      </w:pPr>
      <w:r>
        <w:rPr>
          <w:rFonts w:hint="eastAsia" w:ascii="宋体" w:hAnsi="宋体"/>
          <w:color w:val="auto"/>
          <w:highlight w:val="none"/>
        </w:rPr>
        <w:br w:type="page"/>
      </w:r>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拟投入本项目的</w:t>
      </w:r>
      <w:r>
        <w:rPr>
          <w:rFonts w:hint="eastAsia" w:ascii="仿宋" w:hAnsi="仿宋" w:eastAsia="仿宋" w:cs="仿宋"/>
          <w:b/>
          <w:color w:val="auto"/>
          <w:sz w:val="21"/>
          <w:szCs w:val="21"/>
          <w:highlight w:val="none"/>
          <w:lang w:eastAsia="zh-CN"/>
        </w:rPr>
        <w:t>设备</w:t>
      </w:r>
      <w:r>
        <w:rPr>
          <w:rFonts w:hint="eastAsia" w:ascii="仿宋" w:hAnsi="仿宋" w:eastAsia="仿宋" w:cs="仿宋"/>
          <w:b/>
          <w:color w:val="auto"/>
          <w:sz w:val="21"/>
          <w:szCs w:val="21"/>
          <w:highlight w:val="none"/>
        </w:rPr>
        <w:t>一览表</w:t>
      </w:r>
    </w:p>
    <w:p>
      <w:pPr>
        <w:rPr>
          <w:rFonts w:hint="eastAsia" w:ascii="仿宋" w:hAnsi="仿宋" w:eastAsia="仿宋" w:cs="仿宋"/>
          <w:color w:val="auto"/>
          <w:highlight w:val="none"/>
          <w:lang w:val="en-US" w:eastAsia="zh-CN"/>
        </w:rPr>
      </w:pPr>
    </w:p>
    <w:tbl>
      <w:tblPr>
        <w:tblStyle w:val="19"/>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602"/>
        <w:gridCol w:w="1020"/>
        <w:gridCol w:w="1095"/>
        <w:gridCol w:w="1095"/>
        <w:gridCol w:w="1110"/>
        <w:gridCol w:w="1032"/>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bottom w:val="single" w:color="auto" w:sz="4" w:space="0"/>
            </w:tcBorders>
            <w:vAlign w:val="center"/>
          </w:tcPr>
          <w:p>
            <w:pPr>
              <w:pStyle w:val="37"/>
              <w:tabs>
                <w:tab w:val="left" w:pos="1337"/>
              </w:tabs>
              <w:spacing w:line="360" w:lineRule="auto"/>
              <w:ind w:left="-42" w:right="-42" w:firstLine="480"/>
              <w:jc w:val="center"/>
              <w:rPr>
                <w:rFonts w:ascii="宋体" w:hAnsi="宋体"/>
                <w:color w:val="auto"/>
                <w:sz w:val="24"/>
                <w:highlight w:val="none"/>
              </w:rPr>
            </w:pPr>
            <w:r>
              <w:rPr>
                <w:rFonts w:hint="eastAsia" w:ascii="宋体" w:hAnsi="宋体"/>
                <w:color w:val="auto"/>
                <w:sz w:val="24"/>
                <w:highlight w:val="none"/>
              </w:rPr>
              <w:t>项</w:t>
            </w:r>
          </w:p>
        </w:tc>
        <w:tc>
          <w:tcPr>
            <w:tcW w:w="1602" w:type="dxa"/>
            <w:tcBorders>
              <w:bottom w:val="single" w:color="auto" w:sz="4" w:space="0"/>
            </w:tcBorders>
            <w:vAlign w:val="center"/>
          </w:tcPr>
          <w:p>
            <w:pPr>
              <w:pStyle w:val="37"/>
              <w:tabs>
                <w:tab w:val="left" w:pos="1337"/>
              </w:tabs>
              <w:spacing w:line="360" w:lineRule="auto"/>
              <w:ind w:left="-42" w:right="-42"/>
              <w:jc w:val="center"/>
              <w:rPr>
                <w:rFonts w:ascii="宋体" w:hAnsi="宋体"/>
                <w:color w:val="auto"/>
                <w:sz w:val="24"/>
                <w:highlight w:val="none"/>
              </w:rPr>
            </w:pPr>
            <w:r>
              <w:rPr>
                <w:rFonts w:hint="eastAsia" w:ascii="宋体" w:hAnsi="宋体"/>
                <w:color w:val="auto"/>
                <w:sz w:val="24"/>
                <w:highlight w:val="none"/>
              </w:rPr>
              <w:t>1</w:t>
            </w:r>
          </w:p>
        </w:tc>
        <w:tc>
          <w:tcPr>
            <w:tcW w:w="1020" w:type="dxa"/>
            <w:tcBorders>
              <w:bottom w:val="single" w:color="auto" w:sz="4" w:space="0"/>
            </w:tcBorders>
            <w:vAlign w:val="center"/>
          </w:tcPr>
          <w:p>
            <w:pPr>
              <w:pStyle w:val="37"/>
              <w:tabs>
                <w:tab w:val="left" w:pos="1337"/>
              </w:tabs>
              <w:spacing w:line="360" w:lineRule="auto"/>
              <w:ind w:right="-42"/>
              <w:jc w:val="center"/>
              <w:rPr>
                <w:rFonts w:ascii="宋体" w:hAnsi="宋体"/>
                <w:color w:val="auto"/>
                <w:sz w:val="24"/>
                <w:highlight w:val="none"/>
              </w:rPr>
            </w:pPr>
            <w:r>
              <w:rPr>
                <w:rFonts w:hint="eastAsia" w:ascii="宋体" w:hAnsi="宋体"/>
                <w:color w:val="auto"/>
                <w:sz w:val="24"/>
                <w:highlight w:val="none"/>
              </w:rPr>
              <w:t>2</w:t>
            </w:r>
          </w:p>
        </w:tc>
        <w:tc>
          <w:tcPr>
            <w:tcW w:w="1095" w:type="dxa"/>
            <w:tcBorders>
              <w:bottom w:val="single" w:color="auto" w:sz="4" w:space="0"/>
            </w:tcBorders>
          </w:tcPr>
          <w:p>
            <w:pPr>
              <w:pStyle w:val="37"/>
              <w:tabs>
                <w:tab w:val="left" w:pos="1337"/>
              </w:tabs>
              <w:spacing w:line="360" w:lineRule="auto"/>
              <w:ind w:right="-42"/>
              <w:jc w:val="center"/>
              <w:rPr>
                <w:rFonts w:ascii="宋体" w:hAnsi="宋体"/>
                <w:color w:val="auto"/>
                <w:sz w:val="24"/>
                <w:highlight w:val="none"/>
              </w:rPr>
            </w:pPr>
            <w:r>
              <w:rPr>
                <w:rFonts w:hint="eastAsia" w:ascii="宋体" w:hAnsi="宋体"/>
                <w:color w:val="auto"/>
                <w:sz w:val="24"/>
                <w:highlight w:val="none"/>
              </w:rPr>
              <w:t>3</w:t>
            </w:r>
          </w:p>
        </w:tc>
        <w:tc>
          <w:tcPr>
            <w:tcW w:w="1095" w:type="dxa"/>
            <w:tcBorders>
              <w:bottom w:val="single" w:color="auto" w:sz="4" w:space="0"/>
            </w:tcBorders>
            <w:vAlign w:val="center"/>
          </w:tcPr>
          <w:p>
            <w:pPr>
              <w:pStyle w:val="37"/>
              <w:tabs>
                <w:tab w:val="left" w:pos="1337"/>
              </w:tabs>
              <w:spacing w:line="360" w:lineRule="auto"/>
              <w:ind w:right="-42"/>
              <w:jc w:val="center"/>
              <w:rPr>
                <w:rFonts w:ascii="宋体" w:hAnsi="宋体"/>
                <w:color w:val="auto"/>
                <w:sz w:val="24"/>
                <w:highlight w:val="none"/>
              </w:rPr>
            </w:pPr>
            <w:r>
              <w:rPr>
                <w:rFonts w:hint="eastAsia" w:ascii="宋体" w:hAnsi="宋体"/>
                <w:color w:val="auto"/>
                <w:sz w:val="24"/>
                <w:highlight w:val="none"/>
              </w:rPr>
              <w:t>4</w:t>
            </w:r>
          </w:p>
        </w:tc>
        <w:tc>
          <w:tcPr>
            <w:tcW w:w="1110" w:type="dxa"/>
            <w:tcBorders>
              <w:bottom w:val="single" w:color="auto" w:sz="4" w:space="0"/>
            </w:tcBorders>
            <w:vAlign w:val="center"/>
          </w:tcPr>
          <w:p>
            <w:pPr>
              <w:pStyle w:val="37"/>
              <w:tabs>
                <w:tab w:val="left" w:pos="1337"/>
              </w:tabs>
              <w:spacing w:line="360" w:lineRule="auto"/>
              <w:ind w:right="-42"/>
              <w:jc w:val="center"/>
              <w:rPr>
                <w:rFonts w:ascii="宋体" w:hAnsi="宋体"/>
                <w:color w:val="auto"/>
                <w:sz w:val="24"/>
                <w:highlight w:val="none"/>
              </w:rPr>
            </w:pPr>
            <w:r>
              <w:rPr>
                <w:rFonts w:hint="eastAsia" w:ascii="宋体" w:hAnsi="宋体"/>
                <w:color w:val="auto"/>
                <w:sz w:val="24"/>
                <w:highlight w:val="none"/>
              </w:rPr>
              <w:t>5</w:t>
            </w:r>
          </w:p>
        </w:tc>
        <w:tc>
          <w:tcPr>
            <w:tcW w:w="1032" w:type="dxa"/>
            <w:tcBorders>
              <w:bottom w:val="single" w:color="auto" w:sz="4" w:space="0"/>
            </w:tcBorders>
            <w:vAlign w:val="center"/>
          </w:tcPr>
          <w:p>
            <w:pPr>
              <w:pStyle w:val="37"/>
              <w:tabs>
                <w:tab w:val="left" w:pos="1337"/>
              </w:tabs>
              <w:spacing w:line="360" w:lineRule="auto"/>
              <w:ind w:right="-42"/>
              <w:jc w:val="center"/>
              <w:rPr>
                <w:rFonts w:ascii="宋体" w:hAnsi="宋体"/>
                <w:color w:val="auto"/>
                <w:sz w:val="24"/>
                <w:highlight w:val="none"/>
              </w:rPr>
            </w:pPr>
            <w:r>
              <w:rPr>
                <w:rFonts w:hint="eastAsia" w:ascii="宋体" w:hAnsi="宋体"/>
                <w:color w:val="auto"/>
                <w:sz w:val="24"/>
                <w:highlight w:val="none"/>
              </w:rPr>
              <w:t>6</w:t>
            </w:r>
          </w:p>
        </w:tc>
        <w:tc>
          <w:tcPr>
            <w:tcW w:w="1032" w:type="dxa"/>
            <w:tcBorders>
              <w:bottom w:val="single" w:color="auto" w:sz="4" w:space="0"/>
            </w:tcBorders>
            <w:vAlign w:val="center"/>
          </w:tcPr>
          <w:p>
            <w:pPr>
              <w:pStyle w:val="37"/>
              <w:tabs>
                <w:tab w:val="left" w:pos="1337"/>
              </w:tabs>
              <w:spacing w:line="360" w:lineRule="auto"/>
              <w:ind w:right="-42"/>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52" w:type="dxa"/>
            <w:vAlign w:val="center"/>
          </w:tcPr>
          <w:p>
            <w:pPr>
              <w:pStyle w:val="37"/>
              <w:tabs>
                <w:tab w:val="left" w:pos="1337"/>
              </w:tabs>
              <w:spacing w:line="360" w:lineRule="auto"/>
              <w:ind w:left="-42" w:right="-4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序</w:t>
            </w:r>
          </w:p>
          <w:p>
            <w:pPr>
              <w:pStyle w:val="37"/>
              <w:tabs>
                <w:tab w:val="left" w:pos="1337"/>
              </w:tabs>
              <w:spacing w:line="360" w:lineRule="auto"/>
              <w:ind w:left="-42" w:right="-4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号</w:t>
            </w:r>
          </w:p>
        </w:tc>
        <w:tc>
          <w:tcPr>
            <w:tcW w:w="160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产品名称</w:t>
            </w:r>
          </w:p>
        </w:tc>
        <w:tc>
          <w:tcPr>
            <w:tcW w:w="1020" w:type="dxa"/>
            <w:vAlign w:val="center"/>
          </w:tcPr>
          <w:p>
            <w:pPr>
              <w:pStyle w:val="37"/>
              <w:tabs>
                <w:tab w:val="left" w:pos="1337"/>
              </w:tabs>
              <w:spacing w:line="360" w:lineRule="auto"/>
              <w:ind w:left="-42" w:right="-4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品牌</w:t>
            </w:r>
          </w:p>
        </w:tc>
        <w:tc>
          <w:tcPr>
            <w:tcW w:w="1095" w:type="dxa"/>
            <w:vAlign w:val="center"/>
          </w:tcPr>
          <w:p>
            <w:pPr>
              <w:pStyle w:val="37"/>
              <w:tabs>
                <w:tab w:val="left" w:pos="1337"/>
              </w:tabs>
              <w:spacing w:line="360" w:lineRule="auto"/>
              <w:ind w:left="-42" w:right="-4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型号</w:t>
            </w:r>
          </w:p>
        </w:tc>
        <w:tc>
          <w:tcPr>
            <w:tcW w:w="1095" w:type="dxa"/>
            <w:vAlign w:val="center"/>
          </w:tcPr>
          <w:p>
            <w:pPr>
              <w:pStyle w:val="37"/>
              <w:tabs>
                <w:tab w:val="left" w:pos="1337"/>
              </w:tabs>
              <w:spacing w:line="360" w:lineRule="auto"/>
              <w:ind w:left="-42" w:right="-4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国别</w:t>
            </w:r>
          </w:p>
        </w:tc>
        <w:tc>
          <w:tcPr>
            <w:tcW w:w="1110" w:type="dxa"/>
            <w:vAlign w:val="center"/>
          </w:tcPr>
          <w:p>
            <w:pPr>
              <w:pStyle w:val="37"/>
              <w:tabs>
                <w:tab w:val="left" w:pos="1337"/>
              </w:tabs>
              <w:spacing w:line="360" w:lineRule="auto"/>
              <w:ind w:left="-42" w:right="-4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生产厂家</w:t>
            </w:r>
          </w:p>
        </w:tc>
        <w:tc>
          <w:tcPr>
            <w:tcW w:w="1032" w:type="dxa"/>
            <w:vAlign w:val="center"/>
          </w:tcPr>
          <w:p>
            <w:pPr>
              <w:pStyle w:val="37"/>
              <w:tabs>
                <w:tab w:val="left" w:pos="1337"/>
              </w:tabs>
              <w:spacing w:line="360" w:lineRule="auto"/>
              <w:ind w:left="-42" w:right="-4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生产地址</w:t>
            </w:r>
          </w:p>
        </w:tc>
        <w:tc>
          <w:tcPr>
            <w:tcW w:w="1032" w:type="dxa"/>
            <w:vAlign w:val="center"/>
          </w:tcPr>
          <w:p>
            <w:pPr>
              <w:pStyle w:val="37"/>
              <w:tabs>
                <w:tab w:val="left" w:pos="1337"/>
              </w:tabs>
              <w:spacing w:line="360" w:lineRule="auto"/>
              <w:ind w:left="-42" w:right="-4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160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20"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110"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vAlign w:val="center"/>
          </w:tcPr>
          <w:p>
            <w:pPr>
              <w:pStyle w:val="37"/>
              <w:tabs>
                <w:tab w:val="left" w:pos="1337"/>
              </w:tabs>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60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20"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110"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vAlign w:val="center"/>
          </w:tcPr>
          <w:p>
            <w:pPr>
              <w:pStyle w:val="37"/>
              <w:tabs>
                <w:tab w:val="left" w:pos="1337"/>
              </w:tabs>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60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20"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110"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vAlign w:val="center"/>
          </w:tcPr>
          <w:p>
            <w:pPr>
              <w:pStyle w:val="37"/>
              <w:tabs>
                <w:tab w:val="left" w:pos="1337"/>
              </w:tabs>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160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20"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110"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vAlign w:val="center"/>
          </w:tcPr>
          <w:p>
            <w:pPr>
              <w:pStyle w:val="37"/>
              <w:tabs>
                <w:tab w:val="left" w:pos="1337"/>
              </w:tabs>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160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p>
        </w:tc>
        <w:tc>
          <w:tcPr>
            <w:tcW w:w="1020"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110"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vAlign w:val="center"/>
          </w:tcPr>
          <w:p>
            <w:pPr>
              <w:pStyle w:val="37"/>
              <w:tabs>
                <w:tab w:val="left" w:pos="1337"/>
              </w:tabs>
              <w:spacing w:line="360" w:lineRule="auto"/>
              <w:jc w:val="center"/>
              <w:rPr>
                <w:rFonts w:ascii="宋体" w:hAnsi="宋体"/>
                <w:color w:val="auto"/>
                <w:sz w:val="24"/>
                <w:highlight w:val="none"/>
              </w:rPr>
            </w:pPr>
          </w:p>
        </w:tc>
        <w:tc>
          <w:tcPr>
            <w:tcW w:w="1602"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20" w:type="dxa"/>
            <w:vAlign w:val="center"/>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95"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110"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c>
          <w:tcPr>
            <w:tcW w:w="1032" w:type="dxa"/>
          </w:tcPr>
          <w:p>
            <w:pPr>
              <w:pStyle w:val="37"/>
              <w:tabs>
                <w:tab w:val="left" w:pos="1337"/>
              </w:tabs>
              <w:spacing w:line="360" w:lineRule="auto"/>
              <w:jc w:val="center"/>
              <w:rPr>
                <w:rFonts w:hint="eastAsia" w:ascii="仿宋" w:hAnsi="仿宋" w:eastAsia="仿宋" w:cs="仿宋"/>
                <w:color w:val="auto"/>
                <w:kern w:val="2"/>
                <w:sz w:val="21"/>
                <w:szCs w:val="21"/>
                <w:highlight w:val="none"/>
                <w:lang w:val="en-US" w:eastAsia="zh-CN" w:bidi="ar-SA"/>
              </w:rPr>
            </w:pPr>
          </w:p>
        </w:tc>
      </w:tr>
    </w:tbl>
    <w:p>
      <w:pPr>
        <w:rPr>
          <w:rFonts w:hint="eastAsia" w:ascii="仿宋" w:hAnsi="仿宋" w:eastAsia="仿宋" w:cs="仿宋"/>
          <w:color w:val="auto"/>
          <w:highlight w:val="none"/>
          <w:lang w:val="en-US" w:eastAsia="zh-CN"/>
        </w:rPr>
      </w:pPr>
    </w:p>
    <w:p>
      <w:pPr>
        <w:rPr>
          <w:rFonts w:hint="eastAsia" w:ascii="仿宋" w:hAnsi="仿宋" w:eastAsia="仿宋" w:cs="仿宋"/>
          <w:color w:val="auto"/>
          <w:highlight w:val="none"/>
          <w:lang w:val="en-US" w:eastAsia="zh-CN"/>
        </w:rPr>
      </w:pP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说明：提供相应证明材料（购买发票或租赁合同），</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pPr>
        <w:pStyle w:val="2"/>
        <w:rPr>
          <w:rFonts w:hint="eastAsia"/>
          <w:color w:val="auto"/>
          <w:highlight w:val="none"/>
        </w:rPr>
      </w:pPr>
    </w:p>
    <w:p>
      <w:pPr>
        <w:shd w:val="clear"/>
        <w:spacing w:line="400" w:lineRule="exact"/>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附件8：</w:t>
      </w:r>
      <w:bookmarkEnd w:id="58"/>
      <w:bookmarkEnd w:id="59"/>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投标方的资格声明</w:t>
      </w: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4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（采购人名称）</w:t>
      </w:r>
    </w:p>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关于贵方发出的</w:t>
      </w: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，本投标人愿意参加投标，并证明资格文件中和所要求的说明是真实和准确无误的。</w:t>
      </w:r>
    </w:p>
    <w:p>
      <w:pPr>
        <w:shd w:val="clear"/>
        <w:spacing w:line="440" w:lineRule="exact"/>
        <w:ind w:firstLine="420" w:firstLineChars="200"/>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本投标人对可能要求的进一步的资格资料表示理解和同意，并同意按贵方的要求提供任何有关资料。</w:t>
      </w:r>
    </w:p>
    <w:p>
      <w:pPr>
        <w:shd w:val="clear"/>
        <w:spacing w:line="44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法定代表人或授权代表人（签字）：</w:t>
      </w:r>
    </w:p>
    <w:p>
      <w:pPr>
        <w:shd w:val="clear"/>
        <w:spacing w:line="400" w:lineRule="exact"/>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年   月   日</w:t>
      </w: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bookmarkStart w:id="60" w:name="_Toc20690"/>
      <w:bookmarkStart w:id="61" w:name="_Toc26501"/>
      <w:r>
        <w:rPr>
          <w:rFonts w:hint="eastAsia" w:ascii="仿宋" w:hAnsi="仿宋" w:eastAsia="仿宋" w:cs="仿宋"/>
          <w:b/>
          <w:color w:val="auto"/>
          <w:sz w:val="21"/>
          <w:szCs w:val="21"/>
          <w:highlight w:val="none"/>
        </w:rPr>
        <w:t>附件9：</w:t>
      </w:r>
      <w:bookmarkEnd w:id="60"/>
      <w:bookmarkEnd w:id="61"/>
    </w:p>
    <w:p>
      <w:pPr>
        <w:shd w:val="clear"/>
        <w:spacing w:line="400" w:lineRule="exact"/>
        <w:jc w:val="center"/>
        <w:outlineLvl w:val="0"/>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服务大纲</w:t>
      </w:r>
    </w:p>
    <w:p>
      <w:pPr>
        <w:shd w:val="clear"/>
        <w:spacing w:line="400" w:lineRule="exact"/>
        <w:outlineLvl w:val="0"/>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包括但不限于：</w:t>
      </w:r>
    </w:p>
    <w:p>
      <w:pPr>
        <w:shd w:val="clear"/>
        <w:spacing w:line="400" w:lineRule="exac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对本项目总体要求的理解</w:t>
      </w:r>
      <w:r>
        <w:rPr>
          <w:rFonts w:hint="eastAsia" w:ascii="仿宋" w:hAnsi="仿宋" w:eastAsia="仿宋" w:cs="仿宋"/>
          <w:b w:val="0"/>
          <w:bCs/>
          <w:color w:val="auto"/>
          <w:sz w:val="21"/>
          <w:szCs w:val="21"/>
          <w:highlight w:val="none"/>
          <w:lang w:val="en-US" w:eastAsia="zh-CN"/>
        </w:rPr>
        <w:t>;</w:t>
      </w:r>
    </w:p>
    <w:p>
      <w:pPr>
        <w:shd w:val="clear"/>
        <w:spacing w:line="400" w:lineRule="exac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对本项目需求分析工作重点、难点的理解把握</w:t>
      </w:r>
      <w:r>
        <w:rPr>
          <w:rFonts w:hint="eastAsia" w:ascii="仿宋" w:hAnsi="仿宋" w:eastAsia="仿宋" w:cs="仿宋"/>
          <w:b w:val="0"/>
          <w:bCs/>
          <w:color w:val="auto"/>
          <w:sz w:val="21"/>
          <w:szCs w:val="21"/>
          <w:highlight w:val="none"/>
          <w:lang w:val="en-US" w:eastAsia="zh-CN"/>
        </w:rPr>
        <w:t>;</w:t>
      </w:r>
    </w:p>
    <w:p>
      <w:pPr>
        <w:shd w:val="clear"/>
        <w:spacing w:line="400" w:lineRule="exac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对工作重点、难点的理解把握</w:t>
      </w:r>
      <w:r>
        <w:rPr>
          <w:rFonts w:hint="eastAsia" w:ascii="仿宋" w:hAnsi="仿宋" w:eastAsia="仿宋" w:cs="仿宋"/>
          <w:b w:val="0"/>
          <w:bCs/>
          <w:color w:val="auto"/>
          <w:sz w:val="21"/>
          <w:szCs w:val="21"/>
          <w:highlight w:val="none"/>
          <w:lang w:val="en-US" w:eastAsia="zh-CN"/>
        </w:rPr>
        <w:t>;</w:t>
      </w:r>
    </w:p>
    <w:p>
      <w:pPr>
        <w:shd w:val="clear"/>
        <w:spacing w:line="400" w:lineRule="exac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项目防控措施</w:t>
      </w:r>
      <w:r>
        <w:rPr>
          <w:rFonts w:hint="eastAsia" w:ascii="仿宋" w:hAnsi="仿宋" w:eastAsia="仿宋" w:cs="仿宋"/>
          <w:b w:val="0"/>
          <w:bCs/>
          <w:color w:val="auto"/>
          <w:sz w:val="21"/>
          <w:szCs w:val="21"/>
          <w:highlight w:val="none"/>
          <w:lang w:eastAsia="zh-CN"/>
        </w:rPr>
        <w:t>的</w:t>
      </w:r>
      <w:r>
        <w:rPr>
          <w:rFonts w:hint="eastAsia" w:ascii="仿宋" w:hAnsi="仿宋" w:eastAsia="仿宋" w:cs="仿宋"/>
          <w:b w:val="0"/>
          <w:bCs/>
          <w:color w:val="auto"/>
          <w:sz w:val="21"/>
          <w:szCs w:val="21"/>
          <w:highlight w:val="none"/>
          <w:lang w:val="en-US" w:eastAsia="zh-CN"/>
        </w:rPr>
        <w:t>理解；</w:t>
      </w:r>
    </w:p>
    <w:p>
      <w:pPr>
        <w:shd w:val="clear"/>
        <w:spacing w:line="400" w:lineRule="exact"/>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对项目</w:t>
      </w:r>
      <w:r>
        <w:rPr>
          <w:rFonts w:hint="eastAsia" w:ascii="仿宋" w:hAnsi="仿宋" w:eastAsia="仿宋" w:cs="仿宋"/>
          <w:b w:val="0"/>
          <w:bCs/>
          <w:color w:val="auto"/>
          <w:sz w:val="21"/>
          <w:szCs w:val="21"/>
          <w:highlight w:val="none"/>
          <w:lang w:eastAsia="zh-CN"/>
        </w:rPr>
        <w:t>实施</w:t>
      </w:r>
      <w:r>
        <w:rPr>
          <w:rFonts w:hint="eastAsia" w:ascii="仿宋" w:hAnsi="仿宋" w:eastAsia="仿宋" w:cs="仿宋"/>
          <w:b w:val="0"/>
          <w:bCs/>
          <w:color w:val="auto"/>
          <w:sz w:val="21"/>
          <w:szCs w:val="21"/>
          <w:highlight w:val="none"/>
        </w:rPr>
        <w:t>方案、实施进度计划及保证措施</w:t>
      </w:r>
      <w:r>
        <w:rPr>
          <w:rFonts w:hint="eastAsia" w:ascii="仿宋" w:hAnsi="仿宋" w:eastAsia="仿宋" w:cs="仿宋"/>
          <w:b w:val="0"/>
          <w:bCs/>
          <w:color w:val="auto"/>
          <w:sz w:val="21"/>
          <w:szCs w:val="21"/>
          <w:highlight w:val="none"/>
          <w:lang w:val="en-US" w:eastAsia="zh-CN"/>
        </w:rPr>
        <w:t>;</w:t>
      </w:r>
    </w:p>
    <w:p>
      <w:pPr>
        <w:shd w:val="clear"/>
        <w:spacing w:line="400" w:lineRule="exact"/>
        <w:outlineLvl w:val="9"/>
        <w:rPr>
          <w:rFonts w:hint="eastAsia" w:ascii="仿宋" w:hAnsi="仿宋" w:eastAsia="仿宋" w:cs="仿宋"/>
          <w:b/>
          <w:color w:val="auto"/>
          <w:sz w:val="21"/>
          <w:szCs w:val="21"/>
          <w:highlight w:val="none"/>
        </w:rPr>
      </w:pPr>
      <w:r>
        <w:rPr>
          <w:rFonts w:hint="eastAsia" w:ascii="仿宋" w:hAnsi="仿宋" w:eastAsia="仿宋" w:cs="仿宋"/>
          <w:b w:val="0"/>
          <w:bCs/>
          <w:color w:val="auto"/>
          <w:sz w:val="21"/>
          <w:szCs w:val="21"/>
          <w:highlight w:val="none"/>
        </w:rPr>
        <w:t>对项目提出合理化的工作建</w:t>
      </w:r>
      <w:r>
        <w:rPr>
          <w:rFonts w:hint="eastAsia" w:ascii="仿宋" w:hAnsi="仿宋" w:eastAsia="仿宋" w:cs="仿宋"/>
          <w:color w:val="auto"/>
          <w:kern w:val="0"/>
          <w:sz w:val="21"/>
          <w:szCs w:val="21"/>
          <w:highlight w:val="none"/>
        </w:rPr>
        <w:t>议</w:t>
      </w: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hd w:val="clear"/>
        <w:spacing w:line="400" w:lineRule="exact"/>
        <w:outlineLvl w:val="0"/>
        <w:rPr>
          <w:rFonts w:hint="eastAsia" w:ascii="仿宋" w:hAnsi="仿宋" w:eastAsia="仿宋" w:cs="仿宋"/>
          <w:b/>
          <w:bCs/>
          <w:color w:val="auto"/>
          <w:sz w:val="21"/>
          <w:szCs w:val="21"/>
          <w:highlight w:val="none"/>
        </w:rPr>
      </w:pPr>
      <w:bookmarkStart w:id="62" w:name="_Toc31891"/>
      <w:bookmarkStart w:id="63" w:name="_Toc25362"/>
      <w:r>
        <w:rPr>
          <w:rFonts w:hint="eastAsia" w:ascii="仿宋" w:hAnsi="仿宋" w:eastAsia="仿宋" w:cs="仿宋"/>
          <w:b/>
          <w:color w:val="auto"/>
          <w:sz w:val="21"/>
          <w:szCs w:val="21"/>
          <w:highlight w:val="none"/>
        </w:rPr>
        <w:t>附件10：</w:t>
      </w:r>
      <w:bookmarkEnd w:id="62"/>
      <w:bookmarkEnd w:id="63"/>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无重大违法记录声明</w:t>
      </w:r>
    </w:p>
    <w:p>
      <w:pPr>
        <w:shd w:val="clear"/>
        <w:spacing w:line="400" w:lineRule="exact"/>
        <w:jc w:val="center"/>
        <w:outlineLvl w:val="9"/>
        <w:rPr>
          <w:rFonts w:hint="eastAsia" w:ascii="仿宋" w:hAnsi="仿宋" w:eastAsia="仿宋" w:cs="仿宋"/>
          <w:b/>
          <w:bCs/>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lang w:eastAsia="zh-CN"/>
        </w:rPr>
        <w:t>新疆润标工程勘察设计研究院有限公司</w:t>
      </w:r>
    </w:p>
    <w:p>
      <w:pPr>
        <w:shd w:val="clear"/>
        <w:spacing w:line="400" w:lineRule="exact"/>
        <w:ind w:firstLine="480"/>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我单位参加政府采购活动前三年内，在经营活动中没有重大违法记录。</w:t>
      </w:r>
    </w:p>
    <w:p>
      <w:pPr>
        <w:shd w:val="clear"/>
        <w:spacing w:line="400" w:lineRule="exact"/>
        <w:ind w:firstLine="480"/>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若采购单位在本项目采购过程中发现我单位近三年内在经营活动中有重大违法记录，我单位将无条件地退出本项目的招标，并承担因此引起的一切后果。</w:t>
      </w:r>
    </w:p>
    <w:p>
      <w:pPr>
        <w:shd w:val="clear"/>
        <w:spacing w:line="400" w:lineRule="exact"/>
        <w:ind w:firstLine="480"/>
        <w:outlineLvl w:val="9"/>
        <w:rPr>
          <w:rFonts w:hint="eastAsia" w:ascii="仿宋" w:hAnsi="仿宋" w:eastAsia="仿宋" w:cs="仿宋"/>
          <w:bCs/>
          <w:color w:val="auto"/>
          <w:sz w:val="21"/>
          <w:szCs w:val="21"/>
          <w:highlight w:val="none"/>
        </w:rPr>
      </w:pPr>
    </w:p>
    <w:p>
      <w:pPr>
        <w:shd w:val="clear"/>
        <w:spacing w:line="400" w:lineRule="exact"/>
        <w:ind w:firstLine="480"/>
        <w:outlineLvl w:val="9"/>
        <w:rPr>
          <w:rFonts w:hint="eastAsia" w:ascii="仿宋" w:hAnsi="仿宋" w:eastAsia="仿宋" w:cs="仿宋"/>
          <w:bCs/>
          <w:color w:val="auto"/>
          <w:sz w:val="21"/>
          <w:szCs w:val="21"/>
          <w:highlight w:val="none"/>
        </w:rPr>
      </w:pPr>
    </w:p>
    <w:p>
      <w:pPr>
        <w:shd w:val="clear"/>
        <w:spacing w:line="400" w:lineRule="exact"/>
        <w:ind w:firstLine="480"/>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特此声明!</w:t>
      </w:r>
    </w:p>
    <w:p>
      <w:pPr>
        <w:shd w:val="clear"/>
        <w:spacing w:line="400" w:lineRule="exact"/>
        <w:ind w:firstLine="480"/>
        <w:outlineLvl w:val="9"/>
        <w:rPr>
          <w:rFonts w:hint="eastAsia" w:ascii="仿宋" w:hAnsi="仿宋" w:eastAsia="仿宋" w:cs="仿宋"/>
          <w:bCs/>
          <w:color w:val="auto"/>
          <w:sz w:val="21"/>
          <w:szCs w:val="21"/>
          <w:highlight w:val="none"/>
        </w:rPr>
      </w:pPr>
    </w:p>
    <w:p>
      <w:pPr>
        <w:shd w:val="clear"/>
        <w:spacing w:line="400" w:lineRule="exact"/>
        <w:outlineLvl w:val="9"/>
        <w:rPr>
          <w:rFonts w:hint="eastAsia" w:ascii="仿宋" w:hAnsi="仿宋" w:eastAsia="仿宋" w:cs="仿宋"/>
          <w:bCs/>
          <w:color w:val="auto"/>
          <w:sz w:val="21"/>
          <w:szCs w:val="21"/>
          <w:highlight w:val="none"/>
        </w:rPr>
      </w:pPr>
    </w:p>
    <w:p>
      <w:pPr>
        <w:shd w:val="clear"/>
        <w:spacing w:line="400" w:lineRule="exact"/>
        <w:outlineLvl w:val="9"/>
        <w:rPr>
          <w:rFonts w:hint="eastAsia" w:ascii="仿宋" w:hAnsi="仿宋" w:eastAsia="仿宋" w:cs="仿宋"/>
          <w:bCs/>
          <w:color w:val="auto"/>
          <w:sz w:val="21"/>
          <w:szCs w:val="21"/>
          <w:highlight w:val="none"/>
        </w:rPr>
      </w:pPr>
    </w:p>
    <w:p>
      <w:pPr>
        <w:shd w:val="clear"/>
        <w:spacing w:line="400" w:lineRule="exact"/>
        <w:outlineLvl w:val="9"/>
        <w:rPr>
          <w:rFonts w:hint="eastAsia" w:ascii="仿宋" w:hAnsi="仿宋" w:eastAsia="仿宋" w:cs="仿宋"/>
          <w:bCs/>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法定代表人（签字）：</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jc w:val="center"/>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p>
    <w:p>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hd w:val="clear"/>
        <w:spacing w:line="400" w:lineRule="exact"/>
        <w:outlineLvl w:val="9"/>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eastAsia="zh-CN"/>
        </w:rPr>
        <w:t>附件</w:t>
      </w:r>
      <w:r>
        <w:rPr>
          <w:rFonts w:hint="eastAsia" w:ascii="仿宋" w:hAnsi="仿宋" w:eastAsia="仿宋" w:cs="仿宋"/>
          <w:b/>
          <w:color w:val="auto"/>
          <w:sz w:val="21"/>
          <w:szCs w:val="21"/>
          <w:highlight w:val="none"/>
          <w:lang w:val="en-US" w:eastAsia="zh-CN"/>
        </w:rPr>
        <w:t>11;</w:t>
      </w:r>
    </w:p>
    <w:p>
      <w:pPr>
        <w:shd w:val="clear"/>
        <w:spacing w:line="400" w:lineRule="exact"/>
        <w:jc w:val="center"/>
        <w:outlineLvl w:val="9"/>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保密承诺函</w:t>
      </w:r>
    </w:p>
    <w:p>
      <w:pPr>
        <w:jc w:val="both"/>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我单位承诺：</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1乙方必须遵守甲方制定的任何成文或不成文的保密</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"http://www.chinalabor.cc/Article/List_9.html"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规章</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、制度，履行与其工作岗位相应的保密职责。</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2双方相互承认甲方/乙方提供给乙方/甲方的保密信息及其中包含和/或有关的一切权利，是提供方专有财产，接受方应考虑提供方的利益妥善保存。</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3双方承诺无论以书面、口头、可视方式收到的保密信息，均予以严格保密，并且采用措施进行保护和维护。乙方已详细阅读本保密协议，乙方自愿放弃对保密协议任何误解的权利，不对保密协议提出任何质疑。</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4对“单位信息”谨慎、妥善持有并严格保密，没有甲方事先书面同意，不得向任何第三方披露；双方同意仅在与本协议关联的政府采购项目有关时使用从提供方收到的保密信息。</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5双方都同意如果不得到双方的书面批准，不直接或间接以任何形式或任何方式把保密信息披露给第三方。</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双方同意每一方均有权向其特定职员透露或使其接触从提供方获取的保密信息和/或其中的任何部分，范围是这些职员应是项目组成员、项目管理人员、项目成果直接引用人员、双方领导人员，前提是接收方向特定职员透露或使其接触前已经从该职员获得了必要的保密和不透露的书面承诺。</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乙方承诺，未经甲方同意，不得以泄露、告知、公布、发布、出版、传授、转让或者其他任何方式使任何第三方（包括按照保密制度的规定不得知悉该项秘密的甲方其他职员）知悉属于甲方或者虽属于他人但乙方承诺有保密义务的技术秘密或其他业务信息。</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乙方未经甲方同意不得私自留存，拷贝单位信息。乙方应主动采取加密措施对上述所列及的信息进行保护，防止不承担同等保密义务的任何第三者知悉及使用；不得向不承诺同等保密义务的任何第三人披露甲方关于该项目的保密信息。</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9乙方不得探听或者以其他不正当手段（包括利用计算机进行检索、浏览、复制等）获取与本职工作或本身业务无关的甲方关于该项目的保密信息。</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10乙方未经甲方同意不得利用单位信息做其他用途。乙方如发现甲方关于该项目的保密信息被泄露或者自己过失泄露秘密，应当采取有效措施防止泄密进一步扩大，并在泄密事件发生2小时内必须向甲方书面报告。</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11乙方须严格执行政府采购法律及相关规范，合规开展投标响应、项目履约验收等工作。</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 w:hAnsi="仿宋" w:eastAsia="仿宋" w:cs="仿宋"/>
          <w:color w:val="auto"/>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以上内容中甲方为采购人：</w:t>
      </w:r>
      <w:r>
        <w:rPr>
          <w:rFonts w:hint="eastAsia" w:ascii="仿宋" w:hAnsi="仿宋" w:eastAsia="仿宋" w:cs="仿宋"/>
          <w:color w:val="auto"/>
          <w:sz w:val="24"/>
          <w:szCs w:val="24"/>
          <w:highlight w:val="none"/>
        </w:rPr>
        <w:t>新疆维吾尔自治区农业农村厅办公室</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乙方为：</w:t>
      </w:r>
      <w:r>
        <w:rPr>
          <w:rFonts w:hint="eastAsia" w:ascii="仿宋" w:hAnsi="仿宋" w:eastAsia="仿宋" w:cs="仿宋"/>
          <w:color w:val="auto"/>
          <w:sz w:val="24"/>
          <w:szCs w:val="24"/>
          <w:highlight w:val="none"/>
          <w:u w:val="single"/>
          <w:lang w:val="en-US" w:eastAsia="zh-CN"/>
        </w:rPr>
        <w:t xml:space="preserve">                        （单位名称）</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法定代表人（签字）：</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hd w:val="clear"/>
        <w:spacing w:line="400" w:lineRule="exact"/>
        <w:outlineLvl w:val="0"/>
        <w:rPr>
          <w:rFonts w:hint="eastAsia" w:ascii="仿宋" w:hAnsi="仿宋" w:eastAsia="仿宋" w:cs="仿宋"/>
          <w:b/>
          <w:bCs/>
          <w:color w:val="auto"/>
          <w:sz w:val="21"/>
          <w:szCs w:val="21"/>
          <w:highlight w:val="none"/>
        </w:rPr>
      </w:pPr>
      <w:bookmarkStart w:id="64" w:name="_Toc20687"/>
      <w:bookmarkStart w:id="65" w:name="_Toc32078"/>
      <w:r>
        <w:rPr>
          <w:rFonts w:hint="eastAsia" w:ascii="仿宋" w:hAnsi="仿宋" w:eastAsia="仿宋" w:cs="仿宋"/>
          <w:b/>
          <w:color w:val="auto"/>
          <w:sz w:val="21"/>
          <w:szCs w:val="21"/>
          <w:highlight w:val="none"/>
        </w:rPr>
        <w:t>附件1</w:t>
      </w:r>
      <w:r>
        <w:rPr>
          <w:rFonts w:hint="eastAsia" w:ascii="仿宋" w:hAnsi="仿宋" w:eastAsia="仿宋" w:cs="仿宋"/>
          <w:b/>
          <w:color w:val="auto"/>
          <w:sz w:val="21"/>
          <w:szCs w:val="21"/>
          <w:highlight w:val="none"/>
          <w:lang w:val="en-US" w:eastAsia="zh-CN"/>
        </w:rPr>
        <w:t>2</w:t>
      </w:r>
      <w:r>
        <w:rPr>
          <w:rFonts w:hint="eastAsia" w:ascii="仿宋" w:hAnsi="仿宋" w:eastAsia="仿宋" w:cs="仿宋"/>
          <w:b/>
          <w:color w:val="auto"/>
          <w:sz w:val="21"/>
          <w:szCs w:val="21"/>
          <w:highlight w:val="none"/>
        </w:rPr>
        <w:t>：</w:t>
      </w:r>
      <w:bookmarkEnd w:id="64"/>
      <w:bookmarkEnd w:id="65"/>
    </w:p>
    <w:p>
      <w:pPr>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供应商反商业贿赂承诺书</w:t>
      </w:r>
    </w:p>
    <w:p>
      <w:pPr>
        <w:shd w:val="clear"/>
        <w:autoSpaceDE w:val="0"/>
        <w:autoSpaceDN w:val="0"/>
        <w:adjustRightInd w:val="0"/>
        <w:spacing w:line="400" w:lineRule="exact"/>
        <w:jc w:val="left"/>
        <w:outlineLvl w:val="9"/>
        <w:rPr>
          <w:rFonts w:hint="eastAsia" w:ascii="仿宋" w:hAnsi="仿宋" w:eastAsia="仿宋" w:cs="仿宋"/>
          <w:color w:val="auto"/>
          <w:kern w:val="0"/>
          <w:sz w:val="21"/>
          <w:szCs w:val="21"/>
          <w:highlight w:val="none"/>
        </w:rPr>
      </w:pPr>
    </w:p>
    <w:p>
      <w:pPr>
        <w:shd w:val="clear"/>
        <w:autoSpaceDE w:val="0"/>
        <w:autoSpaceDN w:val="0"/>
        <w:adjustRightInd w:val="0"/>
        <w:spacing w:line="400" w:lineRule="exact"/>
        <w:ind w:firstLine="432"/>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我公司承诺在</w:t>
      </w:r>
      <w:r>
        <w:rPr>
          <w:rFonts w:hint="eastAsia" w:ascii="仿宋" w:hAnsi="仿宋" w:eastAsia="仿宋" w:cs="仿宋"/>
          <w:color w:val="auto"/>
          <w:kern w:val="0"/>
          <w:sz w:val="21"/>
          <w:szCs w:val="21"/>
          <w:highlight w:val="none"/>
          <w:u w:val="single"/>
        </w:rPr>
        <w:t>（项目编号、项目名称）</w:t>
      </w:r>
      <w:r>
        <w:rPr>
          <w:rFonts w:hint="eastAsia" w:ascii="仿宋" w:hAnsi="仿宋" w:eastAsia="仿宋" w:cs="仿宋"/>
          <w:color w:val="auto"/>
          <w:kern w:val="0"/>
          <w:sz w:val="21"/>
          <w:szCs w:val="21"/>
          <w:highlight w:val="none"/>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shd w:val="clear"/>
        <w:autoSpaceDE w:val="0"/>
        <w:autoSpaceDN w:val="0"/>
        <w:adjustRightInd w:val="0"/>
        <w:spacing w:line="400" w:lineRule="exact"/>
        <w:jc w:val="left"/>
        <w:outlineLvl w:val="9"/>
        <w:rPr>
          <w:rFonts w:hint="eastAsia" w:ascii="仿宋" w:hAnsi="仿宋" w:eastAsia="仿宋" w:cs="仿宋"/>
          <w:color w:val="auto"/>
          <w:kern w:val="0"/>
          <w:sz w:val="21"/>
          <w:szCs w:val="21"/>
          <w:highlight w:val="none"/>
        </w:rPr>
      </w:pPr>
    </w:p>
    <w:p>
      <w:pPr>
        <w:shd w:val="clear"/>
        <w:autoSpaceDE w:val="0"/>
        <w:autoSpaceDN w:val="0"/>
        <w:adjustRightInd w:val="0"/>
        <w:spacing w:line="400" w:lineRule="exact"/>
        <w:ind w:firstLine="897"/>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法定代表人：</w:t>
      </w:r>
    </w:p>
    <w:p>
      <w:pPr>
        <w:shd w:val="clear"/>
        <w:autoSpaceDE w:val="0"/>
        <w:autoSpaceDN w:val="0"/>
        <w:adjustRightInd w:val="0"/>
        <w:spacing w:line="400" w:lineRule="exact"/>
        <w:ind w:firstLine="897"/>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法人授权代表：</w:t>
      </w:r>
    </w:p>
    <w:p>
      <w:pPr>
        <w:shd w:val="clear"/>
        <w:autoSpaceDE w:val="0"/>
        <w:autoSpaceDN w:val="0"/>
        <w:adjustRightInd w:val="0"/>
        <w:spacing w:line="400" w:lineRule="exact"/>
        <w:ind w:firstLine="897"/>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项目经办人：</w:t>
      </w:r>
    </w:p>
    <w:p>
      <w:pPr>
        <w:shd w:val="clear"/>
        <w:autoSpaceDE w:val="0"/>
        <w:autoSpaceDN w:val="0"/>
        <w:adjustRightInd w:val="0"/>
        <w:spacing w:line="400" w:lineRule="exact"/>
        <w:jc w:val="left"/>
        <w:outlineLvl w:val="9"/>
        <w:rPr>
          <w:rFonts w:hint="eastAsia" w:ascii="仿宋" w:hAnsi="仿宋" w:eastAsia="仿宋" w:cs="仿宋"/>
          <w:color w:val="auto"/>
          <w:kern w:val="0"/>
          <w:sz w:val="21"/>
          <w:szCs w:val="21"/>
          <w:highlight w:val="none"/>
        </w:rPr>
      </w:pPr>
    </w:p>
    <w:p>
      <w:pPr>
        <w:shd w:val="clear"/>
        <w:autoSpaceDE w:val="0"/>
        <w:autoSpaceDN w:val="0"/>
        <w:adjustRightInd w:val="0"/>
        <w:spacing w:line="400" w:lineRule="exact"/>
        <w:ind w:firstLine="480"/>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我公司承诺在参加本次投标前三年内，无以下行为：</w:t>
      </w:r>
    </w:p>
    <w:p>
      <w:pPr>
        <w:shd w:val="clear"/>
        <w:autoSpaceDE w:val="0"/>
        <w:autoSpaceDN w:val="0"/>
        <w:adjustRightInd w:val="0"/>
        <w:spacing w:line="400" w:lineRule="exact"/>
        <w:ind w:firstLine="480"/>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重大违法行为；</w:t>
      </w:r>
    </w:p>
    <w:p>
      <w:pPr>
        <w:shd w:val="clear"/>
        <w:autoSpaceDE w:val="0"/>
        <w:autoSpaceDN w:val="0"/>
        <w:adjustRightInd w:val="0"/>
        <w:spacing w:line="400" w:lineRule="exact"/>
        <w:ind w:firstLine="480"/>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商业贿行为；</w:t>
      </w:r>
    </w:p>
    <w:p>
      <w:pPr>
        <w:shd w:val="clear"/>
        <w:autoSpaceDE w:val="0"/>
        <w:autoSpaceDN w:val="0"/>
        <w:adjustRightInd w:val="0"/>
        <w:spacing w:line="400" w:lineRule="exact"/>
        <w:ind w:firstLine="480"/>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政府采购法《第七十七条》，列入不良行为记录名单的各种行为；</w:t>
      </w:r>
    </w:p>
    <w:p>
      <w:pPr>
        <w:shd w:val="clear"/>
        <w:autoSpaceDE w:val="0"/>
        <w:autoSpaceDN w:val="0"/>
        <w:adjustRightInd w:val="0"/>
        <w:spacing w:line="400" w:lineRule="exact"/>
        <w:jc w:val="left"/>
        <w:outlineLvl w:val="9"/>
        <w:rPr>
          <w:rFonts w:hint="eastAsia" w:ascii="仿宋" w:hAnsi="仿宋" w:eastAsia="仿宋" w:cs="仿宋"/>
          <w:color w:val="auto"/>
          <w:kern w:val="0"/>
          <w:sz w:val="21"/>
          <w:szCs w:val="21"/>
          <w:highlight w:val="none"/>
        </w:rPr>
      </w:pPr>
    </w:p>
    <w:p>
      <w:pPr>
        <w:shd w:val="clear"/>
        <w:autoSpaceDE w:val="0"/>
        <w:autoSpaceDN w:val="0"/>
        <w:adjustRightInd w:val="0"/>
        <w:spacing w:line="400" w:lineRule="exact"/>
        <w:jc w:val="left"/>
        <w:outlineLvl w:val="9"/>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如有上述行为，我公司及项目参与人员自愿放弃本次项目的投标、报价资格，若为预中标、成交人，也自愿放弃中标、成交资格</w:t>
      </w:r>
    </w:p>
    <w:p>
      <w:pPr>
        <w:shd w:val="clear"/>
        <w:autoSpaceDE w:val="0"/>
        <w:autoSpaceDN w:val="0"/>
        <w:adjustRightInd w:val="0"/>
        <w:spacing w:line="400" w:lineRule="exact"/>
        <w:ind w:firstLine="480"/>
        <w:jc w:val="left"/>
        <w:outlineLvl w:val="9"/>
        <w:rPr>
          <w:rFonts w:hint="eastAsia" w:ascii="仿宋" w:hAnsi="仿宋" w:eastAsia="仿宋" w:cs="仿宋"/>
          <w:b/>
          <w:bCs/>
          <w:color w:val="auto"/>
          <w:kern w:val="0"/>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供应商名称</w:t>
      </w:r>
      <w:r>
        <w:rPr>
          <w:rFonts w:hint="eastAsia" w:ascii="仿宋" w:hAnsi="仿宋" w:eastAsia="仿宋" w:cs="仿宋"/>
          <w:color w:val="auto"/>
          <w:sz w:val="21"/>
          <w:szCs w:val="21"/>
          <w:highlight w:val="none"/>
        </w:rPr>
        <w:t>（公章）：</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法定代表人（签字）：</w:t>
      </w:r>
    </w:p>
    <w:p>
      <w:pPr>
        <w:shd w:val="clear"/>
        <w:spacing w:line="400" w:lineRule="exact"/>
        <w:outlineLvl w:val="9"/>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日期：  年   月   日</w:t>
      </w: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widowControl/>
        <w:shd w:val="clear"/>
        <w:spacing w:line="400" w:lineRule="exact"/>
        <w:outlineLvl w:val="0"/>
        <w:rPr>
          <w:rFonts w:hint="eastAsia" w:ascii="仿宋" w:hAnsi="仿宋" w:eastAsia="仿宋" w:cs="仿宋"/>
          <w:b/>
          <w:color w:val="auto"/>
          <w:sz w:val="21"/>
          <w:szCs w:val="21"/>
          <w:highlight w:val="none"/>
        </w:rPr>
      </w:pPr>
      <w:bookmarkStart w:id="66" w:name="_Toc28700"/>
      <w:bookmarkStart w:id="67" w:name="_Toc22028"/>
      <w:r>
        <w:rPr>
          <w:rFonts w:hint="eastAsia" w:ascii="仿宋" w:hAnsi="仿宋" w:eastAsia="仿宋" w:cs="仿宋"/>
          <w:b/>
          <w:color w:val="auto"/>
          <w:sz w:val="21"/>
          <w:szCs w:val="21"/>
          <w:highlight w:val="none"/>
        </w:rPr>
        <w:t>附件1</w:t>
      </w:r>
      <w:r>
        <w:rPr>
          <w:rFonts w:hint="eastAsia" w:ascii="仿宋" w:hAnsi="仿宋" w:eastAsia="仿宋" w:cs="仿宋"/>
          <w:b/>
          <w:color w:val="auto"/>
          <w:sz w:val="21"/>
          <w:szCs w:val="21"/>
          <w:highlight w:val="none"/>
          <w:lang w:val="en-US" w:eastAsia="zh-CN"/>
        </w:rPr>
        <w:t>3</w:t>
      </w:r>
      <w:r>
        <w:rPr>
          <w:rFonts w:hint="eastAsia" w:ascii="仿宋" w:hAnsi="仿宋" w:eastAsia="仿宋" w:cs="仿宋"/>
          <w:b/>
          <w:color w:val="auto"/>
          <w:sz w:val="21"/>
          <w:szCs w:val="21"/>
          <w:highlight w:val="none"/>
        </w:rPr>
        <w:t>：</w:t>
      </w:r>
      <w:bookmarkEnd w:id="66"/>
      <w:bookmarkEnd w:id="67"/>
    </w:p>
    <w:p>
      <w:pPr>
        <w:widowControl/>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中小企业声明函</w:t>
      </w:r>
    </w:p>
    <w:p>
      <w:pPr>
        <w:widowControl/>
        <w:shd w:val="clear"/>
        <w:spacing w:line="400" w:lineRule="exact"/>
        <w:jc w:val="left"/>
        <w:outlineLvl w:val="9"/>
        <w:rPr>
          <w:rFonts w:hint="eastAsia" w:ascii="仿宋" w:hAnsi="仿宋" w:eastAsia="仿宋" w:cs="仿宋"/>
          <w:color w:val="auto"/>
          <w:kern w:val="0"/>
          <w:sz w:val="21"/>
          <w:szCs w:val="21"/>
          <w:highlight w:val="none"/>
        </w:rPr>
      </w:pPr>
    </w:p>
    <w:p>
      <w:pPr>
        <w:widowControl/>
        <w:shd w:val="clear"/>
        <w:spacing w:line="400" w:lineRule="exact"/>
        <w:ind w:firstLine="420" w:firstLineChars="200"/>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本公司（联合体）郑重声明，根据《政府采购促进中小企业发展管理办法》（财库﹝2020﹞46 号）的规定，本公司（联合体）参加</w:t>
      </w:r>
      <w:r>
        <w:rPr>
          <w:rFonts w:hint="eastAsia" w:ascii="仿宋" w:hAnsi="仿宋" w:eastAsia="仿宋" w:cs="仿宋"/>
          <w:color w:val="auto"/>
          <w:kern w:val="0"/>
          <w:sz w:val="21"/>
          <w:szCs w:val="21"/>
          <w:highlight w:val="none"/>
          <w:u w:val="single"/>
        </w:rPr>
        <w:t>（单位名称）</w:t>
      </w:r>
      <w:r>
        <w:rPr>
          <w:rFonts w:hint="eastAsia" w:ascii="仿宋" w:hAnsi="仿宋" w:eastAsia="仿宋" w:cs="仿宋"/>
          <w:color w:val="auto"/>
          <w:kern w:val="0"/>
          <w:sz w:val="21"/>
          <w:szCs w:val="21"/>
          <w:highlight w:val="none"/>
        </w:rPr>
        <w:t>的</w:t>
      </w:r>
      <w:r>
        <w:rPr>
          <w:rFonts w:hint="eastAsia" w:ascii="仿宋" w:hAnsi="仿宋" w:eastAsia="仿宋" w:cs="仿宋"/>
          <w:color w:val="auto"/>
          <w:kern w:val="0"/>
          <w:sz w:val="21"/>
          <w:szCs w:val="21"/>
          <w:highlight w:val="none"/>
          <w:u w:val="single"/>
        </w:rPr>
        <w:t>（项目名称）</w:t>
      </w:r>
      <w:r>
        <w:rPr>
          <w:rFonts w:hint="eastAsia" w:ascii="仿宋" w:hAnsi="仿宋" w:eastAsia="仿宋" w:cs="仿宋"/>
          <w:color w:val="auto"/>
          <w:ker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hd w:val="clear"/>
        <w:spacing w:line="400" w:lineRule="exact"/>
        <w:ind w:firstLine="420" w:firstLineChars="200"/>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1. </w:t>
      </w:r>
      <w:r>
        <w:rPr>
          <w:rFonts w:hint="eastAsia" w:ascii="仿宋" w:hAnsi="仿宋" w:eastAsia="仿宋" w:cs="仿宋"/>
          <w:color w:val="auto"/>
          <w:kern w:val="0"/>
          <w:sz w:val="21"/>
          <w:szCs w:val="21"/>
          <w:highlight w:val="none"/>
          <w:u w:val="single"/>
        </w:rPr>
        <w:t>（标的名称）</w:t>
      </w:r>
      <w:r>
        <w:rPr>
          <w:rFonts w:hint="eastAsia" w:ascii="仿宋" w:hAnsi="仿宋" w:eastAsia="仿宋" w:cs="仿宋"/>
          <w:color w:val="auto"/>
          <w:kern w:val="0"/>
          <w:sz w:val="21"/>
          <w:szCs w:val="21"/>
          <w:highlight w:val="none"/>
        </w:rPr>
        <w:t xml:space="preserve"> ，属于</w:t>
      </w:r>
      <w:r>
        <w:rPr>
          <w:rFonts w:hint="eastAsia" w:ascii="仿宋" w:hAnsi="仿宋" w:eastAsia="仿宋" w:cs="仿宋"/>
          <w:color w:val="auto"/>
          <w:kern w:val="0"/>
          <w:sz w:val="21"/>
          <w:szCs w:val="21"/>
          <w:highlight w:val="none"/>
          <w:u w:val="single"/>
        </w:rPr>
        <w:t>（采购文件中明确的所属行业）</w:t>
      </w:r>
      <w:r>
        <w:rPr>
          <w:rFonts w:hint="eastAsia" w:ascii="仿宋" w:hAnsi="仿宋" w:eastAsia="仿宋" w:cs="仿宋"/>
          <w:color w:val="auto"/>
          <w:kern w:val="0"/>
          <w:sz w:val="21"/>
          <w:szCs w:val="21"/>
          <w:highlight w:val="none"/>
        </w:rPr>
        <w:t>；承建（承接）企业为</w:t>
      </w:r>
      <w:r>
        <w:rPr>
          <w:rFonts w:hint="eastAsia" w:ascii="仿宋" w:hAnsi="仿宋" w:eastAsia="仿宋" w:cs="仿宋"/>
          <w:color w:val="auto"/>
          <w:kern w:val="0"/>
          <w:sz w:val="21"/>
          <w:szCs w:val="21"/>
          <w:highlight w:val="none"/>
          <w:u w:val="single"/>
        </w:rPr>
        <w:t>（企业名称）</w:t>
      </w:r>
      <w:r>
        <w:rPr>
          <w:rFonts w:hint="eastAsia" w:ascii="仿宋" w:hAnsi="仿宋" w:eastAsia="仿宋" w:cs="仿宋"/>
          <w:color w:val="auto"/>
          <w:kern w:val="0"/>
          <w:sz w:val="21"/>
          <w:szCs w:val="21"/>
          <w:highlight w:val="none"/>
        </w:rPr>
        <w:t>，从业人员人，营业收入为万元，资产总额为万元，属于</w:t>
      </w:r>
      <w:r>
        <w:rPr>
          <w:rFonts w:hint="eastAsia" w:ascii="仿宋" w:hAnsi="仿宋" w:eastAsia="仿宋" w:cs="仿宋"/>
          <w:color w:val="auto"/>
          <w:kern w:val="0"/>
          <w:sz w:val="21"/>
          <w:szCs w:val="21"/>
          <w:highlight w:val="none"/>
          <w:u w:val="single"/>
        </w:rPr>
        <w:t>（中型企业、小型企业、微型企业）</w:t>
      </w:r>
      <w:r>
        <w:rPr>
          <w:rFonts w:hint="eastAsia" w:ascii="仿宋" w:hAnsi="仿宋" w:eastAsia="仿宋" w:cs="仿宋"/>
          <w:color w:val="auto"/>
          <w:kern w:val="0"/>
          <w:sz w:val="21"/>
          <w:szCs w:val="21"/>
          <w:highlight w:val="none"/>
        </w:rPr>
        <w:t xml:space="preserve">； </w:t>
      </w:r>
    </w:p>
    <w:p>
      <w:pPr>
        <w:widowControl/>
        <w:shd w:val="clear"/>
        <w:spacing w:line="400" w:lineRule="exact"/>
        <w:ind w:firstLine="420" w:firstLineChars="200"/>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u w:val="single"/>
        </w:rPr>
        <w:t xml:space="preserve"> （标的名称）</w:t>
      </w:r>
      <w:r>
        <w:rPr>
          <w:rFonts w:hint="eastAsia" w:ascii="仿宋" w:hAnsi="仿宋" w:eastAsia="仿宋" w:cs="仿宋"/>
          <w:color w:val="auto"/>
          <w:kern w:val="0"/>
          <w:sz w:val="21"/>
          <w:szCs w:val="21"/>
          <w:highlight w:val="none"/>
        </w:rPr>
        <w:t xml:space="preserve"> ，属于</w:t>
      </w:r>
      <w:r>
        <w:rPr>
          <w:rFonts w:hint="eastAsia" w:ascii="仿宋" w:hAnsi="仿宋" w:eastAsia="仿宋" w:cs="仿宋"/>
          <w:color w:val="auto"/>
          <w:kern w:val="0"/>
          <w:sz w:val="21"/>
          <w:szCs w:val="21"/>
          <w:highlight w:val="none"/>
          <w:u w:val="single"/>
        </w:rPr>
        <w:t>（采购文件中明确的所属行业）</w:t>
      </w:r>
      <w:r>
        <w:rPr>
          <w:rFonts w:hint="eastAsia" w:ascii="仿宋" w:hAnsi="仿宋" w:eastAsia="仿宋" w:cs="仿宋"/>
          <w:color w:val="auto"/>
          <w:kern w:val="0"/>
          <w:sz w:val="21"/>
          <w:szCs w:val="21"/>
          <w:highlight w:val="none"/>
        </w:rPr>
        <w:t>；承建（承接）企业为</w:t>
      </w:r>
      <w:r>
        <w:rPr>
          <w:rFonts w:hint="eastAsia" w:ascii="仿宋" w:hAnsi="仿宋" w:eastAsia="仿宋" w:cs="仿宋"/>
          <w:color w:val="auto"/>
          <w:kern w:val="0"/>
          <w:sz w:val="21"/>
          <w:szCs w:val="21"/>
          <w:highlight w:val="none"/>
          <w:u w:val="single"/>
        </w:rPr>
        <w:t>（企业名称）</w:t>
      </w:r>
      <w:r>
        <w:rPr>
          <w:rFonts w:hint="eastAsia" w:ascii="仿宋" w:hAnsi="仿宋" w:eastAsia="仿宋" w:cs="仿宋"/>
          <w:color w:val="auto"/>
          <w:kern w:val="0"/>
          <w:sz w:val="21"/>
          <w:szCs w:val="21"/>
          <w:highlight w:val="none"/>
        </w:rPr>
        <w:t>，从业人员人，营业收入为万元，资产总额为万元，属于</w:t>
      </w:r>
      <w:r>
        <w:rPr>
          <w:rFonts w:hint="eastAsia" w:ascii="仿宋" w:hAnsi="仿宋" w:eastAsia="仿宋" w:cs="仿宋"/>
          <w:color w:val="auto"/>
          <w:kern w:val="0"/>
          <w:sz w:val="21"/>
          <w:szCs w:val="21"/>
          <w:highlight w:val="none"/>
          <w:u w:val="single"/>
        </w:rPr>
        <w:t>（中型企业、小型企业、微型企业）</w:t>
      </w:r>
      <w:r>
        <w:rPr>
          <w:rFonts w:hint="eastAsia" w:ascii="仿宋" w:hAnsi="仿宋" w:eastAsia="仿宋" w:cs="仿宋"/>
          <w:color w:val="auto"/>
          <w:kern w:val="0"/>
          <w:sz w:val="21"/>
          <w:szCs w:val="21"/>
          <w:highlight w:val="none"/>
        </w:rPr>
        <w:t xml:space="preserve">； </w:t>
      </w:r>
    </w:p>
    <w:p>
      <w:pPr>
        <w:widowControl/>
        <w:shd w:val="clear"/>
        <w:spacing w:line="400" w:lineRule="exact"/>
        <w:ind w:firstLine="420" w:firstLineChars="200"/>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p>
    <w:p>
      <w:pPr>
        <w:widowControl/>
        <w:shd w:val="clear"/>
        <w:spacing w:line="400" w:lineRule="exact"/>
        <w:ind w:firstLine="420" w:firstLineChars="200"/>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以上企业，不属于大企业的分支机构，不存在控股股东为大企业的情形，也不存在与大企业的负责人为同一人的情形。</w:t>
      </w:r>
    </w:p>
    <w:p>
      <w:pPr>
        <w:widowControl/>
        <w:shd w:val="clear"/>
        <w:spacing w:line="400" w:lineRule="exact"/>
        <w:ind w:firstLine="420" w:firstLineChars="200"/>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本企业对上述声明内容的真实性负责。如有虚假，将依法承担相应责任。 </w:t>
      </w:r>
    </w:p>
    <w:p>
      <w:pPr>
        <w:widowControl/>
        <w:shd w:val="clear"/>
        <w:spacing w:line="400" w:lineRule="exact"/>
        <w:jc w:val="center"/>
        <w:outlineLvl w:val="9"/>
        <w:rPr>
          <w:rFonts w:hint="eastAsia" w:ascii="仿宋" w:hAnsi="仿宋" w:eastAsia="仿宋" w:cs="仿宋"/>
          <w:color w:val="auto"/>
          <w:kern w:val="0"/>
          <w:sz w:val="21"/>
          <w:szCs w:val="21"/>
          <w:highlight w:val="none"/>
        </w:rPr>
      </w:pPr>
    </w:p>
    <w:p>
      <w:pPr>
        <w:widowControl/>
        <w:shd w:val="clear"/>
        <w:spacing w:line="400" w:lineRule="exact"/>
        <w:jc w:val="center"/>
        <w:outlineLvl w:val="9"/>
        <w:rPr>
          <w:rFonts w:hint="eastAsia" w:ascii="仿宋" w:hAnsi="仿宋" w:eastAsia="仿宋" w:cs="仿宋"/>
          <w:color w:val="auto"/>
          <w:kern w:val="0"/>
          <w:sz w:val="21"/>
          <w:szCs w:val="21"/>
          <w:highlight w:val="none"/>
        </w:rPr>
      </w:pPr>
    </w:p>
    <w:p>
      <w:pPr>
        <w:widowControl/>
        <w:shd w:val="clear"/>
        <w:spacing w:line="400" w:lineRule="exact"/>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企业名称（盖章）：</w:t>
      </w:r>
    </w:p>
    <w:p>
      <w:pPr>
        <w:widowControl/>
        <w:shd w:val="clear"/>
        <w:spacing w:line="400" w:lineRule="exact"/>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日 期：</w:t>
      </w:r>
    </w:p>
    <w:p>
      <w:pPr>
        <w:shd w:val="clear"/>
        <w:spacing w:line="400" w:lineRule="exact"/>
        <w:outlineLvl w:val="9"/>
        <w:rPr>
          <w:rFonts w:hint="eastAsia" w:ascii="仿宋" w:hAnsi="仿宋" w:eastAsia="仿宋" w:cs="仿宋"/>
          <w:color w:val="auto"/>
          <w:sz w:val="21"/>
          <w:szCs w:val="21"/>
          <w:highlight w:val="none"/>
        </w:rPr>
      </w:pPr>
    </w:p>
    <w:p>
      <w:pPr>
        <w:widowControl/>
        <w:shd w:val="clear"/>
        <w:spacing w:line="400" w:lineRule="exact"/>
        <w:ind w:firstLine="420" w:firstLineChars="200"/>
        <w:jc w:val="left"/>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从业人员、营业收入、资产总额填报上一年度数据，无上一年度数据的新成立企业可不填报。</w:t>
      </w: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color w:val="auto"/>
          <w:sz w:val="21"/>
          <w:szCs w:val="21"/>
          <w:highlight w:val="none"/>
        </w:rPr>
      </w:pPr>
    </w:p>
    <w:p>
      <w:pPr>
        <w:shd w:val="clear"/>
        <w:spacing w:line="400" w:lineRule="exac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widowControl/>
        <w:shd w:val="clear"/>
        <w:spacing w:line="400" w:lineRule="exact"/>
        <w:outlineLvl w:val="0"/>
        <w:rPr>
          <w:rFonts w:hint="eastAsia" w:ascii="仿宋" w:hAnsi="仿宋" w:eastAsia="仿宋" w:cs="仿宋"/>
          <w:b/>
          <w:color w:val="auto"/>
          <w:sz w:val="21"/>
          <w:szCs w:val="21"/>
          <w:highlight w:val="none"/>
        </w:rPr>
      </w:pPr>
      <w:bookmarkStart w:id="68" w:name="_Toc23204"/>
      <w:bookmarkStart w:id="69" w:name="_Toc26407"/>
      <w:r>
        <w:rPr>
          <w:rFonts w:hint="eastAsia" w:ascii="仿宋" w:hAnsi="仿宋" w:eastAsia="仿宋" w:cs="仿宋"/>
          <w:b/>
          <w:color w:val="auto"/>
          <w:sz w:val="21"/>
          <w:szCs w:val="21"/>
          <w:highlight w:val="none"/>
        </w:rPr>
        <w:t>附件1</w:t>
      </w:r>
      <w:r>
        <w:rPr>
          <w:rFonts w:hint="eastAsia" w:ascii="仿宋" w:hAnsi="仿宋" w:eastAsia="仿宋" w:cs="仿宋"/>
          <w:b/>
          <w:color w:val="auto"/>
          <w:sz w:val="21"/>
          <w:szCs w:val="21"/>
          <w:highlight w:val="none"/>
          <w:lang w:val="en-US" w:eastAsia="zh-CN"/>
        </w:rPr>
        <w:t>4</w:t>
      </w:r>
      <w:r>
        <w:rPr>
          <w:rFonts w:hint="eastAsia" w:ascii="仿宋" w:hAnsi="仿宋" w:eastAsia="仿宋" w:cs="仿宋"/>
          <w:b/>
          <w:color w:val="auto"/>
          <w:sz w:val="21"/>
          <w:szCs w:val="21"/>
          <w:highlight w:val="none"/>
        </w:rPr>
        <w:t>：</w:t>
      </w:r>
      <w:bookmarkEnd w:id="68"/>
      <w:bookmarkEnd w:id="69"/>
    </w:p>
    <w:p>
      <w:pPr>
        <w:widowControl/>
        <w:shd w:val="clear"/>
        <w:spacing w:line="400" w:lineRule="exact"/>
        <w:jc w:val="center"/>
        <w:outlineLvl w:val="9"/>
        <w:rPr>
          <w:rFonts w:hint="eastAsia" w:ascii="仿宋" w:hAnsi="仿宋" w:eastAsia="仿宋" w:cs="仿宋"/>
          <w:b/>
          <w:color w:val="auto"/>
          <w:sz w:val="21"/>
          <w:szCs w:val="21"/>
          <w:highlight w:val="none"/>
        </w:rPr>
      </w:pPr>
    </w:p>
    <w:p>
      <w:pPr>
        <w:widowControl/>
        <w:shd w:val="clear"/>
        <w:spacing w:line="400" w:lineRule="exact"/>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投标人认为有必要提交的其他相关证明材料</w:t>
      </w:r>
    </w:p>
    <w:p>
      <w:pPr>
        <w:pStyle w:val="30"/>
        <w:shd w:val="clear"/>
        <w:jc w:val="center"/>
        <w:outlineLvl w:val="9"/>
        <w:rPr>
          <w:rFonts w:hint="eastAsia" w:ascii="仿宋" w:hAnsi="仿宋" w:eastAsia="仿宋" w:cs="仿宋"/>
          <w:bCs/>
          <w:color w:val="auto"/>
          <w:sz w:val="21"/>
          <w:szCs w:val="21"/>
          <w:highlight w:val="none"/>
        </w:rPr>
      </w:pPr>
    </w:p>
    <w:p>
      <w:pPr>
        <w:shd w:val="clear"/>
        <w:outlineLvl w:val="9"/>
        <w:rPr>
          <w:rFonts w:hint="eastAsia" w:ascii="仿宋" w:hAnsi="仿宋" w:eastAsia="仿宋" w:cs="仿宋"/>
          <w:color w:val="auto"/>
          <w:highlight w:val="none"/>
        </w:rPr>
      </w:pPr>
    </w:p>
    <w:p>
      <w:pPr>
        <w:shd w:val="clear"/>
        <w:outlineLvl w:val="9"/>
        <w:rPr>
          <w:rFonts w:hint="eastAsia" w:ascii="仿宋" w:hAnsi="仿宋" w:eastAsia="仿宋" w:cs="仿宋"/>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44712"/>
    </w:sdtPr>
    <w:sdtContent>
      <w:p>
        <w:pPr>
          <w:pStyle w:val="14"/>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8" w:space="1"/>
      </w:pBdr>
      <w:jc w:val="right"/>
      <w:rPr>
        <w:rFonts w:hint="eastAsia"/>
        <w:lang w:eastAsia="zh-CN"/>
      </w:rPr>
    </w:pPr>
    <w:r>
      <w:rPr>
        <w:rFonts w:hint="eastAsia" w:ascii="仿宋" w:hAnsi="仿宋" w:eastAsia="仿宋" w:cs="仿宋"/>
        <w:b/>
        <w:color w:val="auto"/>
        <w:sz w:val="21"/>
        <w:szCs w:val="21"/>
        <w:highlight w:val="none"/>
        <w:lang w:eastAsia="zh-CN"/>
      </w:rPr>
      <w:t>新疆维吾尔自治区渔业绿色发展调研项目</w:t>
    </w:r>
    <w:r>
      <w:rPr>
        <w:rFonts w:hint="eastAsia" w:ascii="仿宋" w:hAnsi="仿宋" w:eastAsia="仿宋" w:cs="仿宋"/>
        <w:b/>
        <w:color w:val="auto"/>
        <w:sz w:val="21"/>
        <w:szCs w:val="21"/>
        <w:highlight w:val="none"/>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eastAsia="宋体"/>
        <w:lang w:eastAsia="zh-CN"/>
      </w:rPr>
    </w:pPr>
    <w:r>
      <w:rPr>
        <w:rFonts w:hint="eastAsia"/>
      </w:rPr>
      <w:t>新疆承泰建业工程管理咨询有限公司</w:t>
    </w:r>
    <w:r>
      <w:rPr>
        <w:rFonts w:hint="eastAsia"/>
        <w:lang w:eastAsia="zh-CN"/>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2CFDB"/>
    <w:multiLevelType w:val="singleLevel"/>
    <w:tmpl w:val="9602CFDB"/>
    <w:lvl w:ilvl="0" w:tentative="0">
      <w:start w:val="1"/>
      <w:numFmt w:val="decimal"/>
      <w:suff w:val="nothing"/>
      <w:lvlText w:val="%1．"/>
      <w:lvlJc w:val="left"/>
      <w:pPr>
        <w:ind w:left="0" w:firstLine="400"/>
      </w:pPr>
      <w:rPr>
        <w:rFonts w:hint="default"/>
      </w:rPr>
    </w:lvl>
  </w:abstractNum>
  <w:abstractNum w:abstractNumId="1">
    <w:nsid w:val="A5EDFEF1"/>
    <w:multiLevelType w:val="singleLevel"/>
    <w:tmpl w:val="A5EDFEF1"/>
    <w:lvl w:ilvl="0" w:tentative="0">
      <w:start w:val="1"/>
      <w:numFmt w:val="decimal"/>
      <w:suff w:val="nothing"/>
      <w:lvlText w:val="（%1）"/>
      <w:lvlJc w:val="left"/>
      <w:pPr>
        <w:ind w:left="0"/>
      </w:pPr>
    </w:lvl>
  </w:abstractNum>
  <w:abstractNum w:abstractNumId="2">
    <w:nsid w:val="AF7C1E0B"/>
    <w:multiLevelType w:val="singleLevel"/>
    <w:tmpl w:val="AF7C1E0B"/>
    <w:lvl w:ilvl="0" w:tentative="0">
      <w:start w:val="3"/>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51C79BA"/>
    <w:multiLevelType w:val="multilevel"/>
    <w:tmpl w:val="451C79BA"/>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D65C29"/>
    <w:multiLevelType w:val="singleLevel"/>
    <w:tmpl w:val="60D65C29"/>
    <w:lvl w:ilvl="0" w:tentative="0">
      <w:start w:val="4"/>
      <w:numFmt w:val="chineseCounting"/>
      <w:suff w:val="space"/>
      <w:lvlText w:val="第%1部分"/>
      <w:lvlJc w:val="left"/>
      <w:rPr>
        <w:rFonts w:hint="eastAsia"/>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YTkxNThjYmIxYzdjYzBlMmMyODZiMTFhOGJlODgifQ=="/>
  </w:docVars>
  <w:rsids>
    <w:rsidRoot w:val="00000000"/>
    <w:rsid w:val="064F27F3"/>
    <w:rsid w:val="06856661"/>
    <w:rsid w:val="0A1D552E"/>
    <w:rsid w:val="0C6E3F6C"/>
    <w:rsid w:val="1AA644A8"/>
    <w:rsid w:val="1D4B7A15"/>
    <w:rsid w:val="1DE6750D"/>
    <w:rsid w:val="24C62FB4"/>
    <w:rsid w:val="2E463833"/>
    <w:rsid w:val="34531B31"/>
    <w:rsid w:val="351BB955"/>
    <w:rsid w:val="371D506B"/>
    <w:rsid w:val="3A3E46DD"/>
    <w:rsid w:val="3C2034F6"/>
    <w:rsid w:val="532D659B"/>
    <w:rsid w:val="533D0D5E"/>
    <w:rsid w:val="580B4D23"/>
    <w:rsid w:val="5A5F0319"/>
    <w:rsid w:val="5F54607A"/>
    <w:rsid w:val="62795F16"/>
    <w:rsid w:val="678E6713"/>
    <w:rsid w:val="69B3154C"/>
    <w:rsid w:val="6F2AF2E6"/>
    <w:rsid w:val="713749C8"/>
    <w:rsid w:val="77CE8713"/>
    <w:rsid w:val="7A712E05"/>
    <w:rsid w:val="7BDC6DCC"/>
    <w:rsid w:val="7ED545E9"/>
    <w:rsid w:val="DF7D6FC9"/>
    <w:rsid w:val="F9FFE9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Lines="0" w:beforeAutospacing="0" w:afterLines="0" w:afterAutospacing="0" w:line="240" w:lineRule="auto"/>
      <w:jc w:val="center"/>
      <w:outlineLvl w:val="0"/>
    </w:pPr>
    <w:rPr>
      <w:rFonts w:ascii="Times New Roman" w:hAnsi="Times New Roman" w:eastAsia="宋体"/>
      <w:b/>
      <w:kern w:val="44"/>
      <w:sz w:val="28"/>
    </w:rPr>
  </w:style>
  <w:style w:type="paragraph" w:styleId="4">
    <w:name w:val="heading 2"/>
    <w:basedOn w:val="1"/>
    <w:next w:val="1"/>
    <w:qFormat/>
    <w:uiPriority w:val="9"/>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9"/>
    <w:pPr>
      <w:keepNext/>
      <w:keepLines/>
      <w:spacing w:before="260" w:after="260" w:line="360" w:lineRule="auto"/>
      <w:ind w:left="171" w:leftChars="171"/>
      <w:outlineLvl w:val="2"/>
    </w:pPr>
    <w:rPr>
      <w:rFonts w:eastAsia="Arial Unicode MS"/>
      <w:b/>
      <w:szCs w:val="20"/>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rFonts w:asciiTheme="minorHAnsi" w:hAnsiTheme="minorHAnsi" w:eastAsiaTheme="minorEastAsia" w:cstheme="minorBidi"/>
      <w:szCs w:val="24"/>
    </w:rPr>
  </w:style>
  <w:style w:type="paragraph" w:styleId="7">
    <w:name w:val="toa heading"/>
    <w:basedOn w:val="1"/>
    <w:next w:val="1"/>
    <w:qFormat/>
    <w:uiPriority w:val="0"/>
    <w:pPr>
      <w:spacing w:before="120"/>
    </w:pPr>
    <w:rPr>
      <w:rFonts w:ascii="Arial" w:hAnsi="Arial"/>
      <w:sz w:val="24"/>
      <w:szCs w:val="21"/>
    </w:rPr>
  </w:style>
  <w:style w:type="paragraph" w:styleId="8">
    <w:name w:val="Body Text"/>
    <w:basedOn w:val="1"/>
    <w:next w:val="1"/>
    <w:unhideWhenUsed/>
    <w:qFormat/>
    <w:uiPriority w:val="0"/>
    <w:pPr>
      <w:spacing w:after="120"/>
    </w:pPr>
  </w:style>
  <w:style w:type="paragraph" w:styleId="9">
    <w:name w:val="Body Text Indent"/>
    <w:basedOn w:val="1"/>
    <w:next w:val="10"/>
    <w:qFormat/>
    <w:uiPriority w:val="0"/>
    <w:pPr>
      <w:ind w:firstLine="480"/>
    </w:pPr>
    <w:rPr>
      <w:rFonts w:ascii="宋体" w:hAnsi="宋体"/>
      <w:sz w:val="24"/>
    </w:rPr>
  </w:style>
  <w:style w:type="paragraph" w:styleId="10">
    <w:name w:val="envelope return"/>
    <w:basedOn w:val="1"/>
    <w:qFormat/>
    <w:uiPriority w:val="0"/>
    <w:pPr>
      <w:topLinePunct/>
      <w:snapToGrid w:val="0"/>
    </w:pPr>
    <w:rPr>
      <w:rFonts w:ascii="Arial" w:hAnsi="Arial" w:cs="Arial"/>
    </w:rPr>
  </w:style>
  <w:style w:type="paragraph" w:styleId="11">
    <w:name w:val="Block Text"/>
    <w:basedOn w:val="1"/>
    <w:qFormat/>
    <w:uiPriority w:val="99"/>
    <w:pPr>
      <w:ind w:left="1171" w:right="91" w:hanging="1080"/>
    </w:pPr>
    <w:rPr>
      <w:rFonts w:eastAsia="楷体_GB2312"/>
    </w:rPr>
  </w:style>
  <w:style w:type="paragraph" w:styleId="12">
    <w:name w:val="Plain Text"/>
    <w:basedOn w:val="1"/>
    <w:qFormat/>
    <w:uiPriority w:val="0"/>
    <w:rPr>
      <w:rFonts w:ascii="宋体" w:hAnsi="Courier New" w:cstheme="minorBidi"/>
      <w:szCs w:val="22"/>
    </w:rPr>
  </w:style>
  <w:style w:type="paragraph" w:styleId="13">
    <w:name w:val="Body Text Indent 2"/>
    <w:basedOn w:val="1"/>
    <w:qFormat/>
    <w:uiPriority w:val="0"/>
    <w:pPr>
      <w:ind w:firstLine="435"/>
    </w:pPr>
    <w:rPr>
      <w:rFonts w:ascii="宋体" w:hAnsi="宋体" w:eastAsiaTheme="minorEastAsia" w:cstheme="minorBidi"/>
      <w:sz w:val="24"/>
      <w:szCs w:val="22"/>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ind w:left="471" w:hanging="471" w:hangingChars="200"/>
    </w:pPr>
    <w:rPr>
      <w:rFonts w:ascii="Arial" w:hAnsi="Arial" w:cs="Arial"/>
      <w:b/>
      <w:bCs/>
      <w:sz w:val="24"/>
    </w:rPr>
  </w:style>
  <w:style w:type="paragraph" w:styleId="1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2"/>
    <w:basedOn w:val="9"/>
    <w:next w:val="1"/>
    <w:unhideWhenUsed/>
    <w:qFormat/>
    <w:uiPriority w:val="99"/>
    <w:pPr>
      <w:ind w:firstLine="420"/>
    </w:pPr>
    <w:rPr>
      <w:rFonts w:ascii="Arial" w:hAnsi="Arial" w:eastAsia="仿宋_GB2312"/>
      <w:sz w:val="28"/>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paragraph" w:customStyle="1" w:styleId="25">
    <w:name w:val="标题 5（有编号）（绿盟科技）"/>
    <w:basedOn w:val="1"/>
    <w:next w:val="2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WPS Plain"/>
    <w:qFormat/>
    <w:uiPriority w:val="0"/>
    <w:rPr>
      <w:rFonts w:ascii="Times New Roman" w:hAnsi="Times New Roman" w:eastAsia="宋体" w:cs="Times New Roman"/>
      <w:lang w:val="en-US" w:eastAsia="zh-CN" w:bidi="ar-SA"/>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1">
    <w:name w:val="bookmark-item"/>
    <w:basedOn w:val="21"/>
    <w:qFormat/>
    <w:uiPriority w:val="0"/>
  </w:style>
  <w:style w:type="character" w:customStyle="1" w:styleId="32">
    <w:name w:val="标题 1 Char"/>
    <w:link w:val="3"/>
    <w:qFormat/>
    <w:uiPriority w:val="0"/>
    <w:rPr>
      <w:rFonts w:ascii="Times New Roman" w:hAnsi="Times New Roman" w:eastAsia="宋体"/>
      <w:b/>
      <w:kern w:val="44"/>
      <w:sz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Table Paragraph"/>
    <w:basedOn w:val="1"/>
    <w:qFormat/>
    <w:uiPriority w:val="1"/>
    <w:rPr>
      <w:rFonts w:ascii="宋体" w:hAnsi="宋体" w:eastAsia="宋体" w:cs="宋体"/>
      <w:lang w:val="zh-CN" w:eastAsia="zh-CN" w:bidi="zh-CN"/>
    </w:rPr>
  </w:style>
  <w:style w:type="paragraph" w:customStyle="1" w:styleId="35">
    <w:name w:val="列出段落2"/>
    <w:basedOn w:val="1"/>
    <w:qFormat/>
    <w:uiPriority w:val="0"/>
    <w:pPr>
      <w:ind w:firstLine="420" w:firstLineChars="200"/>
    </w:pPr>
    <w:rPr>
      <w:rFonts w:ascii="Calibri" w:hAnsi="Calibri"/>
      <w:szCs w:val="22"/>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7">
    <w:name w:val="正文_1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33380</Words>
  <Characters>34645</Characters>
  <Lines>0</Lines>
  <Paragraphs>0</Paragraphs>
  <TotalTime>5</TotalTime>
  <ScaleCrop>false</ScaleCrop>
  <LinksUpToDate>false</LinksUpToDate>
  <CharactersWithSpaces>39334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2022-03-30T21:36:00Z</dcterms:created>
  <dc:creator>Administrator</dc:creator>
  <cp:lastModifiedBy>Administrator</cp:lastModifiedBy>
  <cp:lastPrinted>2022-04-25T00:54:00Z</cp:lastPrinted>
  <dcterms:modified xsi:type="dcterms:W3CDTF">2022-04-26T10:18:21Z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8D85652560E14E7B92240ACF1E34A2FF</vt:lpwstr>
  </property>
  <property fmtid="{D5CDD505-2E9C-101B-9397-08002B2CF9AE}" pid="4" name="commondata">
    <vt:lpwstr>eyJoZGlkIjoiYWE4ZDRhNmQ1ZWI5ZGI1ZDU4ZDYyNGMyYTQxMTMwZWQifQ==</vt:lpwstr>
  </property>
</Properties>
</file>