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36"/>
          <w:lang w:val="en-US" w:eastAsia="zh-CN"/>
        </w:rPr>
      </w:pPr>
      <w:r>
        <w:rPr>
          <w:rFonts w:hint="eastAsia"/>
          <w:b/>
          <w:bCs/>
          <w:sz w:val="40"/>
          <w:szCs w:val="36"/>
          <w:lang w:val="en-US" w:eastAsia="zh-CN"/>
        </w:rPr>
        <w:t>竞争性磋商公告</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cs="Times New Roman"/>
          <w:sz w:val="28"/>
          <w:szCs w:val="28"/>
          <w:u w:val="single"/>
          <w:lang w:eastAsia="zh-CN"/>
        </w:rPr>
        <w:t>2022年昌吉州民政局社会工作者培训项目（二次）</w:t>
      </w:r>
      <w:r>
        <w:rPr>
          <w:rFonts w:hint="eastAsia" w:ascii="仿宋" w:hAnsi="仿宋" w:eastAsia="仿宋"/>
          <w:sz w:val="28"/>
          <w:szCs w:val="28"/>
          <w:u w:val="none"/>
          <w:lang w:eastAsia="zh-CN"/>
        </w:rPr>
        <w:t>采购</w:t>
      </w:r>
      <w:r>
        <w:rPr>
          <w:rFonts w:hint="eastAsia" w:ascii="仿宋" w:hAnsi="仿宋" w:eastAsia="仿宋"/>
          <w:sz w:val="28"/>
          <w:szCs w:val="28"/>
          <w:u w:val="none"/>
        </w:rPr>
        <w:t>的</w:t>
      </w:r>
      <w:r>
        <w:rPr>
          <w:rFonts w:hint="eastAsia" w:ascii="仿宋" w:hAnsi="仿宋" w:eastAsia="仿宋"/>
          <w:sz w:val="28"/>
          <w:szCs w:val="28"/>
        </w:rPr>
        <w:t>潜在供应商应</w:t>
      </w:r>
      <w:r>
        <w:rPr>
          <w:rFonts w:hint="eastAsia" w:ascii="仿宋" w:hAnsi="仿宋" w:eastAsia="仿宋"/>
          <w:color w:val="auto"/>
          <w:sz w:val="28"/>
          <w:szCs w:val="28"/>
          <w:highlight w:val="none"/>
        </w:rPr>
        <w:t>在</w:t>
      </w:r>
      <w:r>
        <w:rPr>
          <w:rFonts w:hint="eastAsia" w:ascii="仿宋" w:hAnsi="仿宋" w:eastAsia="仿宋"/>
          <w:color w:val="auto"/>
          <w:sz w:val="28"/>
          <w:szCs w:val="28"/>
          <w:highlight w:val="none"/>
          <w:u w:val="single"/>
        </w:rPr>
        <w:t>新疆昌吉州昌吉市</w:t>
      </w:r>
      <w:r>
        <w:rPr>
          <w:rFonts w:hint="eastAsia" w:ascii="仿宋" w:hAnsi="仿宋" w:eastAsia="仿宋"/>
          <w:color w:val="auto"/>
          <w:sz w:val="28"/>
          <w:szCs w:val="28"/>
          <w:highlight w:val="none"/>
          <w:u w:val="single"/>
          <w:lang w:eastAsia="zh-CN"/>
        </w:rPr>
        <w:t>屯河北路时代广场</w:t>
      </w:r>
      <w:r>
        <w:rPr>
          <w:rFonts w:hint="eastAsia" w:ascii="仿宋" w:hAnsi="仿宋" w:eastAsia="仿宋"/>
          <w:color w:val="auto"/>
          <w:sz w:val="28"/>
          <w:szCs w:val="28"/>
          <w:highlight w:val="none"/>
          <w:u w:val="single"/>
          <w:lang w:val="en-US" w:eastAsia="zh-CN"/>
        </w:rPr>
        <w:t>C</w:t>
      </w:r>
      <w:r>
        <w:rPr>
          <w:rFonts w:hint="eastAsia" w:ascii="仿宋" w:hAnsi="仿宋" w:eastAsia="仿宋"/>
          <w:color w:val="auto"/>
          <w:sz w:val="28"/>
          <w:szCs w:val="28"/>
          <w:highlight w:val="none"/>
          <w:u w:val="single"/>
        </w:rPr>
        <w:t>座1</w:t>
      </w:r>
      <w:r>
        <w:rPr>
          <w:rFonts w:hint="eastAsia" w:ascii="仿宋" w:hAnsi="仿宋" w:eastAsia="仿宋"/>
          <w:color w:val="auto"/>
          <w:sz w:val="28"/>
          <w:szCs w:val="28"/>
          <w:highlight w:val="none"/>
          <w:u w:val="single"/>
          <w:lang w:val="en-US" w:eastAsia="zh-CN"/>
        </w:rPr>
        <w:t>0</w:t>
      </w:r>
      <w:r>
        <w:rPr>
          <w:rFonts w:hint="eastAsia" w:ascii="仿宋" w:hAnsi="仿宋" w:eastAsia="仿宋"/>
          <w:color w:val="auto"/>
          <w:sz w:val="28"/>
          <w:szCs w:val="28"/>
          <w:highlight w:val="none"/>
          <w:u w:val="single"/>
        </w:rPr>
        <w:t>层</w:t>
      </w:r>
      <w:r>
        <w:rPr>
          <w:rFonts w:hint="eastAsia" w:ascii="仿宋" w:hAnsi="仿宋" w:eastAsia="仿宋"/>
          <w:color w:val="auto"/>
          <w:sz w:val="28"/>
          <w:szCs w:val="28"/>
          <w:highlight w:val="none"/>
          <w:u w:val="single"/>
          <w:lang w:val="en-US" w:eastAsia="zh-CN"/>
        </w:rPr>
        <w:t>1017</w:t>
      </w:r>
      <w:r>
        <w:rPr>
          <w:rFonts w:hint="eastAsia" w:ascii="仿宋" w:hAnsi="仿宋" w:eastAsia="仿宋"/>
          <w:color w:val="auto"/>
          <w:sz w:val="28"/>
          <w:szCs w:val="28"/>
          <w:highlight w:val="none"/>
          <w:u w:val="single"/>
        </w:rPr>
        <w:t>室</w:t>
      </w:r>
      <w:r>
        <w:rPr>
          <w:rFonts w:hint="eastAsia" w:ascii="仿宋" w:hAnsi="仿宋" w:eastAsia="仿宋"/>
          <w:color w:val="auto"/>
          <w:sz w:val="28"/>
          <w:szCs w:val="28"/>
          <w:highlight w:val="none"/>
        </w:rPr>
        <w:t>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2022</w:t>
      </w:r>
      <w:r>
        <w:rPr>
          <w:rFonts w:ascii="仿宋" w:hAnsi="仿宋" w:eastAsia="仿宋"/>
          <w:color w:val="auto"/>
          <w:sz w:val="28"/>
          <w:szCs w:val="28"/>
          <w:highlight w:val="none"/>
          <w:u w:val="single"/>
        </w:rPr>
        <w:t xml:space="preserve"> </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25</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ind w:firstLine="420" w:firstLineChars="0"/>
      </w:pPr>
    </w:p>
    <w:p>
      <w:pPr>
        <w:pStyle w:val="4"/>
        <w:spacing w:line="360" w:lineRule="auto"/>
        <w:ind w:firstLine="420" w:firstLineChars="0"/>
        <w:rPr>
          <w:rFonts w:ascii="黑体" w:hAnsi="黑体" w:cs="宋体"/>
          <w:b w:val="0"/>
          <w:sz w:val="28"/>
          <w:szCs w:val="28"/>
        </w:rPr>
      </w:pPr>
      <w:bookmarkStart w:id="0" w:name="_Toc28359012"/>
      <w:bookmarkStart w:id="1" w:name="_Toc35393629"/>
      <w:bookmarkStart w:id="2" w:name="_Toc28359089"/>
      <w:bookmarkStart w:id="3" w:name="_Toc35393798"/>
      <w:r>
        <w:rPr>
          <w:rFonts w:hint="eastAsia" w:ascii="黑体" w:hAnsi="黑体" w:cs="宋体"/>
          <w:b w:val="0"/>
          <w:sz w:val="28"/>
          <w:szCs w:val="28"/>
        </w:rPr>
        <w:t>一、项目基本情况</w:t>
      </w:r>
      <w:bookmarkEnd w:id="0"/>
      <w:bookmarkEnd w:id="1"/>
      <w:bookmarkEnd w:id="2"/>
      <w:bookmarkEnd w:id="3"/>
    </w:p>
    <w:p>
      <w:pPr>
        <w:ind w:firstLine="977" w:firstLineChars="349"/>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XJYJ-2022-CG-021</w:t>
      </w:r>
    </w:p>
    <w:p>
      <w:pPr>
        <w:ind w:left="559" w:leftChars="266" w:firstLine="419" w:firstLineChars="0"/>
        <w:rPr>
          <w:rFonts w:hint="eastAsia"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sz w:val="28"/>
          <w:szCs w:val="28"/>
        </w:rPr>
        <w:t>项目名称：</w:t>
      </w:r>
      <w:r>
        <w:rPr>
          <w:rFonts w:hint="eastAsia" w:ascii="仿宋" w:hAnsi="仿宋" w:eastAsia="仿宋"/>
          <w:sz w:val="28"/>
          <w:szCs w:val="28"/>
          <w:lang w:eastAsia="zh-CN"/>
        </w:rPr>
        <w:t>2022年昌吉州民政局社会工作者培训项目（二次）</w:t>
      </w:r>
    </w:p>
    <w:p>
      <w:pPr>
        <w:ind w:firstLine="977" w:firstLineChars="349"/>
        <w:rPr>
          <w:rFonts w:ascii="仿宋" w:hAnsi="仿宋" w:eastAsia="仿宋"/>
          <w:sz w:val="28"/>
          <w:szCs w:val="28"/>
        </w:rPr>
      </w:pPr>
      <w:r>
        <w:rPr>
          <w:rFonts w:hint="eastAsia" w:ascii="仿宋" w:hAnsi="仿宋" w:eastAsia="仿宋"/>
          <w:sz w:val="28"/>
          <w:szCs w:val="28"/>
        </w:rPr>
        <w:t xml:space="preserve">采购方式：竞争性磋商 </w:t>
      </w:r>
    </w:p>
    <w:p>
      <w:pPr>
        <w:ind w:firstLine="977" w:firstLineChars="349"/>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20万元</w:t>
      </w:r>
    </w:p>
    <w:p>
      <w:pPr>
        <w:ind w:firstLine="977" w:firstLineChars="349"/>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20万元</w:t>
      </w:r>
    </w:p>
    <w:p>
      <w:pPr>
        <w:ind w:firstLine="977" w:firstLineChars="349"/>
        <w:rPr>
          <w:rFonts w:hint="default" w:ascii="仿宋" w:hAnsi="仿宋" w:eastAsia="仿宋" w:cs="Times New Roman"/>
          <w:sz w:val="28"/>
          <w:szCs w:val="28"/>
          <w:u w:val="none"/>
          <w:lang w:val="en-US" w:eastAsia="zh-CN"/>
        </w:rPr>
      </w:pPr>
      <w:r>
        <w:rPr>
          <w:rFonts w:hint="eastAsia" w:ascii="仿宋" w:hAnsi="仿宋" w:eastAsia="仿宋"/>
          <w:sz w:val="28"/>
          <w:szCs w:val="28"/>
        </w:rPr>
        <w:t>采购需求：</w:t>
      </w:r>
      <w:r>
        <w:rPr>
          <w:rFonts w:hint="eastAsia" w:ascii="仿宋" w:hAnsi="仿宋" w:eastAsia="仿宋" w:cs="Times New Roman"/>
          <w:sz w:val="28"/>
          <w:szCs w:val="28"/>
          <w:u w:val="none"/>
          <w:lang w:val="en-US" w:eastAsia="zh-CN"/>
        </w:rPr>
        <w:t>社会工作者培训</w:t>
      </w:r>
    </w:p>
    <w:p>
      <w:pPr>
        <w:ind w:firstLine="977" w:firstLineChars="349"/>
        <w:rPr>
          <w:rFonts w:ascii="仿宋" w:hAnsi="仿宋" w:eastAsia="仿宋"/>
          <w:color w:val="auto"/>
          <w:sz w:val="28"/>
          <w:szCs w:val="28"/>
          <w:u w:val="single"/>
        </w:rPr>
      </w:pPr>
      <w:r>
        <w:rPr>
          <w:rFonts w:hint="eastAsia" w:ascii="仿宋" w:hAnsi="仿宋" w:eastAsia="仿宋"/>
          <w:sz w:val="28"/>
          <w:szCs w:val="28"/>
        </w:rPr>
        <w:t>合同履行期限</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按照</w:t>
      </w:r>
      <w:r>
        <w:rPr>
          <w:rFonts w:hint="eastAsia" w:ascii="仿宋" w:hAnsi="仿宋" w:eastAsia="仿宋"/>
          <w:color w:val="000000" w:themeColor="text1"/>
          <w:sz w:val="28"/>
          <w:szCs w:val="28"/>
          <w:lang w:eastAsia="zh-CN"/>
          <w14:textFill>
            <w14:solidFill>
              <w14:schemeClr w14:val="tx1"/>
            </w14:solidFill>
          </w14:textFill>
        </w:rPr>
        <w:t>甲乙双方合同签订的履行期限执行</w:t>
      </w:r>
      <w:r>
        <w:rPr>
          <w:rFonts w:hint="eastAsia" w:ascii="仿宋" w:hAnsi="仿宋" w:eastAsia="仿宋"/>
          <w:color w:val="000000" w:themeColor="text1"/>
          <w:sz w:val="28"/>
          <w:szCs w:val="28"/>
          <w14:textFill>
            <w14:solidFill>
              <w14:schemeClr w14:val="tx1"/>
            </w14:solidFill>
          </w14:textFill>
        </w:rPr>
        <w:t>。</w:t>
      </w:r>
    </w:p>
    <w:p>
      <w:pPr>
        <w:spacing w:line="360" w:lineRule="auto"/>
        <w:ind w:firstLine="977" w:firstLineChars="349"/>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w:t>
      </w:r>
    </w:p>
    <w:p>
      <w:pPr>
        <w:pStyle w:val="4"/>
        <w:spacing w:line="360" w:lineRule="auto"/>
        <w:ind w:firstLine="420" w:firstLineChars="0"/>
        <w:rPr>
          <w:rFonts w:ascii="黑体" w:hAnsi="黑体" w:cs="宋体"/>
          <w:b w:val="0"/>
          <w:sz w:val="28"/>
          <w:szCs w:val="28"/>
        </w:rPr>
      </w:pPr>
      <w:bookmarkStart w:id="4" w:name="_Toc35393630"/>
      <w:bookmarkStart w:id="5" w:name="_Toc35393799"/>
      <w:bookmarkStart w:id="6" w:name="_Toc28359090"/>
      <w:bookmarkStart w:id="7" w:name="_Toc28359013"/>
      <w:r>
        <w:rPr>
          <w:rFonts w:hint="eastAsia" w:ascii="黑体" w:hAnsi="黑体" w:cs="宋体"/>
          <w:b w:val="0"/>
          <w:sz w:val="28"/>
          <w:szCs w:val="28"/>
        </w:rPr>
        <w:t>二、申请人的资格要求：</w:t>
      </w:r>
      <w:bookmarkEnd w:id="4"/>
      <w:bookmarkEnd w:id="5"/>
      <w:bookmarkEnd w:id="6"/>
      <w:bookmarkEnd w:id="7"/>
    </w:p>
    <w:p>
      <w:pPr>
        <w:ind w:firstLine="977" w:firstLineChars="349"/>
        <w:rPr>
          <w:rFonts w:hint="eastAsia" w:ascii="仿宋" w:hAnsi="仿宋" w:eastAsia="仿宋"/>
          <w:sz w:val="28"/>
          <w:szCs w:val="28"/>
        </w:rPr>
      </w:pPr>
      <w:r>
        <w:rPr>
          <w:rFonts w:hint="eastAsia" w:ascii="仿宋" w:hAnsi="仿宋" w:eastAsia="仿宋"/>
          <w:sz w:val="28"/>
          <w:szCs w:val="28"/>
        </w:rPr>
        <w:t>1.满足《中华人民共和国政府采购法》第二十二条规定；</w:t>
      </w:r>
    </w:p>
    <w:p>
      <w:pPr>
        <w:ind w:firstLine="977" w:firstLineChars="349"/>
        <w:rPr>
          <w:rFonts w:hint="eastAsia" w:ascii="仿宋" w:hAnsi="仿宋" w:eastAsia="仿宋"/>
          <w:sz w:val="28"/>
          <w:szCs w:val="28"/>
        </w:rPr>
      </w:pPr>
      <w:r>
        <w:rPr>
          <w:rFonts w:hint="eastAsia" w:ascii="仿宋" w:hAnsi="仿宋" w:eastAsia="仿宋"/>
          <w:sz w:val="28"/>
          <w:szCs w:val="28"/>
        </w:rPr>
        <w:t xml:space="preserve">2.落实政府采购政策需满足的资格要求：（1）执行财政部工业和信息化部关于印发《政府采购促进中小企业发展管理办法》财库〔2020〕46号的通知中的相关规定。（2）《财政部、司法部关于政府采购支持监狱企业发展有关问题的通知》（财库〔2014〕68号）；（4）《财政部、民政部、中国残疾人联合会关于促进残疾人就业政府采购政策的通知》财库〔2017〕141号； </w:t>
      </w:r>
    </w:p>
    <w:p>
      <w:pPr>
        <w:keepNext w:val="0"/>
        <w:keepLines w:val="0"/>
        <w:pageBreakBefore w:val="0"/>
        <w:widowControl w:val="0"/>
        <w:kinsoku/>
        <w:wordWrap w:val="0"/>
        <w:overflowPunct/>
        <w:topLinePunct w:val="0"/>
        <w:autoSpaceDE/>
        <w:autoSpaceDN/>
        <w:bidi w:val="0"/>
        <w:adjustRightInd/>
        <w:snapToGrid/>
        <w:spacing w:line="520" w:lineRule="exact"/>
        <w:ind w:firstLine="977" w:firstLineChars="349"/>
        <w:jc w:val="left"/>
        <w:textAlignment w:val="auto"/>
        <w:rPr>
          <w:rFonts w:hint="eastAsia" w:ascii="仿宋" w:hAnsi="仿宋" w:eastAsia="仿宋"/>
          <w:sz w:val="28"/>
          <w:szCs w:val="28"/>
        </w:rPr>
      </w:pPr>
      <w:bookmarkStart w:id="8" w:name="_Toc28359091"/>
      <w:bookmarkStart w:id="9" w:name="_Toc28359014"/>
      <w:r>
        <w:rPr>
          <w:rFonts w:hint="eastAsia" w:ascii="仿宋" w:hAnsi="仿宋" w:eastAsia="仿宋"/>
          <w:sz w:val="28"/>
          <w:szCs w:val="28"/>
          <w:lang w:val="en-US" w:eastAsia="zh-CN"/>
        </w:rPr>
        <w:t>3</w:t>
      </w:r>
      <w:r>
        <w:rPr>
          <w:rFonts w:hint="eastAsia" w:ascii="仿宋" w:hAnsi="仿宋" w:eastAsia="仿宋"/>
          <w:sz w:val="28"/>
          <w:szCs w:val="28"/>
        </w:rPr>
        <w:t>.本项目的特定资格要求：</w:t>
      </w:r>
    </w:p>
    <w:p>
      <w:pPr>
        <w:keepNext w:val="0"/>
        <w:keepLines w:val="0"/>
        <w:pageBreakBefore w:val="0"/>
        <w:widowControl w:val="0"/>
        <w:kinsoku/>
        <w:wordWrap w:val="0"/>
        <w:overflowPunct/>
        <w:topLinePunct w:val="0"/>
        <w:autoSpaceDE/>
        <w:autoSpaceDN/>
        <w:bidi w:val="0"/>
        <w:adjustRightInd/>
        <w:snapToGrid/>
        <w:spacing w:line="520" w:lineRule="exact"/>
        <w:ind w:firstLine="768" w:firstLineChars="256"/>
        <w:jc w:val="left"/>
        <w:textAlignment w:val="auto"/>
        <w:rPr>
          <w:rFonts w:ascii="仿宋" w:hAnsi="仿宋" w:eastAsia="仿宋" w:cs="仿宋"/>
          <w:i w:val="0"/>
          <w:caps w:val="0"/>
          <w:color w:val="auto"/>
          <w:spacing w:val="0"/>
          <w:sz w:val="27"/>
          <w:szCs w:val="27"/>
        </w:rPr>
      </w:pP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1</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符合《中华人民共和国政府采购法》第二十二条规定且</w:t>
      </w:r>
      <w:r>
        <w:rPr>
          <w:rFonts w:ascii="仿宋" w:hAnsi="仿宋" w:eastAsia="仿宋" w:cs="仿宋"/>
          <w:i w:val="0"/>
          <w:caps w:val="0"/>
          <w:color w:val="auto"/>
          <w:spacing w:val="0"/>
          <w:sz w:val="27"/>
          <w:szCs w:val="27"/>
        </w:rPr>
        <w:t>供应商须提供在“信用中国”（www.creditchina.gov.cn）和中国政府采购网（www.ccgp.gov.cn）网站上未被列入失信被执行人、重大税收违法案件当事人名单以及政府采购严重违法失信行为记录名单的网页打印件（网页打印件须自磋商文件发布之日起至首次提交响应性文件截止时间止从上述网站中打印）并加盖公章；</w:t>
      </w:r>
    </w:p>
    <w:p>
      <w:pPr>
        <w:keepNext w:val="0"/>
        <w:keepLines w:val="0"/>
        <w:pageBreakBefore w:val="0"/>
        <w:widowControl/>
        <w:kinsoku/>
        <w:wordWrap/>
        <w:overflowPunct/>
        <w:topLinePunct w:val="0"/>
        <w:autoSpaceDE/>
        <w:autoSpaceDN/>
        <w:bidi w:val="0"/>
        <w:adjustRightInd/>
        <w:snapToGrid/>
        <w:spacing w:line="520" w:lineRule="exact"/>
        <w:ind w:firstLine="768" w:firstLineChars="256"/>
        <w:jc w:val="left"/>
        <w:textAlignment w:val="auto"/>
        <w:rPr>
          <w:rFonts w:hint="eastAsia" w:ascii="仿宋" w:hAnsi="仿宋" w:eastAsia="仿宋" w:cs="仿宋"/>
          <w:color w:val="000000" w:themeColor="text1"/>
          <w:spacing w:val="10"/>
          <w:sz w:val="28"/>
          <w:szCs w:val="28"/>
          <w:lang w:eastAsia="zh-CN"/>
          <w14:textFill>
            <w14:solidFill>
              <w14:schemeClr w14:val="tx1"/>
            </w14:solidFill>
          </w14:textFill>
        </w:rPr>
      </w:pPr>
      <w:bookmarkStart w:id="10" w:name="_Toc35393631"/>
      <w:bookmarkStart w:id="11" w:name="_Toc35393800"/>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2</w:t>
      </w:r>
      <w:r>
        <w:rPr>
          <w:rFonts w:hint="eastAsia" w:ascii="仿宋" w:hAnsi="仿宋" w:eastAsia="仿宋" w:cs="仿宋"/>
          <w:color w:val="auto"/>
          <w:spacing w:val="10"/>
          <w:sz w:val="28"/>
          <w:szCs w:val="28"/>
          <w:lang w:eastAsia="zh-CN"/>
        </w:rPr>
        <w:t>）</w:t>
      </w:r>
      <w:r>
        <w:rPr>
          <w:rFonts w:hint="eastAsia" w:ascii="仿宋" w:hAnsi="仿宋" w:eastAsia="仿宋" w:cs="仿宋"/>
          <w:color w:val="000000" w:themeColor="text1"/>
          <w:spacing w:val="10"/>
          <w:sz w:val="28"/>
          <w:szCs w:val="28"/>
          <w14:textFill>
            <w14:solidFill>
              <w14:schemeClr w14:val="tx1"/>
            </w14:solidFill>
          </w14:textFill>
        </w:rPr>
        <w:t>具有有效的</w:t>
      </w:r>
      <w:r>
        <w:rPr>
          <w:rFonts w:hint="eastAsia" w:ascii="仿宋" w:hAnsi="仿宋" w:eastAsia="仿宋" w:cs="仿宋"/>
          <w:color w:val="000000" w:themeColor="text1"/>
          <w:spacing w:val="10"/>
          <w:sz w:val="28"/>
          <w:szCs w:val="28"/>
          <w:lang w:eastAsia="zh-CN"/>
          <w14:textFill>
            <w14:solidFill>
              <w14:schemeClr w14:val="tx1"/>
            </w14:solidFill>
          </w14:textFill>
        </w:rPr>
        <w:t>民办非企业单位登记证书且年检合格（原件）；</w:t>
      </w:r>
    </w:p>
    <w:p>
      <w:pPr>
        <w:keepNext w:val="0"/>
        <w:keepLines w:val="0"/>
        <w:pageBreakBefore w:val="0"/>
        <w:kinsoku/>
        <w:overflowPunct/>
        <w:topLinePunct w:val="0"/>
        <w:autoSpaceDE/>
        <w:autoSpaceDN/>
        <w:bidi w:val="0"/>
        <w:adjustRightInd w:val="0"/>
        <w:snapToGrid w:val="0"/>
        <w:spacing w:line="520" w:lineRule="exact"/>
        <w:ind w:firstLine="768" w:firstLineChars="256"/>
        <w:textAlignment w:val="auto"/>
        <w:rPr>
          <w:rFonts w:hint="eastAsia" w:ascii="仿宋" w:hAnsi="仿宋" w:eastAsia="仿宋" w:cs="仿宋"/>
          <w:b w:val="0"/>
          <w:bCs w:val="0"/>
          <w:color w:val="auto"/>
          <w:spacing w:val="10"/>
          <w:kern w:val="2"/>
          <w:sz w:val="28"/>
          <w:szCs w:val="28"/>
          <w:highlight w:val="none"/>
          <w:lang w:val="en-US" w:eastAsia="zh-CN" w:bidi="ar-SA"/>
        </w:rPr>
      </w:pPr>
      <w:r>
        <w:rPr>
          <w:rFonts w:hint="eastAsia" w:ascii="仿宋" w:hAnsi="仿宋" w:eastAsia="仿宋" w:cs="仿宋"/>
          <w:b w:val="0"/>
          <w:bCs w:val="0"/>
          <w:color w:val="auto"/>
          <w:spacing w:val="10"/>
          <w:kern w:val="2"/>
          <w:sz w:val="28"/>
          <w:szCs w:val="28"/>
          <w:highlight w:val="none"/>
          <w:lang w:val="en-US" w:eastAsia="zh-CN" w:bidi="ar-SA"/>
        </w:rPr>
        <w:t>（3）项目负责人需持全国社会工作者职业水平证书（原件）。</w:t>
      </w:r>
    </w:p>
    <w:p>
      <w:pPr>
        <w:keepNext w:val="0"/>
        <w:keepLines w:val="0"/>
        <w:pageBreakBefore w:val="0"/>
        <w:kinsoku/>
        <w:overflowPunct/>
        <w:topLinePunct w:val="0"/>
        <w:autoSpaceDE/>
        <w:autoSpaceDN/>
        <w:bidi w:val="0"/>
        <w:adjustRightInd w:val="0"/>
        <w:snapToGrid w:val="0"/>
        <w:spacing w:line="520" w:lineRule="exact"/>
        <w:ind w:firstLine="768" w:firstLineChars="256"/>
        <w:textAlignment w:val="auto"/>
        <w:rPr>
          <w:rFonts w:hint="eastAsia"/>
          <w:color w:val="auto"/>
          <w:lang w:val="en-US" w:eastAsia="zh-CN"/>
        </w:rPr>
      </w:pPr>
      <w:r>
        <w:rPr>
          <w:rFonts w:hint="eastAsia" w:ascii="仿宋" w:hAnsi="仿宋" w:eastAsia="仿宋" w:cs="仿宋"/>
          <w:b w:val="0"/>
          <w:bCs w:val="0"/>
          <w:color w:val="auto"/>
          <w:spacing w:val="10"/>
          <w:kern w:val="2"/>
          <w:sz w:val="28"/>
          <w:szCs w:val="28"/>
          <w:highlight w:val="none"/>
          <w:lang w:val="en-US" w:eastAsia="zh-CN" w:bidi="ar-SA"/>
        </w:rPr>
        <w:t>（4）需承接过民政部门政府购买服务项目的社会工作服务机构（需提供项目立项通知或新疆民政网页公示截图或其它证明材料）。</w:t>
      </w:r>
    </w:p>
    <w:p>
      <w:pPr>
        <w:pStyle w:val="4"/>
        <w:spacing w:line="360" w:lineRule="auto"/>
        <w:ind w:firstLine="420" w:firstLineChars="0"/>
        <w:rPr>
          <w:rFonts w:ascii="黑体" w:hAnsi="黑体" w:cs="宋体"/>
          <w:b w:val="0"/>
          <w:sz w:val="28"/>
          <w:szCs w:val="28"/>
        </w:rPr>
      </w:pPr>
      <w:r>
        <w:rPr>
          <w:rFonts w:hint="eastAsia" w:ascii="黑体" w:hAnsi="黑体" w:cs="宋体"/>
          <w:b w:val="0"/>
          <w:sz w:val="28"/>
          <w:szCs w:val="28"/>
        </w:rPr>
        <w:t>三、获取采购文件</w:t>
      </w:r>
      <w:bookmarkEnd w:id="8"/>
      <w:bookmarkEnd w:id="9"/>
      <w:bookmarkEnd w:id="10"/>
      <w:bookmarkEnd w:id="11"/>
    </w:p>
    <w:p>
      <w:pPr>
        <w:spacing w:line="360" w:lineRule="auto"/>
        <w:ind w:firstLine="959" w:firstLineChars="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15</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21</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9:30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13:30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16:00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20:00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keepNext w:val="0"/>
        <w:keepLines w:val="0"/>
        <w:pageBreakBefore w:val="0"/>
        <w:widowControl w:val="0"/>
        <w:kinsoku/>
        <w:wordWrap/>
        <w:overflowPunct/>
        <w:topLinePunct w:val="0"/>
        <w:autoSpaceDE/>
        <w:autoSpaceDN/>
        <w:bidi w:val="0"/>
        <w:adjustRightInd/>
        <w:snapToGrid/>
        <w:spacing w:line="360" w:lineRule="auto"/>
        <w:ind w:left="279" w:leftChars="133" w:firstLine="473" w:firstLineChars="169"/>
        <w:textAlignment w:val="auto"/>
        <w:rPr>
          <w:rFonts w:hint="eastAsia" w:ascii="仿宋" w:hAnsi="仿宋" w:eastAsia="仿宋" w:cs="宋体"/>
          <w:color w:val="auto"/>
          <w:sz w:val="28"/>
          <w:szCs w:val="28"/>
        </w:rPr>
      </w:pPr>
      <w:r>
        <w:rPr>
          <w:rFonts w:hint="eastAsia" w:ascii="仿宋" w:hAnsi="仿宋" w:eastAsia="仿宋" w:cs="宋体"/>
          <w:color w:val="auto"/>
          <w:sz w:val="28"/>
          <w:szCs w:val="28"/>
          <w:highlight w:val="none"/>
        </w:rPr>
        <w:t>地点：</w:t>
      </w:r>
      <w:r>
        <w:rPr>
          <w:rFonts w:hint="eastAsia" w:ascii="仿宋" w:hAnsi="仿宋" w:eastAsia="仿宋"/>
          <w:color w:val="auto"/>
          <w:sz w:val="28"/>
          <w:szCs w:val="28"/>
          <w:highlight w:val="none"/>
          <w:u w:val="single"/>
        </w:rPr>
        <w:t>新疆昌吉州昌吉市</w:t>
      </w:r>
      <w:r>
        <w:rPr>
          <w:rFonts w:hint="eastAsia" w:ascii="仿宋" w:hAnsi="仿宋" w:eastAsia="仿宋"/>
          <w:color w:val="auto"/>
          <w:sz w:val="28"/>
          <w:szCs w:val="28"/>
          <w:highlight w:val="none"/>
          <w:u w:val="single"/>
          <w:lang w:eastAsia="zh-CN"/>
        </w:rPr>
        <w:t>屯河北路时代广场</w:t>
      </w:r>
      <w:r>
        <w:rPr>
          <w:rFonts w:hint="eastAsia" w:ascii="仿宋" w:hAnsi="仿宋" w:eastAsia="仿宋"/>
          <w:color w:val="auto"/>
          <w:sz w:val="28"/>
          <w:szCs w:val="28"/>
          <w:highlight w:val="none"/>
          <w:u w:val="single"/>
          <w:lang w:val="en-US" w:eastAsia="zh-CN"/>
        </w:rPr>
        <w:t>C</w:t>
      </w:r>
      <w:r>
        <w:rPr>
          <w:rFonts w:hint="eastAsia" w:ascii="仿宋" w:hAnsi="仿宋" w:eastAsia="仿宋"/>
          <w:color w:val="auto"/>
          <w:sz w:val="28"/>
          <w:szCs w:val="28"/>
          <w:highlight w:val="none"/>
          <w:u w:val="single"/>
        </w:rPr>
        <w:t>座</w:t>
      </w:r>
      <w:r>
        <w:rPr>
          <w:rFonts w:hint="eastAsia" w:ascii="仿宋" w:hAnsi="仿宋" w:eastAsia="仿宋"/>
          <w:color w:val="auto"/>
          <w:sz w:val="28"/>
          <w:szCs w:val="28"/>
          <w:u w:val="single"/>
        </w:rPr>
        <w:t>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1017</w:t>
      </w:r>
      <w:r>
        <w:rPr>
          <w:rFonts w:hint="eastAsia" w:ascii="仿宋" w:hAnsi="仿宋" w:eastAsia="仿宋"/>
          <w:color w:val="auto"/>
          <w:sz w:val="28"/>
          <w:szCs w:val="28"/>
          <w:u w:val="single"/>
        </w:rPr>
        <w:t>室</w:t>
      </w:r>
    </w:p>
    <w:p>
      <w:pPr>
        <w:spacing w:line="360" w:lineRule="auto"/>
        <w:ind w:firstLine="697" w:firstLineChars="249"/>
        <w:rPr>
          <w:rFonts w:hint="eastAsia" w:ascii="仿宋" w:hAnsi="仿宋" w:eastAsia="仿宋" w:cs="宋体"/>
          <w:color w:val="auto"/>
          <w:sz w:val="28"/>
          <w:szCs w:val="28"/>
          <w:u w:val="single"/>
          <w:lang w:eastAsia="zh-CN"/>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eastAsia="zh-CN"/>
        </w:rPr>
        <w:t>现场获取</w:t>
      </w:r>
    </w:p>
    <w:p>
      <w:pPr>
        <w:spacing w:line="360" w:lineRule="auto"/>
        <w:ind w:firstLine="697" w:firstLineChars="249"/>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200元/份，售后不退。</w:t>
      </w:r>
    </w:p>
    <w:p>
      <w:pPr>
        <w:pStyle w:val="4"/>
        <w:spacing w:line="360" w:lineRule="auto"/>
        <w:ind w:firstLine="420" w:firstLineChars="0"/>
        <w:rPr>
          <w:rFonts w:ascii="黑体" w:hAnsi="黑体" w:cs="宋体"/>
          <w:b w:val="0"/>
          <w:color w:val="auto"/>
          <w:sz w:val="28"/>
          <w:szCs w:val="28"/>
        </w:rPr>
      </w:pPr>
      <w:bookmarkStart w:id="12" w:name="_Toc28359015"/>
      <w:bookmarkStart w:id="13" w:name="_Toc35393801"/>
      <w:bookmarkStart w:id="14" w:name="_Toc28359092"/>
      <w:bookmarkStart w:id="15" w:name="_Toc35393632"/>
      <w:r>
        <w:rPr>
          <w:rFonts w:hint="eastAsia" w:ascii="黑体" w:hAnsi="黑体" w:cs="宋体"/>
          <w:b w:val="0"/>
          <w:color w:val="auto"/>
          <w:sz w:val="28"/>
          <w:szCs w:val="28"/>
        </w:rPr>
        <w:t>四、</w:t>
      </w:r>
      <w:bookmarkEnd w:id="12"/>
      <w:bookmarkEnd w:id="13"/>
      <w:bookmarkEnd w:id="14"/>
      <w:bookmarkEnd w:id="15"/>
      <w:r>
        <w:rPr>
          <w:rFonts w:hint="eastAsia" w:ascii="黑体" w:hAnsi="黑体" w:cs="宋体"/>
          <w:b w:val="0"/>
          <w:color w:val="000000" w:themeColor="text1"/>
          <w:sz w:val="28"/>
          <w:szCs w:val="28"/>
          <w14:textFill>
            <w14:solidFill>
              <w14:schemeClr w14:val="tx1"/>
            </w14:solidFill>
          </w14:textFill>
        </w:rPr>
        <w:t>提交响应文件截止时间、开标时间和地点</w:t>
      </w:r>
    </w:p>
    <w:p>
      <w:pPr>
        <w:ind w:firstLine="560" w:firstLineChars="200"/>
        <w:rPr>
          <w:rFonts w:hint="eastAsia" w:ascii="仿宋" w:hAnsi="仿宋" w:eastAsia="仿宋"/>
          <w:bCs/>
          <w:color w:val="auto"/>
          <w:sz w:val="28"/>
          <w:szCs w:val="28"/>
          <w:highlight w:val="none"/>
        </w:rPr>
      </w:pPr>
      <w:r>
        <w:rPr>
          <w:rFonts w:hint="eastAsia" w:ascii="仿宋" w:hAnsi="仿宋" w:eastAsia="仿宋"/>
          <w:color w:val="auto"/>
          <w:sz w:val="28"/>
          <w:szCs w:val="28"/>
        </w:rPr>
        <w:t>截</w:t>
      </w:r>
      <w:r>
        <w:rPr>
          <w:rFonts w:hint="eastAsia" w:ascii="仿宋" w:hAnsi="仿宋" w:eastAsia="仿宋"/>
          <w:color w:val="auto"/>
          <w:sz w:val="28"/>
          <w:szCs w:val="28"/>
          <w:highlight w:val="none"/>
        </w:rPr>
        <w:t>止时间：</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25</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widowControl/>
        <w:autoSpaceDN w:val="0"/>
        <w:spacing w:line="420" w:lineRule="exact"/>
        <w:ind w:left="559" w:leftChars="266" w:firstLine="0" w:firstLineChars="0"/>
        <w:jc w:val="left"/>
        <w:rPr>
          <w:rFonts w:hint="default" w:ascii="仿宋" w:hAnsi="仿宋" w:eastAsia="仿宋"/>
          <w:bCs/>
          <w:color w:val="auto"/>
          <w:sz w:val="28"/>
          <w:szCs w:val="28"/>
          <w:highlight w:val="none"/>
          <w:u w:val="singl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u w:val="single"/>
        </w:rPr>
        <w:t>新疆昌吉州昌吉市</w:t>
      </w:r>
      <w:r>
        <w:rPr>
          <w:rFonts w:hint="eastAsia" w:ascii="仿宋" w:hAnsi="仿宋" w:eastAsia="仿宋"/>
          <w:color w:val="auto"/>
          <w:sz w:val="28"/>
          <w:szCs w:val="28"/>
          <w:highlight w:val="none"/>
          <w:u w:val="single"/>
          <w:lang w:eastAsia="zh-CN"/>
        </w:rPr>
        <w:t>屯河北路时代广场</w:t>
      </w:r>
      <w:r>
        <w:rPr>
          <w:rFonts w:hint="eastAsia" w:ascii="仿宋" w:hAnsi="仿宋" w:eastAsia="仿宋"/>
          <w:color w:val="auto"/>
          <w:sz w:val="28"/>
          <w:szCs w:val="28"/>
          <w:highlight w:val="none"/>
          <w:u w:val="single"/>
          <w:lang w:val="en-US" w:eastAsia="zh-CN"/>
        </w:rPr>
        <w:t>C</w:t>
      </w:r>
      <w:r>
        <w:rPr>
          <w:rFonts w:hint="eastAsia" w:ascii="仿宋" w:hAnsi="仿宋" w:eastAsia="仿宋"/>
          <w:color w:val="auto"/>
          <w:sz w:val="28"/>
          <w:szCs w:val="28"/>
          <w:highlight w:val="none"/>
          <w:u w:val="single"/>
        </w:rPr>
        <w:t>座1</w:t>
      </w:r>
      <w:r>
        <w:rPr>
          <w:rFonts w:hint="eastAsia" w:ascii="仿宋" w:hAnsi="仿宋" w:eastAsia="仿宋"/>
          <w:color w:val="auto"/>
          <w:sz w:val="28"/>
          <w:szCs w:val="28"/>
          <w:highlight w:val="none"/>
          <w:u w:val="single"/>
          <w:lang w:val="en-US" w:eastAsia="zh-CN"/>
        </w:rPr>
        <w:t>0</w:t>
      </w:r>
      <w:r>
        <w:rPr>
          <w:rFonts w:hint="eastAsia" w:ascii="仿宋" w:hAnsi="仿宋" w:eastAsia="仿宋"/>
          <w:color w:val="auto"/>
          <w:sz w:val="28"/>
          <w:szCs w:val="28"/>
          <w:highlight w:val="none"/>
          <w:u w:val="single"/>
        </w:rPr>
        <w:t>层</w:t>
      </w:r>
      <w:r>
        <w:rPr>
          <w:rFonts w:hint="eastAsia" w:ascii="仿宋" w:hAnsi="仿宋" w:eastAsia="仿宋"/>
          <w:color w:val="auto"/>
          <w:sz w:val="28"/>
          <w:szCs w:val="28"/>
          <w:highlight w:val="none"/>
          <w:u w:val="single"/>
          <w:lang w:val="en-US" w:eastAsia="zh-CN"/>
        </w:rPr>
        <w:t>1018B评标</w:t>
      </w:r>
      <w:r>
        <w:rPr>
          <w:rFonts w:hint="eastAsia" w:ascii="仿宋" w:hAnsi="仿宋" w:eastAsia="仿宋"/>
          <w:color w:val="auto"/>
          <w:sz w:val="28"/>
          <w:szCs w:val="28"/>
          <w:highlight w:val="none"/>
          <w:u w:val="single"/>
        </w:rPr>
        <w:t>室</w:t>
      </w:r>
    </w:p>
    <w:p>
      <w:pPr>
        <w:pStyle w:val="4"/>
        <w:spacing w:line="360" w:lineRule="auto"/>
        <w:ind w:firstLine="420" w:firstLineChars="0"/>
        <w:rPr>
          <w:rFonts w:ascii="黑体" w:hAnsi="黑体" w:cs="宋体"/>
          <w:b w:val="0"/>
          <w:color w:val="auto"/>
          <w:sz w:val="28"/>
          <w:szCs w:val="28"/>
          <w:highlight w:val="none"/>
        </w:rPr>
      </w:pPr>
      <w:bookmarkStart w:id="16" w:name="_Toc28359094"/>
      <w:bookmarkStart w:id="17" w:name="_Toc35393803"/>
      <w:bookmarkStart w:id="18" w:name="_Toc28359017"/>
      <w:bookmarkStart w:id="19" w:name="_Toc35393634"/>
      <w:r>
        <w:rPr>
          <w:rFonts w:hint="eastAsia" w:ascii="黑体" w:hAnsi="黑体" w:cs="宋体"/>
          <w:b w:val="0"/>
          <w:color w:val="auto"/>
          <w:sz w:val="28"/>
          <w:szCs w:val="28"/>
          <w:highlight w:val="none"/>
          <w:lang w:eastAsia="zh-CN"/>
        </w:rPr>
        <w:t>五</w:t>
      </w:r>
      <w:r>
        <w:rPr>
          <w:rFonts w:hint="eastAsia" w:ascii="黑体" w:hAnsi="黑体" w:cs="宋体"/>
          <w:b w:val="0"/>
          <w:color w:val="auto"/>
          <w:sz w:val="28"/>
          <w:szCs w:val="28"/>
          <w:highlight w:val="none"/>
        </w:rPr>
        <w:t>、公告期限</w:t>
      </w:r>
      <w:bookmarkEnd w:id="16"/>
      <w:bookmarkEnd w:id="17"/>
      <w:bookmarkEnd w:id="18"/>
      <w:bookmarkEnd w:id="19"/>
    </w:p>
    <w:p>
      <w:pPr>
        <w:ind w:firstLine="977" w:firstLineChars="349"/>
      </w:pPr>
      <w:r>
        <w:rPr>
          <w:rFonts w:hint="eastAsia" w:ascii="仿宋" w:hAnsi="仿宋" w:eastAsia="仿宋" w:cs="宋体"/>
          <w:color w:val="000000" w:themeColor="text1"/>
          <w:kern w:val="0"/>
          <w:sz w:val="28"/>
          <w:szCs w:val="28"/>
          <w14:textFill>
            <w14:solidFill>
              <w14:schemeClr w14:val="tx1"/>
            </w14:solidFill>
          </w14:textFill>
        </w:rPr>
        <w:t>自本公告发布之日起</w:t>
      </w:r>
      <w:r>
        <w:rPr>
          <w:rFonts w:hint="eastAsia" w:ascii="仿宋" w:hAnsi="仿宋" w:eastAsia="仿宋" w:cs="宋体"/>
          <w:color w:val="000000" w:themeColor="text1"/>
          <w:kern w:val="0"/>
          <w:sz w:val="28"/>
          <w:szCs w:val="28"/>
          <w:lang w:val="en-US" w:eastAsia="zh-CN"/>
          <w14:textFill>
            <w14:solidFill>
              <w14:schemeClr w14:val="tx1"/>
            </w14:solidFill>
          </w14:textFill>
        </w:rPr>
        <w:t>5</w:t>
      </w:r>
      <w:r>
        <w:rPr>
          <w:rFonts w:hint="eastAsia" w:ascii="仿宋" w:hAnsi="仿宋" w:eastAsia="仿宋" w:cs="宋体"/>
          <w:color w:val="000000" w:themeColor="text1"/>
          <w:kern w:val="0"/>
          <w:sz w:val="28"/>
          <w:szCs w:val="28"/>
          <w14:textFill>
            <w14:solidFill>
              <w14:schemeClr w14:val="tx1"/>
            </w14:solidFill>
          </w14:textFill>
        </w:rPr>
        <w:t>个工作日</w:t>
      </w:r>
      <w:r>
        <w:rPr>
          <w:rFonts w:hint="eastAsia" w:ascii="仿宋" w:hAnsi="仿宋" w:eastAsia="仿宋" w:cs="宋体"/>
          <w:kern w:val="0"/>
          <w:sz w:val="28"/>
          <w:szCs w:val="28"/>
        </w:rPr>
        <w:t>。</w:t>
      </w:r>
    </w:p>
    <w:p>
      <w:pPr>
        <w:pStyle w:val="4"/>
        <w:numPr>
          <w:ilvl w:val="0"/>
          <w:numId w:val="0"/>
        </w:numPr>
        <w:spacing w:line="360" w:lineRule="auto"/>
        <w:ind w:firstLine="420" w:firstLineChars="0"/>
        <w:rPr>
          <w:rFonts w:hint="eastAsia" w:ascii="黑体" w:hAnsi="黑体" w:cs="宋体"/>
          <w:b w:val="0"/>
          <w:sz w:val="28"/>
          <w:szCs w:val="28"/>
        </w:rPr>
      </w:pPr>
      <w:bookmarkStart w:id="20" w:name="_Toc35393635"/>
      <w:bookmarkStart w:id="21" w:name="_Toc35393804"/>
      <w:r>
        <w:rPr>
          <w:rFonts w:hint="eastAsia" w:ascii="黑体" w:hAnsi="黑体" w:cs="宋体"/>
          <w:b w:val="0"/>
          <w:sz w:val="28"/>
          <w:szCs w:val="28"/>
          <w:lang w:eastAsia="zh-CN"/>
        </w:rPr>
        <w:t>六、</w:t>
      </w:r>
      <w:r>
        <w:rPr>
          <w:rFonts w:hint="eastAsia" w:ascii="黑体" w:hAnsi="黑体" w:cs="宋体"/>
          <w:b w:val="0"/>
          <w:sz w:val="28"/>
          <w:szCs w:val="28"/>
        </w:rPr>
        <w:t>其他补充事宜</w:t>
      </w:r>
      <w:bookmarkEnd w:id="20"/>
      <w:bookmarkEnd w:id="21"/>
    </w:p>
    <w:p>
      <w:pPr>
        <w:adjustRightInd w:val="0"/>
        <w:snapToGrid w:val="0"/>
        <w:spacing w:line="360" w:lineRule="auto"/>
        <w:ind w:firstLine="697" w:firstLineChars="249"/>
        <w:rPr>
          <w:rFonts w:hint="default"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磋商保证金：2000元整（贰仟元整）。</w:t>
      </w:r>
      <w:r>
        <w:rPr>
          <w:rFonts w:hint="eastAsia" w:ascii="仿宋" w:hAnsi="仿宋" w:eastAsia="仿宋" w:cs="仿宋"/>
          <w:i w:val="0"/>
          <w:caps w:val="0"/>
          <w:color w:val="000000" w:themeColor="text1"/>
          <w:spacing w:val="0"/>
          <w:kern w:val="0"/>
          <w:sz w:val="28"/>
          <w:szCs w:val="28"/>
          <w:lang w:val="en-US" w:eastAsia="zh-CN" w:bidi="ar"/>
          <w14:textFill>
            <w14:solidFill>
              <w14:schemeClr w14:val="tx1"/>
            </w14:solidFill>
          </w14:textFill>
        </w:rPr>
        <w:t>必须采用电汇或网银转账的方式，由潜在投标人单位基本账户汇至新疆远锦招标代理有限公司（开户银行：兴业</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银行股份有限公司乌鲁木齐高新区支行，账户号码：512040100100840957</w:t>
      </w:r>
      <w:r>
        <w:rPr>
          <w:rFonts w:hint="eastAsia" w:ascii="仿宋" w:hAnsi="仿宋" w:eastAsia="仿宋" w:cs="仿宋"/>
          <w:i w:val="0"/>
          <w:caps w:val="0"/>
          <w:color w:val="000000" w:themeColor="text1"/>
          <w:spacing w:val="0"/>
          <w:kern w:val="0"/>
          <w:sz w:val="28"/>
          <w:szCs w:val="28"/>
          <w:lang w:val="en-US" w:eastAsia="zh-CN" w:bidi="ar"/>
          <w14:textFill>
            <w14:solidFill>
              <w14:schemeClr w14:val="tx1"/>
            </w14:solidFill>
          </w14:textFill>
        </w:rPr>
        <w:t>，行号：309881002044，财务室电话：0994-2332499）</w:t>
      </w:r>
    </w:p>
    <w:p>
      <w:pPr>
        <w:adjustRightInd w:val="0"/>
        <w:snapToGrid w:val="0"/>
        <w:spacing w:line="360" w:lineRule="auto"/>
        <w:ind w:firstLine="697" w:firstLineChars="249"/>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(1)不得以现金和其他形式缴纳，潜在供应商在缴纳磋商保证金时，需在进账凭证上明确资金用途和投标项目名称，并注明联系人及电话，以便查对核实。投标人应充分考虑资金到账时间，在规定的时限前自行办妥投标保证金缴纳手续，投标保证金的缴付时间以电汇凭证和网银对账单上的时间为准，超过缴纳的时限缴纳投标保证金视为报名无效。投标保证金的缴纳开始</w:t>
      </w:r>
      <w:r>
        <w:rPr>
          <w:rFonts w:hint="eastAsia" w:ascii="仿宋" w:hAnsi="仿宋" w:eastAsia="仿宋" w:cs="仿宋"/>
          <w:i w:val="0"/>
          <w:caps w:val="0"/>
          <w:color w:val="auto"/>
          <w:spacing w:val="0"/>
          <w:kern w:val="0"/>
          <w:sz w:val="28"/>
          <w:szCs w:val="28"/>
          <w:highlight w:val="none"/>
          <w:lang w:val="en-US" w:eastAsia="zh-CN" w:bidi="ar"/>
        </w:rPr>
        <w:t>至结束时间（2022年 5月15日10:00时－2022年 5月24日20:00时）</w:t>
      </w:r>
      <w:bookmarkStart w:id="34" w:name="_GoBack"/>
      <w:bookmarkEnd w:id="34"/>
    </w:p>
    <w:p>
      <w:pPr>
        <w:keepNext w:val="0"/>
        <w:keepLines w:val="0"/>
        <w:pageBreakBefore w:val="0"/>
        <w:widowControl w:val="0"/>
        <w:kinsoku/>
        <w:wordWrap w:val="0"/>
        <w:overflowPunct/>
        <w:topLinePunct w:val="0"/>
        <w:autoSpaceDE/>
        <w:autoSpaceDN/>
        <w:bidi w:val="0"/>
        <w:adjustRightInd w:val="0"/>
        <w:snapToGrid w:val="0"/>
        <w:spacing w:line="360" w:lineRule="auto"/>
        <w:ind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（2）报名方式：法定代表人或其委托代理人应携带本人身份证原件及复印件（委托代理人还应携带《法定代表人授权委托书》原件）、有效的民办非企业单位登记证书、项目负责人</w:t>
      </w:r>
      <w:r>
        <w:rPr>
          <w:rFonts w:hint="eastAsia" w:ascii="仿宋" w:hAnsi="仿宋" w:eastAsia="仿宋" w:cs="仿宋"/>
          <w:b w:val="0"/>
          <w:bCs w:val="0"/>
          <w:color w:val="auto"/>
          <w:spacing w:val="10"/>
          <w:kern w:val="2"/>
          <w:sz w:val="28"/>
          <w:szCs w:val="28"/>
          <w:highlight w:val="none"/>
          <w:lang w:val="en-US" w:eastAsia="zh-CN" w:bidi="ar-SA"/>
        </w:rPr>
        <w:t>需持全国社会工作者职业水平证书</w:t>
      </w:r>
      <w:r>
        <w:rPr>
          <w:rFonts w:hint="eastAsia" w:ascii="仿宋" w:hAnsi="仿宋" w:eastAsia="仿宋" w:cs="仿宋"/>
          <w:i w:val="0"/>
          <w:caps w:val="0"/>
          <w:color w:val="auto"/>
          <w:spacing w:val="0"/>
          <w:kern w:val="0"/>
          <w:sz w:val="28"/>
          <w:szCs w:val="28"/>
          <w:lang w:val="en-US" w:eastAsia="zh-CN" w:bidi="ar"/>
        </w:rPr>
        <w:t>、</w:t>
      </w:r>
      <w:r>
        <w:rPr>
          <w:rFonts w:hint="eastAsia" w:ascii="仿宋" w:hAnsi="仿宋" w:eastAsia="仿宋" w:cs="仿宋"/>
          <w:i w:val="0"/>
          <w:caps w:val="0"/>
          <w:color w:val="000000" w:themeColor="text1"/>
          <w:spacing w:val="0"/>
          <w:kern w:val="0"/>
          <w:sz w:val="28"/>
          <w:szCs w:val="28"/>
          <w:lang w:val="en-US" w:eastAsia="zh-CN" w:bidi="ar"/>
          <w14:textFill>
            <w14:solidFill>
              <w14:schemeClr w14:val="tx1"/>
            </w14:solidFill>
          </w14:textFill>
        </w:rPr>
        <w:t>需承接过民</w:t>
      </w:r>
      <w:r>
        <w:rPr>
          <w:rFonts w:hint="eastAsia" w:ascii="仿宋" w:hAnsi="仿宋" w:eastAsia="仿宋" w:cs="仿宋"/>
          <w:i w:val="0"/>
          <w:caps w:val="0"/>
          <w:color w:val="auto"/>
          <w:spacing w:val="0"/>
          <w:kern w:val="0"/>
          <w:sz w:val="28"/>
          <w:szCs w:val="28"/>
          <w:lang w:val="en-US" w:eastAsia="zh-CN" w:bidi="ar"/>
        </w:rPr>
        <w:t>政部门政府购买服务项目的社会工作服务机构（需提供项目立项通知或新疆民政网页公示截图或其它证明材料）。在“信用中国”（www.creditchina.gov.cn）和中国政府采购网（www.ccgp.gov.cn）网站上未被列入失信被执行人、重大税收违法案件当事人名单以及政府采购严重违法失信行为记录名单的网页打印件（网页打印件须自磋商文件发布之日起至首次提交响应性文件截止时间止从上述网站中打印）并加盖公章；</w:t>
      </w:r>
    </w:p>
    <w:p>
      <w:pPr>
        <w:pStyle w:val="6"/>
        <w:keepNext w:val="0"/>
        <w:keepLines w:val="0"/>
        <w:widowControl/>
        <w:suppressLineNumbers w:val="0"/>
        <w:spacing w:before="75" w:beforeAutospacing="0" w:after="75" w:afterAutospacing="0" w:line="315" w:lineRule="atLeast"/>
        <w:ind w:right="0" w:firstLine="562" w:firstLineChars="200"/>
        <w:rPr>
          <w:rFonts w:hint="eastAsia" w:ascii="仿宋" w:hAnsi="仿宋" w:eastAsia="仿宋" w:cs="仿宋"/>
          <w:b/>
          <w:bCs/>
          <w:color w:val="auto"/>
          <w:spacing w:val="10"/>
          <w:sz w:val="28"/>
          <w:szCs w:val="28"/>
          <w:lang w:eastAsia="zh-CN"/>
        </w:rPr>
      </w:pPr>
      <w:r>
        <w:rPr>
          <w:rFonts w:hint="eastAsia" w:ascii="仿宋" w:hAnsi="仿宋" w:eastAsia="仿宋" w:cs="仿宋"/>
          <w:b/>
          <w:bCs/>
          <w:i w:val="0"/>
          <w:caps w:val="0"/>
          <w:color w:val="auto"/>
          <w:spacing w:val="0"/>
          <w:sz w:val="28"/>
          <w:szCs w:val="28"/>
        </w:rPr>
        <w:t>注：</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购买</w:t>
      </w:r>
      <w:r>
        <w:rPr>
          <w:rFonts w:hint="eastAsia" w:ascii="仿宋_GB2312" w:hAnsi="宋体" w:eastAsia="仿宋_GB2312" w:cs="仿宋_GB2312"/>
          <w:b/>
          <w:bCs/>
          <w:i w:val="0"/>
          <w:iCs w:val="0"/>
          <w:caps w:val="0"/>
          <w:color w:val="000000" w:themeColor="text1"/>
          <w:spacing w:val="0"/>
          <w:sz w:val="28"/>
          <w:szCs w:val="28"/>
          <w:lang w:eastAsia="zh-CN"/>
          <w14:textFill>
            <w14:solidFill>
              <w14:schemeClr w14:val="tx1"/>
            </w14:solidFill>
          </w14:textFill>
        </w:rPr>
        <w:t>竞争性磋商</w:t>
      </w:r>
      <w:r>
        <w:rPr>
          <w:rFonts w:ascii="仿宋_GB2312" w:hAnsi="宋体" w:eastAsia="仿宋_GB2312" w:cs="仿宋_GB2312"/>
          <w:b/>
          <w:bCs/>
          <w:i w:val="0"/>
          <w:iCs w:val="0"/>
          <w:caps w:val="0"/>
          <w:color w:val="000000" w:themeColor="text1"/>
          <w:spacing w:val="0"/>
          <w:sz w:val="28"/>
          <w:szCs w:val="28"/>
          <w14:textFill>
            <w14:solidFill>
              <w14:schemeClr w14:val="tx1"/>
            </w14:solidFill>
          </w14:textFill>
        </w:rPr>
        <w:t>文件</w:t>
      </w:r>
      <w:r>
        <w:rPr>
          <w:rFonts w:hint="eastAsia" w:ascii="仿宋" w:hAnsi="仿宋" w:eastAsia="仿宋" w:cs="仿宋"/>
          <w:b/>
          <w:bCs/>
          <w:i w:val="0"/>
          <w:caps w:val="0"/>
          <w:color w:val="000000" w:themeColor="text1"/>
          <w:spacing w:val="0"/>
          <w:sz w:val="28"/>
          <w:szCs w:val="28"/>
          <w14:textFill>
            <w14:solidFill>
              <w14:schemeClr w14:val="tx1"/>
            </w14:solidFill>
          </w14:textFill>
        </w:rPr>
        <w:t>时</w:t>
      </w:r>
      <w:r>
        <w:rPr>
          <w:rFonts w:hint="eastAsia" w:ascii="仿宋" w:hAnsi="仿宋" w:eastAsia="仿宋" w:cs="仿宋"/>
          <w:b/>
          <w:bCs/>
          <w:i w:val="0"/>
          <w:caps w:val="0"/>
          <w:color w:val="auto"/>
          <w:spacing w:val="0"/>
          <w:sz w:val="28"/>
          <w:szCs w:val="28"/>
        </w:rPr>
        <w:t>需提供</w:t>
      </w:r>
      <w:r>
        <w:rPr>
          <w:rFonts w:hint="eastAsia" w:ascii="仿宋" w:hAnsi="仿宋" w:eastAsia="仿宋" w:cs="仿宋"/>
          <w:b/>
          <w:bCs/>
          <w:i w:val="0"/>
          <w:caps w:val="0"/>
          <w:color w:val="000000" w:themeColor="text1"/>
          <w:spacing w:val="0"/>
          <w:sz w:val="28"/>
          <w:szCs w:val="28"/>
          <w14:textFill>
            <w14:solidFill>
              <w14:schemeClr w14:val="tx1"/>
            </w14:solidFill>
          </w14:textFill>
        </w:rPr>
        <w:t>以上资料复印件</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两</w:t>
      </w:r>
      <w:r>
        <w:rPr>
          <w:rFonts w:hint="eastAsia" w:ascii="仿宋" w:hAnsi="仿宋" w:eastAsia="仿宋" w:cs="仿宋"/>
          <w:b/>
          <w:bCs/>
          <w:i w:val="0"/>
          <w:caps w:val="0"/>
          <w:color w:val="000000" w:themeColor="text1"/>
          <w:spacing w:val="0"/>
          <w:sz w:val="28"/>
          <w:szCs w:val="28"/>
          <w14:textFill>
            <w14:solidFill>
              <w14:schemeClr w14:val="tx1"/>
            </w14:solidFill>
          </w14:textFill>
        </w:rPr>
        <w:t>份（加盖公章），</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并</w:t>
      </w:r>
      <w:r>
        <w:rPr>
          <w:rFonts w:hint="eastAsia" w:ascii="仿宋" w:hAnsi="仿宋" w:eastAsia="仿宋" w:cs="仿宋"/>
          <w:b/>
          <w:bCs/>
          <w:i w:val="0"/>
          <w:caps w:val="0"/>
          <w:color w:val="000000" w:themeColor="text1"/>
          <w:spacing w:val="0"/>
          <w:sz w:val="28"/>
          <w:szCs w:val="28"/>
          <w14:textFill>
            <w14:solidFill>
              <w14:schemeClr w14:val="tx1"/>
            </w14:solidFill>
          </w14:textFill>
        </w:rPr>
        <w:t>携带原件查验。</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以上资料提供不齐全者，将不予发放竞争性</w:t>
      </w:r>
      <w:r>
        <w:rPr>
          <w:rFonts w:hint="eastAsia" w:ascii="仿宋_GB2312" w:hAnsi="宋体" w:eastAsia="仿宋_GB2312" w:cs="仿宋_GB2312"/>
          <w:b/>
          <w:bCs/>
          <w:i w:val="0"/>
          <w:iCs w:val="0"/>
          <w:caps w:val="0"/>
          <w:color w:val="000000" w:themeColor="text1"/>
          <w:spacing w:val="0"/>
          <w:sz w:val="28"/>
          <w:szCs w:val="28"/>
          <w:lang w:eastAsia="zh-CN"/>
          <w14:textFill>
            <w14:solidFill>
              <w14:schemeClr w14:val="tx1"/>
            </w14:solidFill>
          </w14:textFill>
        </w:rPr>
        <w:t>磋商</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文件。</w:t>
      </w:r>
      <w:r>
        <w:rPr>
          <w:rFonts w:hint="eastAsia" w:ascii="仿宋" w:hAnsi="仿宋" w:eastAsia="仿宋" w:cs="仿宋"/>
          <w:b/>
          <w:bCs/>
          <w:i w:val="0"/>
          <w:caps w:val="0"/>
          <w:color w:val="000000" w:themeColor="text1"/>
          <w:spacing w:val="0"/>
          <w:sz w:val="28"/>
          <w:szCs w:val="28"/>
          <w14:textFill>
            <w14:solidFill>
              <w14:schemeClr w14:val="tx1"/>
            </w14:solidFill>
          </w14:textFill>
        </w:rPr>
        <w:t>未向采购代理机构购买</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竞争性</w:t>
      </w:r>
      <w:r>
        <w:rPr>
          <w:rFonts w:hint="eastAsia" w:ascii="仿宋_GB2312" w:hAnsi="宋体" w:eastAsia="仿宋_GB2312" w:cs="仿宋_GB2312"/>
          <w:b/>
          <w:bCs/>
          <w:i w:val="0"/>
          <w:iCs w:val="0"/>
          <w:caps w:val="0"/>
          <w:color w:val="000000" w:themeColor="text1"/>
          <w:spacing w:val="0"/>
          <w:sz w:val="28"/>
          <w:szCs w:val="28"/>
          <w:lang w:eastAsia="zh-CN"/>
          <w14:textFill>
            <w14:solidFill>
              <w14:schemeClr w14:val="tx1"/>
            </w14:solidFill>
          </w14:textFill>
        </w:rPr>
        <w:t>磋商</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文件</w:t>
      </w:r>
      <w:r>
        <w:rPr>
          <w:rFonts w:hint="eastAsia" w:ascii="仿宋" w:hAnsi="仿宋" w:eastAsia="仿宋" w:cs="仿宋"/>
          <w:b/>
          <w:bCs/>
          <w:i w:val="0"/>
          <w:caps w:val="0"/>
          <w:color w:val="000000" w:themeColor="text1"/>
          <w:spacing w:val="0"/>
          <w:sz w:val="28"/>
          <w:szCs w:val="28"/>
          <w14:textFill>
            <w14:solidFill>
              <w14:schemeClr w14:val="tx1"/>
            </w14:solidFill>
          </w14:textFill>
        </w:rPr>
        <w:t>并在代理机构登记备案的潜在</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供应商</w:t>
      </w:r>
      <w:r>
        <w:rPr>
          <w:rFonts w:hint="eastAsia" w:ascii="仿宋" w:hAnsi="仿宋" w:eastAsia="仿宋" w:cs="仿宋"/>
          <w:b/>
          <w:bCs/>
          <w:i w:val="0"/>
          <w:caps w:val="0"/>
          <w:color w:val="000000" w:themeColor="text1"/>
          <w:spacing w:val="0"/>
          <w:sz w:val="28"/>
          <w:szCs w:val="28"/>
          <w14:textFill>
            <w14:solidFill>
              <w14:schemeClr w14:val="tx1"/>
            </w14:solidFill>
          </w14:textFill>
        </w:rPr>
        <w:t>均无资格参加</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此次</w:t>
      </w:r>
      <w:r>
        <w:rPr>
          <w:rFonts w:hint="eastAsia" w:ascii="仿宋_GB2312" w:hAnsi="宋体" w:eastAsia="仿宋_GB2312" w:cs="仿宋_GB2312"/>
          <w:b/>
          <w:bCs/>
          <w:i w:val="0"/>
          <w:iCs w:val="0"/>
          <w:caps w:val="0"/>
          <w:color w:val="000000" w:themeColor="text1"/>
          <w:spacing w:val="0"/>
          <w:sz w:val="28"/>
          <w:szCs w:val="28"/>
          <w:lang w:eastAsia="zh-CN"/>
          <w14:textFill>
            <w14:solidFill>
              <w14:schemeClr w14:val="tx1"/>
            </w14:solidFill>
          </w14:textFill>
        </w:rPr>
        <w:t>磋商</w:t>
      </w:r>
      <w:r>
        <w:rPr>
          <w:rFonts w:hint="eastAsia" w:ascii="仿宋" w:hAnsi="仿宋" w:eastAsia="仿宋" w:cs="仿宋"/>
          <w:b/>
          <w:bCs/>
          <w:i w:val="0"/>
          <w:caps w:val="0"/>
          <w:color w:val="000000" w:themeColor="text1"/>
          <w:spacing w:val="0"/>
          <w:sz w:val="28"/>
          <w:szCs w:val="28"/>
          <w14:textFill>
            <w14:solidFill>
              <w14:schemeClr w14:val="tx1"/>
            </w14:solidFill>
          </w14:textFill>
        </w:rPr>
        <w:t>。</w:t>
      </w:r>
    </w:p>
    <w:p>
      <w:pPr>
        <w:pageBreakBefore w:val="0"/>
        <w:widowControl w:val="0"/>
        <w:numPr>
          <w:ilvl w:val="0"/>
          <w:numId w:val="0"/>
        </w:numPr>
        <w:kinsoku/>
        <w:wordWrap/>
        <w:overflowPunct/>
        <w:topLinePunct w:val="0"/>
        <w:autoSpaceDE/>
        <w:autoSpaceDN/>
        <w:bidi w:val="0"/>
        <w:adjustRightInd/>
        <w:snapToGrid/>
        <w:spacing w:line="520" w:lineRule="exact"/>
        <w:ind w:firstLine="420" w:firstLineChars="0"/>
        <w:textAlignment w:val="auto"/>
        <w:rPr>
          <w:rFonts w:hint="default" w:ascii="仿宋" w:hAnsi="仿宋" w:eastAsia="仿宋" w:cs="仿宋"/>
          <w:spacing w:val="10"/>
          <w:kern w:val="2"/>
          <w:sz w:val="28"/>
          <w:szCs w:val="28"/>
          <w:lang w:val="en-US" w:eastAsia="zh-CN" w:bidi="ar-SA"/>
        </w:rPr>
      </w:pP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lang w:val="en-US" w:eastAsia="zh-CN"/>
        </w:rPr>
        <w:t>3</w:t>
      </w:r>
      <w:r>
        <w:rPr>
          <w:rFonts w:hint="eastAsia" w:ascii="仿宋" w:hAnsi="仿宋" w:eastAsia="仿宋" w:cs="仿宋"/>
          <w:spacing w:val="10"/>
          <w:sz w:val="28"/>
          <w:szCs w:val="28"/>
          <w:lang w:eastAsia="zh-CN"/>
        </w:rPr>
        <w:t>）</w:t>
      </w:r>
      <w:r>
        <w:rPr>
          <w:rFonts w:hint="eastAsia" w:ascii="仿宋" w:hAnsi="仿宋" w:eastAsia="仿宋" w:cs="仿宋"/>
          <w:spacing w:val="10"/>
          <w:kern w:val="2"/>
          <w:sz w:val="28"/>
          <w:szCs w:val="28"/>
          <w:lang w:val="en-US" w:eastAsia="zh-CN" w:bidi="ar-SA"/>
        </w:rPr>
        <w:t>发布公告的媒介：新疆政府采购网、</w:t>
      </w: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昌吉州公共资源交易网</w:t>
      </w:r>
    </w:p>
    <w:p>
      <w:pPr>
        <w:pStyle w:val="4"/>
        <w:pageBreakBefore w:val="0"/>
        <w:widowControl w:val="0"/>
        <w:kinsoku/>
        <w:wordWrap/>
        <w:overflowPunct/>
        <w:topLinePunct w:val="0"/>
        <w:autoSpaceDE/>
        <w:autoSpaceDN/>
        <w:bidi w:val="0"/>
        <w:adjustRightInd/>
        <w:snapToGrid/>
        <w:spacing w:line="520" w:lineRule="exact"/>
        <w:ind w:firstLine="420" w:firstLineChars="0"/>
        <w:textAlignment w:val="auto"/>
        <w:rPr>
          <w:rFonts w:ascii="黑体" w:hAnsi="黑体" w:cs="宋体"/>
          <w:b w:val="0"/>
          <w:sz w:val="28"/>
          <w:szCs w:val="28"/>
        </w:rPr>
      </w:pPr>
      <w:bookmarkStart w:id="22" w:name="_Toc28359018"/>
      <w:bookmarkStart w:id="23" w:name="_Toc35393805"/>
      <w:bookmarkStart w:id="24" w:name="_Toc35393636"/>
      <w:bookmarkStart w:id="25" w:name="_Toc2835909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2"/>
      <w:bookmarkEnd w:id="23"/>
      <w:bookmarkEnd w:id="24"/>
      <w:bookmarkEnd w:id="25"/>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bookmarkStart w:id="26" w:name="_Toc35393637"/>
      <w:bookmarkStart w:id="27" w:name="_Toc28359019"/>
      <w:bookmarkStart w:id="28" w:name="_Toc35393806"/>
      <w:bookmarkStart w:id="29" w:name="_Toc28359096"/>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1.采购人信息</w:t>
      </w:r>
      <w:bookmarkEnd w:id="26"/>
      <w:bookmarkEnd w:id="27"/>
      <w:bookmarkEnd w:id="28"/>
      <w:bookmarkEnd w:id="29"/>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名    称：昌吉州民政局   </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联 系 人：夏荣泽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Times New Roman"/>
          <w:sz w:val="28"/>
          <w:szCs w:val="28"/>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联系方式：0994-2356685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 xml:space="preserve">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bookmarkStart w:id="30" w:name="_Toc28359020"/>
      <w:bookmarkStart w:id="31" w:name="_Toc28359097"/>
      <w:bookmarkStart w:id="32" w:name="_Toc35393807"/>
      <w:bookmarkStart w:id="33" w:name="_Toc35393638"/>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2</w:t>
      </w:r>
      <w:bookmarkEnd w:id="30"/>
      <w:bookmarkEnd w:id="31"/>
      <w:bookmarkEnd w:id="32"/>
      <w:bookmarkEnd w:id="33"/>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w:t>
      </w:r>
      <w:r>
        <w:rPr>
          <w:rFonts w:hint="eastAsia" w:ascii="仿宋" w:hAnsi="仿宋" w:eastAsia="仿宋" w:cs="仿宋"/>
          <w:i w:val="0"/>
          <w:caps w:val="0"/>
          <w:color w:val="auto"/>
          <w:spacing w:val="0"/>
          <w:kern w:val="0"/>
          <w:sz w:val="28"/>
          <w:szCs w:val="28"/>
          <w:highlight w:val="none"/>
          <w:lang w:val="en-US" w:eastAsia="zh-CN" w:bidi="ar"/>
        </w:rPr>
        <w:t>采购代理机构信息</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名    称：新疆远锦招标代理有限公司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地　　址：新疆昌吉州昌吉市屯河北路时代广场C座10层　</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项目联系人：娄树志</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lang w:val="en-US" w:eastAsia="zh-CN"/>
        </w:rPr>
      </w:pPr>
      <w:r>
        <w:rPr>
          <w:rFonts w:hint="eastAsia" w:ascii="仿宋" w:hAnsi="仿宋" w:eastAsia="仿宋" w:cs="仿宋"/>
          <w:i w:val="0"/>
          <w:caps w:val="0"/>
          <w:color w:val="auto"/>
          <w:spacing w:val="0"/>
          <w:kern w:val="0"/>
          <w:sz w:val="28"/>
          <w:szCs w:val="28"/>
          <w:highlight w:val="none"/>
          <w:lang w:val="en-US" w:eastAsia="zh-CN" w:bidi="ar"/>
        </w:rPr>
        <w:t>电　　 话：0994-2282758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OTMzYjkxNDVlZGEwYTI3OGQyYTNkMWY5ZmIwZDIifQ=="/>
  </w:docVars>
  <w:rsids>
    <w:rsidRoot w:val="00000000"/>
    <w:rsid w:val="2EFB4181"/>
    <w:rsid w:val="3C8519FF"/>
    <w:rsid w:val="41383BB2"/>
    <w:rsid w:val="4E9B6A5D"/>
    <w:rsid w:val="71877D32"/>
    <w:rsid w:val="7FBE3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5"/>
    <w:qFormat/>
    <w:uiPriority w:val="0"/>
    <w:pPr>
      <w:keepNext/>
      <w:keepLines/>
      <w:widowControl/>
      <w:spacing w:before="260" w:after="260"/>
      <w:ind w:left="284"/>
      <w:jc w:val="left"/>
      <w:outlineLvl w:val="1"/>
    </w:pPr>
    <w:rPr>
      <w:rFonts w:ascii="Arial" w:hAnsi="Arial"/>
      <w:b/>
      <w:bCs/>
      <w:kern w:val="0"/>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360" w:lineRule="auto"/>
      <w:ind w:firstLineChars="200"/>
      <w:jc w:val="both"/>
    </w:pPr>
    <w:rPr>
      <w:rFonts w:ascii="Times New Roman" w:hAnsi="Times New Roman" w:eastAsia="仿宋_GB2312"/>
      <w:spacing w:val="15"/>
      <w:kern w:val="10"/>
      <w:sz w:val="24"/>
    </w:rPr>
  </w:style>
  <w:style w:type="paragraph" w:styleId="3">
    <w:name w:val="Body Text Indent"/>
    <w:basedOn w:val="1"/>
    <w:next w:val="1"/>
    <w:qFormat/>
    <w:uiPriority w:val="0"/>
    <w:pPr>
      <w:widowControl/>
      <w:ind w:firstLine="233" w:firstLineChars="233"/>
    </w:pPr>
    <w:rPr>
      <w:kern w:val="0"/>
      <w:sz w:val="28"/>
    </w:rPr>
  </w:style>
  <w:style w:type="paragraph" w:styleId="5">
    <w:name w:val="Normal Indent"/>
    <w:basedOn w:val="1"/>
    <w:next w:val="1"/>
    <w:qFormat/>
    <w:uiPriority w:val="0"/>
    <w:pPr>
      <w:spacing w:line="300" w:lineRule="auto"/>
      <w:ind w:firstLine="200" w:firstLineChars="200"/>
    </w:pPr>
    <w:rPr>
      <w:szCs w:val="24"/>
    </w:rPr>
  </w:style>
  <w:style w:type="paragraph" w:styleId="6">
    <w:name w:val="Normal (Web)"/>
    <w:basedOn w:val="1"/>
    <w:qFormat/>
    <w:uiPriority w:val="0"/>
    <w:pPr>
      <w:widowControl/>
      <w:spacing w:before="100" w:beforeAutospacing="1" w:after="100" w:afterAutospacing="1"/>
      <w:jc w:val="left"/>
    </w:pPr>
    <w:rPr>
      <w:rFonts w:asci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1785</Words>
  <Characters>2026</Characters>
  <Lines>0</Lines>
  <Paragraphs>0</Paragraphs>
  <TotalTime>41</TotalTime>
  <ScaleCrop>false</ScaleCrop>
  <LinksUpToDate>false</LinksUpToDate>
  <CharactersWithSpaces>2075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2022-04-29T08:34:00Z</dcterms:created>
  <dc:creator>Administrator</dc:creator>
  <cp:lastModifiedBy>旧时光。</cp:lastModifiedBy>
  <dcterms:modified xsi:type="dcterms:W3CDTF">2022-05-14T14:45:44Z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7F2F1AC11130442082DA7EEF763BCC0B</vt:lpwstr>
  </property>
</Properties>
</file>